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0"/>
        <w:jc w:val="center"/>
      </w:pPr>
      <w:r>
        <w:rPr>
          <w:b/>
          <w:color w:val="2F5D50"/>
          <w:sz w:val="40"/>
        </w:rPr>
        <w:t>PŘÍLOHA Č. 11</w:t>
      </w:r>
    </w:p>
    <w:p>
      <w:pPr>
        <w:jc w:val="center"/>
      </w:pPr>
      <w:r>
        <w:rPr>
          <w:b/>
          <w:sz w:val="26"/>
        </w:rPr>
        <w:t>Hodnocené údaje nabídky</w:t>
      </w:r>
    </w:p>
    <w:p>
      <w:pPr>
        <w:spacing w:before="600"/>
        <w:jc w:val="center"/>
      </w:pPr>
      <w:r>
        <w:rPr>
          <w:rFonts w:ascii="Aptos" w:hAnsi="Aptos"/>
          <w:sz w:val="18"/>
        </w:rPr>
        <w:t>Zadavatel: Biofarma Pod Hájkem s.r.o.</w:t>
        <w:br/>
        <w:t>IČO: 24736261</w:t>
        <w:br/>
        <w:t>Označení dokumentu: P11</w:t>
        <w:br/>
        <w:t>Verze: V06G</w:t>
        <w:br/>
        <w:t>Datum zpracování: 18. 7. 2026</w:t>
      </w:r>
    </w:p>
    <w:p>
      <w:r>
        <w:br w:type="page"/>
      </w:r>
    </w:p>
    <w:p>
      <w:r>
        <w:t>Účastník vyplní všechny níže uvedené hodnocené údaje. Údaje musí být shodné s P07, P10 a návrhem smlouvy. Po skončení lhůty pro podání nabídek je nelze zlepšovat a stanou se smluvně závaznými.</w:t>
      </w:r>
    </w:p>
    <w:tbl>
      <w:tblPr>
        <w:tblStyle w:val="TableGrid"/>
        <w:tblW w:type="dxa" w:w="9783"/>
        <w:jc w:val="center"/>
        <w:tblLayout w:type="fixed"/>
        <w:tblLook w:firstColumn="1" w:firstRow="1" w:lastColumn="0" w:lastRow="0" w:noHBand="0" w:noVBand="1" w:val="04A0"/>
      </w:tblPr>
      <w:tblGrid>
        <w:gridCol w:w="2446"/>
        <w:gridCol w:w="2446"/>
        <w:gridCol w:w="2446"/>
        <w:gridCol w:w="2446"/>
      </w:tblGrid>
      <w:tr>
        <w:trPr>
          <w:tblHeader w:val="true"/>
          <w:cantSplit/>
        </w:trPr>
        <w:tc>
          <w:tcPr>
            <w:tcW w:type="dxa" w:w="2446"/>
            <w:vAlign w:val="center"/>
            <w:shd w:fill="2F6B59"/>
          </w:tcPr>
          <w:p>
            <w:r>
              <w:rPr>
                <w:b/>
              </w:rPr>
            </w:r>
            <w:r>
              <w:rPr>
                <w:rFonts w:ascii="Aptos" w:hAnsi="Aptos"/>
                <w:b/>
                <w:sz w:val="18"/>
              </w:rPr>
              <w:t>Hodnocený údaj</w:t>
            </w:r>
          </w:p>
        </w:tc>
        <w:tc>
          <w:tcPr>
            <w:tcW w:type="dxa" w:w="2446"/>
            <w:vAlign w:val="center"/>
            <w:shd w:fill="2F6B59"/>
          </w:tcPr>
          <w:p>
            <w:r>
              <w:rPr>
                <w:b/>
              </w:rPr>
            </w:r>
            <w:r>
              <w:rPr>
                <w:rFonts w:ascii="Aptos" w:hAnsi="Aptos"/>
                <w:b/>
                <w:sz w:val="18"/>
              </w:rPr>
              <w:t>Nabídnutá hodnota</w:t>
            </w:r>
          </w:p>
        </w:tc>
        <w:tc>
          <w:tcPr>
            <w:tcW w:type="dxa" w:w="2446"/>
            <w:vAlign w:val="center"/>
            <w:shd w:fill="2F6B59"/>
          </w:tcPr>
          <w:p>
            <w:r>
              <w:rPr>
                <w:b/>
              </w:rPr>
            </w:r>
            <w:r>
              <w:rPr>
                <w:rFonts w:ascii="Aptos" w:hAnsi="Aptos"/>
                <w:b/>
                <w:sz w:val="18"/>
              </w:rPr>
              <w:t>Jednotka / forma</w:t>
            </w:r>
          </w:p>
        </w:tc>
        <w:tc>
          <w:tcPr>
            <w:tcW w:type="dxa" w:w="2446"/>
            <w:vAlign w:val="center"/>
            <w:shd w:fill="2F6B59"/>
          </w:tcPr>
          <w:p>
            <w:r>
              <w:rPr>
                <w:b/>
              </w:rPr>
            </w:r>
            <w:r>
              <w:rPr>
                <w:rFonts w:ascii="Aptos" w:hAnsi="Aptos"/>
                <w:b/>
                <w:sz w:val="18"/>
              </w:rPr>
              <w:t>Odkaz</w:t>
            </w:r>
          </w:p>
        </w:tc>
      </w:tr>
      <w:tr>
        <w:trPr>
          <w:cantSplit/>
        </w:trPr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Celková cena etap A–E bez DPH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Kč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P07</w:t>
            </w:r>
          </w:p>
        </w:tc>
      </w:tr>
      <w:tr>
        <w:trPr>
          <w:cantSplit/>
        </w:trPr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Záruka na stavební a montážní práce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celé měsíce, nejméně 60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P05</w:t>
            </w:r>
          </w:p>
        </w:tc>
      </w:tr>
      <w:tr>
        <w:trPr>
          <w:cantSplit/>
        </w:trPr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Maximální doba etapy A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celé kalendářní dny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P10</w:t>
            </w:r>
          </w:p>
        </w:tc>
      </w:tr>
      <w:tr>
        <w:trPr>
          <w:cantSplit/>
        </w:trPr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Maximální doba etapy B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celé kalendářní dny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P10</w:t>
            </w:r>
          </w:p>
        </w:tc>
      </w:tr>
      <w:tr>
        <w:trPr>
          <w:cantSplit/>
        </w:trPr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Maximální doba etapy C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celé kalendářní dny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P10</w:t>
            </w:r>
          </w:p>
        </w:tc>
      </w:tr>
      <w:tr>
        <w:trPr>
          <w:cantSplit/>
        </w:trPr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Maximální doba etapy D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celé kalendářní dny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P10</w:t>
            </w:r>
          </w:p>
        </w:tc>
      </w:tr>
      <w:tr>
        <w:trPr>
          <w:cantSplit/>
        </w:trPr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Maximální doba etapy E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celé kalendářní dny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P10</w:t>
            </w:r>
          </w:p>
        </w:tc>
      </w:tr>
      <w:tr>
        <w:trPr>
          <w:cantSplit/>
        </w:trPr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Souhrnná závazná doba A–E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součet pěti celých kalendářních dnů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P10</w:t>
            </w:r>
          </w:p>
        </w:tc>
      </w:tr>
    </w:tbl>
    <w:p>
      <w:pPr>
        <w:pStyle w:val="Heading1"/>
      </w:pPr>
      <w:r>
        <w:t>Způsob bodování</w:t>
      </w:r>
    </w:p>
    <w:tbl>
      <w:tblPr>
        <w:tblStyle w:val="TableGrid"/>
        <w:tblW w:type="dxa" w:w="9783"/>
        <w:jc w:val="center"/>
        <w:tblLayout w:type="fixed"/>
        <w:tblLook w:firstColumn="1" w:firstRow="1" w:lastColumn="0" w:lastRow="0" w:noHBand="0" w:noVBand="1" w:val="04A0"/>
      </w:tblPr>
      <w:tblGrid>
        <w:gridCol w:w="2446"/>
        <w:gridCol w:w="2446"/>
        <w:gridCol w:w="2446"/>
        <w:gridCol w:w="2446"/>
      </w:tblGrid>
      <w:tr>
        <w:trPr>
          <w:tblHeader w:val="true"/>
          <w:cantSplit/>
        </w:trPr>
        <w:tc>
          <w:tcPr>
            <w:tcW w:type="dxa" w:w="2446"/>
            <w:vAlign w:val="center"/>
            <w:shd w:fill="2F6B59"/>
          </w:tcPr>
          <w:p>
            <w:r>
              <w:rPr>
                <w:b/>
              </w:rPr>
            </w:r>
            <w:r>
              <w:rPr>
                <w:rFonts w:ascii="Aptos" w:hAnsi="Aptos"/>
                <w:b/>
                <w:sz w:val="18"/>
              </w:rPr>
              <w:t>Kritérium</w:t>
            </w:r>
          </w:p>
        </w:tc>
        <w:tc>
          <w:tcPr>
            <w:tcW w:type="dxa" w:w="2446"/>
            <w:vAlign w:val="center"/>
            <w:shd w:fill="2F6B59"/>
          </w:tcPr>
          <w:p>
            <w:r>
              <w:rPr>
                <w:b/>
              </w:rPr>
            </w:r>
            <w:r>
              <w:rPr>
                <w:rFonts w:ascii="Aptos" w:hAnsi="Aptos"/>
                <w:b/>
                <w:sz w:val="18"/>
              </w:rPr>
              <w:t>Maximum</w:t>
            </w:r>
          </w:p>
        </w:tc>
        <w:tc>
          <w:tcPr>
            <w:tcW w:type="dxa" w:w="2446"/>
            <w:vAlign w:val="center"/>
            <w:shd w:fill="2F6B59"/>
          </w:tcPr>
          <w:p>
            <w:r>
              <w:rPr>
                <w:b/>
              </w:rPr>
            </w:r>
            <w:r>
              <w:rPr>
                <w:rFonts w:ascii="Aptos" w:hAnsi="Aptos"/>
                <w:b/>
                <w:sz w:val="18"/>
              </w:rPr>
              <w:t>Hodnota nabídky</w:t>
            </w:r>
          </w:p>
        </w:tc>
        <w:tc>
          <w:tcPr>
            <w:tcW w:type="dxa" w:w="2446"/>
            <w:vAlign w:val="center"/>
            <w:shd w:fill="2F6B59"/>
          </w:tcPr>
          <w:p>
            <w:r>
              <w:rPr>
                <w:b/>
              </w:rPr>
            </w:r>
            <w:r>
              <w:rPr>
                <w:rFonts w:ascii="Aptos" w:hAnsi="Aptos"/>
                <w:b/>
                <w:sz w:val="18"/>
              </w:rPr>
              <w:t>Body</w:t>
            </w:r>
          </w:p>
        </w:tc>
      </w:tr>
      <w:tr>
        <w:trPr>
          <w:cantSplit/>
        </w:trPr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Cena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75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nejnižší hodnocená cena / hodnocená cena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výsledek × 75</w:t>
            </w:r>
          </w:p>
        </w:tc>
      </w:tr>
      <w:tr>
        <w:trPr>
          <w:cantSplit/>
        </w:trPr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Záruka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10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60–65 / 66–71 / 72 a více měsíců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0 / 5 / 10</w:t>
            </w:r>
          </w:p>
        </w:tc>
      </w:tr>
      <w:tr>
        <w:trPr>
          <w:cantSplit/>
        </w:trPr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Souhrnná doba A–E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15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≤80 / 81–90 / 91–100 / 101–110 / 111–120 / &gt;120 dnů</w:t>
            </w:r>
          </w:p>
        </w:tc>
        <w:tc>
          <w:tcPr>
            <w:tcW w:type="dxa" w:w="244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15 / 12 / 9 / 6 / 3 / 0</w:t>
            </w:r>
          </w:p>
        </w:tc>
      </w:tr>
    </w:tbl>
    <w:p>
      <w:r>
        <w:t>Technické výrobky a materiály se nebodují. Před hodnocením nebo při posouzení nabídky první v pořadí se ověří jejich soulad s povinným technickým minimem P06, P08 a P09.</w:t>
      </w:r>
    </w:p>
    <w:p>
      <w:r>
        <w:t>Celkové bodové hodnocení je součtem bodů za cenu, záruku a souhrnnou dobu A–E. Cenové body a celkový součet se zaokrouhlují na dvě desetinná místa.</w:t>
      </w:r>
    </w:p>
    <w:p>
      <w:r>
        <w:rPr>
          <w:rFonts w:ascii="Aptos" w:hAnsi="Aptos"/>
          <w:sz w:val="18"/>
        </w:rPr>
        <w:t>Všech pět etap A–E se oceňuje a hodnotí v úplném rozsahu. U etap B–E je aktivace vázána na výsledek administrace dotace podle ZD_01 a P05. Aktivace etapy nezahajuje běh hodnocené doby a provozní pauzy mezi etapami se nezapočítávají.</w:t>
      </w:r>
    </w:p>
    <w:p>
      <w:r>
        <w:rPr>
          <w:rFonts w:ascii="Aptos" w:hAnsi="Aptos"/>
          <w:b w:val="0"/>
          <w:sz w:val="18"/>
        </w:rPr>
        <w:t>Souhrnná doba A–E je aritmetickým součtem pěti čistých maximálních dob uvedených v P10. Kalendářní mezery mezi etapami určené zadavatelem podle obsazenosti objektu se k tomuto součtu nepřičítají.</w:t>
      </w:r>
    </w:p>
    <w:p>
      <w:r>
        <w:t>Při shodném celkovém počtu bodů rozhoduje nižší cena bez DPH, kratší souhrnná doba A–E, delší záruka a následně los provedený komisí.</w:t>
      </w:r>
    </w:p>
    <w:p>
      <w:r>
        <w:t>V ................................ dne ........................</w:t>
      </w:r>
    </w:p>
    <w:tbl>
      <w:tblPr>
        <w:tblStyle w:val="TableGrid"/>
        <w:tblW w:type="dxa" w:w="9783"/>
        <w:jc w:val="center"/>
        <w:tblLayout w:type="fixed"/>
        <w:tblLook w:firstColumn="1" w:firstRow="1" w:lastColumn="0" w:lastRow="0" w:noHBand="0" w:noVBand="1" w:val="04A0"/>
      </w:tblPr>
      <w:tblGrid>
        <w:gridCol w:w="4892"/>
        <w:gridCol w:w="4892"/>
      </w:tblGrid>
      <w:tr>
        <w:trPr>
          <w:cantSplit/>
        </w:trPr>
        <w:tc>
          <w:tcPr>
            <w:tcW w:type="dxa" w:w="4892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Účastník</w:t>
            </w:r>
          </w:p>
        </w:tc>
        <w:tc>
          <w:tcPr>
            <w:tcW w:type="dxa" w:w="4892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Jméno, funkce a podpis</w:t>
            </w:r>
          </w:p>
        </w:tc>
      </w:tr>
      <w:tr>
        <w:trPr>
          <w:cantSplit/>
        </w:trPr>
        <w:tc>
          <w:tcPr>
            <w:tcW w:type="dxa" w:w="4892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........................................................</w:t>
            </w:r>
          </w:p>
        </w:tc>
        <w:tc>
          <w:tcPr>
            <w:tcW w:type="dxa" w:w="4892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........................................................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2240" w:h="15840"/>
      <w:pgMar w:top="765" w:right="1020" w:bottom="68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 xml:space="preserve">Biofarma Pod Hájkem s.r.o.  •  </w:t>
    </w:r>
    <w:r>
      <w:fldChar w:fldCharType="begin"/>
      <w:instrText xml:space="preserve"> PAGE </w:instrTex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t>Agroturistika na farmě  |  P11  |  verze V06G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2F5D5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F5D5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2222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2F5D50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Doplnit">
    <w:name w:val="Doplnit"/>
    <w:rPr>
      <w:rFonts w:ascii="Arial" w:hAnsi="Arial"/>
      <w:b/>
      <w:color w:val="9C65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P11_Hodnocene_udaje_nabidky_V04</dc:title>
  <dc:subject>Agroturistika na farmě – zadávací dokumentace</dc:subject>
  <dc:creator>Biofarma Pod Hájkem s.r.o.</dc:creator>
  <cp:keywords>SZIF, výběrové řízení, Agroturistika na farmě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