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0"/>
        <w:jc w:val="right"/>
      </w:pPr>
      <w:r>
        <w:rPr>
          <w:rFonts w:ascii="Calibri" w:cs="Calibri" w:eastAsia="Calibri" w:hAnsi="Calibri"/>
          <w:color w:val="555555"/>
          <w:sz w:val="18"/>
          <w:szCs w:val="18"/>
        </w:rPr>
        <w:t xml:space="preserve">Příloha č. 3 zadávacích podmínek</w:t>
      </w:r>
    </w:p>
    <w:p>
      <w:pPr>
        <w:spacing w:after="80" w:before="0" w:line="280"/>
        <w:jc w:val="center"/>
      </w:pPr>
      <w:r>
        <w:rPr>
          <w:rFonts w:ascii="Calibri" w:cs="Calibri" w:eastAsia="Calibri" w:hAnsi="Calibri"/>
          <w:b/>
          <w:bCs/>
          <w:color w:val="1A1A1A"/>
          <w:sz w:val="36"/>
          <w:szCs w:val="36"/>
        </w:rPr>
        <w:t xml:space="preserve">SMLOUVA O DÍLO</w:t>
      </w:r>
    </w:p>
    <w:p>
      <w:pPr>
        <w:spacing w:after="60" w:before="0" w:line="280"/>
        <w:jc w:val="center"/>
      </w:pPr>
      <w:r>
        <w:rPr>
          <w:rFonts w:ascii="Calibri" w:cs="Calibri" w:eastAsia="Calibri" w:hAnsi="Calibri"/>
          <w:color w:val="1A1A1A"/>
          <w:sz w:val="20"/>
          <w:szCs w:val="20"/>
        </w:rPr>
        <w:t xml:space="preserve">na realizaci zakázky s názvem</w:t>
      </w:r>
    </w:p>
    <w:p>
      <w:pPr>
        <w:spacing w:after="360" w:before="0" w:line="280"/>
        <w:jc w:val="center"/>
      </w:pPr>
      <w:r>
        <w:rPr>
          <w:rFonts w:ascii="Calibri" w:cs="Calibri" w:eastAsia="Calibri" w:hAnsi="Calibri"/>
          <w:b/>
          <w:bCs/>
          <w:color w:val="1A1A1A"/>
          <w:sz w:val="26"/>
          <w:szCs w:val="26"/>
        </w:rPr>
        <w:t xml:space="preserve">„Kamýk – stavební úpravy a změna užívání objektu č.p. 7 (sýpka) na krátkodobé ubytování"</w:t>
      </w:r>
    </w:p>
    <w:p>
      <w:pPr>
        <w:spacing w:after="20" w:line="280"/>
        <w:jc w:val="both"/>
      </w:pPr>
      <w:r>
        <w:rPr>
          <w:rFonts w:ascii="Calibri" w:cs="Calibri" w:eastAsia="Calibri" w:hAnsi="Calibri"/>
          <w:b/>
          <w:bCs/>
          <w:color w:val="1A1A1A"/>
          <w:sz w:val="20"/>
          <w:szCs w:val="20"/>
        </w:rPr>
        <w:t xml:space="preserve">„TERRA KAPLÍŘ" spol. s r.o.</w:t>
      </w:r>
    </w:p>
    <w:p>
      <w:pPr>
        <w:spacing w:after="20" w:line="280"/>
        <w:jc w:val="both"/>
      </w:pPr>
      <w:r>
        <w:rPr>
          <w:rFonts w:ascii="Calibri" w:cs="Calibri" w:eastAsia="Calibri" w:hAnsi="Calibri"/>
          <w:color w:val="1A1A1A"/>
          <w:sz w:val="20"/>
          <w:szCs w:val="20"/>
        </w:rPr>
        <w:t xml:space="preserve">se sídlem: Mírové náměstí 11/3, Litoměřice-Město, 412 01 Litoměřice</w:t>
      </w:r>
    </w:p>
    <w:p>
      <w:pPr>
        <w:spacing w:after="20" w:line="280"/>
        <w:jc w:val="both"/>
      </w:pPr>
      <w:r>
        <w:rPr>
          <w:rFonts w:ascii="Calibri" w:cs="Calibri" w:eastAsia="Calibri" w:hAnsi="Calibri"/>
          <w:color w:val="1A1A1A"/>
          <w:sz w:val="20"/>
          <w:szCs w:val="20"/>
        </w:rPr>
        <w:t xml:space="preserve">IČO: 47306254, DIČ: CZ47306254</w:t>
      </w:r>
    </w:p>
    <w:p>
      <w:pPr>
        <w:spacing w:after="20" w:line="280"/>
        <w:jc w:val="both"/>
      </w:pPr>
      <w:r>
        <w:rPr>
          <w:rFonts w:ascii="Calibri" w:cs="Calibri" w:eastAsia="Calibri" w:hAnsi="Calibri"/>
          <w:color w:val="1A1A1A"/>
          <w:sz w:val="20"/>
          <w:szCs w:val="20"/>
        </w:rPr>
        <w:t xml:space="preserve">zastoupená: </w:t>
      </w:r>
      <w:r>
        <w:rPr>
          <w:rFonts w:ascii="Calibri" w:cs="Calibri" w:eastAsia="Calibri" w:hAnsi="Calibri"/>
          <w:color w:val="1A1A1A"/>
          <w:sz w:val="20"/>
          <w:szCs w:val="20"/>
          <w:highlight w:val="yellow"/>
          <w:highlightCs w:val="yellow"/>
        </w:rPr>
        <w:t xml:space="preserve">[jméno a příjmení jednatele]</w:t>
      </w:r>
      <w:r>
        <w:rPr>
          <w:rFonts w:ascii="Calibri" w:cs="Calibri" w:eastAsia="Calibri" w:hAnsi="Calibri"/>
          <w:color w:val="1A1A1A"/>
          <w:sz w:val="20"/>
          <w:szCs w:val="20"/>
        </w:rPr>
        <w:t xml:space="preserve">, jednatelem</w:t>
      </w:r>
    </w:p>
    <w:p>
      <w:pPr>
        <w:spacing w:after="200" w:line="280"/>
        <w:jc w:val="both"/>
      </w:pPr>
      <w:r>
        <w:rPr>
          <w:rFonts w:ascii="Calibri" w:cs="Calibri" w:eastAsia="Calibri" w:hAnsi="Calibri"/>
          <w:color w:val="1A1A1A"/>
          <w:sz w:val="20"/>
          <w:szCs w:val="20"/>
        </w:rPr>
        <w:t xml:space="preserve">(dále jen „</w:t>
      </w:r>
      <w:r>
        <w:rPr>
          <w:rFonts w:ascii="Calibri" w:cs="Calibri" w:eastAsia="Calibri" w:hAnsi="Calibri"/>
          <w:b/>
          <w:bCs/>
          <w:color w:val="1A1A1A"/>
          <w:sz w:val="20"/>
          <w:szCs w:val="20"/>
        </w:rPr>
        <w:t xml:space="preserve">Objednatel</w:t>
      </w:r>
      <w:r>
        <w:rPr>
          <w:rFonts w:ascii="Calibri" w:cs="Calibri" w:eastAsia="Calibri" w:hAnsi="Calibri"/>
          <w:color w:val="1A1A1A"/>
          <w:sz w:val="20"/>
          <w:szCs w:val="20"/>
        </w:rPr>
        <w:t xml:space="preserve">")</w:t>
      </w:r>
    </w:p>
    <w:p>
      <w:pPr>
        <w:spacing w:after="200" w:line="280"/>
        <w:jc w:val="both"/>
      </w:pPr>
      <w:r>
        <w:rPr>
          <w:rFonts w:ascii="Calibri" w:cs="Calibri" w:eastAsia="Calibri" w:hAnsi="Calibri"/>
          <w:color w:val="1A1A1A"/>
          <w:sz w:val="20"/>
          <w:szCs w:val="20"/>
        </w:rPr>
        <w:t xml:space="preserve">na straně jedné a</w:t>
      </w:r>
    </w:p>
    <w:p>
      <w:pPr>
        <w:spacing w:after="20" w:line="280"/>
        <w:jc w:val="both"/>
      </w:pPr>
      <w:r>
        <w:rPr>
          <w:rFonts w:ascii="Calibri" w:cs="Calibri" w:eastAsia="Calibri" w:hAnsi="Calibri"/>
          <w:b/>
          <w:bCs/>
          <w:color w:val="1A1A1A"/>
          <w:sz w:val="20"/>
          <w:szCs w:val="20"/>
        </w:rPr>
        <w:t xml:space="preserve">Obchodní firma/název/jméno a příjmení: </w:t>
      </w:r>
      <w:r>
        <w:rPr>
          <w:rFonts w:ascii="Calibri" w:cs="Calibri" w:eastAsia="Calibri" w:hAnsi="Calibri"/>
          <w:color w:val="1A1A1A"/>
          <w:sz w:val="20"/>
          <w:szCs w:val="20"/>
          <w:highlight w:val="yellow"/>
          <w:highlightCs w:val="yellow"/>
        </w:rPr>
        <w:t xml:space="preserve">                                        </w:t>
      </w:r>
    </w:p>
    <w:p>
      <w:pPr>
        <w:spacing w:after="20" w:line="280"/>
        <w:jc w:val="both"/>
      </w:pPr>
      <w:r>
        <w:rPr>
          <w:rFonts w:ascii="Calibri" w:cs="Calibri" w:eastAsia="Calibri" w:hAnsi="Calibri"/>
          <w:color w:val="1A1A1A"/>
          <w:sz w:val="20"/>
          <w:szCs w:val="20"/>
        </w:rPr>
        <w:t xml:space="preserve">se sídlem: </w:t>
      </w:r>
      <w:r>
        <w:rPr>
          <w:rFonts w:ascii="Calibri" w:cs="Calibri" w:eastAsia="Calibri" w:hAnsi="Calibri"/>
          <w:color w:val="1A1A1A"/>
          <w:sz w:val="20"/>
          <w:szCs w:val="20"/>
          <w:highlight w:val="yellow"/>
          <w:highlightCs w:val="yellow"/>
        </w:rPr>
        <w:t xml:space="preserve">                                        </w:t>
      </w:r>
    </w:p>
    <w:p>
      <w:pPr>
        <w:spacing w:after="20" w:line="280"/>
        <w:jc w:val="both"/>
      </w:pPr>
      <w:r>
        <w:rPr>
          <w:rFonts w:ascii="Calibri" w:cs="Calibri" w:eastAsia="Calibri" w:hAnsi="Calibri"/>
          <w:color w:val="1A1A1A"/>
          <w:sz w:val="20"/>
          <w:szCs w:val="20"/>
        </w:rPr>
        <w:t xml:space="preserve">IČO: </w:t>
      </w:r>
      <w:r>
        <w:rPr>
          <w:rFonts w:ascii="Calibri" w:cs="Calibri" w:eastAsia="Calibri" w:hAnsi="Calibri"/>
          <w:color w:val="1A1A1A"/>
          <w:sz w:val="20"/>
          <w:szCs w:val="20"/>
          <w:highlight w:val="yellow"/>
          <w:highlightCs w:val="yellow"/>
        </w:rPr>
        <w:t xml:space="preserve">                  </w:t>
      </w:r>
      <w:r>
        <w:rPr>
          <w:rFonts w:ascii="Calibri" w:cs="Calibri" w:eastAsia="Calibri" w:hAnsi="Calibri"/>
          <w:color w:val="1A1A1A"/>
          <w:sz w:val="20"/>
          <w:szCs w:val="20"/>
        </w:rPr>
        <w:t xml:space="preserve">, DIČ: </w:t>
      </w:r>
      <w:r>
        <w:rPr>
          <w:rFonts w:ascii="Calibri" w:cs="Calibri" w:eastAsia="Calibri" w:hAnsi="Calibri"/>
          <w:color w:val="1A1A1A"/>
          <w:sz w:val="20"/>
          <w:szCs w:val="20"/>
          <w:highlight w:val="yellow"/>
          <w:highlightCs w:val="yellow"/>
        </w:rPr>
        <w:t xml:space="preserve">                  </w:t>
      </w:r>
    </w:p>
    <w:p>
      <w:pPr>
        <w:spacing w:after="20" w:line="280"/>
        <w:jc w:val="both"/>
      </w:pPr>
      <w:r>
        <w:rPr>
          <w:rFonts w:ascii="Calibri" w:cs="Calibri" w:eastAsia="Calibri" w:hAnsi="Calibri"/>
          <w:color w:val="1A1A1A"/>
          <w:sz w:val="20"/>
          <w:szCs w:val="20"/>
        </w:rPr>
        <w:t xml:space="preserve">zastoupen: </w:t>
      </w:r>
      <w:r>
        <w:rPr>
          <w:rFonts w:ascii="Calibri" w:cs="Calibri" w:eastAsia="Calibri" w:hAnsi="Calibri"/>
          <w:color w:val="1A1A1A"/>
          <w:sz w:val="20"/>
          <w:szCs w:val="20"/>
          <w:highlight w:val="yellow"/>
          <w:highlightCs w:val="yellow"/>
        </w:rPr>
        <w:t xml:space="preserve">                                        </w:t>
      </w:r>
    </w:p>
    <w:p>
      <w:pPr>
        <w:spacing w:after="20" w:line="280"/>
        <w:jc w:val="both"/>
      </w:pPr>
      <w:r>
        <w:rPr>
          <w:rFonts w:ascii="Calibri" w:cs="Calibri" w:eastAsia="Calibri" w:hAnsi="Calibri"/>
          <w:color w:val="1A1A1A"/>
          <w:sz w:val="20"/>
          <w:szCs w:val="20"/>
        </w:rPr>
        <w:t xml:space="preserve">zapsán v obchodním rejstříku vedeném </w:t>
      </w:r>
      <w:r>
        <w:rPr>
          <w:rFonts w:ascii="Calibri" w:cs="Calibri" w:eastAsia="Calibri" w:hAnsi="Calibri"/>
          <w:color w:val="1A1A1A"/>
          <w:sz w:val="20"/>
          <w:szCs w:val="20"/>
          <w:highlight w:val="yellow"/>
          <w:highlightCs w:val="yellow"/>
        </w:rPr>
        <w:t xml:space="preserve">                    </w:t>
      </w:r>
      <w:r>
        <w:rPr>
          <w:rFonts w:ascii="Calibri" w:cs="Calibri" w:eastAsia="Calibri" w:hAnsi="Calibri"/>
          <w:color w:val="1A1A1A"/>
          <w:sz w:val="20"/>
          <w:szCs w:val="20"/>
        </w:rPr>
        <w:t xml:space="preserve"> soudem v </w:t>
      </w:r>
      <w:r>
        <w:rPr>
          <w:rFonts w:ascii="Calibri" w:cs="Calibri" w:eastAsia="Calibri" w:hAnsi="Calibri"/>
          <w:color w:val="1A1A1A"/>
          <w:sz w:val="20"/>
          <w:szCs w:val="20"/>
          <w:highlight w:val="yellow"/>
          <w:highlightCs w:val="yellow"/>
        </w:rPr>
        <w:t xml:space="preserve">              </w:t>
      </w:r>
      <w:r>
        <w:rPr>
          <w:rFonts w:ascii="Calibri" w:cs="Calibri" w:eastAsia="Calibri" w:hAnsi="Calibri"/>
          <w:color w:val="1A1A1A"/>
          <w:sz w:val="20"/>
          <w:szCs w:val="20"/>
        </w:rPr>
        <w:t xml:space="preserve">, oddíl </w:t>
      </w:r>
      <w:r>
        <w:rPr>
          <w:rFonts w:ascii="Calibri" w:cs="Calibri" w:eastAsia="Calibri" w:hAnsi="Calibri"/>
          <w:color w:val="1A1A1A"/>
          <w:sz w:val="20"/>
          <w:szCs w:val="20"/>
          <w:highlight w:val="yellow"/>
          <w:highlightCs w:val="yellow"/>
        </w:rPr>
        <w:t xml:space="preserve">      </w:t>
      </w:r>
      <w:r>
        <w:rPr>
          <w:rFonts w:ascii="Calibri" w:cs="Calibri" w:eastAsia="Calibri" w:hAnsi="Calibri"/>
          <w:color w:val="1A1A1A"/>
          <w:sz w:val="20"/>
          <w:szCs w:val="20"/>
        </w:rPr>
        <w:t xml:space="preserve">, vložka </w:t>
      </w:r>
      <w:r>
        <w:rPr>
          <w:rFonts w:ascii="Calibri" w:cs="Calibri" w:eastAsia="Calibri" w:hAnsi="Calibri"/>
          <w:color w:val="1A1A1A"/>
          <w:sz w:val="20"/>
          <w:szCs w:val="20"/>
          <w:highlight w:val="yellow"/>
          <w:highlightCs w:val="yellow"/>
        </w:rPr>
        <w:t xml:space="preserve">        </w:t>
      </w:r>
    </w:p>
    <w:p>
      <w:pPr>
        <w:spacing w:after="120" w:line="280"/>
        <w:jc w:val="both"/>
      </w:pPr>
      <w:r>
        <w:rPr>
          <w:rFonts w:ascii="Calibri" w:cs="Calibri" w:eastAsia="Calibri" w:hAnsi="Calibri"/>
          <w:color w:val="1A1A1A"/>
          <w:sz w:val="20"/>
          <w:szCs w:val="20"/>
        </w:rPr>
        <w:t xml:space="preserve">bankovní spojení: </w:t>
      </w:r>
      <w:r>
        <w:rPr>
          <w:rFonts w:ascii="Calibri" w:cs="Calibri" w:eastAsia="Calibri" w:hAnsi="Calibri"/>
          <w:color w:val="1A1A1A"/>
          <w:sz w:val="20"/>
          <w:szCs w:val="20"/>
          <w:highlight w:val="yellow"/>
          <w:highlightCs w:val="yellow"/>
        </w:rPr>
        <w:t xml:space="preserve">                                        </w:t>
      </w:r>
    </w:p>
    <w:p>
      <w:pPr>
        <w:spacing w:after="120" w:line="280"/>
        <w:jc w:val="both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POZN.: Účastník doplní žlutě vyznačené identifikační údaje; údaje, které se na účastníka nevztahují, účastník nedoplňuje. Jiné zásahy do textu Smlouvy nejsou přípustné.</w:t>
      </w:r>
    </w:p>
    <w:p>
      <w:pPr>
        <w:spacing w:after="200" w:line="280"/>
        <w:jc w:val="both"/>
      </w:pPr>
      <w:r>
        <w:rPr>
          <w:rFonts w:ascii="Calibri" w:cs="Calibri" w:eastAsia="Calibri" w:hAnsi="Calibri"/>
          <w:color w:val="1A1A1A"/>
          <w:sz w:val="20"/>
          <w:szCs w:val="20"/>
        </w:rPr>
        <w:t xml:space="preserve">(dále jen „</w:t>
      </w:r>
      <w:r>
        <w:rPr>
          <w:rFonts w:ascii="Calibri" w:cs="Calibri" w:eastAsia="Calibri" w:hAnsi="Calibri"/>
          <w:b/>
          <w:bCs/>
          <w:color w:val="1A1A1A"/>
          <w:sz w:val="20"/>
          <w:szCs w:val="20"/>
        </w:rPr>
        <w:t xml:space="preserve">Zhotovitel</w:t>
      </w:r>
      <w:r>
        <w:rPr>
          <w:rFonts w:ascii="Calibri" w:cs="Calibri" w:eastAsia="Calibri" w:hAnsi="Calibri"/>
          <w:color w:val="1A1A1A"/>
          <w:sz w:val="20"/>
          <w:szCs w:val="20"/>
        </w:rPr>
        <w:t xml:space="preserve">")</w:t>
      </w:r>
    </w:p>
    <w:p>
      <w:pPr>
        <w:spacing w:after="200" w:line="280"/>
        <w:jc w:val="both"/>
      </w:pPr>
      <w:r>
        <w:rPr>
          <w:rFonts w:ascii="Calibri" w:cs="Calibri" w:eastAsia="Calibri" w:hAnsi="Calibri"/>
          <w:color w:val="1A1A1A"/>
          <w:sz w:val="20"/>
          <w:szCs w:val="20"/>
        </w:rPr>
        <w:t xml:space="preserve">na straně druhé</w:t>
      </w:r>
    </w:p>
    <w:p>
      <w:pPr>
        <w:spacing w:after="240" w:line="280"/>
        <w:jc w:val="both"/>
      </w:pPr>
      <w:r>
        <w:rPr>
          <w:rFonts w:ascii="Calibri" w:cs="Calibri" w:eastAsia="Calibri" w:hAnsi="Calibri"/>
          <w:color w:val="1A1A1A"/>
          <w:sz w:val="20"/>
          <w:szCs w:val="20"/>
        </w:rPr>
        <w:t xml:space="preserve">(společně dále jen „</w:t>
      </w:r>
      <w:r>
        <w:rPr>
          <w:rFonts w:ascii="Calibri" w:cs="Calibri" w:eastAsia="Calibri" w:hAnsi="Calibri"/>
          <w:b/>
          <w:bCs/>
          <w:color w:val="1A1A1A"/>
          <w:sz w:val="20"/>
          <w:szCs w:val="20"/>
        </w:rPr>
        <w:t xml:space="preserve">Smluvní strany</w:t>
      </w:r>
      <w:r>
        <w:rPr>
          <w:rFonts w:ascii="Calibri" w:cs="Calibri" w:eastAsia="Calibri" w:hAnsi="Calibri"/>
          <w:color w:val="1A1A1A"/>
          <w:sz w:val="20"/>
          <w:szCs w:val="20"/>
        </w:rPr>
        <w:t xml:space="preserve">" nebo každý jednotlivě „</w:t>
      </w:r>
      <w:r>
        <w:rPr>
          <w:rFonts w:ascii="Calibri" w:cs="Calibri" w:eastAsia="Calibri" w:hAnsi="Calibri"/>
          <w:b/>
          <w:bCs/>
          <w:color w:val="1A1A1A"/>
          <w:sz w:val="20"/>
          <w:szCs w:val="20"/>
        </w:rPr>
        <w:t xml:space="preserve">Smluvní strana</w:t>
      </w:r>
      <w:r>
        <w:rPr>
          <w:rFonts w:ascii="Calibri" w:cs="Calibri" w:eastAsia="Calibri" w:hAnsi="Calibri"/>
          <w:color w:val="1A1A1A"/>
          <w:sz w:val="20"/>
          <w:szCs w:val="20"/>
        </w:rPr>
        <w:t xml:space="preserve">")</w:t>
      </w:r>
    </w:p>
    <w:p>
      <w:pPr>
        <w:spacing w:after="120" w:before="0" w:line="280"/>
        <w:jc w:val="center"/>
      </w:pPr>
      <w:r>
        <w:rPr>
          <w:rFonts w:ascii="Calibri" w:cs="Calibri" w:eastAsia="Calibri" w:hAnsi="Calibri"/>
          <w:color w:val="1A1A1A"/>
          <w:sz w:val="20"/>
          <w:szCs w:val="20"/>
        </w:rPr>
        <w:t xml:space="preserve">uzavírají</w:t>
      </w:r>
    </w:p>
    <w:p>
      <w:pPr>
        <w:spacing w:after="120" w:before="0" w:line="280"/>
        <w:jc w:val="center"/>
      </w:pPr>
      <w:r>
        <w:rPr>
          <w:rFonts w:ascii="Calibri" w:cs="Calibri" w:eastAsia="Calibri" w:hAnsi="Calibri"/>
          <w:color w:val="1A1A1A"/>
          <w:sz w:val="20"/>
          <w:szCs w:val="20"/>
        </w:rPr>
        <w:t xml:space="preserve">v souladu s ustanovením § 2586 a násl. zákona č. 89/2012 Sb., občanský zákoník, ve znění pozdějších předpisů (dále jen „</w:t>
      </w:r>
      <w:r>
        <w:rPr>
          <w:rFonts w:ascii="Calibri" w:cs="Calibri" w:eastAsia="Calibri" w:hAnsi="Calibri"/>
          <w:b/>
          <w:bCs/>
          <w:color w:val="1A1A1A"/>
          <w:sz w:val="20"/>
          <w:szCs w:val="20"/>
        </w:rPr>
        <w:t xml:space="preserve">ObčZ</w:t>
      </w:r>
      <w:r>
        <w:rPr>
          <w:rFonts w:ascii="Calibri" w:cs="Calibri" w:eastAsia="Calibri" w:hAnsi="Calibri"/>
          <w:color w:val="1A1A1A"/>
          <w:sz w:val="20"/>
          <w:szCs w:val="20"/>
        </w:rPr>
        <w:t xml:space="preserve">")</w:t>
      </w:r>
    </w:p>
    <w:p>
      <w:pPr>
        <w:spacing w:after="120" w:before="0" w:line="280"/>
        <w:jc w:val="center"/>
      </w:pPr>
      <w:r>
        <w:rPr>
          <w:rFonts w:ascii="Calibri" w:cs="Calibri" w:eastAsia="Calibri" w:hAnsi="Calibri"/>
          <w:color w:val="1A1A1A"/>
          <w:sz w:val="20"/>
          <w:szCs w:val="20"/>
        </w:rPr>
        <w:t xml:space="preserve">tuto</w:t>
      </w:r>
    </w:p>
    <w:p>
      <w:pPr>
        <w:spacing w:after="40" w:before="0" w:line="280"/>
        <w:jc w:val="center"/>
      </w:pPr>
      <w:r>
        <w:rPr>
          <w:rFonts w:ascii="Calibri" w:cs="Calibri" w:eastAsia="Calibri" w:hAnsi="Calibri"/>
          <w:color w:val="1A1A1A"/>
          <w:sz w:val="20"/>
          <w:szCs w:val="20"/>
        </w:rPr>
        <w:t xml:space="preserve">smlouvu o dílo na realizaci zakázky s výše uvedeným názvem</w:t>
      </w:r>
    </w:p>
    <w:p>
      <w:pPr>
        <w:spacing w:after="200" w:before="0" w:line="280"/>
        <w:jc w:val="center"/>
      </w:pPr>
      <w:r>
        <w:rPr>
          <w:rFonts w:ascii="Calibri" w:cs="Calibri" w:eastAsia="Calibri" w:hAnsi="Calibri"/>
          <w:color w:val="1A1A1A"/>
          <w:sz w:val="20"/>
          <w:szCs w:val="20"/>
        </w:rPr>
        <w:t xml:space="preserve">(dále jen „</w:t>
      </w:r>
      <w:r>
        <w:rPr>
          <w:rFonts w:ascii="Calibri" w:cs="Calibri" w:eastAsia="Calibri" w:hAnsi="Calibri"/>
          <w:b/>
          <w:bCs/>
          <w:color w:val="1A1A1A"/>
          <w:sz w:val="20"/>
          <w:szCs w:val="20"/>
        </w:rPr>
        <w:t xml:space="preserve">Smlouva</w:t>
      </w:r>
      <w:r>
        <w:rPr>
          <w:rFonts w:ascii="Calibri" w:cs="Calibri" w:eastAsia="Calibri" w:hAnsi="Calibri"/>
          <w:color w:val="1A1A1A"/>
          <w:sz w:val="20"/>
          <w:szCs w:val="20"/>
        </w:rPr>
        <w:t xml:space="preserve">"):</w:t>
      </w:r>
    </w:p>
    <w:p>
      <w:pPr>
        <w:spacing w:after="160" w:before="320" w:line="280"/>
        <w:jc w:val="center"/>
      </w:pPr>
      <w:r>
        <w:rPr>
          <w:rFonts w:ascii="Calibri" w:cs="Calibri" w:eastAsia="Calibri" w:hAnsi="Calibri"/>
          <w:b/>
          <w:bCs/>
          <w:color w:val="1A1A1A"/>
          <w:sz w:val="22"/>
          <w:szCs w:val="22"/>
        </w:rPr>
        <w:t xml:space="preserve">1. ÚVODNÍ USTANOVENÍ</w:t>
      </w:r>
    </w:p>
    <w:p>
      <w:pPr>
        <w:tabs>
          <w:tab w:val="left" w:pos="850"/>
        </w:tabs>
        <w:spacing w:after="120" w:line="280"/>
        <w:ind w:left="850" w:hanging="850"/>
        <w:jc w:val="both"/>
      </w:pPr>
      <w:r>
        <w:rPr>
          <w:rFonts w:ascii="Calibri" w:cs="Calibri" w:eastAsia="Calibri" w:hAnsi="Calibri"/>
          <w:color w:val="1A1A1A"/>
          <w:sz w:val="20"/>
          <w:szCs w:val="20"/>
        </w:rPr>
        <w:t xml:space="preserve">1.1.	</w:t>
      </w:r>
      <w:r>
        <w:rPr>
          <w:rFonts w:ascii="Calibri" w:cs="Calibri" w:eastAsia="Calibri" w:hAnsi="Calibri"/>
          <w:color w:val="1A1A1A"/>
          <w:sz w:val="20"/>
          <w:szCs w:val="20"/>
        </w:rPr>
        <w:t xml:space="preserve">Účelem Smlouvy je dohodnout právní podmínky provedení stavebních úprav stávajícího objektu spojených se změnou jeho užívání na krátkodobé ubytování, včetně souvisejících dodávek, služeb a profesních částí, tak, aby došlo k řádnému dokončení a předání díla Zhotovitelem Objednateli.</w:t>
      </w:r>
    </w:p>
    <w:p>
      <w:pPr>
        <w:tabs>
          <w:tab w:val="left" w:pos="850"/>
        </w:tabs>
        <w:spacing w:after="120" w:line="280"/>
        <w:ind w:left="850" w:hanging="850"/>
        <w:jc w:val="both"/>
      </w:pPr>
      <w:r>
        <w:rPr>
          <w:rFonts w:ascii="Calibri" w:cs="Calibri" w:eastAsia="Calibri" w:hAnsi="Calibri"/>
          <w:color w:val="1A1A1A"/>
          <w:sz w:val="20"/>
          <w:szCs w:val="20"/>
        </w:rPr>
        <w:t xml:space="preserve">1.2.	</w:t>
      </w:r>
      <w:r>
        <w:rPr>
          <w:rFonts w:ascii="Calibri" w:cs="Calibri" w:eastAsia="Calibri" w:hAnsi="Calibri"/>
          <w:color w:val="1A1A1A"/>
          <w:sz w:val="20"/>
          <w:szCs w:val="20"/>
        </w:rPr>
        <w:t xml:space="preserve">Uzavření Smlouvy je výsledkem výběrového řízení v otevřené výzvě uskutečněného Objednatelem podle Příručky pro zadávání zakázek na projekty rozvoje venkova v rámci SP SZP 2023–2027, verze 2 (dále jen „</w:t>
      </w:r>
      <w:r>
        <w:rPr>
          <w:rFonts w:ascii="Calibri" w:cs="Calibri" w:eastAsia="Calibri" w:hAnsi="Calibri"/>
          <w:b/>
          <w:bCs/>
          <w:color w:val="1A1A1A"/>
          <w:sz w:val="20"/>
          <w:szCs w:val="20"/>
        </w:rPr>
        <w:t xml:space="preserve">Příručka</w:t>
      </w:r>
      <w:r>
        <w:rPr>
          <w:rFonts w:ascii="Calibri" w:cs="Calibri" w:eastAsia="Calibri" w:hAnsi="Calibri"/>
          <w:color w:val="1A1A1A"/>
          <w:sz w:val="20"/>
          <w:szCs w:val="20"/>
        </w:rPr>
        <w:t xml:space="preserve">" a „</w:t>
      </w:r>
      <w:r>
        <w:rPr>
          <w:rFonts w:ascii="Calibri" w:cs="Calibri" w:eastAsia="Calibri" w:hAnsi="Calibri"/>
          <w:b/>
          <w:bCs/>
          <w:color w:val="1A1A1A"/>
          <w:sz w:val="20"/>
          <w:szCs w:val="20"/>
        </w:rPr>
        <w:t xml:space="preserve">Výběrové řízení</w:t>
      </w:r>
      <w:r>
        <w:rPr>
          <w:rFonts w:ascii="Calibri" w:cs="Calibri" w:eastAsia="Calibri" w:hAnsi="Calibri"/>
          <w:color w:val="1A1A1A"/>
          <w:sz w:val="20"/>
          <w:szCs w:val="20"/>
        </w:rPr>
        <w:t xml:space="preserve">"). Nejedná se o zadávací řízení dle zákona č. 134/2016 Sb. Smlouva nebyla uzavřena přede dnem registrace Žádosti o dotaci.</w:t>
      </w:r>
    </w:p>
    <w:p>
      <w:pPr>
        <w:tabs>
          <w:tab w:val="left" w:pos="850"/>
        </w:tabs>
        <w:spacing w:after="120" w:line="280"/>
        <w:ind w:left="850" w:hanging="850"/>
        <w:jc w:val="both"/>
      </w:pPr>
      <w:r>
        <w:rPr>
          <w:rFonts w:ascii="Calibri" w:cs="Calibri" w:eastAsia="Calibri" w:hAnsi="Calibri"/>
          <w:color w:val="1A1A1A"/>
          <w:sz w:val="20"/>
          <w:szCs w:val="20"/>
        </w:rPr>
        <w:t xml:space="preserve">1.3.	</w:t>
      </w:r>
      <w:r>
        <w:rPr>
          <w:rFonts w:ascii="Calibri" w:cs="Calibri" w:eastAsia="Calibri" w:hAnsi="Calibri"/>
          <w:color w:val="1A1A1A"/>
          <w:sz w:val="20"/>
          <w:szCs w:val="20"/>
        </w:rPr>
        <w:t xml:space="preserve">Dílo je spolufinancováno z prostředků Strategického plánu SZP 2023–2027 prostřednictvím Státního zemědělského intervenčního fondu (dále jen „</w:t>
      </w:r>
      <w:r>
        <w:rPr>
          <w:rFonts w:ascii="Calibri" w:cs="Calibri" w:eastAsia="Calibri" w:hAnsi="Calibri"/>
          <w:b/>
          <w:bCs/>
          <w:color w:val="1A1A1A"/>
          <w:sz w:val="20"/>
          <w:szCs w:val="20"/>
        </w:rPr>
        <w:t xml:space="preserve">SZIF</w:t>
      </w:r>
      <w:r>
        <w:rPr>
          <w:rFonts w:ascii="Calibri" w:cs="Calibri" w:eastAsia="Calibri" w:hAnsi="Calibri"/>
          <w:color w:val="1A1A1A"/>
          <w:sz w:val="20"/>
          <w:szCs w:val="20"/>
        </w:rPr>
        <w:t xml:space="preserve">").</w:t>
      </w:r>
    </w:p>
    <w:p>
      <w:pPr>
        <w:spacing w:after="160" w:before="320" w:line="280"/>
        <w:jc w:val="center"/>
      </w:pPr>
      <w:r>
        <w:rPr>
          <w:rFonts w:ascii="Calibri" w:cs="Calibri" w:eastAsia="Calibri" w:hAnsi="Calibri"/>
          <w:b/>
          <w:bCs/>
          <w:color w:val="1A1A1A"/>
          <w:sz w:val="22"/>
          <w:szCs w:val="22"/>
        </w:rPr>
        <w:t xml:space="preserve">2. PŘEDMĚT SMLOUVY</w:t>
      </w:r>
    </w:p>
    <w:p>
      <w:pPr>
        <w:tabs>
          <w:tab w:val="left" w:pos="850"/>
        </w:tabs>
        <w:spacing w:after="120" w:line="280"/>
        <w:ind w:left="850" w:hanging="850"/>
        <w:jc w:val="both"/>
      </w:pPr>
      <w:r>
        <w:rPr>
          <w:rFonts w:ascii="Calibri" w:cs="Calibri" w:eastAsia="Calibri" w:hAnsi="Calibri"/>
          <w:color w:val="1A1A1A"/>
          <w:sz w:val="20"/>
          <w:szCs w:val="20"/>
        </w:rPr>
        <w:t xml:space="preserve">2.1.	</w:t>
      </w:r>
      <w:r>
        <w:rPr>
          <w:rFonts w:ascii="Calibri" w:cs="Calibri" w:eastAsia="Calibri" w:hAnsi="Calibri"/>
          <w:color w:val="1A1A1A"/>
          <w:sz w:val="20"/>
          <w:szCs w:val="20"/>
        </w:rPr>
        <w:t xml:space="preserve">Zhotovitel se zavazuje provést pro Objednatele na svůj náklad a nebezpečí dílo „Kamýk – stavební úpravy a změna užívání objektu č.p. 7 (sýpka) na krátkodobé ubytování" na pozemcích p.č.st. 1/3 a 1/4, k.ú. Kamýk u Litoměřic [662976], v rozsahu projektové dokumentace zak. č. 26P-PLY001 (stupeň DPZ dle vyhlášky č. 131/2024 Sb.) (dále jen „</w:t>
      </w:r>
      <w:r>
        <w:rPr>
          <w:rFonts w:ascii="Calibri" w:cs="Calibri" w:eastAsia="Calibri" w:hAnsi="Calibri"/>
          <w:b/>
          <w:bCs/>
          <w:color w:val="1A1A1A"/>
          <w:sz w:val="20"/>
          <w:szCs w:val="20"/>
        </w:rPr>
        <w:t xml:space="preserve">Projektová dokumentace</w:t>
      </w:r>
      <w:r>
        <w:rPr>
          <w:rFonts w:ascii="Calibri" w:cs="Calibri" w:eastAsia="Calibri" w:hAnsi="Calibri"/>
          <w:color w:val="1A1A1A"/>
          <w:sz w:val="20"/>
          <w:szCs w:val="20"/>
        </w:rPr>
        <w:t xml:space="preserve">") a oceněného soupisu stavebních prací, dodávek a služeb s výkazem výměr, který tvoří přílohu č. 1 Smlouvy (dále jen „</w:t>
      </w:r>
      <w:r>
        <w:rPr>
          <w:rFonts w:ascii="Calibri" w:cs="Calibri" w:eastAsia="Calibri" w:hAnsi="Calibri"/>
          <w:b/>
          <w:bCs/>
          <w:color w:val="1A1A1A"/>
          <w:sz w:val="20"/>
          <w:szCs w:val="20"/>
        </w:rPr>
        <w:t xml:space="preserve">Položkový rozpočet</w:t>
      </w:r>
      <w:r>
        <w:rPr>
          <w:rFonts w:ascii="Calibri" w:cs="Calibri" w:eastAsia="Calibri" w:hAnsi="Calibri"/>
          <w:color w:val="1A1A1A"/>
          <w:sz w:val="20"/>
          <w:szCs w:val="20"/>
        </w:rPr>
        <w:t xml:space="preserve">") (vše dále jen „</w:t>
      </w:r>
      <w:r>
        <w:rPr>
          <w:rFonts w:ascii="Calibri" w:cs="Calibri" w:eastAsia="Calibri" w:hAnsi="Calibri"/>
          <w:b/>
          <w:bCs/>
          <w:color w:val="1A1A1A"/>
          <w:sz w:val="20"/>
          <w:szCs w:val="20"/>
        </w:rPr>
        <w:t xml:space="preserve">Dílo</w:t>
      </w:r>
      <w:r>
        <w:rPr>
          <w:rFonts w:ascii="Calibri" w:cs="Calibri" w:eastAsia="Calibri" w:hAnsi="Calibri"/>
          <w:color w:val="1A1A1A"/>
          <w:sz w:val="20"/>
          <w:szCs w:val="20"/>
        </w:rPr>
        <w:t xml:space="preserve">"). Objednatel se zavazuje dokončené Dílo převzít a zaplatit Zhotoviteli cenu způsobem dle Smlouvy.</w:t>
      </w:r>
    </w:p>
    <w:p>
      <w:pPr>
        <w:tabs>
          <w:tab w:val="left" w:pos="850"/>
        </w:tabs>
        <w:spacing w:after="120" w:line="280"/>
        <w:ind w:left="850" w:hanging="850"/>
        <w:jc w:val="both"/>
      </w:pPr>
      <w:r>
        <w:rPr>
          <w:rFonts w:ascii="Calibri" w:cs="Calibri" w:eastAsia="Calibri" w:hAnsi="Calibri"/>
          <w:color w:val="1A1A1A"/>
          <w:sz w:val="20"/>
          <w:szCs w:val="20"/>
        </w:rPr>
        <w:t xml:space="preserve">2.2.	</w:t>
      </w:r>
      <w:r>
        <w:rPr>
          <w:rFonts w:ascii="Calibri" w:cs="Calibri" w:eastAsia="Calibri" w:hAnsi="Calibri"/>
          <w:color w:val="1A1A1A"/>
          <w:sz w:val="20"/>
          <w:szCs w:val="20"/>
        </w:rPr>
        <w:t xml:space="preserve">Součástí Díla je dále zařízení staveniště, doprava, likvidace odpadů, předepsané zkoušky a revize, zpracování dokumentace skutečného provedení stavby a geodetické zaměření skutečného provedení stavby.</w:t>
      </w:r>
    </w:p>
    <w:p>
      <w:pPr>
        <w:tabs>
          <w:tab w:val="left" w:pos="850"/>
        </w:tabs>
        <w:spacing w:after="120" w:line="280"/>
        <w:ind w:left="850" w:hanging="850"/>
        <w:jc w:val="both"/>
      </w:pPr>
      <w:r>
        <w:rPr>
          <w:rFonts w:ascii="Calibri" w:cs="Calibri" w:eastAsia="Calibri" w:hAnsi="Calibri"/>
          <w:color w:val="1A1A1A"/>
          <w:sz w:val="20"/>
          <w:szCs w:val="20"/>
        </w:rPr>
        <w:t xml:space="preserve">2.3.	</w:t>
      </w:r>
      <w:r>
        <w:rPr>
          <w:rFonts w:ascii="Calibri" w:cs="Calibri" w:eastAsia="Calibri" w:hAnsi="Calibri"/>
          <w:color w:val="1A1A1A"/>
          <w:sz w:val="20"/>
          <w:szCs w:val="20"/>
        </w:rPr>
        <w:t xml:space="preserve">Objednatel zajistí na svůj náklad zpracování dokumentace pro provádění stavby (dále jen „</w:t>
      </w:r>
      <w:r>
        <w:rPr>
          <w:rFonts w:ascii="Calibri" w:cs="Calibri" w:eastAsia="Calibri" w:hAnsi="Calibri"/>
          <w:b/>
          <w:bCs/>
          <w:color w:val="1A1A1A"/>
          <w:sz w:val="20"/>
          <w:szCs w:val="20"/>
        </w:rPr>
        <w:t xml:space="preserve">DPS</w:t>
      </w:r>
      <w:r>
        <w:rPr>
          <w:rFonts w:ascii="Calibri" w:cs="Calibri" w:eastAsia="Calibri" w:hAnsi="Calibri"/>
          <w:color w:val="1A1A1A"/>
          <w:sz w:val="20"/>
          <w:szCs w:val="20"/>
        </w:rPr>
        <w:t xml:space="preserve">") a předá ji Zhotoviteli nejpozději před zahájením prací na příslušné části Díla. Odpovědnost za správnost a úplnost předané dokumentace nese Objednatel; tato odpovědnost se na Zhotovitele žádnou formou nepřenáší.</w:t>
      </w:r>
    </w:p>
    <w:p>
      <w:pPr>
        <w:tabs>
          <w:tab w:val="left" w:pos="850"/>
        </w:tabs>
        <w:spacing w:after="120" w:line="280"/>
        <w:ind w:left="850" w:hanging="850"/>
        <w:jc w:val="both"/>
      </w:pPr>
      <w:r>
        <w:rPr>
          <w:rFonts w:ascii="Calibri" w:cs="Calibri" w:eastAsia="Calibri" w:hAnsi="Calibri"/>
          <w:color w:val="1A1A1A"/>
          <w:sz w:val="20"/>
          <w:szCs w:val="20"/>
        </w:rPr>
        <w:t xml:space="preserve">2.4.	</w:t>
      </w:r>
      <w:r>
        <w:rPr>
          <w:rFonts w:ascii="Calibri" w:cs="Calibri" w:eastAsia="Calibri" w:hAnsi="Calibri"/>
          <w:color w:val="1A1A1A"/>
          <w:sz w:val="20"/>
          <w:szCs w:val="20"/>
        </w:rPr>
        <w:t xml:space="preserve">Zhotovitel jako odborně způsobilá osoba zkontroluje technickou část předané dokumentace nejpozději před zahájením prací na příslušné části Díla a bez zbytečného odkladu upozorní Objednatele na zjištěné zjevné vady a nedostatky; soupis zjištěných vad s návrhem řešení a dopadem na cenu Díla předá Objednateli. Kontrolou dle tohoto odstavce není dotčena odpovědnost Objednatele dle odst. 2.3.</w:t>
      </w:r>
    </w:p>
    <w:p>
      <w:pPr>
        <w:spacing w:after="160" w:before="320" w:line="280"/>
        <w:jc w:val="center"/>
      </w:pPr>
      <w:r>
        <w:rPr>
          <w:rFonts w:ascii="Calibri" w:cs="Calibri" w:eastAsia="Calibri" w:hAnsi="Calibri"/>
          <w:b/>
          <w:bCs/>
          <w:color w:val="1A1A1A"/>
          <w:sz w:val="22"/>
          <w:szCs w:val="22"/>
        </w:rPr>
        <w:t xml:space="preserve">3. DOBA A MÍSTO PLNĚNÍ</w:t>
      </w:r>
    </w:p>
    <w:p>
      <w:pPr>
        <w:tabs>
          <w:tab w:val="left" w:pos="850"/>
        </w:tabs>
        <w:spacing w:after="120" w:line="280"/>
        <w:ind w:left="850" w:hanging="850"/>
        <w:jc w:val="both"/>
      </w:pPr>
      <w:r>
        <w:rPr>
          <w:rFonts w:ascii="Calibri" w:cs="Calibri" w:eastAsia="Calibri" w:hAnsi="Calibri"/>
          <w:color w:val="1A1A1A"/>
          <w:sz w:val="20"/>
          <w:szCs w:val="20"/>
        </w:rPr>
        <w:t xml:space="preserve">3.1.	</w:t>
      </w:r>
      <w:r>
        <w:rPr>
          <w:rFonts w:ascii="Calibri" w:cs="Calibri" w:eastAsia="Calibri" w:hAnsi="Calibri"/>
          <w:color w:val="1A1A1A"/>
          <w:sz w:val="20"/>
          <w:szCs w:val="20"/>
        </w:rPr>
        <w:t xml:space="preserve">Místem plnění jsou pozemky p.č.st. 1/3 a 1/4, k.ú. Kamýk u Litoměřic [662976].</w:t>
      </w:r>
    </w:p>
    <w:p>
      <w:pPr>
        <w:tabs>
          <w:tab w:val="left" w:pos="850"/>
        </w:tabs>
        <w:spacing w:after="120" w:line="280"/>
        <w:ind w:left="850" w:hanging="850"/>
        <w:jc w:val="both"/>
      </w:pPr>
      <w:r>
        <w:rPr>
          <w:rFonts w:ascii="Calibri" w:cs="Calibri" w:eastAsia="Calibri" w:hAnsi="Calibri"/>
          <w:color w:val="1A1A1A"/>
          <w:sz w:val="20"/>
          <w:szCs w:val="20"/>
        </w:rPr>
        <w:t xml:space="preserve">3.2.	</w:t>
      </w:r>
      <w:r>
        <w:rPr>
          <w:rFonts w:ascii="Calibri" w:cs="Calibri" w:eastAsia="Calibri" w:hAnsi="Calibri"/>
          <w:color w:val="1A1A1A"/>
          <w:sz w:val="20"/>
          <w:szCs w:val="20"/>
        </w:rPr>
        <w:t xml:space="preserve">Objednatel předá Zhotoviteli dokumentaci pro provádění stavby včetně výkazu výměr nejpozději do 30 dnů od účinnosti Smlouvy; o předání se pořídí písemný zápis. Objednatel je oprávněn předat dokumentaci pro provádění stavby i dříve, a to i současně s uzavřením Smlouvy; Zhotovitel není oprávněn dřívější předání odmítnout. Zhotovitel je oprávněn dokumentaci pro provádění stavby posoudit a předložit Objednateli písemné vyjádření spolu s návrhem dodatku Položkového rozpočtu do 10 dnů od jejího předání; neuplatní-li Zhotovitel v této lhůtě vyjádření, platí, že k dokumentaci pro provádění stavby nemá výhrad a že se rozsah Díla ani Cena díla nemění. Smluvní strany uzavřou dodatek dle odst. 5.2 nejpozději do 15 dnů od předání dokumentace pro provádění stavby Zhotoviteli. Objednatel předá Zhotoviteli staveniště protokolárně do 5 dnů od uzavření tohoto dodatku; nevyvolala-li dokumentace pro provádění stavby žádnou změnu, do 5 dnů od uplynutí lhůty pro vyjádření Zhotovitele. Zhotovitel zahájí stavební práce do 5 dnů od předání staveniště.</w:t>
      </w:r>
    </w:p>
    <w:p>
      <w:pPr>
        <w:tabs>
          <w:tab w:val="left" w:pos="850"/>
        </w:tabs>
        <w:spacing w:after="120" w:line="280"/>
        <w:ind w:left="850" w:hanging="850"/>
        <w:jc w:val="both"/>
      </w:pPr>
      <w:r>
        <w:rPr>
          <w:rFonts w:ascii="Calibri" w:cs="Calibri" w:eastAsia="Calibri" w:hAnsi="Calibri"/>
          <w:color w:val="1A1A1A"/>
          <w:sz w:val="20"/>
          <w:szCs w:val="20"/>
        </w:rPr>
        <w:t xml:space="preserve">3.3.	</w:t>
      </w:r>
      <w:r>
        <w:rPr>
          <w:rFonts w:ascii="Calibri" w:cs="Calibri" w:eastAsia="Calibri" w:hAnsi="Calibri"/>
          <w:color w:val="1A1A1A"/>
          <w:sz w:val="20"/>
          <w:szCs w:val="20"/>
        </w:rPr>
        <w:t xml:space="preserve">Zhotovitel dokončí stavební práce a připraví Dílo k předání do </w:t>
      </w:r>
      <w:r>
        <w:rPr>
          <w:rFonts w:ascii="Calibri" w:cs="Calibri" w:eastAsia="Calibri" w:hAnsi="Calibri"/>
          <w:b/>
          <w:bCs/>
          <w:color w:val="1A1A1A"/>
          <w:sz w:val="20"/>
          <w:szCs w:val="20"/>
        </w:rPr>
        <w:t xml:space="preserve">20 měsíců</w:t>
      </w:r>
      <w:r>
        <w:rPr>
          <w:rFonts w:ascii="Calibri" w:cs="Calibri" w:eastAsia="Calibri" w:hAnsi="Calibri"/>
          <w:color w:val="1A1A1A"/>
          <w:sz w:val="20"/>
          <w:szCs w:val="20"/>
        </w:rPr>
        <w:t xml:space="preserve"> od předání staveniště. Dílo je dokončeno, je-li předvedena jeho způsobilost sloužit svému účelu; předání a převzetí Díla proběhne dle čl. 11. Záruční doba počíná běžet dnem podpisu protokolu o předání a převzetí Díla.</w:t>
      </w:r>
    </w:p>
    <w:p>
      <w:pPr>
        <w:tabs>
          <w:tab w:val="left" w:pos="850"/>
        </w:tabs>
        <w:spacing w:after="120" w:line="280"/>
        <w:ind w:left="850" w:hanging="850"/>
        <w:jc w:val="both"/>
      </w:pPr>
      <w:r>
        <w:rPr>
          <w:rFonts w:ascii="Calibri" w:cs="Calibri" w:eastAsia="Calibri" w:hAnsi="Calibri"/>
          <w:color w:val="1A1A1A"/>
          <w:sz w:val="20"/>
          <w:szCs w:val="20"/>
        </w:rPr>
        <w:t xml:space="preserve">3.4.	</w:t>
      </w:r>
      <w:r>
        <w:rPr>
          <w:rFonts w:ascii="Calibri" w:cs="Calibri" w:eastAsia="Calibri" w:hAnsi="Calibri"/>
          <w:color w:val="1A1A1A"/>
          <w:sz w:val="20"/>
          <w:szCs w:val="20"/>
        </w:rPr>
        <w:t xml:space="preserve">Zhotovitel odstraní zařízení staveniště a vyklidí staveniště do 15 dnů od předání a převzetí Díla.</w:t>
      </w:r>
    </w:p>
    <w:p>
      <w:pPr>
        <w:spacing w:after="160" w:before="320" w:line="280"/>
        <w:jc w:val="center"/>
      </w:pPr>
      <w:r>
        <w:rPr>
          <w:rFonts w:ascii="Calibri" w:cs="Calibri" w:eastAsia="Calibri" w:hAnsi="Calibri"/>
          <w:b/>
          <w:bCs/>
          <w:color w:val="1A1A1A"/>
          <w:sz w:val="22"/>
          <w:szCs w:val="22"/>
        </w:rPr>
        <w:t xml:space="preserve">4. CENA DÍLA</w:t>
      </w:r>
    </w:p>
    <w:p>
      <w:pPr>
        <w:tabs>
          <w:tab w:val="left" w:pos="850"/>
        </w:tabs>
        <w:spacing w:after="120" w:line="280"/>
        <w:ind w:left="850" w:hanging="850"/>
        <w:jc w:val="both"/>
      </w:pPr>
      <w:r>
        <w:rPr>
          <w:rFonts w:ascii="Calibri" w:cs="Calibri" w:eastAsia="Calibri" w:hAnsi="Calibri"/>
          <w:color w:val="1A1A1A"/>
          <w:sz w:val="20"/>
          <w:szCs w:val="20"/>
        </w:rPr>
        <w:t xml:space="preserve">4.1.	</w:t>
      </w:r>
      <w:r>
        <w:rPr>
          <w:rFonts w:ascii="Calibri" w:cs="Calibri" w:eastAsia="Calibri" w:hAnsi="Calibri"/>
          <w:color w:val="1A1A1A"/>
          <w:sz w:val="20"/>
          <w:szCs w:val="20"/>
        </w:rPr>
        <w:t xml:space="preserve">Cena Díla je sjednána na základě Položkového rozpočtu a činí </w:t>
      </w:r>
      <w:r>
        <w:rPr>
          <w:rFonts w:ascii="Calibri" w:cs="Calibri" w:eastAsia="Calibri" w:hAnsi="Calibri"/>
          <w:color w:val="1A1A1A"/>
          <w:sz w:val="20"/>
          <w:szCs w:val="20"/>
          <w:highlight w:val="yellow"/>
          <w:highlightCs w:val="yellow"/>
        </w:rPr>
        <w:t xml:space="preserve">                          </w:t>
      </w:r>
      <w:r>
        <w:rPr>
          <w:rFonts w:ascii="Calibri" w:cs="Calibri" w:eastAsia="Calibri" w:hAnsi="Calibri"/>
          <w:color w:val="1A1A1A"/>
          <w:sz w:val="20"/>
          <w:szCs w:val="20"/>
        </w:rPr>
        <w:t xml:space="preserve"> Kč bez DPH (dále jen „</w:t>
      </w:r>
      <w:r>
        <w:rPr>
          <w:rFonts w:ascii="Calibri" w:cs="Calibri" w:eastAsia="Calibri" w:hAnsi="Calibri"/>
          <w:b/>
          <w:bCs/>
          <w:color w:val="1A1A1A"/>
          <w:sz w:val="20"/>
          <w:szCs w:val="20"/>
        </w:rPr>
        <w:t xml:space="preserve">Cena díla</w:t>
      </w:r>
      <w:r>
        <w:rPr>
          <w:rFonts w:ascii="Calibri" w:cs="Calibri" w:eastAsia="Calibri" w:hAnsi="Calibri"/>
          <w:color w:val="1A1A1A"/>
          <w:sz w:val="20"/>
          <w:szCs w:val="20"/>
        </w:rPr>
        <w:t xml:space="preserve">").</w:t>
      </w:r>
    </w:p>
    <w:p>
      <w:pPr>
        <w:tabs>
          <w:tab w:val="left" w:pos="850"/>
        </w:tabs>
        <w:spacing w:after="120" w:line="280"/>
        <w:ind w:left="850" w:hanging="850"/>
        <w:jc w:val="both"/>
      </w:pPr>
      <w:r>
        <w:rPr>
          <w:rFonts w:ascii="Calibri" w:cs="Calibri" w:eastAsia="Calibri" w:hAnsi="Calibri"/>
          <w:color w:val="1A1A1A"/>
          <w:sz w:val="20"/>
          <w:szCs w:val="20"/>
        </w:rPr>
        <w:t xml:space="preserve">4.2.	</w:t>
      </w:r>
      <w:r>
        <w:rPr>
          <w:rFonts w:ascii="Calibri" w:cs="Calibri" w:eastAsia="Calibri" w:hAnsi="Calibri"/>
          <w:color w:val="1A1A1A"/>
          <w:sz w:val="20"/>
          <w:szCs w:val="20"/>
        </w:rPr>
        <w:t xml:space="preserve">Jednotkové ceny uvedené v Položkovém rozpočtu jsou závazné po celou dobu plnění a zahrnují veškeré náklady související se zhotovením Díla, vedlejší náklady související s umístěním stavby a zařízením staveniště i ostatní náklady související s plněním zadávacích podmínek Výběrového řízení.</w:t>
      </w:r>
    </w:p>
    <w:p>
      <w:pPr>
        <w:tabs>
          <w:tab w:val="left" w:pos="850"/>
        </w:tabs>
        <w:spacing w:after="120" w:line="280"/>
        <w:ind w:left="850" w:hanging="850"/>
        <w:jc w:val="both"/>
      </w:pPr>
      <w:r>
        <w:rPr>
          <w:rFonts w:ascii="Calibri" w:cs="Calibri" w:eastAsia="Calibri" w:hAnsi="Calibri"/>
          <w:color w:val="1A1A1A"/>
          <w:sz w:val="20"/>
          <w:szCs w:val="20"/>
        </w:rPr>
        <w:t xml:space="preserve">4.3.	</w:t>
      </w:r>
      <w:r>
        <w:rPr>
          <w:rFonts w:ascii="Calibri" w:cs="Calibri" w:eastAsia="Calibri" w:hAnsi="Calibri"/>
          <w:color w:val="1A1A1A"/>
          <w:sz w:val="20"/>
          <w:szCs w:val="20"/>
        </w:rPr>
        <w:t xml:space="preserve">K Ceně díla bude připočtena DPH dle právních předpisů platných ke dni uskutečnění zdanitelného plnění. Jsou-li obě Smluvní strany plátci DPH a jde o stavební práce dle § 92e zákona č. 235/2004 Sb., o dani z přidané hodnoty, uplatní se režim přenesení daňové povinnosti a daň přizná Objednatel.</w:t>
      </w:r>
    </w:p>
    <w:p>
      <w:pPr>
        <w:spacing w:after="160" w:before="320" w:line="280"/>
        <w:jc w:val="center"/>
      </w:pPr>
      <w:r>
        <w:rPr>
          <w:rFonts w:ascii="Calibri" w:cs="Calibri" w:eastAsia="Calibri" w:hAnsi="Calibri"/>
          <w:b/>
          <w:bCs/>
          <w:color w:val="1A1A1A"/>
          <w:sz w:val="22"/>
          <w:szCs w:val="22"/>
        </w:rPr>
        <w:t xml:space="preserve">5. ZMĚNY CENY A DÍLA</w:t>
      </w:r>
    </w:p>
    <w:p>
      <w:pPr>
        <w:tabs>
          <w:tab w:val="left" w:pos="850"/>
        </w:tabs>
        <w:spacing w:after="120" w:line="280"/>
        <w:ind w:left="850" w:hanging="850"/>
        <w:jc w:val="both"/>
      </w:pPr>
      <w:r>
        <w:rPr>
          <w:rFonts w:ascii="Calibri" w:cs="Calibri" w:eastAsia="Calibri" w:hAnsi="Calibri"/>
          <w:color w:val="1A1A1A"/>
          <w:sz w:val="20"/>
          <w:szCs w:val="20"/>
        </w:rPr>
        <w:t xml:space="preserve">5.1.	</w:t>
      </w:r>
      <w:r>
        <w:rPr>
          <w:rFonts w:ascii="Calibri" w:cs="Calibri" w:eastAsia="Calibri" w:hAnsi="Calibri"/>
          <w:color w:val="1A1A1A"/>
          <w:sz w:val="20"/>
          <w:szCs w:val="20"/>
        </w:rPr>
        <w:t xml:space="preserve">Cenu díla lze změnit pouze písemným dodatkem ke Smlouvě, a to výhradně jestliže:</w:t>
      </w:r>
    </w:p>
    <w:p>
      <w:pPr>
        <w:tabs>
          <w:tab w:val="left" w:pos="1420"/>
        </w:tabs>
        <w:spacing w:after="80" w:line="280"/>
        <w:ind w:left="1420" w:hanging="420"/>
        <w:jc w:val="both"/>
      </w:pPr>
      <w:r>
        <w:rPr>
          <w:rFonts w:ascii="Calibri" w:cs="Calibri" w:eastAsia="Calibri" w:hAnsi="Calibri"/>
          <w:color w:val="1A1A1A"/>
          <w:sz w:val="20"/>
          <w:szCs w:val="20"/>
        </w:rPr>
        <w:t xml:space="preserve">a)	</w:t>
      </w:r>
      <w:r>
        <w:rPr>
          <w:rFonts w:ascii="Calibri" w:cs="Calibri" w:eastAsia="Calibri" w:hAnsi="Calibri"/>
          <w:color w:val="1A1A1A"/>
          <w:sz w:val="20"/>
          <w:szCs w:val="20"/>
        </w:rPr>
        <w:t xml:space="preserve">Objednatel požaduje práce, které nejsou v předmětu Díla,</w:t>
      </w:r>
    </w:p>
    <w:p>
      <w:pPr>
        <w:tabs>
          <w:tab w:val="left" w:pos="1420"/>
        </w:tabs>
        <w:spacing w:after="80" w:line="280"/>
        <w:ind w:left="1420" w:hanging="420"/>
        <w:jc w:val="both"/>
      </w:pPr>
      <w:r>
        <w:rPr>
          <w:rFonts w:ascii="Calibri" w:cs="Calibri" w:eastAsia="Calibri" w:hAnsi="Calibri"/>
          <w:color w:val="1A1A1A"/>
          <w:sz w:val="20"/>
          <w:szCs w:val="20"/>
        </w:rPr>
        <w:t xml:space="preserve">b)	</w:t>
      </w:r>
      <w:r>
        <w:rPr>
          <w:rFonts w:ascii="Calibri" w:cs="Calibri" w:eastAsia="Calibri" w:hAnsi="Calibri"/>
          <w:color w:val="1A1A1A"/>
          <w:sz w:val="20"/>
          <w:szCs w:val="20"/>
        </w:rPr>
        <w:t xml:space="preserve">Objednatel požaduje vypustit některé práce z předmětu Díla,</w:t>
      </w:r>
    </w:p>
    <w:p>
      <w:pPr>
        <w:tabs>
          <w:tab w:val="left" w:pos="1420"/>
        </w:tabs>
        <w:spacing w:after="80" w:line="280"/>
        <w:ind w:left="1420" w:hanging="420"/>
        <w:jc w:val="both"/>
      </w:pPr>
      <w:r>
        <w:rPr>
          <w:rFonts w:ascii="Calibri" w:cs="Calibri" w:eastAsia="Calibri" w:hAnsi="Calibri"/>
          <w:color w:val="1A1A1A"/>
          <w:sz w:val="20"/>
          <w:szCs w:val="20"/>
        </w:rPr>
        <w:t xml:space="preserve">c)	</w:t>
      </w:r>
      <w:r>
        <w:rPr>
          <w:rFonts w:ascii="Calibri" w:cs="Calibri" w:eastAsia="Calibri" w:hAnsi="Calibri"/>
          <w:color w:val="1A1A1A"/>
          <w:sz w:val="20"/>
          <w:szCs w:val="20"/>
        </w:rPr>
        <w:t xml:space="preserve">při realizaci se zjistí skutečnosti, které nebyly v době podpisu Smlouvy známy, Zhotovitel je nezavinil ani nemohl předvídat a mají vliv na Cenu díla,</w:t>
      </w:r>
    </w:p>
    <w:p>
      <w:pPr>
        <w:tabs>
          <w:tab w:val="left" w:pos="1420"/>
        </w:tabs>
        <w:spacing w:after="80" w:line="280"/>
        <w:ind w:left="1420" w:hanging="420"/>
        <w:jc w:val="both"/>
      </w:pPr>
      <w:r>
        <w:rPr>
          <w:rFonts w:ascii="Calibri" w:cs="Calibri" w:eastAsia="Calibri" w:hAnsi="Calibri"/>
          <w:color w:val="1A1A1A"/>
          <w:sz w:val="20"/>
          <w:szCs w:val="20"/>
        </w:rPr>
        <w:t xml:space="preserve">d)	</w:t>
      </w:r>
      <w:r>
        <w:rPr>
          <w:rFonts w:ascii="Calibri" w:cs="Calibri" w:eastAsia="Calibri" w:hAnsi="Calibri"/>
          <w:color w:val="1A1A1A"/>
          <w:sz w:val="20"/>
          <w:szCs w:val="20"/>
        </w:rPr>
        <w:t xml:space="preserve">při realizaci se zjistí skutečnosti odlišné od dokumentace předané Objednatelem.</w:t>
      </w:r>
    </w:p>
    <w:p>
      <w:pPr>
        <w:tabs>
          <w:tab w:val="left" w:pos="850"/>
        </w:tabs>
        <w:spacing w:after="120" w:line="280"/>
        <w:ind w:left="850" w:hanging="850"/>
        <w:jc w:val="both"/>
      </w:pPr>
      <w:r>
        <w:rPr>
          <w:rFonts w:ascii="Calibri" w:cs="Calibri" w:eastAsia="Calibri" w:hAnsi="Calibri"/>
          <w:color w:val="1A1A1A"/>
          <w:sz w:val="20"/>
          <w:szCs w:val="20"/>
        </w:rPr>
        <w:t xml:space="preserve">5.2.	</w:t>
      </w:r>
      <w:r>
        <w:rPr>
          <w:rFonts w:ascii="Calibri" w:cs="Calibri" w:eastAsia="Calibri" w:hAnsi="Calibri"/>
          <w:color w:val="1A1A1A"/>
          <w:sz w:val="20"/>
          <w:szCs w:val="20"/>
        </w:rPr>
        <w:t xml:space="preserve">Cena díla je pevná. Zhotovitel bere na vědomí, že Dílo je soutěženo podle dokumentace pro povolení záměru a že Objednatel zajistí a předá Zhotoviteli dokumentaci pro provádění stavby. Do 15 dnů ode dne jejího předání uzavřou Smluvní strany dodatek ke Smlouvě, kterým se upraví rozsah Díla a Cena díla o rozdíly vyplývající výlučně ze zpřesnění řešení mezi uvedenými stupni dokumentace; jde o vyhrazenou změnu závazku dle bodu 14 zadávacích podmínek Výběrového řízení a odstavce 4.4.10 Příručky. Přílohou dodatku je dokumentace pro provádění stavby a dodatek Položkového rozpočtu, doložené změnovým listem odsouhlaseným technickým dozorem stavebníka.</w:t>
      </w:r>
    </w:p>
    <w:p>
      <w:pPr>
        <w:tabs>
          <w:tab w:val="left" w:pos="850"/>
        </w:tabs>
        <w:spacing w:after="120" w:line="280"/>
        <w:ind w:left="850" w:hanging="850"/>
        <w:jc w:val="both"/>
      </w:pPr>
      <w:r>
        <w:rPr>
          <w:rFonts w:ascii="Calibri" w:cs="Calibri" w:eastAsia="Calibri" w:hAnsi="Calibri"/>
          <w:color w:val="1A1A1A"/>
          <w:sz w:val="20"/>
          <w:szCs w:val="20"/>
        </w:rPr>
        <w:t xml:space="preserve">5.3.	</w:t>
      </w:r>
      <w:r>
        <w:rPr>
          <w:rFonts w:ascii="Calibri" w:cs="Calibri" w:eastAsia="Calibri" w:hAnsi="Calibri"/>
          <w:color w:val="1A1A1A"/>
          <w:sz w:val="20"/>
          <w:szCs w:val="20"/>
        </w:rPr>
        <w:t xml:space="preserve">Práce a dodávky obsažené v Položkovém rozpočtu se pro účely dodatku dle odstavce 5.2 i pro účely dalších změn oceňují závaznými jednotkovými cenami z Položkového rozpočtu. Práce a dodávky v Položkovém rozpočtu neobsažené se oceňují podle jednotkových cen Cenové soustavy ÚRS v cenové úrovni platné ke dni sjednání změny, snížených o 10 %, nedohodnou-li se Smluvní strany na ceně nižší. Cenový nárůst z vyhrazené změny dle odstavce 5.2 nepřesáhne 10 % Ceny díla bez DPH. Změnami nesmí dojít ke změně celkové povahy zakázky; podkladem každé změny je změnový list odsouhlasený technickým dozorem stavebníka. Po uzavření dodatku dle odstavce 5.2 se další změny řídí odstavcem 5.1 a Příručkou.</w:t>
      </w:r>
    </w:p>
    <w:p>
      <w:pPr>
        <w:spacing w:after="160" w:before="320" w:line="280"/>
        <w:jc w:val="center"/>
      </w:pPr>
      <w:r>
        <w:rPr>
          <w:rFonts w:ascii="Calibri" w:cs="Calibri" w:eastAsia="Calibri" w:hAnsi="Calibri"/>
          <w:b/>
          <w:bCs/>
          <w:color w:val="1A1A1A"/>
          <w:sz w:val="22"/>
          <w:szCs w:val="22"/>
        </w:rPr>
        <w:t xml:space="preserve">6. PLATEBNÍ PODMÍNKY</w:t>
      </w:r>
    </w:p>
    <w:p>
      <w:pPr>
        <w:tabs>
          <w:tab w:val="left" w:pos="850"/>
        </w:tabs>
        <w:spacing w:after="120" w:line="280"/>
        <w:ind w:left="850" w:hanging="850"/>
        <w:jc w:val="both"/>
      </w:pPr>
      <w:r>
        <w:rPr>
          <w:rFonts w:ascii="Calibri" w:cs="Calibri" w:eastAsia="Calibri" w:hAnsi="Calibri"/>
          <w:color w:val="1A1A1A"/>
          <w:sz w:val="20"/>
          <w:szCs w:val="20"/>
        </w:rPr>
        <w:t xml:space="preserve">6.1.	</w:t>
      </w:r>
      <w:r>
        <w:rPr>
          <w:rFonts w:ascii="Calibri" w:cs="Calibri" w:eastAsia="Calibri" w:hAnsi="Calibri"/>
          <w:color w:val="1A1A1A"/>
          <w:sz w:val="20"/>
          <w:szCs w:val="20"/>
        </w:rPr>
        <w:t xml:space="preserve">Cena díla je hrazena průběžně na základě daňových dokladů (faktur) vystavovaných Zhotovitelem jedenkrát měsíčně; datem uskutečnění zdanitelného plnění je poslední den příslušného kalendářního měsíce. Přílohou faktury je soupis provedených prací odsouhlasený Objednatelem (technickým dozorem stavebníka); bez tohoto soupisu je faktura neúplná a lhůta splatnosti neběží.</w:t>
      </w:r>
    </w:p>
    <w:p>
      <w:pPr>
        <w:tabs>
          <w:tab w:val="left" w:pos="850"/>
        </w:tabs>
        <w:spacing w:after="120" w:line="280"/>
        <w:ind w:left="850" w:hanging="850"/>
        <w:jc w:val="both"/>
      </w:pPr>
      <w:r>
        <w:rPr>
          <w:rFonts w:ascii="Calibri" w:cs="Calibri" w:eastAsia="Calibri" w:hAnsi="Calibri"/>
          <w:color w:val="1A1A1A"/>
          <w:sz w:val="20"/>
          <w:szCs w:val="20"/>
        </w:rPr>
        <w:t xml:space="preserve">6.2.	</w:t>
      </w:r>
      <w:r>
        <w:rPr>
          <w:rFonts w:ascii="Calibri" w:cs="Calibri" w:eastAsia="Calibri" w:hAnsi="Calibri"/>
          <w:color w:val="1A1A1A"/>
          <w:sz w:val="20"/>
          <w:szCs w:val="20"/>
        </w:rPr>
        <w:t xml:space="preserve">Splatnost faktur činí 30 dnů od jejich doručení Objednateli. Faktury musí obsahovat označení projektu, registrační číslo Žádosti o dotaci a členění umožňující přiřazení fakturovaných položek k položkám Položkového rozpočtu a kódům způsobilých výdajů.</w:t>
      </w:r>
    </w:p>
    <w:p>
      <w:pPr>
        <w:tabs>
          <w:tab w:val="left" w:pos="850"/>
        </w:tabs>
        <w:spacing w:after="120" w:line="280"/>
        <w:ind w:left="850" w:hanging="850"/>
        <w:jc w:val="both"/>
      </w:pPr>
      <w:r>
        <w:rPr>
          <w:rFonts w:ascii="Calibri" w:cs="Calibri" w:eastAsia="Calibri" w:hAnsi="Calibri"/>
          <w:color w:val="1A1A1A"/>
          <w:sz w:val="20"/>
          <w:szCs w:val="20"/>
        </w:rPr>
        <w:t xml:space="preserve">6.3.	</w:t>
      </w:r>
      <w:r>
        <w:rPr>
          <w:rFonts w:ascii="Calibri" w:cs="Calibri" w:eastAsia="Calibri" w:hAnsi="Calibri"/>
          <w:color w:val="1A1A1A"/>
          <w:sz w:val="20"/>
          <w:szCs w:val="20"/>
        </w:rPr>
        <w:t xml:space="preserve">Objednatel je oprávněn z každé faktury zadržet 10 % fakturované částky jako zajištění závazku za řádné dokončení Díla (dále jen „</w:t>
      </w:r>
      <w:r>
        <w:rPr>
          <w:rFonts w:ascii="Calibri" w:cs="Calibri" w:eastAsia="Calibri" w:hAnsi="Calibri"/>
          <w:b/>
          <w:bCs/>
          <w:color w:val="1A1A1A"/>
          <w:sz w:val="20"/>
          <w:szCs w:val="20"/>
        </w:rPr>
        <w:t xml:space="preserve">Zádržné</w:t>
      </w:r>
      <w:r>
        <w:rPr>
          <w:rFonts w:ascii="Calibri" w:cs="Calibri" w:eastAsia="Calibri" w:hAnsi="Calibri"/>
          <w:color w:val="1A1A1A"/>
          <w:sz w:val="20"/>
          <w:szCs w:val="20"/>
        </w:rPr>
        <w:t xml:space="preserve">"); Zádržné lze uplatnit až po úhradě sjednané ceny snížené o sjednané Zádržné. Zadrženou částku Objednatel uhradí do 15 dnů po předání a převzetí Díla; byly-li v protokolu o předání a převzetí uvedeny vady a nedodělky, do 15 dnů po jejich odstranění. Zhotovitel je oprávněn nahradit Zádržné bankovní zárukou ve stejné výši.</w:t>
      </w:r>
    </w:p>
    <w:p>
      <w:pPr>
        <w:spacing w:after="160" w:before="320" w:line="280"/>
        <w:jc w:val="center"/>
      </w:pPr>
      <w:r>
        <w:rPr>
          <w:rFonts w:ascii="Calibri" w:cs="Calibri" w:eastAsia="Calibri" w:hAnsi="Calibri"/>
          <w:b/>
          <w:bCs/>
          <w:color w:val="1A1A1A"/>
          <w:sz w:val="22"/>
          <w:szCs w:val="22"/>
        </w:rPr>
        <w:t xml:space="preserve">7. STAVENIŠTĚ</w:t>
      </w:r>
    </w:p>
    <w:p>
      <w:pPr>
        <w:tabs>
          <w:tab w:val="left" w:pos="850"/>
        </w:tabs>
        <w:spacing w:after="120" w:line="280"/>
        <w:ind w:left="850" w:hanging="850"/>
        <w:jc w:val="both"/>
      </w:pPr>
      <w:r>
        <w:rPr>
          <w:rFonts w:ascii="Calibri" w:cs="Calibri" w:eastAsia="Calibri" w:hAnsi="Calibri"/>
          <w:color w:val="1A1A1A"/>
          <w:sz w:val="20"/>
          <w:szCs w:val="20"/>
        </w:rPr>
        <w:t xml:space="preserve">7.1.	</w:t>
      </w:r>
      <w:r>
        <w:rPr>
          <w:rFonts w:ascii="Calibri" w:cs="Calibri" w:eastAsia="Calibri" w:hAnsi="Calibri"/>
          <w:color w:val="1A1A1A"/>
          <w:sz w:val="20"/>
          <w:szCs w:val="20"/>
        </w:rPr>
        <w:t xml:space="preserve">Zařízení staveniště zabezpečuje Zhotovitel v souladu se svými potřebami, předanou dokumentací a požadavky Objednatele; zajistí v přiměřeném rozsahu podmínky pro výkon technického dozoru stavebníka, autorského dozoru projektanta, případně činnosti koordinátora bezpečnosti a ochrany zdraví při práci na staveništi.</w:t>
      </w:r>
    </w:p>
    <w:p>
      <w:pPr>
        <w:tabs>
          <w:tab w:val="left" w:pos="850"/>
        </w:tabs>
        <w:spacing w:after="120" w:line="280"/>
        <w:ind w:left="850" w:hanging="850"/>
        <w:jc w:val="both"/>
      </w:pPr>
      <w:r>
        <w:rPr>
          <w:rFonts w:ascii="Calibri" w:cs="Calibri" w:eastAsia="Calibri" w:hAnsi="Calibri"/>
          <w:color w:val="1A1A1A"/>
          <w:sz w:val="20"/>
          <w:szCs w:val="20"/>
        </w:rPr>
        <w:t xml:space="preserve">7.2.	</w:t>
      </w:r>
      <w:r>
        <w:rPr>
          <w:rFonts w:ascii="Calibri" w:cs="Calibri" w:eastAsia="Calibri" w:hAnsi="Calibri"/>
          <w:color w:val="1A1A1A"/>
          <w:sz w:val="20"/>
          <w:szCs w:val="20"/>
        </w:rPr>
        <w:t xml:space="preserve">Zhotovitel není povinen zjišťovat trasy a druhy inženýrských sítí vedoucích staveništěm; předal-li mu Objednatel dokumentaci o inženýrských sítích vedoucích staveništěm, Zhotovitel zabezpečí jejich vytýčení a odpovídá za jejich neporušení.</w:t>
      </w:r>
    </w:p>
    <w:p>
      <w:pPr>
        <w:tabs>
          <w:tab w:val="left" w:pos="850"/>
        </w:tabs>
        <w:spacing w:after="120" w:line="280"/>
        <w:ind w:left="850" w:hanging="850"/>
        <w:jc w:val="both"/>
      </w:pPr>
      <w:r>
        <w:rPr>
          <w:rFonts w:ascii="Calibri" w:cs="Calibri" w:eastAsia="Calibri" w:hAnsi="Calibri"/>
          <w:color w:val="1A1A1A"/>
          <w:sz w:val="20"/>
          <w:szCs w:val="20"/>
        </w:rPr>
        <w:t xml:space="preserve">7.3.	</w:t>
      </w:r>
      <w:r>
        <w:rPr>
          <w:rFonts w:ascii="Calibri" w:cs="Calibri" w:eastAsia="Calibri" w:hAnsi="Calibri"/>
          <w:color w:val="1A1A1A"/>
          <w:sz w:val="20"/>
          <w:szCs w:val="20"/>
        </w:rPr>
        <w:t xml:space="preserve">Vyplývá-li to z právních předpisů, jmenuje koordinátora bezpečnosti a ochrany zdraví při práci na staveništi Objednatel; tato povinnost se na Zhotovitele žádnou formou nepřenáší.</w:t>
      </w:r>
    </w:p>
    <w:p>
      <w:pPr>
        <w:spacing w:after="160" w:before="320" w:line="280"/>
        <w:jc w:val="center"/>
      </w:pPr>
      <w:r>
        <w:rPr>
          <w:rFonts w:ascii="Calibri" w:cs="Calibri" w:eastAsia="Calibri" w:hAnsi="Calibri"/>
          <w:b/>
          <w:bCs/>
          <w:color w:val="1A1A1A"/>
          <w:sz w:val="22"/>
          <w:szCs w:val="22"/>
        </w:rPr>
        <w:t xml:space="preserve">8. PROVÁDĚNÍ DÍLA</w:t>
      </w:r>
    </w:p>
    <w:p>
      <w:pPr>
        <w:tabs>
          <w:tab w:val="left" w:pos="850"/>
        </w:tabs>
        <w:spacing w:after="120" w:line="280"/>
        <w:ind w:left="850" w:hanging="850"/>
        <w:jc w:val="both"/>
      </w:pPr>
      <w:r>
        <w:rPr>
          <w:rFonts w:ascii="Calibri" w:cs="Calibri" w:eastAsia="Calibri" w:hAnsi="Calibri"/>
          <w:color w:val="1A1A1A"/>
          <w:sz w:val="20"/>
          <w:szCs w:val="20"/>
        </w:rPr>
        <w:t xml:space="preserve">8.1.	</w:t>
      </w:r>
      <w:r>
        <w:rPr>
          <w:rFonts w:ascii="Calibri" w:cs="Calibri" w:eastAsia="Calibri" w:hAnsi="Calibri"/>
          <w:color w:val="1A1A1A"/>
          <w:sz w:val="20"/>
          <w:szCs w:val="20"/>
        </w:rPr>
        <w:t xml:space="preserve">Zhotovitel vede stavební deník v rozsahu dle § 166 zákona č. 283/2021 Sb., stavební zákon. Zhotovitel umožní výkon technického dozoru stavebníka, autorského dozoru projektanta i činnosti koordinátora BOZP.</w:t>
      </w:r>
    </w:p>
    <w:p>
      <w:pPr>
        <w:tabs>
          <w:tab w:val="left" w:pos="850"/>
        </w:tabs>
        <w:spacing w:after="120" w:line="280"/>
        <w:ind w:left="850" w:hanging="850"/>
        <w:jc w:val="both"/>
      </w:pPr>
      <w:r>
        <w:rPr>
          <w:rFonts w:ascii="Calibri" w:cs="Calibri" w:eastAsia="Calibri" w:hAnsi="Calibri"/>
          <w:color w:val="1A1A1A"/>
          <w:sz w:val="20"/>
          <w:szCs w:val="20"/>
        </w:rPr>
        <w:t xml:space="preserve">8.2.	</w:t>
      </w:r>
      <w:r>
        <w:rPr>
          <w:rFonts w:ascii="Calibri" w:cs="Calibri" w:eastAsia="Calibri" w:hAnsi="Calibri"/>
          <w:color w:val="1A1A1A"/>
          <w:sz w:val="20"/>
          <w:szCs w:val="20"/>
        </w:rPr>
        <w:t xml:space="preserve">Kontrolní dny se konají nejméně jednou za 14 dnů. Konstrukce, které budou dalším postupem zakryty, předloží Zhotovitel ke kontrole technickému dozoru stavebníka písemnou výzvou nejméně 3 pracovní dny před zakrytím; jinak je povinen je na žádost Objednatele odkrýt na vlastní náklad.</w:t>
      </w:r>
    </w:p>
    <w:p>
      <w:pPr>
        <w:tabs>
          <w:tab w:val="left" w:pos="850"/>
        </w:tabs>
        <w:spacing w:after="120" w:line="280"/>
        <w:ind w:left="850" w:hanging="850"/>
        <w:jc w:val="both"/>
      </w:pPr>
      <w:r>
        <w:rPr>
          <w:rFonts w:ascii="Calibri" w:cs="Calibri" w:eastAsia="Calibri" w:hAnsi="Calibri"/>
          <w:color w:val="1A1A1A"/>
          <w:sz w:val="20"/>
          <w:szCs w:val="20"/>
        </w:rPr>
        <w:t xml:space="preserve">8.3.	</w:t>
      </w:r>
      <w:r>
        <w:rPr>
          <w:rFonts w:ascii="Calibri" w:cs="Calibri" w:eastAsia="Calibri" w:hAnsi="Calibri"/>
          <w:color w:val="1A1A1A"/>
          <w:sz w:val="20"/>
          <w:szCs w:val="20"/>
        </w:rPr>
        <w:t xml:space="preserve">Veškeré odborné práce vykonávají pracovníci Zhotovitele nebo jeho podzhotovitelů s příslušnou kvalifikací; doklady o kvalifikaci Zhotovitel předloží Objednateli na vyžádání. Funkci stavbyvedoucího vykonává osoba uvedená v nabídce (autorizace ČKAIT); její změna je možná jen s předchozím písemným souhlasem Objednatele za předpokladu minimálně stejné kvalifikace.</w:t>
      </w:r>
    </w:p>
    <w:p>
      <w:pPr>
        <w:spacing w:after="160" w:before="320" w:line="280"/>
        <w:jc w:val="center"/>
      </w:pPr>
      <w:r>
        <w:rPr>
          <w:rFonts w:ascii="Calibri" w:cs="Calibri" w:eastAsia="Calibri" w:hAnsi="Calibri"/>
          <w:b/>
          <w:bCs/>
          <w:color w:val="1A1A1A"/>
          <w:sz w:val="22"/>
          <w:szCs w:val="22"/>
        </w:rPr>
        <w:t xml:space="preserve">9. PODZHOTOVITELÉ</w:t>
      </w:r>
    </w:p>
    <w:p>
      <w:pPr>
        <w:tabs>
          <w:tab w:val="left" w:pos="850"/>
        </w:tabs>
        <w:spacing w:after="120" w:line="280"/>
        <w:ind w:left="850" w:hanging="850"/>
        <w:jc w:val="both"/>
      </w:pPr>
      <w:r>
        <w:rPr>
          <w:rFonts w:ascii="Calibri" w:cs="Calibri" w:eastAsia="Calibri" w:hAnsi="Calibri"/>
          <w:color w:val="1A1A1A"/>
          <w:sz w:val="20"/>
          <w:szCs w:val="20"/>
        </w:rPr>
        <w:t xml:space="preserve">9.1.	</w:t>
      </w:r>
      <w:r>
        <w:rPr>
          <w:rFonts w:ascii="Calibri" w:cs="Calibri" w:eastAsia="Calibri" w:hAnsi="Calibri"/>
          <w:color w:val="1A1A1A"/>
          <w:sz w:val="20"/>
          <w:szCs w:val="20"/>
        </w:rPr>
        <w:t xml:space="preserve">Zhotovitel provádí Dílo prostřednictvím podzhotovitelů uvedených v nabídce. Změna podzhotovitele, pomocí kterého Zhotovitel prokazoval ve Výběrovém řízení kvalifikaci, je možná jen ve výjimečných případech s předchozím souhlasem Objednatele; nový podzhotovitel musí splňovat kvalifikaci minimálně v rozsahu, v jakém byla prokázána. Změna ostatních podzhotovitelů podléhá souhlasu Objednatele, který jej bez závažného důvodu neodepře.</w:t>
      </w:r>
    </w:p>
    <w:p>
      <w:pPr>
        <w:tabs>
          <w:tab w:val="left" w:pos="850"/>
        </w:tabs>
        <w:spacing w:after="120" w:line="280"/>
        <w:ind w:left="850" w:hanging="850"/>
        <w:jc w:val="both"/>
      </w:pPr>
      <w:r>
        <w:rPr>
          <w:rFonts w:ascii="Calibri" w:cs="Calibri" w:eastAsia="Calibri" w:hAnsi="Calibri"/>
          <w:color w:val="1A1A1A"/>
          <w:sz w:val="20"/>
          <w:szCs w:val="20"/>
        </w:rPr>
        <w:t xml:space="preserve">9.2.	</w:t>
      </w:r>
      <w:r>
        <w:rPr>
          <w:rFonts w:ascii="Calibri" w:cs="Calibri" w:eastAsia="Calibri" w:hAnsi="Calibri"/>
          <w:color w:val="1A1A1A"/>
          <w:sz w:val="20"/>
          <w:szCs w:val="20"/>
        </w:rPr>
        <w:t xml:space="preserve">Zhotovitel odpovídá za to, že on ani žádný z jeho podzhotovitelů není po celou dobu plnění Smlouvy osobou, na kterou se vztahují mezinárodní sankce dle zákona č. 69/2006 Sb. a přímo použitelných předpisů EU; čestné prohlášení tvoří přílohu č. 4 Smlouvy.</w:t>
      </w:r>
    </w:p>
    <w:p>
      <w:pPr>
        <w:spacing w:after="160" w:before="320" w:line="280"/>
        <w:jc w:val="center"/>
      </w:pPr>
      <w:r>
        <w:rPr>
          <w:rFonts w:ascii="Calibri" w:cs="Calibri" w:eastAsia="Calibri" w:hAnsi="Calibri"/>
          <w:b/>
          <w:bCs/>
          <w:color w:val="1A1A1A"/>
          <w:sz w:val="22"/>
          <w:szCs w:val="22"/>
        </w:rPr>
        <w:t xml:space="preserve">10. USTANOVENÍ K DOTACI (SP SZP / SZIF)</w:t>
      </w:r>
    </w:p>
    <w:p>
      <w:pPr>
        <w:tabs>
          <w:tab w:val="left" w:pos="850"/>
        </w:tabs>
        <w:spacing w:after="120" w:line="280"/>
        <w:ind w:left="850" w:hanging="850"/>
        <w:jc w:val="both"/>
      </w:pPr>
      <w:r>
        <w:rPr>
          <w:rFonts w:ascii="Calibri" w:cs="Calibri" w:eastAsia="Calibri" w:hAnsi="Calibri"/>
          <w:color w:val="1A1A1A"/>
          <w:sz w:val="20"/>
          <w:szCs w:val="20"/>
        </w:rPr>
        <w:t xml:space="preserve">10.1.	</w:t>
      </w:r>
      <w:r>
        <w:rPr>
          <w:rFonts w:ascii="Calibri" w:cs="Calibri" w:eastAsia="Calibri" w:hAnsi="Calibri"/>
          <w:color w:val="1A1A1A"/>
          <w:sz w:val="20"/>
          <w:szCs w:val="20"/>
        </w:rPr>
        <w:t xml:space="preserve">Zhotovitel je povinen umožnit osobám oprávněným ke kontrole (zejména SZIF, Ministerstvo zemědělství, orgány EU, NKÚ a auditní orgány) provést kontrolu dokladů souvisejících s plněním Smlouvy a poskytnout jim nezbytnou součinnost, a to i na místě plnění.</w:t>
      </w:r>
    </w:p>
    <w:p>
      <w:pPr>
        <w:tabs>
          <w:tab w:val="left" w:pos="850"/>
        </w:tabs>
        <w:spacing w:after="120" w:line="280"/>
        <w:ind w:left="850" w:hanging="850"/>
        <w:jc w:val="both"/>
      </w:pPr>
      <w:r>
        <w:rPr>
          <w:rFonts w:ascii="Calibri" w:cs="Calibri" w:eastAsia="Calibri" w:hAnsi="Calibri"/>
          <w:color w:val="1A1A1A"/>
          <w:sz w:val="20"/>
          <w:szCs w:val="20"/>
        </w:rPr>
        <w:t xml:space="preserve">10.2.	</w:t>
      </w:r>
      <w:r>
        <w:rPr>
          <w:rFonts w:ascii="Calibri" w:cs="Calibri" w:eastAsia="Calibri" w:hAnsi="Calibri"/>
          <w:color w:val="1A1A1A"/>
          <w:sz w:val="20"/>
          <w:szCs w:val="20"/>
        </w:rPr>
        <w:t xml:space="preserve">Zhotovitel uchová veškeré doklady související s plněním Smlouvy nejméně po dobu 10 let od proplacení dotace Objednateli, nejméně však do 31. 12. 2036.</w:t>
      </w:r>
    </w:p>
    <w:p>
      <w:pPr>
        <w:tabs>
          <w:tab w:val="left" w:pos="850"/>
        </w:tabs>
        <w:spacing w:after="120" w:line="280"/>
        <w:ind w:left="850" w:hanging="850"/>
        <w:jc w:val="both"/>
      </w:pPr>
      <w:r>
        <w:rPr>
          <w:rFonts w:ascii="Calibri" w:cs="Calibri" w:eastAsia="Calibri" w:hAnsi="Calibri"/>
          <w:color w:val="1A1A1A"/>
          <w:sz w:val="20"/>
          <w:szCs w:val="20"/>
        </w:rPr>
        <w:t xml:space="preserve">10.3.	</w:t>
      </w:r>
      <w:r>
        <w:rPr>
          <w:rFonts w:ascii="Calibri" w:cs="Calibri" w:eastAsia="Calibri" w:hAnsi="Calibri"/>
          <w:color w:val="1A1A1A"/>
          <w:sz w:val="20"/>
          <w:szCs w:val="20"/>
        </w:rPr>
        <w:t xml:space="preserve">Zhotovitel bere na vědomí, že Objednatel je povinen dodržovat podmínky Pravidel SP SZP a Příručky, a poskytne mu k tomu potřebnou součinnost, zejména při dokládání Žádosti o platbu.</w:t>
      </w:r>
    </w:p>
    <w:p>
      <w:pPr>
        <w:spacing w:after="160" w:before="320" w:line="280"/>
        <w:jc w:val="center"/>
      </w:pPr>
      <w:r>
        <w:rPr>
          <w:rFonts w:ascii="Calibri" w:cs="Calibri" w:eastAsia="Calibri" w:hAnsi="Calibri"/>
          <w:b/>
          <w:bCs/>
          <w:color w:val="1A1A1A"/>
          <w:sz w:val="22"/>
          <w:szCs w:val="22"/>
        </w:rPr>
        <w:t xml:space="preserve">11. PŘEDÁNÍ A PŘEVZETÍ DÍLA</w:t>
      </w:r>
    </w:p>
    <w:p>
      <w:pPr>
        <w:tabs>
          <w:tab w:val="left" w:pos="850"/>
        </w:tabs>
        <w:spacing w:after="120" w:line="280"/>
        <w:ind w:left="850" w:hanging="850"/>
        <w:jc w:val="both"/>
      </w:pPr>
      <w:r>
        <w:rPr>
          <w:rFonts w:ascii="Calibri" w:cs="Calibri" w:eastAsia="Calibri" w:hAnsi="Calibri"/>
          <w:color w:val="1A1A1A"/>
          <w:sz w:val="20"/>
          <w:szCs w:val="20"/>
        </w:rPr>
        <w:t xml:space="preserve">11.1.	</w:t>
      </w:r>
      <w:r>
        <w:rPr>
          <w:rFonts w:ascii="Calibri" w:cs="Calibri" w:eastAsia="Calibri" w:hAnsi="Calibri"/>
          <w:color w:val="1A1A1A"/>
          <w:sz w:val="20"/>
          <w:szCs w:val="20"/>
        </w:rPr>
        <w:t xml:space="preserve">Předání a převzetí Díla zorganizuje Objednatel; k předání přizve osoby vykonávající technický dozor stavebníka, případně autorský dozor projektanta. O předání a převzetí se pořizuje zápis (protokol), který obsahuje prohlášení Objednatele o převzetí či nepřevzetí Díla a soupis případných vad a nedodělků.</w:t>
      </w:r>
    </w:p>
    <w:p>
      <w:pPr>
        <w:tabs>
          <w:tab w:val="left" w:pos="850"/>
        </w:tabs>
        <w:spacing w:after="120" w:line="280"/>
        <w:ind w:left="850" w:hanging="850"/>
        <w:jc w:val="both"/>
      </w:pPr>
      <w:r>
        <w:rPr>
          <w:rFonts w:ascii="Calibri" w:cs="Calibri" w:eastAsia="Calibri" w:hAnsi="Calibri"/>
          <w:color w:val="1A1A1A"/>
          <w:sz w:val="20"/>
          <w:szCs w:val="20"/>
        </w:rPr>
        <w:t xml:space="preserve">11.2.	</w:t>
      </w:r>
      <w:r>
        <w:rPr>
          <w:rFonts w:ascii="Calibri" w:cs="Calibri" w:eastAsia="Calibri" w:hAnsi="Calibri"/>
          <w:color w:val="1A1A1A"/>
          <w:sz w:val="20"/>
          <w:szCs w:val="20"/>
        </w:rPr>
        <w:t xml:space="preserve">Objednatel převezme Dílo i s ojedinělými drobnými vadami a nedodělky, které samy o sobě ani ve spojení s jinými nebrání užívání Díla; Zhotovitel je odstraní ve lhůtě uvedené v protokolu, jinak do 30 dnů od předání a převzetí Díla.</w:t>
      </w:r>
    </w:p>
    <w:p>
      <w:pPr>
        <w:tabs>
          <w:tab w:val="left" w:pos="850"/>
        </w:tabs>
        <w:spacing w:after="120" w:line="280"/>
        <w:ind w:left="850" w:hanging="850"/>
        <w:jc w:val="both"/>
      </w:pPr>
      <w:r>
        <w:rPr>
          <w:rFonts w:ascii="Calibri" w:cs="Calibri" w:eastAsia="Calibri" w:hAnsi="Calibri"/>
          <w:color w:val="1A1A1A"/>
          <w:sz w:val="20"/>
          <w:szCs w:val="20"/>
        </w:rPr>
        <w:t xml:space="preserve">11.3.	</w:t>
      </w:r>
      <w:r>
        <w:rPr>
          <w:rFonts w:ascii="Calibri" w:cs="Calibri" w:eastAsia="Calibri" w:hAnsi="Calibri"/>
          <w:color w:val="1A1A1A"/>
          <w:sz w:val="20"/>
          <w:szCs w:val="20"/>
        </w:rPr>
        <w:t xml:space="preserve">Při předání Díla Zhotovitel předá Objednateli zejména dokumentaci skutečného provedení stavby, geodetické zaměření, stavební deník, doklady o zkouškách a revizích, prohlášení o shodě a doklady o nakládání s odpady.</w:t>
      </w:r>
    </w:p>
    <w:p>
      <w:pPr>
        <w:spacing w:after="160" w:before="320" w:line="280"/>
        <w:jc w:val="center"/>
      </w:pPr>
      <w:r>
        <w:rPr>
          <w:rFonts w:ascii="Calibri" w:cs="Calibri" w:eastAsia="Calibri" w:hAnsi="Calibri"/>
          <w:b/>
          <w:bCs/>
          <w:color w:val="1A1A1A"/>
          <w:sz w:val="22"/>
          <w:szCs w:val="22"/>
        </w:rPr>
        <w:t xml:space="preserve">12. ZÁRUKA ZA JAKOST</w:t>
      </w:r>
    </w:p>
    <w:p>
      <w:pPr>
        <w:tabs>
          <w:tab w:val="left" w:pos="850"/>
        </w:tabs>
        <w:spacing w:after="120" w:line="280"/>
        <w:ind w:left="850" w:hanging="850"/>
        <w:jc w:val="both"/>
      </w:pPr>
      <w:r>
        <w:rPr>
          <w:rFonts w:ascii="Calibri" w:cs="Calibri" w:eastAsia="Calibri" w:hAnsi="Calibri"/>
          <w:color w:val="1A1A1A"/>
          <w:sz w:val="20"/>
          <w:szCs w:val="20"/>
        </w:rPr>
        <w:t xml:space="preserve">12.1.	</w:t>
      </w:r>
      <w:r>
        <w:rPr>
          <w:rFonts w:ascii="Calibri" w:cs="Calibri" w:eastAsia="Calibri" w:hAnsi="Calibri"/>
          <w:color w:val="1A1A1A"/>
          <w:sz w:val="20"/>
          <w:szCs w:val="20"/>
        </w:rPr>
        <w:t xml:space="preserve">Záruční doba na stavební práce činí </w:t>
      </w:r>
      <w:r>
        <w:rPr>
          <w:rFonts w:ascii="Calibri" w:cs="Calibri" w:eastAsia="Calibri" w:hAnsi="Calibri"/>
          <w:b/>
          <w:bCs/>
          <w:color w:val="1A1A1A"/>
          <w:sz w:val="20"/>
          <w:szCs w:val="20"/>
        </w:rPr>
        <w:t xml:space="preserve">60 měsíců</w:t>
      </w:r>
      <w:r>
        <w:rPr>
          <w:rFonts w:ascii="Calibri" w:cs="Calibri" w:eastAsia="Calibri" w:hAnsi="Calibri"/>
          <w:color w:val="1A1A1A"/>
          <w:sz w:val="20"/>
          <w:szCs w:val="20"/>
        </w:rPr>
        <w:t xml:space="preserve"> od předání a převzetí Díla. U dodávek strojů a technologických zařízení platí záruka poskytovaná výrobcem, nejméně však 24 měsíců; odchylku je Zhotovitel povinen řádně odůvodnit.</w:t>
      </w:r>
    </w:p>
    <w:p>
      <w:pPr>
        <w:tabs>
          <w:tab w:val="left" w:pos="850"/>
        </w:tabs>
        <w:spacing w:after="120" w:line="280"/>
        <w:ind w:left="850" w:hanging="850"/>
        <w:jc w:val="both"/>
      </w:pPr>
      <w:r>
        <w:rPr>
          <w:rFonts w:ascii="Calibri" w:cs="Calibri" w:eastAsia="Calibri" w:hAnsi="Calibri"/>
          <w:color w:val="1A1A1A"/>
          <w:sz w:val="20"/>
          <w:szCs w:val="20"/>
        </w:rPr>
        <w:t xml:space="preserve">12.2.	</w:t>
      </w:r>
      <w:r>
        <w:rPr>
          <w:rFonts w:ascii="Calibri" w:cs="Calibri" w:eastAsia="Calibri" w:hAnsi="Calibri"/>
          <w:color w:val="1A1A1A"/>
          <w:sz w:val="20"/>
          <w:szCs w:val="20"/>
        </w:rPr>
        <w:t xml:space="preserve">Reklamované vady v záruční době odstraní Zhotovitel ve lhůtě dohodnuté s Objednatelem, jinak do 30 dnů od doručení reklamace; vady bránící užívání Díla nebo hrozící škodou bezodkladně.</w:t>
      </w:r>
    </w:p>
    <w:p>
      <w:pPr>
        <w:spacing w:after="160" w:before="320" w:line="280"/>
        <w:jc w:val="center"/>
      </w:pPr>
      <w:r>
        <w:rPr>
          <w:rFonts w:ascii="Calibri" w:cs="Calibri" w:eastAsia="Calibri" w:hAnsi="Calibri"/>
          <w:b/>
          <w:bCs/>
          <w:color w:val="1A1A1A"/>
          <w:sz w:val="22"/>
          <w:szCs w:val="22"/>
        </w:rPr>
        <w:t xml:space="preserve">13. POJIŠTĚNÍ</w:t>
      </w:r>
    </w:p>
    <w:p>
      <w:pPr>
        <w:tabs>
          <w:tab w:val="left" w:pos="850"/>
        </w:tabs>
        <w:spacing w:after="120" w:line="280"/>
        <w:ind w:left="850" w:hanging="850"/>
        <w:jc w:val="both"/>
      </w:pPr>
      <w:r>
        <w:rPr>
          <w:rFonts w:ascii="Calibri" w:cs="Calibri" w:eastAsia="Calibri" w:hAnsi="Calibri"/>
          <w:color w:val="1A1A1A"/>
          <w:sz w:val="20"/>
          <w:szCs w:val="20"/>
        </w:rPr>
        <w:t xml:space="preserve">13.1.	</w:t>
      </w:r>
      <w:r>
        <w:rPr>
          <w:rFonts w:ascii="Calibri" w:cs="Calibri" w:eastAsia="Calibri" w:hAnsi="Calibri"/>
          <w:color w:val="1A1A1A"/>
          <w:sz w:val="20"/>
          <w:szCs w:val="20"/>
        </w:rPr>
        <w:t xml:space="preserve">Zhotovitel je po celou dobu provádění Díla pojištěn pro případ odpovědnosti za škodu způsobenou třetím osobám svou činností, včetně škod způsobených jeho pracovníky, s limitem pojistného plnění nejméně 10 000 000 Kč. Pojistnou smlouvu či certifikát předloží Objednateli do 10 dnů od uzavření Smlouvy.</w:t>
      </w:r>
    </w:p>
    <w:p>
      <w:pPr>
        <w:tabs>
          <w:tab w:val="left" w:pos="850"/>
        </w:tabs>
        <w:spacing w:after="120" w:line="280"/>
        <w:ind w:left="850" w:hanging="850"/>
        <w:jc w:val="both"/>
      </w:pPr>
      <w:r>
        <w:rPr>
          <w:rFonts w:ascii="Calibri" w:cs="Calibri" w:eastAsia="Calibri" w:hAnsi="Calibri"/>
          <w:color w:val="1A1A1A"/>
          <w:sz w:val="20"/>
          <w:szCs w:val="20"/>
        </w:rPr>
        <w:t xml:space="preserve">13.2.	</w:t>
      </w:r>
      <w:r>
        <w:rPr>
          <w:rFonts w:ascii="Calibri" w:cs="Calibri" w:eastAsia="Calibri" w:hAnsi="Calibri"/>
          <w:color w:val="1A1A1A"/>
          <w:sz w:val="20"/>
          <w:szCs w:val="20"/>
        </w:rPr>
        <w:t xml:space="preserve">Zhotovitel sjedná stavebně-montážní pojištění kryjící rizika vzniklá v průběhu provádění Díla, na pojistnou částku nejméně ve výši Ceny díla a se spoluúčastí nejvýše 5 %; doklad o něm předloží Objednateli nejpozději při předání staveniště.</w:t>
      </w:r>
    </w:p>
    <w:p>
      <w:pPr>
        <w:spacing w:after="160" w:before="320" w:line="280"/>
        <w:jc w:val="center"/>
      </w:pPr>
      <w:r>
        <w:rPr>
          <w:rFonts w:ascii="Calibri" w:cs="Calibri" w:eastAsia="Calibri" w:hAnsi="Calibri"/>
          <w:b/>
          <w:bCs/>
          <w:color w:val="1A1A1A"/>
          <w:sz w:val="22"/>
          <w:szCs w:val="22"/>
        </w:rPr>
        <w:t xml:space="preserve">14. SANKCE</w:t>
      </w:r>
    </w:p>
    <w:p>
      <w:pPr>
        <w:tabs>
          <w:tab w:val="left" w:pos="850"/>
        </w:tabs>
        <w:spacing w:after="120" w:line="280"/>
        <w:ind w:left="850" w:hanging="850"/>
        <w:jc w:val="both"/>
      </w:pPr>
      <w:r>
        <w:rPr>
          <w:rFonts w:ascii="Calibri" w:cs="Calibri" w:eastAsia="Calibri" w:hAnsi="Calibri"/>
          <w:color w:val="1A1A1A"/>
          <w:sz w:val="20"/>
          <w:szCs w:val="20"/>
        </w:rPr>
        <w:t xml:space="preserve">14.1.	</w:t>
      </w:r>
      <w:r>
        <w:rPr>
          <w:rFonts w:ascii="Calibri" w:cs="Calibri" w:eastAsia="Calibri" w:hAnsi="Calibri"/>
          <w:color w:val="1A1A1A"/>
          <w:sz w:val="20"/>
          <w:szCs w:val="20"/>
        </w:rPr>
        <w:t xml:space="preserve">Při prodlení Zhotovitele s dokončením Díla zaplatí Zhotovitel Objednateli smluvní pokutu ve výši 0,2 % z Ceny díla za každý i započatý den prodlení.</w:t>
      </w:r>
    </w:p>
    <w:p>
      <w:pPr>
        <w:tabs>
          <w:tab w:val="left" w:pos="850"/>
        </w:tabs>
        <w:spacing w:after="120" w:line="280"/>
        <w:ind w:left="850" w:hanging="850"/>
        <w:jc w:val="both"/>
      </w:pPr>
      <w:r>
        <w:rPr>
          <w:rFonts w:ascii="Calibri" w:cs="Calibri" w:eastAsia="Calibri" w:hAnsi="Calibri"/>
          <w:color w:val="1A1A1A"/>
          <w:sz w:val="20"/>
          <w:szCs w:val="20"/>
        </w:rPr>
        <w:t xml:space="preserve">14.2.	</w:t>
      </w:r>
      <w:r>
        <w:rPr>
          <w:rFonts w:ascii="Calibri" w:cs="Calibri" w:eastAsia="Calibri" w:hAnsi="Calibri"/>
          <w:color w:val="1A1A1A"/>
          <w:sz w:val="20"/>
          <w:szCs w:val="20"/>
        </w:rPr>
        <w:t xml:space="preserve">Při prodlení s odstraněním vady či nedodělku uvedených v protokolu o předání a převzetí Díla zaplatí Zhotovitel 1 000 Kč za každou vadu a den prodlení. Při prodlení s odstraněním reklamované záruční vady bránící řádnému užívání Díla nebo hrozící škodou velkého rozsahu zaplatí Zhotovitel 10 000 Kč za každou vadu a den prodlení.</w:t>
      </w:r>
    </w:p>
    <w:p>
      <w:pPr>
        <w:tabs>
          <w:tab w:val="left" w:pos="850"/>
        </w:tabs>
        <w:spacing w:after="120" w:line="280"/>
        <w:ind w:left="850" w:hanging="850"/>
        <w:jc w:val="both"/>
      </w:pPr>
      <w:r>
        <w:rPr>
          <w:rFonts w:ascii="Calibri" w:cs="Calibri" w:eastAsia="Calibri" w:hAnsi="Calibri"/>
          <w:color w:val="1A1A1A"/>
          <w:sz w:val="20"/>
          <w:szCs w:val="20"/>
        </w:rPr>
        <w:t xml:space="preserve">14.3.	</w:t>
      </w:r>
      <w:r>
        <w:rPr>
          <w:rFonts w:ascii="Calibri" w:cs="Calibri" w:eastAsia="Calibri" w:hAnsi="Calibri"/>
          <w:color w:val="1A1A1A"/>
          <w:sz w:val="20"/>
          <w:szCs w:val="20"/>
        </w:rPr>
        <w:t xml:space="preserve">Při prodlení s vyklizením staveniště zaplatí Zhotovitel 0,05 % z Ceny díla za každý i započatý den prodlení, nejvýše však 50 000 Kč za den.</w:t>
      </w:r>
    </w:p>
    <w:p>
      <w:pPr>
        <w:tabs>
          <w:tab w:val="left" w:pos="850"/>
        </w:tabs>
        <w:spacing w:after="120" w:line="280"/>
        <w:ind w:left="850" w:hanging="850"/>
        <w:jc w:val="both"/>
      </w:pPr>
      <w:r>
        <w:rPr>
          <w:rFonts w:ascii="Calibri" w:cs="Calibri" w:eastAsia="Calibri" w:hAnsi="Calibri"/>
          <w:color w:val="1A1A1A"/>
          <w:sz w:val="20"/>
          <w:szCs w:val="20"/>
        </w:rPr>
        <w:t xml:space="preserve">14.4.	</w:t>
      </w:r>
      <w:r>
        <w:rPr>
          <w:rFonts w:ascii="Calibri" w:cs="Calibri" w:eastAsia="Calibri" w:hAnsi="Calibri"/>
          <w:color w:val="1A1A1A"/>
          <w:sz w:val="20"/>
          <w:szCs w:val="20"/>
        </w:rPr>
        <w:t xml:space="preserve">Při prodlení Objednatele s úhradou úplné a řádně vystavené faktury náleží Zhotoviteli úrok z prodlení ve výši 0,015 % z dlužné částky za každý den prodlení.</w:t>
      </w:r>
    </w:p>
    <w:p>
      <w:pPr>
        <w:tabs>
          <w:tab w:val="left" w:pos="850"/>
        </w:tabs>
        <w:spacing w:after="120" w:line="280"/>
        <w:ind w:left="850" w:hanging="850"/>
        <w:jc w:val="both"/>
      </w:pPr>
      <w:r>
        <w:rPr>
          <w:rFonts w:ascii="Calibri" w:cs="Calibri" w:eastAsia="Calibri" w:hAnsi="Calibri"/>
          <w:color w:val="1A1A1A"/>
          <w:sz w:val="20"/>
          <w:szCs w:val="20"/>
        </w:rPr>
        <w:t xml:space="preserve">14.5.	</w:t>
      </w:r>
      <w:r>
        <w:rPr>
          <w:rFonts w:ascii="Calibri" w:cs="Calibri" w:eastAsia="Calibri" w:hAnsi="Calibri"/>
          <w:color w:val="1A1A1A"/>
          <w:sz w:val="20"/>
          <w:szCs w:val="20"/>
        </w:rPr>
        <w:t xml:space="preserve">Zaplacením smluvní pokuty není dotčeno právo na náhradu škody v plné výši.</w:t>
      </w:r>
    </w:p>
    <w:p>
      <w:pPr>
        <w:spacing w:after="160" w:before="320" w:line="280"/>
        <w:jc w:val="center"/>
      </w:pPr>
      <w:r>
        <w:rPr>
          <w:rFonts w:ascii="Calibri" w:cs="Calibri" w:eastAsia="Calibri" w:hAnsi="Calibri"/>
          <w:b/>
          <w:bCs/>
          <w:color w:val="1A1A1A"/>
          <w:sz w:val="22"/>
          <w:szCs w:val="22"/>
        </w:rPr>
        <w:t xml:space="preserve">15. ODSTOUPENÍ OD SMLOUVY</w:t>
      </w:r>
    </w:p>
    <w:p>
      <w:pPr>
        <w:tabs>
          <w:tab w:val="left" w:pos="850"/>
        </w:tabs>
        <w:spacing w:after="120" w:line="280"/>
        <w:ind w:left="850" w:hanging="850"/>
        <w:jc w:val="both"/>
      </w:pPr>
      <w:r>
        <w:rPr>
          <w:rFonts w:ascii="Calibri" w:cs="Calibri" w:eastAsia="Calibri" w:hAnsi="Calibri"/>
          <w:color w:val="1A1A1A"/>
          <w:sz w:val="20"/>
          <w:szCs w:val="20"/>
        </w:rPr>
        <w:t xml:space="preserve">15.1.	</w:t>
      </w:r>
      <w:r>
        <w:rPr>
          <w:rFonts w:ascii="Calibri" w:cs="Calibri" w:eastAsia="Calibri" w:hAnsi="Calibri"/>
          <w:color w:val="1A1A1A"/>
          <w:sz w:val="20"/>
          <w:szCs w:val="20"/>
        </w:rPr>
        <w:t xml:space="preserve">Objednatel je oprávněn od Smlouvy odstoupit zejména při podstatném porušení Smlouvy Zhotovitelem (prodlení s dokončením Díla delší než 30 dnů, provádění Díla v rozporu s dokumentací neodstraněné ani po písemné výzvě), při úpadku Zhotovitele, ztrátě jeho oprávnění k podnikání nebo zařazení Zhotovitele či jeho podzhotovitele na sankční seznam. Zhotovitel je oprávněn odstoupit při prodlení Objednatele s úhradou delším než 60 dnů.</w:t>
      </w:r>
    </w:p>
    <w:p>
      <w:pPr>
        <w:tabs>
          <w:tab w:val="left" w:pos="850"/>
        </w:tabs>
        <w:spacing w:after="120" w:line="280"/>
        <w:ind w:left="850" w:hanging="850"/>
        <w:jc w:val="both"/>
      </w:pPr>
      <w:r>
        <w:rPr>
          <w:rFonts w:ascii="Calibri" w:cs="Calibri" w:eastAsia="Calibri" w:hAnsi="Calibri"/>
          <w:color w:val="1A1A1A"/>
          <w:sz w:val="20"/>
          <w:szCs w:val="20"/>
        </w:rPr>
        <w:t xml:space="preserve">15.2.	</w:t>
      </w:r>
      <w:r>
        <w:rPr>
          <w:rFonts w:ascii="Calibri" w:cs="Calibri" w:eastAsia="Calibri" w:hAnsi="Calibri"/>
          <w:color w:val="1A1A1A"/>
          <w:sz w:val="20"/>
          <w:szCs w:val="20"/>
        </w:rPr>
        <w:t xml:space="preserve">Při odstoupení Smluvní strany protokolárně vypořádají rozpracované Dílo; Zhotoviteli náleží cena prací řádně provedených do dne odstoupení dle jednotkových cen Položkového rozpočtu.</w:t>
      </w:r>
    </w:p>
    <w:p>
      <w:pPr>
        <w:spacing w:after="160" w:before="320" w:line="280"/>
        <w:jc w:val="center"/>
      </w:pPr>
      <w:r>
        <w:rPr>
          <w:rFonts w:ascii="Calibri" w:cs="Calibri" w:eastAsia="Calibri" w:hAnsi="Calibri"/>
          <w:b/>
          <w:bCs/>
          <w:color w:val="1A1A1A"/>
          <w:sz w:val="22"/>
          <w:szCs w:val="22"/>
        </w:rPr>
        <w:t xml:space="preserve">16. ZÁVĚREČNÁ USTANOVENÍ</w:t>
      </w:r>
    </w:p>
    <w:p>
      <w:pPr>
        <w:tabs>
          <w:tab w:val="left" w:pos="850"/>
        </w:tabs>
        <w:spacing w:after="120" w:line="280"/>
        <w:ind w:left="850" w:hanging="850"/>
        <w:jc w:val="both"/>
      </w:pPr>
      <w:r>
        <w:rPr>
          <w:rFonts w:ascii="Calibri" w:cs="Calibri" w:eastAsia="Calibri" w:hAnsi="Calibri"/>
          <w:color w:val="1A1A1A"/>
          <w:sz w:val="20"/>
          <w:szCs w:val="20"/>
        </w:rPr>
        <w:t xml:space="preserve">16.1.	</w:t>
      </w:r>
      <w:r>
        <w:rPr>
          <w:rFonts w:ascii="Calibri" w:cs="Calibri" w:eastAsia="Calibri" w:hAnsi="Calibri"/>
          <w:color w:val="1A1A1A"/>
          <w:sz w:val="20"/>
          <w:szCs w:val="20"/>
        </w:rPr>
        <w:t xml:space="preserve">Smlouva se řídí právním řádem České republiky, zejména ObčZ. Měnit ji lze pouze písemnými, vzestupně číslovanými dodatky podepsanými oběma Smluvními stranami, sjednanými v souladu s čl. 5 a s Příručkou.</w:t>
      </w:r>
    </w:p>
    <w:p>
      <w:pPr>
        <w:tabs>
          <w:tab w:val="left" w:pos="850"/>
        </w:tabs>
        <w:spacing w:after="120" w:line="280"/>
        <w:ind w:left="850" w:hanging="850"/>
        <w:jc w:val="both"/>
      </w:pPr>
      <w:r>
        <w:rPr>
          <w:rFonts w:ascii="Calibri" w:cs="Calibri" w:eastAsia="Calibri" w:hAnsi="Calibri"/>
          <w:color w:val="1A1A1A"/>
          <w:sz w:val="20"/>
          <w:szCs w:val="20"/>
        </w:rPr>
        <w:t xml:space="preserve">16.2.	</w:t>
      </w:r>
      <w:r>
        <w:rPr>
          <w:rFonts w:ascii="Calibri" w:cs="Calibri" w:eastAsia="Calibri" w:hAnsi="Calibri"/>
          <w:color w:val="1A1A1A"/>
          <w:sz w:val="20"/>
          <w:szCs w:val="20"/>
        </w:rPr>
        <w:t xml:space="preserve">Je-li některé ustanovení Smlouvy neplatné či nevymahatelné, nemá to vliv na ostatní ustanovení; Smluvní strany je nahradí ustanovením obdobného hospodářského smyslu.</w:t>
      </w:r>
    </w:p>
    <w:p>
      <w:pPr>
        <w:tabs>
          <w:tab w:val="left" w:pos="850"/>
        </w:tabs>
        <w:spacing w:after="120" w:line="280"/>
        <w:ind w:left="850" w:hanging="850"/>
        <w:jc w:val="both"/>
      </w:pPr>
      <w:r>
        <w:rPr>
          <w:rFonts w:ascii="Calibri" w:cs="Calibri" w:eastAsia="Calibri" w:hAnsi="Calibri"/>
          <w:color w:val="1A1A1A"/>
          <w:sz w:val="20"/>
          <w:szCs w:val="20"/>
        </w:rPr>
        <w:t xml:space="preserve">16.3.	</w:t>
      </w:r>
      <w:r>
        <w:rPr>
          <w:rFonts w:ascii="Calibri" w:cs="Calibri" w:eastAsia="Calibri" w:hAnsi="Calibri"/>
          <w:color w:val="1A1A1A"/>
          <w:sz w:val="20"/>
          <w:szCs w:val="20"/>
        </w:rPr>
        <w:t xml:space="preserve">Smlouva nabývá platnosti a účinnosti dnem podpisu poslední Smluvní stranou a je vyhotovena ve dvou stejnopisech, po jednom pro každou Smluvní stranu.</w:t>
      </w:r>
    </w:p>
    <w:p>
      <w:pPr>
        <w:tabs>
          <w:tab w:val="left" w:pos="850"/>
        </w:tabs>
        <w:spacing w:after="120" w:line="280"/>
        <w:ind w:left="850" w:hanging="850"/>
        <w:jc w:val="both"/>
      </w:pPr>
      <w:r>
        <w:rPr>
          <w:rFonts w:ascii="Calibri" w:cs="Calibri" w:eastAsia="Calibri" w:hAnsi="Calibri"/>
          <w:color w:val="1A1A1A"/>
          <w:sz w:val="20"/>
          <w:szCs w:val="20"/>
        </w:rPr>
        <w:t xml:space="preserve">16.4.	</w:t>
      </w:r>
      <w:r>
        <w:rPr>
          <w:rFonts w:ascii="Calibri" w:cs="Calibri" w:eastAsia="Calibri" w:hAnsi="Calibri"/>
          <w:color w:val="1A1A1A"/>
          <w:sz w:val="20"/>
          <w:szCs w:val="20"/>
        </w:rPr>
        <w:t xml:space="preserve">Nedílnou součástí Smlouvy jsou přílohy: č. 1 – Oceněný položkový rozpočet (výkaz výměr); č. 2 – Projektová dokumentace zak. č. 26P-PLY001 (seznam); č. 3 – Harmonogram plnění </w:t>
      </w:r>
      <w:r>
        <w:rPr>
          <w:rFonts w:ascii="Calibri" w:cs="Calibri" w:eastAsia="Calibri" w:hAnsi="Calibri"/>
          <w:color w:val="1A1A1A"/>
          <w:sz w:val="20"/>
          <w:szCs w:val="20"/>
          <w:highlight w:val="yellow"/>
          <w:highlightCs w:val="yellow"/>
        </w:rPr>
        <w:t xml:space="preserve">[doplní účastník]</w:t>
      </w:r>
      <w:r>
        <w:rPr>
          <w:rFonts w:ascii="Calibri" w:cs="Calibri" w:eastAsia="Calibri" w:hAnsi="Calibri"/>
          <w:color w:val="1A1A1A"/>
          <w:sz w:val="20"/>
          <w:szCs w:val="20"/>
        </w:rPr>
        <w:t xml:space="preserve">; č. 4 – Čestné prohlášení dle Přílohy č. 3 Příručky; č. 5 – Doklady o pojištění (předkládány dle čl. 13).</w:t>
      </w:r>
    </w:p>
    <w:p>
      <w:pPr>
        <w:tabs>
          <w:tab w:val="left" w:pos="850"/>
        </w:tabs>
        <w:spacing w:after="120" w:line="280"/>
        <w:ind w:left="850" w:hanging="850"/>
        <w:jc w:val="both"/>
      </w:pPr>
      <w:r>
        <w:rPr>
          <w:rFonts w:ascii="Calibri" w:cs="Calibri" w:eastAsia="Calibri" w:hAnsi="Calibri"/>
          <w:color w:val="1A1A1A"/>
          <w:sz w:val="20"/>
          <w:szCs w:val="20"/>
        </w:rPr>
        <w:t xml:space="preserve">16.5.	</w:t>
      </w:r>
      <w:r>
        <w:rPr>
          <w:rFonts w:ascii="Calibri" w:cs="Calibri" w:eastAsia="Calibri" w:hAnsi="Calibri"/>
          <w:color w:val="1A1A1A"/>
          <w:sz w:val="20"/>
          <w:szCs w:val="20"/>
        </w:rPr>
        <w:t xml:space="preserve">Smluvní strany prohlašují, že si Smlouvu přečetly, že byla uzavřena po vzájemném projednání podle jejich pravé a svobodné vůle, a na důkaz toho připojují své podpisy.</w:t>
      </w:r>
    </w:p>
    <w:p>
      <w:pPr>
        <w:tabs>
          <w:tab w:val="left" w:pos="5200"/>
        </w:tabs>
        <w:spacing w:after="0" w:before="500"/>
      </w:pPr>
      <w:r>
        <w:rPr>
          <w:rFonts w:ascii="Calibri" w:cs="Calibri" w:eastAsia="Calibri" w:hAnsi="Calibri"/>
          <w:color w:val="1A1A1A"/>
          <w:sz w:val="20"/>
          <w:szCs w:val="20"/>
        </w:rPr>
        <w:t xml:space="preserve">V .......................... dne ...................</w:t>
      </w:r>
      <w:r>
        <w:rPr>
          <w:rFonts w:ascii="Calibri" w:cs="Calibri" w:eastAsia="Calibri" w:hAnsi="Calibri"/>
          <w:color w:val="1A1A1A"/>
          <w:sz w:val="20"/>
          <w:szCs w:val="20"/>
        </w:rPr>
        <w:t xml:space="preserve">		</w:t>
      </w:r>
      <w:r>
        <w:rPr>
          <w:rFonts w:ascii="Calibri" w:cs="Calibri" w:eastAsia="Calibri" w:hAnsi="Calibri"/>
          <w:color w:val="1A1A1A"/>
          <w:sz w:val="20"/>
          <w:szCs w:val="20"/>
        </w:rPr>
        <w:t xml:space="preserve">V .......................... dne ...................</w:t>
      </w:r>
    </w:p>
    <w:p>
      <w:pPr>
        <w:tabs>
          <w:tab w:val="left" w:pos="5200"/>
        </w:tabs>
        <w:spacing w:after="0" w:before="700"/>
      </w:pPr>
      <w:r>
        <w:rPr>
          <w:rFonts w:ascii="Calibri" w:cs="Calibri" w:eastAsia="Calibri" w:hAnsi="Calibri"/>
          <w:color w:val="1A1A1A"/>
          <w:sz w:val="20"/>
          <w:szCs w:val="20"/>
        </w:rPr>
        <w:t xml:space="preserve">.............................................</w:t>
      </w:r>
      <w:r>
        <w:rPr>
          <w:rFonts w:ascii="Calibri" w:cs="Calibri" w:eastAsia="Calibri" w:hAnsi="Calibri"/>
          <w:color w:val="1A1A1A"/>
          <w:sz w:val="20"/>
          <w:szCs w:val="20"/>
        </w:rPr>
        <w:t xml:space="preserve">		</w:t>
      </w:r>
      <w:r>
        <w:rPr>
          <w:rFonts w:ascii="Calibri" w:cs="Calibri" w:eastAsia="Calibri" w:hAnsi="Calibri"/>
          <w:color w:val="1A1A1A"/>
          <w:sz w:val="20"/>
          <w:szCs w:val="20"/>
        </w:rPr>
        <w:t xml:space="preserve">.............................................</w:t>
      </w:r>
    </w:p>
    <w:p>
      <w:pPr>
        <w:tabs>
          <w:tab w:val="left" w:pos="5200"/>
        </w:tabs>
        <w:spacing w:before="60"/>
      </w:pPr>
      <w:r>
        <w:rPr>
          <w:rFonts w:ascii="Calibri" w:cs="Calibri" w:eastAsia="Calibri" w:hAnsi="Calibri"/>
          <w:b/>
          <w:bCs/>
          <w:color w:val="1A1A1A"/>
          <w:sz w:val="20"/>
          <w:szCs w:val="20"/>
        </w:rPr>
        <w:t xml:space="preserve">„TERRA KAPLÍŘ" spol. s r.o.</w:t>
      </w:r>
      <w:r>
        <w:rPr>
          <w:rFonts w:ascii="Calibri" w:cs="Calibri" w:eastAsia="Calibri" w:hAnsi="Calibri"/>
          <w:color w:val="1A1A1A"/>
          <w:sz w:val="20"/>
          <w:szCs w:val="20"/>
        </w:rPr>
        <w:t xml:space="preserve">		</w:t>
      </w:r>
      <w:r>
        <w:rPr>
          <w:rFonts w:ascii="Calibri" w:cs="Calibri" w:eastAsia="Calibri" w:hAnsi="Calibri"/>
          <w:color w:val="1A1A1A"/>
          <w:sz w:val="20"/>
          <w:szCs w:val="20"/>
          <w:highlight w:val="yellow"/>
          <w:highlightCs w:val="yellow"/>
        </w:rPr>
        <w:t xml:space="preserve">[obchodní firma zhotovitele]</w:t>
      </w:r>
    </w:p>
    <w:p>
      <w:pPr>
        <w:tabs>
          <w:tab w:val="left" w:pos="5200"/>
        </w:tabs>
        <w:spacing w:before="20"/>
      </w:pPr>
      <w:r>
        <w:rPr>
          <w:rFonts w:ascii="Calibri" w:cs="Calibri" w:eastAsia="Calibri" w:hAnsi="Calibri"/>
          <w:color w:val="555555"/>
          <w:sz w:val="18"/>
          <w:szCs w:val="18"/>
        </w:rPr>
        <w:t xml:space="preserve">Objednatel</w:t>
      </w:r>
      <w:r>
        <w:rPr>
          <w:rFonts w:ascii="Calibri" w:cs="Calibri" w:eastAsia="Calibri" w:hAnsi="Calibri"/>
          <w:color w:val="1A1A1A"/>
          <w:sz w:val="20"/>
          <w:szCs w:val="20"/>
        </w:rPr>
        <w:t xml:space="preserve">		</w:t>
      </w:r>
      <w:r>
        <w:rPr>
          <w:rFonts w:ascii="Calibri" w:cs="Calibri" w:eastAsia="Calibri" w:hAnsi="Calibri"/>
          <w:color w:val="555555"/>
          <w:sz w:val="18"/>
          <w:szCs w:val="18"/>
        </w:rPr>
        <w:t xml:space="preserve">Zhotovitel</w:t>
      </w:r>
    </w:p>
    <w:sectPr>
      <w:footerReference w:type="default" r:id="rId7"/>
      <w:pgSz w:w="11906" w:h="16838" w:orient="portrait"/>
      <w:pgMar w:top="1247" w:right="1303" w:bottom="1133" w:left="1303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555555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555555"/>
        <w:sz w:val="18"/>
        <w:szCs w:val="18"/>
      </w:rPr>
      <w:t xml:space="preserve">/</w:t>
    </w:r>
    <w:r>
      <w:rPr>
        <w:rFonts w:ascii="Calibri" w:cs="Calibri" w:eastAsia="Calibri" w:hAnsi="Calibri"/>
        <w:color w:val="555555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A1A1A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2026-08-26T17:28:18.839Z</dcterms:created>
  <dcterms:modified xsi:type="dcterms:W3CDTF">2026-08-26T17:28:18.839Z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