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9DFD" w14:textId="77777777" w:rsidR="002A2D93" w:rsidRPr="00DF25F8" w:rsidRDefault="002A2D93" w:rsidP="00903042">
      <w:pPr>
        <w:jc w:val="center"/>
        <w:rPr>
          <w:rFonts w:ascii="Arial" w:eastAsia="Calibri" w:hAnsi="Arial"/>
          <w:b/>
          <w:sz w:val="22"/>
          <w:szCs w:val="22"/>
          <w:lang w:eastAsia="en-US"/>
        </w:rPr>
      </w:pPr>
      <w:bookmarkStart w:id="0" w:name="_Hlk196830623"/>
      <w:bookmarkStart w:id="1" w:name="_Hlk178853646"/>
    </w:p>
    <w:p w14:paraId="5C4BF478" w14:textId="580B59F3" w:rsidR="00903042" w:rsidRPr="00DF25F8" w:rsidRDefault="00903042" w:rsidP="00DF25F8">
      <w:pPr>
        <w:pStyle w:val="Zhlav"/>
        <w:jc w:val="center"/>
        <w:rPr>
          <w:rFonts w:ascii="Arial" w:eastAsia="Calibri" w:hAnsi="Arial"/>
          <w:b/>
          <w:sz w:val="28"/>
          <w:szCs w:val="28"/>
          <w:lang w:eastAsia="en-US"/>
        </w:rPr>
      </w:pPr>
      <w:r w:rsidRPr="00DF25F8">
        <w:rPr>
          <w:rFonts w:ascii="Arial" w:eastAsia="Calibri" w:hAnsi="Arial"/>
          <w:b/>
          <w:sz w:val="28"/>
          <w:szCs w:val="28"/>
          <w:lang w:eastAsia="en-US"/>
        </w:rPr>
        <w:t>Popis celého zadání investiční akce</w:t>
      </w:r>
    </w:p>
    <w:p w14:paraId="394F4E99" w14:textId="77777777" w:rsidR="00213DFE" w:rsidRPr="00DF25F8" w:rsidRDefault="00213DFE" w:rsidP="00213DFE">
      <w:pPr>
        <w:tabs>
          <w:tab w:val="clear" w:pos="851"/>
        </w:tabs>
        <w:autoSpaceDE w:val="0"/>
        <w:autoSpaceDN w:val="0"/>
        <w:adjustRightInd w:val="0"/>
        <w:spacing w:after="0"/>
        <w:jc w:val="center"/>
        <w:rPr>
          <w:rFonts w:ascii="Arial" w:eastAsia="Calibri" w:hAnsi="Arial"/>
          <w:b/>
          <w:bCs/>
          <w:color w:val="000000"/>
          <w:sz w:val="22"/>
          <w:szCs w:val="22"/>
        </w:rPr>
      </w:pPr>
    </w:p>
    <w:tbl>
      <w:tblPr>
        <w:tblW w:w="0" w:type="auto"/>
        <w:tblCellMar>
          <w:left w:w="70" w:type="dxa"/>
          <w:right w:w="70" w:type="dxa"/>
        </w:tblCellMar>
        <w:tblLook w:val="04A0" w:firstRow="1" w:lastRow="0" w:firstColumn="1" w:lastColumn="0" w:noHBand="0" w:noVBand="1"/>
      </w:tblPr>
      <w:tblGrid>
        <w:gridCol w:w="1810"/>
        <w:gridCol w:w="600"/>
        <w:gridCol w:w="425"/>
        <w:gridCol w:w="357"/>
        <w:gridCol w:w="202"/>
        <w:gridCol w:w="1479"/>
        <w:gridCol w:w="1812"/>
        <w:gridCol w:w="2363"/>
      </w:tblGrid>
      <w:tr w:rsidR="00903042" w:rsidRPr="00DF25F8" w14:paraId="0CAEE3C9" w14:textId="77777777" w:rsidTr="007C5495">
        <w:trPr>
          <w:trHeight w:val="745"/>
        </w:trPr>
        <w:tc>
          <w:tcPr>
            <w:tcW w:w="2835" w:type="dxa"/>
            <w:gridSpan w:val="3"/>
            <w:shd w:val="clear" w:color="auto" w:fill="E2DABC"/>
            <w:vAlign w:val="center"/>
            <w:hideMark/>
          </w:tcPr>
          <w:p w14:paraId="68EE79CE" w14:textId="77777777" w:rsidR="00903042" w:rsidRPr="00DF25F8" w:rsidRDefault="00903042" w:rsidP="007C5495">
            <w:pPr>
              <w:spacing w:after="0"/>
              <w:ind w:right="917"/>
              <w:jc w:val="center"/>
              <w:rPr>
                <w:rFonts w:ascii="Arial" w:hAnsi="Arial"/>
                <w:b/>
                <w:color w:val="000000"/>
                <w:sz w:val="22"/>
                <w:szCs w:val="22"/>
              </w:rPr>
            </w:pPr>
            <w:r w:rsidRPr="00DF25F8">
              <w:rPr>
                <w:rFonts w:ascii="Arial" w:hAnsi="Arial"/>
                <w:b/>
                <w:color w:val="000000"/>
                <w:sz w:val="22"/>
                <w:szCs w:val="22"/>
              </w:rPr>
              <w:t xml:space="preserve">Název zakázky:  </w:t>
            </w:r>
          </w:p>
        </w:tc>
        <w:tc>
          <w:tcPr>
            <w:tcW w:w="6207" w:type="dxa"/>
            <w:gridSpan w:val="5"/>
            <w:shd w:val="clear" w:color="auto" w:fill="E2DABC"/>
            <w:vAlign w:val="center"/>
            <w:hideMark/>
          </w:tcPr>
          <w:p w14:paraId="34E9E97B" w14:textId="6CDB4957" w:rsidR="00903042" w:rsidRPr="00DF25F8" w:rsidRDefault="00CA5EEB" w:rsidP="00FB6E72">
            <w:pPr>
              <w:rPr>
                <w:rFonts w:ascii="Arial" w:hAnsi="Arial"/>
                <w:b/>
                <w:bCs/>
                <w:sz w:val="22"/>
                <w:szCs w:val="22"/>
              </w:rPr>
            </w:pPr>
            <w:r w:rsidRPr="00DF25F8">
              <w:rPr>
                <w:rFonts w:ascii="Arial" w:hAnsi="Arial"/>
                <w:b/>
                <w:bCs/>
                <w:sz w:val="22"/>
                <w:szCs w:val="22"/>
              </w:rPr>
              <w:t>Realizace kotelny na výrobu páry</w:t>
            </w:r>
            <w:r w:rsidR="001B21DA" w:rsidRPr="00DF25F8">
              <w:rPr>
                <w:rFonts w:ascii="Arial" w:hAnsi="Arial"/>
                <w:b/>
                <w:bCs/>
                <w:sz w:val="22"/>
                <w:szCs w:val="22"/>
              </w:rPr>
              <w:t xml:space="preserve"> </w:t>
            </w:r>
          </w:p>
        </w:tc>
      </w:tr>
      <w:tr w:rsidR="00903042" w:rsidRPr="00DF25F8" w14:paraId="7252FC46" w14:textId="77777777" w:rsidTr="007C5495">
        <w:trPr>
          <w:trHeight w:val="315"/>
        </w:trPr>
        <w:tc>
          <w:tcPr>
            <w:tcW w:w="1810" w:type="dxa"/>
            <w:tcBorders>
              <w:top w:val="nil"/>
              <w:left w:val="nil"/>
              <w:bottom w:val="single" w:sz="8" w:space="0" w:color="000000"/>
              <w:right w:val="nil"/>
            </w:tcBorders>
            <w:vAlign w:val="center"/>
            <w:hideMark/>
          </w:tcPr>
          <w:p w14:paraId="2C65502A"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 </w:t>
            </w:r>
          </w:p>
        </w:tc>
        <w:tc>
          <w:tcPr>
            <w:tcW w:w="1025" w:type="dxa"/>
            <w:gridSpan w:val="2"/>
            <w:tcBorders>
              <w:top w:val="nil"/>
              <w:left w:val="nil"/>
              <w:bottom w:val="single" w:sz="8" w:space="0" w:color="000000"/>
              <w:right w:val="nil"/>
            </w:tcBorders>
            <w:vAlign w:val="center"/>
            <w:hideMark/>
          </w:tcPr>
          <w:p w14:paraId="45C1334C"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 </w:t>
            </w:r>
          </w:p>
        </w:tc>
        <w:tc>
          <w:tcPr>
            <w:tcW w:w="357" w:type="dxa"/>
            <w:tcBorders>
              <w:top w:val="nil"/>
              <w:left w:val="nil"/>
              <w:bottom w:val="single" w:sz="8" w:space="0" w:color="000000"/>
              <w:right w:val="nil"/>
            </w:tcBorders>
            <w:vAlign w:val="center"/>
            <w:hideMark/>
          </w:tcPr>
          <w:p w14:paraId="1FD9D4DC"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 </w:t>
            </w:r>
          </w:p>
        </w:tc>
        <w:tc>
          <w:tcPr>
            <w:tcW w:w="196" w:type="dxa"/>
            <w:tcBorders>
              <w:top w:val="nil"/>
              <w:left w:val="nil"/>
              <w:bottom w:val="single" w:sz="8" w:space="0" w:color="000000"/>
              <w:right w:val="nil"/>
            </w:tcBorders>
            <w:vAlign w:val="center"/>
            <w:hideMark/>
          </w:tcPr>
          <w:p w14:paraId="02C7C522"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 </w:t>
            </w:r>
          </w:p>
        </w:tc>
        <w:tc>
          <w:tcPr>
            <w:tcW w:w="1479" w:type="dxa"/>
            <w:tcBorders>
              <w:top w:val="nil"/>
              <w:left w:val="nil"/>
              <w:bottom w:val="single" w:sz="8" w:space="0" w:color="000000"/>
              <w:right w:val="nil"/>
            </w:tcBorders>
            <w:vAlign w:val="center"/>
            <w:hideMark/>
          </w:tcPr>
          <w:p w14:paraId="44E24839"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 </w:t>
            </w:r>
          </w:p>
        </w:tc>
        <w:tc>
          <w:tcPr>
            <w:tcW w:w="1812" w:type="dxa"/>
            <w:tcBorders>
              <w:top w:val="nil"/>
              <w:left w:val="nil"/>
              <w:bottom w:val="single" w:sz="8" w:space="0" w:color="000000"/>
              <w:right w:val="nil"/>
            </w:tcBorders>
            <w:vAlign w:val="center"/>
            <w:hideMark/>
          </w:tcPr>
          <w:p w14:paraId="37F98641"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 </w:t>
            </w:r>
          </w:p>
        </w:tc>
        <w:tc>
          <w:tcPr>
            <w:tcW w:w="2363" w:type="dxa"/>
            <w:tcBorders>
              <w:top w:val="nil"/>
              <w:left w:val="nil"/>
              <w:bottom w:val="single" w:sz="8" w:space="0" w:color="000000"/>
              <w:right w:val="nil"/>
            </w:tcBorders>
            <w:vAlign w:val="center"/>
            <w:hideMark/>
          </w:tcPr>
          <w:p w14:paraId="7AA04A65"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 </w:t>
            </w:r>
          </w:p>
        </w:tc>
      </w:tr>
      <w:tr w:rsidR="00903042" w:rsidRPr="00DF25F8" w14:paraId="79D9E452" w14:textId="77777777" w:rsidTr="007C5495">
        <w:trPr>
          <w:trHeight w:val="315"/>
        </w:trPr>
        <w:tc>
          <w:tcPr>
            <w:tcW w:w="9042" w:type="dxa"/>
            <w:gridSpan w:val="8"/>
            <w:tcBorders>
              <w:top w:val="single" w:sz="8" w:space="0" w:color="000000"/>
              <w:left w:val="single" w:sz="8" w:space="0" w:color="000000"/>
              <w:bottom w:val="single" w:sz="8" w:space="0" w:color="000000"/>
              <w:right w:val="single" w:sz="8" w:space="0" w:color="000000"/>
            </w:tcBorders>
            <w:shd w:val="clear" w:color="auto" w:fill="E2DABC"/>
            <w:vAlign w:val="center"/>
            <w:hideMark/>
          </w:tcPr>
          <w:p w14:paraId="74A505BC"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Zadavatel</w:t>
            </w:r>
          </w:p>
        </w:tc>
      </w:tr>
      <w:tr w:rsidR="00903042" w:rsidRPr="00DF25F8" w14:paraId="101B34BC" w14:textId="77777777" w:rsidTr="007C5495">
        <w:trPr>
          <w:cantSplit/>
          <w:trHeight w:val="509"/>
        </w:trPr>
        <w:tc>
          <w:tcPr>
            <w:tcW w:w="2410"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371914B3" w14:textId="77777777" w:rsidR="00903042" w:rsidRPr="00DF25F8" w:rsidRDefault="00903042" w:rsidP="00F2529E">
            <w:pPr>
              <w:spacing w:after="0"/>
              <w:rPr>
                <w:rFonts w:ascii="Arial" w:hAnsi="Arial"/>
                <w:b/>
                <w:color w:val="000000"/>
                <w:sz w:val="22"/>
                <w:szCs w:val="22"/>
              </w:rPr>
            </w:pPr>
            <w:r w:rsidRPr="00DF25F8">
              <w:rPr>
                <w:rFonts w:ascii="Arial" w:hAnsi="Arial"/>
                <w:b/>
                <w:color w:val="000000"/>
                <w:sz w:val="22"/>
                <w:szCs w:val="22"/>
              </w:rPr>
              <w:t>Název:</w:t>
            </w:r>
          </w:p>
        </w:tc>
        <w:tc>
          <w:tcPr>
            <w:tcW w:w="6632" w:type="dxa"/>
            <w:gridSpan w:val="6"/>
            <w:vMerge w:val="restart"/>
            <w:tcBorders>
              <w:top w:val="single" w:sz="8" w:space="0" w:color="000000"/>
              <w:left w:val="single" w:sz="8" w:space="0" w:color="000000"/>
              <w:bottom w:val="single" w:sz="8" w:space="0" w:color="000000"/>
              <w:right w:val="single" w:sz="8" w:space="0" w:color="000000"/>
            </w:tcBorders>
            <w:vAlign w:val="center"/>
            <w:hideMark/>
          </w:tcPr>
          <w:p w14:paraId="583BFB0E" w14:textId="38BA7D0A" w:rsidR="00903042" w:rsidRPr="00DF25F8" w:rsidRDefault="007C5495" w:rsidP="00F2529E">
            <w:pPr>
              <w:spacing w:after="0"/>
              <w:rPr>
                <w:rFonts w:ascii="Arial" w:hAnsi="Arial"/>
                <w:b/>
                <w:color w:val="000000"/>
                <w:sz w:val="22"/>
                <w:szCs w:val="22"/>
              </w:rPr>
            </w:pPr>
            <w:r w:rsidRPr="00DF25F8">
              <w:rPr>
                <w:rStyle w:val="normaltextrun"/>
                <w:rFonts w:ascii="Arial" w:hAnsi="Arial"/>
                <w:color w:val="000000"/>
                <w:sz w:val="22"/>
                <w:szCs w:val="22"/>
              </w:rPr>
              <w:t>FRIGOEXIM spol. s r.o.</w:t>
            </w:r>
            <w:r w:rsidRPr="00DF25F8">
              <w:rPr>
                <w:rStyle w:val="eop"/>
                <w:rFonts w:ascii="Arial" w:hAnsi="Arial"/>
                <w:color w:val="000000"/>
                <w:sz w:val="22"/>
                <w:szCs w:val="22"/>
              </w:rPr>
              <w:t> </w:t>
            </w:r>
          </w:p>
        </w:tc>
      </w:tr>
      <w:tr w:rsidR="00903042" w:rsidRPr="00DF25F8" w14:paraId="275FB020" w14:textId="77777777" w:rsidTr="002325D1">
        <w:trPr>
          <w:cantSplit/>
          <w:trHeight w:val="433"/>
        </w:trPr>
        <w:tc>
          <w:tcPr>
            <w:tcW w:w="2410" w:type="dxa"/>
            <w:gridSpan w:val="2"/>
            <w:vMerge/>
            <w:tcBorders>
              <w:top w:val="single" w:sz="8" w:space="0" w:color="000000"/>
              <w:left w:val="single" w:sz="8" w:space="0" w:color="000000"/>
              <w:bottom w:val="single" w:sz="8" w:space="0" w:color="000000"/>
              <w:right w:val="single" w:sz="8" w:space="0" w:color="000000"/>
            </w:tcBorders>
            <w:vAlign w:val="center"/>
            <w:hideMark/>
          </w:tcPr>
          <w:p w14:paraId="7EC2D24E" w14:textId="77777777" w:rsidR="00903042" w:rsidRPr="00DF25F8" w:rsidRDefault="00903042" w:rsidP="00F2529E">
            <w:pPr>
              <w:spacing w:after="0"/>
              <w:rPr>
                <w:rFonts w:ascii="Arial" w:hAnsi="Arial"/>
                <w:b/>
                <w:color w:val="000000"/>
                <w:sz w:val="22"/>
                <w:szCs w:val="22"/>
              </w:rPr>
            </w:pPr>
          </w:p>
        </w:tc>
        <w:tc>
          <w:tcPr>
            <w:tcW w:w="6632" w:type="dxa"/>
            <w:gridSpan w:val="6"/>
            <w:vMerge/>
            <w:tcBorders>
              <w:top w:val="single" w:sz="8" w:space="0" w:color="000000"/>
              <w:left w:val="single" w:sz="8" w:space="0" w:color="000000"/>
              <w:bottom w:val="single" w:sz="8" w:space="0" w:color="000000"/>
              <w:right w:val="single" w:sz="8" w:space="0" w:color="000000"/>
            </w:tcBorders>
            <w:vAlign w:val="center"/>
            <w:hideMark/>
          </w:tcPr>
          <w:p w14:paraId="130AFB84" w14:textId="77777777" w:rsidR="00903042" w:rsidRPr="00DF25F8" w:rsidRDefault="00903042" w:rsidP="00F2529E">
            <w:pPr>
              <w:spacing w:after="0"/>
              <w:rPr>
                <w:rFonts w:ascii="Arial" w:hAnsi="Arial"/>
                <w:b/>
                <w:color w:val="000000"/>
                <w:sz w:val="22"/>
                <w:szCs w:val="22"/>
              </w:rPr>
            </w:pPr>
          </w:p>
        </w:tc>
      </w:tr>
      <w:tr w:rsidR="00903042" w:rsidRPr="00DF25F8" w14:paraId="73834F28" w14:textId="77777777" w:rsidTr="007C5495">
        <w:trPr>
          <w:trHeight w:val="315"/>
        </w:trPr>
        <w:tc>
          <w:tcPr>
            <w:tcW w:w="2410" w:type="dxa"/>
            <w:gridSpan w:val="2"/>
            <w:tcBorders>
              <w:top w:val="single" w:sz="8" w:space="0" w:color="000000"/>
              <w:left w:val="single" w:sz="8" w:space="0" w:color="000000"/>
              <w:bottom w:val="single" w:sz="8" w:space="0" w:color="000000"/>
              <w:right w:val="single" w:sz="8" w:space="0" w:color="000000"/>
            </w:tcBorders>
            <w:vAlign w:val="center"/>
            <w:hideMark/>
          </w:tcPr>
          <w:p w14:paraId="1CF485CE" w14:textId="77777777" w:rsidR="00903042" w:rsidRPr="00DF25F8" w:rsidRDefault="00903042" w:rsidP="00F2529E">
            <w:pPr>
              <w:spacing w:after="0"/>
              <w:rPr>
                <w:rFonts w:ascii="Arial" w:hAnsi="Arial"/>
                <w:color w:val="000000"/>
                <w:sz w:val="22"/>
                <w:szCs w:val="22"/>
              </w:rPr>
            </w:pPr>
            <w:r w:rsidRPr="00DF25F8">
              <w:rPr>
                <w:rFonts w:ascii="Arial" w:hAnsi="Arial"/>
                <w:color w:val="000000"/>
                <w:sz w:val="22"/>
                <w:szCs w:val="22"/>
              </w:rPr>
              <w:t>Sídlo:</w:t>
            </w:r>
          </w:p>
        </w:tc>
        <w:tc>
          <w:tcPr>
            <w:tcW w:w="6632" w:type="dxa"/>
            <w:gridSpan w:val="6"/>
            <w:tcBorders>
              <w:top w:val="single" w:sz="8" w:space="0" w:color="000000"/>
              <w:left w:val="nil"/>
              <w:bottom w:val="single" w:sz="8" w:space="0" w:color="000000"/>
              <w:right w:val="single" w:sz="8" w:space="0" w:color="000000"/>
            </w:tcBorders>
            <w:vAlign w:val="center"/>
            <w:hideMark/>
          </w:tcPr>
          <w:p w14:paraId="6BBE02EE" w14:textId="0B714F02" w:rsidR="00903042" w:rsidRPr="00DF25F8" w:rsidRDefault="000C3EBC" w:rsidP="000C3EBC">
            <w:pPr>
              <w:pStyle w:val="paragraph"/>
              <w:spacing w:before="0" w:beforeAutospacing="0" w:after="0" w:afterAutospacing="0"/>
              <w:textAlignment w:val="baseline"/>
              <w:rPr>
                <w:rFonts w:ascii="Arial" w:hAnsi="Arial" w:cs="Arial"/>
                <w:color w:val="000000"/>
                <w:sz w:val="22"/>
                <w:szCs w:val="22"/>
              </w:rPr>
            </w:pPr>
            <w:r w:rsidRPr="00DF25F8">
              <w:rPr>
                <w:rStyle w:val="contextualspellingandgrammarerror"/>
                <w:rFonts w:ascii="Arial" w:hAnsi="Arial" w:cs="Arial"/>
                <w:color w:val="000000"/>
                <w:sz w:val="22"/>
                <w:szCs w:val="22"/>
              </w:rPr>
              <w:t>Březinova</w:t>
            </w:r>
            <w:r w:rsidRPr="00DF25F8">
              <w:rPr>
                <w:rStyle w:val="normaltextrun"/>
                <w:rFonts w:ascii="Arial" w:hAnsi="Arial" w:cs="Arial"/>
                <w:color w:val="000000"/>
                <w:sz w:val="22"/>
                <w:szCs w:val="22"/>
              </w:rPr>
              <w:t> cesta 136/41, 412 01 Litoměřice - </w:t>
            </w:r>
            <w:r w:rsidRPr="00DF25F8">
              <w:rPr>
                <w:rStyle w:val="normaltextrun"/>
                <w:rFonts w:ascii="Arial" w:hAnsi="Arial" w:cs="Arial"/>
                <w:sz w:val="22"/>
                <w:szCs w:val="22"/>
              </w:rPr>
              <w:t>Pokratice </w:t>
            </w:r>
          </w:p>
        </w:tc>
      </w:tr>
      <w:tr w:rsidR="00903042" w:rsidRPr="00DF25F8" w14:paraId="7BF5F898" w14:textId="77777777" w:rsidTr="007C5495">
        <w:trPr>
          <w:trHeight w:val="315"/>
        </w:trPr>
        <w:tc>
          <w:tcPr>
            <w:tcW w:w="2410" w:type="dxa"/>
            <w:gridSpan w:val="2"/>
            <w:tcBorders>
              <w:top w:val="single" w:sz="8" w:space="0" w:color="000000"/>
              <w:left w:val="single" w:sz="8" w:space="0" w:color="000000"/>
              <w:bottom w:val="single" w:sz="8" w:space="0" w:color="000000"/>
              <w:right w:val="single" w:sz="8" w:space="0" w:color="000000"/>
            </w:tcBorders>
            <w:vAlign w:val="center"/>
            <w:hideMark/>
          </w:tcPr>
          <w:p w14:paraId="0F80A48D" w14:textId="77777777" w:rsidR="00903042" w:rsidRPr="00DF25F8" w:rsidRDefault="00903042" w:rsidP="00F2529E">
            <w:pPr>
              <w:spacing w:after="0"/>
              <w:rPr>
                <w:rFonts w:ascii="Arial" w:hAnsi="Arial"/>
                <w:color w:val="000000"/>
                <w:sz w:val="22"/>
                <w:szCs w:val="22"/>
              </w:rPr>
            </w:pPr>
            <w:r w:rsidRPr="00DF25F8">
              <w:rPr>
                <w:rFonts w:ascii="Arial" w:hAnsi="Arial"/>
                <w:color w:val="000000"/>
                <w:sz w:val="22"/>
                <w:szCs w:val="22"/>
              </w:rPr>
              <w:t>IČ:</w:t>
            </w:r>
          </w:p>
        </w:tc>
        <w:tc>
          <w:tcPr>
            <w:tcW w:w="6632" w:type="dxa"/>
            <w:gridSpan w:val="6"/>
            <w:tcBorders>
              <w:top w:val="single" w:sz="8" w:space="0" w:color="000000"/>
              <w:left w:val="nil"/>
              <w:bottom w:val="single" w:sz="8" w:space="0" w:color="000000"/>
              <w:right w:val="single" w:sz="8" w:space="0" w:color="000000"/>
            </w:tcBorders>
            <w:vAlign w:val="center"/>
            <w:hideMark/>
          </w:tcPr>
          <w:p w14:paraId="553561CE" w14:textId="7B4FE4FA" w:rsidR="00903042" w:rsidRPr="00DF25F8" w:rsidRDefault="00EE1C7D" w:rsidP="00F2529E">
            <w:pPr>
              <w:spacing w:after="0"/>
              <w:rPr>
                <w:rFonts w:ascii="Arial" w:hAnsi="Arial"/>
                <w:color w:val="000000"/>
                <w:sz w:val="22"/>
                <w:szCs w:val="22"/>
              </w:rPr>
            </w:pPr>
            <w:r w:rsidRPr="00DF25F8">
              <w:rPr>
                <w:rStyle w:val="normaltextrun"/>
                <w:rFonts w:ascii="Arial" w:hAnsi="Arial"/>
                <w:color w:val="000000"/>
                <w:sz w:val="22"/>
                <w:szCs w:val="22"/>
              </w:rPr>
              <w:t>472 84 269</w:t>
            </w:r>
            <w:r w:rsidRPr="00DF25F8">
              <w:rPr>
                <w:rStyle w:val="eop"/>
                <w:rFonts w:ascii="Arial" w:hAnsi="Arial"/>
                <w:color w:val="000000"/>
                <w:sz w:val="22"/>
                <w:szCs w:val="22"/>
              </w:rPr>
              <w:t> </w:t>
            </w:r>
          </w:p>
        </w:tc>
      </w:tr>
    </w:tbl>
    <w:p w14:paraId="042447C3" w14:textId="77777777" w:rsidR="00903042" w:rsidRPr="00DF25F8" w:rsidRDefault="00903042" w:rsidP="00903042">
      <w:pPr>
        <w:pStyle w:val="Zkladntextodsazen"/>
        <w:ind w:left="0"/>
        <w:rPr>
          <w:rFonts w:ascii="Arial" w:hAnsi="Arial" w:cs="Arial"/>
        </w:rPr>
      </w:pPr>
    </w:p>
    <w:p w14:paraId="7EE1B537" w14:textId="77777777" w:rsidR="00903042" w:rsidRPr="00DF25F8" w:rsidRDefault="00903042" w:rsidP="00903042">
      <w:pPr>
        <w:pStyle w:val="Zkladntextodsazen"/>
        <w:ind w:left="0"/>
        <w:jc w:val="both"/>
        <w:rPr>
          <w:rFonts w:ascii="Arial" w:hAnsi="Arial" w:cs="Arial"/>
        </w:rPr>
      </w:pPr>
      <w:r w:rsidRPr="00DF25F8">
        <w:rPr>
          <w:rFonts w:ascii="Arial" w:hAnsi="Arial" w:cs="Arial"/>
        </w:rPr>
        <w:t xml:space="preserve">Pro vyloučení pochybností zadavatel připravil </w:t>
      </w:r>
      <w:r w:rsidRPr="00DF25F8">
        <w:rPr>
          <w:rFonts w:ascii="Arial" w:hAnsi="Arial" w:cs="Arial"/>
          <w:b/>
          <w:bCs/>
        </w:rPr>
        <w:t>stručný výtah projektové dokumentace</w:t>
      </w:r>
      <w:r w:rsidRPr="00DF25F8">
        <w:rPr>
          <w:rFonts w:ascii="Arial" w:hAnsi="Arial" w:cs="Arial"/>
        </w:rPr>
        <w:t xml:space="preserve"> a uvádíme jej zde ve zjednodušené formě jako Popis celého zadání investiční akce. Toto shrnutí má sloužit pouze pro přehled uchazeči jaké všechny části jsou předmětem tohoto výběrového řízení. Veškeré parametry jsou pouze přepisem jednotlivých částí projektové dokumentace.</w:t>
      </w:r>
    </w:p>
    <w:p w14:paraId="01284F77" w14:textId="77777777" w:rsidR="000C3EBC" w:rsidRPr="00DF25F8" w:rsidRDefault="000C3EBC" w:rsidP="00903042">
      <w:pPr>
        <w:pStyle w:val="Zkladntextodsazen"/>
        <w:ind w:left="0"/>
        <w:jc w:val="both"/>
        <w:rPr>
          <w:rFonts w:ascii="Arial" w:hAnsi="Arial" w:cs="Arial"/>
        </w:rPr>
      </w:pPr>
    </w:p>
    <w:p w14:paraId="33F1F3B8" w14:textId="28E294FC" w:rsidR="00903042" w:rsidRPr="00DF25F8" w:rsidRDefault="00903042" w:rsidP="00903042">
      <w:pPr>
        <w:pStyle w:val="Zkladntextodsazen"/>
        <w:ind w:left="0"/>
        <w:jc w:val="both"/>
        <w:rPr>
          <w:rFonts w:ascii="Arial" w:hAnsi="Arial" w:cs="Arial"/>
        </w:rPr>
      </w:pPr>
      <w:r w:rsidRPr="00DF25F8">
        <w:rPr>
          <w:rFonts w:ascii="Arial" w:hAnsi="Arial" w:cs="Arial"/>
        </w:rPr>
        <w:t xml:space="preserve">K nacenění své nabídky použijte přílohu č. </w:t>
      </w:r>
      <w:r w:rsidR="009A2966">
        <w:rPr>
          <w:rFonts w:ascii="Arial" w:hAnsi="Arial" w:cs="Arial"/>
        </w:rPr>
        <w:t>8</w:t>
      </w:r>
      <w:r w:rsidR="006977ED" w:rsidRPr="00DF25F8">
        <w:rPr>
          <w:rFonts w:ascii="Arial" w:hAnsi="Arial" w:cs="Arial"/>
        </w:rPr>
        <w:t xml:space="preserve"> S</w:t>
      </w:r>
      <w:r w:rsidRPr="00DF25F8">
        <w:rPr>
          <w:rFonts w:ascii="Arial" w:hAnsi="Arial" w:cs="Arial"/>
        </w:rPr>
        <w:t>lepý položkový rozpočet</w:t>
      </w:r>
      <w:r w:rsidR="006977ED" w:rsidRPr="00DF25F8">
        <w:rPr>
          <w:rFonts w:ascii="Arial" w:hAnsi="Arial" w:cs="Arial"/>
        </w:rPr>
        <w:t>.</w:t>
      </w:r>
      <w:r w:rsidRPr="00DF25F8">
        <w:rPr>
          <w:rFonts w:ascii="Arial" w:hAnsi="Arial" w:cs="Arial"/>
        </w:rPr>
        <w:t xml:space="preserve"> </w:t>
      </w:r>
    </w:p>
    <w:p w14:paraId="583F5CDE" w14:textId="77777777" w:rsidR="00582BA1" w:rsidRPr="00DF25F8" w:rsidRDefault="00582BA1" w:rsidP="00903042">
      <w:pPr>
        <w:pStyle w:val="Zkladntextodsazen"/>
        <w:ind w:left="0"/>
        <w:jc w:val="both"/>
        <w:rPr>
          <w:rFonts w:ascii="Arial" w:hAnsi="Arial" w:cs="Arial"/>
        </w:rPr>
      </w:pPr>
    </w:p>
    <w:p w14:paraId="2F3D123F" w14:textId="7B9E24DF" w:rsidR="00903042" w:rsidRPr="00DF25F8" w:rsidRDefault="00903042" w:rsidP="00903042">
      <w:pPr>
        <w:pStyle w:val="Zkladntextodsazen"/>
        <w:ind w:left="0"/>
        <w:jc w:val="both"/>
        <w:rPr>
          <w:rFonts w:ascii="Arial" w:hAnsi="Arial" w:cs="Arial"/>
        </w:rPr>
      </w:pPr>
      <w:r w:rsidRPr="00DF25F8">
        <w:rPr>
          <w:rFonts w:ascii="Arial" w:hAnsi="Arial" w:cs="Arial"/>
        </w:rPr>
        <w:t>Pokud uchazeč zjistí rozpor či nejasnosti mezi projektovou dokumentací a slepým položkovým rozpočtem je směrodatný slepý položkový rozpočet, který nacení a který je přílohou</w:t>
      </w:r>
      <w:r w:rsidR="00582BA1" w:rsidRPr="00DF25F8">
        <w:rPr>
          <w:rFonts w:ascii="Arial" w:hAnsi="Arial" w:cs="Arial"/>
        </w:rPr>
        <w:t>.</w:t>
      </w:r>
    </w:p>
    <w:p w14:paraId="26A3CDF6" w14:textId="77777777" w:rsidR="00C74106" w:rsidRPr="00DF25F8" w:rsidRDefault="00C74106" w:rsidP="00582BA1">
      <w:pPr>
        <w:pStyle w:val="Zkladntextodsazen"/>
        <w:ind w:left="0"/>
        <w:jc w:val="both"/>
        <w:rPr>
          <w:rFonts w:ascii="Arial" w:hAnsi="Arial" w:cs="Arial"/>
        </w:rPr>
      </w:pPr>
    </w:p>
    <w:p w14:paraId="3BAA08A4" w14:textId="6E453E3B" w:rsidR="00311AF2" w:rsidRPr="00DF25F8" w:rsidRDefault="00311AF2" w:rsidP="00582BA1">
      <w:pPr>
        <w:pStyle w:val="Zkladntextodsazen"/>
        <w:ind w:left="0"/>
        <w:jc w:val="both"/>
        <w:rPr>
          <w:rFonts w:ascii="Arial" w:hAnsi="Arial" w:cs="Arial"/>
        </w:rPr>
      </w:pPr>
      <w:r w:rsidRPr="4736179C">
        <w:rPr>
          <w:rFonts w:ascii="Arial" w:hAnsi="Arial" w:cs="Arial"/>
        </w:rPr>
        <w:t>Technologická parní kotelna bude tvořena dvěma místnostmi, přístavbou a přízemím bývalého zásobníku škváry. Jedná se o přístavbu k objektu bývalé koteln</w:t>
      </w:r>
      <w:r w:rsidR="469ED8B9" w:rsidRPr="4736179C">
        <w:rPr>
          <w:rFonts w:ascii="Arial" w:hAnsi="Arial" w:cs="Arial"/>
        </w:rPr>
        <w:t>y</w:t>
      </w:r>
      <w:r w:rsidRPr="4736179C">
        <w:rPr>
          <w:rFonts w:ascii="Arial" w:hAnsi="Arial" w:cs="Arial"/>
        </w:rPr>
        <w:t xml:space="preserve"> v areálu firmy Frigoexim spol. s r.o. . </w:t>
      </w:r>
    </w:p>
    <w:p w14:paraId="01363E51" w14:textId="17926319" w:rsidR="00311AF2" w:rsidRPr="00DF25F8" w:rsidRDefault="00311AF2" w:rsidP="00582BA1">
      <w:pPr>
        <w:pStyle w:val="Zkladntextodsazen"/>
        <w:ind w:left="0"/>
        <w:jc w:val="both"/>
        <w:rPr>
          <w:rFonts w:ascii="Arial" w:hAnsi="Arial" w:cs="Arial"/>
        </w:rPr>
      </w:pPr>
      <w:r w:rsidRPr="00DF25F8">
        <w:rPr>
          <w:rFonts w:ascii="Arial" w:hAnsi="Arial" w:cs="Arial"/>
        </w:rPr>
        <w:t>Přístavba musí být vybudována, přízemí bývalého zásobníku škváry musí být pro potřeby technologické parní kotelny stavebně upraveno.</w:t>
      </w:r>
    </w:p>
    <w:p w14:paraId="77DE5889" w14:textId="23F21959" w:rsidR="00311AF2" w:rsidRPr="00DF25F8" w:rsidRDefault="00311AF2" w:rsidP="00582BA1">
      <w:pPr>
        <w:pStyle w:val="Zkladntextodsazen"/>
        <w:ind w:left="0"/>
        <w:jc w:val="both"/>
        <w:rPr>
          <w:rFonts w:ascii="Arial" w:hAnsi="Arial" w:cs="Arial"/>
        </w:rPr>
      </w:pPr>
      <w:r w:rsidRPr="00DF25F8">
        <w:rPr>
          <w:rFonts w:ascii="Arial" w:hAnsi="Arial" w:cs="Arial"/>
        </w:rPr>
        <w:t xml:space="preserve">Přístavba je navržena </w:t>
      </w:r>
      <w:bookmarkEnd w:id="0"/>
      <w:r w:rsidRPr="00DF25F8">
        <w:rPr>
          <w:rFonts w:ascii="Arial" w:hAnsi="Arial" w:cs="Arial"/>
        </w:rPr>
        <w:t>zděná z plynosilikátových tvárnic s železobetonovým montovaným stropem na plošných základech. Vnější rozměry přístavby budou cca 11,3 m x 7,4 m. Nosné stěny budou v </w:t>
      </w:r>
      <w:proofErr w:type="spellStart"/>
      <w:r w:rsidRPr="00DF25F8">
        <w:rPr>
          <w:rFonts w:ascii="Arial" w:hAnsi="Arial" w:cs="Arial"/>
        </w:rPr>
        <w:t>tl</w:t>
      </w:r>
      <w:proofErr w:type="spellEnd"/>
      <w:r w:rsidRPr="00DF25F8">
        <w:rPr>
          <w:rFonts w:ascii="Arial" w:hAnsi="Arial" w:cs="Arial"/>
        </w:rPr>
        <w:t xml:space="preserve">. 300 mm. Nad otvory budou provedeny překlady z válcovaných I profilů. Násypka i přístavba bude zateplena systémem ETICS. </w:t>
      </w:r>
    </w:p>
    <w:p w14:paraId="5F7F4DB4" w14:textId="0784BCB1" w:rsidR="00311AF2" w:rsidRPr="00DF25F8" w:rsidRDefault="00311AF2" w:rsidP="00582BA1">
      <w:pPr>
        <w:pStyle w:val="Zkladntextodsazen"/>
        <w:ind w:left="0"/>
        <w:jc w:val="both"/>
        <w:rPr>
          <w:rFonts w:ascii="Arial" w:hAnsi="Arial" w:cs="Arial"/>
        </w:rPr>
      </w:pPr>
      <w:r w:rsidRPr="00DF25F8">
        <w:rPr>
          <w:rFonts w:ascii="Arial" w:hAnsi="Arial" w:cs="Arial"/>
        </w:rPr>
        <w:t>Střecha bude plochá tepelně izolovaná, dešťové vody budou svedeny uvnitř objektu násypky do stávající ležaté dešťové kanalizace.</w:t>
      </w:r>
    </w:p>
    <w:p w14:paraId="31D4DF30" w14:textId="55308C0C" w:rsidR="00311AF2" w:rsidRPr="00DF25F8" w:rsidRDefault="00311AF2" w:rsidP="00582BA1">
      <w:pPr>
        <w:pStyle w:val="Zkladntextodsazen"/>
        <w:ind w:left="0"/>
        <w:jc w:val="both"/>
        <w:rPr>
          <w:rFonts w:ascii="Arial" w:hAnsi="Arial" w:cs="Arial"/>
        </w:rPr>
      </w:pPr>
      <w:r w:rsidRPr="00DF25F8">
        <w:rPr>
          <w:rFonts w:ascii="Arial" w:hAnsi="Arial" w:cs="Arial"/>
        </w:rPr>
        <w:t xml:space="preserve">Do objektu bude přístup přes vratový otvor s izolovanými sekčními vraty. </w:t>
      </w:r>
    </w:p>
    <w:p w14:paraId="4E830463" w14:textId="77777777" w:rsidR="00311AF2" w:rsidRPr="00DF25F8" w:rsidRDefault="00311AF2" w:rsidP="00582BA1">
      <w:pPr>
        <w:pStyle w:val="Zkladntextodsazen"/>
        <w:ind w:left="0"/>
        <w:jc w:val="both"/>
        <w:rPr>
          <w:rFonts w:ascii="Arial" w:hAnsi="Arial" w:cs="Arial"/>
        </w:rPr>
      </w:pPr>
      <w:r w:rsidRPr="00DF25F8">
        <w:rPr>
          <w:rFonts w:ascii="Arial" w:hAnsi="Arial" w:cs="Arial"/>
        </w:rPr>
        <w:t xml:space="preserve">Splaškové vody z kotlů budou odvedeny do areálové kanalizace </w:t>
      </w:r>
    </w:p>
    <w:p w14:paraId="134C1C8A" w14:textId="77777777" w:rsidR="00311AF2" w:rsidRPr="00DF25F8" w:rsidRDefault="00311AF2" w:rsidP="00582BA1">
      <w:pPr>
        <w:pStyle w:val="Zkladntextodsazen"/>
        <w:ind w:left="0"/>
        <w:jc w:val="both"/>
        <w:rPr>
          <w:rFonts w:ascii="Arial" w:hAnsi="Arial" w:cs="Arial"/>
        </w:rPr>
      </w:pPr>
      <w:r w:rsidRPr="00DF25F8">
        <w:rPr>
          <w:rFonts w:ascii="Arial" w:hAnsi="Arial" w:cs="Arial"/>
        </w:rPr>
        <w:t xml:space="preserve">Přípojka vody bude provedena z areálového rozvodu vody. </w:t>
      </w:r>
      <w:bookmarkEnd w:id="1"/>
    </w:p>
    <w:p w14:paraId="7222E316" w14:textId="77777777" w:rsidR="00207633" w:rsidRPr="00DF25F8" w:rsidRDefault="00207633" w:rsidP="00582BA1">
      <w:pPr>
        <w:pStyle w:val="Zkladntextodsazen"/>
        <w:ind w:left="0"/>
        <w:jc w:val="both"/>
        <w:rPr>
          <w:rFonts w:ascii="Arial" w:hAnsi="Arial" w:cs="Arial"/>
        </w:rPr>
      </w:pPr>
    </w:p>
    <w:p w14:paraId="1AC3248F" w14:textId="33256C50" w:rsidR="00311AF2" w:rsidRPr="00F329D0" w:rsidRDefault="00207633" w:rsidP="00582BA1">
      <w:pPr>
        <w:pStyle w:val="Zkladntextodsazen"/>
        <w:ind w:left="0"/>
        <w:jc w:val="both"/>
        <w:rPr>
          <w:rFonts w:ascii="Arial" w:hAnsi="Arial" w:cs="Arial"/>
        </w:rPr>
      </w:pPr>
      <w:r w:rsidRPr="73BFB512">
        <w:rPr>
          <w:rFonts w:ascii="Arial" w:hAnsi="Arial" w:cs="Arial"/>
        </w:rPr>
        <w:t xml:space="preserve">Technologickou parní kotelnu bude tvořit 1 kus parního </w:t>
      </w:r>
      <w:r w:rsidRPr="00F329D0">
        <w:rPr>
          <w:rFonts w:ascii="Arial" w:hAnsi="Arial" w:cs="Arial"/>
        </w:rPr>
        <w:t>plynového kotle o výkonu 3</w:t>
      </w:r>
      <w:r w:rsidR="2A60BA48" w:rsidRPr="00F329D0">
        <w:rPr>
          <w:rFonts w:ascii="Arial" w:hAnsi="Arial" w:cs="Arial"/>
        </w:rPr>
        <w:t>,0</w:t>
      </w:r>
      <w:r w:rsidRPr="00F329D0">
        <w:rPr>
          <w:rFonts w:ascii="Arial" w:hAnsi="Arial" w:cs="Arial"/>
        </w:rPr>
        <w:t xml:space="preserve"> t/h s integrovaným spalinovým výměníkem, napájecí nádrží </w:t>
      </w:r>
      <w:r w:rsidR="00890325" w:rsidRPr="00F329D0">
        <w:rPr>
          <w:rFonts w:ascii="Arial" w:hAnsi="Arial" w:cs="Arial"/>
        </w:rPr>
        <w:t xml:space="preserve">s úpravnou vody, kondenzátní nádrží </w:t>
      </w:r>
      <w:r w:rsidR="00890325" w:rsidRPr="00F329D0">
        <w:rPr>
          <w:rFonts w:ascii="Arial" w:hAnsi="Arial" w:cs="Arial"/>
        </w:rPr>
        <w:lastRenderedPageBreak/>
        <w:t xml:space="preserve">a rozdělovačem páry a </w:t>
      </w:r>
      <w:r w:rsidR="00DE0099" w:rsidRPr="00F329D0">
        <w:rPr>
          <w:rFonts w:ascii="Arial" w:hAnsi="Arial" w:cs="Arial"/>
        </w:rPr>
        <w:t xml:space="preserve">1 kus </w:t>
      </w:r>
      <w:r w:rsidR="00890325" w:rsidRPr="00F329D0">
        <w:rPr>
          <w:rFonts w:ascii="Arial" w:hAnsi="Arial" w:cs="Arial"/>
        </w:rPr>
        <w:t>elektrick</w:t>
      </w:r>
      <w:r w:rsidR="00DE0099" w:rsidRPr="00F329D0">
        <w:rPr>
          <w:rFonts w:ascii="Arial" w:hAnsi="Arial" w:cs="Arial"/>
        </w:rPr>
        <w:t>ého</w:t>
      </w:r>
      <w:r w:rsidR="00890325" w:rsidRPr="00F329D0">
        <w:rPr>
          <w:rFonts w:ascii="Arial" w:hAnsi="Arial" w:cs="Arial"/>
        </w:rPr>
        <w:t xml:space="preserve"> parní</w:t>
      </w:r>
      <w:r w:rsidR="00DE0099" w:rsidRPr="00F329D0">
        <w:rPr>
          <w:rFonts w:ascii="Arial" w:hAnsi="Arial" w:cs="Arial"/>
        </w:rPr>
        <w:t>ho</w:t>
      </w:r>
      <w:r w:rsidR="00890325" w:rsidRPr="00F329D0">
        <w:rPr>
          <w:rFonts w:ascii="Arial" w:hAnsi="Arial" w:cs="Arial"/>
        </w:rPr>
        <w:t xml:space="preserve"> kotle </w:t>
      </w:r>
      <w:r w:rsidR="086E478F" w:rsidRPr="00F329D0">
        <w:rPr>
          <w:rFonts w:ascii="Arial" w:hAnsi="Arial" w:cs="Arial"/>
        </w:rPr>
        <w:t xml:space="preserve">o výkonu 2 MW, který bude </w:t>
      </w:r>
      <w:r w:rsidR="00890325" w:rsidRPr="00F329D0">
        <w:rPr>
          <w:rFonts w:ascii="Arial" w:hAnsi="Arial" w:cs="Arial"/>
        </w:rPr>
        <w:t>využ</w:t>
      </w:r>
      <w:r w:rsidR="6657C0A7" w:rsidRPr="00F329D0">
        <w:rPr>
          <w:rFonts w:ascii="Arial" w:hAnsi="Arial" w:cs="Arial"/>
        </w:rPr>
        <w:t>íván pro</w:t>
      </w:r>
      <w:r w:rsidR="00890325" w:rsidRPr="00F329D0">
        <w:rPr>
          <w:rFonts w:ascii="Arial" w:hAnsi="Arial" w:cs="Arial"/>
        </w:rPr>
        <w:t xml:space="preserve"> služby výkonové rovnováhy ( SVR - ). </w:t>
      </w:r>
    </w:p>
    <w:p w14:paraId="56D1DD0F" w14:textId="29499924" w:rsidR="00207633" w:rsidRPr="00DF25F8" w:rsidRDefault="00207633" w:rsidP="00582BA1">
      <w:pPr>
        <w:pStyle w:val="Zkladntextodsazen"/>
        <w:ind w:left="0"/>
        <w:jc w:val="both"/>
        <w:rPr>
          <w:rFonts w:ascii="Arial" w:hAnsi="Arial" w:cs="Arial"/>
        </w:rPr>
      </w:pPr>
      <w:r w:rsidRPr="00F329D0">
        <w:rPr>
          <w:rFonts w:ascii="Arial" w:hAnsi="Arial" w:cs="Arial"/>
        </w:rPr>
        <w:t>V rámci výstavby nové plynové kotelny bude také řešen odtah spalin nového zdroje, přirozené</w:t>
      </w:r>
      <w:r w:rsidRPr="00DF25F8">
        <w:rPr>
          <w:rFonts w:ascii="Arial" w:hAnsi="Arial" w:cs="Arial"/>
        </w:rPr>
        <w:t xml:space="preserve"> větrání prostoru kotelny, havarijní větrání prostoru kotelny, havarijní vytápění prostoru</w:t>
      </w:r>
      <w:r w:rsidR="00582BA1" w:rsidRPr="00DF25F8">
        <w:rPr>
          <w:rFonts w:ascii="Arial" w:hAnsi="Arial" w:cs="Arial"/>
        </w:rPr>
        <w:t xml:space="preserve"> </w:t>
      </w:r>
      <w:r w:rsidRPr="00DF25F8">
        <w:rPr>
          <w:rFonts w:ascii="Arial" w:hAnsi="Arial" w:cs="Arial"/>
        </w:rPr>
        <w:t xml:space="preserve">kotelny a zabezpečení. </w:t>
      </w:r>
      <w:r w:rsidR="00582BA1" w:rsidRPr="00DF25F8">
        <w:rPr>
          <w:rFonts w:ascii="Arial" w:hAnsi="Arial" w:cs="Arial"/>
        </w:rPr>
        <w:t xml:space="preserve"> </w:t>
      </w:r>
      <w:r w:rsidR="00890325" w:rsidRPr="00DF25F8">
        <w:rPr>
          <w:rFonts w:ascii="Arial" w:hAnsi="Arial" w:cs="Arial"/>
        </w:rPr>
        <w:t>Přívod plynu bude napojen na areálový r</w:t>
      </w:r>
      <w:r w:rsidRPr="00DF25F8">
        <w:rPr>
          <w:rFonts w:ascii="Arial" w:hAnsi="Arial" w:cs="Arial"/>
        </w:rPr>
        <w:t xml:space="preserve">ozvod plynu </w:t>
      </w:r>
      <w:r w:rsidR="00890325" w:rsidRPr="00DF25F8">
        <w:rPr>
          <w:rFonts w:ascii="Arial" w:hAnsi="Arial" w:cs="Arial"/>
        </w:rPr>
        <w:t xml:space="preserve">z </w:t>
      </w:r>
      <w:r w:rsidRPr="00DF25F8">
        <w:rPr>
          <w:rFonts w:ascii="Arial" w:hAnsi="Arial" w:cs="Arial"/>
        </w:rPr>
        <w:t>propanového hospodářství v areálu investora.</w:t>
      </w:r>
    </w:p>
    <w:p w14:paraId="568433D9" w14:textId="77777777" w:rsidR="00890325" w:rsidRPr="00DF25F8" w:rsidRDefault="00890325" w:rsidP="00582BA1">
      <w:pPr>
        <w:pStyle w:val="Zkladntextodsazen"/>
        <w:ind w:left="0"/>
        <w:rPr>
          <w:rFonts w:ascii="Arial" w:hAnsi="Arial" w:cs="Arial"/>
        </w:rPr>
      </w:pPr>
    </w:p>
    <w:p w14:paraId="53C7BD6F" w14:textId="1B503CFB" w:rsidR="00EF10A0" w:rsidRPr="00DF25F8" w:rsidRDefault="00890325" w:rsidP="00582BA1">
      <w:pPr>
        <w:pStyle w:val="Zkladntextodsazen"/>
        <w:ind w:left="0"/>
        <w:jc w:val="both"/>
        <w:rPr>
          <w:rFonts w:ascii="Arial" w:hAnsi="Arial" w:cs="Arial"/>
        </w:rPr>
      </w:pPr>
      <w:r w:rsidRPr="00DF25F8">
        <w:rPr>
          <w:rFonts w:ascii="Arial" w:hAnsi="Arial" w:cs="Arial"/>
        </w:rPr>
        <w:t>Pro potřeby řízení technologie parní kotelny bude vybudován systém měření a regulace pro zajištění regulace a chodu instalovaných kotlů (plynový a elektrický ) a nového zařízení parní kotelny a ohřevu technologické užitkové vody.</w:t>
      </w:r>
    </w:p>
    <w:p w14:paraId="00D31DED" w14:textId="77777777" w:rsidR="007E3E19" w:rsidRPr="00DF25F8" w:rsidRDefault="007E3E19" w:rsidP="00582BA1">
      <w:pPr>
        <w:pStyle w:val="Zkladntextodsazen"/>
        <w:ind w:left="0"/>
        <w:jc w:val="both"/>
        <w:rPr>
          <w:rFonts w:ascii="Arial" w:hAnsi="Arial" w:cs="Arial"/>
        </w:rPr>
      </w:pPr>
    </w:p>
    <w:p w14:paraId="19AF89DA" w14:textId="6521E864" w:rsidR="00EF10A0" w:rsidRPr="00A75B80" w:rsidRDefault="007C1B82" w:rsidP="00582BA1">
      <w:pPr>
        <w:pStyle w:val="Zkladntextodsazen"/>
        <w:ind w:left="0"/>
        <w:jc w:val="both"/>
        <w:rPr>
          <w:rFonts w:ascii="Arial" w:hAnsi="Arial" w:cs="Arial"/>
          <w:b/>
          <w:bCs/>
        </w:rPr>
      </w:pPr>
      <w:r w:rsidRPr="00A75B80">
        <w:rPr>
          <w:rFonts w:ascii="Arial" w:hAnsi="Arial" w:cs="Arial"/>
          <w:b/>
          <w:bCs/>
        </w:rPr>
        <w:t xml:space="preserve">Součástí </w:t>
      </w:r>
      <w:r w:rsidR="00A75B80">
        <w:rPr>
          <w:rFonts w:ascii="Arial" w:hAnsi="Arial" w:cs="Arial"/>
          <w:b/>
          <w:bCs/>
        </w:rPr>
        <w:t>realizace kotelny na výrobu páry</w:t>
      </w:r>
      <w:r w:rsidRPr="00A75B80">
        <w:rPr>
          <w:rFonts w:ascii="Arial" w:hAnsi="Arial" w:cs="Arial"/>
          <w:b/>
          <w:bCs/>
        </w:rPr>
        <w:t xml:space="preserve"> je:</w:t>
      </w:r>
    </w:p>
    <w:p w14:paraId="784723CC" w14:textId="07BD2BEE" w:rsidR="00DD4570" w:rsidRPr="00DF25F8" w:rsidRDefault="00044E92" w:rsidP="007B61A6">
      <w:pPr>
        <w:pStyle w:val="Zkladntextodsazen"/>
        <w:ind w:left="0"/>
        <w:jc w:val="both"/>
        <w:rPr>
          <w:rFonts w:ascii="Arial" w:hAnsi="Arial" w:cs="Arial"/>
        </w:rPr>
      </w:pPr>
      <w:r w:rsidRPr="00DF25F8">
        <w:rPr>
          <w:rFonts w:ascii="Arial" w:hAnsi="Arial" w:cs="Arial"/>
        </w:rPr>
        <w:t>01 - Stavební část</w:t>
      </w:r>
    </w:p>
    <w:p w14:paraId="0FE1DF95" w14:textId="6E6B711D" w:rsidR="001E5D09" w:rsidRPr="00DF25F8" w:rsidRDefault="001E5D09" w:rsidP="007B61A6">
      <w:pPr>
        <w:pStyle w:val="Zkladntextodsazen"/>
        <w:ind w:left="0"/>
        <w:jc w:val="both"/>
        <w:rPr>
          <w:rFonts w:ascii="Arial" w:hAnsi="Arial" w:cs="Arial"/>
        </w:rPr>
      </w:pPr>
      <w:r w:rsidRPr="00DF25F8">
        <w:rPr>
          <w:rFonts w:ascii="Arial" w:hAnsi="Arial" w:cs="Arial"/>
        </w:rPr>
        <w:t>02 - Přípojky vody a kana</w:t>
      </w:r>
      <w:r w:rsidR="00701A3F" w:rsidRPr="00DF25F8">
        <w:rPr>
          <w:rFonts w:ascii="Arial" w:hAnsi="Arial" w:cs="Arial"/>
        </w:rPr>
        <w:t>lizace</w:t>
      </w:r>
    </w:p>
    <w:p w14:paraId="38E570BF" w14:textId="639F8706" w:rsidR="001E5D09" w:rsidRPr="00DF25F8" w:rsidRDefault="001E5D09" w:rsidP="007B61A6">
      <w:pPr>
        <w:pStyle w:val="Zkladntextodsazen"/>
        <w:ind w:left="0"/>
        <w:jc w:val="both"/>
        <w:rPr>
          <w:rFonts w:ascii="Arial" w:hAnsi="Arial" w:cs="Arial"/>
        </w:rPr>
      </w:pPr>
      <w:r w:rsidRPr="00DF25F8">
        <w:rPr>
          <w:rFonts w:ascii="Arial" w:hAnsi="Arial" w:cs="Arial"/>
        </w:rPr>
        <w:t xml:space="preserve">03 </w:t>
      </w:r>
      <w:r w:rsidR="007B61A6" w:rsidRPr="00DF25F8">
        <w:rPr>
          <w:rFonts w:ascii="Arial" w:hAnsi="Arial" w:cs="Arial"/>
        </w:rPr>
        <w:t>-</w:t>
      </w:r>
      <w:r w:rsidRPr="00DF25F8">
        <w:rPr>
          <w:rFonts w:ascii="Arial" w:hAnsi="Arial" w:cs="Arial"/>
        </w:rPr>
        <w:t xml:space="preserve"> ZTI</w:t>
      </w:r>
    </w:p>
    <w:p w14:paraId="53D97D3D" w14:textId="1E3AC42E" w:rsidR="00701A3F" w:rsidRPr="00DF25F8" w:rsidRDefault="001C6B82" w:rsidP="007B61A6">
      <w:pPr>
        <w:pStyle w:val="Zkladntextodsazen"/>
        <w:ind w:left="0"/>
        <w:jc w:val="both"/>
        <w:rPr>
          <w:rFonts w:ascii="Arial" w:hAnsi="Arial" w:cs="Arial"/>
        </w:rPr>
      </w:pPr>
      <w:r w:rsidRPr="00DF25F8">
        <w:rPr>
          <w:rFonts w:ascii="Arial" w:hAnsi="Arial" w:cs="Arial"/>
        </w:rPr>
        <w:t>04 - KAB.ROZVODY NN DO 1KV</w:t>
      </w:r>
    </w:p>
    <w:p w14:paraId="36FB83B1" w14:textId="7678DB9F" w:rsidR="001C6B82" w:rsidRPr="00DF25F8" w:rsidRDefault="001C6B82" w:rsidP="007B61A6">
      <w:pPr>
        <w:pStyle w:val="Zkladntextodsazen"/>
        <w:ind w:left="0"/>
        <w:jc w:val="both"/>
        <w:rPr>
          <w:rFonts w:ascii="Arial" w:hAnsi="Arial" w:cs="Arial"/>
        </w:rPr>
      </w:pPr>
      <w:r w:rsidRPr="00DF25F8">
        <w:rPr>
          <w:rFonts w:ascii="Arial" w:hAnsi="Arial" w:cs="Arial"/>
        </w:rPr>
        <w:t>05 - OCHRANA PŘED BLESKEM</w:t>
      </w:r>
    </w:p>
    <w:p w14:paraId="0E3EA01B" w14:textId="739492B3" w:rsidR="001C6B82" w:rsidRPr="00DF25F8" w:rsidRDefault="001C6B82" w:rsidP="007B61A6">
      <w:pPr>
        <w:pStyle w:val="Zkladntextodsazen"/>
        <w:ind w:left="0"/>
        <w:jc w:val="both"/>
        <w:rPr>
          <w:rFonts w:ascii="Arial" w:hAnsi="Arial" w:cs="Arial"/>
        </w:rPr>
      </w:pPr>
      <w:r w:rsidRPr="00DF25F8">
        <w:rPr>
          <w:rFonts w:ascii="Arial" w:hAnsi="Arial" w:cs="Arial"/>
        </w:rPr>
        <w:t>06 - Parní kotelna</w:t>
      </w:r>
    </w:p>
    <w:p w14:paraId="086C340C" w14:textId="4D538B62" w:rsidR="00C32051" w:rsidRPr="00DF25F8" w:rsidRDefault="00C32051" w:rsidP="007B61A6">
      <w:pPr>
        <w:pStyle w:val="Zkladntextodsazen"/>
        <w:ind w:left="0"/>
        <w:jc w:val="both"/>
        <w:rPr>
          <w:rFonts w:ascii="Arial" w:hAnsi="Arial" w:cs="Arial"/>
        </w:rPr>
      </w:pPr>
      <w:r w:rsidRPr="00DF25F8">
        <w:rPr>
          <w:rFonts w:ascii="Arial" w:hAnsi="Arial" w:cs="Arial"/>
        </w:rPr>
        <w:t>07 - Větrání prostoru kotelny</w:t>
      </w:r>
    </w:p>
    <w:p w14:paraId="2363CBF5" w14:textId="3255A688" w:rsidR="00C32051" w:rsidRPr="00DF25F8" w:rsidRDefault="00C32051" w:rsidP="007B61A6">
      <w:pPr>
        <w:pStyle w:val="Zkladntextodsazen"/>
        <w:ind w:left="0"/>
        <w:jc w:val="both"/>
        <w:rPr>
          <w:rFonts w:ascii="Arial" w:hAnsi="Arial" w:cs="Arial"/>
        </w:rPr>
      </w:pPr>
      <w:r w:rsidRPr="00DF25F8">
        <w:rPr>
          <w:rFonts w:ascii="Arial" w:hAnsi="Arial" w:cs="Arial"/>
        </w:rPr>
        <w:t xml:space="preserve">08 </w:t>
      </w:r>
      <w:r w:rsidR="007B61A6" w:rsidRPr="00DF25F8">
        <w:rPr>
          <w:rFonts w:ascii="Arial" w:hAnsi="Arial" w:cs="Arial"/>
        </w:rPr>
        <w:t>-</w:t>
      </w:r>
      <w:r w:rsidRPr="00DF25F8">
        <w:rPr>
          <w:rFonts w:ascii="Arial" w:hAnsi="Arial" w:cs="Arial"/>
        </w:rPr>
        <w:t xml:space="preserve"> Plynofikace</w:t>
      </w:r>
    </w:p>
    <w:p w14:paraId="3A325C69" w14:textId="504AFCCE" w:rsidR="00F04892" w:rsidRPr="00DF25F8" w:rsidRDefault="00F04892" w:rsidP="007B61A6">
      <w:pPr>
        <w:pStyle w:val="Zkladntextodsazen"/>
        <w:ind w:left="0"/>
        <w:jc w:val="both"/>
        <w:rPr>
          <w:rFonts w:ascii="Arial" w:hAnsi="Arial" w:cs="Arial"/>
        </w:rPr>
      </w:pPr>
      <w:r w:rsidRPr="00DF25F8">
        <w:rPr>
          <w:rFonts w:ascii="Arial" w:hAnsi="Arial" w:cs="Arial"/>
        </w:rPr>
        <w:t>09 - Měření a regulace, elektroinstalace</w:t>
      </w:r>
    </w:p>
    <w:p w14:paraId="605EA860" w14:textId="7E1A1A2E" w:rsidR="00F04892" w:rsidRPr="00DF25F8" w:rsidRDefault="00F04892" w:rsidP="007B61A6">
      <w:pPr>
        <w:pStyle w:val="Zkladntextodsazen"/>
        <w:ind w:left="0"/>
        <w:jc w:val="both"/>
        <w:rPr>
          <w:rFonts w:ascii="Arial" w:hAnsi="Arial" w:cs="Arial"/>
        </w:rPr>
      </w:pPr>
      <w:r w:rsidRPr="00DF25F8">
        <w:rPr>
          <w:rFonts w:ascii="Arial" w:hAnsi="Arial" w:cs="Arial"/>
        </w:rPr>
        <w:t xml:space="preserve">10 </w:t>
      </w:r>
      <w:r w:rsidR="007B61A6" w:rsidRPr="00DF25F8">
        <w:rPr>
          <w:rFonts w:ascii="Arial" w:hAnsi="Arial" w:cs="Arial"/>
        </w:rPr>
        <w:t>-</w:t>
      </w:r>
      <w:r w:rsidRPr="00DF25F8">
        <w:rPr>
          <w:rFonts w:ascii="Arial" w:hAnsi="Arial" w:cs="Arial"/>
        </w:rPr>
        <w:t xml:space="preserve"> Akumulace ÚT a Ohřev TUV</w:t>
      </w:r>
    </w:p>
    <w:p w14:paraId="4CF4BD55" w14:textId="0FD304B6" w:rsidR="007B61A6" w:rsidRPr="00DF25F8" w:rsidRDefault="007B61A6" w:rsidP="007B61A6">
      <w:pPr>
        <w:pStyle w:val="Zkladntextodsazen"/>
        <w:ind w:left="0"/>
        <w:jc w:val="both"/>
        <w:rPr>
          <w:rFonts w:ascii="Arial" w:hAnsi="Arial" w:cs="Arial"/>
        </w:rPr>
      </w:pPr>
      <w:r w:rsidRPr="00DF25F8">
        <w:rPr>
          <w:rFonts w:ascii="Arial" w:hAnsi="Arial" w:cs="Arial"/>
        </w:rPr>
        <w:t>11 - VRN</w:t>
      </w:r>
    </w:p>
    <w:p w14:paraId="2FA3D7F1" w14:textId="77777777" w:rsidR="007B61A6" w:rsidRPr="00DF25F8" w:rsidRDefault="007B61A6" w:rsidP="007B61A6">
      <w:pPr>
        <w:pStyle w:val="Zkladntextodsazen"/>
        <w:ind w:left="0"/>
        <w:jc w:val="both"/>
        <w:rPr>
          <w:rFonts w:ascii="Arial" w:hAnsi="Arial" w:cs="Arial"/>
        </w:rPr>
      </w:pPr>
    </w:p>
    <w:p w14:paraId="2F142CE6" w14:textId="2253493D" w:rsidR="00B32F3A" w:rsidRPr="00A75B80" w:rsidRDefault="00B32F3A" w:rsidP="00A75B80">
      <w:pPr>
        <w:pStyle w:val="Zkladntextodsazen"/>
        <w:ind w:left="0"/>
        <w:jc w:val="both"/>
        <w:rPr>
          <w:rFonts w:ascii="Arial" w:hAnsi="Arial" w:cs="Arial"/>
        </w:rPr>
      </w:pPr>
      <w:r w:rsidRPr="00A75B80">
        <w:rPr>
          <w:rFonts w:ascii="Arial" w:hAnsi="Arial" w:cs="Arial"/>
          <w:b/>
          <w:bCs/>
        </w:rPr>
        <w:t>Uchazeč je povinen ocenit všechny položky uvedené v rozpočtu či výkazu výměr</w:t>
      </w:r>
      <w:r w:rsidRPr="00A75B80">
        <w:rPr>
          <w:rFonts w:ascii="Arial" w:hAnsi="Arial" w:cs="Arial"/>
        </w:rPr>
        <w:t xml:space="preserve">, které jsou ze strany zadavatele vypracovány jako soupis stavebních prací, dodávek a služeb v rozsahu, který stanoví </w:t>
      </w:r>
      <w:proofErr w:type="spellStart"/>
      <w:r w:rsidRPr="00A75B80">
        <w:rPr>
          <w:rFonts w:ascii="Arial" w:hAnsi="Arial" w:cs="Arial"/>
        </w:rPr>
        <w:t>vyhl</w:t>
      </w:r>
      <w:proofErr w:type="spellEnd"/>
      <w:r w:rsidRPr="00A75B80">
        <w:rPr>
          <w:rFonts w:ascii="Arial" w:hAnsi="Arial" w:cs="Arial"/>
        </w:rPr>
        <w:t>. 230/2012 Sb. v členění na stavební objekty, inženýrské objekty a provozní soubory.</w:t>
      </w:r>
    </w:p>
    <w:p w14:paraId="340B4FCB" w14:textId="77777777" w:rsidR="00B32F3A" w:rsidRPr="00A75B80" w:rsidRDefault="00B32F3A" w:rsidP="00A75B80">
      <w:pPr>
        <w:pStyle w:val="Zkladntextodsazen"/>
        <w:ind w:left="0"/>
        <w:jc w:val="both"/>
        <w:rPr>
          <w:rFonts w:ascii="Arial" w:hAnsi="Arial" w:cs="Arial"/>
        </w:rPr>
      </w:pPr>
      <w:r w:rsidRPr="00A75B80">
        <w:rPr>
          <w:rFonts w:ascii="Arial" w:hAnsi="Arial" w:cs="Arial"/>
        </w:rPr>
        <w:t>Položkou soupisu prací se rozumí popis každé jednotlivé stavební práce, dodávky nebo služby, který stanoví technické a kvalitativní podmínky pro stavební nebo montážní práce, jejichž provedení je nezbytné ke zhotovení předmětu zakázky v souladu s projektovou či technickou dokumentací citovanou v těchto zadávacích podmínkách. Položky soupisu prací jsou popsány v podrobnostech jednoznačně vymezující obsah požadovaných stavebních prací, dodávek či služeb a umožňujících stejné ocenění tohoto obsahu. Podklady určující technické podmínky jsou definované v předmětné projektové dokumentaci. Neoceněný výkaz výměr je součástí projektové dokumentace. Součástí ceny díla musí být veškeré práce a dodávky, místní, správní a jiné poplatky, pojištění, garance, daně, cla, inflační vlivy a jakékoli další výdaje nezbytné pro řádně a bezvadné zhotovení předmětu zakázky.</w:t>
      </w:r>
    </w:p>
    <w:p w14:paraId="3100E93A" w14:textId="1FFE3242" w:rsidR="00B32F3A" w:rsidRPr="00A75B80" w:rsidRDefault="00B32F3A" w:rsidP="00A75B80">
      <w:pPr>
        <w:pStyle w:val="Zkladntextodsazen"/>
        <w:ind w:left="0"/>
        <w:jc w:val="both"/>
        <w:rPr>
          <w:rFonts w:ascii="Arial" w:hAnsi="Arial" w:cs="Arial"/>
        </w:rPr>
      </w:pPr>
      <w:r w:rsidRPr="00A75B80">
        <w:rPr>
          <w:rFonts w:ascii="Arial" w:hAnsi="Arial" w:cs="Arial"/>
        </w:rPr>
        <w:t xml:space="preserve">Zadavatel nebude považovat oceněnou takovou položku, u které bude uvedeno 0 Kč. Tato podmínka platí pro veškeré položky obsažené v neoceněném výkazu výměr, pokud </w:t>
      </w:r>
      <w:r w:rsidRPr="00A75B80">
        <w:rPr>
          <w:rFonts w:ascii="Arial" w:hAnsi="Arial" w:cs="Arial"/>
        </w:rPr>
        <w:lastRenderedPageBreak/>
        <w:t>neoceněný výkaz výměr nebo zadávací podmínky nestanovují jinak. V případě, že uchazeč ocení 0 Kč, bude tato skutečnost považována za nesplnění podmínky uvedené v předchozí větě. Uchazeč je povinen dodržet předepsanou skladbu slepého položkového rozpočtu, není oprávněn činit v uvedeném položkovém rozpočtu změny, jednotlivé položky slučovat či je rozdělovat. Pokud uchazeč nebude tuto povinnost ve své nabídce respektovat, bude taková skutečnost považována za neplnění podmínek předmětného zadávacího řízení takovou nabídku uchazeče, která bude obsahovat některou z položek výkazu výměr, která bude oceněna s odlišnou výměrou. V případě, že bude v průběhu zadávacího řízení upřesněn požadavek zadavatele na způsob zpracování nabídkové ceny, musí takovou skutečnost uchazeč ve své nabídce respektovat. I tuto skutečnost bude zadavatel považovat za nesplnění vyhlášených podmínek předmětného zadávacího řízení.</w:t>
      </w:r>
    </w:p>
    <w:p w14:paraId="0B001EAE" w14:textId="77777777" w:rsidR="00B32F3A" w:rsidRPr="00A75B80" w:rsidRDefault="00B32F3A" w:rsidP="00A75B80">
      <w:pPr>
        <w:pStyle w:val="Zkladntextodsazen"/>
        <w:ind w:left="0"/>
        <w:jc w:val="both"/>
        <w:rPr>
          <w:rFonts w:ascii="Arial" w:hAnsi="Arial" w:cs="Arial"/>
        </w:rPr>
      </w:pPr>
      <w:r w:rsidRPr="00A75B80">
        <w:rPr>
          <w:rFonts w:ascii="Arial" w:hAnsi="Arial" w:cs="Arial"/>
        </w:rPr>
        <w:t>Uchazeč odpovídá za úplnost specifikace prací při ocenění celého předmětu zakázky, a to pouze v rozsahu převzatých zadávacích podmínek a dokumentech obsahující vymezení předmětu plnění zakázky. V případě rozporů mezi neoceněným výkazem výměr a textovou nebo výkresovou částí projektové dokumentace, prioritou pro ocenění předmětu zakázek má zcela jednoznačně neoceněný výkaz výměr. Pokud uchazeč zjistí rozpor či nejasnost v položkovém rozpočtu/výkazu výměr či specifikaci technologií, postupuje v souladu s </w:t>
      </w:r>
      <w:proofErr w:type="spellStart"/>
      <w:r w:rsidRPr="00A75B80">
        <w:rPr>
          <w:rFonts w:ascii="Arial" w:hAnsi="Arial" w:cs="Arial"/>
        </w:rPr>
        <w:t>ust</w:t>
      </w:r>
      <w:proofErr w:type="spellEnd"/>
      <w:r w:rsidRPr="00A75B80">
        <w:rPr>
          <w:rFonts w:ascii="Arial" w:hAnsi="Arial" w:cs="Arial"/>
        </w:rPr>
        <w:t>. § 49 (zákon č. 137/2006 Sb. Zákon o veřejných zakázkách) týkající se poskytování dodatečných informací. Vítězný uchazeč nebude mít při realizaci předmětu plnění právo domáhat se zvýšení sjednané ceny z důvodů chyb nebo nedostatků v jeho nabídkovém rozpočtu.</w:t>
      </w:r>
    </w:p>
    <w:p w14:paraId="2F9F771D" w14:textId="77777777" w:rsidR="007B61A6" w:rsidRDefault="007B61A6" w:rsidP="007B61A6">
      <w:pPr>
        <w:pStyle w:val="Zkladntextodsazen"/>
        <w:ind w:left="0"/>
        <w:jc w:val="both"/>
        <w:rPr>
          <w:rFonts w:ascii="Arial" w:hAnsi="Arial" w:cs="Arial"/>
        </w:rPr>
      </w:pPr>
    </w:p>
    <w:p w14:paraId="5441A395" w14:textId="17D98E63" w:rsidR="000E1D0A" w:rsidRPr="008E0027" w:rsidRDefault="00B12C9D" w:rsidP="007B61A6">
      <w:pPr>
        <w:pStyle w:val="Zkladntextodsazen"/>
        <w:ind w:left="0"/>
        <w:jc w:val="both"/>
        <w:rPr>
          <w:rFonts w:ascii="Arial" w:hAnsi="Arial" w:cs="Arial"/>
          <w:b/>
          <w:bCs/>
        </w:rPr>
      </w:pPr>
      <w:r w:rsidRPr="008E0027">
        <w:rPr>
          <w:rFonts w:ascii="Arial" w:hAnsi="Arial" w:cs="Arial"/>
          <w:b/>
          <w:bCs/>
        </w:rPr>
        <w:t>Místo plnění zakázky</w:t>
      </w:r>
    </w:p>
    <w:p w14:paraId="38216268" w14:textId="14247168" w:rsidR="008E0027" w:rsidRPr="000C0964" w:rsidRDefault="008E0027" w:rsidP="007B61A6">
      <w:pPr>
        <w:pStyle w:val="Zkladntextodsazen"/>
        <w:ind w:left="0"/>
        <w:jc w:val="both"/>
        <w:rPr>
          <w:rFonts w:ascii="Arial" w:hAnsi="Arial" w:cs="Arial"/>
        </w:rPr>
      </w:pPr>
      <w:r w:rsidRPr="00D0090A">
        <w:rPr>
          <w:rFonts w:ascii="Arial" w:hAnsi="Arial" w:cs="Arial"/>
        </w:rPr>
        <w:t xml:space="preserve">Místem plnění zakázky </w:t>
      </w:r>
      <w:r w:rsidRPr="000C0964">
        <w:rPr>
          <w:rFonts w:ascii="Arial" w:hAnsi="Arial" w:cs="Arial"/>
        </w:rPr>
        <w:t>je stavba č.p. 5957/4 (úprava stávajícího objektu) a nová stavba bude na pozemku 5957/42 vše katastrální území Česká Lípa</w:t>
      </w:r>
    </w:p>
    <w:p w14:paraId="43A6C534" w14:textId="2BED9EE4" w:rsidR="00D0090A" w:rsidRPr="00DF25F8" w:rsidRDefault="00D0090A" w:rsidP="007B61A6">
      <w:pPr>
        <w:pStyle w:val="Zkladntextodsazen"/>
        <w:ind w:left="0"/>
        <w:jc w:val="both"/>
        <w:rPr>
          <w:rFonts w:ascii="Arial" w:hAnsi="Arial" w:cs="Arial"/>
        </w:rPr>
      </w:pPr>
      <w:r>
        <w:rPr>
          <w:noProof/>
        </w:rPr>
        <w:drawing>
          <wp:inline distT="0" distB="0" distL="0" distR="0" wp14:anchorId="570D088B" wp14:editId="4B540DCA">
            <wp:extent cx="4543425" cy="3897870"/>
            <wp:effectExtent l="0" t="0" r="0" b="7620"/>
            <wp:docPr id="1586733437" name="Obrázek 1" descr="Obsah obrázku text, diagram, Plán, schématick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33437" name="Obrázek 1" descr="Obsah obrázku text, diagram, Plán, schématické&#10;&#10;Obsah generovaný pomocí AI může být nesprávný."/>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50737" cy="3904143"/>
                    </a:xfrm>
                    <a:prstGeom prst="rect">
                      <a:avLst/>
                    </a:prstGeom>
                    <a:noFill/>
                    <a:ln>
                      <a:noFill/>
                    </a:ln>
                  </pic:spPr>
                </pic:pic>
              </a:graphicData>
            </a:graphic>
          </wp:inline>
        </w:drawing>
      </w:r>
    </w:p>
    <w:sectPr w:rsidR="00D0090A" w:rsidRPr="00DF25F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64CB" w14:textId="77777777" w:rsidR="00905896" w:rsidRDefault="00905896" w:rsidP="00EE6835">
      <w:pPr>
        <w:spacing w:after="0"/>
      </w:pPr>
      <w:r>
        <w:separator/>
      </w:r>
    </w:p>
  </w:endnote>
  <w:endnote w:type="continuationSeparator" w:id="0">
    <w:p w14:paraId="5196AD43" w14:textId="77777777" w:rsidR="00905896" w:rsidRDefault="00905896" w:rsidP="00EE6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DCFDB" w14:textId="77777777" w:rsidR="00905896" w:rsidRDefault="00905896" w:rsidP="00EE6835">
      <w:pPr>
        <w:spacing w:after="0"/>
      </w:pPr>
      <w:r>
        <w:separator/>
      </w:r>
    </w:p>
  </w:footnote>
  <w:footnote w:type="continuationSeparator" w:id="0">
    <w:p w14:paraId="5D4DEA2A" w14:textId="77777777" w:rsidR="00905896" w:rsidRDefault="00905896" w:rsidP="00EE68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F6AF" w14:textId="4D5150F2" w:rsidR="00EE6835" w:rsidRDefault="00783002">
    <w:pPr>
      <w:pStyle w:val="Zhlav"/>
    </w:pPr>
    <w:r>
      <w:rPr>
        <w:noProof/>
        <w:color w:val="0000FF"/>
      </w:rPr>
      <w:drawing>
        <wp:anchor distT="0" distB="0" distL="114300" distR="114300" simplePos="0" relativeHeight="251659264" behindDoc="1" locked="0" layoutInCell="1" allowOverlap="1" wp14:anchorId="03CF78CC" wp14:editId="439B353F">
          <wp:simplePos x="0" y="0"/>
          <wp:positionH relativeFrom="margin">
            <wp:align>left</wp:align>
          </wp:positionH>
          <wp:positionV relativeFrom="paragraph">
            <wp:posOffset>-93980</wp:posOffset>
          </wp:positionV>
          <wp:extent cx="2057400" cy="431800"/>
          <wp:effectExtent l="0" t="0" r="0" b="6350"/>
          <wp:wrapNone/>
          <wp:docPr id="127004810" name="Obrázek 127004810" descr="Obsah obrázku text, Písmo, Elektricky modrá,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4810" name="Obrázek 127004810" descr="Obsah obrázku text, Písmo, Elektricky modrá, symbol&#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31800"/>
                  </a:xfrm>
                  <a:prstGeom prst="rect">
                    <a:avLst/>
                  </a:prstGeom>
                  <a:noFill/>
                  <a:ln>
                    <a:noFill/>
                  </a:ln>
                </pic:spPr>
              </pic:pic>
            </a:graphicData>
          </a:graphic>
        </wp:anchor>
      </w:drawing>
    </w:r>
    <w:r>
      <w:rPr>
        <w:noProof/>
        <w:color w:val="0000FF"/>
      </w:rPr>
      <w:drawing>
        <wp:anchor distT="0" distB="0" distL="114300" distR="114300" simplePos="0" relativeHeight="251658240" behindDoc="1" locked="0" layoutInCell="1" allowOverlap="1" wp14:anchorId="33EF88D7" wp14:editId="4A42E2F8">
          <wp:simplePos x="0" y="0"/>
          <wp:positionH relativeFrom="margin">
            <wp:align>right</wp:align>
          </wp:positionH>
          <wp:positionV relativeFrom="paragraph">
            <wp:posOffset>-125730</wp:posOffset>
          </wp:positionV>
          <wp:extent cx="2255520" cy="463550"/>
          <wp:effectExtent l="0" t="0" r="0" b="0"/>
          <wp:wrapNone/>
          <wp:docPr id="1784463340" name="Obrázek 1784463340" descr="Obsah obrázku Písmo, Grafika, grafický design, Barevnos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63340" name="Obrázek 1784463340" descr="Obsah obrázku Písmo, Grafika, grafický design, Barevnost&#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5520" cy="463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225C6"/>
    <w:multiLevelType w:val="hybridMultilevel"/>
    <w:tmpl w:val="5602E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58481A16"/>
    <w:multiLevelType w:val="hybridMultilevel"/>
    <w:tmpl w:val="385C9F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529640768">
    <w:abstractNumId w:val="1"/>
  </w:num>
  <w:num w:numId="2" w16cid:durableId="141308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F2"/>
    <w:rsid w:val="00016BA6"/>
    <w:rsid w:val="00023012"/>
    <w:rsid w:val="00044E92"/>
    <w:rsid w:val="000C0964"/>
    <w:rsid w:val="000C3EBC"/>
    <w:rsid w:val="000D3AD3"/>
    <w:rsid w:val="000E1D0A"/>
    <w:rsid w:val="001902C9"/>
    <w:rsid w:val="001A5AF0"/>
    <w:rsid w:val="001B21DA"/>
    <w:rsid w:val="001C6B82"/>
    <w:rsid w:val="001E5D09"/>
    <w:rsid w:val="00207633"/>
    <w:rsid w:val="00213DFE"/>
    <w:rsid w:val="002325D1"/>
    <w:rsid w:val="00263201"/>
    <w:rsid w:val="002A2D93"/>
    <w:rsid w:val="00311AF2"/>
    <w:rsid w:val="00337EED"/>
    <w:rsid w:val="003D7234"/>
    <w:rsid w:val="00512D34"/>
    <w:rsid w:val="0053178C"/>
    <w:rsid w:val="005513BF"/>
    <w:rsid w:val="00565F05"/>
    <w:rsid w:val="00582BA1"/>
    <w:rsid w:val="006977ED"/>
    <w:rsid w:val="00701A3F"/>
    <w:rsid w:val="00783002"/>
    <w:rsid w:val="007B61A6"/>
    <w:rsid w:val="007C1B82"/>
    <w:rsid w:val="007C5495"/>
    <w:rsid w:val="007E270E"/>
    <w:rsid w:val="007E3E19"/>
    <w:rsid w:val="00813FFB"/>
    <w:rsid w:val="00882C26"/>
    <w:rsid w:val="00890325"/>
    <w:rsid w:val="0089402F"/>
    <w:rsid w:val="008C3231"/>
    <w:rsid w:val="008E0027"/>
    <w:rsid w:val="00903042"/>
    <w:rsid w:val="00905896"/>
    <w:rsid w:val="009A2966"/>
    <w:rsid w:val="009F1F7D"/>
    <w:rsid w:val="00A17B6D"/>
    <w:rsid w:val="00A20905"/>
    <w:rsid w:val="00A72694"/>
    <w:rsid w:val="00A75B80"/>
    <w:rsid w:val="00AC34D9"/>
    <w:rsid w:val="00B12C9D"/>
    <w:rsid w:val="00B32F3A"/>
    <w:rsid w:val="00C32051"/>
    <w:rsid w:val="00C74106"/>
    <w:rsid w:val="00CA5EEB"/>
    <w:rsid w:val="00D0090A"/>
    <w:rsid w:val="00D82E02"/>
    <w:rsid w:val="00DC2B13"/>
    <w:rsid w:val="00DD4570"/>
    <w:rsid w:val="00DE0099"/>
    <w:rsid w:val="00DF25F8"/>
    <w:rsid w:val="00E20C18"/>
    <w:rsid w:val="00EE1C7D"/>
    <w:rsid w:val="00EE6835"/>
    <w:rsid w:val="00EF10A0"/>
    <w:rsid w:val="00F04892"/>
    <w:rsid w:val="00F329D0"/>
    <w:rsid w:val="00F3786C"/>
    <w:rsid w:val="00F840EC"/>
    <w:rsid w:val="00FB6E72"/>
    <w:rsid w:val="086E478F"/>
    <w:rsid w:val="0F4C52F0"/>
    <w:rsid w:val="2A60BA48"/>
    <w:rsid w:val="469ED8B9"/>
    <w:rsid w:val="4736179C"/>
    <w:rsid w:val="6657C0A7"/>
    <w:rsid w:val="73BFB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F210"/>
  <w15:chartTrackingRefBased/>
  <w15:docId w15:val="{646B269A-DD12-4EA8-BBAD-3DBC6984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1AF2"/>
    <w:pPr>
      <w:tabs>
        <w:tab w:val="left" w:pos="851"/>
      </w:tabs>
      <w:spacing w:after="60" w:line="240" w:lineRule="auto"/>
      <w:jc w:val="both"/>
    </w:pPr>
    <w:rPr>
      <w:rFonts w:eastAsia="Times New Roman" w:cs="Arial"/>
      <w:kern w:val="0"/>
      <w:sz w:val="20"/>
      <w:szCs w:val="20"/>
      <w:lang w:eastAsia="cs-CZ"/>
      <w14:ligatures w14:val="none"/>
    </w:rPr>
  </w:style>
  <w:style w:type="paragraph" w:styleId="Nadpis1">
    <w:name w:val="heading 1"/>
    <w:basedOn w:val="Normln"/>
    <w:next w:val="Normln"/>
    <w:link w:val="Nadpis1Char"/>
    <w:uiPriority w:val="9"/>
    <w:qFormat/>
    <w:rsid w:val="00311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11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11AF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11AF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11AF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11AF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11AF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11AF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11AF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1AF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11AF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11AF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11AF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11AF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11AF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11AF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11AF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11AF2"/>
    <w:rPr>
      <w:rFonts w:eastAsiaTheme="majorEastAsia" w:cstheme="majorBidi"/>
      <w:color w:val="272727" w:themeColor="text1" w:themeTint="D8"/>
    </w:rPr>
  </w:style>
  <w:style w:type="paragraph" w:styleId="Nzev">
    <w:name w:val="Title"/>
    <w:basedOn w:val="Normln"/>
    <w:next w:val="Normln"/>
    <w:link w:val="NzevChar"/>
    <w:uiPriority w:val="10"/>
    <w:qFormat/>
    <w:rsid w:val="00311AF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1AF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11AF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11AF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11AF2"/>
    <w:pPr>
      <w:spacing w:before="160"/>
      <w:jc w:val="center"/>
    </w:pPr>
    <w:rPr>
      <w:i/>
      <w:iCs/>
      <w:color w:val="404040" w:themeColor="text1" w:themeTint="BF"/>
    </w:rPr>
  </w:style>
  <w:style w:type="character" w:customStyle="1" w:styleId="CittChar">
    <w:name w:val="Citát Char"/>
    <w:basedOn w:val="Standardnpsmoodstavce"/>
    <w:link w:val="Citt"/>
    <w:uiPriority w:val="29"/>
    <w:rsid w:val="00311AF2"/>
    <w:rPr>
      <w:i/>
      <w:iCs/>
      <w:color w:val="404040" w:themeColor="text1" w:themeTint="BF"/>
    </w:rPr>
  </w:style>
  <w:style w:type="paragraph" w:styleId="Odstavecseseznamem">
    <w:name w:val="List Paragraph"/>
    <w:basedOn w:val="Normln"/>
    <w:uiPriority w:val="34"/>
    <w:qFormat/>
    <w:rsid w:val="00311AF2"/>
    <w:pPr>
      <w:ind w:left="720"/>
      <w:contextualSpacing/>
    </w:pPr>
  </w:style>
  <w:style w:type="character" w:styleId="Zdraznnintenzivn">
    <w:name w:val="Intense Emphasis"/>
    <w:aliases w:val="AR Text"/>
    <w:basedOn w:val="Standardnpsmoodstavce"/>
    <w:uiPriority w:val="21"/>
    <w:qFormat/>
    <w:rsid w:val="00311AF2"/>
    <w:rPr>
      <w:i/>
      <w:iCs/>
      <w:color w:val="0F4761" w:themeColor="accent1" w:themeShade="BF"/>
    </w:rPr>
  </w:style>
  <w:style w:type="paragraph" w:styleId="Vrazncitt">
    <w:name w:val="Intense Quote"/>
    <w:basedOn w:val="Normln"/>
    <w:next w:val="Normln"/>
    <w:link w:val="VrazncittChar"/>
    <w:uiPriority w:val="30"/>
    <w:qFormat/>
    <w:rsid w:val="00311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11AF2"/>
    <w:rPr>
      <w:i/>
      <w:iCs/>
      <w:color w:val="0F4761" w:themeColor="accent1" w:themeShade="BF"/>
    </w:rPr>
  </w:style>
  <w:style w:type="character" w:styleId="Odkazintenzivn">
    <w:name w:val="Intense Reference"/>
    <w:basedOn w:val="Standardnpsmoodstavce"/>
    <w:uiPriority w:val="32"/>
    <w:qFormat/>
    <w:rsid w:val="00311AF2"/>
    <w:rPr>
      <w:b/>
      <w:bCs/>
      <w:smallCaps/>
      <w:color w:val="0F4761" w:themeColor="accent1" w:themeShade="BF"/>
      <w:spacing w:val="5"/>
    </w:rPr>
  </w:style>
  <w:style w:type="paragraph" w:styleId="Bezmezer">
    <w:name w:val="No Spacing"/>
    <w:uiPriority w:val="1"/>
    <w:qFormat/>
    <w:rsid w:val="00207633"/>
    <w:pPr>
      <w:tabs>
        <w:tab w:val="left" w:pos="851"/>
      </w:tabs>
      <w:spacing w:after="0" w:line="240" w:lineRule="auto"/>
      <w:jc w:val="both"/>
    </w:pPr>
    <w:rPr>
      <w:rFonts w:eastAsia="Times New Roman" w:cs="Arial"/>
      <w:kern w:val="0"/>
      <w:sz w:val="20"/>
      <w:szCs w:val="20"/>
      <w:lang w:eastAsia="cs-CZ"/>
      <w14:ligatures w14:val="none"/>
    </w:rPr>
  </w:style>
  <w:style w:type="paragraph" w:styleId="Zkladntextodsazen">
    <w:name w:val="Body Text Indent"/>
    <w:basedOn w:val="Normln"/>
    <w:link w:val="ZkladntextodsazenChar"/>
    <w:uiPriority w:val="99"/>
    <w:unhideWhenUsed/>
    <w:rsid w:val="00903042"/>
    <w:pPr>
      <w:tabs>
        <w:tab w:val="clear" w:pos="851"/>
      </w:tabs>
      <w:spacing w:after="120" w:line="276" w:lineRule="auto"/>
      <w:ind w:left="283"/>
      <w:jc w:val="left"/>
    </w:pPr>
    <w:rPr>
      <w:rFonts w:ascii="Calibri" w:hAnsi="Calibri" w:cs="Calibri"/>
      <w:sz w:val="22"/>
      <w:szCs w:val="22"/>
      <w:lang w:eastAsia="en-US"/>
    </w:rPr>
  </w:style>
  <w:style w:type="character" w:customStyle="1" w:styleId="ZkladntextodsazenChar">
    <w:name w:val="Základní text odsazený Char"/>
    <w:basedOn w:val="Standardnpsmoodstavce"/>
    <w:link w:val="Zkladntextodsazen"/>
    <w:uiPriority w:val="99"/>
    <w:rsid w:val="00903042"/>
    <w:rPr>
      <w:rFonts w:ascii="Calibri" w:eastAsia="Times New Roman" w:hAnsi="Calibri" w:cs="Calibri"/>
      <w:kern w:val="0"/>
      <w14:ligatures w14:val="none"/>
    </w:rPr>
  </w:style>
  <w:style w:type="paragraph" w:styleId="Zhlav">
    <w:name w:val="header"/>
    <w:basedOn w:val="Normln"/>
    <w:link w:val="ZhlavChar"/>
    <w:uiPriority w:val="99"/>
    <w:unhideWhenUsed/>
    <w:rsid w:val="00EE6835"/>
    <w:pPr>
      <w:tabs>
        <w:tab w:val="clear" w:pos="851"/>
        <w:tab w:val="center" w:pos="4536"/>
        <w:tab w:val="right" w:pos="9072"/>
      </w:tabs>
      <w:spacing w:after="0"/>
    </w:pPr>
  </w:style>
  <w:style w:type="character" w:customStyle="1" w:styleId="ZhlavChar">
    <w:name w:val="Záhlaví Char"/>
    <w:basedOn w:val="Standardnpsmoodstavce"/>
    <w:link w:val="Zhlav"/>
    <w:uiPriority w:val="99"/>
    <w:qFormat/>
    <w:rsid w:val="00EE6835"/>
    <w:rPr>
      <w:rFonts w:eastAsia="Times New Roman" w:cs="Arial"/>
      <w:kern w:val="0"/>
      <w:sz w:val="20"/>
      <w:szCs w:val="20"/>
      <w:lang w:eastAsia="cs-CZ"/>
      <w14:ligatures w14:val="none"/>
    </w:rPr>
  </w:style>
  <w:style w:type="paragraph" w:styleId="Zpat">
    <w:name w:val="footer"/>
    <w:basedOn w:val="Normln"/>
    <w:link w:val="ZpatChar"/>
    <w:uiPriority w:val="99"/>
    <w:unhideWhenUsed/>
    <w:rsid w:val="00EE6835"/>
    <w:pPr>
      <w:tabs>
        <w:tab w:val="clear" w:pos="851"/>
        <w:tab w:val="center" w:pos="4536"/>
        <w:tab w:val="right" w:pos="9072"/>
      </w:tabs>
      <w:spacing w:after="0"/>
    </w:pPr>
  </w:style>
  <w:style w:type="character" w:customStyle="1" w:styleId="ZpatChar">
    <w:name w:val="Zápatí Char"/>
    <w:basedOn w:val="Standardnpsmoodstavce"/>
    <w:link w:val="Zpat"/>
    <w:uiPriority w:val="99"/>
    <w:rsid w:val="00EE6835"/>
    <w:rPr>
      <w:rFonts w:eastAsia="Times New Roman" w:cs="Arial"/>
      <w:kern w:val="0"/>
      <w:sz w:val="20"/>
      <w:szCs w:val="20"/>
      <w:lang w:eastAsia="cs-CZ"/>
      <w14:ligatures w14:val="none"/>
    </w:rPr>
  </w:style>
  <w:style w:type="character" w:customStyle="1" w:styleId="normaltextrun">
    <w:name w:val="normaltextrun"/>
    <w:basedOn w:val="Standardnpsmoodstavce"/>
    <w:rsid w:val="007C5495"/>
  </w:style>
  <w:style w:type="character" w:customStyle="1" w:styleId="eop">
    <w:name w:val="eop"/>
    <w:basedOn w:val="Standardnpsmoodstavce"/>
    <w:rsid w:val="007C5495"/>
  </w:style>
  <w:style w:type="paragraph" w:customStyle="1" w:styleId="paragraph">
    <w:name w:val="paragraph"/>
    <w:basedOn w:val="Normln"/>
    <w:rsid w:val="000C3EBC"/>
    <w:pPr>
      <w:tabs>
        <w:tab w:val="clear" w:pos="851"/>
      </w:tabs>
      <w:spacing w:before="100" w:beforeAutospacing="1" w:after="100" w:afterAutospacing="1"/>
      <w:jc w:val="left"/>
    </w:pPr>
    <w:rPr>
      <w:rFonts w:ascii="Times New Roman" w:hAnsi="Times New Roman" w:cs="Times New Roman"/>
      <w:sz w:val="24"/>
      <w:szCs w:val="24"/>
    </w:rPr>
  </w:style>
  <w:style w:type="character" w:customStyle="1" w:styleId="contextualspellingandgrammarerror">
    <w:name w:val="contextualspellingandgrammarerror"/>
    <w:basedOn w:val="Standardnpsmoodstavce"/>
    <w:rsid w:val="000C3EBC"/>
  </w:style>
  <w:style w:type="character" w:styleId="Odkaznakoment">
    <w:name w:val="annotation reference"/>
    <w:basedOn w:val="Standardnpsmoodstavce"/>
    <w:uiPriority w:val="99"/>
    <w:semiHidden/>
    <w:unhideWhenUsed/>
    <w:rsid w:val="005513BF"/>
    <w:rPr>
      <w:sz w:val="16"/>
      <w:szCs w:val="16"/>
    </w:rPr>
  </w:style>
  <w:style w:type="paragraph" w:styleId="Textkomente">
    <w:name w:val="annotation text"/>
    <w:basedOn w:val="Normln"/>
    <w:link w:val="TextkomenteChar"/>
    <w:uiPriority w:val="99"/>
    <w:unhideWhenUsed/>
    <w:rsid w:val="005513BF"/>
  </w:style>
  <w:style w:type="character" w:customStyle="1" w:styleId="TextkomenteChar">
    <w:name w:val="Text komentáře Char"/>
    <w:basedOn w:val="Standardnpsmoodstavce"/>
    <w:link w:val="Textkomente"/>
    <w:uiPriority w:val="99"/>
    <w:rsid w:val="005513BF"/>
    <w:rPr>
      <w:rFonts w:eastAsia="Times New Roman" w:cs="Arial"/>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5513BF"/>
    <w:rPr>
      <w:b/>
      <w:bCs/>
    </w:rPr>
  </w:style>
  <w:style w:type="character" w:customStyle="1" w:styleId="PedmtkomenteChar">
    <w:name w:val="Předmět komentáře Char"/>
    <w:basedOn w:val="TextkomenteChar"/>
    <w:link w:val="Pedmtkomente"/>
    <w:uiPriority w:val="99"/>
    <w:semiHidden/>
    <w:rsid w:val="005513BF"/>
    <w:rPr>
      <w:rFonts w:eastAsia="Times New Roman" w:cs="Arial"/>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png@01DC4CD9.07E38E0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2fd92d-4a95-415f-85c1-c6d947e38658">
      <Terms xmlns="http://schemas.microsoft.com/office/infopath/2007/PartnerControls"/>
    </lcf76f155ced4ddcb4097134ff3c332f>
    <TaxCatchAll xmlns="aa66c430-7097-4280-9973-0f2510a1e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653EA84198BB45921875CE212399AD" ma:contentTypeVersion="18" ma:contentTypeDescription="Vytvoří nový dokument" ma:contentTypeScope="" ma:versionID="acdc99938ea3f3fc9571fda24800f794">
  <xsd:schema xmlns:xsd="http://www.w3.org/2001/XMLSchema" xmlns:xs="http://www.w3.org/2001/XMLSchema" xmlns:p="http://schemas.microsoft.com/office/2006/metadata/properties" xmlns:ns2="252fd92d-4a95-415f-85c1-c6d947e38658" xmlns:ns3="aa66c430-7097-4280-9973-0f2510a1eaf8" targetNamespace="http://schemas.microsoft.com/office/2006/metadata/properties" ma:root="true" ma:fieldsID="82ac69bc502956f9a17db0efc3eea236" ns2:_="" ns3:_="">
    <xsd:import namespace="252fd92d-4a95-415f-85c1-c6d947e38658"/>
    <xsd:import namespace="aa66c430-7097-4280-9973-0f2510a1ea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fd92d-4a95-415f-85c1-c6d947e38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c9f238a-7bcf-4ddd-b79f-3905a05b06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6c430-7097-4280-9973-0f2510a1eaf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99b3a2b-3c2c-4b99-a740-70f0002c4706}" ma:internalName="TaxCatchAll" ma:showField="CatchAllData" ma:web="aa66c430-7097-4280-9973-0f2510a1e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5DA4B-6D1D-461A-9B3D-307FCBC984E5}">
  <ds:schemaRefs>
    <ds:schemaRef ds:uri="http://schemas.microsoft.com/office/2006/metadata/properties"/>
    <ds:schemaRef ds:uri="http://schemas.microsoft.com/office/infopath/2007/PartnerControls"/>
    <ds:schemaRef ds:uri="252fd92d-4a95-415f-85c1-c6d947e38658"/>
    <ds:schemaRef ds:uri="aa66c430-7097-4280-9973-0f2510a1eaf8"/>
  </ds:schemaRefs>
</ds:datastoreItem>
</file>

<file path=customXml/itemProps2.xml><?xml version="1.0" encoding="utf-8"?>
<ds:datastoreItem xmlns:ds="http://schemas.openxmlformats.org/officeDocument/2006/customXml" ds:itemID="{E93859F7-8CA7-4896-8221-E42E42572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fd92d-4a95-415f-85c1-c6d947e38658"/>
    <ds:schemaRef ds:uri="aa66c430-7097-4280-9973-0f2510a1e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8D354-9026-4B12-AEC6-D394E7478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5223</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Macela</dc:creator>
  <cp:keywords/>
  <dc:description/>
  <cp:lastModifiedBy>Kateřina Sejková</cp:lastModifiedBy>
  <cp:revision>47</cp:revision>
  <dcterms:created xsi:type="dcterms:W3CDTF">2026-01-22T12:43:00Z</dcterms:created>
  <dcterms:modified xsi:type="dcterms:W3CDTF">2026-01-30T09:41:00Z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0x010100A2653EA84198BB45921875CE212399AD</vt:lpwstr>
  </property>
  <property fmtid="{D5CDD505-2E9C-101B-9397-08002B2CF9AE}" pid="3" name="MediaServiceImageTags">
    <vt:lpwstr/>
  </property>
</Properties>
</file>