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  <w:jc w:val="center"/>
      </w:pPr>
      <w:r>
        <w:rPr>
          <w:rFonts w:ascii="Arial" w:hAnsi="Arial"/>
          <w:b/>
          <w:color w:val="1F4E78"/>
          <w:sz w:val="44"/>
        </w:rPr>
        <w:t>TECHNICKÁ SPECIFIKACE</w:t>
      </w:r>
    </w:p>
    <w:p>
      <w:pPr>
        <w:jc w:val="center"/>
      </w:pPr>
      <w:r>
        <w:rPr>
          <w:rFonts w:ascii="Arial" w:hAnsi="Arial"/>
          <w:b/>
          <w:color w:val="2F6B57"/>
          <w:sz w:val="26"/>
        </w:rPr>
        <w:t>Výběrové řízení na stavební práce „Agroturistika na farmě“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Zadavatel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Biofarma Pod Hájkem s.r.o.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IČO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24736261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Označení dokumentu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P03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Verze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V07</w:t>
            </w:r>
          </w:p>
        </w:tc>
      </w:tr>
      <w:tr>
        <w:tc>
          <w:tcPr>
            <w:tcW w:type="dxa" w:w="28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Datum zpracování</w:t>
            </w:r>
          </w:p>
        </w:tc>
        <w:tc>
          <w:tcPr>
            <w:tcW w:type="dxa" w:w="4535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7. 8. 2026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/>
          <w:b w:val="0"/>
          <w:i w:val="0"/>
        </w:rPr>
        <w:t>1. Obecné požadavky</w:t>
      </w:r>
    </w:p>
    <w:p>
      <w:pPr>
        <w:pStyle w:val="ListBullet"/>
        <w:ind w:left="312" w:hanging="142"/>
      </w:pPr>
      <w:r>
        <w:t>Veškeré rozměry musí zhotovitel před výrobou ověřit zaměřením na místě.</w:t>
      </w:r>
    </w:p>
    <w:p>
      <w:pPr>
        <w:pStyle w:val="ListBullet"/>
        <w:ind w:left="312" w:hanging="142"/>
      </w:pPr>
      <w:r>
        <w:t>Práce nezahrnují zásah do nosných konstrukcí budovy.</w:t>
      </w:r>
    </w:p>
    <w:p>
      <w:pPr>
        <w:pStyle w:val="ListBullet"/>
        <w:ind w:left="312" w:hanging="142"/>
      </w:pPr>
      <w:r>
        <w:t>Materiály a výrobky budou nové, nepoužité, vzájemně kompatibilní a vhodné pro určené prostředí.</w:t>
      </w:r>
    </w:p>
    <w:p>
      <w:pPr>
        <w:pStyle w:val="ListBullet"/>
        <w:ind w:left="312" w:hanging="142"/>
      </w:pPr>
      <w:r>
        <w:t>Součástí položek jsou všechny nezbytné pomocné práce, kotvení, spojovací materiál, těsnění, doprava, manipulace, ochrana okolí, úklid a odstranění odpadu.</w:t>
      </w:r>
    </w:p>
    <w:p>
      <w:pPr>
        <w:pStyle w:val="ListBullet"/>
        <w:ind w:left="312" w:hanging="142"/>
      </w:pPr>
      <w:r>
        <w:rPr>
          <w:rFonts w:ascii="Arial" w:hAnsi="Arial"/>
        </w:rPr>
        <w:t>Konkrétní výrobce a typ se v nabídce neuvádějí. Každý odkaz na normu, materiál, původ nebo technické označení zahrnuje možnost rovnocenné normy nebo rovnocenného technického řešení, které prokazatelně splní nejméně stejné funkční, kvalitativní, bezpečnostní a životnostní požadavky. Technické podklady předloží vybraný zhotovitel až před objednáním, výrobou nebo zabudováním.</w:t>
      </w:r>
    </w:p>
    <w:p>
      <w:pPr>
        <w:pStyle w:val="ListBullet"/>
        <w:ind w:left="312" w:hanging="142"/>
      </w:pPr>
      <w:r>
        <w:t>Orientační skici předpokládaného vzhledu objektu po opláštění, uvedené v P06, slouží pouze jako vizuální podklad pro pochopení záměru zadavatele. Nejde o výrobní ani prováděcí výkresy; závazný rozsah prací, technické parametry a množství stanoví P03, P04 a P05 a skutečný stav musí zhotovitel ověřit zaměřením na místě.</w:t>
      </w:r>
    </w:p>
    <w:p>
      <w:r>
        <w:t>Dvě malá přízemní okna na severní fasádě nejsou součástí předmětu plnění; jejich případné schematické zobrazení v P06 má pouze informativní charakter. Rozsah výměny nebo úprav otvorových prvků stanoví výhradně P05 – Přehled oken a dveří.</w:t>
      </w:r>
    </w:p>
    <w:p>
      <w:pPr>
        <w:pStyle w:val="ListBullet"/>
        <w:ind w:left="312" w:hanging="142"/>
      </w:pPr>
      <w:r>
        <w:t>Žádný výrobek nesmí snížit požadovanou funkčnost, životnost, energetickou úroveň nebo bezpečnost.</w:t>
      </w:r>
    </w:p>
    <w:p>
      <w:pPr>
        <w:pStyle w:val="ListBullet"/>
      </w:pPr>
      <w:r>
        <w:t>Po dobu, kdy je ubytovací provozovna otevřena hostům nebo probíhá její běžný provoz, nesmí být v objektu, na objektu, v lodžii ani v bezprostředně navazujícím provozním zázemí prováděny žádné práce ani jiné úkony související s dílem. Zákaz zahrnuje rovněž zaměření, dovoz a manipulaci s materiálem, přípravu a zabezpečení pracoviště, kontroly, dokončovací práce, odstraňování vad a úklid.</w:t>
      </w:r>
    </w:p>
    <w:p>
      <w:pPr>
        <w:pStyle w:val="ListBullet"/>
      </w:pPr>
      <w:r>
        <w:rPr>
          <w:rFonts w:ascii="Arial" w:hAnsi="Arial"/>
          <w:sz w:val="17"/>
        </w:rPr>
        <w:t>Veškeré úkony na místě plnění lze provádět výhradně ve dnech úplného provozního uzavření a každý takový den se započítává do limitu příslušné etapy podle dokumentu 01 a smlouvy P02. Mimo tento limit může probíhat pouze technická, výrobní nebo organizační příprava prováděná mimo místo plnění a bez jakéhokoli zásahu do provozu objektu.</w:t>
      </w:r>
    </w:p>
    <w:p>
      <w:pPr>
        <w:pStyle w:val="Heading1"/>
      </w:pPr>
      <w:r>
        <w:rPr>
          <w:rFonts w:ascii="Arial" w:hAnsi="Arial"/>
          <w:b w:val="0"/>
          <w:i w:val="0"/>
        </w:rPr>
        <w:t>2. Okna a dveře</w:t>
      </w:r>
    </w:p>
    <w:p>
      <w:pPr>
        <w:pStyle w:val="Heading2"/>
      </w:pPr>
      <w:r>
        <w:rPr>
          <w:rFonts w:ascii="Arial" w:hAnsi="Arial"/>
          <w:b w:val="0"/>
          <w:i w:val="0"/>
        </w:rPr>
        <w:t>2.1 Společné požadavky</w:t>
      </w:r>
    </w:p>
    <w:p>
      <w:pPr>
        <w:pStyle w:val="ListBullet"/>
        <w:ind w:left="312" w:hanging="142"/>
      </w:pPr>
      <w:r>
        <w:t>plastové profily PVC-U s konstrukční hloubkou nejméně 76 mm;</w:t>
      </w:r>
    </w:p>
    <w:p>
      <w:pPr>
        <w:pStyle w:val="ListBullet"/>
        <w:ind w:left="312" w:hanging="142"/>
      </w:pPr>
      <w:r>
        <w:t>venkovní dekor ořech, vnitřní povrch bílý;</w:t>
      </w:r>
    </w:p>
    <w:p>
      <w:pPr>
        <w:pStyle w:val="ListBullet"/>
        <w:ind w:left="312" w:hanging="142"/>
      </w:pPr>
      <w:r>
        <w:t>výztuhy profilů podle statického návrhu systému a velikosti prvků;</w:t>
      </w:r>
    </w:p>
    <w:p>
      <w:pPr>
        <w:pStyle w:val="ListBullet"/>
        <w:ind w:left="312" w:hanging="142"/>
      </w:pPr>
      <w:r>
        <w:t>celoobvodové kování, mikroventilace a bezpečné seřízení podle typu prvku;</w:t>
      </w:r>
    </w:p>
    <w:p>
      <w:pPr>
        <w:pStyle w:val="ListBullet"/>
        <w:ind w:left="312" w:hanging="142"/>
      </w:pPr>
      <w:r>
        <w:t>teplý distanční rámeček;</w:t>
      </w:r>
    </w:p>
    <w:p>
      <w:pPr>
        <w:pStyle w:val="ListBullet"/>
        <w:ind w:left="312" w:hanging="142"/>
      </w:pPr>
      <w:r>
        <w:t>kompletní zaměření, demontáž, odvoz, montáž, kotvení, vnitřní a vnější utěsnění připojovací spáry, zapravení, seřízení a doklady;</w:t>
      </w:r>
    </w:p>
    <w:p>
      <w:pPr>
        <w:pStyle w:val="ListBullet"/>
        <w:ind w:left="312" w:hanging="142"/>
      </w:pPr>
      <w:r>
        <w:rPr>
          <w:rFonts w:ascii="Arial" w:hAnsi="Arial"/>
        </w:rPr>
        <w:t>CE a prohlášení o vlastnostech podle EN 14351-1 nebo podle rovnocenné harmonizované technické specifikace.</w:t>
      </w:r>
    </w:p>
    <w:p>
      <w:pPr>
        <w:pStyle w:val="Heading2"/>
      </w:pPr>
      <w:r>
        <w:rPr>
          <w:rFonts w:ascii="Arial" w:hAnsi="Arial"/>
          <w:b w:val="0"/>
          <w:i w:val="0"/>
        </w:rPr>
        <w:t>2.2 Okna</w:t>
      </w:r>
    </w:p>
    <w:p>
      <w:pPr>
        <w:pStyle w:val="ListBullet"/>
        <w:ind w:left="312" w:hanging="142"/>
      </w:pPr>
      <w:r>
        <w:t>profil se středovým těsněním, celkem tři funkční těsnicí roviny;</w:t>
      </w:r>
    </w:p>
    <w:p>
      <w:pPr>
        <w:pStyle w:val="ListBullet"/>
        <w:ind w:left="312" w:hanging="142"/>
      </w:pPr>
      <w:r>
        <w:t>součinitel prostupu tepla rámem Uf nejvýše 1,10 W/m²K;</w:t>
      </w:r>
    </w:p>
    <w:p>
      <w:pPr>
        <w:pStyle w:val="ListBullet"/>
        <w:ind w:left="312" w:hanging="142"/>
      </w:pPr>
      <w:r>
        <w:t>izolační trojsklo s Ug nejvýše 0,60 W/m²K, není-li u konkrétního prvku v P05 stanoveno dvojsklo;</w:t>
      </w:r>
    </w:p>
    <w:p>
      <w:pPr>
        <w:pStyle w:val="ListBullet"/>
        <w:ind w:left="312" w:hanging="142"/>
      </w:pPr>
      <w:r>
        <w:t>izolační dvojsklo s Ug nejvýše 1,10 W/m²K pouze u šesti oken určených v P05;</w:t>
      </w:r>
    </w:p>
    <w:p>
      <w:pPr>
        <w:pStyle w:val="ListBullet"/>
        <w:ind w:left="312" w:hanging="142"/>
      </w:pPr>
      <w:r>
        <w:t>referenční standardní okno 1150 × 1440 mm s trojsklem musí jako celý výrobek dosahovat Uw nejvýše 0,90 W/m²K.</w:t>
      </w:r>
    </w:p>
    <w:p>
      <w:pPr>
        <w:pStyle w:val="Heading2"/>
      </w:pPr>
      <w:r>
        <w:rPr>
          <w:rFonts w:ascii="Arial" w:hAnsi="Arial"/>
          <w:b w:val="0"/>
          <w:i w:val="0"/>
        </w:rPr>
        <w:t>2.3 Balkonové a vstupní dveře</w:t>
      </w:r>
    </w:p>
    <w:p>
      <w:pPr>
        <w:pStyle w:val="ListBullet"/>
        <w:ind w:left="312" w:hanging="142"/>
      </w:pPr>
      <w:r>
        <w:t>profil nejméně 76 mm a nejméně dvě těsnicí roviny;</w:t>
      </w:r>
    </w:p>
    <w:p>
      <w:pPr>
        <w:pStyle w:val="ListBullet"/>
        <w:ind w:left="312" w:hanging="142"/>
      </w:pPr>
      <w:r>
        <w:t>zasklené části izolačním trojsklem; tepelněizolační plná výplň s U nejvýše 0,80 W/m²K;</w:t>
      </w:r>
    </w:p>
    <w:p>
      <w:pPr>
        <w:pStyle w:val="ListBullet"/>
        <w:ind w:left="312" w:hanging="142"/>
      </w:pPr>
      <w:r>
        <w:t>nejméně tříbodový zámek, tři seřiditelné závěsy a nízký hliníkový práh s přerušeným tepelným mostem;</w:t>
      </w:r>
    </w:p>
    <w:p>
      <w:pPr>
        <w:pStyle w:val="ListBullet"/>
        <w:ind w:left="312" w:hanging="142"/>
      </w:pPr>
      <w:r>
        <w:t>balkonové dveře BD01 musí jako celý výrobek dosahovat Uw nejvýše 1,20 W/m²K; jednokřídlé vstupní dveře VD01 musí dosahovat Ud nejvýše 1,20 W/m²K; vstupní elementy VD02 a VD03 musí jako celý element dosahovat součinitele prostupu tepla U nejvýše 1,40 W/m²K.</w:t>
      </w:r>
    </w:p>
    <w:p>
      <w:pPr>
        <w:pStyle w:val="Heading1"/>
      </w:pPr>
      <w:r>
        <w:rPr>
          <w:rFonts w:ascii="Arial" w:hAnsi="Arial"/>
          <w:b w:val="0"/>
          <w:i w:val="0"/>
        </w:rPr>
        <w:t>3. Opláštění a zateplení objektu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Parametr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Požadavek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Orientační hrubá plocha fasády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cca 219 m²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Orientační čistá plocha opláštění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cca 183 m²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Demontáž stávajícího opláštění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cca 133 m²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Tepelná izolace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tloušťka 70 mm; materiál vhodný do provětrávané fasády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Nosný rošt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dřevěný, dimenzovaný a kotvený podle podkladu; impregnovaný před montáží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Větrozábrana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difuzně otevřená fasádní fólie se systémovými spoji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Odvětrávaná mezera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souvislá, funkční, chráněná proti hmyzu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Obklad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>
              <w:rPr>
                <w:rFonts w:ascii="Arial" w:hAnsi="Arial"/>
                <w:sz w:val="18"/>
              </w:rPr>
              <w:t>fasádní prkna z modřínu evropského, sibiřského nebo jiné rovnocenné dřeviny vhodné pro venkovní provětrávanou fasádu; svislé uspořádání, otevřené spáry cca 6 mm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Povrchová ochrana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rFonts w:ascii="Arial" w:hAnsi="Arial"/>
                <w:sz w:val="18"/>
              </w:rPr>
              <w:t>venkovní olejová impregnace určená pro zvolenou dřevinu; první nátěr oboustranně před montáží; ošetření hran a čel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Tloušťka prken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nejméně 19 mm po konečném opracování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Vlhkost prken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nejvýše 20 % při dodání a montáži</w:t>
            </w:r>
          </w:p>
        </w:tc>
      </w:tr>
    </w:tbl>
    <w:p>
      <w:pPr>
        <w:pStyle w:val="ListBullet"/>
        <w:ind w:left="312" w:hanging="142"/>
      </w:pPr>
      <w:r>
        <w:t>Součástí jsou ostění, rohy, soklové a napojovací detaily, parapety, okapničky, klempířské prvky, dilatace a odvod vody.</w:t>
      </w:r>
    </w:p>
    <w:p>
      <w:pPr>
        <w:pStyle w:val="ListBullet"/>
        <w:ind w:left="312" w:hanging="142"/>
      </w:pPr>
      <w:r>
        <w:t>Zakrývané vrstvy musí být před uzavřením zkontrolovány a fotograficky zdokumentovány.</w:t>
      </w:r>
    </w:p>
    <w:p>
      <w:pPr>
        <w:pStyle w:val="ListBullet"/>
        <w:ind w:left="312" w:hanging="142"/>
      </w:pPr>
      <w:r>
        <w:t>Dřevěné prvky musí být tříděné, vysušené a vhodné pro venkovní použití.</w:t>
      </w:r>
    </w:p>
    <w:p>
      <w:pPr>
        <w:pStyle w:val="Heading1"/>
      </w:pPr>
      <w:r>
        <w:rPr>
          <w:rFonts w:ascii="Arial" w:hAnsi="Arial"/>
          <w:b w:val="0"/>
          <w:i w:val="0"/>
        </w:rPr>
        <w:t>4. Balkon a venkovní schodiště</w:t>
      </w:r>
    </w:p>
    <w:p>
      <w:pPr>
        <w:pStyle w:val="ListBullet"/>
        <w:ind w:left="312" w:hanging="142"/>
      </w:pPr>
      <w:r>
        <w:t>stávající balkon přibližně 6 × 1 m; základní nabídka vychází ze zachování stávajících hlavních ocelových nosníků po jejich odkrytí, očištění, kontrole přístupných částí a antikorozním ošetření;</w:t>
      </w:r>
    </w:p>
    <w:p>
      <w:pPr>
        <w:pStyle w:val="ListBullet"/>
        <w:ind w:left="312" w:hanging="142"/>
      </w:pPr>
      <w:r>
        <w:t>nová pochozí vrstva z žárově pozinkovaného protiskluzného ocelového roštu v orientační ploše 6 m² včetně bezpečného uložení, spojů, okrajů a odvodnění;</w:t>
      </w:r>
    </w:p>
    <w:p>
      <w:pPr>
        <w:pStyle w:val="ListBullet"/>
        <w:ind w:left="312" w:hanging="142"/>
      </w:pPr>
      <w:r>
        <w:t>žárově pozinkované zábradlí v orientační délce 7 bm s dřevěným obkladem vzhledově navazujícím na fasádu; geometrie, výška, mezery a kotvení musí splnit platné bezpečnostní a technické požadavky;</w:t>
      </w:r>
    </w:p>
    <w:p>
      <w:pPr>
        <w:pStyle w:val="ListBullet"/>
        <w:ind w:left="312" w:hanging="142"/>
      </w:pPr>
      <w:r>
        <w:t>venkovní točité schodiště na míru z žárově pozinkované oceli, vedené z terénu na úroveň balkonu; orientační výškový rozdíl je cca 3,0 m. Součástí jsou protiskluzné stupně, zábradlí a madlo, nástupní a výstupní napojení, základová konstrukce, kotvy, statický výpočet, výrobní dokumentace, doprava a montáž;</w:t>
      </w:r>
    </w:p>
    <w:p>
      <w:pPr>
        <w:pStyle w:val="ListBullet"/>
        <w:ind w:left="312" w:hanging="142"/>
      </w:pPr>
      <w:r>
        <w:t>řešení nesmí bez předchozího písemného schválení vyžadovat zásah do nosné konstrukce budovy; kotvení a napojení budou doloženy technickým a statickým návrhem. Zjistí-li se po odkrytí skrytá závada hlavních nosníků, která nebyla rozpoznatelná při prohlídce, lze další postup řešit pouze smluvním postupem přípustným podle pravidel SZIF.</w:t>
      </w:r>
    </w:p>
    <w:p>
      <w:pPr>
        <w:pStyle w:val="Heading1"/>
      </w:pPr>
      <w:r>
        <w:rPr>
          <w:rFonts w:ascii="Arial" w:hAnsi="Arial"/>
          <w:b w:val="0"/>
          <w:i w:val="0"/>
        </w:rPr>
        <w:t>5. WC</w:t>
      </w:r>
    </w:p>
    <w:p>
      <w:pPr>
        <w:pStyle w:val="ListBullet"/>
        <w:ind w:left="312" w:hanging="142"/>
      </w:pPr>
      <w:r>
        <w:t>rozměr místnosti přibližně 0,8 × 2,0 m;</w:t>
      </w:r>
    </w:p>
    <w:p>
      <w:pPr>
        <w:pStyle w:val="ListBullet"/>
        <w:ind w:left="312" w:hanging="142"/>
      </w:pPr>
      <w:r>
        <w:t>demontáž podlahového WC a instalace závěsné mísy s nosným rámem a splachovacím modulem;</w:t>
      </w:r>
    </w:p>
    <w:p>
      <w:pPr>
        <w:pStyle w:val="ListBullet"/>
        <w:ind w:left="312" w:hanging="142"/>
      </w:pPr>
      <w:r>
        <w:t>sádrokartonová předstěna a doplnění obkladů v dotčené části;</w:t>
      </w:r>
    </w:p>
    <w:p>
      <w:pPr>
        <w:pStyle w:val="ListBullet"/>
        <w:ind w:left="312" w:hanging="142"/>
      </w:pPr>
      <w:r>
        <w:t>demontáž stávajícího radiátoru a instalace nového tělesa nad modulem podle prostorových možností;</w:t>
      </w:r>
    </w:p>
    <w:p>
      <w:pPr>
        <w:pStyle w:val="ListBullet"/>
        <w:ind w:left="312" w:hanging="142"/>
      </w:pPr>
      <w:r>
        <w:t>instalace ventilátoru do stávajícího vývodu; elektrické připojení odborně způsobilou osobou;</w:t>
      </w:r>
    </w:p>
    <w:p>
      <w:pPr>
        <w:pStyle w:val="ListBullet"/>
        <w:ind w:left="312" w:hanging="142"/>
      </w:pPr>
      <w:r>
        <w:t>stávající obklady a dlažba mimo novou předstěnu zůstávají zachovány.</w:t>
      </w:r>
    </w:p>
    <w:p>
      <w:pPr>
        <w:pStyle w:val="Heading1"/>
      </w:pPr>
      <w:r>
        <w:rPr>
          <w:rFonts w:ascii="Arial" w:hAnsi="Arial"/>
          <w:b w:val="0"/>
          <w:i w:val="0"/>
        </w:rPr>
        <w:t>6. Koupelna</w:t>
      </w:r>
    </w:p>
    <w:p>
      <w:pPr>
        <w:pStyle w:val="ListBullet"/>
        <w:ind w:left="312" w:hanging="142"/>
      </w:pPr>
      <w:r>
        <w:t>rozměr místnosti přibližně 2,0 × 1,8 m;</w:t>
      </w:r>
    </w:p>
    <w:p>
      <w:pPr>
        <w:pStyle w:val="ListBullet"/>
        <w:ind w:left="312" w:hanging="142"/>
      </w:pPr>
      <w:r>
        <w:t>demontáž vany přibližně 120 × 60 cm;</w:t>
      </w:r>
    </w:p>
    <w:p>
      <w:pPr>
        <w:pStyle w:val="ListBullet"/>
        <w:ind w:left="312" w:hanging="142"/>
      </w:pPr>
      <w:r>
        <w:t>instalace sprchové vaničky a zástěny nebo koutu přibližně 120 × 60 cm s využitím stávajícího odpadu;</w:t>
      </w:r>
    </w:p>
    <w:p>
      <w:pPr>
        <w:pStyle w:val="ListBullet"/>
        <w:ind w:left="312" w:hanging="142"/>
      </w:pPr>
      <w:r>
        <w:t>demontáž stávajícího radiátoru a instalace žebřinového radiátoru;</w:t>
      </w:r>
    </w:p>
    <w:p>
      <w:pPr>
        <w:pStyle w:val="ListBullet"/>
        <w:ind w:left="312" w:hanging="142"/>
      </w:pPr>
      <w:r>
        <w:t>instalace ventilátoru do stávajícího vývodu;</w:t>
      </w:r>
    </w:p>
    <w:p>
      <w:pPr>
        <w:pStyle w:val="ListBullet"/>
        <w:ind w:left="312" w:hanging="142"/>
      </w:pPr>
      <w:r>
        <w:t>obklady, dlažba, umyvadlo, zrcadlo a ostatní vybavení zůstávají, nejsou-li přímo dotčeny pracemi.</w:t>
      </w:r>
    </w:p>
    <w:p>
      <w:pPr>
        <w:pStyle w:val="Heading1"/>
      </w:pPr>
      <w:r>
        <w:rPr>
          <w:rFonts w:ascii="Arial" w:hAnsi="Arial"/>
          <w:b w:val="0"/>
          <w:i w:val="0"/>
        </w:rPr>
        <w:t>7. Lodžie – dětský koutek</w:t>
      </w:r>
    </w:p>
    <w:p>
      <w:pPr>
        <w:pStyle w:val="ListBullet"/>
        <w:ind w:left="312" w:hanging="142"/>
      </w:pPr>
      <w:r>
        <w:t>demontáž stávajícího dřevěného obložení stěn a stropu v ploše přibližně 21 m²;</w:t>
      </w:r>
    </w:p>
    <w:p>
      <w:pPr>
        <w:pStyle w:val="ListBullet"/>
        <w:ind w:left="312" w:hanging="142"/>
      </w:pPr>
      <w:r>
        <w:t>kontrola podkladu a běžné lokální opravy;</w:t>
      </w:r>
    </w:p>
    <w:p>
      <w:pPr>
        <w:pStyle w:val="ListBullet"/>
        <w:ind w:left="312" w:hanging="142"/>
      </w:pPr>
      <w:r>
        <w:t>nový nosný rošt a sádrokartonové opláštění stěn a stropu;</w:t>
      </w:r>
    </w:p>
    <w:p>
      <w:pPr>
        <w:pStyle w:val="ListBullet"/>
        <w:ind w:left="312" w:hanging="142"/>
      </w:pPr>
      <w:r>
        <w:t>zateplení pouze dvou obvodových stěn pod okny v celkové výměře 4,92 m² minerální vatou tloušťky 150 mm;</w:t>
      </w:r>
    </w:p>
    <w:p>
      <w:pPr>
        <w:pStyle w:val="ListBullet"/>
        <w:ind w:left="312" w:hanging="142"/>
      </w:pPr>
      <w:r>
        <w:t>systémové fólie, pásky a utěsnění spojů, prostupů a návazností podle skutečné skladby;</w:t>
      </w:r>
    </w:p>
    <w:p>
      <w:pPr>
        <w:pStyle w:val="ListBullet"/>
        <w:ind w:left="312" w:hanging="142"/>
      </w:pPr>
      <w:r>
        <w:t>bez instalace radiátoru a bez rozšíření otopné soustavy;</w:t>
      </w:r>
    </w:p>
    <w:p>
      <w:pPr>
        <w:pStyle w:val="ListBullet"/>
        <w:ind w:left="312" w:hanging="142"/>
      </w:pPr>
      <w:r>
        <w:t>povrch připravený k penetraci a malbě; malba je zahrnuta v části malířských prací.</w:t>
      </w:r>
    </w:p>
    <w:p>
      <w:pPr>
        <w:pStyle w:val="Heading1"/>
      </w:pPr>
      <w:r>
        <w:rPr>
          <w:rFonts w:ascii="Arial" w:hAnsi="Arial"/>
          <w:b w:val="0"/>
          <w:i w:val="0"/>
        </w:rPr>
        <w:t>8. Podlahové krytiny a schodiště</w:t>
      </w:r>
    </w:p>
    <w:p>
      <w:pPr>
        <w:pStyle w:val="ListBullet"/>
        <w:ind w:left="312" w:hanging="142"/>
      </w:pPr>
      <w:r>
        <w:rPr>
          <w:rFonts w:ascii="Arial" w:hAnsi="Arial"/>
        </w:rPr>
        <w:t>zátěžový koberec v patře v ploše přibližně 88 m² a na 15 stupních schodiště o šířce přibližně 0,90 m a celkové rozvinuté délce přibližně 10 m; skutečné rozměry ověří zhotovitel na místě;</w:t>
      </w:r>
    </w:p>
    <w:p>
      <w:pPr>
        <w:pStyle w:val="ListBullet"/>
        <w:ind w:left="312" w:hanging="142"/>
      </w:pPr>
      <w:r>
        <w:t>demontáž stávající krytiny, příprava podkladu, lepení, profily, hrany, sokly a úklid;</w:t>
      </w:r>
    </w:p>
    <w:p>
      <w:pPr>
        <w:pStyle w:val="ListBullet"/>
        <w:ind w:left="312" w:hanging="142"/>
      </w:pPr>
      <w:r>
        <w:rPr>
          <w:rFonts w:ascii="Arial" w:hAnsi="Arial"/>
        </w:rPr>
        <w:t>krytina vhodná pro ubytovací zařízení, nejméně třída zátěže 32 podle EN 1307 nebo rovnocenné normy a reakce na oheň nejméně Cfl-s1 podle EN 13501-1 nebo rovnocenné normy.</w:t>
      </w:r>
    </w:p>
    <w:p>
      <w:pPr>
        <w:pStyle w:val="Heading1"/>
      </w:pPr>
      <w:r>
        <w:rPr>
          <w:rFonts w:ascii="Arial" w:hAnsi="Arial"/>
          <w:b w:val="0"/>
          <w:i w:val="0"/>
        </w:rPr>
        <w:t>9. Plynový kotel</w:t>
      </w:r>
    </w:p>
    <w:p>
      <w:pPr>
        <w:pStyle w:val="ListBullet"/>
        <w:ind w:left="312" w:hanging="142"/>
      </w:pPr>
      <w:r>
        <w:t>závěsný kondenzační plynový kotel s integrovaným zásobníkovým ohřevem teplé vody o objemu nejméně 42 litrů;</w:t>
      </w:r>
    </w:p>
    <w:p>
      <w:pPr>
        <w:pStyle w:val="ListBullet"/>
        <w:ind w:left="312" w:hanging="142"/>
      </w:pPr>
      <w:r>
        <w:rPr>
          <w:rFonts w:ascii="Arial" w:hAnsi="Arial"/>
          <w:sz w:val="17"/>
        </w:rPr>
        <w:t>jmenovitý výkon pro vytápění přibližně 20 kW; konečný návrh, dimenzování a nastavení musí odpovídat stávající otopné soustavě, tepelným potřebám objektu a provozu ubytovacího zařízení;</w:t>
      </w:r>
    </w:p>
    <w:p>
      <w:pPr>
        <w:pStyle w:val="ListBullet"/>
        <w:ind w:left="312" w:hanging="142"/>
      </w:pPr>
      <w:r>
        <w:rPr>
          <w:rFonts w:ascii="Arial" w:hAnsi="Arial"/>
          <w:sz w:val="17"/>
        </w:rPr>
        <w:t>výkon pro přípravu teplé vody nejméně 25 kW;</w:t>
      </w:r>
    </w:p>
    <w:p>
      <w:pPr>
        <w:pStyle w:val="ListBullet"/>
        <w:ind w:left="312" w:hanging="142"/>
      </w:pPr>
      <w:r>
        <w:t>kompatibilní ekvitermní regulace s venkovním čidlem a prostorovým ovládáním;</w:t>
      </w:r>
    </w:p>
    <w:p>
      <w:pPr>
        <w:pStyle w:val="ListBullet"/>
        <w:ind w:left="312" w:hanging="142"/>
      </w:pPr>
      <w:r>
        <w:t>demontáž a zákonná likvidace stávajícího kotle;</w:t>
      </w:r>
    </w:p>
    <w:p>
      <w:pPr>
        <w:pStyle w:val="ListBullet"/>
        <w:ind w:left="312" w:hanging="142"/>
      </w:pPr>
      <w:r>
        <w:t>kompletní napojení na otopnou soustavu, plyn, vodu, kondenzát a spalinovou cestu;</w:t>
      </w:r>
    </w:p>
    <w:p>
      <w:pPr>
        <w:pStyle w:val="ListBullet"/>
        <w:ind w:left="312" w:hanging="142"/>
      </w:pPr>
      <w:r>
        <w:t>zkoušky, uvedení do provozu, zaškolení, revize a povinné doklady.</w:t>
      </w:r>
    </w:p>
    <w:p>
      <w:pPr>
        <w:pStyle w:val="Heading1"/>
      </w:pPr>
      <w:r>
        <w:rPr>
          <w:rFonts w:ascii="Arial" w:hAnsi="Arial"/>
          <w:b w:val="0"/>
          <w:i w:val="0"/>
        </w:rPr>
        <w:t>10. Svítidla a ventilátory</w:t>
      </w:r>
    </w:p>
    <w:p>
      <w:pPr>
        <w:pStyle w:val="ListBullet"/>
        <w:ind w:left="312" w:hanging="142"/>
      </w:pPr>
      <w:r>
        <w:rPr>
          <w:rFonts w:ascii="Arial" w:hAnsi="Arial"/>
        </w:rPr>
        <w:t>výměna 17 přisazených stropních LED svítidel a 8 menších nástěnných LED svítidel;</w:t>
      </w:r>
    </w:p>
    <w:p>
      <w:pPr>
        <w:pStyle w:val="ListBullet"/>
        <w:ind w:left="312" w:hanging="142"/>
      </w:pPr>
      <w:r>
        <w:t>výměna ventilátorů ve WC a koupelně;</w:t>
      </w:r>
    </w:p>
    <w:p>
      <w:pPr>
        <w:pStyle w:val="ListBullet"/>
        <w:ind w:left="312" w:hanging="142"/>
      </w:pPr>
      <w:r>
        <w:t>montáž na stávající vývody bez budování nových elektrických rozvodů;</w:t>
      </w:r>
    </w:p>
    <w:p>
      <w:pPr>
        <w:pStyle w:val="ListBullet"/>
        <w:ind w:left="312" w:hanging="142"/>
      </w:pPr>
      <w:r>
        <w:t>elektrické odpojení a připojení provede odborně způsobilá osoba;</w:t>
      </w:r>
    </w:p>
    <w:p>
      <w:pPr>
        <w:pStyle w:val="ListBullet"/>
        <w:ind w:left="312" w:hanging="142"/>
      </w:pPr>
      <w:r>
        <w:t>svítidla a ventilátory musí být vhodné pro dané prostředí a mít odpovídající krytí.</w:t>
      </w:r>
    </w:p>
    <w:p>
      <w:pPr>
        <w:pStyle w:val="Heading1"/>
      </w:pPr>
      <w:r>
        <w:rPr>
          <w:rFonts w:ascii="Arial" w:hAnsi="Arial"/>
          <w:b w:val="0"/>
          <w:i w:val="0"/>
        </w:rPr>
        <w:t>11. Malířské práce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Plocha</w:t>
            </w:r>
          </w:p>
        </w:tc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Orientační výměra</w:t>
            </w:r>
          </w:p>
        </w:tc>
      </w:tr>
      <w:tr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Stěny – bílá</w:t>
            </w:r>
          </w:p>
        </w:tc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150 m²</w:t>
            </w:r>
          </w:p>
        </w:tc>
      </w:tr>
      <w:tr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Stěny / sokl – béžová</w:t>
            </w:r>
          </w:p>
        </w:tc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40 m²</w:t>
            </w:r>
          </w:p>
        </w:tc>
      </w:tr>
      <w:tr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Stropy – bílá</w:t>
            </w:r>
          </w:p>
        </w:tc>
        <w:tc>
          <w:tcPr>
            <w:tcW w:type="dxa" w:w="51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160 m²</w:t>
            </w:r>
          </w:p>
        </w:tc>
      </w:tr>
    </w:tbl>
    <w:p>
      <w:pPr>
        <w:pStyle w:val="ListBullet"/>
        <w:ind w:left="312" w:hanging="142"/>
      </w:pPr>
      <w:r>
        <w:t>příprava podkladu, lokální opravy, penetrace, zakrytí, nejméně dva nátěry podle kryvosti a závěrečný úklid;</w:t>
      </w:r>
    </w:p>
    <w:p>
      <w:pPr>
        <w:pStyle w:val="ListBullet"/>
        <w:ind w:left="312" w:hanging="142"/>
      </w:pPr>
      <w:r>
        <w:t>výměra zahrnuje lodžii;</w:t>
      </w:r>
    </w:p>
    <w:p>
      <w:pPr>
        <w:pStyle w:val="ListBullet"/>
        <w:ind w:left="312" w:hanging="142"/>
      </w:pPr>
      <w:r>
        <w:t>barvu a odstín schválí objednatel podle zkušebního nátěru.</w:t>
      </w:r>
    </w:p>
    <w:p>
      <w:pPr>
        <w:pStyle w:val="Heading1"/>
        <w:pageBreakBefore/>
      </w:pPr>
      <w:r>
        <w:rPr>
          <w:rFonts w:ascii="Arial" w:hAnsi="Arial"/>
          <w:b w:val="0"/>
          <w:i w:val="0"/>
        </w:rPr>
        <w:t>12. Doklady a okamžik jejich předložení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E2F0D9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Doklady uvedené v této části nejsou součástí nabídky. Předkládá je až vybraný zhotovitel před objednáním, výrobou nebo zabudováním příslušného výrobku.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Skupina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2F6B57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Požadovaný doklad / kontrola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Okna a dveře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Technická specifikace konkrétní skladby, CE a prohlášení o vlastnostech; doložení Uw referenčního okna a Ud dveří.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>
              <w:rPr>
                <w:rFonts w:ascii="Arial" w:hAnsi="Arial"/>
                <w:sz w:val="18"/>
              </w:rPr>
              <w:t>Fasádní dřevěný obklad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>
              <w:rPr>
                <w:rFonts w:ascii="Arial" w:hAnsi="Arial"/>
                <w:sz w:val="18"/>
              </w:rPr>
              <w:t>Objednávková specifikace druhu dřeviny a tloušťky; doklad vhodnosti pro venkovní provětrávanou fasádu; při dodání kontrola tloušťky a vlhkosti.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Izolace, fólie a sádrokarton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Technické listy a prohlášení o vlastnostech podle povahy výrobku.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Koberec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Technický nebo klasifikační doklad k třídě 32 a Cfl-s1.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Ocelové konstrukce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Výrobní a kotevní návrh před výrobou; doklady k povrchové úpravě a použitým roštům.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Sanita, radiátory, svítidla, ventilátory, malířské hmoty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Technické listy před objednáním nebo zabudováním, jsou-li potřebné k ověření parametrů.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Plynový kotel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Technický list, energetický štítek, prohlášení o shodě, návod regulace a podklady k revizím.</w:t>
            </w:r>
          </w:p>
        </w:tc>
      </w:tr>
      <w:tr>
        <w:tc>
          <w:tcPr>
            <w:tcW w:type="dxa" w:w="340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Předání díla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7F9F9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Revize, zkoušky, návody v českém jazyce, záruční listy, fotodokumentace zakrytých prací a seznam skutečně použitých výrobků.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Biofarma Pod Hájkem s.r.o.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Agroturistika na farmě | P03 | V07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2F6B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F4E7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P03_Technicka_specifikace_V05</dc:title>
  <dc:subject>Výběrové řízení Agroturistika na farmě</dc:subject>
  <dc:creator>Biofarma Pod Hájkem s.r.o.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