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/>
        <w:jc w:val="center"/>
      </w:pPr>
      <w:r>
        <w:rPr>
          <w:b/>
          <w:color w:val="2F5D50"/>
          <w:sz w:val="40"/>
        </w:rPr>
        <w:t>PŘÍLOHA Č. 9</w:t>
      </w:r>
    </w:p>
    <w:p>
      <w:pPr>
        <w:jc w:val="center"/>
      </w:pPr>
      <w:r>
        <w:rPr>
          <w:b/>
          <w:sz w:val="26"/>
        </w:rPr>
        <w:t>Přehled nabízených výrobků a materiálů</w:t>
      </w:r>
    </w:p>
    <w:p>
      <w:pPr>
        <w:spacing w:before="600"/>
        <w:jc w:val="center"/>
      </w:pPr>
      <w:r>
        <w:t>Zadavatel: Biofarma Pod Hájkem s.r.o.</w:t>
        <w:br/>
        <w:t>IČO: 24736261</w:t>
        <w:br/>
        <w:t>Označení dokumentu: P09</w:t>
        <w:br/>
        <w:t>Verze: V06</w:t>
        <w:br/>
        <w:t>Datum zpracování: 17. 7. 2026</w:t>
      </w:r>
    </w:p>
    <w:p>
      <w:r>
        <w:br w:type="page"/>
      </w:r>
    </w:p>
    <w:p>
      <w:r>
        <w:t>Technické údaje v této příloze nejsou bodovaným kritériem. Účastník je uvede a doloží proto, aby komise mohla jednoduše ověřit splnění povinného technického minima P06 a P08. Nabízené výrobky, systémy a uvedené parametry se stanou závaznou součástí smlouvy.</w:t>
      </w:r>
    </w:p>
    <w:p>
      <w:pPr>
        <w:pStyle w:val="Heading1"/>
      </w:pPr>
      <w:r>
        <w:t>A. Kontrolní parametry technického minima</w:t>
      </w:r>
    </w:p>
    <w:tbl>
      <w:tblPr>
        <w:tblStyle w:val="TableGrid"/>
        <w:tblW w:type="dxa" w:w="9783"/>
        <w:jc w:val="center"/>
        <w:tblLayout w:type="fixed"/>
        <w:tblLook w:firstColumn="1" w:firstRow="1" w:lastColumn="0" w:lastRow="0" w:noHBand="0" w:noVBand="1" w:val="04A0"/>
      </w:tblPr>
      <w:tblGrid>
        <w:gridCol w:w="1957"/>
        <w:gridCol w:w="1957"/>
        <w:gridCol w:w="1957"/>
        <w:gridCol w:w="1957"/>
        <w:gridCol w:w="1956"/>
      </w:tblGrid>
      <w:tr>
        <w:trPr>
          <w:tblHeader w:val="true"/>
          <w:cantSplit/>
        </w:trPr>
        <w:tc>
          <w:tcPr>
            <w:tcW w:type="dxa" w:w="1957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Výrobek / parametr</w:t>
            </w:r>
          </w:p>
        </w:tc>
        <w:tc>
          <w:tcPr>
            <w:tcW w:type="dxa" w:w="1957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Povinné minimum</w:t>
            </w:r>
          </w:p>
        </w:tc>
        <w:tc>
          <w:tcPr>
            <w:tcW w:type="dxa" w:w="1957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Nabízená hodnota</w:t>
            </w:r>
          </w:p>
        </w:tc>
        <w:tc>
          <w:tcPr>
            <w:tcW w:type="dxa" w:w="1957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Výrobce / typ</w:t>
            </w:r>
          </w:p>
        </w:tc>
        <w:tc>
          <w:tcPr>
            <w:tcW w:type="dxa" w:w="1956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Doklad / strana</w:t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Referenční okno 1150 × 1440 mm s trojsklem – Uw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≤ 0,90 W/m²K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Jednokřídlé vstupní dveře 870 × 1975 mm – Ud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≤ 1,20 W/m²K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Izolační trojsklo – Ug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≤ 0,60 W/m²K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Izolační dvojsklo – Ug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≤ 1,10 W/m²K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Modřínový fasádní obklad – tloušťka po opracování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≥ 19 mm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Modřínový fasádní obklad – vlhkost při dodání a montáži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≤ 20 %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Zátěžový koberec – třída zátěže EN 1307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≥ 32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Zátěžový koberec – reakce na oheň EN 13501-1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≥ Cfl-s1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Minerální vata lodžie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tloušťka 150 mm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pPr>
        <w:pStyle w:val="Heading1"/>
      </w:pPr>
      <w:r>
        <w:t>B. Ostatní významné výrobky, materiály a systémy</w:t>
      </w:r>
    </w:p>
    <w:tbl>
      <w:tblPr>
        <w:tblStyle w:val="TableGrid"/>
        <w:tblW w:type="dxa" w:w="9783"/>
        <w:jc w:val="center"/>
        <w:tblLayout w:type="fixed"/>
        <w:tblLook w:firstColumn="1" w:firstRow="1" w:lastColumn="0" w:lastRow="0" w:noHBand="0" w:noVBand="1" w:val="04A0"/>
      </w:tblPr>
      <w:tblGrid>
        <w:gridCol w:w="1957"/>
        <w:gridCol w:w="1957"/>
        <w:gridCol w:w="1957"/>
        <w:gridCol w:w="1957"/>
        <w:gridCol w:w="1956"/>
      </w:tblGrid>
      <w:tr>
        <w:trPr>
          <w:tblHeader w:val="true"/>
          <w:cantSplit/>
        </w:trPr>
        <w:tc>
          <w:tcPr>
            <w:tcW w:type="dxa" w:w="1957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Část</w:t>
            </w:r>
          </w:p>
        </w:tc>
        <w:tc>
          <w:tcPr>
            <w:tcW w:type="dxa" w:w="1957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Výrobce / typ / systém</w:t>
            </w:r>
          </w:p>
        </w:tc>
        <w:tc>
          <w:tcPr>
            <w:tcW w:type="dxa" w:w="1957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Hlavní parametry</w:t>
            </w:r>
          </w:p>
        </w:tc>
        <w:tc>
          <w:tcPr>
            <w:tcW w:type="dxa" w:w="1957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Doklad / strana</w:t>
            </w:r>
          </w:p>
        </w:tc>
        <w:tc>
          <w:tcPr>
            <w:tcW w:type="dxa" w:w="1956"/>
            <w:vAlign w:val="center"/>
            <w:shd w:fill="2F6B59"/>
          </w:tcPr>
          <w:p>
            <w:r>
              <w:rPr>
                <w:b/>
              </w:rPr>
            </w:r>
            <w:r>
              <w:rPr>
                <w:rFonts w:ascii="Aptos" w:hAnsi="Aptos"/>
                <w:b/>
                <w:sz w:val="18"/>
              </w:rPr>
              <w:t>Poznámka</w:t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Okna – profilový systém a kování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Okna – zasklení a distanční rámeček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Vstupní dveře – výplně, zámek, práh a kování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Tepelná izolace fasády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Fasádní fólie, pásky a větrací mřížky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Olejová impregnace fasádního obkladu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Ocelový rošt balkonu a zábradlí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Venkovní točité schodiště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Závěsné WC, modul a ovládací tlačítko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Sprchová vanička, zástěna a baterie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Otopná tělesa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Sádrokartonový systém lodžie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Plynový kondenzační kotel a regulace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Stropní a nástěnná LED svítidla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Ventilátory WC a koupelny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Malířské hmoty a penetrace</w:t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7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  <w:tc>
          <w:tcPr>
            <w:tcW w:type="dxa" w:w="1956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</w:r>
          </w:p>
        </w:tc>
      </w:tr>
    </w:tbl>
    <w:p>
      <w:r>
        <w:t>Účastník prohlašuje, že všechny uvedené výrobky a materiály splňují P06, P07 a P08 a že případnou rovnocennost vůči uvedenému kvalitativnímu standardu doložil.</w:t>
      </w:r>
    </w:p>
    <w:p>
      <w:r>
        <w:t>V ................................ dne ........................</w:t>
      </w:r>
    </w:p>
    <w:tbl>
      <w:tblPr>
        <w:tblStyle w:val="TableGrid"/>
        <w:tblW w:type="dxa" w:w="9783"/>
        <w:jc w:val="center"/>
        <w:tblLayout w:type="fixed"/>
        <w:tblLook w:firstColumn="1" w:firstRow="1" w:lastColumn="0" w:lastRow="0" w:noHBand="0" w:noVBand="1" w:val="04A0"/>
      </w:tblPr>
      <w:tblGrid>
        <w:gridCol w:w="4892"/>
        <w:gridCol w:w="4892"/>
      </w:tblGrid>
      <w:tr>
        <w:trPr>
          <w:cantSplit/>
        </w:trPr>
        <w:tc>
          <w:tcPr>
            <w:tcW w:type="dxa" w:w="4892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Účastník</w:t>
            </w:r>
          </w:p>
        </w:tc>
        <w:tc>
          <w:tcPr>
            <w:tcW w:type="dxa" w:w="4892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Jméno, funkce a podpis</w:t>
            </w:r>
          </w:p>
        </w:tc>
      </w:tr>
      <w:tr>
        <w:trPr>
          <w:cantSplit/>
        </w:trPr>
        <w:tc>
          <w:tcPr>
            <w:tcW w:type="dxa" w:w="4892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........................................................</w:t>
            </w:r>
          </w:p>
        </w:tc>
        <w:tc>
          <w:tcPr>
            <w:tcW w:type="dxa" w:w="4892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........................................................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2240" w:h="15840"/>
      <w:pgMar w:top="1020" w:right="1020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 xml:space="preserve">Biofarma Pod Hájkem s.r.o.  •  </w:t>
    </w:r>
    <w: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t>Agroturistika na farmě  |  P09  |  verze V06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2F5D5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F5D5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2222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2F5D5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Doplnit">
    <w:name w:val="Doplnit"/>
    <w:rPr>
      <w:rFonts w:ascii="Arial" w:hAnsi="Arial"/>
      <w:b/>
      <w:color w:val="9C65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P09_Prehled_nabizenych_vyrobku_a_materialu_V04</dc:title>
  <dc:subject>Agroturistika na farmě – zadávací dokumentace</dc:subject>
  <dc:creator>Biofarma Pod Hájkem s.r.o.</dc:creator>
  <cp:keywords>SZIF, výběrové řízení, Agroturistika na farmě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