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0"/>
        <w:jc w:val="center"/>
      </w:pPr>
      <w:r>
        <w:rPr>
          <w:b/>
          <w:color w:val="2F5D50"/>
          <w:sz w:val="40"/>
        </w:rPr>
        <w:t>PŘÍLOHA Č. 5</w:t>
      </w:r>
    </w:p>
    <w:p>
      <w:pPr>
        <w:jc w:val="center"/>
      </w:pPr>
      <w:r>
        <w:rPr>
          <w:b/>
          <w:sz w:val="26"/>
        </w:rPr>
        <w:t>Závazný návrh smlouvy o dílo</w:t>
      </w:r>
    </w:p>
    <w:p>
      <w:pPr>
        <w:spacing w:before="600"/>
        <w:jc w:val="center"/>
      </w:pPr>
      <w:r>
        <w:t>Zadavatel: Biofarma Pod Hájkem s.r.o.</w:t>
        <w:br/>
        <w:t>IČO: 24736261</w:t>
        <w:br/>
        <w:t>Označení dokumentu: P05</w:t>
        <w:br/>
        <w:t>Verze: V08</w:t>
        <w:br/>
        <w:t>Datum zpracování: 19. 7. 2026</w:t>
      </w:r>
    </w:p>
    <w:p>
      <w:r>
        <w:br w:type="page"/>
      </w:r>
    </w:p>
    <w:p>
      <w:pPr>
        <w:pStyle w:val="Heading1"/>
      </w:pPr>
      <w:r>
        <w:t>I. Smluvní strany</w:t>
      </w:r>
    </w:p>
    <w:p>
      <w:pPr>
        <w:pStyle w:val="Heading2"/>
      </w:pPr>
      <w:r>
        <w:t>1. Objednatel</w:t>
      </w:r>
    </w:p>
    <w:tbl>
      <w:tblPr>
        <w:tblW w:type="dxa" w:w="9783"/>
        <w:tblLayout w:type="fixed"/>
        <w:tblLook w:firstColumn="1" w:firstRow="1" w:lastColumn="0" w:lastRow="0" w:noHBand="0" w:noVBand="1" w:val="04A0"/>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4892"/>
        <w:gridCol w:w="4892"/>
      </w:tblGrid>
      <w:tr>
        <w:trPr>
          <w:tblHeader w:val="true"/>
          <w:cantSplit w:val="1"/>
        </w:trPr>
        <w:tc>
          <w:tcPr>
            <w:tcW w:type="dxa" w:w="4892"/>
            <w:shd w:fill="2F5D50"/>
            <w:tcMar>
              <w:top w:w="80" w:type="dxa"/>
              <w:start w:w="100" w:type="dxa"/>
              <w:bottom w:w="80" w:type="dxa"/>
              <w:end w:w="100" w:type="dxa"/>
            </w:tcMar>
            <w:vAlign w:val="center"/>
          </w:tcPr>
          <w:p>
            <w:pPr>
              <w:jc w:val="center"/>
            </w:pPr>
            <w:r>
              <w:rPr>
                <w:rFonts w:ascii="Aptos" w:hAnsi="Aptos"/>
                <w:b/>
                <w:color w:val="FFFFFF"/>
                <w:sz w:val="18"/>
              </w:rPr>
              <w:t>Údaj</w:t>
            </w:r>
          </w:p>
        </w:tc>
        <w:tc>
          <w:tcPr>
            <w:tcW w:type="dxa" w:w="4892"/>
            <w:shd w:fill="2F5D50"/>
            <w:tcMar>
              <w:top w:w="80" w:type="dxa"/>
              <w:start w:w="100" w:type="dxa"/>
              <w:bottom w:w="80" w:type="dxa"/>
              <w:end w:w="100" w:type="dxa"/>
            </w:tcMar>
            <w:vAlign w:val="center"/>
          </w:tcPr>
          <w:p>
            <w:pPr>
              <w:jc w:val="center"/>
            </w:pPr>
            <w:r>
              <w:rPr>
                <w:rFonts w:ascii="Aptos" w:hAnsi="Aptos"/>
                <w:b/>
                <w:color w:val="FFFFFF"/>
                <w:sz w:val="18"/>
              </w:rPr>
              <w:t>Hodnota</w:t>
            </w:r>
          </w:p>
        </w:tc>
      </w:tr>
      <w:tr>
        <w:trPr>
          <w:cantSplit w:val="1"/>
        </w:trPr>
        <w:tc>
          <w:tcPr>
            <w:tcW w:type="dxa" w:w="4892"/>
            <w:tcMar>
              <w:top w:w="80" w:type="dxa"/>
              <w:start w:w="100" w:type="dxa"/>
              <w:bottom w:w="80" w:type="dxa"/>
              <w:end w:w="100" w:type="dxa"/>
            </w:tcMar>
            <w:vAlign w:val="top"/>
          </w:tcPr>
          <w:p>
            <w:r>
              <w:rPr>
                <w:rFonts w:ascii="Aptos" w:hAnsi="Aptos"/>
                <w:sz w:val="18"/>
              </w:rPr>
              <w:t>Obchodní firma</w:t>
            </w:r>
          </w:p>
        </w:tc>
        <w:tc>
          <w:tcPr>
            <w:tcW w:type="dxa" w:w="4892"/>
            <w:tcMar>
              <w:top w:w="80" w:type="dxa"/>
              <w:start w:w="100" w:type="dxa"/>
              <w:bottom w:w="80" w:type="dxa"/>
              <w:end w:w="100" w:type="dxa"/>
            </w:tcMar>
            <w:vAlign w:val="top"/>
          </w:tcPr>
          <w:p>
            <w:r>
              <w:rPr>
                <w:rFonts w:ascii="Aptos" w:hAnsi="Aptos"/>
                <w:sz w:val="18"/>
              </w:rPr>
              <w:t>Biofarma Pod Hájkem s.r.o.</w:t>
            </w:r>
          </w:p>
        </w:tc>
      </w:tr>
      <w:tr>
        <w:trPr>
          <w:cantSplit w:val="1"/>
        </w:trPr>
        <w:tc>
          <w:tcPr>
            <w:tcW w:type="dxa" w:w="4892"/>
            <w:tcMar>
              <w:top w:w="80" w:type="dxa"/>
              <w:start w:w="100" w:type="dxa"/>
              <w:bottom w:w="80" w:type="dxa"/>
              <w:end w:w="100" w:type="dxa"/>
            </w:tcMar>
            <w:vAlign w:val="top"/>
            <w:shd w:fill="F8FAF9"/>
          </w:tcPr>
          <w:p>
            <w:r>
              <w:rPr>
                <w:rFonts w:ascii="Aptos" w:hAnsi="Aptos"/>
                <w:sz w:val="18"/>
              </w:rPr>
              <w:t>Sídlo</w:t>
            </w:r>
          </w:p>
        </w:tc>
        <w:tc>
          <w:tcPr>
            <w:tcW w:type="dxa" w:w="4892"/>
            <w:tcMar>
              <w:top w:w="80" w:type="dxa"/>
              <w:start w:w="100" w:type="dxa"/>
              <w:bottom w:w="80" w:type="dxa"/>
              <w:end w:w="100" w:type="dxa"/>
            </w:tcMar>
            <w:vAlign w:val="top"/>
            <w:shd w:fill="F8FAF9"/>
          </w:tcPr>
          <w:p>
            <w:r>
              <w:rPr>
                <w:rFonts w:ascii="Aptos" w:hAnsi="Aptos"/>
                <w:sz w:val="18"/>
              </w:rPr>
              <w:t>Horní Branná 117, 512 36 Horní Branná</w:t>
            </w:r>
          </w:p>
        </w:tc>
      </w:tr>
      <w:tr>
        <w:trPr>
          <w:cantSplit w:val="1"/>
        </w:trPr>
        <w:tc>
          <w:tcPr>
            <w:tcW w:type="dxa" w:w="4892"/>
            <w:tcMar>
              <w:top w:w="80" w:type="dxa"/>
              <w:start w:w="100" w:type="dxa"/>
              <w:bottom w:w="80" w:type="dxa"/>
              <w:end w:w="100" w:type="dxa"/>
            </w:tcMar>
            <w:vAlign w:val="top"/>
          </w:tcPr>
          <w:p>
            <w:r>
              <w:rPr>
                <w:rFonts w:ascii="Aptos" w:hAnsi="Aptos"/>
                <w:sz w:val="18"/>
              </w:rPr>
              <w:t>IČO</w:t>
            </w:r>
          </w:p>
        </w:tc>
        <w:tc>
          <w:tcPr>
            <w:tcW w:type="dxa" w:w="4892"/>
            <w:tcMar>
              <w:top w:w="80" w:type="dxa"/>
              <w:start w:w="100" w:type="dxa"/>
              <w:bottom w:w="80" w:type="dxa"/>
              <w:end w:w="100" w:type="dxa"/>
            </w:tcMar>
            <w:vAlign w:val="top"/>
          </w:tcPr>
          <w:p>
            <w:r>
              <w:rPr>
                <w:rFonts w:ascii="Aptos" w:hAnsi="Aptos"/>
                <w:sz w:val="18"/>
              </w:rPr>
              <w:t>24736261</w:t>
            </w:r>
          </w:p>
        </w:tc>
      </w:tr>
      <w:tr>
        <w:trPr>
          <w:cantSplit w:val="1"/>
        </w:trPr>
        <w:tc>
          <w:tcPr>
            <w:tcW w:type="dxa" w:w="4892"/>
            <w:tcMar>
              <w:top w:w="80" w:type="dxa"/>
              <w:start w:w="100" w:type="dxa"/>
              <w:bottom w:w="80" w:type="dxa"/>
              <w:end w:w="100" w:type="dxa"/>
            </w:tcMar>
            <w:vAlign w:val="top"/>
            <w:shd w:fill="F8FAF9"/>
          </w:tcPr>
          <w:p>
            <w:r>
              <w:rPr>
                <w:rFonts w:ascii="Aptos" w:hAnsi="Aptos"/>
                <w:sz w:val="18"/>
              </w:rPr>
              <w:t>DIČ</w:t>
            </w:r>
          </w:p>
        </w:tc>
        <w:tc>
          <w:tcPr>
            <w:tcW w:type="dxa" w:w="4892"/>
            <w:tcMar>
              <w:top w:w="80" w:type="dxa"/>
              <w:start w:w="100" w:type="dxa"/>
              <w:bottom w:w="80" w:type="dxa"/>
              <w:end w:w="100" w:type="dxa"/>
            </w:tcMar>
            <w:vAlign w:val="top"/>
            <w:shd w:fill="F8FAF9"/>
          </w:tcPr>
          <w:p>
            <w:r>
              <w:rPr>
                <w:rFonts w:ascii="Aptos" w:hAnsi="Aptos"/>
                <w:sz w:val="18"/>
              </w:rPr>
              <w:t>CZ699003051</w:t>
            </w:r>
          </w:p>
        </w:tc>
      </w:tr>
      <w:tr>
        <w:trPr>
          <w:cantSplit w:val="1"/>
        </w:trPr>
        <w:tc>
          <w:tcPr>
            <w:tcW w:type="dxa" w:w="4892"/>
            <w:tcMar>
              <w:top w:w="80" w:type="dxa"/>
              <w:start w:w="100" w:type="dxa"/>
              <w:bottom w:w="80" w:type="dxa"/>
              <w:end w:w="100" w:type="dxa"/>
            </w:tcMar>
            <w:vAlign w:val="top"/>
          </w:tcPr>
          <w:p>
            <w:r>
              <w:rPr>
                <w:rFonts w:ascii="Aptos" w:hAnsi="Aptos"/>
                <w:sz w:val="18"/>
              </w:rPr>
              <w:t>Zastoupená</w:t>
            </w:r>
          </w:p>
        </w:tc>
        <w:tc>
          <w:tcPr>
            <w:tcW w:type="dxa" w:w="4892"/>
            <w:tcMar>
              <w:top w:w="80" w:type="dxa"/>
              <w:start w:w="100" w:type="dxa"/>
              <w:bottom w:w="80" w:type="dxa"/>
              <w:end w:w="100" w:type="dxa"/>
            </w:tcMar>
            <w:vAlign w:val="top"/>
          </w:tcPr>
          <w:p>
            <w:r>
              <w:rPr>
                <w:rFonts w:ascii="Aptos" w:hAnsi="Aptos"/>
                <w:sz w:val="18"/>
              </w:rPr>
              <w:t>Ing. Hanou Řehořkovou, prokuristkou</w:t>
            </w:r>
          </w:p>
        </w:tc>
      </w:tr>
      <w:tr>
        <w:trPr>
          <w:cantSplit w:val="1"/>
        </w:trPr>
        <w:tc>
          <w:tcPr>
            <w:tcW w:type="dxa" w:w="4892"/>
            <w:tcMar>
              <w:top w:w="80" w:type="dxa"/>
              <w:start w:w="100" w:type="dxa"/>
              <w:bottom w:w="80" w:type="dxa"/>
              <w:end w:w="100" w:type="dxa"/>
            </w:tcMar>
            <w:vAlign w:val="top"/>
            <w:shd w:fill="F8FAF9"/>
          </w:tcPr>
          <w:p>
            <w:r>
              <w:rPr>
                <w:rFonts w:ascii="Aptos" w:hAnsi="Aptos"/>
                <w:sz w:val="18"/>
              </w:rPr>
              <w:t>Kontaktní osoba</w:t>
            </w:r>
          </w:p>
        </w:tc>
        <w:tc>
          <w:tcPr>
            <w:tcW w:type="dxa" w:w="4892"/>
            <w:tcMar>
              <w:top w:w="80" w:type="dxa"/>
              <w:start w:w="100" w:type="dxa"/>
              <w:bottom w:w="80" w:type="dxa"/>
              <w:end w:w="100" w:type="dxa"/>
            </w:tcMar>
            <w:vAlign w:val="top"/>
            <w:shd w:fill="F8FAF9"/>
          </w:tcPr>
          <w:p>
            <w:r>
              <w:rPr>
                <w:rFonts w:ascii="Aptos" w:hAnsi="Aptos"/>
                <w:sz w:val="18"/>
              </w:rPr>
              <w:t>Ing. Hana Řehořková</w:t>
            </w:r>
          </w:p>
        </w:tc>
      </w:tr>
      <w:tr>
        <w:trPr>
          <w:cantSplit w:val="1"/>
        </w:trPr>
        <w:tc>
          <w:tcPr>
            <w:tcW w:type="dxa" w:w="4892"/>
            <w:tcMar>
              <w:top w:w="80" w:type="dxa"/>
              <w:start w:w="100" w:type="dxa"/>
              <w:bottom w:w="80" w:type="dxa"/>
              <w:end w:w="100" w:type="dxa"/>
            </w:tcMar>
            <w:vAlign w:val="top"/>
          </w:tcPr>
          <w:p>
            <w:r>
              <w:rPr>
                <w:rFonts w:ascii="Aptos" w:hAnsi="Aptos"/>
                <w:sz w:val="18"/>
              </w:rPr>
              <w:t>Telefon</w:t>
            </w:r>
          </w:p>
        </w:tc>
        <w:tc>
          <w:tcPr>
            <w:tcW w:type="dxa" w:w="4892"/>
            <w:tcMar>
              <w:top w:w="80" w:type="dxa"/>
              <w:start w:w="100" w:type="dxa"/>
              <w:bottom w:w="80" w:type="dxa"/>
              <w:end w:w="100" w:type="dxa"/>
            </w:tcMar>
            <w:vAlign w:val="top"/>
          </w:tcPr>
          <w:p>
            <w:r>
              <w:rPr>
                <w:rFonts w:ascii="Aptos" w:hAnsi="Aptos"/>
                <w:sz w:val="18"/>
              </w:rPr>
              <w:t>+420 778 168 001</w:t>
            </w:r>
          </w:p>
        </w:tc>
      </w:tr>
      <w:tr>
        <w:trPr>
          <w:cantSplit w:val="1"/>
        </w:trPr>
        <w:tc>
          <w:tcPr>
            <w:tcW w:type="dxa" w:w="4892"/>
            <w:tcMar>
              <w:top w:w="80" w:type="dxa"/>
              <w:start w:w="100" w:type="dxa"/>
              <w:bottom w:w="80" w:type="dxa"/>
              <w:end w:w="100" w:type="dxa"/>
            </w:tcMar>
            <w:vAlign w:val="top"/>
            <w:shd w:fill="F8FAF9"/>
          </w:tcPr>
          <w:p>
            <w:r>
              <w:rPr>
                <w:rFonts w:ascii="Aptos" w:hAnsi="Aptos"/>
                <w:sz w:val="18"/>
              </w:rPr>
              <w:t>E-mail</w:t>
            </w:r>
          </w:p>
        </w:tc>
        <w:tc>
          <w:tcPr>
            <w:tcW w:type="dxa" w:w="4892"/>
            <w:tcMar>
              <w:top w:w="80" w:type="dxa"/>
              <w:start w:w="100" w:type="dxa"/>
              <w:bottom w:w="80" w:type="dxa"/>
              <w:end w:w="100" w:type="dxa"/>
            </w:tcMar>
            <w:vAlign w:val="top"/>
            <w:shd w:fill="F8FAF9"/>
          </w:tcPr>
          <w:p>
            <w:r>
              <w:rPr>
                <w:rFonts w:ascii="Aptos" w:hAnsi="Aptos"/>
                <w:sz w:val="18"/>
              </w:rPr>
              <w:t>bio-klub@volny.cz</w:t>
            </w:r>
          </w:p>
        </w:tc>
      </w:tr>
      <w:tr>
        <w:trPr>
          <w:cantSplit w:val="1"/>
        </w:trPr>
        <w:tc>
          <w:tcPr>
            <w:tcW w:type="dxa" w:w="4892"/>
            <w:tcMar>
              <w:top w:w="80" w:type="dxa"/>
              <w:start w:w="100" w:type="dxa"/>
              <w:bottom w:w="80" w:type="dxa"/>
              <w:end w:w="100" w:type="dxa"/>
            </w:tcMar>
            <w:vAlign w:val="top"/>
          </w:tcPr>
          <w:p>
            <w:r>
              <w:rPr>
                <w:rFonts w:ascii="Aptos" w:hAnsi="Aptos"/>
                <w:sz w:val="18"/>
              </w:rPr>
              <w:t>Bankovní spojení</w:t>
            </w:r>
          </w:p>
        </w:tc>
        <w:tc>
          <w:tcPr>
            <w:tcW w:type="dxa" w:w="4892"/>
            <w:tcMar>
              <w:top w:w="80" w:type="dxa"/>
              <w:start w:w="100" w:type="dxa"/>
              <w:bottom w:w="80" w:type="dxa"/>
              <w:end w:w="100" w:type="dxa"/>
            </w:tcMar>
            <w:vAlign w:val="top"/>
          </w:tcPr>
          <w:p>
            <w:r>
              <w:t>2301147670/2010</w:t>
            </w:r>
          </w:p>
        </w:tc>
      </w:tr>
    </w:tbl>
    <w:p>
      <w:pPr>
        <w:pStyle w:val="Heading2"/>
      </w:pPr>
      <w:r>
        <w:t>2. Zhotovitel</w:t>
      </w:r>
    </w:p>
    <w:tbl>
      <w:tblPr>
        <w:tblW w:type="dxa" w:w="9783"/>
        <w:tblLayout w:type="fixed"/>
        <w:tblLook w:firstColumn="1" w:firstRow="1" w:lastColumn="0" w:lastRow="0" w:noHBand="0" w:noVBand="1" w:val="04A0"/>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4892"/>
        <w:gridCol w:w="4892"/>
      </w:tblGrid>
      <w:tr>
        <w:trPr>
          <w:tblHeader w:val="true"/>
          <w:cantSplit w:val="1"/>
        </w:trPr>
        <w:tc>
          <w:tcPr>
            <w:tcW w:type="dxa" w:w="4892"/>
            <w:shd w:fill="2F5D50"/>
            <w:tcMar>
              <w:top w:w="80" w:type="dxa"/>
              <w:start w:w="100" w:type="dxa"/>
              <w:bottom w:w="80" w:type="dxa"/>
              <w:end w:w="100" w:type="dxa"/>
            </w:tcMar>
            <w:vAlign w:val="center"/>
          </w:tcPr>
          <w:p>
            <w:pPr>
              <w:jc w:val="center"/>
            </w:pPr>
            <w:r>
              <w:rPr>
                <w:rFonts w:ascii="Aptos" w:hAnsi="Aptos"/>
                <w:b/>
                <w:color w:val="FFFFFF"/>
                <w:sz w:val="18"/>
              </w:rPr>
              <w:t>Údaj</w:t>
            </w:r>
          </w:p>
        </w:tc>
        <w:tc>
          <w:tcPr>
            <w:tcW w:type="dxa" w:w="4892"/>
            <w:shd w:fill="2F5D50"/>
            <w:tcMar>
              <w:top w:w="80" w:type="dxa"/>
              <w:start w:w="100" w:type="dxa"/>
              <w:bottom w:w="80" w:type="dxa"/>
              <w:end w:w="100" w:type="dxa"/>
            </w:tcMar>
            <w:vAlign w:val="center"/>
          </w:tcPr>
          <w:p>
            <w:pPr>
              <w:jc w:val="center"/>
            </w:pPr>
            <w:r>
              <w:rPr>
                <w:rFonts w:ascii="Aptos" w:hAnsi="Aptos"/>
                <w:b/>
                <w:color w:val="FFFFFF"/>
                <w:sz w:val="18"/>
              </w:rPr>
              <w:t>Doplní účastník</w:t>
            </w:r>
          </w:p>
        </w:tc>
      </w:tr>
      <w:tr>
        <w:trPr>
          <w:cantSplit w:val="1"/>
        </w:trPr>
        <w:tc>
          <w:tcPr>
            <w:tcW w:type="dxa" w:w="4892"/>
            <w:tcMar>
              <w:top w:w="80" w:type="dxa"/>
              <w:start w:w="100" w:type="dxa"/>
              <w:bottom w:w="80" w:type="dxa"/>
              <w:end w:w="100" w:type="dxa"/>
            </w:tcMar>
            <w:vAlign w:val="top"/>
          </w:tcPr>
          <w:p>
            <w:r>
              <w:rPr>
                <w:rFonts w:ascii="Aptos" w:hAnsi="Aptos"/>
                <w:sz w:val="18"/>
              </w:rPr>
              <w:t>Obchodní firma / jméno</w:t>
            </w:r>
          </w:p>
        </w:tc>
        <w:tc>
          <w:tcPr>
            <w:tcW w:type="dxa" w:w="4892"/>
            <w:tcMar>
              <w:top w:w="80" w:type="dxa"/>
              <w:start w:w="100" w:type="dxa"/>
              <w:bottom w:w="80" w:type="dxa"/>
              <w:end w:w="100" w:type="dxa"/>
            </w:tcMar>
            <w:vAlign w:val="top"/>
          </w:tcPr>
          <w:p>
            <w:r>
              <w:rPr>
                <w:rFonts w:ascii="Aptos" w:hAnsi="Aptos"/>
                <w:sz w:val="18"/>
              </w:rPr>
              <w:t>[DOPLNÍ ÚČASTNÍK]</w:t>
            </w:r>
          </w:p>
        </w:tc>
      </w:tr>
      <w:tr>
        <w:trPr>
          <w:cantSplit w:val="1"/>
        </w:trPr>
        <w:tc>
          <w:tcPr>
            <w:tcW w:type="dxa" w:w="4892"/>
            <w:tcMar>
              <w:top w:w="80" w:type="dxa"/>
              <w:start w:w="100" w:type="dxa"/>
              <w:bottom w:w="80" w:type="dxa"/>
              <w:end w:w="100" w:type="dxa"/>
            </w:tcMar>
            <w:vAlign w:val="top"/>
            <w:shd w:fill="F8FAF9"/>
          </w:tcPr>
          <w:p>
            <w:r>
              <w:rPr>
                <w:rFonts w:ascii="Aptos" w:hAnsi="Aptos"/>
                <w:sz w:val="18"/>
              </w:rPr>
              <w:t>Sídlo / místo podnikání</w:t>
            </w:r>
          </w:p>
        </w:tc>
        <w:tc>
          <w:tcPr>
            <w:tcW w:type="dxa" w:w="4892"/>
            <w:tcMar>
              <w:top w:w="80" w:type="dxa"/>
              <w:start w:w="100" w:type="dxa"/>
              <w:bottom w:w="80" w:type="dxa"/>
              <w:end w:w="100" w:type="dxa"/>
            </w:tcMar>
            <w:vAlign w:val="top"/>
            <w:shd w:fill="F8FAF9"/>
          </w:tcPr>
          <w:p>
            <w:r>
              <w:rPr>
                <w:rFonts w:ascii="Aptos" w:hAnsi="Aptos"/>
                <w:sz w:val="18"/>
              </w:rPr>
              <w:t>[DOPLNÍ ÚČASTNÍK]</w:t>
            </w:r>
          </w:p>
        </w:tc>
      </w:tr>
      <w:tr>
        <w:trPr>
          <w:cantSplit w:val="1"/>
        </w:trPr>
        <w:tc>
          <w:tcPr>
            <w:tcW w:type="dxa" w:w="4892"/>
            <w:tcMar>
              <w:top w:w="80" w:type="dxa"/>
              <w:start w:w="100" w:type="dxa"/>
              <w:bottom w:w="80" w:type="dxa"/>
              <w:end w:w="100" w:type="dxa"/>
            </w:tcMar>
            <w:vAlign w:val="top"/>
          </w:tcPr>
          <w:p>
            <w:r>
              <w:rPr>
                <w:rFonts w:ascii="Aptos" w:hAnsi="Aptos"/>
                <w:sz w:val="18"/>
              </w:rPr>
              <w:t>IČO</w:t>
            </w:r>
          </w:p>
        </w:tc>
        <w:tc>
          <w:tcPr>
            <w:tcW w:type="dxa" w:w="4892"/>
            <w:tcMar>
              <w:top w:w="80" w:type="dxa"/>
              <w:start w:w="100" w:type="dxa"/>
              <w:bottom w:w="80" w:type="dxa"/>
              <w:end w:w="100" w:type="dxa"/>
            </w:tcMar>
            <w:vAlign w:val="top"/>
          </w:tcPr>
          <w:p>
            <w:r>
              <w:rPr>
                <w:rFonts w:ascii="Aptos" w:hAnsi="Aptos"/>
                <w:sz w:val="18"/>
              </w:rPr>
              <w:t>[DOPLNÍ ÚČASTNÍK]</w:t>
            </w:r>
          </w:p>
        </w:tc>
      </w:tr>
      <w:tr>
        <w:trPr>
          <w:cantSplit w:val="1"/>
        </w:trPr>
        <w:tc>
          <w:tcPr>
            <w:tcW w:type="dxa" w:w="4892"/>
            <w:tcMar>
              <w:top w:w="80" w:type="dxa"/>
              <w:start w:w="100" w:type="dxa"/>
              <w:bottom w:w="80" w:type="dxa"/>
              <w:end w:w="100" w:type="dxa"/>
            </w:tcMar>
            <w:vAlign w:val="top"/>
            <w:shd w:fill="F8FAF9"/>
          </w:tcPr>
          <w:p>
            <w:r>
              <w:rPr>
                <w:rFonts w:ascii="Aptos" w:hAnsi="Aptos"/>
                <w:sz w:val="18"/>
              </w:rPr>
              <w:t>DIČ</w:t>
            </w:r>
          </w:p>
        </w:tc>
        <w:tc>
          <w:tcPr>
            <w:tcW w:type="dxa" w:w="4892"/>
            <w:tcMar>
              <w:top w:w="80" w:type="dxa"/>
              <w:start w:w="100" w:type="dxa"/>
              <w:bottom w:w="80" w:type="dxa"/>
              <w:end w:w="100" w:type="dxa"/>
            </w:tcMar>
            <w:vAlign w:val="top"/>
            <w:shd w:fill="F8FAF9"/>
          </w:tcPr>
          <w:p>
            <w:r>
              <w:rPr>
                <w:rFonts w:ascii="Aptos" w:hAnsi="Aptos"/>
                <w:sz w:val="18"/>
              </w:rPr>
              <w:t>[DOPLNÍ ÚČASTNÍK]</w:t>
            </w:r>
          </w:p>
        </w:tc>
      </w:tr>
      <w:tr>
        <w:trPr>
          <w:cantSplit w:val="1"/>
        </w:trPr>
        <w:tc>
          <w:tcPr>
            <w:tcW w:type="dxa" w:w="4892"/>
            <w:tcMar>
              <w:top w:w="80" w:type="dxa"/>
              <w:start w:w="100" w:type="dxa"/>
              <w:bottom w:w="80" w:type="dxa"/>
              <w:end w:w="100" w:type="dxa"/>
            </w:tcMar>
            <w:vAlign w:val="top"/>
          </w:tcPr>
          <w:p>
            <w:r>
              <w:rPr>
                <w:rFonts w:ascii="Aptos" w:hAnsi="Aptos"/>
                <w:sz w:val="18"/>
              </w:rPr>
              <w:t>Zápis v evidenci</w:t>
            </w:r>
          </w:p>
        </w:tc>
        <w:tc>
          <w:tcPr>
            <w:tcW w:type="dxa" w:w="4892"/>
            <w:tcMar>
              <w:top w:w="80" w:type="dxa"/>
              <w:start w:w="100" w:type="dxa"/>
              <w:bottom w:w="80" w:type="dxa"/>
              <w:end w:w="100" w:type="dxa"/>
            </w:tcMar>
            <w:vAlign w:val="top"/>
          </w:tcPr>
          <w:p>
            <w:r>
              <w:rPr>
                <w:rFonts w:ascii="Aptos" w:hAnsi="Aptos"/>
                <w:sz w:val="18"/>
              </w:rPr>
              <w:t>[DOPLNÍ ÚČASTNÍK]</w:t>
            </w:r>
          </w:p>
        </w:tc>
      </w:tr>
      <w:tr>
        <w:trPr>
          <w:cantSplit w:val="1"/>
        </w:trPr>
        <w:tc>
          <w:tcPr>
            <w:tcW w:type="dxa" w:w="4892"/>
            <w:tcMar>
              <w:top w:w="80" w:type="dxa"/>
              <w:start w:w="100" w:type="dxa"/>
              <w:bottom w:w="80" w:type="dxa"/>
              <w:end w:w="100" w:type="dxa"/>
            </w:tcMar>
            <w:vAlign w:val="top"/>
            <w:shd w:fill="F8FAF9"/>
          </w:tcPr>
          <w:p>
            <w:r>
              <w:rPr>
                <w:rFonts w:ascii="Aptos" w:hAnsi="Aptos"/>
                <w:sz w:val="18"/>
              </w:rPr>
              <w:t>Zastoupený</w:t>
            </w:r>
          </w:p>
        </w:tc>
        <w:tc>
          <w:tcPr>
            <w:tcW w:type="dxa" w:w="4892"/>
            <w:tcMar>
              <w:top w:w="80" w:type="dxa"/>
              <w:start w:w="100" w:type="dxa"/>
              <w:bottom w:w="80" w:type="dxa"/>
              <w:end w:w="100" w:type="dxa"/>
            </w:tcMar>
            <w:vAlign w:val="top"/>
            <w:shd w:fill="F8FAF9"/>
          </w:tcPr>
          <w:p>
            <w:r>
              <w:rPr>
                <w:rFonts w:ascii="Aptos" w:hAnsi="Aptos"/>
                <w:sz w:val="18"/>
              </w:rPr>
              <w:t>[DOPLNÍ ÚČASTNÍK]</w:t>
            </w:r>
          </w:p>
        </w:tc>
      </w:tr>
      <w:tr>
        <w:trPr>
          <w:cantSplit w:val="1"/>
        </w:trPr>
        <w:tc>
          <w:tcPr>
            <w:tcW w:type="dxa" w:w="4892"/>
            <w:tcMar>
              <w:top w:w="80" w:type="dxa"/>
              <w:start w:w="100" w:type="dxa"/>
              <w:bottom w:w="80" w:type="dxa"/>
              <w:end w:w="100" w:type="dxa"/>
            </w:tcMar>
            <w:vAlign w:val="top"/>
          </w:tcPr>
          <w:p>
            <w:r>
              <w:rPr>
                <w:rFonts w:ascii="Aptos" w:hAnsi="Aptos"/>
                <w:sz w:val="18"/>
              </w:rPr>
              <w:t>Kontaktní osoba</w:t>
            </w:r>
          </w:p>
        </w:tc>
        <w:tc>
          <w:tcPr>
            <w:tcW w:type="dxa" w:w="4892"/>
            <w:tcMar>
              <w:top w:w="80" w:type="dxa"/>
              <w:start w:w="100" w:type="dxa"/>
              <w:bottom w:w="80" w:type="dxa"/>
              <w:end w:w="100" w:type="dxa"/>
            </w:tcMar>
            <w:vAlign w:val="top"/>
          </w:tcPr>
          <w:p>
            <w:r>
              <w:rPr>
                <w:rFonts w:ascii="Aptos" w:hAnsi="Aptos"/>
                <w:sz w:val="18"/>
              </w:rPr>
              <w:t>[DOPLNÍ ÚČASTNÍK]</w:t>
            </w:r>
          </w:p>
        </w:tc>
      </w:tr>
      <w:tr>
        <w:trPr>
          <w:cantSplit w:val="1"/>
        </w:trPr>
        <w:tc>
          <w:tcPr>
            <w:tcW w:type="dxa" w:w="4892"/>
            <w:tcMar>
              <w:top w:w="80" w:type="dxa"/>
              <w:start w:w="100" w:type="dxa"/>
              <w:bottom w:w="80" w:type="dxa"/>
              <w:end w:w="100" w:type="dxa"/>
            </w:tcMar>
            <w:vAlign w:val="top"/>
            <w:shd w:fill="F8FAF9"/>
          </w:tcPr>
          <w:p>
            <w:r>
              <w:rPr>
                <w:rFonts w:ascii="Aptos" w:hAnsi="Aptos"/>
                <w:sz w:val="18"/>
              </w:rPr>
              <w:t>Telefon</w:t>
            </w:r>
          </w:p>
        </w:tc>
        <w:tc>
          <w:tcPr>
            <w:tcW w:type="dxa" w:w="4892"/>
            <w:tcMar>
              <w:top w:w="80" w:type="dxa"/>
              <w:start w:w="100" w:type="dxa"/>
              <w:bottom w:w="80" w:type="dxa"/>
              <w:end w:w="100" w:type="dxa"/>
            </w:tcMar>
            <w:vAlign w:val="top"/>
            <w:shd w:fill="F8FAF9"/>
          </w:tcPr>
          <w:p>
            <w:r>
              <w:rPr>
                <w:rFonts w:ascii="Aptos" w:hAnsi="Aptos"/>
                <w:sz w:val="18"/>
              </w:rPr>
              <w:t>[DOPLNÍ ÚČASTNÍK]</w:t>
            </w:r>
          </w:p>
        </w:tc>
      </w:tr>
      <w:tr>
        <w:trPr>
          <w:cantSplit w:val="1"/>
        </w:trPr>
        <w:tc>
          <w:tcPr>
            <w:tcW w:type="dxa" w:w="4892"/>
            <w:tcMar>
              <w:top w:w="80" w:type="dxa"/>
              <w:start w:w="100" w:type="dxa"/>
              <w:bottom w:w="80" w:type="dxa"/>
              <w:end w:w="100" w:type="dxa"/>
            </w:tcMar>
            <w:vAlign w:val="top"/>
          </w:tcPr>
          <w:p>
            <w:r>
              <w:rPr>
                <w:rFonts w:ascii="Aptos" w:hAnsi="Aptos"/>
                <w:sz w:val="18"/>
              </w:rPr>
              <w:t>E-mail</w:t>
            </w:r>
          </w:p>
        </w:tc>
        <w:tc>
          <w:tcPr>
            <w:tcW w:type="dxa" w:w="4892"/>
            <w:tcMar>
              <w:top w:w="80" w:type="dxa"/>
              <w:start w:w="100" w:type="dxa"/>
              <w:bottom w:w="80" w:type="dxa"/>
              <w:end w:w="100" w:type="dxa"/>
            </w:tcMar>
            <w:vAlign w:val="top"/>
          </w:tcPr>
          <w:p>
            <w:r>
              <w:rPr>
                <w:rFonts w:ascii="Aptos" w:hAnsi="Aptos"/>
                <w:sz w:val="18"/>
              </w:rPr>
              <w:t>[DOPLNÍ ÚČASTNÍK]</w:t>
            </w:r>
          </w:p>
        </w:tc>
      </w:tr>
      <w:tr>
        <w:trPr>
          <w:cantSplit w:val="1"/>
        </w:trPr>
        <w:tc>
          <w:tcPr>
            <w:tcW w:type="dxa" w:w="4892"/>
            <w:tcMar>
              <w:top w:w="80" w:type="dxa"/>
              <w:start w:w="100" w:type="dxa"/>
              <w:bottom w:w="80" w:type="dxa"/>
              <w:end w:w="100" w:type="dxa"/>
            </w:tcMar>
            <w:vAlign w:val="top"/>
            <w:shd w:fill="F8FAF9"/>
          </w:tcPr>
          <w:p>
            <w:r>
              <w:rPr>
                <w:rFonts w:ascii="Aptos" w:hAnsi="Aptos"/>
                <w:sz w:val="18"/>
              </w:rPr>
              <w:t>Bankovní spojení</w:t>
            </w:r>
          </w:p>
        </w:tc>
        <w:tc>
          <w:tcPr>
            <w:tcW w:type="dxa" w:w="4892"/>
            <w:tcMar>
              <w:top w:w="80" w:type="dxa"/>
              <w:start w:w="100" w:type="dxa"/>
              <w:bottom w:w="80" w:type="dxa"/>
              <w:end w:w="100" w:type="dxa"/>
            </w:tcMar>
            <w:vAlign w:val="top"/>
            <w:shd w:fill="F8FAF9"/>
          </w:tcPr>
          <w:p>
            <w:r>
              <w:rPr>
                <w:rFonts w:ascii="Aptos" w:hAnsi="Aptos"/>
                <w:sz w:val="18"/>
              </w:rPr>
              <w:t>[DOPLNÍ ÚČASTNÍK]</w:t>
            </w:r>
          </w:p>
        </w:tc>
      </w:tr>
    </w:tbl>
    <w:p>
      <w:r>
        <w:rPr>
          <w:i w:val="0"/>
        </w:rPr>
        <w:t>Objednatel a zhotovitel dále společně jako „smluvní strany“.</w:t>
      </w:r>
    </w:p>
    <w:p>
      <w:pPr>
        <w:pStyle w:val="Heading1"/>
      </w:pPr>
      <w:r>
        <w:t>II. Úvodní ustanovení</w:t>
      </w:r>
    </w:p>
    <w:p>
      <w:pPr>
        <w:pStyle w:val="ListNumber"/>
      </w:pPr>
      <w:r>
        <w:t>Tato smlouva je uzavírána podle výsledku výběrového řízení na zakázku „Agroturistika na farmě“.</w:t>
      </w:r>
    </w:p>
    <w:p>
      <w:pPr>
        <w:pStyle w:val="ListNumber"/>
      </w:pPr>
      <w:r>
        <w:t>Zakázka je součástí projektu v rámci Strategického plánu SZP 2023–2027, intervence 45.73, záměr b) Agroturismus, registrační číslo 26/007/4573b/400/003555.</w:t>
      </w:r>
    </w:p>
    <w:p>
      <w:pPr>
        <w:pStyle w:val="ListNumber"/>
      </w:pPr>
      <w:r>
        <w:t>Zhotovitel potvrzuje, že prostudoval zadávací dokumentaci a přílohy, seznámil se s místem plnění a disponuje kapacitami potřebnými pro řádné provedení díla.</w:t>
      </w:r>
    </w:p>
    <w:p>
      <w:r>
        <w:rPr>
          <w:b w:val="0"/>
        </w:rPr>
        <w:t>Zhotovitel prohlašuje, že po celou dobu plnění sám nebo prostřednictvím oznámených poddodavatelů a jiných smluvně zavázaných osob zajistí všechna oprávnění, odborné kapacity a způsobilosti potřebné pro řádné a právně přípustné provedení jednotlivých částí díla.</w:t>
      </w:r>
    </w:p>
    <w:p>
      <w:r>
        <w:rPr>
          <w:b w:val="0"/>
        </w:rPr>
        <w:t>Nejpozději před protokolárním předáním pracoviště pro první etapu zhotovitel písemně označí osobu odpovědnou za odborné vedení realizace. Tato osoba může být zaměstnancem zhotovitele, členem společné nabídky, poddodavatelem nebo jinou smluvně zavázanou osobou. Vyžadují-li právní předpisy pro prováděné práce stavbyvedoucího, autorizovanou osobu nebo jinou zvláštní způsobilost, zhotovitel doloží její oprávnění.</w:t>
      </w:r>
    </w:p>
    <w:p>
      <w:r>
        <w:rPr>
          <w:b w:val="0"/>
        </w:rPr>
        <w:t>Technický dozor objednatele, stavební dozor nebo jiná kontrolní osoba jednající na straně objednatele není osobou zajišťující kvalifikaci ani odborné vedení za zhotovitele.</w:t>
      </w:r>
    </w:p>
    <w:p>
      <w:pPr>
        <w:pStyle w:val="ListNumber"/>
      </w:pPr>
      <w:r>
        <w:t>Zhotovitel odpovídá za úplnost nabídky a nemá právo na zvýšení ceny z důvodu podcenění nákladů, opomenutí související činnosti nebo ekonomické nevýhodnosti vlastní nabídky.</w:t>
      </w:r>
    </w:p>
    <w:p>
      <w:pPr>
        <w:pStyle w:val="Heading1"/>
      </w:pPr>
      <w:r>
        <w:t>III. Předmět smlouvy</w:t>
      </w:r>
    </w:p>
    <w:p>
      <w:r>
        <w:rPr>
          <w:i w:val="0"/>
        </w:rPr>
        <w:t>Zhotovitel provede na svůj náklad a nebezpečí dílo „Agroturistika na farmě“ v úplném rozsahu zadávací dokumentace, technické specifikace, oceněného soupisu prací, přehledu oken a dveří, nabídnutých výrobků a harmonogramu. Objednatel řádně provedené a převzaté plnění zaplatí.</w:t>
      </w:r>
    </w:p>
    <w:p>
      <w:r>
        <w:rPr>
          <w:i w:val="0"/>
        </w:rPr>
        <w:t>Součástí ceny jsou veškeré práce, materiály, dodávky, doprava, montáž, manipulace, ochranná opatření, zkoušky, revize, dokumentace, odvoz a odstranění odpadu, úklid a související dokončovací práce.</w:t>
      </w:r>
    </w:p>
    <w:p>
      <w:pPr>
        <w:pStyle w:val="Heading1"/>
      </w:pPr>
      <w:r>
        <w:t>IV. Aktivační etapy</w:t>
      </w:r>
    </w:p>
    <w:tbl>
      <w:tblPr>
        <w:tblW w:type="dxa" w:w="9783"/>
        <w:tblLayout w:type="fixed"/>
        <w:tblLook w:firstColumn="1" w:firstRow="1" w:lastColumn="0" w:lastRow="0" w:noHBand="0" w:noVBand="1" w:val="04A0"/>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3261"/>
        <w:gridCol w:w="3261"/>
        <w:gridCol w:w="3261"/>
      </w:tblGrid>
      <w:tr>
        <w:trPr>
          <w:tblHeader w:val="true"/>
          <w:cantSplit w:val="1"/>
        </w:trPr>
        <w:tc>
          <w:tcPr>
            <w:tcW w:type="dxa" w:w="3261"/>
            <w:shd w:fill="2F5D50"/>
            <w:tcMar>
              <w:top w:w="80" w:type="dxa"/>
              <w:start w:w="100" w:type="dxa"/>
              <w:bottom w:w="80" w:type="dxa"/>
              <w:end w:w="100" w:type="dxa"/>
            </w:tcMar>
            <w:vAlign w:val="center"/>
          </w:tcPr>
          <w:p>
            <w:pPr>
              <w:jc w:val="center"/>
            </w:pPr>
            <w:r>
              <w:rPr>
                <w:rFonts w:ascii="Aptos" w:hAnsi="Aptos"/>
                <w:b/>
                <w:color w:val="FFFFFF"/>
                <w:sz w:val="18"/>
              </w:rPr>
              <w:t>Etapa</w:t>
            </w:r>
          </w:p>
        </w:tc>
        <w:tc>
          <w:tcPr>
            <w:tcW w:type="dxa" w:w="3261"/>
            <w:shd w:fill="2F5D50"/>
            <w:tcMar>
              <w:top w:w="80" w:type="dxa"/>
              <w:start w:w="100" w:type="dxa"/>
              <w:bottom w:w="80" w:type="dxa"/>
              <w:end w:w="100" w:type="dxa"/>
            </w:tcMar>
            <w:vAlign w:val="center"/>
          </w:tcPr>
          <w:p>
            <w:pPr>
              <w:jc w:val="center"/>
            </w:pPr>
            <w:r>
              <w:rPr>
                <w:rFonts w:ascii="Aptos" w:hAnsi="Aptos"/>
                <w:b/>
                <w:color w:val="FFFFFF"/>
                <w:sz w:val="18"/>
              </w:rPr>
              <w:t>Obsah</w:t>
            </w:r>
          </w:p>
        </w:tc>
        <w:tc>
          <w:tcPr>
            <w:tcW w:type="dxa" w:w="3261"/>
            <w:shd w:fill="2F5D50"/>
            <w:tcMar>
              <w:top w:w="80" w:type="dxa"/>
              <w:start w:w="100" w:type="dxa"/>
              <w:bottom w:w="80" w:type="dxa"/>
              <w:end w:w="100" w:type="dxa"/>
            </w:tcMar>
            <w:vAlign w:val="center"/>
          </w:tcPr>
          <w:p>
            <w:pPr>
              <w:jc w:val="center"/>
            </w:pPr>
            <w:r>
              <w:rPr>
                <w:rFonts w:ascii="Aptos" w:hAnsi="Aptos"/>
                <w:b/>
                <w:color w:val="FFFFFF"/>
                <w:sz w:val="18"/>
              </w:rPr>
              <w:t>Režim</w:t>
            </w:r>
          </w:p>
        </w:tc>
      </w:tr>
      <w:tr>
        <w:trPr>
          <w:cantSplit w:val="1"/>
        </w:trPr>
        <w:tc>
          <w:tcPr>
            <w:tcW w:type="dxa" w:w="3261"/>
            <w:tcMar>
              <w:top w:w="80" w:type="dxa"/>
              <w:start w:w="100" w:type="dxa"/>
              <w:bottom w:w="80" w:type="dxa"/>
              <w:end w:w="100" w:type="dxa"/>
            </w:tcMar>
            <w:vAlign w:val="top"/>
          </w:tcPr>
          <w:p>
            <w:r>
              <w:rPr>
                <w:rFonts w:ascii="Aptos" w:hAnsi="Aptos"/>
                <w:sz w:val="18"/>
              </w:rPr>
              <w:t>A</w:t>
            </w:r>
          </w:p>
        </w:tc>
        <w:tc>
          <w:tcPr>
            <w:tcW w:type="dxa" w:w="3261"/>
            <w:tcMar>
              <w:top w:w="80" w:type="dxa"/>
              <w:start w:w="100" w:type="dxa"/>
              <w:bottom w:w="80" w:type="dxa"/>
              <w:end w:w="100" w:type="dxa"/>
            </w:tcMar>
            <w:vAlign w:val="top"/>
          </w:tcPr>
          <w:p>
            <w:r>
              <w:rPr>
                <w:rFonts w:ascii="Aptos" w:hAnsi="Aptos"/>
                <w:sz w:val="18"/>
              </w:rPr>
              <w:t>Okna, balkonové a vstupní dveře; opláštění a zateplení</w:t>
            </w:r>
          </w:p>
        </w:tc>
        <w:tc>
          <w:tcPr>
            <w:tcW w:type="dxa" w:w="3261"/>
            <w:tcMar>
              <w:top w:w="80" w:type="dxa"/>
              <w:start w:w="100" w:type="dxa"/>
              <w:bottom w:w="80" w:type="dxa"/>
              <w:end w:w="100" w:type="dxa"/>
            </w:tcMar>
            <w:vAlign w:val="top"/>
          </w:tcPr>
          <w:p>
            <w:r>
              <w:t>Závazně objednána smlouvou</w:t>
            </w:r>
          </w:p>
        </w:tc>
      </w:tr>
      <w:tr>
        <w:trPr>
          <w:cantSplit w:val="1"/>
        </w:trPr>
        <w:tc>
          <w:tcPr>
            <w:tcW w:type="dxa" w:w="3261"/>
            <w:tcMar>
              <w:top w:w="80" w:type="dxa"/>
              <w:start w:w="100" w:type="dxa"/>
              <w:bottom w:w="80" w:type="dxa"/>
              <w:end w:w="100" w:type="dxa"/>
            </w:tcMar>
            <w:vAlign w:val="top"/>
            <w:shd w:fill="F8FAF9"/>
          </w:tcPr>
          <w:p>
            <w:r>
              <w:rPr>
                <w:rFonts w:ascii="Aptos" w:hAnsi="Aptos"/>
                <w:sz w:val="18"/>
              </w:rPr>
              <w:t>B</w:t>
            </w:r>
          </w:p>
        </w:tc>
        <w:tc>
          <w:tcPr>
            <w:tcW w:type="dxa" w:w="3261"/>
            <w:tcMar>
              <w:top w:w="80" w:type="dxa"/>
              <w:start w:w="100" w:type="dxa"/>
              <w:bottom w:w="80" w:type="dxa"/>
              <w:end w:w="100" w:type="dxa"/>
            </w:tcMar>
            <w:vAlign w:val="top"/>
            <w:shd w:fill="F8FAF9"/>
          </w:tcPr>
          <w:p>
            <w:r>
              <w:rPr>
                <w:rFonts w:ascii="Aptos" w:hAnsi="Aptos"/>
                <w:sz w:val="18"/>
              </w:rPr>
              <w:t>Balkon a venkovní schodiště</w:t>
            </w:r>
          </w:p>
        </w:tc>
        <w:tc>
          <w:tcPr>
            <w:tcW w:type="dxa" w:w="3261"/>
            <w:tcMar>
              <w:top w:w="80" w:type="dxa"/>
              <w:start w:w="100" w:type="dxa"/>
              <w:bottom w:w="80" w:type="dxa"/>
              <w:end w:w="100" w:type="dxa"/>
            </w:tcMar>
            <w:vAlign w:val="top"/>
            <w:shd w:fill="F8FAF9"/>
          </w:tcPr>
          <w:p>
            <w:r>
              <w:t>Podmíněna výsledkem administrace dotace; aktivace v rozsahu schváleném SZIF</w:t>
            </w:r>
          </w:p>
        </w:tc>
      </w:tr>
      <w:tr>
        <w:trPr>
          <w:cantSplit w:val="1"/>
        </w:trPr>
        <w:tc>
          <w:tcPr>
            <w:tcW w:type="dxa" w:w="3261"/>
            <w:tcMar>
              <w:top w:w="80" w:type="dxa"/>
              <w:start w:w="100" w:type="dxa"/>
              <w:bottom w:w="80" w:type="dxa"/>
              <w:end w:w="100" w:type="dxa"/>
            </w:tcMar>
            <w:vAlign w:val="top"/>
          </w:tcPr>
          <w:p>
            <w:r>
              <w:rPr>
                <w:rFonts w:ascii="Aptos" w:hAnsi="Aptos"/>
                <w:sz w:val="18"/>
              </w:rPr>
              <w:t>C</w:t>
            </w:r>
          </w:p>
        </w:tc>
        <w:tc>
          <w:tcPr>
            <w:tcW w:type="dxa" w:w="3261"/>
            <w:tcMar>
              <w:top w:w="80" w:type="dxa"/>
              <w:start w:w="100" w:type="dxa"/>
              <w:bottom w:w="80" w:type="dxa"/>
              <w:end w:w="100" w:type="dxa"/>
            </w:tcMar>
            <w:vAlign w:val="top"/>
          </w:tcPr>
          <w:p>
            <w:r>
              <w:t>WC a koupelna včetně ventilátorů</w:t>
            </w:r>
          </w:p>
        </w:tc>
        <w:tc>
          <w:tcPr>
            <w:tcW w:type="dxa" w:w="3261"/>
            <w:tcMar>
              <w:top w:w="80" w:type="dxa"/>
              <w:start w:w="100" w:type="dxa"/>
              <w:bottom w:w="80" w:type="dxa"/>
              <w:end w:w="100" w:type="dxa"/>
            </w:tcMar>
            <w:vAlign w:val="top"/>
          </w:tcPr>
          <w:p>
            <w:r>
              <w:t>Podmíněna výsledkem administrace dotace; aktivace v rozsahu schváleném SZIF</w:t>
            </w:r>
          </w:p>
        </w:tc>
      </w:tr>
      <w:tr>
        <w:trPr>
          <w:cantSplit w:val="1"/>
        </w:trPr>
        <w:tc>
          <w:tcPr>
            <w:tcW w:type="dxa" w:w="3261"/>
            <w:tcMar>
              <w:top w:w="80" w:type="dxa"/>
              <w:start w:w="100" w:type="dxa"/>
              <w:bottom w:w="80" w:type="dxa"/>
              <w:end w:w="100" w:type="dxa"/>
            </w:tcMar>
            <w:vAlign w:val="top"/>
            <w:shd w:fill="F8FAF9"/>
          </w:tcPr>
          <w:p>
            <w:r>
              <w:rPr>
                <w:rFonts w:ascii="Aptos" w:hAnsi="Aptos"/>
                <w:sz w:val="18"/>
              </w:rPr>
              <w:t>D</w:t>
            </w:r>
          </w:p>
        </w:tc>
        <w:tc>
          <w:tcPr>
            <w:tcW w:type="dxa" w:w="3261"/>
            <w:tcMar>
              <w:top w:w="80" w:type="dxa"/>
              <w:start w:w="100" w:type="dxa"/>
              <w:bottom w:w="80" w:type="dxa"/>
              <w:end w:w="100" w:type="dxa"/>
            </w:tcMar>
            <w:vAlign w:val="top"/>
            <w:shd w:fill="F8FAF9"/>
          </w:tcPr>
          <w:p>
            <w:r>
              <w:t>Lodžie, podlahové krytiny, svítidla a malby</w:t>
            </w:r>
          </w:p>
        </w:tc>
        <w:tc>
          <w:tcPr>
            <w:tcW w:type="dxa" w:w="3261"/>
            <w:tcMar>
              <w:top w:w="80" w:type="dxa"/>
              <w:start w:w="100" w:type="dxa"/>
              <w:bottom w:w="80" w:type="dxa"/>
              <w:end w:w="100" w:type="dxa"/>
            </w:tcMar>
            <w:vAlign w:val="top"/>
            <w:shd w:fill="F8FAF9"/>
          </w:tcPr>
          <w:p>
            <w:r>
              <w:t>Podmíněna výsledkem administrace dotace; aktivace v rozsahu schváleném SZIF</w:t>
            </w:r>
          </w:p>
        </w:tc>
      </w:tr>
      <w:tr>
        <w:trPr>
          <w:cantSplit w:val="1"/>
        </w:trPr>
        <w:tc>
          <w:tcPr>
            <w:tcW w:type="dxa" w:w="3261"/>
            <w:tcMar>
              <w:top w:w="80" w:type="dxa"/>
              <w:start w:w="100" w:type="dxa"/>
              <w:bottom w:w="80" w:type="dxa"/>
              <w:end w:w="100" w:type="dxa"/>
            </w:tcMar>
            <w:vAlign w:val="top"/>
          </w:tcPr>
          <w:p>
            <w:r>
              <w:rPr>
                <w:rFonts w:ascii="Aptos" w:hAnsi="Aptos"/>
                <w:sz w:val="18"/>
              </w:rPr>
              <w:t>E</w:t>
            </w:r>
          </w:p>
        </w:tc>
        <w:tc>
          <w:tcPr>
            <w:tcW w:type="dxa" w:w="3261"/>
            <w:tcMar>
              <w:top w:w="80" w:type="dxa"/>
              <w:start w:w="100" w:type="dxa"/>
              <w:bottom w:w="80" w:type="dxa"/>
              <w:end w:w="100" w:type="dxa"/>
            </w:tcMar>
            <w:vAlign w:val="top"/>
          </w:tcPr>
          <w:p>
            <w:r>
              <w:rPr>
                <w:rFonts w:ascii="Aptos" w:hAnsi="Aptos"/>
                <w:sz w:val="18"/>
              </w:rPr>
              <w:t>Plynový kotel</w:t>
            </w:r>
          </w:p>
        </w:tc>
        <w:tc>
          <w:tcPr>
            <w:tcW w:type="dxa" w:w="3261"/>
            <w:tcMar>
              <w:top w:w="80" w:type="dxa"/>
              <w:start w:w="100" w:type="dxa"/>
              <w:bottom w:w="80" w:type="dxa"/>
              <w:end w:w="100" w:type="dxa"/>
            </w:tcMar>
            <w:vAlign w:val="top"/>
          </w:tcPr>
          <w:p>
            <w:r>
              <w:t>Podmíněna výsledkem administrace dotace; aktivace v rozsahu schváleném SZIF</w:t>
            </w:r>
          </w:p>
        </w:tc>
      </w:tr>
    </w:tbl>
    <w:p>
      <w:pPr>
        <w:pStyle w:val="ListNumber"/>
      </w:pPr>
      <w:r>
        <w:t>Etapa A se zahájí na základě písemné výzvy objednatele a protokolárního předání staveniště. Může být zahájena po podání Žádosti o dotaci i před uzavřením Dohody se SZIF, avšak pouze na základě výslovného písemného rozhodnutí objednatele, který v takovém případě nese riziko neposkytnutí dotace.</w:t>
      </w:r>
    </w:p>
    <w:p>
      <w:pPr>
        <w:pStyle w:val="ListNumber"/>
      </w:pPr>
      <w:r>
        <w:rPr>
          <w:rFonts w:ascii="Aptos" w:hAnsi="Aptos"/>
          <w:sz w:val="18"/>
        </w:rPr>
        <w:t>Etapy B až E tvoří úplný smluvní rozsah odpovídající žádosti o dotaci, jejich provedení je však podmíněno výsledkem administrace dotace. Lze je realizovat výhradně po samostatné písemné aktivaci objednatelem v rozsahu schváleném poskytovatelem dotace.</w:t>
      </w:r>
    </w:p>
    <w:p>
      <w:pPr>
        <w:pStyle w:val="ListNumber"/>
      </w:pPr>
      <w:r>
        <w:rPr>
          <w:rFonts w:ascii="Aptos" w:hAnsi="Aptos"/>
          <w:sz w:val="18"/>
        </w:rPr>
        <w:t>Bude-li uzavřena Dohoda se SZIF a bude-li příslušná část projektu schválena v požadovaném rozsahu, objednatel předpokládá aktivaci odpovídajících etap B až E. Jednotlivé etapy může z provozních důvodů aktivovat samostatně, společně nebo v jiném časovém pořadí; tím se nemění jejich věcný rozsah ani nabídková cena.</w:t>
      </w:r>
    </w:p>
    <w:p>
      <w:pPr>
        <w:pStyle w:val="ListNumber"/>
      </w:pPr>
      <w:r>
        <w:rPr>
          <w:rFonts w:ascii="Aptos" w:hAnsi="Aptos"/>
          <w:sz w:val="18"/>
        </w:rPr>
        <w:t>Zhotovitel nesmí před aktivací objednávat specifický materiál, zadávat výrobu ani zahájit práce příslušné etapy, pokud mu objednatel písemně neuloží pouze nezbytné zaměření nebo jiný přípravný úkon bez dopadu na cenu.</w:t>
      </w:r>
    </w:p>
    <w:p>
      <w:pPr>
        <w:pStyle w:val="ListNumber"/>
      </w:pPr>
      <w:r>
        <w:rPr>
          <w:rFonts w:ascii="Aptos" w:hAnsi="Aptos"/>
          <w:sz w:val="18"/>
        </w:rPr>
        <w:t>Etapa nebo její část nemusí být aktivována pouze tehdy, nebude-li dotace poskytnuta, bude-li schválen nižší rozsah nebo změna projektu, bude-li projekt ukončen, anebo nastane-li právní či technická překážka objektivně znemožňující provedení. V takovém případě nevzniká zhotoviteli právo na cenu neaktivovaného plnění, náhradu ušlého zisku, režie, rezervované kapacity ani jinou kompenzaci.</w:t>
      </w:r>
    </w:p>
    <w:p>
      <w:pPr>
        <w:pStyle w:val="ListNumber"/>
      </w:pPr>
      <w:r>
        <w:t>Právo aktivovat etapy B až E trvá 18 měsíců od účinnosti smlouvy. Není-li do této doby oznámen výsledek SZIF, prodlužuje se do 60 kalendářních dnů od doručení výsledku, nejdéle však do 24 měsíců od účinnosti smlouvy.</w:t>
      </w:r>
    </w:p>
    <w:p>
      <w:pPr>
        <w:pStyle w:val="ListNumber"/>
      </w:pPr>
      <w:r>
        <w:t>Po uplynutí aktivační lhůty právo aktivovat dosud neaktivovanou etapu zaniká.</w:t>
      </w:r>
    </w:p>
    <w:p>
      <w:pPr>
        <w:pStyle w:val="ListNumber"/>
      </w:pPr>
      <w:r>
        <w:t>Aktivační výzva nemění cenu ani věcný rozsah etapy a není dodatkem ke smlouvě.</w:t>
      </w:r>
    </w:p>
    <w:p>
      <w:r>
        <w:rPr>
          <w:rFonts w:ascii="Aptos" w:hAnsi="Aptos"/>
          <w:b/>
          <w:sz w:val="18"/>
        </w:rPr>
        <w:t>Aktivace etapy nezahajuje běh hodnocené doby a provozní pauzy mezi etapami se nezapočítávají.</w:t>
      </w:r>
    </w:p>
    <w:p>
      <w:r>
        <w:rPr>
          <w:rFonts w:ascii="Aptos" w:hAnsi="Aptos"/>
          <w:b w:val="0"/>
          <w:sz w:val="18"/>
        </w:rPr>
        <w:t>Aktivační výzva umožňuje zhotoviteli zahájit přípravu, objednání materiálů, výrobu a rezervaci kapacit. Běh závazné doby etapy začne až samostatným protokolárním předáním pracoviště.</w:t>
      </w:r>
    </w:p>
    <w:p>
      <w:r>
        <w:rPr>
          <w:rFonts w:ascii="Aptos" w:hAnsi="Aptos"/>
          <w:b w:val="0"/>
          <w:sz w:val="18"/>
        </w:rPr>
        <w:t>Konkrétní datum předání pracoviště určí objednatel samostatně s ohledem na obsazenost objektu a potřebu zachovat ubytovací provoz.</w:t>
      </w:r>
    </w:p>
    <w:p>
      <w:pPr>
        <w:pStyle w:val="Heading1"/>
      </w:pPr>
      <w:r>
        <w:t>V. Doba plnění a harmonogram</w:t>
      </w:r>
    </w:p>
    <w:p>
      <w:pPr>
        <w:pStyle w:val="ListNumber"/>
      </w:pPr>
      <w:r>
        <w:t>Zhotovitel zahájí etapu A nejpozději do 10 pracovních dnů od pozdějšího z doručení výzvy a protokolárního předání staveniště, neurčí-li výzva pozdější den.</w:t>
      </w:r>
    </w:p>
    <w:p>
      <w:pPr>
        <w:pStyle w:val="ListNumber"/>
      </w:pPr>
      <w:r>
        <w:t>Objednatel doručí výzvu k aktivaci podmíněné etapy zpravidla nejméně 30 kalendářních dnů před předpokládaným zahájením, nedohodnou-li se strany písemně jinak.</w:t>
      </w:r>
    </w:p>
    <w:p>
      <w:pPr>
        <w:pStyle w:val="ListNumber"/>
      </w:pPr>
      <w:r>
        <w:t>Zhotovitel předloží aktualizovaný harmonogram do pěti pracovních dnů od výzvy k zahájení etapy A a od každé aktivační výzvy.</w:t>
      </w:r>
    </w:p>
    <w:p>
      <w:pPr>
        <w:pStyle w:val="ListNumber"/>
      </w:pPr>
      <w:r>
        <w:rPr>
          <w:rFonts w:ascii="Aptos" w:hAnsi="Aptos"/>
          <w:sz w:val="18"/>
        </w:rPr>
        <w:t>Po dobu provádění prací na místě v rámci každé aktivované etapy bude ubytovací objekt úplně uzavřen hostům, neurčí-li objednatel v konkrétním případě písemně jinak.</w:t>
      </w:r>
    </w:p>
    <w:p>
      <w:pPr>
        <w:pStyle w:val="ListNumber"/>
      </w:pPr>
      <w:r>
        <w:rPr>
          <w:rFonts w:ascii="Aptos" w:hAnsi="Aptos"/>
          <w:sz w:val="18"/>
        </w:rPr>
        <w:t>Závazná doba etapy začíná dnem uvedeným v protokolu o předání pracoviště, kdy je objekt pro danou etapu uzavřen, a končí dnem podpisu předávacího protokolu celé etapy. Počítají se všechny kalendářní dny včetně víkendů, svátků, technologických přestávek a čekání na dodávky.</w:t>
      </w:r>
    </w:p>
    <w:p>
      <w:r>
        <w:rPr>
          <w:rFonts w:ascii="Aptos" w:hAnsi="Aptos"/>
          <w:b w:val="0"/>
          <w:sz w:val="18"/>
        </w:rPr>
        <w:t>Doba od podpisu předávacího protokolu jedné etapy do protokolárního předání pracoviště pro další etapu se do závazné ani hodnocené doby nezapočítává. Objednatel je oprávněn mezi etapami stanovit provozní pauzu podle rezervací a sezonní obsazenosti objektu, včetně pauzy v délce 60 kalendářních dnů nebo delší.</w:t>
      </w:r>
    </w:p>
    <w:p>
      <w:r>
        <w:rPr>
          <w:rFonts w:ascii="Aptos" w:hAnsi="Aptos"/>
          <w:b w:val="0"/>
          <w:sz w:val="18"/>
        </w:rPr>
        <w:t>Taková provozní pauza není prodlením zhotovitele. Zhotoviteli za ni nevzniká nárok na prodloužení již dokončené etapy, na změnu hodnocených dob, na úhradu prostojů ani na kompenzaci rezervované kapacity, nebylo-li písemně sjednáno jinak.</w:t>
      </w:r>
    </w:p>
    <w:p>
      <w:pPr>
        <w:pStyle w:val="ListNumber"/>
      </w:pPr>
      <w:r>
        <w:rPr>
          <w:rFonts w:ascii="Aptos" w:hAnsi="Aptos"/>
          <w:sz w:val="18"/>
        </w:rPr>
        <w:t>Zaměření, výroba, objednání materiálu a jiné přípravné práce prováděné mimo objekt před jeho uzavřením se do závazné doby etapy nezapočítávají. Zhotovitel je povinen zahájit uzavření až po zajištění potřebných materiálů, výrobků, pracovníků a poddodavatelů.</w:t>
      </w:r>
    </w:p>
    <w:p>
      <w:pPr>
        <w:pStyle w:val="ListNumber"/>
      </w:pPr>
      <w:r>
        <w:rPr>
          <w:rFonts w:ascii="Aptos" w:hAnsi="Aptos"/>
          <w:sz w:val="18"/>
        </w:rPr>
        <w:t>Maximální doby etap A–E uvedené v P10 a P11 jsou samostatně závazné. Jejich aritmetický součet sloužil pro hodnocení nabídky; souběžná realizace více etap tento hodnoticí součet nemění.</w:t>
      </w:r>
    </w:p>
    <w:p>
      <w:pPr>
        <w:pStyle w:val="ListNumber"/>
      </w:pPr>
      <w:r>
        <w:rPr>
          <w:rFonts w:ascii="Aptos" w:hAnsi="Aptos"/>
          <w:sz w:val="18"/>
        </w:rPr>
        <w:t>Jsou-li dvě nebo více etap prováděny souběžně, měří se doba každé etapy samostatně od jejího předání pracoviště do převzetí celé etapy. Souběh může zkrátit skutečnou celkovou dobu uzavření objektu, nesmí však zhoršit bezpečnost, kvalitu ani závazné termíny.</w:t>
      </w:r>
    </w:p>
    <w:p>
      <w:pPr>
        <w:pStyle w:val="ListNumber"/>
      </w:pPr>
      <w:r>
        <w:rPr>
          <w:rFonts w:ascii="Aptos" w:hAnsi="Aptos"/>
          <w:sz w:val="18"/>
        </w:rPr>
        <w:t>Běh závazné doby etapy lze přerušit nebo prodloužit pouze z důvodu prokazatelného prodlení objednatele, objednatelem požadované změny, vyšší moci nebo mimořádné nepředvídatelné klimatické události, která objektivně znemožňuje dotčené práce. Důvod, začátek a konec přerušení musí být bezodkladně písemně zaznamenány.</w:t>
      </w:r>
    </w:p>
    <w:p>
      <w:pPr>
        <w:pStyle w:val="ListNumber"/>
      </w:pPr>
      <w:r>
        <w:rPr>
          <w:rFonts w:ascii="Aptos" w:hAnsi="Aptos"/>
          <w:sz w:val="18"/>
        </w:rPr>
        <w:t>Běžné sezonní počasí, nedostatek pracovníků, opožděné objednání materiálu, porucha organizace zhotovitele nebo selhání poddodavatele nejsou důvodem pro prodloužení nabídnuté doby.</w:t>
      </w:r>
    </w:p>
    <w:p>
      <w:pPr>
        <w:pStyle w:val="ListNumber"/>
      </w:pPr>
      <w:r>
        <w:t>Je-li uzavřena Dohoda se SZIF, musí být celý aktivovaný rozsah dokončen, předán a způsobilý k fakturaci nejpozději 90 kalendářních dnů před termínem pro podání Žádosti o platbu uvedeným v Dohodě nebo její schválené změně.</w:t>
      </w:r>
    </w:p>
    <w:p>
      <w:pPr>
        <w:pStyle w:val="ListNumber"/>
      </w:pPr>
      <w:r>
        <w:t>Objednatel sdělí konkrétní datum do deseti pracovních dnů od uzavření Dohody. Sdělení pouze konkretizuje smluvní vzorec.</w:t>
      </w:r>
    </w:p>
    <w:p>
      <w:pPr>
        <w:pStyle w:val="ListNumber"/>
      </w:pPr>
      <w:r>
        <w:t>Nebude-li Dohoda se SZIF uzavřena, musí být aktivovaný rozsah dokončen nejpozději do 24 měsíců od prvního předání staveniště, nedohodnou-li se strany písemně na dřívějším termínu.</w:t>
      </w:r>
    </w:p>
    <w:p>
      <w:pPr>
        <w:pStyle w:val="ListNumber"/>
      </w:pPr>
      <w:r>
        <w:t>Harmonogram lze operativně upravovat bez dodatku, pokud se nemění rozsah, cena a konečný smluvní termín.</w:t>
      </w:r>
    </w:p>
    <w:p>
      <w:pPr>
        <w:pStyle w:val="ListNumber"/>
      </w:pPr>
      <w:r>
        <w:t>Zhotovitel bez zbytečného odkladu upozorní na každou okolnost ohrožující konečný termín.</w:t>
      </w:r>
    </w:p>
    <w:p>
      <w:pPr>
        <w:pStyle w:val="Heading1"/>
      </w:pPr>
      <w:r>
        <w:t>VI. Cena díla</w:t>
      </w:r>
    </w:p>
    <w:tbl>
      <w:tblPr>
        <w:tblW w:type="dxa" w:w="9783"/>
        <w:tblLayout w:type="fixed"/>
        <w:tblLook w:firstColumn="1" w:firstRow="1" w:lastColumn="0" w:lastRow="0" w:noHBand="0" w:noVBand="1" w:val="04A0"/>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4892"/>
        <w:gridCol w:w="4892"/>
      </w:tblGrid>
      <w:tr>
        <w:trPr>
          <w:tblHeader w:val="true"/>
          <w:cantSplit w:val="1"/>
        </w:trPr>
        <w:tc>
          <w:tcPr>
            <w:tcW w:type="dxa" w:w="4892"/>
            <w:shd w:fill="2F5D50"/>
            <w:tcMar>
              <w:top w:w="80" w:type="dxa"/>
              <w:start w:w="100" w:type="dxa"/>
              <w:bottom w:w="80" w:type="dxa"/>
              <w:end w:w="100" w:type="dxa"/>
            </w:tcMar>
            <w:vAlign w:val="center"/>
          </w:tcPr>
          <w:p>
            <w:pPr>
              <w:jc w:val="center"/>
            </w:pPr>
            <w:r>
              <w:rPr>
                <w:rFonts w:ascii="Aptos" w:hAnsi="Aptos"/>
                <w:b/>
                <w:color w:val="FFFFFF"/>
                <w:sz w:val="18"/>
              </w:rPr>
              <w:t>Cena</w:t>
            </w:r>
          </w:p>
        </w:tc>
        <w:tc>
          <w:tcPr>
            <w:tcW w:type="dxa" w:w="4892"/>
            <w:shd w:fill="2F5D50"/>
            <w:tcMar>
              <w:top w:w="80" w:type="dxa"/>
              <w:start w:w="100" w:type="dxa"/>
              <w:bottom w:w="80" w:type="dxa"/>
              <w:end w:w="100" w:type="dxa"/>
            </w:tcMar>
            <w:vAlign w:val="center"/>
          </w:tcPr>
          <w:p>
            <w:pPr>
              <w:jc w:val="center"/>
            </w:pPr>
            <w:r>
              <w:rPr>
                <w:rFonts w:ascii="Aptos" w:hAnsi="Aptos"/>
                <w:b/>
                <w:color w:val="FFFFFF"/>
                <w:sz w:val="18"/>
              </w:rPr>
              <w:t>Kč bez DPH</w:t>
            </w:r>
          </w:p>
        </w:tc>
      </w:tr>
      <w:tr>
        <w:trPr>
          <w:cantSplit w:val="1"/>
        </w:trPr>
        <w:tc>
          <w:tcPr>
            <w:tcW w:type="dxa" w:w="4892"/>
            <w:tcMar>
              <w:top w:w="80" w:type="dxa"/>
              <w:start w:w="100" w:type="dxa"/>
              <w:bottom w:w="80" w:type="dxa"/>
              <w:end w:w="100" w:type="dxa"/>
            </w:tcMar>
            <w:vAlign w:val="top"/>
          </w:tcPr>
          <w:p>
            <w:r>
              <w:rPr>
                <w:rFonts w:ascii="Aptos" w:hAnsi="Aptos"/>
                <w:sz w:val="18"/>
              </w:rPr>
              <w:t>Etapa A – okna, dveře, opláštění a zateplení</w:t>
            </w:r>
          </w:p>
        </w:tc>
        <w:tc>
          <w:tcPr>
            <w:tcW w:type="dxa" w:w="4892"/>
            <w:tcMar>
              <w:top w:w="80" w:type="dxa"/>
              <w:start w:w="100" w:type="dxa"/>
              <w:bottom w:w="80" w:type="dxa"/>
              <w:end w:w="100" w:type="dxa"/>
            </w:tcMar>
            <w:vAlign w:val="top"/>
          </w:tcPr>
          <w:p>
            <w:r>
              <w:rPr>
                <w:rFonts w:ascii="Aptos" w:hAnsi="Aptos"/>
                <w:sz w:val="18"/>
              </w:rPr>
              <w:t>[DOPLNÍ ÚČASTNÍK]</w:t>
            </w:r>
          </w:p>
        </w:tc>
      </w:tr>
      <w:tr>
        <w:trPr>
          <w:cantSplit w:val="1"/>
        </w:trPr>
        <w:tc>
          <w:tcPr>
            <w:tcW w:type="dxa" w:w="4892"/>
            <w:tcMar>
              <w:top w:w="80" w:type="dxa"/>
              <w:start w:w="100" w:type="dxa"/>
              <w:bottom w:w="80" w:type="dxa"/>
              <w:end w:w="100" w:type="dxa"/>
            </w:tcMar>
            <w:vAlign w:val="top"/>
            <w:shd w:fill="F8FAF9"/>
          </w:tcPr>
          <w:p>
            <w:r>
              <w:rPr>
                <w:rFonts w:ascii="Aptos" w:hAnsi="Aptos"/>
                <w:sz w:val="18"/>
              </w:rPr>
              <w:t>Etapa B – balkon a venkovní schodiště</w:t>
            </w:r>
          </w:p>
        </w:tc>
        <w:tc>
          <w:tcPr>
            <w:tcW w:type="dxa" w:w="4892"/>
            <w:tcMar>
              <w:top w:w="80" w:type="dxa"/>
              <w:start w:w="100" w:type="dxa"/>
              <w:bottom w:w="80" w:type="dxa"/>
              <w:end w:w="100" w:type="dxa"/>
            </w:tcMar>
            <w:vAlign w:val="top"/>
            <w:shd w:fill="F8FAF9"/>
          </w:tcPr>
          <w:p>
            <w:r>
              <w:rPr>
                <w:rFonts w:ascii="Aptos" w:hAnsi="Aptos"/>
                <w:sz w:val="18"/>
              </w:rPr>
              <w:t>[DOPLNÍ ÚČASTNÍK]</w:t>
            </w:r>
          </w:p>
        </w:tc>
      </w:tr>
      <w:tr>
        <w:trPr>
          <w:cantSplit w:val="1"/>
        </w:trPr>
        <w:tc>
          <w:tcPr>
            <w:tcW w:type="dxa" w:w="4892"/>
            <w:tcMar>
              <w:top w:w="80" w:type="dxa"/>
              <w:start w:w="100" w:type="dxa"/>
              <w:bottom w:w="80" w:type="dxa"/>
              <w:end w:w="100" w:type="dxa"/>
            </w:tcMar>
            <w:vAlign w:val="top"/>
          </w:tcPr>
          <w:p>
            <w:r>
              <w:rPr>
                <w:rFonts w:ascii="Aptos" w:hAnsi="Aptos"/>
                <w:sz w:val="18"/>
              </w:rPr>
              <w:t>Etapa C – WC a koupelna</w:t>
            </w:r>
          </w:p>
        </w:tc>
        <w:tc>
          <w:tcPr>
            <w:tcW w:type="dxa" w:w="4892"/>
            <w:tcMar>
              <w:top w:w="80" w:type="dxa"/>
              <w:start w:w="100" w:type="dxa"/>
              <w:bottom w:w="80" w:type="dxa"/>
              <w:end w:w="100" w:type="dxa"/>
            </w:tcMar>
            <w:vAlign w:val="top"/>
          </w:tcPr>
          <w:p>
            <w:r>
              <w:rPr>
                <w:rFonts w:ascii="Aptos" w:hAnsi="Aptos"/>
                <w:sz w:val="18"/>
              </w:rPr>
              <w:t>[DOPLNÍ ÚČASTNÍK]</w:t>
            </w:r>
          </w:p>
        </w:tc>
      </w:tr>
      <w:tr>
        <w:trPr>
          <w:cantSplit w:val="1"/>
        </w:trPr>
        <w:tc>
          <w:tcPr>
            <w:tcW w:type="dxa" w:w="4892"/>
            <w:tcMar>
              <w:top w:w="80" w:type="dxa"/>
              <w:start w:w="100" w:type="dxa"/>
              <w:bottom w:w="80" w:type="dxa"/>
              <w:end w:w="100" w:type="dxa"/>
            </w:tcMar>
            <w:vAlign w:val="top"/>
            <w:shd w:fill="F8FAF9"/>
          </w:tcPr>
          <w:p>
            <w:r>
              <w:rPr>
                <w:rFonts w:ascii="Aptos" w:hAnsi="Aptos"/>
                <w:sz w:val="18"/>
              </w:rPr>
              <w:t>Etapa D – vnitřní úpravy</w:t>
            </w:r>
          </w:p>
        </w:tc>
        <w:tc>
          <w:tcPr>
            <w:tcW w:type="dxa" w:w="4892"/>
            <w:tcMar>
              <w:top w:w="80" w:type="dxa"/>
              <w:start w:w="100" w:type="dxa"/>
              <w:bottom w:w="80" w:type="dxa"/>
              <w:end w:w="100" w:type="dxa"/>
            </w:tcMar>
            <w:vAlign w:val="top"/>
            <w:shd w:fill="F8FAF9"/>
          </w:tcPr>
          <w:p>
            <w:r>
              <w:rPr>
                <w:rFonts w:ascii="Aptos" w:hAnsi="Aptos"/>
                <w:sz w:val="18"/>
              </w:rPr>
              <w:t>[DOPLNÍ ÚČASTNÍK]</w:t>
            </w:r>
          </w:p>
        </w:tc>
      </w:tr>
      <w:tr>
        <w:trPr>
          <w:cantSplit w:val="1"/>
        </w:trPr>
        <w:tc>
          <w:tcPr>
            <w:tcW w:type="dxa" w:w="4892"/>
            <w:tcMar>
              <w:top w:w="80" w:type="dxa"/>
              <w:start w:w="100" w:type="dxa"/>
              <w:bottom w:w="80" w:type="dxa"/>
              <w:end w:w="100" w:type="dxa"/>
            </w:tcMar>
            <w:vAlign w:val="top"/>
          </w:tcPr>
          <w:p>
            <w:r>
              <w:rPr>
                <w:rFonts w:ascii="Aptos" w:hAnsi="Aptos"/>
                <w:sz w:val="18"/>
              </w:rPr>
              <w:t>Etapa E – plynový kotel</w:t>
            </w:r>
          </w:p>
        </w:tc>
        <w:tc>
          <w:tcPr>
            <w:tcW w:type="dxa" w:w="4892"/>
            <w:tcMar>
              <w:top w:w="80" w:type="dxa"/>
              <w:start w:w="100" w:type="dxa"/>
              <w:bottom w:w="80" w:type="dxa"/>
              <w:end w:w="100" w:type="dxa"/>
            </w:tcMar>
            <w:vAlign w:val="top"/>
          </w:tcPr>
          <w:p>
            <w:r>
              <w:rPr>
                <w:rFonts w:ascii="Aptos" w:hAnsi="Aptos"/>
                <w:sz w:val="18"/>
              </w:rPr>
              <w:t>[DOPLNÍ ÚČASTNÍK]</w:t>
            </w:r>
          </w:p>
        </w:tc>
      </w:tr>
      <w:tr>
        <w:trPr>
          <w:cantSplit w:val="1"/>
        </w:trPr>
        <w:tc>
          <w:tcPr>
            <w:tcW w:type="dxa" w:w="4892"/>
            <w:tcMar>
              <w:top w:w="80" w:type="dxa"/>
              <w:start w:w="100" w:type="dxa"/>
              <w:bottom w:w="80" w:type="dxa"/>
              <w:end w:w="100" w:type="dxa"/>
            </w:tcMar>
            <w:vAlign w:val="top"/>
            <w:shd w:fill="F8FAF9"/>
          </w:tcPr>
          <w:p>
            <w:r>
              <w:rPr>
                <w:rFonts w:ascii="Aptos" w:hAnsi="Aptos"/>
                <w:sz w:val="18"/>
              </w:rPr>
              <w:t>Celková maximální cena etap A–E</w:t>
            </w:r>
          </w:p>
        </w:tc>
        <w:tc>
          <w:tcPr>
            <w:tcW w:type="dxa" w:w="4892"/>
            <w:tcMar>
              <w:top w:w="80" w:type="dxa"/>
              <w:start w:w="100" w:type="dxa"/>
              <w:bottom w:w="80" w:type="dxa"/>
              <w:end w:w="100" w:type="dxa"/>
            </w:tcMar>
            <w:vAlign w:val="top"/>
            <w:shd w:fill="F8FAF9"/>
          </w:tcPr>
          <w:p>
            <w:r>
              <w:rPr>
                <w:rFonts w:ascii="Aptos" w:hAnsi="Aptos"/>
                <w:sz w:val="18"/>
              </w:rPr>
              <w:t>[DOPLNÍ ÚČASTNÍK]</w:t>
            </w:r>
          </w:p>
        </w:tc>
      </w:tr>
      <w:tr>
        <w:trPr>
          <w:cantSplit w:val="1"/>
        </w:trPr>
        <w:tc>
          <w:tcPr>
            <w:tcW w:type="dxa" w:w="4892"/>
            <w:tcMar>
              <w:top w:w="80" w:type="dxa"/>
              <w:start w:w="100" w:type="dxa"/>
              <w:bottom w:w="80" w:type="dxa"/>
              <w:end w:w="100" w:type="dxa"/>
            </w:tcMar>
            <w:vAlign w:val="top"/>
          </w:tcPr>
          <w:p>
            <w:r>
              <w:rPr>
                <w:rFonts w:ascii="Aptos" w:hAnsi="Aptos"/>
                <w:sz w:val="18"/>
              </w:rPr>
              <w:t>DPH</w:t>
            </w:r>
          </w:p>
        </w:tc>
        <w:tc>
          <w:tcPr>
            <w:tcW w:type="dxa" w:w="4892"/>
            <w:tcMar>
              <w:top w:w="80" w:type="dxa"/>
              <w:start w:w="100" w:type="dxa"/>
              <w:bottom w:w="80" w:type="dxa"/>
              <w:end w:w="100" w:type="dxa"/>
            </w:tcMar>
            <w:vAlign w:val="top"/>
          </w:tcPr>
          <w:p>
            <w:r>
              <w:rPr>
                <w:rFonts w:ascii="Aptos" w:hAnsi="Aptos"/>
                <w:sz w:val="18"/>
              </w:rPr>
              <w:t>[DOPLNÍ ÚČASTNÍK]</w:t>
            </w:r>
          </w:p>
        </w:tc>
      </w:tr>
      <w:tr>
        <w:trPr>
          <w:cantSplit w:val="1"/>
        </w:trPr>
        <w:tc>
          <w:tcPr>
            <w:tcW w:type="dxa" w:w="4892"/>
            <w:tcMar>
              <w:top w:w="80" w:type="dxa"/>
              <w:start w:w="100" w:type="dxa"/>
              <w:bottom w:w="80" w:type="dxa"/>
              <w:end w:w="100" w:type="dxa"/>
            </w:tcMar>
            <w:vAlign w:val="top"/>
            <w:shd w:fill="F8FAF9"/>
          </w:tcPr>
          <w:p>
            <w:r>
              <w:rPr>
                <w:rFonts w:ascii="Aptos" w:hAnsi="Aptos"/>
                <w:sz w:val="18"/>
              </w:rPr>
              <w:t>Celková maximální cena včetně DPH</w:t>
            </w:r>
          </w:p>
        </w:tc>
        <w:tc>
          <w:tcPr>
            <w:tcW w:type="dxa" w:w="4892"/>
            <w:tcMar>
              <w:top w:w="80" w:type="dxa"/>
              <w:start w:w="100" w:type="dxa"/>
              <w:bottom w:w="80" w:type="dxa"/>
              <w:end w:w="100" w:type="dxa"/>
            </w:tcMar>
            <w:vAlign w:val="top"/>
            <w:shd w:fill="F8FAF9"/>
          </w:tcPr>
          <w:p>
            <w:r>
              <w:rPr>
                <w:rFonts w:ascii="Aptos" w:hAnsi="Aptos"/>
                <w:sz w:val="18"/>
              </w:rPr>
              <w:t>[DOPLNÍ ÚČASTNÍK]</w:t>
            </w:r>
          </w:p>
        </w:tc>
      </w:tr>
    </w:tbl>
    <w:p>
      <w:pPr>
        <w:pStyle w:val="ListNumber"/>
      </w:pPr>
      <w:r>
        <w:t>Ceny etap a jednotkové ceny jsou pevné po celou dobu aktivační lhůty.</w:t>
      </w:r>
    </w:p>
    <w:p>
      <w:pPr>
        <w:pStyle w:val="ListNumber"/>
      </w:pPr>
      <w:r>
        <w:t>Zvýšení cen materiálů, mezd, dopravy nebo dodacích lhůt samo nezakládá právo na zvýšení ceny.</w:t>
      </w:r>
    </w:p>
    <w:p>
      <w:pPr>
        <w:pStyle w:val="ListNumber"/>
      </w:pPr>
      <w:r>
        <w:t>Zhotovitel nesmí přesouvat cenu mezi etapami nebo fakturačními celky.</w:t>
      </w:r>
    </w:p>
    <w:p>
      <w:pPr>
        <w:pStyle w:val="ListNumber"/>
      </w:pPr>
      <w:r>
        <w:t>Změna ceny je možná jen písemným dodatkem v případech dovolených smlouvou, právními předpisy a pravidly SZIF.</w:t>
      </w:r>
    </w:p>
    <w:p>
      <w:pPr>
        <w:pStyle w:val="Heading1"/>
      </w:pPr>
      <w:r>
        <w:t>VII. Fakturační celky a platební podmínky</w:t>
      </w:r>
    </w:p>
    <w:tbl>
      <w:tblPr>
        <w:tblW w:type="dxa" w:w="9783"/>
        <w:tblLayout w:type="fixed"/>
        <w:tblLook w:firstColumn="1" w:firstRow="1" w:lastColumn="0" w:lastRow="0" w:noHBand="0" w:noVBand="1" w:val="04A0"/>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4892"/>
        <w:gridCol w:w="4892"/>
      </w:tblGrid>
      <w:tr>
        <w:trPr>
          <w:tblHeader w:val="true"/>
          <w:cantSplit w:val="1"/>
        </w:trPr>
        <w:tc>
          <w:tcPr>
            <w:tcW w:type="dxa" w:w="4892"/>
            <w:shd w:fill="2F5D50"/>
            <w:tcMar>
              <w:top w:w="80" w:type="dxa"/>
              <w:start w:w="100" w:type="dxa"/>
              <w:bottom w:w="80" w:type="dxa"/>
              <w:end w:w="100" w:type="dxa"/>
            </w:tcMar>
            <w:vAlign w:val="center"/>
          </w:tcPr>
          <w:p>
            <w:pPr>
              <w:jc w:val="center"/>
            </w:pPr>
            <w:r>
              <w:rPr>
                <w:rFonts w:ascii="Aptos" w:hAnsi="Aptos"/>
                <w:b/>
                <w:color w:val="FFFFFF"/>
                <w:sz w:val="18"/>
              </w:rPr>
              <w:t>Etapa</w:t>
            </w:r>
          </w:p>
        </w:tc>
        <w:tc>
          <w:tcPr>
            <w:tcW w:type="dxa" w:w="4892"/>
            <w:shd w:fill="2F5D50"/>
            <w:tcMar>
              <w:top w:w="80" w:type="dxa"/>
              <w:start w:w="100" w:type="dxa"/>
              <w:bottom w:w="80" w:type="dxa"/>
              <w:end w:w="100" w:type="dxa"/>
            </w:tcMar>
            <w:vAlign w:val="center"/>
          </w:tcPr>
          <w:p>
            <w:pPr>
              <w:jc w:val="center"/>
            </w:pPr>
            <w:r>
              <w:rPr>
                <w:rFonts w:ascii="Aptos" w:hAnsi="Aptos"/>
                <w:b/>
                <w:color w:val="FFFFFF"/>
                <w:sz w:val="18"/>
              </w:rPr>
              <w:t>Fakturační celek</w:t>
            </w:r>
          </w:p>
        </w:tc>
      </w:tr>
      <w:tr>
        <w:trPr>
          <w:cantSplit w:val="1"/>
        </w:trPr>
        <w:tc>
          <w:tcPr>
            <w:tcW w:type="dxa" w:w="4892"/>
            <w:tcMar>
              <w:top w:w="80" w:type="dxa"/>
              <w:start w:w="100" w:type="dxa"/>
              <w:bottom w:w="80" w:type="dxa"/>
              <w:end w:w="100" w:type="dxa"/>
            </w:tcMar>
            <w:vAlign w:val="top"/>
          </w:tcPr>
          <w:p>
            <w:r>
              <w:rPr>
                <w:rFonts w:ascii="Aptos" w:hAnsi="Aptos"/>
                <w:sz w:val="18"/>
              </w:rPr>
              <w:t>A</w:t>
            </w:r>
          </w:p>
        </w:tc>
        <w:tc>
          <w:tcPr>
            <w:tcW w:type="dxa" w:w="4892"/>
            <w:tcMar>
              <w:top w:w="80" w:type="dxa"/>
              <w:start w:w="100" w:type="dxa"/>
              <w:bottom w:w="80" w:type="dxa"/>
              <w:end w:w="100" w:type="dxa"/>
            </w:tcMar>
            <w:vAlign w:val="top"/>
          </w:tcPr>
          <w:p>
            <w:r>
              <w:rPr>
                <w:rFonts w:ascii="Aptos" w:hAnsi="Aptos"/>
                <w:sz w:val="18"/>
              </w:rPr>
              <w:t>A1 – okna a dveře; A2 – opláštění a zateplení</w:t>
            </w:r>
          </w:p>
        </w:tc>
      </w:tr>
      <w:tr>
        <w:trPr>
          <w:cantSplit w:val="1"/>
        </w:trPr>
        <w:tc>
          <w:tcPr>
            <w:tcW w:type="dxa" w:w="4892"/>
            <w:tcMar>
              <w:top w:w="80" w:type="dxa"/>
              <w:start w:w="100" w:type="dxa"/>
              <w:bottom w:w="80" w:type="dxa"/>
              <w:end w:w="100" w:type="dxa"/>
            </w:tcMar>
            <w:vAlign w:val="top"/>
            <w:shd w:fill="F8FAF9"/>
          </w:tcPr>
          <w:p>
            <w:r>
              <w:rPr>
                <w:rFonts w:ascii="Aptos" w:hAnsi="Aptos"/>
                <w:sz w:val="18"/>
              </w:rPr>
              <w:t>B</w:t>
            </w:r>
          </w:p>
        </w:tc>
        <w:tc>
          <w:tcPr>
            <w:tcW w:type="dxa" w:w="4892"/>
            <w:tcMar>
              <w:top w:w="80" w:type="dxa"/>
              <w:start w:w="100" w:type="dxa"/>
              <w:bottom w:w="80" w:type="dxa"/>
              <w:end w:w="100" w:type="dxa"/>
            </w:tcMar>
            <w:vAlign w:val="top"/>
            <w:shd w:fill="F8FAF9"/>
          </w:tcPr>
          <w:p>
            <w:r>
              <w:rPr>
                <w:rFonts w:ascii="Aptos" w:hAnsi="Aptos"/>
                <w:sz w:val="18"/>
              </w:rPr>
              <w:t>B1 – balkon a venkovní schodiště</w:t>
            </w:r>
          </w:p>
        </w:tc>
      </w:tr>
      <w:tr>
        <w:trPr>
          <w:cantSplit w:val="1"/>
        </w:trPr>
        <w:tc>
          <w:tcPr>
            <w:tcW w:type="dxa" w:w="4892"/>
            <w:tcMar>
              <w:top w:w="80" w:type="dxa"/>
              <w:start w:w="100" w:type="dxa"/>
              <w:bottom w:w="80" w:type="dxa"/>
              <w:end w:w="100" w:type="dxa"/>
            </w:tcMar>
            <w:vAlign w:val="top"/>
          </w:tcPr>
          <w:p>
            <w:r>
              <w:rPr>
                <w:rFonts w:ascii="Aptos" w:hAnsi="Aptos"/>
                <w:sz w:val="18"/>
              </w:rPr>
              <w:t>C</w:t>
            </w:r>
          </w:p>
        </w:tc>
        <w:tc>
          <w:tcPr>
            <w:tcW w:type="dxa" w:w="4892"/>
            <w:tcMar>
              <w:top w:w="80" w:type="dxa"/>
              <w:start w:w="100" w:type="dxa"/>
              <w:bottom w:w="80" w:type="dxa"/>
              <w:end w:w="100" w:type="dxa"/>
            </w:tcMar>
            <w:vAlign w:val="top"/>
          </w:tcPr>
          <w:p>
            <w:r>
              <w:t>C1 – WC včetně ventilátoru; C2 – koupelna včetně ventilátoru</w:t>
            </w:r>
          </w:p>
        </w:tc>
      </w:tr>
      <w:tr>
        <w:trPr>
          <w:cantSplit w:val="1"/>
        </w:trPr>
        <w:tc>
          <w:tcPr>
            <w:tcW w:type="dxa" w:w="4892"/>
            <w:tcMar>
              <w:top w:w="80" w:type="dxa"/>
              <w:start w:w="100" w:type="dxa"/>
              <w:bottom w:w="80" w:type="dxa"/>
              <w:end w:w="100" w:type="dxa"/>
            </w:tcMar>
            <w:vAlign w:val="top"/>
            <w:shd w:fill="F8FAF9"/>
          </w:tcPr>
          <w:p>
            <w:r>
              <w:rPr>
                <w:rFonts w:ascii="Aptos" w:hAnsi="Aptos"/>
                <w:sz w:val="18"/>
              </w:rPr>
              <w:t>D</w:t>
            </w:r>
          </w:p>
        </w:tc>
        <w:tc>
          <w:tcPr>
            <w:tcW w:type="dxa" w:w="4892"/>
            <w:tcMar>
              <w:top w:w="80" w:type="dxa"/>
              <w:start w:w="100" w:type="dxa"/>
              <w:bottom w:w="80" w:type="dxa"/>
              <w:end w:w="100" w:type="dxa"/>
            </w:tcMar>
            <w:vAlign w:val="top"/>
            <w:shd w:fill="F8FAF9"/>
          </w:tcPr>
          <w:p>
            <w:r>
              <w:t>D1 – lodžie; D2 – podlahové krytiny; D3 – svítidla a malby</w:t>
            </w:r>
          </w:p>
        </w:tc>
      </w:tr>
      <w:tr>
        <w:trPr>
          <w:cantSplit w:val="1"/>
        </w:trPr>
        <w:tc>
          <w:tcPr>
            <w:tcW w:type="dxa" w:w="4892"/>
            <w:tcMar>
              <w:top w:w="80" w:type="dxa"/>
              <w:start w:w="100" w:type="dxa"/>
              <w:bottom w:w="80" w:type="dxa"/>
              <w:end w:w="100" w:type="dxa"/>
            </w:tcMar>
            <w:vAlign w:val="top"/>
          </w:tcPr>
          <w:p>
            <w:r>
              <w:rPr>
                <w:rFonts w:ascii="Aptos" w:hAnsi="Aptos"/>
                <w:sz w:val="18"/>
              </w:rPr>
              <w:t>E</w:t>
            </w:r>
          </w:p>
        </w:tc>
        <w:tc>
          <w:tcPr>
            <w:tcW w:type="dxa" w:w="4892"/>
            <w:tcMar>
              <w:top w:w="80" w:type="dxa"/>
              <w:start w:w="100" w:type="dxa"/>
              <w:bottom w:w="80" w:type="dxa"/>
              <w:end w:w="100" w:type="dxa"/>
            </w:tcMar>
            <w:vAlign w:val="top"/>
          </w:tcPr>
          <w:p>
            <w:r>
              <w:rPr>
                <w:rFonts w:ascii="Aptos" w:hAnsi="Aptos"/>
                <w:sz w:val="18"/>
              </w:rPr>
              <w:t>E1 – plynový kotel</w:t>
            </w:r>
          </w:p>
        </w:tc>
      </w:tr>
    </w:tbl>
    <w:p>
      <w:pPr>
        <w:pStyle w:val="ListNumber"/>
      </w:pPr>
      <w:r>
        <w:t>Zálohy se neposkytují.</w:t>
      </w:r>
    </w:p>
    <w:p>
      <w:pPr>
        <w:pStyle w:val="ListNumber"/>
      </w:pPr>
      <w:r>
        <w:t>Fakturu lze vystavit až po úplném dokončení a písemném převzetí fakturačního celku.</w:t>
      </w:r>
    </w:p>
    <w:p>
      <w:pPr>
        <w:pStyle w:val="ListNumber"/>
      </w:pPr>
      <w:r>
        <w:t>Objednání nebo výroba materiálu ani jeho pouhé dodání na staveniště nezakládají právo na fakturaci.</w:t>
      </w:r>
    </w:p>
    <w:p>
      <w:pPr>
        <w:pStyle w:val="ListNumber"/>
      </w:pPr>
      <w:r>
        <w:t>Každá faktura bude obsahovat zákonné náležitosti, název projektu, označení smlouvy, etapy a fakturačního celku, soupis skutečně provedených prací a podepsaný předávací nebo zjišťovací protokol.</w:t>
      </w:r>
    </w:p>
    <w:p>
      <w:pPr>
        <w:pStyle w:val="ListNumber"/>
      </w:pPr>
      <w:r>
        <w:t>Splatnost řádné faktury činí 30 kalendářních dnů od prokazatelného doručení.</w:t>
      </w:r>
    </w:p>
    <w:p>
      <w:pPr>
        <w:pStyle w:val="ListNumber"/>
      </w:pPr>
      <w:r>
        <w:t>Objednatel může pozastavit pouze část ceny přiměřeně odpovídající vadným, nedokončeným nebo nedoloženým pracím; nespornou část uhradí včas.</w:t>
      </w:r>
    </w:p>
    <w:p>
      <w:pPr>
        <w:pStyle w:val="ListNumber"/>
      </w:pPr>
      <w:r>
        <w:t>Vadnou nebo neúplnou fakturu může objednatel vrátit; nová lhůta běží od doručení opravené faktury.</w:t>
      </w:r>
    </w:p>
    <w:p>
      <w:pPr>
        <w:pStyle w:val="Heading1"/>
      </w:pPr>
      <w:r>
        <w:t>VIII. Organizace provádění díla</w:t>
      </w:r>
    </w:p>
    <w:p>
      <w:pPr>
        <w:pStyle w:val="ListNumber"/>
      </w:pPr>
      <w:r>
        <w:t>Zhotovitel zajistí koordinaci všech profesí a odpovídá za poddodavatele, jako by plnil sám.</w:t>
      </w:r>
    </w:p>
    <w:p>
      <w:pPr>
        <w:pStyle w:val="ListNumber"/>
      </w:pPr>
      <w:r>
        <w:rPr>
          <w:b w:val="0"/>
        </w:rPr>
        <w:t>Jednotlivé řemeslné, odborné, specializované a regulované práce budou provádět osoby s oprávněním a odbornou způsobilostí odpovídající skutečnému obsahu jejich činnosti.</w:t>
      </w:r>
    </w:p>
    <w:p>
      <w:pPr>
        <w:pStyle w:val="ListNumber"/>
      </w:pPr>
      <w:r>
        <w:t>Zhotovitel chrání stávající objekt, vybavení, rozvody, přístupové cesty, okolní plochy a již dokončené části.</w:t>
      </w:r>
    </w:p>
    <w:p>
      <w:pPr>
        <w:pStyle w:val="ListNumber"/>
      </w:pPr>
      <w:r>
        <w:t>Po demontáži oken, dveří nebo opláštění nesmí objekt zůstat nezabezpečený proti povětrnosti nebo neoprávněnému vstupu.</w:t>
      </w:r>
    </w:p>
    <w:p>
      <w:pPr>
        <w:pStyle w:val="ListNumber"/>
      </w:pPr>
      <w:r>
        <w:t>Zhotovitel průběžně uklízí, udržuje volné přístupové a únikové cesty a zajišťuje třídění, odvoz a zákonné odstranění odpadu.</w:t>
      </w:r>
    </w:p>
    <w:p>
      <w:pPr>
        <w:pStyle w:val="ListNumber"/>
      </w:pPr>
      <w:r>
        <w:t>Použitelné demontované věci označené objednatelem budou uloženy na určeném místě a nebudou odstraněny jako odpad.</w:t>
      </w:r>
    </w:p>
    <w:p>
      <w:pPr>
        <w:pStyle w:val="ListNumber"/>
      </w:pPr>
      <w:r>
        <w:t>Objednatel umožní přiměřené využití stávající vody a elektřiny; běžná spotřeba se samostatně neúčtuje.</w:t>
      </w:r>
    </w:p>
    <w:p>
      <w:pPr>
        <w:pStyle w:val="ListNumber"/>
      </w:pPr>
      <w:r>
        <w:t>V objektu je zakázáno kouření a používání otevřeného ohně mimo výslovně odsouhlasené technologické činnosti.</w:t>
      </w:r>
    </w:p>
    <w:p>
      <w:pPr>
        <w:pStyle w:val="Heading1"/>
      </w:pPr>
      <w:r>
        <w:t>IX. Poddodavatelé</w:t>
      </w:r>
    </w:p>
    <w:p>
      <w:pPr>
        <w:pStyle w:val="ListNumber"/>
      </w:pPr>
      <w:r>
        <w:rPr>
          <w:b w:val="0"/>
        </w:rPr>
        <w:t>Zhotovitel před zahájením práce poddodavatele nebo jiné odborné osoby písemně oznámí její název nebo jméno, IČO, postavení, část plnění a případný kvalifikační požadavek, který jejím prostřednictvím prokazuje.</w:t>
      </w:r>
    </w:p>
    <w:p>
      <w:pPr>
        <w:pStyle w:val="ListNumber"/>
      </w:pPr>
      <w:r>
        <w:t>Regulovanou činnost nelze zahájit bez doložení potřebné způsobilosti.</w:t>
      </w:r>
    </w:p>
    <w:p>
      <w:pPr>
        <w:pStyle w:val="ListNumber"/>
      </w:pPr>
      <w:r>
        <w:t>Změna běžného poddodavatele nevyžaduje dodatek.</w:t>
      </w:r>
    </w:p>
    <w:p>
      <w:pPr>
        <w:pStyle w:val="ListNumber"/>
      </w:pPr>
      <w:r>
        <w:rPr>
          <w:b w:val="0"/>
        </w:rPr>
        <w:t>Osobu, jejímž prostřednictvím byla prokázána kvalifikace nebo odborná kapacita, lze nahradit pouze osobou splňující nejméně stejný požadavek a schopnou skutečně zajistit odpovídající část plnění nebo odborné vedení.</w:t>
      </w:r>
    </w:p>
    <w:p>
      <w:r>
        <w:rPr>
          <w:rFonts w:ascii="Aptos" w:hAnsi="Aptos"/>
          <w:b w:val="0"/>
          <w:sz w:val="18"/>
        </w:rPr>
        <w:t>Osobu odpovědnou za odborné vedení realizace lze nahradit pouze osobou splňující stejné právní a odborné požadavky a po předchozím písemném oznámení objednateli.</w:t>
      </w:r>
    </w:p>
    <w:p>
      <w:pPr>
        <w:pStyle w:val="ListNumber"/>
      </w:pPr>
      <w:r>
        <w:t>Rozsah poddodávek nijak neomezuje odpovědnost hlavního zhotovitele za termín, kvalitu, bezpečnost, vady a záruku.</w:t>
      </w:r>
    </w:p>
    <w:p>
      <w:pPr>
        <w:pStyle w:val="Heading1"/>
      </w:pPr>
      <w:r>
        <w:t>X. Kontrola, kontrolní dny a zakrývané práce</w:t>
      </w:r>
    </w:p>
    <w:p>
      <w:pPr>
        <w:pStyle w:val="ListNumber"/>
      </w:pPr>
      <w:r>
        <w:t>Objednatel nebo pověřená osoba je oprávněn kontrolovat rozsah, kvalitu, technologii, materiály a harmonogram.</w:t>
      </w:r>
    </w:p>
    <w:p>
      <w:pPr>
        <w:pStyle w:val="ListNumber"/>
      </w:pPr>
      <w:r>
        <w:t>Kontrolní dny se konají podle potřeby, zpravidla nejméně jednou za 14 kalendářních dnů v době aktivních prací.</w:t>
      </w:r>
    </w:p>
    <w:p>
      <w:pPr>
        <w:pStyle w:val="ListNumber"/>
      </w:pPr>
      <w:r>
        <w:t>Zhotovitel vede průběžný písemný záznam o provádění díla; vyžaduje-li právní předpis stavební deník, vede jej v předepsané formě.</w:t>
      </w:r>
    </w:p>
    <w:p>
      <w:pPr>
        <w:pStyle w:val="ListNumber"/>
      </w:pPr>
      <w:r>
        <w:t>Ke kontrole zakrývané práce vyzve objednatele nejméně tři pracovní dny před zakrytím.</w:t>
      </w:r>
    </w:p>
    <w:p>
      <w:pPr>
        <w:pStyle w:val="ListNumber"/>
      </w:pPr>
      <w:r>
        <w:t>Zakryje-li práci bez včasné výzvy, nese náklady na její odkrytí, kontrolu a obnovení.</w:t>
      </w:r>
    </w:p>
    <w:p>
      <w:pPr>
        <w:pStyle w:val="ListNumber"/>
      </w:pPr>
      <w:r>
        <w:t>Nedostaví-li se objednatel na řádně oznámenou kontrolu, může zhotovitel po pořízení podrobné fotodokumentace práci zakrýt.</w:t>
      </w:r>
    </w:p>
    <w:p>
      <w:pPr>
        <w:pStyle w:val="ListNumber"/>
      </w:pPr>
      <w:r>
        <w:t>Zápis z kontrolního dne ani provozní pokyn sám nemění cenu, rozsah nebo konečný termín.</w:t>
      </w:r>
    </w:p>
    <w:p>
      <w:pPr>
        <w:pStyle w:val="Heading1"/>
      </w:pPr>
      <w:r>
        <w:t>XI. Změny díla</w:t>
      </w:r>
    </w:p>
    <w:p>
      <w:pPr>
        <w:pStyle w:val="ListNumber"/>
      </w:pPr>
      <w:r>
        <w:t>Ústní požadavek nezakládá nárok na vícepráce.</w:t>
      </w:r>
    </w:p>
    <w:p>
      <w:pPr>
        <w:pStyle w:val="ListNumber"/>
      </w:pPr>
      <w:r>
        <w:t>Každá změna se předem popíše ve změnovém listu včetně důvodu, původního a nového řešení, víceprací, méněprací, ceny, termínu a dopadu na dotaci.</w:t>
      </w:r>
    </w:p>
    <w:p>
      <w:pPr>
        <w:pStyle w:val="ListNumber"/>
      </w:pPr>
      <w:r>
        <w:t>Změnový list sám není objednávkou. Změna rozsahu, ceny nebo konečného termínu vyžaduje písemný dodatek, s výjimkou bezprostředního opatření k odvrácení škody.</w:t>
      </w:r>
    </w:p>
    <w:p>
      <w:pPr>
        <w:pStyle w:val="ListNumber"/>
      </w:pPr>
      <w:r>
        <w:t>Cena se určí podle stejné nebo srovnatelné nabídkové jednotkové ceny, jinak podle předem schválené položkové kalkulace.</w:t>
      </w:r>
    </w:p>
    <w:p>
      <w:pPr>
        <w:pStyle w:val="ListNumber"/>
      </w:pPr>
      <w:r>
        <w:t>Méněpráce se odečtou podle nabídkových jednotkových cen a nesmějí být skryté v jiných položkách.</w:t>
      </w:r>
    </w:p>
    <w:p>
      <w:pPr>
        <w:pStyle w:val="ListNumber"/>
      </w:pPr>
      <w:r>
        <w:t>Materiál lze zaměnit jen po předchozím písemném schválení, za stejnou nebo vyšší kvalitu a stejnou nebo nižší cenu, s technickým porovnáním.</w:t>
      </w:r>
    </w:p>
    <w:p>
      <w:pPr>
        <w:pStyle w:val="ListNumber"/>
      </w:pPr>
      <w:r>
        <w:t>Výrobce, typ a technické parametry uvedené v P09 jsou smluvně závazné v rozsahu potřebném k prokázání splnění technického minima. Zhotovitel nesmí bez předchozího písemného souhlasu objednatele použít výrobek, který toto minimum nesplňuje.</w:t>
      </w:r>
    </w:p>
    <w:p>
      <w:pPr>
        <w:pStyle w:val="ListNumber"/>
      </w:pPr>
      <w:r>
        <w:t>Tloušťka modřínových prken se při dodání ověří na náhodně vybraném vzorku nejméně 10 kusů a musí činit nejméně 19 mm po opracování. Vlhkost musí být doložena měřicím protokolem a objednatel ji může ověřit kalibrovaným vlhkoměrem; žádná zjištěná hodnota nesmí přesáhnout 20 %.</w:t>
      </w:r>
    </w:p>
    <w:p>
      <w:pPr>
        <w:pStyle w:val="ListNumber"/>
      </w:pPr>
      <w:r>
        <w:t>Pro změny do 15 % se vede absolutní součet víceprací a méněprací. Pro nezbytné nebo nepředvídané změny do 30 % se sleduje příslušný cenový nárůst. Vyhrazené změny a položkové záměny se evidují odděleně.</w:t>
      </w:r>
    </w:p>
    <w:p>
      <w:pPr>
        <w:pStyle w:val="Heading1"/>
      </w:pPr>
      <w:r>
        <w:t>XII. Přerušení prací a překážky</w:t>
      </w:r>
    </w:p>
    <w:p>
      <w:pPr>
        <w:pStyle w:val="ListNumber"/>
      </w:pPr>
      <w:r>
        <w:t>Zhotovitel může nezbytně přerušit dotčené práce, jestliže by pokračování bylo nebezpečné, technicky nevhodné nebo by vedlo k vadě či poškození.</w:t>
      </w:r>
    </w:p>
    <w:p>
      <w:pPr>
        <w:pStyle w:val="ListNumber"/>
      </w:pPr>
      <w:r>
        <w:t>Překážku bez zbytečného odkladu oznámí, zdokumentuje a objekt zabezpečí.</w:t>
      </w:r>
    </w:p>
    <w:p>
      <w:pPr>
        <w:pStyle w:val="ListNumber"/>
      </w:pPr>
      <w:r>
        <w:t>Za objektivní překážku se nepovažuje běžná nedostupnost vlastních pracovníků, opožděná objednávka materiálu nebo selhání poddodavatele.</w:t>
      </w:r>
    </w:p>
    <w:p>
      <w:pPr>
        <w:pStyle w:val="ListNumber"/>
      </w:pPr>
      <w:r>
        <w:t>Termín se prodlužuje jen o prokázanou dobu překážky, za kterou zhotovitel neodpovídá, a nezbytnou dobu k obnovení.</w:t>
      </w:r>
    </w:p>
    <w:p>
      <w:pPr>
        <w:pStyle w:val="ListNumber"/>
      </w:pPr>
      <w:r>
        <w:t>Změní-li se konečný termín, uzavře se písemný dodatek.</w:t>
      </w:r>
    </w:p>
    <w:p>
      <w:pPr>
        <w:pStyle w:val="ListNumber"/>
      </w:pPr>
      <w:r>
        <w:t>Přerušení samo nezakládá právo na paušální náhradu prostojů nebo ušlého zisku.</w:t>
      </w:r>
    </w:p>
    <w:p>
      <w:pPr>
        <w:pStyle w:val="Heading1"/>
      </w:pPr>
      <w:r>
        <w:t>XIII. Předání a převzetí</w:t>
      </w:r>
    </w:p>
    <w:p>
      <w:pPr>
        <w:pStyle w:val="ListNumber"/>
      </w:pPr>
      <w:r>
        <w:t>Zhotovitel oznámí připravenost fakturačního celku k přejímce písemně, včetně e-mailu, nejméně tři pracovní dny před navrženým termínem. Termín přejímky smluvní strany následně písemně potvrdí.</w:t>
      </w:r>
    </w:p>
    <w:p>
      <w:pPr>
        <w:pStyle w:val="ListNumber"/>
      </w:pPr>
      <w:r>
        <w:t>Fakturační celek je předán a převzat výhradně podpisem písemného předávacího protokolu.</w:t>
      </w:r>
    </w:p>
    <w:p>
      <w:pPr>
        <w:pStyle w:val="ListNumber"/>
      </w:pPr>
      <w:r>
        <w:t>Samotná prohlídka, užívání nebo ústní souhlas převzetí nenahrazují.</w:t>
      </w:r>
    </w:p>
    <w:p>
      <w:pPr>
        <w:pStyle w:val="ListNumber"/>
      </w:pPr>
      <w:r>
        <w:t>Při předání zhotovitel předá technické listy, prohlášení o vlastnostech, návody, záruční listy, revize, protokoly, fotodokumentaci zakrytých prací a další doklady podle povahy celku.</w:t>
      </w:r>
    </w:p>
    <w:p>
      <w:pPr>
        <w:pStyle w:val="ListNumber"/>
      </w:pPr>
      <w:r>
        <w:t>Objednatel může převzít celek s drobnými vadami nebránícími bezpečnému a obvyklému užívání, návaznosti prací ani kontrole dotace.</w:t>
      </w:r>
    </w:p>
    <w:p>
      <w:pPr>
        <w:pStyle w:val="ListNumber"/>
      </w:pPr>
      <w:r>
        <w:t>Objednatel může odmítnout převzetí při nedokončení, závažných vadách, nesplnění technických parametrů, chybějících revizích nebo podstatných dokladech.</w:t>
      </w:r>
    </w:p>
    <w:p>
      <w:pPr>
        <w:pStyle w:val="ListNumber"/>
      </w:pPr>
      <w:r>
        <w:rPr>
          <w:rFonts w:ascii="Aptos" w:hAnsi="Aptos"/>
          <w:sz w:val="18"/>
        </w:rPr>
        <w:t>Po dokončení celého aktivovaného rozsahu bude vyhotoven souhrnný závěrečný protokol; již běžící záruky se jím znovu nezahajují. Pokud v souladu s dotační podmínkou některá etapa nebo její část aktivována nebude, bude tato skutečnost a její důvod v závěrečném protokolu výslovně zaznamenán.</w:t>
      </w:r>
    </w:p>
    <w:p>
      <w:pPr>
        <w:pStyle w:val="Heading1"/>
      </w:pPr>
      <w:r>
        <w:t>XIV. Záruka, reklamace a servis</w:t>
      </w:r>
    </w:p>
    <w:tbl>
      <w:tblPr>
        <w:tblW w:type="dxa" w:w="9783"/>
        <w:tblLayout w:type="fixed"/>
        <w:tblLook w:firstColumn="1" w:firstRow="1" w:lastColumn="0" w:lastRow="0" w:noHBand="0" w:noVBand="1" w:val="04A0"/>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4892"/>
        <w:gridCol w:w="4892"/>
      </w:tblGrid>
      <w:tr>
        <w:trPr>
          <w:tblHeader w:val="true"/>
          <w:cantSplit w:val="1"/>
        </w:trPr>
        <w:tc>
          <w:tcPr>
            <w:tcW w:type="dxa" w:w="4892"/>
            <w:shd w:fill="2F5D50"/>
            <w:tcMar>
              <w:top w:w="80" w:type="dxa"/>
              <w:start w:w="100" w:type="dxa"/>
              <w:bottom w:w="80" w:type="dxa"/>
              <w:end w:w="100" w:type="dxa"/>
            </w:tcMar>
            <w:vAlign w:val="center"/>
          </w:tcPr>
          <w:p>
            <w:pPr>
              <w:jc w:val="center"/>
            </w:pPr>
            <w:r>
              <w:rPr>
                <w:rFonts w:ascii="Aptos" w:hAnsi="Aptos"/>
                <w:b/>
                <w:color w:val="FFFFFF"/>
                <w:sz w:val="18"/>
              </w:rPr>
              <w:t>Závazek</w:t>
            </w:r>
          </w:p>
        </w:tc>
        <w:tc>
          <w:tcPr>
            <w:tcW w:type="dxa" w:w="4892"/>
            <w:shd w:fill="2F5D50"/>
            <w:tcMar>
              <w:top w:w="80" w:type="dxa"/>
              <w:start w:w="100" w:type="dxa"/>
              <w:bottom w:w="80" w:type="dxa"/>
              <w:end w:w="100" w:type="dxa"/>
            </w:tcMar>
            <w:vAlign w:val="center"/>
          </w:tcPr>
          <w:p>
            <w:pPr>
              <w:jc w:val="center"/>
            </w:pPr>
            <w:r>
              <w:rPr>
                <w:rFonts w:ascii="Aptos" w:hAnsi="Aptos"/>
                <w:b/>
                <w:color w:val="FFFFFF"/>
                <w:sz w:val="18"/>
              </w:rPr>
              <w:t>Hodnota</w:t>
            </w:r>
          </w:p>
        </w:tc>
      </w:tr>
      <w:tr>
        <w:trPr>
          <w:cantSplit w:val="1"/>
        </w:trPr>
        <w:tc>
          <w:tcPr>
            <w:tcW w:type="dxa" w:w="4892"/>
            <w:tcMar>
              <w:top w:w="80" w:type="dxa"/>
              <w:start w:w="100" w:type="dxa"/>
              <w:bottom w:w="80" w:type="dxa"/>
              <w:end w:w="100" w:type="dxa"/>
            </w:tcMar>
            <w:vAlign w:val="top"/>
          </w:tcPr>
          <w:p>
            <w:r>
              <w:rPr>
                <w:rFonts w:ascii="Aptos" w:hAnsi="Aptos"/>
                <w:sz w:val="18"/>
              </w:rPr>
              <w:t>Záruka na stavební a montážní práce</w:t>
            </w:r>
          </w:p>
        </w:tc>
        <w:tc>
          <w:tcPr>
            <w:tcW w:type="dxa" w:w="4892"/>
            <w:tcMar>
              <w:top w:w="80" w:type="dxa"/>
              <w:start w:w="100" w:type="dxa"/>
              <w:bottom w:w="80" w:type="dxa"/>
              <w:end w:w="100" w:type="dxa"/>
            </w:tcMar>
            <w:vAlign w:val="top"/>
          </w:tcPr>
          <w:p>
            <w:r>
              <w:rPr>
                <w:rFonts w:ascii="Aptos" w:hAnsi="Aptos"/>
                <w:sz w:val="18"/>
              </w:rPr>
              <w:t>[DOPLNÍ ÚČASTNÍK: celé měsíce, nejméně 60]</w:t>
            </w:r>
          </w:p>
        </w:tc>
      </w:tr>
      <w:tr>
        <w:trPr>
          <w:cantSplit w:val="1"/>
        </w:trPr>
        <w:tc>
          <w:tcPr>
            <w:tcW w:type="dxa" w:w="4892"/>
            <w:tcMar>
              <w:top w:w="80" w:type="dxa"/>
              <w:start w:w="100" w:type="dxa"/>
              <w:bottom w:w="80" w:type="dxa"/>
              <w:end w:w="100" w:type="dxa"/>
            </w:tcMar>
            <w:vAlign w:val="top"/>
            <w:shd w:fill="F8FAF9"/>
          </w:tcPr>
          <w:p>
            <w:r>
              <w:rPr>
                <w:rFonts w:ascii="Aptos" w:hAnsi="Aptos"/>
                <w:sz w:val="18"/>
              </w:rPr>
              <w:t>Nástup k běžné záruční vadě</w:t>
            </w:r>
          </w:p>
        </w:tc>
        <w:tc>
          <w:tcPr>
            <w:tcW w:type="dxa" w:w="4892"/>
            <w:tcMar>
              <w:top w:w="80" w:type="dxa"/>
              <w:start w:w="100" w:type="dxa"/>
              <w:bottom w:w="80" w:type="dxa"/>
              <w:end w:w="100" w:type="dxa"/>
            </w:tcMar>
            <w:vAlign w:val="top"/>
            <w:shd w:fill="F8FAF9"/>
          </w:tcPr>
          <w:p>
            <w:r>
              <w:rPr>
                <w:rFonts w:ascii="Aptos" w:hAnsi="Aptos"/>
                <w:sz w:val="18"/>
              </w:rPr>
              <w:t>zahájení řešení do 3 pracovních dnů</w:t>
            </w:r>
          </w:p>
        </w:tc>
      </w:tr>
      <w:tr>
        <w:trPr>
          <w:cantSplit w:val="1"/>
        </w:trPr>
        <w:tc>
          <w:tcPr>
            <w:tcW w:type="dxa" w:w="4892"/>
            <w:tcMar>
              <w:top w:w="80" w:type="dxa"/>
              <w:start w:w="100" w:type="dxa"/>
              <w:bottom w:w="80" w:type="dxa"/>
              <w:end w:w="100" w:type="dxa"/>
            </w:tcMar>
            <w:vAlign w:val="top"/>
          </w:tcPr>
          <w:p>
            <w:r>
              <w:rPr>
                <w:rFonts w:ascii="Aptos" w:hAnsi="Aptos"/>
                <w:sz w:val="18"/>
              </w:rPr>
              <w:t>Havarijní vada</w:t>
            </w:r>
          </w:p>
        </w:tc>
        <w:tc>
          <w:tcPr>
            <w:tcW w:type="dxa" w:w="4892"/>
            <w:tcMar>
              <w:top w:w="80" w:type="dxa"/>
              <w:start w:w="100" w:type="dxa"/>
              <w:bottom w:w="80" w:type="dxa"/>
              <w:end w:w="100" w:type="dxa"/>
            </w:tcMar>
            <w:vAlign w:val="top"/>
          </w:tcPr>
          <w:p>
            <w:r>
              <w:rPr>
                <w:rFonts w:ascii="Aptos" w:hAnsi="Aptos"/>
                <w:sz w:val="18"/>
              </w:rPr>
              <w:t>zahájení řešení do 24 hodin</w:t>
            </w:r>
          </w:p>
        </w:tc>
      </w:tr>
      <w:tr>
        <w:trPr>
          <w:cantSplit w:val="1"/>
        </w:trPr>
        <w:tc>
          <w:tcPr>
            <w:tcW w:type="dxa" w:w="4892"/>
            <w:tcMar>
              <w:top w:w="80" w:type="dxa"/>
              <w:start w:w="100" w:type="dxa"/>
              <w:bottom w:w="80" w:type="dxa"/>
              <w:end w:w="100" w:type="dxa"/>
            </w:tcMar>
            <w:vAlign w:val="top"/>
            <w:shd w:fill="F8FAF9"/>
          </w:tcPr>
          <w:p>
            <w:r>
              <w:rPr>
                <w:rFonts w:ascii="Aptos" w:hAnsi="Aptos"/>
                <w:sz w:val="18"/>
              </w:rPr>
              <w:t>Preventivní prohlídky</w:t>
            </w:r>
          </w:p>
        </w:tc>
        <w:tc>
          <w:tcPr>
            <w:tcW w:type="dxa" w:w="4892"/>
            <w:tcMar>
              <w:top w:w="80" w:type="dxa"/>
              <w:start w:w="100" w:type="dxa"/>
              <w:bottom w:w="80" w:type="dxa"/>
              <w:end w:w="100" w:type="dxa"/>
            </w:tcMar>
            <w:vAlign w:val="top"/>
            <w:shd w:fill="F8FAF9"/>
          </w:tcPr>
          <w:p>
            <w:r>
              <w:rPr>
                <w:rFonts w:ascii="Aptos" w:hAnsi="Aptos"/>
                <w:sz w:val="18"/>
              </w:rPr>
              <w:t>2 preventivní záruční prohlídky dle čl. XV</w:t>
            </w:r>
          </w:p>
        </w:tc>
      </w:tr>
      <w:tr>
        <w:trPr>
          <w:cantSplit/>
        </w:trPr>
        <w:tc>
          <w:tcPr>
            <w:tcW w:type="dxa" w:w="4892"/>
            <w:vAlign w:val="center"/>
          </w:tcPr>
          <w:p>
            <w:r/>
            <w:r>
              <w:rPr>
                <w:rFonts w:ascii="Aptos" w:hAnsi="Aptos"/>
                <w:b w:val="0"/>
                <w:sz w:val="18"/>
              </w:rPr>
              <w:t>Maximální doba etapy A v uzavřeném objektu</w:t>
            </w:r>
          </w:p>
        </w:tc>
        <w:tc>
          <w:tcPr>
            <w:tcW w:type="dxa" w:w="4892"/>
            <w:vAlign w:val="center"/>
          </w:tcPr>
          <w:p>
            <w:r/>
            <w:r>
              <w:rPr>
                <w:rFonts w:ascii="Aptos" w:hAnsi="Aptos"/>
                <w:b w:val="0"/>
                <w:sz w:val="18"/>
              </w:rPr>
              <w:t>[DOPLNÍ ÚČASTNÍK: celé kalendářní dny]</w:t>
            </w:r>
          </w:p>
        </w:tc>
      </w:tr>
      <w:tr>
        <w:trPr>
          <w:cantSplit/>
        </w:trPr>
        <w:tc>
          <w:tcPr>
            <w:tcW w:type="dxa" w:w="4892"/>
            <w:vAlign w:val="center"/>
          </w:tcPr>
          <w:p>
            <w:r/>
            <w:r>
              <w:rPr>
                <w:rFonts w:ascii="Aptos" w:hAnsi="Aptos"/>
                <w:b w:val="0"/>
                <w:sz w:val="18"/>
              </w:rPr>
              <w:t>Maximální doba etapy B v uzavřeném objektu</w:t>
            </w:r>
          </w:p>
        </w:tc>
        <w:tc>
          <w:tcPr>
            <w:tcW w:type="dxa" w:w="4892"/>
            <w:vAlign w:val="center"/>
          </w:tcPr>
          <w:p>
            <w:r/>
            <w:r>
              <w:rPr>
                <w:rFonts w:ascii="Aptos" w:hAnsi="Aptos"/>
                <w:b w:val="0"/>
                <w:sz w:val="18"/>
              </w:rPr>
              <w:t>[DOPLNÍ ÚČASTNÍK: celé kalendářní dny]</w:t>
            </w:r>
          </w:p>
        </w:tc>
      </w:tr>
      <w:tr>
        <w:trPr>
          <w:cantSplit/>
        </w:trPr>
        <w:tc>
          <w:tcPr>
            <w:tcW w:type="dxa" w:w="4892"/>
            <w:vAlign w:val="center"/>
          </w:tcPr>
          <w:p>
            <w:r/>
            <w:r>
              <w:rPr>
                <w:rFonts w:ascii="Aptos" w:hAnsi="Aptos"/>
                <w:b w:val="0"/>
                <w:sz w:val="18"/>
              </w:rPr>
              <w:t>Maximální doba etapy C v uzavřeném objektu</w:t>
            </w:r>
          </w:p>
        </w:tc>
        <w:tc>
          <w:tcPr>
            <w:tcW w:type="dxa" w:w="4892"/>
            <w:vAlign w:val="center"/>
          </w:tcPr>
          <w:p>
            <w:r/>
            <w:r>
              <w:rPr>
                <w:rFonts w:ascii="Aptos" w:hAnsi="Aptos"/>
                <w:b w:val="0"/>
                <w:sz w:val="18"/>
              </w:rPr>
              <w:t>[DOPLNÍ ÚČASTNÍK: celé kalendářní dny]</w:t>
            </w:r>
          </w:p>
        </w:tc>
      </w:tr>
      <w:tr>
        <w:trPr>
          <w:cantSplit/>
        </w:trPr>
        <w:tc>
          <w:tcPr>
            <w:tcW w:type="dxa" w:w="4892"/>
            <w:vAlign w:val="center"/>
          </w:tcPr>
          <w:p>
            <w:r/>
            <w:r>
              <w:rPr>
                <w:rFonts w:ascii="Aptos" w:hAnsi="Aptos"/>
                <w:b w:val="0"/>
                <w:sz w:val="18"/>
              </w:rPr>
              <w:t>Maximální doba etapy D v uzavřeném objektu</w:t>
            </w:r>
          </w:p>
        </w:tc>
        <w:tc>
          <w:tcPr>
            <w:tcW w:type="dxa" w:w="4892"/>
            <w:vAlign w:val="center"/>
          </w:tcPr>
          <w:p>
            <w:r/>
            <w:r>
              <w:rPr>
                <w:rFonts w:ascii="Aptos" w:hAnsi="Aptos"/>
                <w:b w:val="0"/>
                <w:sz w:val="18"/>
              </w:rPr>
              <w:t>[DOPLNÍ ÚČASTNÍK: celé kalendářní dny]</w:t>
            </w:r>
          </w:p>
        </w:tc>
      </w:tr>
      <w:tr>
        <w:trPr>
          <w:cantSplit/>
        </w:trPr>
        <w:tc>
          <w:tcPr>
            <w:tcW w:type="dxa" w:w="4892"/>
            <w:vAlign w:val="center"/>
          </w:tcPr>
          <w:p>
            <w:r/>
            <w:r>
              <w:rPr>
                <w:rFonts w:ascii="Aptos" w:hAnsi="Aptos"/>
                <w:b w:val="0"/>
                <w:sz w:val="18"/>
              </w:rPr>
              <w:t>Maximální doba etapy E v uzavřeném objektu</w:t>
            </w:r>
          </w:p>
        </w:tc>
        <w:tc>
          <w:tcPr>
            <w:tcW w:type="dxa" w:w="4892"/>
            <w:vAlign w:val="center"/>
          </w:tcPr>
          <w:p>
            <w:r/>
            <w:r>
              <w:rPr>
                <w:rFonts w:ascii="Aptos" w:hAnsi="Aptos"/>
                <w:b w:val="0"/>
                <w:sz w:val="18"/>
              </w:rPr>
              <w:t>[DOPLNÍ ÚČASTNÍK: celé kalendářní dny]</w:t>
            </w:r>
          </w:p>
        </w:tc>
      </w:tr>
      <w:tr>
        <w:trPr>
          <w:cantSplit/>
        </w:trPr>
        <w:tc>
          <w:tcPr>
            <w:tcW w:type="dxa" w:w="4892"/>
            <w:vAlign w:val="center"/>
          </w:tcPr>
          <w:p>
            <w:r/>
            <w:r>
              <w:rPr>
                <w:rFonts w:ascii="Aptos" w:hAnsi="Aptos"/>
                <w:b w:val="0"/>
                <w:sz w:val="18"/>
              </w:rPr>
              <w:t>Souhrnná hodnocená doba A–E</w:t>
            </w:r>
          </w:p>
        </w:tc>
        <w:tc>
          <w:tcPr>
            <w:tcW w:type="dxa" w:w="4892"/>
            <w:vAlign w:val="center"/>
          </w:tcPr>
          <w:p>
            <w:r/>
            <w:r>
              <w:rPr>
                <w:rFonts w:ascii="Aptos" w:hAnsi="Aptos"/>
                <w:b w:val="0"/>
                <w:sz w:val="18"/>
              </w:rPr>
              <w:t>[DOPLNÍ ÚČASTNÍK: celé kalendářní dny]</w:t>
            </w:r>
          </w:p>
        </w:tc>
      </w:tr>
    </w:tbl>
    <w:p>
      <w:pPr>
        <w:pStyle w:val="ListNumber"/>
      </w:pPr>
      <w:r>
        <w:t>Záruka běží pro každý samostatně převzatý fakturační celek ode dne jeho písemného převzetí.</w:t>
      </w:r>
    </w:p>
    <w:p/>
    <w:p>
      <w:pPr>
        <w:pStyle w:val="ListNumber"/>
      </w:pPr>
      <w:r>
        <w:rPr>
          <w:rFonts w:ascii="Aptos" w:hAnsi="Aptos"/>
          <w:sz w:val="18"/>
        </w:rPr>
        <w:t>Délka záruky na stavební a montážní práce činí počet celých měsíců uvedený v tabulce smluvních závazků. Je-li nabídnuta záruka delší než 72 měsíců, platí po celou skutečně nabídnutou dobu; hodnoticí strop 72 měsíců délku smluvního závazku nezkracuje.</w:t>
      </w:r>
    </w:p>
    <w:p>
      <w:pPr>
        <w:pStyle w:val="ListNumber"/>
      </w:pPr>
      <w:r>
        <w:t>Na technologická zařízení platí nejméně záruka výrobce a nejméně 24 měsíců; montáž a napojení se řídí stavební zárukou.</w:t>
      </w:r>
    </w:p>
    <w:p>
      <w:pPr>
        <w:pStyle w:val="ListNumber"/>
      </w:pPr>
      <w:r>
        <w:t>Reklamace se uplatňuje e-mailem na smluvní adresu; havarijní vadu lze oznámit telefonicky s následným e-mailovým potvrzením.</w:t>
      </w:r>
    </w:p>
    <w:p>
      <w:pPr>
        <w:pStyle w:val="ListNumber"/>
      </w:pPr>
      <w:r>
        <w:t>Zahájením řešení se rozumí fyzická prohlídka, zahájení opravy nebo konkrétní odborný úkon, nikoli pouhé potvrzení e-mailu.</w:t>
      </w:r>
    </w:p>
    <w:p/>
    <w:p>
      <w:pPr>
        <w:pStyle w:val="ListNumber"/>
      </w:pPr>
      <w:r>
        <w:rPr>
          <w:rFonts w:ascii="Aptos" w:hAnsi="Aptos"/>
          <w:sz w:val="18"/>
        </w:rPr>
        <w:t>Zhotovitel zahájí řešení běžné záruční vady nejpozději do tří pracovních dnů od prokazatelného doručení reklamace.</w:t>
      </w:r>
    </w:p>
    <w:p>
      <w:pPr>
        <w:pStyle w:val="ListNumber"/>
      </w:pPr>
      <w:r>
        <w:t>Havarijní vada je stav ohrožující osoby nebo objekt, způsobující významné poškození nebo znemožňující podstatné užívání, zejména únik vody nebo plynu, nebezpečná elektrická závada či porucha vytápění v mrazu.</w:t>
      </w:r>
    </w:p>
    <w:p/>
    <w:p>
      <w:pPr>
        <w:pStyle w:val="ListNumber"/>
      </w:pPr>
      <w:r>
        <w:rPr>
          <w:rFonts w:ascii="Aptos" w:hAnsi="Aptos"/>
          <w:sz w:val="18"/>
        </w:rPr>
        <w:t>Zhotovitel zahájí řešení havarijní vady nejpozději do 24 hodin od jejího prokazatelného oznámení.</w:t>
      </w:r>
    </w:p>
    <w:p>
      <w:pPr>
        <w:pStyle w:val="ListNumber"/>
      </w:pPr>
      <w:r>
        <w:t>Nezahájí-li zhotovitel řešení včas, může objednatel po upozornění zajistit odborný zásah třetí osobou na jeho náklady; v naléhavé havárii ihned.</w:t>
      </w:r>
    </w:p>
    <w:p>
      <w:pPr>
        <w:pStyle w:val="ListNumber"/>
      </w:pPr>
      <w:r>
        <w:t>Má-li zhotovitel za to, že vada není záruční, uvede konkrétní technické důvody. Nezáruční oprava se provede jen na samostatnou písemnou objednávku.</w:t>
      </w:r>
    </w:p>
    <w:p>
      <w:pPr>
        <w:pStyle w:val="ListNumber"/>
      </w:pPr>
      <w:r>
        <w:t>Na opravenou nebo vyměněnou část běží nová záruka v délce sjednané pro danou část.</w:t>
      </w:r>
    </w:p>
    <w:p>
      <w:pPr>
        <w:pStyle w:val="Heading1"/>
      </w:pPr>
      <w:r>
        <w:t>XV. Preventivní záruční prohlídky</w:t>
      </w:r>
    </w:p>
    <w:p>
      <w:pPr>
        <w:pStyle w:val="ListNumber"/>
      </w:pPr>
      <w:r>
        <w:rPr>
          <w:rFonts w:ascii="Aptos" w:hAnsi="Aptos"/>
          <w:sz w:val="18"/>
        </w:rPr>
        <w:t>První preventivní záruční prohlídka se uskuteční mezi 10. a 14. měsícem po úplném předání posledního fakturačního celku z celého aktivovaného rozsahu.</w:t>
      </w:r>
    </w:p>
    <w:p>
      <w:pPr>
        <w:pStyle w:val="ListNumber"/>
      </w:pPr>
      <w:r>
        <w:t>Druhá preventivní záruční prohlídka se uskuteční mezi 34. a 38. měsícem.</w:t>
      </w:r>
    </w:p>
    <w:p>
      <w:pPr>
        <w:pStyle w:val="ListNumber"/>
      </w:pPr>
      <w:r>
        <w:t>Termín se sjedná nejméně 15 kalendářních dnů předem.</w:t>
      </w:r>
    </w:p>
    <w:p>
      <w:pPr>
        <w:pStyle w:val="ListNumber"/>
      </w:pPr>
      <w:r>
        <w:t>Obě preventivní záruční prohlídky jsou zahrnuty v celkové ceně díla a nebudou fakturovány samostatně.</w:t>
      </w:r>
    </w:p>
    <w:p>
      <w:pPr>
        <w:pStyle w:val="ListNumber"/>
      </w:pPr>
      <w:r>
        <w:t>Zahrnuje vizuální a funkční kontrolu dřevěné fasády a nátěru, detailů fasády, oken a dveří, balkonu a schodiště, viditelných spojů WC a koupelny, podlah a hran schodů, sádrokartonu, maleb a dříve provedených oprav.</w:t>
      </w:r>
    </w:p>
    <w:p>
      <w:pPr>
        <w:pStyle w:val="ListNumber"/>
      </w:pPr>
      <w:r>
        <w:t>Kontrola kotle nenahrazuje povinný servis, kontrolu plynového zařízení nebo spalinových cest.</w:t>
      </w:r>
    </w:p>
    <w:p>
      <w:pPr>
        <w:pStyle w:val="ListNumber"/>
      </w:pPr>
      <w:r>
        <w:t>O výsledku se sepíše protokol. Záruční vady se odstraní bezplatně; nezáruční práce vyžadují samostatnou písemnou objednávku.</w:t>
      </w:r>
    </w:p>
    <w:p>
      <w:pPr>
        <w:pStyle w:val="Heading1"/>
      </w:pPr>
      <w:r>
        <w:t>XVI. Odpovědnost za škodu</w:t>
      </w:r>
    </w:p>
    <w:p>
      <w:pPr>
        <w:pStyle w:val="ListNumber"/>
      </w:pPr>
      <w:r>
        <w:t>Zhotovitel odpovídá za škodu způsobenou jím, zaměstnanci, poddodavateli a dalšími osobami použitými k plnění.</w:t>
      </w:r>
    </w:p>
    <w:p>
      <w:pPr>
        <w:pStyle w:val="ListNumber"/>
      </w:pPr>
      <w:r>
        <w:t>Způsobenou škodu odstraní uvedením do původního stavu, není-li to možné nebo účelné, poskytne odpovídající náhradu.</w:t>
      </w:r>
    </w:p>
    <w:p>
      <w:pPr>
        <w:pStyle w:val="ListNumber"/>
      </w:pPr>
      <w:r>
        <w:t>Při vzniku škody nebo bezprostředního nebezpečí provede ihned opatření k omezení následků a informuje objednatele.</w:t>
      </w:r>
    </w:p>
    <w:p>
      <w:pPr>
        <w:pStyle w:val="Heading1"/>
      </w:pPr>
      <w:r>
        <w:t>XVII. Smluvní pokuty</w:t>
      </w:r>
    </w:p>
    <w:tbl>
      <w:tblPr>
        <w:tblW w:type="dxa" w:w="9783"/>
        <w:tblLayout w:type="fixed"/>
        <w:tblLook w:firstColumn="1" w:firstRow="1" w:lastColumn="0" w:lastRow="0" w:noHBand="0" w:noVBand="1" w:val="04A0"/>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Grid>
        <w:gridCol w:w="4892"/>
        <w:gridCol w:w="4892"/>
      </w:tblGrid>
      <w:tr>
        <w:trPr>
          <w:tblHeader w:val="true"/>
          <w:cantSplit w:val="1"/>
        </w:trPr>
        <w:tc>
          <w:tcPr>
            <w:tcW w:type="dxa" w:w="4892"/>
            <w:shd w:fill="2F5D50"/>
            <w:tcMar>
              <w:top w:w="80" w:type="dxa"/>
              <w:start w:w="100" w:type="dxa"/>
              <w:bottom w:w="80" w:type="dxa"/>
              <w:end w:w="100" w:type="dxa"/>
            </w:tcMar>
            <w:vAlign w:val="center"/>
          </w:tcPr>
          <w:p>
            <w:pPr>
              <w:jc w:val="center"/>
            </w:pPr>
            <w:r>
              <w:rPr>
                <w:rFonts w:ascii="Aptos" w:hAnsi="Aptos"/>
                <w:b/>
                <w:color w:val="FFFFFF"/>
                <w:sz w:val="18"/>
              </w:rPr>
              <w:t>Porušení</w:t>
            </w:r>
          </w:p>
        </w:tc>
        <w:tc>
          <w:tcPr>
            <w:tcW w:type="dxa" w:w="4892"/>
            <w:shd w:fill="2F5D50"/>
            <w:tcMar>
              <w:top w:w="80" w:type="dxa"/>
              <w:start w:w="100" w:type="dxa"/>
              <w:bottom w:w="80" w:type="dxa"/>
              <w:end w:w="100" w:type="dxa"/>
            </w:tcMar>
            <w:vAlign w:val="center"/>
          </w:tcPr>
          <w:p>
            <w:pPr>
              <w:jc w:val="center"/>
            </w:pPr>
            <w:r>
              <w:rPr>
                <w:rFonts w:ascii="Aptos" w:hAnsi="Aptos"/>
                <w:b/>
                <w:color w:val="FFFFFF"/>
                <w:sz w:val="18"/>
              </w:rPr>
              <w:t>Smluvní pokuta</w:t>
            </w:r>
          </w:p>
        </w:tc>
      </w:tr>
      <w:tr>
        <w:trPr>
          <w:cantSplit w:val="1"/>
        </w:trPr>
        <w:tc>
          <w:tcPr>
            <w:tcW w:type="dxa" w:w="4892"/>
            <w:tcMar>
              <w:top w:w="80" w:type="dxa"/>
              <w:start w:w="100" w:type="dxa"/>
              <w:bottom w:w="80" w:type="dxa"/>
              <w:end w:w="100" w:type="dxa"/>
            </w:tcMar>
            <w:vAlign w:val="top"/>
          </w:tcPr>
          <w:p>
            <w:r>
              <w:t>Překročení závazné maximální doby aktivované etapy v režimu uzavřeného objektu</w:t>
            </w:r>
          </w:p>
        </w:tc>
        <w:tc>
          <w:tcPr>
            <w:tcW w:type="dxa" w:w="4892"/>
            <w:tcMar>
              <w:top w:w="80" w:type="dxa"/>
              <w:start w:w="100" w:type="dxa"/>
              <w:bottom w:w="80" w:type="dxa"/>
              <w:end w:w="100" w:type="dxa"/>
            </w:tcMar>
            <w:vAlign w:val="top"/>
          </w:tcPr>
          <w:p>
            <w:r>
              <w:t>0,05 % z ceny bez DPH prodlením dotčené aktivované etapy za každý započatý kalendářní den</w:t>
            </w:r>
          </w:p>
        </w:tc>
      </w:tr>
      <w:tr>
        <w:trPr>
          <w:cantSplit w:val="1"/>
        </w:trPr>
        <w:tc>
          <w:tcPr>
            <w:tcW w:type="dxa" w:w="4892"/>
            <w:tcMar>
              <w:top w:w="80" w:type="dxa"/>
              <w:start w:w="100" w:type="dxa"/>
              <w:bottom w:w="80" w:type="dxa"/>
              <w:end w:w="100" w:type="dxa"/>
            </w:tcMar>
            <w:vAlign w:val="top"/>
            <w:shd w:fill="F8FAF9"/>
          </w:tcPr>
          <w:p>
            <w:r>
              <w:rPr>
                <w:rFonts w:ascii="Aptos" w:hAnsi="Aptos"/>
                <w:sz w:val="18"/>
              </w:rPr>
              <w:t>Neodstranění vady nebo nedodělku z přejímky</w:t>
            </w:r>
          </w:p>
        </w:tc>
        <w:tc>
          <w:tcPr>
            <w:tcW w:type="dxa" w:w="4892"/>
            <w:tcMar>
              <w:top w:w="80" w:type="dxa"/>
              <w:start w:w="100" w:type="dxa"/>
              <w:bottom w:w="80" w:type="dxa"/>
              <w:end w:w="100" w:type="dxa"/>
            </w:tcMar>
            <w:vAlign w:val="top"/>
            <w:shd w:fill="F8FAF9"/>
          </w:tcPr>
          <w:p>
            <w:r>
              <w:rPr>
                <w:rFonts w:ascii="Aptos" w:hAnsi="Aptos"/>
                <w:sz w:val="18"/>
              </w:rPr>
              <w:t>1 000 Kč za každý započatý den a jednotlivou vadu</w:t>
            </w:r>
          </w:p>
        </w:tc>
      </w:tr>
      <w:tr>
        <w:trPr>
          <w:cantSplit w:val="1"/>
        </w:trPr>
        <w:tc>
          <w:tcPr>
            <w:tcW w:type="dxa" w:w="4892"/>
            <w:tcMar>
              <w:top w:w="80" w:type="dxa"/>
              <w:start w:w="100" w:type="dxa"/>
              <w:bottom w:w="80" w:type="dxa"/>
              <w:end w:w="100" w:type="dxa"/>
            </w:tcMar>
            <w:vAlign w:val="top"/>
          </w:tcPr>
          <w:p>
            <w:r>
              <w:rPr>
                <w:rFonts w:ascii="Aptos" w:hAnsi="Aptos"/>
                <w:sz w:val="18"/>
              </w:rPr>
              <w:t>Pozdní zahájení řešení běžné záruční vady</w:t>
            </w:r>
          </w:p>
        </w:tc>
        <w:tc>
          <w:tcPr>
            <w:tcW w:type="dxa" w:w="4892"/>
            <w:tcMar>
              <w:top w:w="80" w:type="dxa"/>
              <w:start w:w="100" w:type="dxa"/>
              <w:bottom w:w="80" w:type="dxa"/>
              <w:end w:w="100" w:type="dxa"/>
            </w:tcMar>
            <w:vAlign w:val="top"/>
          </w:tcPr>
          <w:p>
            <w:r>
              <w:rPr>
                <w:rFonts w:ascii="Aptos" w:hAnsi="Aptos"/>
                <w:sz w:val="18"/>
              </w:rPr>
              <w:t>1 000 Kč za každý započatý den a jednotlivý případ reklamace</w:t>
            </w:r>
          </w:p>
        </w:tc>
      </w:tr>
      <w:tr>
        <w:trPr>
          <w:cantSplit w:val="1"/>
        </w:trPr>
        <w:tc>
          <w:tcPr>
            <w:tcW w:type="dxa" w:w="4892"/>
            <w:tcMar>
              <w:top w:w="80" w:type="dxa"/>
              <w:start w:w="100" w:type="dxa"/>
              <w:bottom w:w="80" w:type="dxa"/>
              <w:end w:w="100" w:type="dxa"/>
            </w:tcMar>
            <w:vAlign w:val="top"/>
            <w:shd w:fill="F8FAF9"/>
          </w:tcPr>
          <w:p>
            <w:r>
              <w:rPr>
                <w:rFonts w:ascii="Aptos" w:hAnsi="Aptos"/>
                <w:sz w:val="18"/>
              </w:rPr>
              <w:t>Pozdní zahájení řešení havarijní vady</w:t>
            </w:r>
          </w:p>
        </w:tc>
        <w:tc>
          <w:tcPr>
            <w:tcW w:type="dxa" w:w="4892"/>
            <w:tcMar>
              <w:top w:w="80" w:type="dxa"/>
              <w:start w:w="100" w:type="dxa"/>
              <w:bottom w:w="80" w:type="dxa"/>
              <w:end w:w="100" w:type="dxa"/>
            </w:tcMar>
            <w:vAlign w:val="top"/>
            <w:shd w:fill="F8FAF9"/>
          </w:tcPr>
          <w:p>
            <w:r>
              <w:rPr>
                <w:rFonts w:ascii="Aptos" w:hAnsi="Aptos"/>
                <w:sz w:val="18"/>
              </w:rPr>
              <w:t>5 000 Kč za každý započatý den a jednotlivý případ reklamace</w:t>
            </w:r>
          </w:p>
        </w:tc>
      </w:tr>
      <w:tr>
        <w:trPr>
          <w:cantSplit w:val="1"/>
        </w:trPr>
        <w:tc>
          <w:tcPr>
            <w:tcW w:type="dxa" w:w="4892"/>
            <w:tcMar>
              <w:top w:w="80" w:type="dxa"/>
              <w:start w:w="100" w:type="dxa"/>
              <w:bottom w:w="80" w:type="dxa"/>
              <w:end w:w="100" w:type="dxa"/>
            </w:tcMar>
            <w:vAlign w:val="top"/>
          </w:tcPr>
          <w:p>
            <w:r>
              <w:rPr>
                <w:rFonts w:ascii="Aptos" w:hAnsi="Aptos"/>
                <w:sz w:val="18"/>
              </w:rPr>
              <w:t>Neoprávněná záměna nebo horší materiál</w:t>
            </w:r>
          </w:p>
        </w:tc>
        <w:tc>
          <w:tcPr>
            <w:tcW w:type="dxa" w:w="4892"/>
            <w:tcMar>
              <w:top w:w="80" w:type="dxa"/>
              <w:start w:w="100" w:type="dxa"/>
              <w:bottom w:w="80" w:type="dxa"/>
              <w:end w:w="100" w:type="dxa"/>
            </w:tcMar>
            <w:vAlign w:val="top"/>
          </w:tcPr>
          <w:p>
            <w:r>
              <w:rPr>
                <w:rFonts w:ascii="Aptos" w:hAnsi="Aptos"/>
                <w:sz w:val="18"/>
              </w:rPr>
              <w:t>30 000 Kč za každý jednotlivý případ</w:t>
            </w:r>
          </w:p>
        </w:tc>
      </w:tr>
      <w:tr>
        <w:trPr>
          <w:cantSplit w:val="1"/>
        </w:trPr>
        <w:tc>
          <w:tcPr>
            <w:tcW w:type="dxa" w:w="4892"/>
            <w:tcMar>
              <w:top w:w="80" w:type="dxa"/>
              <w:start w:w="100" w:type="dxa"/>
              <w:bottom w:w="80" w:type="dxa"/>
              <w:end w:w="100" w:type="dxa"/>
            </w:tcMar>
            <w:vAlign w:val="top"/>
            <w:shd w:fill="F8FAF9"/>
          </w:tcPr>
          <w:p>
            <w:r>
              <w:rPr>
                <w:rFonts w:ascii="Aptos" w:hAnsi="Aptos"/>
                <w:sz w:val="18"/>
              </w:rPr>
              <w:t>Neprovedení sjednané preventivní záruční prohlídky ani v dodatečné 15denní lhůtě</w:t>
            </w:r>
          </w:p>
        </w:tc>
        <w:tc>
          <w:tcPr>
            <w:tcW w:type="dxa" w:w="4892"/>
            <w:tcMar>
              <w:top w:w="80" w:type="dxa"/>
              <w:start w:w="100" w:type="dxa"/>
              <w:bottom w:w="80" w:type="dxa"/>
              <w:end w:w="100" w:type="dxa"/>
            </w:tcMar>
            <w:vAlign w:val="top"/>
            <w:shd w:fill="F8FAF9"/>
          </w:tcPr>
          <w:p>
            <w:r>
              <w:rPr>
                <w:rFonts w:ascii="Aptos" w:hAnsi="Aptos"/>
                <w:sz w:val="18"/>
              </w:rPr>
              <w:t>5 000 Kč za každou neprovedenou prohlídku</w:t>
            </w:r>
          </w:p>
        </w:tc>
      </w:tr>
    </w:tbl>
    <w:p>
      <w:pPr>
        <w:pStyle w:val="ListNumber"/>
      </w:pPr>
      <w:r>
        <w:t>U téže vady se běžná a havarijní pokuta neuplatní současně.</w:t>
      </w:r>
    </w:p>
    <w:p>
      <w:pPr>
        <w:pStyle w:val="ListNumber"/>
      </w:pPr>
      <w:r>
        <w:t>Pokuta se neuplatní v rozsahu, v němž zhotovitel prokáže, že mu splnění znemožnil objednatel, zejména neposkytnutím přístupu.</w:t>
      </w:r>
    </w:p>
    <w:p>
      <w:pPr>
        <w:pStyle w:val="ListNumber"/>
      </w:pPr>
      <w:r>
        <w:t>Zaplacení pokuty nezbavuje zhotovitele povinnosti splnit zajištěný závazek.</w:t>
      </w:r>
    </w:p>
    <w:p>
      <w:pPr>
        <w:pStyle w:val="ListNumber"/>
      </w:pPr>
      <w:r>
        <w:t>Právo na náhradu škody zůstává zachováno v rozsahu, v němž škoda převyšuje uhrazenou smluvní pokutu.</w:t>
      </w:r>
    </w:p>
    <w:p>
      <w:pPr>
        <w:pStyle w:val="ListNumber"/>
      </w:pPr>
      <w:r>
        <w:t>Při prodlení objednatele s platbou náleží zhotoviteli zákonný úrok z prodlení.</w:t>
      </w:r>
    </w:p>
    <w:p>
      <w:pPr>
        <w:pStyle w:val="Heading1"/>
      </w:pPr>
      <w:r>
        <w:t>XVIII. Ukončení smlouvy</w:t>
      </w:r>
    </w:p>
    <w:p>
      <w:r>
        <w:rPr>
          <w:i w:val="0"/>
        </w:rPr>
        <w:t>Objednatel může odstoupit zejména při podstatném prodlení, opakovaném vadném provádění, neoprávněném snižování kvality, závažném porušení bezpečnosti, odmítnutí nápravy nebo porušení sankčních pravidel. Odstoupení nebrání úhradě řádně provedeného a převzatého plnění ani uplatnění práv z vad a škody.</w:t>
      </w:r>
    </w:p>
    <w:p>
      <w:pPr>
        <w:pStyle w:val="Heading1"/>
      </w:pPr>
      <w:r>
        <w:t>XIX. Komunikace a forma právních jednání</w:t>
      </w:r>
    </w:p>
    <w:p>
      <w:pPr>
        <w:pStyle w:val="ListNumber"/>
      </w:pPr>
      <w:r>
        <w:t>Běžná provozní komunikace, reklamace, harmonogramy a oznámení poddodavatelů mohou probíhat e-mailem nebo písemným záznamem z kontrolního dne.</w:t>
      </w:r>
    </w:p>
    <w:p>
      <w:pPr>
        <w:pStyle w:val="ListNumber"/>
      </w:pPr>
      <w:r>
        <w:t>Aktivační výzva, dodatky, odstoupení, výzva k podpisu a jiná závažná právní jednání se doručují v listinné podobě doporučeně, kurýrem nebo osobně proti podpisu.</w:t>
      </w:r>
    </w:p>
    <w:p>
      <w:pPr>
        <w:pStyle w:val="ListNumber"/>
      </w:pPr>
      <w:r>
        <w:t>Smlouva a její dodatky se uzavírají v listinné podobě s vlastnoručními podpisy.</w:t>
      </w:r>
    </w:p>
    <w:p>
      <w:pPr>
        <w:pStyle w:val="ListNumber"/>
      </w:pPr>
      <w:r>
        <w:t>Datová schránka se mezi stranami pro smluvní právní jednání nepoužije, pokud se písemně nedohodnou jinak.</w:t>
      </w:r>
    </w:p>
    <w:p>
      <w:pPr>
        <w:pStyle w:val="Heading1"/>
      </w:pPr>
      <w:r>
        <w:t>XX. Závěrečná ustanovení</w:t>
      </w:r>
    </w:p>
    <w:p>
      <w:pPr>
        <w:pStyle w:val="ListNumber"/>
      </w:pPr>
      <w:r>
        <w:rPr>
          <w:b w:val="0"/>
        </w:rPr>
        <w:t>Nedílnou součástí smlouvy jsou zadávací dokumentace a přílohy, nabídka zhotovitele, technická specifikace, oceněný soupis prací, přehled oken a dveří, přehled výrobků, harmonogram, hodnocené údaje a seznam poddodavatelů a jiných osob prokazujících kvalifikaci.</w:t>
      </w:r>
    </w:p>
    <w:p>
      <w:pPr>
        <w:pStyle w:val="ListNumber"/>
      </w:pPr>
      <w:r>
        <w:rPr>
          <w:rFonts w:ascii="Aptos" w:hAnsi="Aptos"/>
          <w:sz w:val="18"/>
        </w:rPr>
        <w:t>Při výkladu dokumentů je pro rozsah a technickou kvalitu rozhodná tato smlouva, ZD_01, P06 a P08; pro množství a ceny P07; pro konkrétní nabídnuté výrobky P09; pro hodnocené hodnoty P11; pro časový postup P10. Toto pořadí nelze použít ke snížení rozsahu nebo kvality závazku zhotovitele.</w:t>
      </w:r>
    </w:p>
    <w:p>
      <w:pPr>
        <w:pStyle w:val="ListNumber"/>
      </w:pPr>
      <w:r>
        <w:t>Zhotovitel poskytne přiměřenou součinnost při kontrole projektu nebo zakázky prováděné SZIF či jiným oprávněným orgánem.</w:t>
      </w:r>
    </w:p>
    <w:p>
      <w:pPr>
        <w:pStyle w:val="ListNumber"/>
      </w:pPr>
      <w:r>
        <w:t>Zhotovitel průběžně předává doklady potřebné pro fakturaci, kontrolu, dotaci a záruku.</w:t>
      </w:r>
    </w:p>
    <w:p>
      <w:pPr>
        <w:pStyle w:val="ListNumber"/>
      </w:pPr>
      <w:r>
        <w:t>Práva a povinnosti neupravené smlouvou se řídí zákonem č. 89/2012 Sb., občanským zákoníkem.</w:t>
      </w:r>
    </w:p>
    <w:p>
      <w:pPr>
        <w:pStyle w:val="ListNumber"/>
      </w:pPr>
      <w:r>
        <w:t>Smlouva je vyhotovena ve dvou stejnopisech, po jednom pro každou stranu.</w:t>
      </w:r>
    </w:p>
    <w:p>
      <w:pPr>
        <w:pStyle w:val="ListNumber"/>
      </w:pPr>
      <w:r>
        <w:t>Smlouva nabývá platnosti a účinnosti dnem podpisu oběma stranami.</w:t>
      </w:r>
    </w:p>
    <w:p>
      <w:r>
        <w:br/>
        <w:t>V Horní Branné dne ........................</w:t>
      </w:r>
    </w:p>
    <w:tbl>
      <w:tblPr>
        <w:tblW w:type="dxa" w:w="9783"/>
        <w:tblLayout w:type="fixed"/>
        <w:tblLook w:firstColumn="1" w:firstRow="1" w:lastColumn="0" w:lastRow="0" w:noHBand="0" w:noVBand="1" w:val="04A0"/>
        <w:jc w:val="center"/>
        <w:tblBorders>
          <w:top w:val="nil"/>
          <w:left w:val="nil"/>
          <w:bottom w:val="nil"/>
          <w:right w:val="nil"/>
          <w:insideH w:val="nil"/>
          <w:insideV w:val="nil"/>
        </w:tblBorders>
      </w:tblPr>
      <w:tblGrid>
        <w:gridCol w:w="4892"/>
        <w:gridCol w:w="4892"/>
      </w:tblGrid>
      <w:tr>
        <w:trPr>
          <w:cantSplit w:val="1"/>
        </w:trPr>
        <w:tc>
          <w:tcPr>
            <w:tcW w:type="dxa" w:w="4892"/>
          </w:tcPr>
          <w:p>
            <w:r>
              <w:rPr>
                <w:rFonts w:ascii="Aptos" w:hAnsi="Aptos"/>
                <w:b/>
                <w:sz w:val="18"/>
              </w:rPr>
              <w:t>Objednatel</w:t>
              <w:br/>
              <w:t>Biofarma Pod Hájkem s.r.o.</w:t>
              <w:br/>
              <w:t>Ing. Hana Řehořková, prokuristka</w:t>
            </w:r>
          </w:p>
        </w:tc>
        <w:tc>
          <w:tcPr>
            <w:tcW w:type="dxa" w:w="4892"/>
          </w:tcPr>
          <w:p>
            <w:r>
              <w:rPr>
                <w:rFonts w:ascii="Aptos" w:hAnsi="Aptos"/>
                <w:b/>
                <w:sz w:val="18"/>
              </w:rPr>
              <w:t>Zhotovitel</w:t>
              <w:br/>
              <w:t>[DOPLNÍ ÚČASTNÍK]</w:t>
            </w:r>
          </w:p>
        </w:tc>
      </w:tr>
      <w:tr>
        <w:trPr>
          <w:cantSplit w:val="1"/>
        </w:trPr>
        <w:tc>
          <w:tcPr>
            <w:tcW w:type="dxa" w:w="4892"/>
          </w:tcPr>
          <w:p>
            <w:r>
              <w:rPr>
                <w:rFonts w:ascii="Aptos" w:hAnsi="Aptos"/>
                <w:sz w:val="18"/>
              </w:rPr>
              <w:br/>
              <w:br/>
              <w:t>........................................................</w:t>
              <w:br/>
            </w:r>
          </w:p>
        </w:tc>
        <w:tc>
          <w:tcPr>
            <w:tcW w:type="dxa" w:w="4892"/>
          </w:tcPr>
          <w:p>
            <w:r>
              <w:rPr>
                <w:rFonts w:ascii="Aptos" w:hAnsi="Aptos"/>
                <w:sz w:val="18"/>
              </w:rPr>
              <w:br/>
              <w:br/>
              <w:t>........................................................</w:t>
              <w:br/>
            </w:r>
          </w:p>
        </w:tc>
      </w:tr>
    </w:tbl>
    <w:sectPr w:rsidR="00FC693F" w:rsidRPr="0006063C" w:rsidSect="00034616">
      <w:headerReference w:type="default" r:id="rId9"/>
      <w:footerReference w:type="default" r:id="rId10"/>
      <w:headerReference w:type="first" r:id="rId11"/>
      <w:headerReference w:type="even" r:id="rId12"/>
      <w:footerReference w:type="first" r:id="rId13"/>
      <w:footerReference w:type="even" r:id="rId14"/>
      <w:pgSz w:w="12240" w:h="15840"/>
      <w:pgMar w:top="1020" w:right="1020" w:bottom="907" w:left="1134"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 xml:space="preserve">Biofarma Pod Hájkem s.r.o.  •  </w:t>
    </w:r>
    <w:r>
      <w:fldChar w:fldCharType="begin"/>
      <w:instrText xml:space="preserve"> PAGE </w:instrTex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right"/>
    </w:pPr>
    <w:r>
      <w:t>Agroturistika na farmě  |  P05  |  verze V08</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00"/>
      <w:outlineLvl w:val="0"/>
    </w:pPr>
    <w:rPr>
      <w:rFonts w:asciiTheme="majorHAnsi" w:eastAsiaTheme="majorEastAsia" w:hAnsiTheme="majorHAnsi" w:cstheme="majorBidi" w:ascii="Arial" w:hAnsi="Arial" w:eastAsia="Arial"/>
      <w:b/>
      <w:bCs/>
      <w:color w:val="2F5D50"/>
      <w:sz w:val="28"/>
      <w:szCs w:val="28"/>
    </w:rPr>
  </w:style>
  <w:style w:type="paragraph" w:styleId="Heading2">
    <w:name w:val="heading 2"/>
    <w:basedOn w:val="Normal"/>
    <w:next w:val="Normal"/>
    <w:link w:val="Heading2Char"/>
    <w:uiPriority w:val="9"/>
    <w:unhideWhenUsed/>
    <w:qFormat/>
    <w:rsid w:val="00FC693F"/>
    <w:pPr>
      <w:keepNext/>
      <w:keepLines/>
      <w:spacing w:before="180" w:after="60"/>
      <w:outlineLvl w:val="1"/>
    </w:pPr>
    <w:rPr>
      <w:rFonts w:asciiTheme="majorHAnsi" w:eastAsiaTheme="majorEastAsia" w:hAnsiTheme="majorHAnsi" w:cstheme="majorBidi" w:ascii="Arial" w:hAnsi="Arial" w:eastAsia="Arial"/>
      <w:b/>
      <w:bCs/>
      <w:color w:val="2F5D50"/>
      <w:sz w:val="23"/>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b/>
      <w:bCs/>
      <w:color w:val="222222"/>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40" w:line="240" w:lineRule="auto" w:before="0"/>
      <w:contextualSpacing/>
    </w:pPr>
    <w:rPr>
      <w:rFonts w:asciiTheme="majorHAnsi" w:eastAsiaTheme="majorEastAsia" w:hAnsiTheme="majorHAnsi" w:cstheme="majorBidi" w:ascii="Arial" w:hAnsi="Arial" w:eastAsia="Arial"/>
      <w:b/>
      <w:color w:val="2F5D50"/>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Doplnit">
    <w:name w:val="Doplnit"/>
    <w:rPr>
      <w:rFonts w:ascii="Arial" w:hAnsi="Arial"/>
      <w:b/>
      <w:color w:val="9C650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P05_Zavazny_navrh_smlouvy_o_dilo_V04</dc:title>
  <dc:subject>Agroturistika na farmě – zadávací dokumentace</dc:subject>
  <dc:creator>Biofarma Pod Hájkem s.r.o.</dc:creator>
  <cp:keywords>SZIF, výběrové řízení, Agroturistika na farmě</cp:keywords>
  <dc:description>generated by python-docx</dc:description>
  <cp:lastModifiedBy/>
  <cp:revision>1</cp:revision>
  <dcterms:created xsi:type="dcterms:W3CDTF">2013-12-23T23:15:00Z</dcterms:created>
  <dcterms:modified xsi:type="dcterms:W3CDTF">2013-12-23T23:15:00Z</dcterms:modified>
  <cp:category/>
</cp:coreProperties>
</file>