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A3D3" w14:textId="77777777" w:rsidR="006D6C37" w:rsidRDefault="00887DC5">
      <w:pPr>
        <w:jc w:val="both"/>
        <w:rPr>
          <w:rFonts w:cs="Arial"/>
        </w:rPr>
      </w:pPr>
      <w:r>
        <w:rPr>
          <w:sz w:val="24"/>
        </w:rPr>
        <w:t xml:space="preserve">   </w:t>
      </w:r>
      <w:r>
        <w:rPr>
          <w:rFonts w:cs="Arial"/>
          <w:b/>
          <w:highlight w:val="red"/>
          <w:u w:val="single"/>
        </w:rPr>
        <w:t>Účastníci v návrhu Smlouvy o dílo řádně a správně doplní údaje na vyznačených místech, a to v souladu s obsahem předkládané nabídky</w:t>
      </w:r>
      <w:r>
        <w:rPr>
          <w:rFonts w:cs="Arial"/>
          <w:highlight w:val="red"/>
        </w:rPr>
        <w:t>.</w:t>
      </w:r>
    </w:p>
    <w:p w14:paraId="45999E55" w14:textId="77777777" w:rsidR="006D6C37" w:rsidRDefault="006D6C37">
      <w:pPr>
        <w:jc w:val="both"/>
        <w:rPr>
          <w:rFonts w:cs="Arial"/>
        </w:rPr>
      </w:pPr>
    </w:p>
    <w:p w14:paraId="315C0410" w14:textId="77777777" w:rsidR="006D6C37" w:rsidRDefault="00887D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č. smlouvy: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  <w:highlight w:val="yellow"/>
        </w:rPr>
        <w:t>     </w:t>
      </w:r>
      <w:r>
        <w:rPr>
          <w:sz w:val="24"/>
        </w:rPr>
        <w:fldChar w:fldCharType="end"/>
      </w:r>
    </w:p>
    <w:p w14:paraId="3214A3D8" w14:textId="77777777" w:rsidR="006D6C37" w:rsidRDefault="006D6C37">
      <w:pPr>
        <w:rPr>
          <w:b/>
          <w:sz w:val="36"/>
        </w:rPr>
      </w:pPr>
    </w:p>
    <w:p w14:paraId="5CDE5AA0" w14:textId="77777777" w:rsidR="006D6C37" w:rsidRDefault="00887DC5">
      <w:pPr>
        <w:pStyle w:val="Nadpis2"/>
        <w:jc w:val="center"/>
        <w:rPr>
          <w:rFonts w:ascii="Arial Black" w:hAnsi="Arial Black"/>
          <w:sz w:val="52"/>
          <w:szCs w:val="52"/>
          <w:lang w:val="cs-CZ"/>
        </w:rPr>
      </w:pPr>
      <w:r>
        <w:rPr>
          <w:rFonts w:ascii="Arial Black" w:hAnsi="Arial Black"/>
          <w:sz w:val="52"/>
          <w:szCs w:val="52"/>
          <w:lang w:val="cs-CZ"/>
        </w:rPr>
        <w:t xml:space="preserve">SMLOUVA O </w:t>
      </w:r>
      <w:proofErr w:type="gramStart"/>
      <w:r>
        <w:rPr>
          <w:rFonts w:ascii="Arial Black" w:hAnsi="Arial Black"/>
          <w:sz w:val="52"/>
          <w:szCs w:val="52"/>
          <w:lang w:val="cs-CZ"/>
        </w:rPr>
        <w:t xml:space="preserve">DÍLO </w:t>
      </w:r>
      <w:r>
        <w:rPr>
          <w:rFonts w:ascii="Arial Black" w:hAnsi="Arial Black"/>
          <w:color w:val="FF0000"/>
          <w:sz w:val="52"/>
          <w:szCs w:val="52"/>
          <w:lang w:val="cs-CZ"/>
        </w:rPr>
        <w:t>- návrh</w:t>
      </w:r>
      <w:proofErr w:type="gramEnd"/>
    </w:p>
    <w:p w14:paraId="59479F10" w14:textId="77777777" w:rsidR="006D6C37" w:rsidRDefault="00887DC5">
      <w:pPr>
        <w:jc w:val="center"/>
        <w:rPr>
          <w:rFonts w:cs="Arial"/>
        </w:rPr>
      </w:pPr>
      <w:r>
        <w:rPr>
          <w:rFonts w:cs="Arial"/>
        </w:rPr>
        <w:t xml:space="preserve">uzavřená v souladu s ustanovením § </w:t>
      </w:r>
      <w:r>
        <w:t xml:space="preserve">2586 </w:t>
      </w:r>
      <w:r>
        <w:rPr>
          <w:rFonts w:cs="Arial"/>
        </w:rPr>
        <w:t>a násl. zákona č.89/2012 Sb., občanský zákoník v aktuálním znění</w:t>
      </w:r>
    </w:p>
    <w:p w14:paraId="2BAE1B14" w14:textId="77777777" w:rsidR="006D6C37" w:rsidRDefault="006D6C37">
      <w:pPr>
        <w:jc w:val="center"/>
        <w:rPr>
          <w:sz w:val="24"/>
        </w:rPr>
      </w:pPr>
    </w:p>
    <w:p w14:paraId="5151A82E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Smluvní strany</w:t>
      </w:r>
    </w:p>
    <w:p w14:paraId="44ADC55A" w14:textId="77777777" w:rsidR="006D6C37" w:rsidRDefault="006D6C37">
      <w:pPr>
        <w:jc w:val="center"/>
        <w:rPr>
          <w:rFonts w:cs="Arial"/>
          <w:b/>
        </w:rPr>
      </w:pPr>
    </w:p>
    <w:p w14:paraId="5978E2F6" w14:textId="77777777" w:rsidR="006D6C37" w:rsidRDefault="00887DC5">
      <w:pPr>
        <w:pStyle w:val="Odstavecseseznamem"/>
        <w:numPr>
          <w:ilvl w:val="1"/>
          <w:numId w:val="4"/>
        </w:numPr>
        <w:ind w:left="567" w:hanging="567"/>
        <w:rPr>
          <w:rFonts w:cs="Arial"/>
          <w:b/>
        </w:rPr>
      </w:pPr>
      <w:r>
        <w:rPr>
          <w:rFonts w:cs="Arial"/>
          <w:b/>
        </w:rPr>
        <w:t>Zhotovitel:</w:t>
      </w:r>
    </w:p>
    <w:p w14:paraId="0DA7EC55" w14:textId="77777777" w:rsidR="006D6C37" w:rsidRDefault="00887DC5">
      <w:pPr>
        <w:pStyle w:val="Odstavecseseznamem"/>
        <w:ind w:left="567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8724" w:type="dxa"/>
        <w:tblInd w:w="-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456"/>
      </w:tblGrid>
      <w:tr w:rsidR="006D6C37" w14:paraId="4A7E231D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411B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Název: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ACE9" w14:textId="77777777" w:rsidR="006D6C37" w:rsidRDefault="00887DC5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9D106D5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D96A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 xml:space="preserve">Adresa </w:t>
            </w:r>
            <w:r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AC19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2141E17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0BB8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E72B9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D9CB641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2DFF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8115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7B5B8288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8BB38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4ADB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3A4A2110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867C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E5E3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109A0174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41D2" w14:textId="77777777" w:rsidR="006D6C37" w:rsidRDefault="00887DC5">
            <w:pPr>
              <w:rPr>
                <w:rFonts w:ascii="Tahoma" w:hAnsi="Tahoma" w:cs="Tahoma"/>
                <w:bCs/>
                <w:lang w:eastAsia="ar-SA"/>
              </w:rPr>
            </w:pPr>
            <w:r>
              <w:rPr>
                <w:rFonts w:ascii="Tahoma" w:hAnsi="Tahoma" w:cs="Tahoma"/>
              </w:rPr>
              <w:t>Kontaktní osoba</w:t>
            </w:r>
            <w:r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FB6A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5C57C827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680D9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107F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6039C180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6F37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4BCD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  <w:tr w:rsidR="006D6C37" w14:paraId="6FDEB760" w14:textId="7777777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3706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" w:hAnsi="Segoe UI" w:cs="Segoe UI"/>
                <w:bCs/>
              </w:rPr>
              <w:t>Bankovní spojení: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ADC1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highlight w:val="yellow"/>
              </w:rPr>
              <w:t>…………</w:t>
            </w:r>
          </w:p>
        </w:tc>
      </w:tr>
    </w:tbl>
    <w:p w14:paraId="4E2DDE27" w14:textId="77777777" w:rsidR="006D6C37" w:rsidRDefault="006D6C37">
      <w:pPr>
        <w:rPr>
          <w:rFonts w:cs="Arial"/>
          <w:b/>
        </w:rPr>
      </w:pPr>
    </w:p>
    <w:p w14:paraId="50B056CF" w14:textId="77777777" w:rsidR="006D6C37" w:rsidRDefault="00887DC5">
      <w:pPr>
        <w:rPr>
          <w:rFonts w:cs="Arial"/>
          <w:b/>
        </w:rPr>
      </w:pPr>
      <w:r>
        <w:rPr>
          <w:rFonts w:cs="Arial"/>
          <w:b/>
        </w:rPr>
        <w:t>dále jen zhotovitel</w:t>
      </w:r>
    </w:p>
    <w:p w14:paraId="17FF1878" w14:textId="77777777" w:rsidR="006D6C37" w:rsidRDefault="006D6C37">
      <w:pPr>
        <w:jc w:val="center"/>
        <w:rPr>
          <w:rFonts w:cs="Arial"/>
        </w:rPr>
      </w:pPr>
    </w:p>
    <w:p w14:paraId="305A8232" w14:textId="77777777" w:rsidR="006D6C37" w:rsidRDefault="00887DC5">
      <w:pPr>
        <w:jc w:val="center"/>
        <w:rPr>
          <w:rFonts w:cs="Arial"/>
        </w:rPr>
      </w:pPr>
      <w:r>
        <w:rPr>
          <w:rFonts w:cs="Arial"/>
        </w:rPr>
        <w:t>a</w:t>
      </w:r>
    </w:p>
    <w:p w14:paraId="1B418066" w14:textId="77777777" w:rsidR="006D6C37" w:rsidRDefault="006D6C37">
      <w:pPr>
        <w:jc w:val="center"/>
        <w:rPr>
          <w:rFonts w:cs="Arial"/>
        </w:rPr>
      </w:pPr>
    </w:p>
    <w:p w14:paraId="3AE7806D" w14:textId="77777777" w:rsidR="006D6C37" w:rsidRDefault="00887DC5">
      <w:pPr>
        <w:pStyle w:val="Odstavecseseznamem"/>
        <w:numPr>
          <w:ilvl w:val="1"/>
          <w:numId w:val="4"/>
        </w:numPr>
        <w:ind w:left="567" w:hanging="567"/>
        <w:rPr>
          <w:rFonts w:cs="Arial"/>
          <w:b/>
        </w:rPr>
      </w:pPr>
      <w:r>
        <w:rPr>
          <w:rFonts w:cs="Arial"/>
          <w:b/>
        </w:rPr>
        <w:t>Objednatel:</w:t>
      </w:r>
    </w:p>
    <w:p w14:paraId="5E36B85A" w14:textId="77777777" w:rsidR="006D6C37" w:rsidRDefault="006D6C37">
      <w:pPr>
        <w:pStyle w:val="Odstavecseseznamem"/>
        <w:ind w:left="567"/>
        <w:rPr>
          <w:rFonts w:cs="Arial"/>
          <w:b/>
        </w:rPr>
      </w:pPr>
    </w:p>
    <w:tbl>
      <w:tblPr>
        <w:tblStyle w:val="Mkatabulky"/>
        <w:tblW w:w="15180" w:type="dxa"/>
        <w:tblInd w:w="-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6456"/>
        <w:gridCol w:w="6457"/>
      </w:tblGrid>
      <w:tr w:rsidR="006D6C37" w14:paraId="4653B60C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3DF7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534CE" w14:textId="77777777" w:rsidR="006D6C37" w:rsidRDefault="00887DC5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Zemědělské družstvo Maleč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70EB" w14:textId="77777777" w:rsidR="006D6C37" w:rsidRDefault="006D6C37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6D6C37" w14:paraId="33946BCE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B990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 xml:space="preserve">Adresa </w:t>
            </w:r>
            <w:r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7C90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č.p. 49, 58276 Maleč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8372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  <w:tr w:rsidR="006D6C37" w14:paraId="7AA825C9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88AF0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6FB01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15058751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4768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  <w:tr w:rsidR="006D6C37" w14:paraId="4BF84313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B63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F91B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CZ15058751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8056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  <w:tr w:rsidR="006D6C37" w14:paraId="3DF4ED5D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215F5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1A9E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Družstvo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6E53C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  <w:tr w:rsidR="006D6C37" w14:paraId="0D0A9655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D5F5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71BA7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Ing. VÍT ŠIMON, Ph.D.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B50E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  <w:tr w:rsidR="006D6C37" w14:paraId="06693F70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EFDA" w14:textId="77777777" w:rsidR="006D6C37" w:rsidRDefault="00887DC5">
            <w:pPr>
              <w:rPr>
                <w:rFonts w:ascii="Tahoma" w:hAnsi="Tahoma" w:cs="Tahoma"/>
                <w:bCs/>
                <w:lang w:eastAsia="ar-SA"/>
              </w:rPr>
            </w:pPr>
            <w:r>
              <w:rPr>
                <w:rFonts w:ascii="Tahoma" w:hAnsi="Tahoma" w:cs="Tahoma"/>
              </w:rPr>
              <w:t>Kontaktní osoba objednatele</w:t>
            </w:r>
            <w:r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6825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Ing. VÍT ŠIMON, Ph.D.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B2723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  <w:tr w:rsidR="006D6C37" w14:paraId="52A45255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5760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AD62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724 528 871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74238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  <w:tr w:rsidR="006D6C37" w14:paraId="39A6B1D9" w14:textId="77777777">
        <w:trPr>
          <w:trHeight w:val="34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679E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EB89F" w14:textId="77777777" w:rsidR="006D6C37" w:rsidRDefault="00887D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vit.simon@zdmalec.cz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6349" w14:textId="77777777" w:rsidR="006D6C37" w:rsidRDefault="006D6C37">
            <w:pPr>
              <w:rPr>
                <w:rFonts w:ascii="Tahoma" w:hAnsi="Tahoma" w:cs="Tahoma"/>
                <w:color w:val="000000"/>
              </w:rPr>
            </w:pPr>
          </w:p>
        </w:tc>
      </w:tr>
    </w:tbl>
    <w:p w14:paraId="4B01B2DD" w14:textId="77777777" w:rsidR="006D6C37" w:rsidRDefault="006D6C37">
      <w:pPr>
        <w:rPr>
          <w:rFonts w:cs="Arial"/>
          <w:b/>
        </w:rPr>
      </w:pPr>
    </w:p>
    <w:p w14:paraId="1B37AABE" w14:textId="77777777" w:rsidR="006D6C37" w:rsidRDefault="006D6C37">
      <w:pPr>
        <w:rPr>
          <w:rFonts w:cs="Arial"/>
          <w:b/>
        </w:rPr>
      </w:pPr>
    </w:p>
    <w:p w14:paraId="419E086D" w14:textId="77777777" w:rsidR="006D6C37" w:rsidRDefault="00887DC5">
      <w:pPr>
        <w:rPr>
          <w:rFonts w:cs="Arial"/>
          <w:b/>
        </w:rPr>
      </w:pPr>
      <w:r>
        <w:rPr>
          <w:rFonts w:cs="Arial"/>
          <w:b/>
        </w:rPr>
        <w:t>dále jen objednatel</w:t>
      </w:r>
    </w:p>
    <w:p w14:paraId="66B6096C" w14:textId="77777777" w:rsidR="006D6C37" w:rsidRDefault="006D6C37">
      <w:pPr>
        <w:rPr>
          <w:rFonts w:cs="Arial"/>
        </w:rPr>
      </w:pPr>
    </w:p>
    <w:p w14:paraId="70946D8A" w14:textId="77777777" w:rsidR="006D6C37" w:rsidRDefault="006D6C37">
      <w:pPr>
        <w:rPr>
          <w:rFonts w:cs="Arial"/>
          <w:b/>
        </w:rPr>
      </w:pPr>
    </w:p>
    <w:p w14:paraId="093B4A43" w14:textId="77777777" w:rsidR="006D6C37" w:rsidRDefault="00887DC5">
      <w:pPr>
        <w:rPr>
          <w:rFonts w:cs="Arial"/>
        </w:rPr>
      </w:pPr>
      <w:r>
        <w:rPr>
          <w:rFonts w:cs="Arial"/>
        </w:rPr>
        <w:t>(společně dále též „smluvní strany“) uzavírají tuto smlouvu následujícího znění:</w:t>
      </w:r>
    </w:p>
    <w:p w14:paraId="429C9B05" w14:textId="77777777" w:rsidR="006D6C37" w:rsidRDefault="006D6C37">
      <w:pPr>
        <w:jc w:val="both"/>
        <w:rPr>
          <w:rFonts w:cs="Arial"/>
        </w:rPr>
      </w:pPr>
    </w:p>
    <w:p w14:paraId="0CF3EEE1" w14:textId="77777777" w:rsidR="006D6C37" w:rsidRDefault="006D6C37">
      <w:pPr>
        <w:pStyle w:val="Odstavecseseznamem"/>
        <w:rPr>
          <w:rFonts w:cs="Arial"/>
          <w:b/>
          <w:sz w:val="24"/>
          <w:szCs w:val="24"/>
        </w:rPr>
      </w:pPr>
    </w:p>
    <w:p w14:paraId="051FDBF9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Prohlášení</w:t>
      </w:r>
    </w:p>
    <w:p w14:paraId="324695B5" w14:textId="77777777" w:rsidR="006D6C37" w:rsidRDefault="006D6C37">
      <w:pPr>
        <w:jc w:val="center"/>
        <w:rPr>
          <w:rFonts w:cs="Arial"/>
          <w:b/>
        </w:rPr>
      </w:pPr>
    </w:p>
    <w:p w14:paraId="58EA07B6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Uvedení zástupci obou smluvních stran prohlašují, že podle stanov, společenské smlouvy, jiného organizačního předpisu nebo zmocnění jsou oprávněni tuto smlouvu podepsat a k platnosti smlouvy není třeba podpisu jiné osoby.</w:t>
      </w:r>
    </w:p>
    <w:p w14:paraId="2536AB7C" w14:textId="77777777" w:rsidR="006D6C37" w:rsidRDefault="006D6C37">
      <w:pPr>
        <w:ind w:left="567" w:hanging="567"/>
        <w:jc w:val="both"/>
        <w:rPr>
          <w:rFonts w:cs="Arial"/>
        </w:rPr>
      </w:pPr>
    </w:p>
    <w:p w14:paraId="3D5D69C5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Osoby zhotovitelem pověřené:</w:t>
      </w:r>
    </w:p>
    <w:p w14:paraId="43AF8D79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40D32BCE" w14:textId="77777777" w:rsidR="006D6C37" w:rsidRDefault="00887DC5">
      <w:pPr>
        <w:ind w:left="567"/>
        <w:jc w:val="both"/>
        <w:rPr>
          <w:rFonts w:cs="Arial"/>
          <w:b/>
          <w:color w:val="FF0000"/>
        </w:rPr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Arial"/>
        </w:rPr>
        <w:t>     </w:t>
      </w:r>
      <w:r>
        <w:fldChar w:fldCharType="end"/>
      </w:r>
    </w:p>
    <w:p w14:paraId="0044574E" w14:textId="77777777" w:rsidR="006D6C37" w:rsidRDefault="006D6C37">
      <w:pPr>
        <w:ind w:left="567" w:hanging="567"/>
        <w:jc w:val="both"/>
        <w:rPr>
          <w:rFonts w:cs="Arial"/>
        </w:rPr>
      </w:pPr>
    </w:p>
    <w:p w14:paraId="58D5FA2A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b) k jednáním o technických záležitostech:</w:t>
      </w:r>
    </w:p>
    <w:p w14:paraId="23EB0B42" w14:textId="77777777" w:rsidR="006D6C37" w:rsidRDefault="00887DC5">
      <w:pPr>
        <w:ind w:left="567"/>
        <w:jc w:val="both"/>
        <w:rPr>
          <w:rFonts w:cs="Arial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Arial"/>
        </w:rPr>
        <w:t>     </w:t>
      </w:r>
      <w:r>
        <w:fldChar w:fldCharType="end"/>
      </w:r>
    </w:p>
    <w:p w14:paraId="0B1B975B" w14:textId="77777777" w:rsidR="006D6C37" w:rsidRDefault="006D6C37">
      <w:pPr>
        <w:ind w:left="567" w:hanging="567"/>
        <w:jc w:val="both"/>
        <w:rPr>
          <w:rFonts w:cs="Arial"/>
        </w:rPr>
      </w:pPr>
    </w:p>
    <w:p w14:paraId="3C8A3043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</w:r>
    </w:p>
    <w:p w14:paraId="1C6A48A4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Osoby objednatelem pověřené:</w:t>
      </w:r>
    </w:p>
    <w:p w14:paraId="34718E4D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036CE7D5" w14:textId="77777777" w:rsidR="006D6C37" w:rsidRDefault="00887DC5">
      <w:pPr>
        <w:ind w:left="56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VÍT ŠIMON, Ph.D.</w:t>
      </w:r>
    </w:p>
    <w:p w14:paraId="04069147" w14:textId="77777777" w:rsidR="006D6C37" w:rsidRDefault="006D6C37">
      <w:pPr>
        <w:ind w:left="567"/>
        <w:jc w:val="both"/>
        <w:rPr>
          <w:rFonts w:cs="Arial"/>
        </w:rPr>
      </w:pPr>
    </w:p>
    <w:p w14:paraId="0AFFFB6E" w14:textId="77777777" w:rsidR="006D6C37" w:rsidRDefault="00887DC5">
      <w:pPr>
        <w:ind w:left="567" w:hanging="567"/>
        <w:jc w:val="both"/>
        <w:rPr>
          <w:rFonts w:cs="Arial"/>
        </w:rPr>
      </w:pPr>
      <w:r>
        <w:rPr>
          <w:rFonts w:cs="Arial"/>
        </w:rPr>
        <w:tab/>
        <w:t>b) jednáním o technických záležitostech:</w:t>
      </w:r>
    </w:p>
    <w:p w14:paraId="195D6C00" w14:textId="77777777" w:rsidR="006D6C37" w:rsidRDefault="00887DC5">
      <w:pPr>
        <w:ind w:left="56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VÍT ŠIMON, Ph.D.</w:t>
      </w:r>
    </w:p>
    <w:p w14:paraId="300508F4" w14:textId="77777777" w:rsidR="006D6C37" w:rsidRDefault="006D6C37">
      <w:pPr>
        <w:ind w:left="567"/>
        <w:jc w:val="both"/>
        <w:rPr>
          <w:rFonts w:ascii="Times New Roman" w:hAnsi="Times New Roman"/>
        </w:rPr>
      </w:pPr>
    </w:p>
    <w:p w14:paraId="4C354105" w14:textId="77777777" w:rsidR="006D6C37" w:rsidRDefault="00887DC5">
      <w:pPr>
        <w:ind w:left="567"/>
        <w:jc w:val="both"/>
        <w:rPr>
          <w:rFonts w:cs="Arial"/>
        </w:rPr>
      </w:pPr>
      <w:r>
        <w:rPr>
          <w:rFonts w:cs="Arial"/>
        </w:rPr>
        <w:t xml:space="preserve">c) jednáním a úkony v rámci uzavřené smlouvy při realizaci stavby, vč. provádění zápisů do </w:t>
      </w:r>
    </w:p>
    <w:p w14:paraId="320C487D" w14:textId="77777777" w:rsidR="006D6C37" w:rsidRDefault="00887DC5">
      <w:pPr>
        <w:ind w:left="567"/>
        <w:rPr>
          <w:rFonts w:cs="Arial"/>
        </w:rPr>
      </w:pPr>
      <w:r>
        <w:rPr>
          <w:rFonts w:cs="Arial"/>
        </w:rPr>
        <w:t>stavebního deníku (technický dozor), kontroly soupisu provedených prací, podpisu zjišťovacích protokolů, kontroly a přejímky provedených prací:</w:t>
      </w:r>
    </w:p>
    <w:p w14:paraId="1C45BDED" w14:textId="77777777" w:rsidR="006D6C37" w:rsidRDefault="00887DC5">
      <w:pPr>
        <w:ind w:left="56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VÍT ŠIMON, Ph.D.</w:t>
      </w:r>
    </w:p>
    <w:p w14:paraId="3A93F0C2" w14:textId="77777777" w:rsidR="006D6C37" w:rsidRDefault="006D6C37">
      <w:pPr>
        <w:ind w:left="567"/>
        <w:jc w:val="both"/>
        <w:rPr>
          <w:rFonts w:cs="Arial"/>
        </w:rPr>
      </w:pPr>
    </w:p>
    <w:p w14:paraId="58881D23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>Změny shora uvedených pověřených osob nebo rozsah jejich oprávnění postačí oznámit druhé smluvní straně doporučeným dopisem, nebo zápisem ve stavebním/montážním deníku – v obou případech podepsáno osobou uvedenou v bodě 2.2. a 2.3. pod písm. a).</w:t>
      </w:r>
    </w:p>
    <w:p w14:paraId="78D2BFAC" w14:textId="77777777" w:rsidR="006D6C37" w:rsidRDefault="006D6C37">
      <w:pPr>
        <w:ind w:left="567" w:hanging="567"/>
        <w:rPr>
          <w:rFonts w:cs="Arial"/>
          <w:b/>
          <w:sz w:val="24"/>
          <w:szCs w:val="24"/>
        </w:rPr>
      </w:pPr>
    </w:p>
    <w:p w14:paraId="48102245" w14:textId="77777777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výslovně prohlašují, že jim není známo, že by na majetek kterékoli z nich byl v souladu s příslušnými ustanoveními insolvenčního zákona podán ke dni uzavření této smlouvy insolvenční návrh, že takový návrh samy nepodaly, že </w:t>
      </w:r>
      <w:proofErr w:type="gramStart"/>
      <w:r>
        <w:rPr>
          <w:rFonts w:cs="Arial"/>
        </w:rPr>
        <w:t>nejsou</w:t>
      </w:r>
      <w:proofErr w:type="gramEnd"/>
      <w:r>
        <w:rPr>
          <w:rFonts w:cs="Arial"/>
        </w:rPr>
        <w:t xml:space="preserve"> jakkoliv omezeny ve způsobilosti právně jednat, a že nejsou v úpadku, případně, že by proti kterékoli z nich byl veden výkon rozhodnutí nebo nařízena exekuce.</w:t>
      </w:r>
    </w:p>
    <w:p w14:paraId="2DFF836A" w14:textId="77777777" w:rsidR="006D6C37" w:rsidRDefault="006D6C37">
      <w:pPr>
        <w:ind w:left="567" w:hanging="567"/>
        <w:jc w:val="both"/>
        <w:rPr>
          <w:rFonts w:cs="Arial"/>
        </w:rPr>
      </w:pPr>
    </w:p>
    <w:p w14:paraId="3E6144E3" w14:textId="4D7B84AE" w:rsidR="006D6C37" w:rsidRDefault="00887DC5">
      <w:pPr>
        <w:pStyle w:val="Odstavecseseznamem"/>
        <w:numPr>
          <w:ilvl w:val="1"/>
          <w:numId w:val="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prohlašuje, že po celou dobu platnosti této smlouvy (po celou dobu realizace) bude pojištěn proti škodám způsobenou třetím osobám, způsobenými jeho činností včetně možných škod způsobených jeho pracovníky v minimální výši </w:t>
      </w:r>
      <w:r w:rsidR="0048211C">
        <w:rPr>
          <w:rFonts w:cs="Arial"/>
        </w:rPr>
        <w:t>5</w:t>
      </w:r>
      <w:r>
        <w:rPr>
          <w:rFonts w:cs="Arial"/>
        </w:rPr>
        <w:t> 000 000 Kč, přičemž nejvyšší přípustný podíl spoluúčasti zhotovitele činí 10 % z případné škodní události. Tuto pojistnou smlouvu je objednatel oprávněn kdykoliv v průběhu plnění předmětu díla ověřit z hlediska platnosti a účinnosti a zhotovitel se zavazuje poskytnout pojistnou smlouvu objednateli ke kontrole do 5 kalendářních dnů od doručení výzvy objednatele.</w:t>
      </w:r>
    </w:p>
    <w:p w14:paraId="349C87F7" w14:textId="77777777" w:rsidR="006D6C37" w:rsidRDefault="006D6C37">
      <w:pPr>
        <w:pStyle w:val="Odstavecseseznamem"/>
        <w:ind w:left="567"/>
        <w:jc w:val="both"/>
        <w:rPr>
          <w:rFonts w:cs="Arial"/>
        </w:rPr>
      </w:pPr>
    </w:p>
    <w:p w14:paraId="7418DDDA" w14:textId="77777777" w:rsidR="006D6C37" w:rsidRDefault="006D6C37">
      <w:pPr>
        <w:pStyle w:val="Odstavecseseznamem"/>
        <w:ind w:left="567"/>
        <w:jc w:val="both"/>
        <w:rPr>
          <w:rFonts w:cs="Arial"/>
        </w:rPr>
      </w:pPr>
    </w:p>
    <w:p w14:paraId="7903ED34" w14:textId="77777777" w:rsidR="006D6C37" w:rsidRDefault="006D6C37">
      <w:pPr>
        <w:pStyle w:val="Odstavecseseznamem"/>
        <w:ind w:left="567"/>
        <w:jc w:val="both"/>
      </w:pPr>
    </w:p>
    <w:p w14:paraId="26AFCB38" w14:textId="77777777" w:rsidR="006D6C37" w:rsidRDefault="006D6C37">
      <w:pPr>
        <w:jc w:val="both"/>
        <w:rPr>
          <w:rFonts w:cs="Arial"/>
        </w:rPr>
      </w:pPr>
    </w:p>
    <w:p w14:paraId="4113E967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Předmět smlouvy</w:t>
      </w:r>
    </w:p>
    <w:p w14:paraId="33EDE7E4" w14:textId="77777777" w:rsidR="006D6C37" w:rsidRDefault="006D6C37">
      <w:pPr>
        <w:rPr>
          <w:rFonts w:cs="Arial"/>
          <w:b/>
        </w:rPr>
      </w:pPr>
    </w:p>
    <w:p w14:paraId="48E5D6A4" w14:textId="77777777" w:rsidR="006D6C37" w:rsidRDefault="00887DC5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Podpisem této smlouvy se zhotovitel zavazuje v dohodnutém termínu provést pro objednatele dílo a objednatel se zavazuje dílo převzít a zaplatit za jeho provedení sjednanou cenu.   </w:t>
      </w:r>
    </w:p>
    <w:p w14:paraId="34682FFD" w14:textId="77777777" w:rsidR="006D6C37" w:rsidRDefault="006D6C37">
      <w:pPr>
        <w:ind w:left="567" w:hanging="567"/>
        <w:rPr>
          <w:rFonts w:cs="Arial"/>
          <w:color w:val="FF0000"/>
        </w:rPr>
      </w:pPr>
    </w:p>
    <w:p w14:paraId="1C05D1A8" w14:textId="15639D48" w:rsidR="006D6C37" w:rsidRDefault="00887DC5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Dílem se pro účely této smlouvy rozumí </w:t>
      </w:r>
      <w:r w:rsidR="00E24F2B">
        <w:rPr>
          <w:rFonts w:cs="Arial"/>
        </w:rPr>
        <w:t>dodávka</w:t>
      </w:r>
      <w:r w:rsidR="00E24F2B" w:rsidRPr="00E24F2B">
        <w:t xml:space="preserve"> </w:t>
      </w:r>
      <w:r w:rsidR="00E24F2B" w:rsidRPr="00E24F2B">
        <w:rPr>
          <w:rFonts w:cs="Arial"/>
        </w:rPr>
        <w:t xml:space="preserve">technologie dojení spolu s nezbytnými stavebními </w:t>
      </w:r>
      <w:proofErr w:type="spellStart"/>
      <w:r w:rsidR="00E24F2B" w:rsidRPr="00E24F2B">
        <w:rPr>
          <w:rFonts w:cs="Arial"/>
        </w:rPr>
        <w:t>přípomocemi</w:t>
      </w:r>
      <w:proofErr w:type="spellEnd"/>
      <w:r w:rsidR="00E24F2B" w:rsidRPr="00E24F2B">
        <w:rPr>
          <w:rFonts w:cs="Arial"/>
        </w:rPr>
        <w:t xml:space="preserve"> bez zásahu do nosných konstrukcí objektu</w:t>
      </w:r>
      <w:r w:rsidR="00E24F2B">
        <w:rPr>
          <w:rFonts w:cs="Arial"/>
        </w:rPr>
        <w:t>, a to v rozsahu výkresové d</w:t>
      </w:r>
      <w:r>
        <w:rPr>
          <w:rFonts w:cs="Arial"/>
        </w:rPr>
        <w:t xml:space="preserve">okumentace a položkového rozpočtu (dále v textu jen „dílo“). Nedílnou součástí díla je veškerá potřebná dokumentace (například návody k obsluze a údržbě, licence a instalace SW, např.  systému dojících automatů, atesty, revizní zprávy </w:t>
      </w:r>
      <w:proofErr w:type="spellStart"/>
      <w:r>
        <w:rPr>
          <w:rFonts w:cs="Arial"/>
        </w:rPr>
        <w:t>ap</w:t>
      </w:r>
      <w:proofErr w:type="spellEnd"/>
      <w:r>
        <w:rPr>
          <w:rFonts w:cs="Arial"/>
        </w:rPr>
        <w:t xml:space="preserve">) Položkový rozpočet včetně specifikace díla je uveden v příloze této smlouvy. </w:t>
      </w:r>
    </w:p>
    <w:p w14:paraId="2648DE38" w14:textId="77777777" w:rsidR="006D6C37" w:rsidRDefault="006D6C37">
      <w:pPr>
        <w:ind w:left="567" w:hanging="567"/>
        <w:jc w:val="both"/>
        <w:rPr>
          <w:rFonts w:cs="Arial"/>
        </w:rPr>
      </w:pPr>
    </w:p>
    <w:p w14:paraId="5481C90F" w14:textId="77777777" w:rsidR="006D6C37" w:rsidRDefault="00887DC5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>
        <w:rPr>
          <w:rFonts w:cs="Arial"/>
        </w:rPr>
        <w:lastRenderedPageBreak/>
        <w:t>Při realizaci díla je zhotovitel povinen řídit se odsouhlasenými technickými podklady a pokyny objednatele.</w:t>
      </w:r>
    </w:p>
    <w:p w14:paraId="120B1F91" w14:textId="77777777" w:rsidR="006D6C37" w:rsidRDefault="006D6C37">
      <w:pPr>
        <w:ind w:left="567" w:hanging="567"/>
        <w:rPr>
          <w:rFonts w:cs="Arial"/>
        </w:rPr>
      </w:pPr>
    </w:p>
    <w:p w14:paraId="4FC6AC5B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je povinen použít pro zhotovení díla jen schválené výrobky a výrobní postupy nejlépe vyhovující stanoveným a smluveným požadavkům pro provedení díla. Zhotovitel odpovídá za to, že dílo bude provedeno v souladu s technickými normami a předpisy, určenými v technických specifikacích, technických a uživatelských standardech a v technologických postupech a doporučeních předepsaných výrobci použitých výrobků a materiálů.</w:t>
      </w:r>
    </w:p>
    <w:p w14:paraId="13CEFF1F" w14:textId="77777777" w:rsidR="006D6C37" w:rsidRDefault="006D6C37">
      <w:pPr>
        <w:pStyle w:val="Odstavecseseznamem"/>
        <w:rPr>
          <w:rFonts w:cs="Arial"/>
        </w:rPr>
      </w:pPr>
    </w:p>
    <w:p w14:paraId="071DF67F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Dílo se bude považovat za provedené podpisem protokolu o předání a převzetí dle článku VIII. této smlouvy.</w:t>
      </w:r>
    </w:p>
    <w:p w14:paraId="23861C63" w14:textId="77777777" w:rsidR="006D6C37" w:rsidRDefault="006D6C37">
      <w:pPr>
        <w:pStyle w:val="Odstavecseseznamem"/>
        <w:rPr>
          <w:rFonts w:cs="Arial"/>
        </w:rPr>
      </w:pPr>
    </w:p>
    <w:p w14:paraId="6AFBC8EB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provede v rámci provádění díla též veškeré potřebné vedlejší, pomocné a dodatečné činnosti, které sice nejsou v podkladech smlouvy výslovně uvedeny, které jsou však potřebné pro úplné věcné a odborné provedení díla. Zejména se jedná o zachování provozu stávající dojírny po dobu výstavby nové dojírny (přepojení elektřiny, vody a odpadních vod z provozu stávající dojírny).</w:t>
      </w:r>
    </w:p>
    <w:p w14:paraId="5857E019" w14:textId="77777777" w:rsidR="006D6C37" w:rsidRDefault="006D6C37">
      <w:pPr>
        <w:pStyle w:val="Odstavecseseznamem"/>
        <w:rPr>
          <w:rFonts w:cs="Arial"/>
        </w:rPr>
      </w:pPr>
    </w:p>
    <w:p w14:paraId="3E3CFB52" w14:textId="77777777" w:rsidR="006D6C37" w:rsidRDefault="00887DC5">
      <w:pPr>
        <w:pStyle w:val="Odstavecseseznamem"/>
        <w:numPr>
          <w:ilvl w:val="1"/>
          <w:numId w:val="6"/>
        </w:numPr>
        <w:tabs>
          <w:tab w:val="left" w:pos="1620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prohlašuje, že činnosti, které jsou předmětem jeho plnění podle této smlouvy, spadají do předmětu jeho podnikání a má veškerá potřebná oprávnění k jejich provádění. Pro tyto činnosti je plně kvalifikován, bude je vykonávat samostatně, pod vlastním jménem, na vlastní odpovědnost.</w:t>
      </w:r>
    </w:p>
    <w:p w14:paraId="44824345" w14:textId="77777777" w:rsidR="006D6C37" w:rsidRDefault="00887DC5">
      <w:pPr>
        <w:tabs>
          <w:tab w:val="left" w:pos="1620"/>
        </w:tabs>
        <w:jc w:val="both"/>
        <w:rPr>
          <w:rFonts w:cs="Arial"/>
        </w:rPr>
      </w:pPr>
      <w:r>
        <w:rPr>
          <w:rFonts w:cs="Arial"/>
        </w:rPr>
        <w:tab/>
      </w:r>
    </w:p>
    <w:p w14:paraId="545B76AC" w14:textId="77777777" w:rsidR="006D6C37" w:rsidRDefault="006D6C37">
      <w:pPr>
        <w:rPr>
          <w:rFonts w:cs="Arial"/>
        </w:rPr>
      </w:pPr>
    </w:p>
    <w:p w14:paraId="53E47EB2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Doba a místo plnění</w:t>
      </w:r>
    </w:p>
    <w:p w14:paraId="7FDD672D" w14:textId="77777777" w:rsidR="006D6C37" w:rsidRDefault="006D6C37">
      <w:pPr>
        <w:ind w:firstLine="708"/>
        <w:rPr>
          <w:rFonts w:cs="Arial"/>
          <w:b/>
        </w:rPr>
      </w:pPr>
    </w:p>
    <w:p w14:paraId="6BCC147E" w14:textId="093BD2F0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>Termín předání a převzetí staveniště:</w:t>
      </w:r>
      <w:r>
        <w:t xml:space="preserve"> </w:t>
      </w:r>
      <w:r>
        <w:rPr>
          <w:rFonts w:cs="Arial"/>
        </w:rPr>
        <w:t>do 3 měsíců od výzvy objednatele (nejzazší termín zaslání výzvy se předpokládá do 3</w:t>
      </w:r>
      <w:r w:rsidR="000419B7">
        <w:rPr>
          <w:rFonts w:cs="Arial"/>
        </w:rPr>
        <w:t>0</w:t>
      </w:r>
      <w:r>
        <w:rPr>
          <w:rFonts w:cs="Arial"/>
        </w:rPr>
        <w:t>.</w:t>
      </w:r>
      <w:r w:rsidR="000419B7">
        <w:rPr>
          <w:rFonts w:cs="Arial"/>
        </w:rPr>
        <w:t>6.</w:t>
      </w:r>
      <w:r>
        <w:rPr>
          <w:rFonts w:cs="Arial"/>
        </w:rPr>
        <w:t>202</w:t>
      </w:r>
      <w:r w:rsidR="000419B7">
        <w:rPr>
          <w:rFonts w:cs="Arial"/>
        </w:rPr>
        <w:t>7</w:t>
      </w:r>
      <w:r>
        <w:rPr>
          <w:rFonts w:cs="Arial"/>
        </w:rPr>
        <w:t>)</w:t>
      </w:r>
    </w:p>
    <w:p w14:paraId="0F3B1C63" w14:textId="77777777" w:rsidR="006D6C37" w:rsidRDefault="006D6C37">
      <w:pPr>
        <w:ind w:left="567" w:hanging="567"/>
        <w:rPr>
          <w:rFonts w:cs="Arial"/>
        </w:rPr>
      </w:pPr>
    </w:p>
    <w:p w14:paraId="69BCCA1E" w14:textId="77777777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>Termín zahájení stavebních prací/prací na díle: bezprostředně po předávní a převzetí staveniště</w:t>
      </w:r>
    </w:p>
    <w:p w14:paraId="0AA2DE08" w14:textId="77777777" w:rsidR="006D6C37" w:rsidRDefault="006D6C37">
      <w:pPr>
        <w:ind w:left="567" w:hanging="567"/>
        <w:rPr>
          <w:rFonts w:cs="Arial"/>
          <w:b/>
        </w:rPr>
      </w:pPr>
    </w:p>
    <w:p w14:paraId="252C996C" w14:textId="5B72FED3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 xml:space="preserve">Termín provedení prací/díla: nejpozději do </w:t>
      </w:r>
      <w:r w:rsidR="0048211C">
        <w:rPr>
          <w:rFonts w:cs="Arial"/>
        </w:rPr>
        <w:t>6</w:t>
      </w:r>
      <w:r>
        <w:rPr>
          <w:rFonts w:cs="Arial"/>
        </w:rPr>
        <w:t xml:space="preserve"> měsíců od převzetí staveniště </w:t>
      </w:r>
    </w:p>
    <w:p w14:paraId="3B0686C5" w14:textId="77777777" w:rsidR="006D6C37" w:rsidRDefault="006D6C37">
      <w:pPr>
        <w:ind w:left="567" w:hanging="567"/>
        <w:rPr>
          <w:rFonts w:cs="Arial"/>
          <w:b/>
        </w:rPr>
      </w:pPr>
    </w:p>
    <w:p w14:paraId="046D18CC" w14:textId="77777777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>Termín počátku běhu záruční lhůty: bezprostředně po předání díla a odstranění vad a nedodělků</w:t>
      </w:r>
    </w:p>
    <w:p w14:paraId="685D0CCB" w14:textId="77777777" w:rsidR="006D6C37" w:rsidRDefault="006D6C37">
      <w:pPr>
        <w:ind w:left="567" w:hanging="567"/>
        <w:rPr>
          <w:rFonts w:cs="Arial"/>
        </w:rPr>
      </w:pPr>
    </w:p>
    <w:p w14:paraId="54C0BAE9" w14:textId="77777777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 xml:space="preserve">Místo plnění: areál farmy objednatele v </w:t>
      </w:r>
      <w:proofErr w:type="spellStart"/>
      <w:r>
        <w:rPr>
          <w:rFonts w:cs="Arial"/>
        </w:rPr>
        <w:t>k.ú</w:t>
      </w:r>
      <w:proofErr w:type="spellEnd"/>
      <w:r>
        <w:rPr>
          <w:rFonts w:cs="Arial"/>
        </w:rPr>
        <w:t xml:space="preserve">. </w:t>
      </w:r>
      <w:r>
        <w:rPr>
          <w:rFonts w:ascii="Tahoma" w:hAnsi="Tahoma" w:cs="Tahoma"/>
        </w:rPr>
        <w:t>Horní Lhotka</w:t>
      </w:r>
    </w:p>
    <w:p w14:paraId="00CF5D75" w14:textId="77777777" w:rsidR="006D6C37" w:rsidRDefault="006D6C37">
      <w:pPr>
        <w:pStyle w:val="Odstavecseseznamem"/>
        <w:rPr>
          <w:rFonts w:cs="Arial"/>
        </w:rPr>
      </w:pPr>
    </w:p>
    <w:p w14:paraId="2E40F8B1" w14:textId="62B6C632" w:rsidR="006D6C37" w:rsidRDefault="00887DC5">
      <w:pPr>
        <w:pStyle w:val="Odstavecseseznamem"/>
        <w:numPr>
          <w:ilvl w:val="1"/>
          <w:numId w:val="7"/>
        </w:numPr>
        <w:ind w:left="567" w:hanging="567"/>
        <w:rPr>
          <w:rFonts w:cs="Arial"/>
        </w:rPr>
      </w:pPr>
      <w:r>
        <w:rPr>
          <w:rFonts w:cs="Arial"/>
        </w:rPr>
        <w:t xml:space="preserve">V případě, že výzva k zahájení plnění nebude zaslána do </w:t>
      </w:r>
      <w:r w:rsidR="000419B7">
        <w:rPr>
          <w:rFonts w:cs="Arial"/>
        </w:rPr>
        <w:t>30.6</w:t>
      </w:r>
      <w:r>
        <w:rPr>
          <w:rFonts w:cs="Arial"/>
        </w:rPr>
        <w:t>.202</w:t>
      </w:r>
      <w:r w:rsidR="000419B7">
        <w:rPr>
          <w:rFonts w:cs="Arial"/>
        </w:rPr>
        <w:t>7</w:t>
      </w:r>
      <w:r>
        <w:rPr>
          <w:rFonts w:cs="Arial"/>
        </w:rPr>
        <w:t xml:space="preserve">, je objednatel povinen bezodkladně informovat zhotovitele o novém termínu výzvy. </w:t>
      </w:r>
    </w:p>
    <w:p w14:paraId="0D917812" w14:textId="77777777" w:rsidR="006D6C37" w:rsidRDefault="006D6C37">
      <w:pPr>
        <w:rPr>
          <w:rFonts w:cs="Arial"/>
        </w:rPr>
      </w:pPr>
    </w:p>
    <w:p w14:paraId="20B7FA62" w14:textId="77777777" w:rsidR="006D6C37" w:rsidRDefault="006D6C37">
      <w:pPr>
        <w:jc w:val="center"/>
        <w:rPr>
          <w:rFonts w:cs="Arial"/>
          <w:b/>
          <w:sz w:val="24"/>
          <w:szCs w:val="24"/>
        </w:rPr>
      </w:pPr>
    </w:p>
    <w:p w14:paraId="4D0D4766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Cena díla</w:t>
      </w:r>
    </w:p>
    <w:p w14:paraId="1178E252" w14:textId="77777777" w:rsidR="006D6C37" w:rsidRDefault="006D6C37">
      <w:pPr>
        <w:rPr>
          <w:rFonts w:cs="Arial"/>
        </w:rPr>
      </w:pPr>
    </w:p>
    <w:p w14:paraId="658F1FE1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Cena za provedení díla dle této smlouvy činí  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highlight w:val="yellow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 xml:space="preserve">KČ, (dále jen „cena díla“) bez DPH. Ke sjednané ceně díla bude připočtena DPH v zákonné výši platné ke dni zdanitelného plnění. Cena díla je tvořena součtem položek položkového rozpočtu, který tvoří přílohu této smlouvy. </w:t>
      </w:r>
    </w:p>
    <w:p w14:paraId="3EC6EE81" w14:textId="77777777" w:rsidR="006D6C37" w:rsidRDefault="00887DC5">
      <w:pPr>
        <w:ind w:left="567" w:hanging="567"/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Mkatabulky"/>
        <w:tblW w:w="9373" w:type="dxa"/>
        <w:tblLayout w:type="fixed"/>
        <w:tblLook w:val="04A0" w:firstRow="1" w:lastRow="0" w:firstColumn="1" w:lastColumn="0" w:noHBand="0" w:noVBand="1"/>
      </w:tblPr>
      <w:tblGrid>
        <w:gridCol w:w="4674"/>
        <w:gridCol w:w="1700"/>
        <w:gridCol w:w="1418"/>
        <w:gridCol w:w="1581"/>
      </w:tblGrid>
      <w:tr w:rsidR="006D6C37" w14:paraId="7479D73E" w14:textId="77777777">
        <w:trPr>
          <w:trHeight w:val="315"/>
        </w:trPr>
        <w:tc>
          <w:tcPr>
            <w:tcW w:w="9372" w:type="dxa"/>
            <w:gridSpan w:val="4"/>
            <w:vAlign w:val="center"/>
          </w:tcPr>
          <w:p w14:paraId="70B896B0" w14:textId="77777777" w:rsidR="006D6C37" w:rsidRDefault="00887DC5">
            <w:p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Cena díla v CZK</w:t>
            </w:r>
          </w:p>
        </w:tc>
      </w:tr>
      <w:tr w:rsidR="006D6C37" w14:paraId="58AF64B2" w14:textId="77777777">
        <w:trPr>
          <w:trHeight w:val="510"/>
        </w:trPr>
        <w:tc>
          <w:tcPr>
            <w:tcW w:w="4673" w:type="dxa"/>
            <w:vAlign w:val="center"/>
          </w:tcPr>
          <w:p w14:paraId="014368BA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Předmět „Kompletní výstavba dojírny“</w:t>
            </w:r>
          </w:p>
        </w:tc>
        <w:tc>
          <w:tcPr>
            <w:tcW w:w="1700" w:type="dxa"/>
            <w:vAlign w:val="center"/>
          </w:tcPr>
          <w:p w14:paraId="12155D26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 bez DPH</w:t>
            </w:r>
          </w:p>
        </w:tc>
        <w:tc>
          <w:tcPr>
            <w:tcW w:w="1418" w:type="dxa"/>
            <w:vAlign w:val="center"/>
          </w:tcPr>
          <w:p w14:paraId="58A32969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Částka DPH</w:t>
            </w:r>
          </w:p>
        </w:tc>
        <w:tc>
          <w:tcPr>
            <w:tcW w:w="1581" w:type="dxa"/>
            <w:vAlign w:val="center"/>
          </w:tcPr>
          <w:p w14:paraId="067885BD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 s DPH</w:t>
            </w:r>
          </w:p>
        </w:tc>
      </w:tr>
      <w:tr w:rsidR="006D6C37" w14:paraId="08C4A27A" w14:textId="77777777">
        <w:trPr>
          <w:trHeight w:val="345"/>
        </w:trPr>
        <w:tc>
          <w:tcPr>
            <w:tcW w:w="4673" w:type="dxa"/>
            <w:vAlign w:val="center"/>
          </w:tcPr>
          <w:p w14:paraId="5BB6F3FA" w14:textId="77777777" w:rsidR="006D6C37" w:rsidRDefault="00887DC5">
            <w:pPr>
              <w:ind w:left="567" w:hanging="56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0" w:type="dxa"/>
            <w:vAlign w:val="center"/>
          </w:tcPr>
          <w:p w14:paraId="14BAAC91" w14:textId="77777777" w:rsidR="006D6C37" w:rsidRDefault="00887DC5">
            <w:pPr>
              <w:ind w:left="567" w:hanging="567"/>
              <w:rPr>
                <w:rFonts w:cs="Arial"/>
                <w:highlight w:val="yellow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587AFBFC" w14:textId="77777777" w:rsidR="006D6C37" w:rsidRDefault="00887DC5">
            <w:pPr>
              <w:ind w:left="567" w:hanging="567"/>
              <w:rPr>
                <w:rFonts w:cs="Arial"/>
                <w:highlight w:val="yellow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581" w:type="dxa"/>
            <w:vAlign w:val="center"/>
          </w:tcPr>
          <w:p w14:paraId="0121CD10" w14:textId="77777777" w:rsidR="006D6C37" w:rsidRDefault="00887DC5">
            <w:pPr>
              <w:ind w:left="567" w:hanging="567"/>
              <w:rPr>
                <w:rFonts w:cs="Arial"/>
                <w:b/>
                <w:bCs/>
                <w:highlight w:val="yellow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/>
                <w:bCs/>
                <w:highlight w:val="yellow"/>
              </w:rPr>
              <w:t>     </w:t>
            </w:r>
            <w:r>
              <w:fldChar w:fldCharType="end"/>
            </w:r>
          </w:p>
        </w:tc>
      </w:tr>
    </w:tbl>
    <w:p w14:paraId="7A99D69E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Cena díla zahrnuje veškeré náklady nezbytné k řádnému, úplnému a kvalitnímu plnění předmětu smlouvy včetně všech rizik a vlivu souvisejících s plněním předmětu smlouvy, vedlejší náklady související s umístěním stavby, zařízením staveniště a také ostatní náklady související s plněním podmínek této smlouvy a zadávací dokumentace. Cena rovněž zahrnuje pojištění, garance, daně, cla, poplatky, inflační vlivy a jakékoli další výdaje nutné pro realizaci zakázky. </w:t>
      </w:r>
    </w:p>
    <w:p w14:paraId="7ACB6EDB" w14:textId="77777777" w:rsidR="006D6C37" w:rsidRDefault="006D6C37">
      <w:pPr>
        <w:ind w:left="567" w:hanging="567"/>
        <w:rPr>
          <w:rFonts w:cs="Arial"/>
        </w:rPr>
      </w:pPr>
    </w:p>
    <w:p w14:paraId="6968CF1A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rPr>
          <w:rFonts w:cs="Arial"/>
        </w:rPr>
      </w:pPr>
      <w:r>
        <w:rPr>
          <w:rFonts w:cs="Arial"/>
        </w:rPr>
        <w:t>Cena díla se sjednává jako cena maximální. Cenu díla lze měnit pouze na základě písemné dohody stran ve formě dodatku k této smlouvě a v následujících případech, pokud je to v souladu se zákonem č. 134/2016 Sb., o zadávání veřejných zakázek:</w:t>
      </w:r>
    </w:p>
    <w:p w14:paraId="74DE08E9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t>objednatel požaduje práce, které nejsou zahrnuty v předmětu díla,</w:t>
      </w:r>
    </w:p>
    <w:p w14:paraId="0508C524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lastRenderedPageBreak/>
        <w:t>objednatel požaduje vypustit některé práce předmětu díla,</w:t>
      </w:r>
    </w:p>
    <w:p w14:paraId="3C7F982C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t xml:space="preserve">při realizaci díla se zjistí skutečnosti, které nemohly </w:t>
      </w:r>
      <w:proofErr w:type="gramStart"/>
      <w:r>
        <w:rPr>
          <w:rFonts w:cs="Arial"/>
        </w:rPr>
        <w:t>být  v</w:t>
      </w:r>
      <w:proofErr w:type="gramEnd"/>
      <w:r>
        <w:rPr>
          <w:rFonts w:cs="Arial"/>
        </w:rPr>
        <w:t> době podpisu této smlouvy známy a zhotovitel je nezavinil, ani je nemohl předvídat a mají vliv na cenu díla,</w:t>
      </w:r>
    </w:p>
    <w:p w14:paraId="05FD9C44" w14:textId="77777777" w:rsidR="006D6C37" w:rsidRDefault="00887DC5">
      <w:pPr>
        <w:pStyle w:val="Odstavecseseznamem"/>
        <w:numPr>
          <w:ilvl w:val="0"/>
          <w:numId w:val="9"/>
        </w:numPr>
        <w:ind w:left="1418" w:hanging="567"/>
        <w:jc w:val="both"/>
        <w:rPr>
          <w:rFonts w:cs="Arial"/>
        </w:rPr>
      </w:pPr>
      <w:r>
        <w:rPr>
          <w:rFonts w:cs="Arial"/>
        </w:rPr>
        <w:t>při realizaci díla se zjistí skutečnosti odlišné od dokumentace předané objednatelem (např. neodpovídající geologické údaje).  Zhotovitel prohlašuje, že dokumentaci prostudoval a k dnešnímu dni mu žádné takové skutečnosti nejsou známy.</w:t>
      </w:r>
    </w:p>
    <w:p w14:paraId="6D608CBB" w14:textId="77777777" w:rsidR="006D6C37" w:rsidRDefault="006D6C37">
      <w:pPr>
        <w:ind w:left="567" w:hanging="567"/>
        <w:jc w:val="both"/>
        <w:rPr>
          <w:rFonts w:cs="Arial"/>
        </w:rPr>
      </w:pPr>
    </w:p>
    <w:p w14:paraId="2C03CC55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</w:pPr>
      <w:r>
        <w:t xml:space="preserve">Dojde-li při realizaci díla ke změnám na základě požadavku objednatele, předá objednatel zhotoviteli soupis těchto požadovaných změn, které zhotovitel ocení. Dojde-li při realizaci díla ke změnám z podnětu zhotovitele z důvodů uvedených v bodě 5.4. písm. c) a d), je zhotovitel povinen provést soupis těchto navrhovaných změn vč. ceny a předložit soupis objednateli k odsouhlasení. Jakékoli změny díla požadované objednatelem či navrhované zhotovitelem, budou realizovány až po uzavření písemného dodatku k této smlouvě, který bude obsahovat soupis změn a jejich ocenění, popřípadě změnu termínu provedení díla. U prací, které jsou obsaženy v položkovém rozpočtu (příloha č. 1), bude změna ceny stanovena na základě jednotkové ceny dané práce v položkovém rozpočtu. V případě změn u prací, které nejsou v položkovém rozpočtu uvedeny, bude cena určena dle cenové soustavy </w:t>
      </w:r>
      <w:r>
        <w:rPr>
          <w:b/>
          <w:bCs/>
        </w:rPr>
        <w:t xml:space="preserve">ÚRS PRAHA a.s., RTS, a.s. nebo </w:t>
      </w:r>
      <w:proofErr w:type="spellStart"/>
      <w:r>
        <w:rPr>
          <w:b/>
          <w:bCs/>
        </w:rPr>
        <w:t>Callida</w:t>
      </w:r>
      <w:proofErr w:type="spellEnd"/>
      <w:r>
        <w:rPr>
          <w:b/>
          <w:bCs/>
        </w:rPr>
        <w:t>, s.r.o. nebo dle znaleckého posudku.</w:t>
      </w:r>
    </w:p>
    <w:p w14:paraId="28C2B006" w14:textId="77777777" w:rsidR="006D6C37" w:rsidRDefault="006D6C37">
      <w:pPr>
        <w:pStyle w:val="Zkladntext"/>
        <w:ind w:left="567" w:hanging="567"/>
        <w:rPr>
          <w:rFonts w:ascii="Arial" w:hAnsi="Arial" w:cs="Arial"/>
          <w:sz w:val="20"/>
          <w:lang w:val="cs-CZ"/>
        </w:rPr>
      </w:pPr>
    </w:p>
    <w:p w14:paraId="4FE7932C" w14:textId="77777777" w:rsidR="006D6C37" w:rsidRDefault="00887DC5">
      <w:pPr>
        <w:pStyle w:val="Zkladntext"/>
        <w:numPr>
          <w:ilvl w:val="1"/>
          <w:numId w:val="8"/>
        </w:numPr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Dohodnou-li se smluvní strany na změně díla či materiálu k jeho zhotovení, je objednatel povinen uhradit zhotoviteli veškeré prokázané náklady, které již zhotovitel na provedení díla v původní podobě vynaložil a odkoupit od zhotovitele původní materiál (byl-li zhotovitelem již zakoupen). </w:t>
      </w:r>
    </w:p>
    <w:p w14:paraId="0205D348" w14:textId="77777777" w:rsidR="006D6C37" w:rsidRDefault="006D6C3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ind w:left="567" w:hanging="567"/>
        <w:jc w:val="both"/>
        <w:rPr>
          <w:rFonts w:cs="Arial"/>
        </w:rPr>
      </w:pPr>
    </w:p>
    <w:p w14:paraId="348731E5" w14:textId="77777777" w:rsidR="006D6C37" w:rsidRDefault="00887DC5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Za vícepráce se mimo jiné považují činnosti, které nebyly na základě objednatelem předem poskytnutých odborných podkladů a informací předvídatelné v okamžiku uzavírání této smlouvy (např. zapříčiněné stavem geologického podloží, nutné přeložky sítí atd.), dále též změny díla vyžádané ze strany orgánů státní správy. Zhotovitel je oprávněn požadovat nad rámec </w:t>
      </w:r>
      <w:proofErr w:type="spellStart"/>
      <w:r>
        <w:rPr>
          <w:rFonts w:cs="Arial"/>
        </w:rPr>
        <w:t>sjednan</w:t>
      </w:r>
      <w:proofErr w:type="spellEnd"/>
      <w:r>
        <w:rPr>
          <w:rFonts w:cs="Arial"/>
          <w:lang w:val="fr-FR"/>
        </w:rPr>
        <w:t xml:space="preserve">é </w:t>
      </w:r>
      <w:r>
        <w:rPr>
          <w:rFonts w:cs="Arial"/>
        </w:rPr>
        <w:t>ceny díla úhradu za ví</w:t>
      </w:r>
      <w:r>
        <w:rPr>
          <w:rFonts w:cs="Arial"/>
          <w:lang w:val="it-IT"/>
        </w:rPr>
        <w:t>cepr</w:t>
      </w:r>
      <w:proofErr w:type="spellStart"/>
      <w:r>
        <w:rPr>
          <w:rFonts w:cs="Arial"/>
        </w:rPr>
        <w:t>áce</w:t>
      </w:r>
      <w:proofErr w:type="spellEnd"/>
      <w:r>
        <w:rPr>
          <w:rFonts w:cs="Arial"/>
        </w:rPr>
        <w:t xml:space="preserve"> jen, pokud tyto ví</w:t>
      </w:r>
      <w:r>
        <w:rPr>
          <w:rFonts w:cs="Arial"/>
          <w:lang w:val="it-IT"/>
        </w:rPr>
        <w:t>cepr</w:t>
      </w:r>
      <w:proofErr w:type="spellStart"/>
      <w:r>
        <w:rPr>
          <w:rFonts w:cs="Arial"/>
        </w:rPr>
        <w:t>áce</w:t>
      </w:r>
      <w:proofErr w:type="spellEnd"/>
      <w:r>
        <w:rPr>
          <w:rFonts w:cs="Arial"/>
        </w:rPr>
        <w:t xml:space="preserve"> byly písemně odsouhlaseny objednatelem včetně jejich rozsahu a ceny, a to před jejich provedením, jinak se má za to, že ví</w:t>
      </w:r>
      <w:r>
        <w:rPr>
          <w:rFonts w:cs="Arial"/>
          <w:lang w:val="it-IT"/>
        </w:rPr>
        <w:t>cepr</w:t>
      </w:r>
      <w:proofErr w:type="spellStart"/>
      <w:r>
        <w:rPr>
          <w:rFonts w:cs="Arial"/>
        </w:rPr>
        <w:t>áce</w:t>
      </w:r>
      <w:proofErr w:type="spellEnd"/>
      <w:r>
        <w:rPr>
          <w:rFonts w:cs="Arial"/>
        </w:rPr>
        <w:t xml:space="preserve"> jsou součástí </w:t>
      </w:r>
      <w:proofErr w:type="spellStart"/>
      <w:r>
        <w:rPr>
          <w:rFonts w:cs="Arial"/>
        </w:rPr>
        <w:t>sjednan</w:t>
      </w:r>
      <w:proofErr w:type="spellEnd"/>
      <w:r>
        <w:rPr>
          <w:rFonts w:cs="Arial"/>
          <w:lang w:val="fr-FR"/>
        </w:rPr>
        <w:t xml:space="preserve">é </w:t>
      </w:r>
      <w:r>
        <w:rPr>
          <w:rFonts w:cs="Arial"/>
        </w:rPr>
        <w:t>ceny díla.</w:t>
      </w:r>
    </w:p>
    <w:p w14:paraId="4191F5A3" w14:textId="77777777" w:rsidR="006D6C37" w:rsidRDefault="006D6C37">
      <w:pPr>
        <w:jc w:val="both"/>
        <w:rPr>
          <w:rFonts w:cs="Arial"/>
        </w:rPr>
      </w:pPr>
    </w:p>
    <w:p w14:paraId="178937B9" w14:textId="77777777" w:rsidR="006D6C37" w:rsidRDefault="006D6C37">
      <w:pPr>
        <w:pStyle w:val="Zkladntext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0"/>
        </w:rPr>
      </w:pPr>
    </w:p>
    <w:p w14:paraId="062B6EF4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Platební podmínky</w:t>
      </w:r>
    </w:p>
    <w:p w14:paraId="4B4C49B3" w14:textId="77777777" w:rsidR="006D6C37" w:rsidRDefault="006D6C37">
      <w:pPr>
        <w:pStyle w:val="Zkladntext"/>
        <w:ind w:left="567"/>
        <w:rPr>
          <w:rFonts w:ascii="Arial" w:hAnsi="Arial" w:cs="Arial"/>
          <w:sz w:val="20"/>
          <w:lang w:val="cs-CZ"/>
        </w:rPr>
      </w:pPr>
    </w:p>
    <w:p w14:paraId="48B447AC" w14:textId="77777777" w:rsidR="006D6C37" w:rsidRDefault="00887DC5">
      <w:pPr>
        <w:pStyle w:val="Zkladntext"/>
        <w:numPr>
          <w:ilvl w:val="1"/>
          <w:numId w:val="10"/>
        </w:numPr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Po zahájení provádění díla v místě provádění díla bude objednatel hradit zhotoviteli cenu díla postupně ve formě měsíčních úhrad na základě měsíčních zjišťovacích protokolů s výkazem dokončených prací vystavených zhotovitelem a odsouhlasených objednatelem. Zhotovitel vyúčtuje v souladu s předcházející větou poměrnou část ceny díla plnění poskytnuté v uplynulém kalendářním měsíci fakturou vystavenou k poslednímu dni v kalendářním měsíci, kterou zašle objednateli na e-mailovou adresu objednatele uvedenou v záhlaví této smlouvy a jejíž přílohou bude oboustranně odsouhlasený zjišťovací protokol s výkazem práce. Část ceny díla vyúčtovaná řádně fakturou na základě oboustranně odsouhlaseného protokolu je splatná do maximálně 30 kalendářních dnů od jejího doručení objednateli. </w:t>
      </w:r>
    </w:p>
    <w:p w14:paraId="472E5DB0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>Faktura, u které nebude přiložen objednatelem odsouhlasený a potvrzený zjišťovací protokol, bude objednatelem vrácen, přičemž běh lhůty pro zaplacení vyúčtované části ceny díla se přerušuje a počne znovu běžet ode dne doručení opravené faktury vystavené v souladu s objednatelem odsouhlaseným zjišťovacím protokolem.</w:t>
      </w:r>
    </w:p>
    <w:p w14:paraId="58CCF85C" w14:textId="77777777" w:rsidR="006D6C37" w:rsidRDefault="006D6C37">
      <w:pPr>
        <w:pStyle w:val="Odstavecseseznamem"/>
        <w:spacing w:before="240"/>
        <w:ind w:left="567"/>
        <w:jc w:val="both"/>
        <w:rPr>
          <w:rFonts w:cs="Arial"/>
        </w:rPr>
      </w:pPr>
    </w:p>
    <w:p w14:paraId="4A60CFF1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 xml:space="preserve">Všechny fakturované dodávky, služby a stavební práce budou v účetních dokladech členěny způsobem, který umožní jejich zařazení do jednotlivých položek výdajů dle dohody o poskytnutí dotace uzavřené k spolufinancování díla mezi Státním zemědělským intervenčním fondem a objednatelem. </w:t>
      </w:r>
    </w:p>
    <w:p w14:paraId="7F162750" w14:textId="77777777" w:rsidR="006D6C37" w:rsidRDefault="006D6C37">
      <w:pPr>
        <w:pStyle w:val="Odstavecseseznamem"/>
        <w:ind w:left="567" w:hanging="567"/>
        <w:rPr>
          <w:rFonts w:cs="Arial"/>
        </w:rPr>
      </w:pPr>
    </w:p>
    <w:p w14:paraId="0FEF354E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>Daňový doklad – faktura musí obsahovat všechny povinné náležitosti definované zejména v § 29 zákona č. 235/2004 Sb., o dani z přidané hodnoty, v platném znění.</w:t>
      </w:r>
    </w:p>
    <w:p w14:paraId="66DCB3F2" w14:textId="77777777" w:rsidR="006D6C37" w:rsidRDefault="006D6C37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3BF0371C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>Jsou-li předmětem plnění práce spadající do režimu přenesené daňové povinnosti, musí být daňový doklad vystaven v souladu s ustanoveními § 92a - § 92e zákona č. 235/2004 Sb., o dani z přidané hodnoty. Daňový doklad musí zároveň obsahovat sdělení, že výši daně je povinen doplnit a přiznat objednatel, tedy že je faktura vystavena v režimu přenesené daňové povinnosti a daň odvede objednatel.</w:t>
      </w:r>
    </w:p>
    <w:p w14:paraId="097F121B" w14:textId="77777777" w:rsidR="006D6C37" w:rsidRDefault="006D6C37">
      <w:pPr>
        <w:pStyle w:val="Odstavecseseznamem"/>
        <w:spacing w:before="240"/>
        <w:ind w:left="567" w:hanging="567"/>
        <w:jc w:val="both"/>
        <w:rPr>
          <w:rFonts w:cs="Arial"/>
        </w:rPr>
      </w:pPr>
    </w:p>
    <w:p w14:paraId="6AE63C9F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>Zhotovitel nese vůči objednateli odpovědnost za klasifikaci provedených prací a dodaných věcí (zabudovaných i nezabudovaných) pro účely rozlišení plnění v režimu reverse-</w:t>
      </w:r>
      <w:proofErr w:type="spellStart"/>
      <w:r>
        <w:rPr>
          <w:rFonts w:cs="Arial"/>
        </w:rPr>
        <w:t>charge</w:t>
      </w:r>
      <w:proofErr w:type="spellEnd"/>
      <w:r>
        <w:rPr>
          <w:rFonts w:cs="Arial"/>
        </w:rPr>
        <w:t xml:space="preserve"> od plnění mimo tento režim, jako i pro účely stanovení sazby DPH.</w:t>
      </w:r>
    </w:p>
    <w:p w14:paraId="1DB07D0D" w14:textId="77777777" w:rsidR="006D6C37" w:rsidRDefault="006D6C37">
      <w:pPr>
        <w:pStyle w:val="Odstavecseseznamem"/>
        <w:rPr>
          <w:rFonts w:cs="Arial"/>
        </w:rPr>
      </w:pPr>
    </w:p>
    <w:p w14:paraId="16BA14BF" w14:textId="77777777" w:rsidR="006D6C37" w:rsidRDefault="00887DC5">
      <w:pPr>
        <w:pStyle w:val="Odstavecseseznamem"/>
        <w:numPr>
          <w:ilvl w:val="1"/>
          <w:numId w:val="10"/>
        </w:numPr>
        <w:spacing w:before="240"/>
        <w:ind w:left="567" w:hanging="567"/>
        <w:jc w:val="both"/>
        <w:rPr>
          <w:rFonts w:cs="Arial"/>
        </w:rPr>
      </w:pPr>
      <w:r>
        <w:rPr>
          <w:rFonts w:cs="Arial"/>
        </w:rPr>
        <w:t xml:space="preserve">Objednatel umožňuje zálohové platby v rozsahu dle předchozí vzájemné dohody. Zálohová platba se nepovažuje za výzvu k zahájení díla a ani za zahájení díla samotného dle bodu 4.1. a 4.2. této smlouvy. </w:t>
      </w:r>
    </w:p>
    <w:p w14:paraId="7BBA9FA0" w14:textId="77777777" w:rsidR="006D6C37" w:rsidRDefault="006D6C37">
      <w:pPr>
        <w:tabs>
          <w:tab w:val="left" w:pos="0"/>
        </w:tabs>
        <w:jc w:val="both"/>
        <w:rPr>
          <w:rFonts w:cs="Arial"/>
        </w:rPr>
      </w:pPr>
    </w:p>
    <w:p w14:paraId="418ABED3" w14:textId="77777777" w:rsidR="006D6C37" w:rsidRDefault="006D6C37">
      <w:pPr>
        <w:tabs>
          <w:tab w:val="left" w:pos="0"/>
        </w:tabs>
        <w:jc w:val="both"/>
        <w:rPr>
          <w:rFonts w:cs="Arial"/>
        </w:rPr>
      </w:pPr>
    </w:p>
    <w:p w14:paraId="02C78EAE" w14:textId="77777777" w:rsidR="006D6C37" w:rsidRDefault="00887DC5">
      <w:pPr>
        <w:rPr>
          <w:rFonts w:cs="Arial"/>
          <w:b/>
        </w:rPr>
      </w:pPr>
      <w:r>
        <w:rPr>
          <w:rFonts w:cs="Arial"/>
          <w:color w:val="FF0000"/>
        </w:rPr>
        <w:t xml:space="preserve">  </w:t>
      </w:r>
    </w:p>
    <w:p w14:paraId="3CB95D83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Součinnost smluvních stran</w:t>
      </w:r>
    </w:p>
    <w:p w14:paraId="2E453C31" w14:textId="77777777" w:rsidR="006D6C37" w:rsidRDefault="006D6C37">
      <w:pPr>
        <w:jc w:val="center"/>
        <w:rPr>
          <w:rFonts w:cs="Arial"/>
          <w:b/>
          <w:sz w:val="24"/>
          <w:szCs w:val="24"/>
        </w:rPr>
      </w:pPr>
    </w:p>
    <w:p w14:paraId="3122E6DD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Při provádění díla postupuje zhotovitel samostatně a provádí jej na svůj náklad a nebezpečí. Zhotovitel v plném rozsahu odpovídá objednateli za provedení díla a splnění této smlouvy bez ohledu na to, zda využije k provedení díla nebo jeho části poddodavatele.</w:t>
      </w:r>
    </w:p>
    <w:p w14:paraId="22FF7591" w14:textId="77777777" w:rsidR="006D6C37" w:rsidRDefault="006D6C37">
      <w:pPr>
        <w:ind w:left="567" w:hanging="632"/>
        <w:jc w:val="both"/>
        <w:rPr>
          <w:rFonts w:cs="Arial"/>
          <w:b/>
        </w:rPr>
      </w:pPr>
    </w:p>
    <w:p w14:paraId="3D4E07E1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Objednatel se zavazuje v termínu uvedeném v bodě 4.1. předat zhotoviteli staveniště. Staveniště předá objednatel zhotoviteli prosté všech právních vad a zhotovení díla znemožňujících nároků třetích osob tak, aby zhotovitel mohl zahájit a provádět práce v rozsahu a za podmínek stanovených touto smlouvou.  O předání a převzetí staveniště bude sepsán písemný protokol podepsaný oprávněnými osobami za obě strany. Dále se objednatel zavazuje k následujícímu:</w:t>
      </w:r>
    </w:p>
    <w:p w14:paraId="75911229" w14:textId="77777777" w:rsidR="006D6C37" w:rsidRDefault="006D6C37">
      <w:pPr>
        <w:tabs>
          <w:tab w:val="decimal" w:pos="284"/>
          <w:tab w:val="left" w:pos="426"/>
        </w:tabs>
        <w:ind w:left="567" w:hanging="632"/>
        <w:rPr>
          <w:rFonts w:cs="Arial"/>
        </w:rPr>
      </w:pPr>
    </w:p>
    <w:p w14:paraId="59729D6A" w14:textId="77777777" w:rsidR="006D6C37" w:rsidRDefault="00887DC5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>
        <w:rPr>
          <w:rFonts w:cs="Arial"/>
        </w:rPr>
        <w:t>umožnit pro provedení díla dle pokynů zhotovitele napojení na odběrná místa elektrické energie, vody, popřípadě jiných zdrojů na staveniště, a to na své náklady,</w:t>
      </w:r>
    </w:p>
    <w:p w14:paraId="1D0DC25A" w14:textId="77777777" w:rsidR="006D6C37" w:rsidRDefault="00887DC5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>
        <w:rPr>
          <w:rFonts w:cs="Arial"/>
        </w:rPr>
        <w:t>určit zhotoviteli prostor pro umístění zařízení staveniště a skladování materiálu.</w:t>
      </w:r>
    </w:p>
    <w:p w14:paraId="33E5BE2E" w14:textId="77777777" w:rsidR="006D6C37" w:rsidRDefault="006D6C37">
      <w:pPr>
        <w:ind w:left="567" w:hanging="632"/>
        <w:jc w:val="both"/>
        <w:rPr>
          <w:rFonts w:cs="Arial"/>
        </w:rPr>
      </w:pPr>
    </w:p>
    <w:p w14:paraId="0FBDA921" w14:textId="77777777" w:rsidR="006D6C37" w:rsidRDefault="00887DC5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 vstupu na staveniště v průběhu provádění díla jsou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oprávněni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za podmínky dodržení bezpečnostních předpisů:</w:t>
      </w:r>
    </w:p>
    <w:p w14:paraId="7A0E1639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zhotovitele,</w:t>
      </w:r>
    </w:p>
    <w:p w14:paraId="0977949A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poddodavatelů,</w:t>
      </w:r>
    </w:p>
    <w:p w14:paraId="4B8C9037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objednatele,</w:t>
      </w:r>
      <w:r>
        <w:rPr>
          <w:rFonts w:ascii="Arial" w:hAnsi="Arial" w:cs="Arial"/>
          <w:sz w:val="20"/>
          <w:szCs w:val="20"/>
        </w:rPr>
        <w:t xml:space="preserve"> včetně technického dozoru, autorského dozoru, koordinátora BOZP, </w:t>
      </w:r>
    </w:p>
    <w:p w14:paraId="6A8577A1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pracovníci kompetentních kontrolních orgánů,</w:t>
      </w:r>
    </w:p>
    <w:p w14:paraId="1D4B39AD" w14:textId="77777777" w:rsidR="006D6C37" w:rsidRDefault="00887DC5">
      <w:pPr>
        <w:pStyle w:val="Normlnweb"/>
        <w:numPr>
          <w:ilvl w:val="0"/>
          <w:numId w:val="12"/>
        </w:numPr>
        <w:ind w:left="1560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další osoby, které 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prokáží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písemným souhlasem ke vstupu na staveniště daným zhotovitelem nebo objednatelem.</w:t>
      </w:r>
    </w:p>
    <w:p w14:paraId="69F061AF" w14:textId="77777777" w:rsidR="006D6C37" w:rsidRDefault="00887DC5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5E06D7C" w14:textId="77777777" w:rsidR="006D6C37" w:rsidRDefault="00887DC5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vést stavební (montážní) deník u stavebních prací v rozsahu daném vyhláškou č. 499/2006 Sb., a to od zahájení prací na díle až do odstranění případných vad a nedodělků uvedených v protokole o předání díla. </w:t>
      </w:r>
    </w:p>
    <w:p w14:paraId="4DD51200" w14:textId="77777777" w:rsidR="006D6C37" w:rsidRDefault="00887DC5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2206FAF" w14:textId="77777777" w:rsidR="006D6C37" w:rsidRDefault="00887DC5">
      <w:pPr>
        <w:pStyle w:val="Normlnweb"/>
        <w:numPr>
          <w:ilvl w:val="1"/>
          <w:numId w:val="11"/>
        </w:numPr>
        <w:ind w:left="567" w:hanging="6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průběh provádění díla a dodržování ustanovení této smlouvy bude pravidelně kontrolován a koordinován po stránce věcné, časové a finanční zástupci smluvních stran na kontrolních dnech svolávaných objednatelem dle potřeby, nejméně 1x za dva týdny. Objednatel o plánovaném kontrolním dnu zhotovitele včas vyrozumí. Zhotovitel je povinen o průběhu kontrolních dnů, o zjištěních a přijatých závěrech pořizovat zápisy ve stavebním deníku. Objednatel musí být vždy přítomen kontrole konstrukcí, které mají být dalším postupem zakryty – o termínu bude vyrozuměn zápisem ve stavebním deníku či elektronickou poštou min. 2 pracovní dny předem. </w:t>
      </w:r>
    </w:p>
    <w:p w14:paraId="31692C58" w14:textId="77777777" w:rsidR="006D6C37" w:rsidRDefault="006D6C37">
      <w:pPr>
        <w:pStyle w:val="Normlnweb"/>
        <w:ind w:left="567" w:hanging="632"/>
        <w:jc w:val="both"/>
        <w:rPr>
          <w:rFonts w:ascii="Arial" w:hAnsi="Arial" w:cs="Arial"/>
          <w:color w:val="000000"/>
          <w:sz w:val="20"/>
          <w:szCs w:val="20"/>
        </w:rPr>
      </w:pPr>
    </w:p>
    <w:p w14:paraId="2AD70669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Zhotovitel zajistí vytyčení a ochranu inženýrských sítí vedoucích přes staveniště na základě podkladů předaných objednatelem. Objednatel je povinen předat nákresy jejich vedení zhotoviteli. Zhotovitel neodpovídá za poškození inženýrských sítí, které nebyly v obsaženy v dokumentaci.</w:t>
      </w:r>
    </w:p>
    <w:p w14:paraId="161DBDD8" w14:textId="77777777" w:rsidR="006D6C37" w:rsidRDefault="006D6C37">
      <w:pPr>
        <w:ind w:left="567" w:hanging="632"/>
        <w:jc w:val="both"/>
        <w:rPr>
          <w:rFonts w:cs="Arial"/>
        </w:rPr>
      </w:pPr>
    </w:p>
    <w:p w14:paraId="0E08B6D4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Smluvní strany shodně prohlašují, že objednatel není oprávněn movité věci zhotovitele zadržet ve smyslu ustanovení § 1395 a násl. zákona č. 89/2012 Sb. </w:t>
      </w:r>
    </w:p>
    <w:p w14:paraId="7F5A8EB2" w14:textId="77777777" w:rsidR="006D6C37" w:rsidRDefault="006D6C37">
      <w:pPr>
        <w:ind w:left="567" w:hanging="632"/>
        <w:jc w:val="both"/>
        <w:rPr>
          <w:rFonts w:cs="Arial"/>
        </w:rPr>
      </w:pPr>
    </w:p>
    <w:p w14:paraId="50213EE5" w14:textId="195C6C23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Objednatel předal zhotoviteli příslušnou dokumentaci (zejm. projektovou</w:t>
      </w:r>
      <w:r w:rsidR="00E24F2B">
        <w:rPr>
          <w:rFonts w:cs="Arial"/>
        </w:rPr>
        <w:t>/</w:t>
      </w:r>
      <w:proofErr w:type="spellStart"/>
      <w:r w:rsidR="00E24F2B">
        <w:rPr>
          <w:rFonts w:cs="Arial"/>
        </w:rPr>
        <w:t>výkresovu</w:t>
      </w:r>
      <w:proofErr w:type="spellEnd"/>
      <w:r>
        <w:rPr>
          <w:rFonts w:cs="Arial"/>
        </w:rPr>
        <w:t xml:space="preserve"> dokumentaci) před podpisem této smlouvy, což smluvní strany potvrzují svým podpisem této smlouvy.</w:t>
      </w:r>
    </w:p>
    <w:p w14:paraId="2676B754" w14:textId="77777777" w:rsidR="006D6C37" w:rsidRDefault="006D6C37">
      <w:pPr>
        <w:ind w:left="567" w:hanging="632"/>
        <w:jc w:val="both"/>
        <w:rPr>
          <w:rFonts w:cs="Arial"/>
        </w:rPr>
      </w:pPr>
    </w:p>
    <w:p w14:paraId="3363C6B7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>Objednatel odpovídá za správnost a úplnost předané příslušné dokumentace. Této povinnosti se objednatel nemůže zprostit přenesením na zhotovitele ani jiným způsobem.</w:t>
      </w:r>
    </w:p>
    <w:p w14:paraId="15CB32F9" w14:textId="77777777" w:rsidR="006D6C37" w:rsidRDefault="006D6C37">
      <w:pPr>
        <w:ind w:left="567" w:hanging="632"/>
        <w:jc w:val="both"/>
        <w:rPr>
          <w:rFonts w:cs="Arial"/>
        </w:rPr>
      </w:pPr>
    </w:p>
    <w:p w14:paraId="2F6F41CA" w14:textId="3A3D846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Zhotovitel prohlašuje a zaručuje, že před podpisem této smlouvy (i) pečlivě překontroloval </w:t>
      </w:r>
      <w:r w:rsidR="00E24F2B">
        <w:rPr>
          <w:rFonts w:cs="Arial"/>
        </w:rPr>
        <w:t>výkresovou</w:t>
      </w:r>
      <w:r>
        <w:rPr>
          <w:rFonts w:cs="Arial"/>
        </w:rPr>
        <w:t xml:space="preserve"> dokumentaci pro provedení stavby, technické podmínky a výkaz výměr, celé staveniště, přilehlé prostory a přístupové cesty ke staveništi; (</w:t>
      </w: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>) se seznámil se staveništěm a jeho okolím a okolnostmi, které by mohly ovlivnit rozsah prací, jejich provádění a dokončení. Tímto není dotčena odpovědnost objednatele za správnost předané dokumentace.</w:t>
      </w:r>
    </w:p>
    <w:p w14:paraId="5A3BB939" w14:textId="77777777" w:rsidR="006D6C37" w:rsidRDefault="006D6C37">
      <w:pPr>
        <w:ind w:left="567" w:hanging="632"/>
        <w:jc w:val="both"/>
        <w:rPr>
          <w:rFonts w:cs="Arial"/>
        </w:rPr>
      </w:pPr>
    </w:p>
    <w:p w14:paraId="403DAD8D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Pokud tak právní předpisy stanoví, je objednatel povinen jmenovat koordinátora bezpečnosti práce na staveništi. Této povinnosti se objednatel nemůže zprostit přenesením na zhotovitele ani jiným způsobem. </w:t>
      </w:r>
    </w:p>
    <w:p w14:paraId="1937DF01" w14:textId="77777777" w:rsidR="006D6C37" w:rsidRDefault="006D6C37">
      <w:pPr>
        <w:ind w:left="567" w:hanging="632"/>
        <w:jc w:val="both"/>
        <w:rPr>
          <w:rFonts w:cs="Arial"/>
        </w:rPr>
      </w:pPr>
    </w:p>
    <w:p w14:paraId="0F72E89B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bCs/>
        </w:rPr>
      </w:pPr>
      <w:r>
        <w:t xml:space="preserve">Zhotovitel je povinen umožnit výkon technického dozoru stavebníka a autorského dozoru projektanta, případně výkon činnosti koordinátora bezpečnosti a ochrany zdraví při práci na staveništi. </w:t>
      </w:r>
      <w:r>
        <w:rPr>
          <w:bCs/>
        </w:rPr>
        <w:t>Zhotovitel je povinen zajistit v rámci zařízení staveniště podmínky pro výkon funkce autorského dozoru projektanta a technického dozoru stavebníka, případně činnost koordinátora bezpečnosti a ochrany zdraví při práci na staveništi, a to v přiměřeném rozsahu.</w:t>
      </w:r>
    </w:p>
    <w:p w14:paraId="46524179" w14:textId="77777777" w:rsidR="006D6C37" w:rsidRDefault="006D6C37">
      <w:pPr>
        <w:ind w:left="567" w:hanging="632"/>
        <w:jc w:val="both"/>
        <w:rPr>
          <w:b/>
          <w:bCs/>
        </w:rPr>
      </w:pPr>
    </w:p>
    <w:p w14:paraId="5CA69D84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Poddodavatelé jsou uvedeni v seznamu poddodavatelů, který je přílohou této Smlouvy.  </w:t>
      </w:r>
    </w:p>
    <w:p w14:paraId="7EF5B3A1" w14:textId="77777777" w:rsidR="006D6C37" w:rsidRPr="00887DC5" w:rsidRDefault="006D6C37">
      <w:pPr>
        <w:ind w:left="567" w:hanging="632"/>
        <w:jc w:val="both"/>
        <w:rPr>
          <w:bCs/>
        </w:rPr>
      </w:pPr>
    </w:p>
    <w:p w14:paraId="32F93029" w14:textId="77777777" w:rsidR="006D6C37" w:rsidRPr="00887DC5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bCs/>
        </w:rPr>
      </w:pPr>
      <w:r w:rsidRPr="00887DC5">
        <w:rPr>
          <w:bCs/>
        </w:rPr>
        <w:t>Zhotovitel je oprávněn změnit poddodavatele, pomocí kterého prokazoval splnění kvalifikace v zadávacím řízení pouze ve výjimečných případech a se souhlasem objednatele. Nový poddodavatel musí splňovat stejnou či vyšší kvalifikaci jako poddodavatel předchozí.</w:t>
      </w:r>
    </w:p>
    <w:p w14:paraId="1CB9545C" w14:textId="77777777" w:rsidR="006D6C37" w:rsidRPr="00887DC5" w:rsidRDefault="006D6C37">
      <w:pPr>
        <w:ind w:left="567" w:hanging="632"/>
        <w:jc w:val="both"/>
        <w:rPr>
          <w:bCs/>
        </w:rPr>
      </w:pPr>
    </w:p>
    <w:p w14:paraId="0CE6217F" w14:textId="77777777" w:rsidR="006D6C37" w:rsidRPr="00887DC5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bCs/>
        </w:rPr>
      </w:pPr>
      <w:r w:rsidRPr="00887DC5">
        <w:rPr>
          <w:bCs/>
        </w:rPr>
        <w:t xml:space="preserve">Zhotovitel je povinen zabezpečit staveniště v souladu se svými potřebami, dokumentací předanou objednatelem a s požadavky objednatele. </w:t>
      </w:r>
    </w:p>
    <w:p w14:paraId="739FB0F8" w14:textId="77777777" w:rsidR="006D6C37" w:rsidRPr="00887DC5" w:rsidRDefault="006D6C37">
      <w:pPr>
        <w:ind w:left="567" w:hanging="632"/>
        <w:jc w:val="both"/>
        <w:rPr>
          <w:bCs/>
        </w:rPr>
      </w:pPr>
    </w:p>
    <w:p w14:paraId="5054FDE6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 w:rsidRPr="00887DC5">
        <w:rPr>
          <w:bCs/>
        </w:rPr>
        <w:t>Zhotovitel je povinen do 14 dnů od předání a převzetí díla odstranit zařízení staveniště a vyklidit jej. Je-li dílo předáno a převzato s vadami a nedodělky, počíná lhůta dle tohoto bodu běžet až ode dne</w:t>
      </w:r>
      <w:r>
        <w:rPr>
          <w:rFonts w:cs="Arial"/>
        </w:rPr>
        <w:t xml:space="preserve"> odstranění všech těchto vad a nedodělků.  </w:t>
      </w:r>
    </w:p>
    <w:p w14:paraId="679D384B" w14:textId="77777777" w:rsidR="006D6C37" w:rsidRDefault="006D6C37">
      <w:pPr>
        <w:pStyle w:val="Odstavecseseznamem"/>
        <w:rPr>
          <w:rFonts w:cs="Arial"/>
        </w:rPr>
      </w:pPr>
    </w:p>
    <w:p w14:paraId="158589FD" w14:textId="77777777" w:rsidR="006D6C37" w:rsidRDefault="00887DC5">
      <w:pPr>
        <w:pStyle w:val="Odstavecseseznamem"/>
        <w:numPr>
          <w:ilvl w:val="1"/>
          <w:numId w:val="11"/>
        </w:numPr>
        <w:ind w:left="567" w:hanging="632"/>
        <w:jc w:val="both"/>
        <w:rPr>
          <w:rFonts w:cs="Arial"/>
        </w:rPr>
      </w:pPr>
      <w:r>
        <w:rPr>
          <w:rFonts w:cs="Arial"/>
        </w:rPr>
        <w:t xml:space="preserve">Zhotovitel se zavazuje k podpisu servisní smlouvy v odsouhlaseném </w:t>
      </w:r>
      <w:proofErr w:type="gramStart"/>
      <w:r>
        <w:rPr>
          <w:rFonts w:cs="Arial"/>
        </w:rPr>
        <w:t>znění  nejpozději</w:t>
      </w:r>
      <w:proofErr w:type="gramEnd"/>
      <w:r>
        <w:rPr>
          <w:rFonts w:cs="Arial"/>
        </w:rPr>
        <w:t xml:space="preserve"> do data předání a převzetí díla.</w:t>
      </w:r>
    </w:p>
    <w:p w14:paraId="3F0B623D" w14:textId="77777777" w:rsidR="006D6C37" w:rsidRDefault="006D6C37">
      <w:pPr>
        <w:jc w:val="both"/>
        <w:rPr>
          <w:rFonts w:cs="Arial"/>
        </w:rPr>
      </w:pPr>
    </w:p>
    <w:p w14:paraId="32C481E5" w14:textId="77777777" w:rsidR="006D6C37" w:rsidRDefault="006D6C37">
      <w:pPr>
        <w:rPr>
          <w:rFonts w:cs="Arial"/>
        </w:rPr>
      </w:pPr>
    </w:p>
    <w:p w14:paraId="37B80FD3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Předání a převzetí díla</w:t>
      </w:r>
    </w:p>
    <w:p w14:paraId="2B43DF21" w14:textId="77777777" w:rsidR="006D6C37" w:rsidRDefault="006D6C37">
      <w:pPr>
        <w:jc w:val="both"/>
        <w:rPr>
          <w:rFonts w:cs="Arial"/>
        </w:rPr>
      </w:pPr>
    </w:p>
    <w:p w14:paraId="65D3C7C8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Nejpozději 5 pracovních dnů před termínem dokončení díla je zhotovitel povinen prostřednictvím e-mailu objednateli oznámit den, kdy bude dílo připraveno k předání a vyzvat objednatele k jeho převzetí. </w:t>
      </w:r>
    </w:p>
    <w:p w14:paraId="08A438D9" w14:textId="77777777" w:rsidR="006D6C37" w:rsidRDefault="006D6C37">
      <w:pPr>
        <w:ind w:left="567" w:hanging="567"/>
        <w:jc w:val="both"/>
        <w:rPr>
          <w:rFonts w:cs="Arial"/>
        </w:rPr>
      </w:pPr>
    </w:p>
    <w:p w14:paraId="1F25939B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Objednatel zorganizuje předání a převzetí díla. Objednatel pořídí protokol o předání a převzetí díla. Protokol bude obsahovat prohlášení o převzetí nebo nepřevzetí díla a soupis případných vad a nedodělků. Objednatel je povinen k předání a převzetí díla přizvat osoby vykonávající funkci technického dozoru stavebníka, případně také autorského dozoru projektanta. Objednatel není oprávněn odmítnout převzetí díla pro drobné estetické vady, které nemají vliv na funkčnost díla.  V případě odmítnutí převzetí díla pro jeho vady či nedodělky objednatelem je povinen zhotovitel odstranit vady a nedodělky díla ve lhůtě stanovené v předávacím protokolu, jinak nejpozději do 20 kalendářních dnů od vyhotovení předávacího protokolu, o odstranění vad a nedodělků informovat objednatele a společně s objednatelem se dohodnout na dalším termínu předání díla, z něhož bude opětovně vyhotoven předávací protokol s uvedením případných vad a nedodělků. Dílo je provedeno, tj. dokončeno a předáno, okamžikem vyhotovení předávacího protokolu podepsaného oběma smluvními stranami, v němž bude zkonstatováno, že dílo nevykazuje žádné vady ani nedodělky, s výjimkou drobných estetických vad nemajících vliv na funkčnost díla a že zhotovitel předal objednateli veškerou dokumentaci k dílu dle této smlouvy. </w:t>
      </w:r>
    </w:p>
    <w:p w14:paraId="7F9C72AD" w14:textId="77777777" w:rsidR="006D6C37" w:rsidRDefault="006D6C37">
      <w:pPr>
        <w:ind w:left="567" w:hanging="567"/>
        <w:rPr>
          <w:rFonts w:cs="Arial"/>
          <w:color w:val="FF0000"/>
        </w:rPr>
      </w:pPr>
    </w:p>
    <w:p w14:paraId="2FE86117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>Při předání díla zhotovitel předá objednateli doklady, atesty a prohlášení o shodě a jakosti dodaných materiálů.</w:t>
      </w:r>
    </w:p>
    <w:p w14:paraId="00E18E25" w14:textId="77777777" w:rsidR="006D6C37" w:rsidRDefault="006D6C37">
      <w:pPr>
        <w:ind w:left="567" w:hanging="567"/>
        <w:rPr>
          <w:rFonts w:cs="Arial"/>
          <w:color w:val="FF0000"/>
        </w:rPr>
      </w:pPr>
    </w:p>
    <w:p w14:paraId="6816CC4C" w14:textId="77777777" w:rsidR="006D6C37" w:rsidRDefault="00887DC5">
      <w:pPr>
        <w:pStyle w:val="Odstavecseseznamem"/>
        <w:numPr>
          <w:ilvl w:val="1"/>
          <w:numId w:val="13"/>
        </w:numPr>
        <w:ind w:left="567" w:hanging="567"/>
        <w:jc w:val="both"/>
        <w:rPr>
          <w:rFonts w:cs="Arial"/>
        </w:rPr>
      </w:pPr>
      <w:r>
        <w:rPr>
          <w:rFonts w:cs="Arial"/>
        </w:rPr>
        <w:t>Vlastnické právo k dílu a nebezpečí škody na něm přechází na objednatele dnem předání díla.</w:t>
      </w:r>
    </w:p>
    <w:p w14:paraId="4DA87BEB" w14:textId="77777777" w:rsidR="006D6C37" w:rsidRDefault="006D6C37">
      <w:pPr>
        <w:ind w:left="567" w:hanging="567"/>
        <w:jc w:val="both"/>
        <w:rPr>
          <w:rFonts w:cs="Arial"/>
        </w:rPr>
      </w:pPr>
    </w:p>
    <w:p w14:paraId="53A6B26C" w14:textId="77777777" w:rsidR="006D6C37" w:rsidRDefault="006D6C37">
      <w:pPr>
        <w:ind w:left="567" w:hanging="567"/>
        <w:jc w:val="both"/>
        <w:rPr>
          <w:rFonts w:cs="Arial"/>
        </w:rPr>
      </w:pPr>
    </w:p>
    <w:p w14:paraId="3D17C116" w14:textId="77777777" w:rsidR="006D6C37" w:rsidRDefault="006D6C37">
      <w:pPr>
        <w:jc w:val="both"/>
        <w:rPr>
          <w:rFonts w:cs="Arial"/>
        </w:rPr>
      </w:pPr>
    </w:p>
    <w:p w14:paraId="53573964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Záruční podmínky a vady díla</w:t>
      </w:r>
    </w:p>
    <w:p w14:paraId="54418758" w14:textId="77777777" w:rsidR="006D6C37" w:rsidRDefault="006D6C37">
      <w:pPr>
        <w:jc w:val="both"/>
        <w:rPr>
          <w:rFonts w:cs="Arial"/>
        </w:rPr>
      </w:pPr>
    </w:p>
    <w:p w14:paraId="70F228E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Dílo má vady, jestliže provedení neodpovídá požadavkům uvedeným ve smlouvě nebo jiné dokumentaci čí předpisu vztahujícím se k provedení díla.</w:t>
      </w:r>
    </w:p>
    <w:p w14:paraId="15177837" w14:textId="77777777" w:rsidR="006D6C37" w:rsidRDefault="006D6C37">
      <w:pPr>
        <w:ind w:left="567" w:hanging="567"/>
        <w:jc w:val="both"/>
        <w:rPr>
          <w:rFonts w:cs="Arial"/>
        </w:rPr>
      </w:pPr>
    </w:p>
    <w:p w14:paraId="406B9140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Má-li dílo při předání vadu, zakládá to povinnosti zhotovitele z vadného plnění.</w:t>
      </w:r>
    </w:p>
    <w:p w14:paraId="79B011B9" w14:textId="77777777" w:rsidR="006D6C37" w:rsidRDefault="006D6C37">
      <w:pPr>
        <w:ind w:left="567" w:hanging="567"/>
        <w:jc w:val="both"/>
        <w:rPr>
          <w:rFonts w:cs="Arial"/>
        </w:rPr>
      </w:pPr>
    </w:p>
    <w:p w14:paraId="72A4DF5D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Zhotovitel odpovídá za skryté vady díla, které se vyskytly v záruční době, přičemž povinností objednatele je zjištěnou vadu bez zbytečného odkladu, nejpozději do uplynutí záruční doby, oznámit zhotoviteli.</w:t>
      </w:r>
    </w:p>
    <w:p w14:paraId="3A19E80C" w14:textId="77777777" w:rsidR="006D6C37" w:rsidRDefault="006D6C37">
      <w:pPr>
        <w:pStyle w:val="Odstavecseseznamem"/>
        <w:ind w:left="567" w:hanging="567"/>
        <w:jc w:val="both"/>
        <w:rPr>
          <w:rFonts w:cs="Arial"/>
        </w:rPr>
      </w:pPr>
    </w:p>
    <w:p w14:paraId="0EE7F88B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Za vady díla, které se projevily po záruční době, odpovídá zhotovitel jen tehdy, pokud jejich příčinou bylo porušení jeho povinností.</w:t>
      </w:r>
    </w:p>
    <w:p w14:paraId="74369A59" w14:textId="77777777" w:rsidR="006D6C37" w:rsidRDefault="006D6C37">
      <w:pPr>
        <w:pStyle w:val="Odstavecseseznamem"/>
        <w:ind w:left="567" w:hanging="567"/>
        <w:jc w:val="both"/>
        <w:rPr>
          <w:rFonts w:cs="Arial"/>
        </w:rPr>
      </w:pPr>
    </w:p>
    <w:p w14:paraId="6DCC4ED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Zhotovitel poskytuje na provedené dílo na stavební práce záruku za jakost v délce 60 měsíců a na ostatní komponenty, dodávky a služby tvořící předmět díla záruku za jakost v délce 12 měsíců. Záruční doba začíná plynout ode dne provedení díla v souladu s 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 xml:space="preserve">. článku VIII. odst. 8.2 této smlouvy. </w:t>
      </w:r>
      <w:r>
        <w:rPr>
          <w:rFonts w:cs="Arial"/>
          <w:color w:val="000000"/>
        </w:rPr>
        <w:t xml:space="preserve">Záruka se nevztahuje zejména na běžné opotřebení, vady způsobené nesprávným či nevhodným použitím, manipulací a údržbou. U speciálních stavebních konstrukcí a prací, případně u dodávek strojů nebo technologických zařízení objednatel připouští jinou délku záruční lhůty s ohledem na záruku poskytovanou výrobcem těchto strojů a zařízení, pokud se jedná o záruku </w:t>
      </w:r>
      <w:proofErr w:type="gramStart"/>
      <w:r>
        <w:rPr>
          <w:rFonts w:cs="Arial"/>
          <w:color w:val="000000"/>
        </w:rPr>
        <w:t>delší</w:t>
      </w:r>
      <w:proofErr w:type="gramEnd"/>
      <w:r>
        <w:rPr>
          <w:rFonts w:cs="Arial"/>
          <w:color w:val="000000"/>
        </w:rPr>
        <w:t xml:space="preserve"> než je záruka za jakost díla poskytovaná zhotovitelem objednateli dle této smlouvy. </w:t>
      </w:r>
    </w:p>
    <w:p w14:paraId="51F8F6A7" w14:textId="77777777" w:rsidR="006D6C37" w:rsidRDefault="006D6C37">
      <w:pPr>
        <w:ind w:left="567" w:hanging="567"/>
        <w:jc w:val="both"/>
        <w:rPr>
          <w:rFonts w:cs="Arial"/>
        </w:rPr>
      </w:pPr>
    </w:p>
    <w:p w14:paraId="571B443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Objednatel je povinen případné vady díla písemně reklamovat u zhotovitele bez zbytečného odkladu po jejich zjištění. V reklamaci musí být vady díla popsány a uvedeno, jak se projevují.  </w:t>
      </w:r>
    </w:p>
    <w:p w14:paraId="4C144912" w14:textId="77777777" w:rsidR="006D6C37" w:rsidRDefault="006D6C37">
      <w:pPr>
        <w:ind w:left="567" w:hanging="567"/>
        <w:jc w:val="both"/>
        <w:rPr>
          <w:rFonts w:cs="Arial"/>
        </w:rPr>
      </w:pPr>
    </w:p>
    <w:p w14:paraId="41440AA3" w14:textId="77777777" w:rsidR="006D6C37" w:rsidRDefault="00887DC5">
      <w:pPr>
        <w:pStyle w:val="Odstavecseseznamem"/>
        <w:numPr>
          <w:ilvl w:val="1"/>
          <w:numId w:val="14"/>
        </w:numPr>
        <w:ind w:left="567" w:hanging="567"/>
        <w:jc w:val="both"/>
        <w:rPr>
          <w:rFonts w:cs="Arial"/>
        </w:rPr>
      </w:pPr>
      <w:r>
        <w:rPr>
          <w:rFonts w:cs="Arial"/>
        </w:rPr>
        <w:t>Zhotovitel je povinen, pokud nebude dohodnuto jinak, co možná nejdříve po obdržení reklamace nastoupit na opravu reklamované vady.</w:t>
      </w:r>
    </w:p>
    <w:p w14:paraId="6A58D38C" w14:textId="77777777" w:rsidR="006D6C37" w:rsidRDefault="006D6C37">
      <w:pPr>
        <w:pStyle w:val="Odstavecseseznamem"/>
        <w:ind w:left="567" w:hanging="567"/>
        <w:jc w:val="both"/>
        <w:rPr>
          <w:rFonts w:cs="Arial"/>
        </w:rPr>
      </w:pPr>
    </w:p>
    <w:p w14:paraId="6CB894DF" w14:textId="77777777" w:rsidR="006D6C37" w:rsidRDefault="00887DC5">
      <w:pPr>
        <w:pStyle w:val="Odstavecseseznamem"/>
        <w:numPr>
          <w:ilvl w:val="1"/>
          <w:numId w:val="14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je povinen nejpozději do 15 kalendářních dnů po obdržení reklamace písemně oznámit objednateli, zda reklamaci uznává, nebo z jakých důvodů reklamaci neuznává. Pokud tak neučiní, má se za to, že reklamaci objednatele uznává. </w:t>
      </w:r>
    </w:p>
    <w:p w14:paraId="00342840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6BF8CED4" w14:textId="77777777" w:rsidR="006D6C37" w:rsidRDefault="00887DC5">
      <w:pPr>
        <w:pStyle w:val="Odstavecseseznamem"/>
        <w:numPr>
          <w:ilvl w:val="1"/>
          <w:numId w:val="14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odstraní oprávněně reklamovanou vadu co nejdříve, nejpozději však do 15 dní od uznání reklamace, není-li v konkrétním případě sjednána delší lhůta. </w:t>
      </w:r>
    </w:p>
    <w:p w14:paraId="432381F8" w14:textId="77777777" w:rsidR="006D6C37" w:rsidRDefault="006D6C37">
      <w:pPr>
        <w:ind w:left="567" w:hanging="567"/>
        <w:jc w:val="both"/>
        <w:rPr>
          <w:rFonts w:cs="Arial"/>
        </w:rPr>
      </w:pPr>
    </w:p>
    <w:p w14:paraId="443DDEFC" w14:textId="77777777" w:rsidR="006D6C37" w:rsidRDefault="00887DC5">
      <w:pPr>
        <w:pStyle w:val="Zkladntext"/>
        <w:numPr>
          <w:ilvl w:val="1"/>
          <w:numId w:val="14"/>
        </w:numPr>
        <w:ind w:left="567" w:hanging="567"/>
        <w:contextualSpacing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Reklamaci lze uplatnit nejpozději poslední den záruční doby.</w:t>
      </w:r>
    </w:p>
    <w:p w14:paraId="14A045DD" w14:textId="77777777" w:rsidR="006D6C37" w:rsidRDefault="006D6C37">
      <w:pPr>
        <w:jc w:val="both"/>
        <w:rPr>
          <w:rFonts w:cs="Arial"/>
        </w:rPr>
      </w:pPr>
    </w:p>
    <w:p w14:paraId="63A4DA5E" w14:textId="77777777" w:rsidR="006D6C37" w:rsidRDefault="006D6C37">
      <w:pPr>
        <w:jc w:val="both"/>
        <w:rPr>
          <w:rFonts w:cs="Arial"/>
        </w:rPr>
      </w:pPr>
    </w:p>
    <w:p w14:paraId="465A32FF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Odstoupení od smlouvy</w:t>
      </w:r>
    </w:p>
    <w:p w14:paraId="0D633B3A" w14:textId="77777777" w:rsidR="006D6C37" w:rsidRDefault="006D6C37">
      <w:pPr>
        <w:pStyle w:val="Nadpis3"/>
        <w:rPr>
          <w:rFonts w:ascii="Arial" w:hAnsi="Arial" w:cs="Arial"/>
          <w:b/>
          <w:u w:val="none"/>
          <w:lang w:val="cs-CZ"/>
        </w:rPr>
      </w:pPr>
    </w:p>
    <w:p w14:paraId="32E3EAB3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  <w:strike/>
        </w:rPr>
      </w:pPr>
      <w:r>
        <w:rPr>
          <w:rFonts w:cs="Arial"/>
        </w:rPr>
        <w:t>Objednatel a zhotovitel jsou oprávněni odstoupit od této smlouvy v případě podstatného porušení smluvních povinností stanovených touto smlouvou, není-li ve smlouvě sjednáno jinak.</w:t>
      </w:r>
    </w:p>
    <w:p w14:paraId="6CAFAB91" w14:textId="77777777" w:rsidR="006D6C37" w:rsidRPr="00887DC5" w:rsidRDefault="00887DC5">
      <w:pPr>
        <w:pStyle w:val="Odstavecseseznamem"/>
        <w:numPr>
          <w:ilvl w:val="1"/>
          <w:numId w:val="15"/>
        </w:numPr>
        <w:ind w:left="567" w:hanging="567"/>
        <w:jc w:val="both"/>
      </w:pPr>
      <w:r w:rsidRPr="00887DC5">
        <w:rPr>
          <w:rFonts w:cs="Arial"/>
        </w:rPr>
        <w:t xml:space="preserve"> Objednatel je </w:t>
      </w:r>
      <w:proofErr w:type="gramStart"/>
      <w:r w:rsidRPr="00887DC5">
        <w:rPr>
          <w:rFonts w:cs="Arial"/>
        </w:rPr>
        <w:t>oprávněn  do</w:t>
      </w:r>
      <w:proofErr w:type="gramEnd"/>
      <w:r w:rsidRPr="00887DC5">
        <w:rPr>
          <w:rFonts w:cs="Arial"/>
        </w:rPr>
        <w:t xml:space="preserve">  dne, kdy dojde k předání </w:t>
      </w:r>
      <w:proofErr w:type="gramStart"/>
      <w:r w:rsidRPr="00887DC5">
        <w:rPr>
          <w:rFonts w:cs="Arial"/>
        </w:rPr>
        <w:t>staveniště ,</w:t>
      </w:r>
      <w:proofErr w:type="gramEnd"/>
      <w:r w:rsidRPr="00887DC5">
        <w:rPr>
          <w:rFonts w:cs="Arial"/>
        </w:rPr>
        <w:t xml:space="preserve"> odstoupit od smlouvy bez udání důvodů.  Zhotoviteli nevzniká v tomto případě nárok na náhrady či sankce. </w:t>
      </w:r>
    </w:p>
    <w:p w14:paraId="2A55D203" w14:textId="77777777" w:rsidR="006D6C37" w:rsidRDefault="006D6C37">
      <w:pPr>
        <w:ind w:left="567" w:hanging="567"/>
        <w:jc w:val="both"/>
        <w:rPr>
          <w:rFonts w:cs="Arial"/>
          <w:color w:val="C9211E"/>
        </w:rPr>
      </w:pPr>
    </w:p>
    <w:p w14:paraId="39668C24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>Za podstatné porušení smlouvy, na jehož základě může objednatel od této smlouvy odstoupit, smluvní strany považují:</w:t>
      </w:r>
    </w:p>
    <w:p w14:paraId="2E1B0CC2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případ, kdy se zhotovitel bezdůvodně odchýlil od dokumentace,</w:t>
      </w:r>
    </w:p>
    <w:p w14:paraId="5EC5337C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případ, kdy dílo je zhotovováno v jiné než dohodnuté kvalitě, či dílo neodpovídá závazným technickým normám a předpisům a zhotovitel ani přes písemné upozornění objednatele na tyto skutečnosti nesjedná v přiměřené lhůtě, nejpozději do 15 kalendářních dnů, nápravu</w:t>
      </w:r>
    </w:p>
    <w:p w14:paraId="4E55010D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Cs/>
        </w:rPr>
        <w:t>případ prodlení zhotovitele s převzetím staveniště, se zahájením stavebních prací/prací na díle a/nebo s provedením díla o více než 30 dní oproti smluvním termínům sjednaným v článku IV. této smlouvy</w:t>
      </w:r>
    </w:p>
    <w:p w14:paraId="2E1623DE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Cs/>
        </w:rPr>
        <w:t>rozhodnutí soudu o úpadku zhotovitele</w:t>
      </w:r>
      <w:r>
        <w:rPr>
          <w:rFonts w:cs="Arial"/>
        </w:rPr>
        <w:t>.</w:t>
      </w:r>
    </w:p>
    <w:p w14:paraId="226AD4D1" w14:textId="77777777" w:rsidR="006D6C37" w:rsidRDefault="006D6C37">
      <w:pPr>
        <w:jc w:val="both"/>
        <w:rPr>
          <w:rFonts w:cs="Arial"/>
        </w:rPr>
      </w:pPr>
    </w:p>
    <w:p w14:paraId="77730F3E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Za podstatné porušení smlouvy, na jehož základě může zhotovitel od této smlouvy odstoupit, smluvní strany považují: </w:t>
      </w:r>
    </w:p>
    <w:p w14:paraId="141CBC01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případ, kdy bude objednatel v prodlení s úhradou daňového dokladu o více jak 30 dní a nesjedná nápravu ani po písemném upozornění zhotovitele v dodatečné lhůtě 7 dní od doručení písemného upozornění objednateli, </w:t>
      </w:r>
    </w:p>
    <w:p w14:paraId="2D653D38" w14:textId="77777777" w:rsidR="006D6C37" w:rsidRDefault="00887D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neposkytnutí součinnosti objednatele nezbytné pro řádné plnění závazků zhotovitele (např. nepředání staveniště) ani v dodatečné lhůtě 10 dní od doručení písemné výzvy k poskytnutí součinnosti objednateli.</w:t>
      </w:r>
    </w:p>
    <w:p w14:paraId="1FEA526E" w14:textId="77777777" w:rsidR="006D6C37" w:rsidRDefault="006D6C37">
      <w:pPr>
        <w:jc w:val="both"/>
        <w:rPr>
          <w:rFonts w:cs="Arial"/>
        </w:rPr>
      </w:pPr>
    </w:p>
    <w:p w14:paraId="7B690B91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>Objednatel je oprávněn od této smlouvy odstoupit též v případě, že vyjdou najevo skutečnosti, z nichž lze důvodně usoudit, že závazky zhotovitele dle této smlouvy nebudou plněny řádně a včas.</w:t>
      </w:r>
    </w:p>
    <w:p w14:paraId="07EDB011" w14:textId="77777777" w:rsidR="006D6C37" w:rsidRDefault="006D6C37">
      <w:pPr>
        <w:pStyle w:val="Odstavecseseznamem"/>
        <w:ind w:left="567"/>
        <w:jc w:val="both"/>
        <w:rPr>
          <w:rFonts w:cs="Arial"/>
        </w:rPr>
      </w:pPr>
      <w:bookmarkStart w:id="0" w:name="_Hlk26904994"/>
      <w:bookmarkEnd w:id="0"/>
    </w:p>
    <w:p w14:paraId="44882F5A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Odstoupení od smlouvy lze vždy učinit pouze písemným oznámením, doručeným druhé smluvní straně v souladu s pravidly doručování sjednanými v této smlouvě. Odstoupení je účinné den po dni doručení. </w:t>
      </w:r>
    </w:p>
    <w:p w14:paraId="378D6BDC" w14:textId="77777777" w:rsidR="006D6C37" w:rsidRDefault="006D6C37">
      <w:pPr>
        <w:ind w:left="567" w:hanging="567"/>
        <w:jc w:val="both"/>
        <w:rPr>
          <w:rFonts w:cs="Arial"/>
        </w:rPr>
      </w:pPr>
    </w:p>
    <w:p w14:paraId="476F9A6F" w14:textId="77777777" w:rsidR="006D6C37" w:rsidRDefault="00887DC5">
      <w:pPr>
        <w:pStyle w:val="Odstavecseseznamem"/>
        <w:numPr>
          <w:ilvl w:val="1"/>
          <w:numId w:val="15"/>
        </w:numPr>
        <w:ind w:left="567" w:hanging="567"/>
        <w:jc w:val="both"/>
        <w:rPr>
          <w:rFonts w:cs="Arial"/>
        </w:rPr>
      </w:pPr>
      <w:r>
        <w:rPr>
          <w:rFonts w:cs="Arial"/>
        </w:rPr>
        <w:t>Jakmile odstoupení nabude účinnosti, je zhotovitel povinen v přiměřené lhůtě dohodnuté mezi stranami, avšak v žádném případě nepřekračující 30 dnů:</w:t>
      </w:r>
    </w:p>
    <w:p w14:paraId="1F84610E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>zastavit veškeré práce na díle, vyjma prací, k nimž dal objednatel pokyn v zájmu ochrany života a majetku nebo bezpečnosti díla,</w:t>
      </w:r>
    </w:p>
    <w:p w14:paraId="348C0990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>předat objednateli dokumentaci zhotovitele, materiály, za něž zhotovitel obdržel platbu, a předat objednateli dílo ve stavu, v jakém se nacházelo v okamžiku účinnosti odstoupení,</w:t>
      </w:r>
    </w:p>
    <w:p w14:paraId="7B57AAFB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 xml:space="preserve">vyklidit staveniště a odstranit ze staveniště veškeré vybavení, vyjma vybavení nezbytného k zajištění bezpečnosti, a </w:t>
      </w:r>
    </w:p>
    <w:p w14:paraId="6D475EEF" w14:textId="77777777" w:rsidR="006D6C37" w:rsidRDefault="00887DC5">
      <w:pPr>
        <w:pStyle w:val="Odstavecseseznamem"/>
        <w:numPr>
          <w:ilvl w:val="2"/>
          <w:numId w:val="15"/>
        </w:numPr>
        <w:ind w:left="1560" w:hanging="993"/>
        <w:jc w:val="both"/>
        <w:rPr>
          <w:rFonts w:cs="Arial"/>
        </w:rPr>
      </w:pPr>
      <w:r>
        <w:rPr>
          <w:rFonts w:cs="Arial"/>
        </w:rPr>
        <w:t>opustit staveniště.</w:t>
      </w:r>
    </w:p>
    <w:p w14:paraId="6611EB7C" w14:textId="77777777" w:rsidR="006D6C37" w:rsidRDefault="00887DC5">
      <w:pPr>
        <w:pStyle w:val="Odstavecseseznamem"/>
        <w:ind w:left="567"/>
        <w:jc w:val="both"/>
        <w:rPr>
          <w:rFonts w:cs="Arial"/>
        </w:rPr>
      </w:pPr>
      <w:r>
        <w:rPr>
          <w:rFonts w:cs="Arial"/>
        </w:rPr>
        <w:t>Zhotovitel vynaloží v dobré víře veškeré úsilí pro splnění všech přiměřených pokynů obsažených v oznámení o odstoupení, nebo v žádosti objednatele doručené zhotoviteli za účelem (i) ochrany života a majetku nebo zajištění bezpečnosti díla a (</w:t>
      </w: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 xml:space="preserve">) postoupení jakékoli smlouvy se subdodavatelem na objednatele. Po odstoupení od smlouvy může objednatel dokončit dílo a/nebo pověřit jeho dokončením jakoukoli jinou osobu (osoby). Objednatel a tyto pověřené osoby mohou pak využít za tímto účelem dokumentaci zhotovitele. </w:t>
      </w:r>
    </w:p>
    <w:p w14:paraId="5883ED34" w14:textId="77777777" w:rsidR="006D6C37" w:rsidRDefault="006D6C37">
      <w:pPr>
        <w:jc w:val="both"/>
        <w:rPr>
          <w:rFonts w:cs="Arial"/>
        </w:rPr>
      </w:pPr>
    </w:p>
    <w:p w14:paraId="582FD914" w14:textId="77777777" w:rsidR="006D6C37" w:rsidRDefault="006D6C37">
      <w:pPr>
        <w:jc w:val="both"/>
        <w:rPr>
          <w:rFonts w:cs="Arial"/>
          <w:b/>
        </w:rPr>
      </w:pPr>
    </w:p>
    <w:p w14:paraId="3EA7B167" w14:textId="77777777" w:rsidR="006D6C37" w:rsidRDefault="006D6C37">
      <w:pPr>
        <w:jc w:val="both"/>
        <w:rPr>
          <w:rFonts w:cs="Arial"/>
          <w:b/>
        </w:rPr>
      </w:pPr>
    </w:p>
    <w:p w14:paraId="424D8DCA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Smluvní sankce</w:t>
      </w:r>
    </w:p>
    <w:p w14:paraId="34456243" w14:textId="77777777" w:rsidR="006D6C37" w:rsidRDefault="006D6C37">
      <w:pPr>
        <w:jc w:val="both"/>
        <w:rPr>
          <w:rFonts w:cs="Arial"/>
          <w:b/>
        </w:rPr>
      </w:pPr>
    </w:p>
    <w:p w14:paraId="64D7830C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>Zhotovitel odpovídá za řádné plnění dle smlouvy o dílo, projektové dokumentace a dodržení všech podmínek stanovených dotčenými orgány. V případě nedodržení smluvních podmínek se zavazuje platit objednateli sankce uvedené v bodu 11.2, 11.3 a 11.4 této smlouvy.</w:t>
      </w:r>
    </w:p>
    <w:p w14:paraId="3ACB53FA" w14:textId="77777777" w:rsidR="006D6C37" w:rsidRDefault="006D6C37">
      <w:pPr>
        <w:pStyle w:val="Odstavecseseznamem"/>
        <w:spacing w:before="120"/>
        <w:ind w:left="567"/>
        <w:jc w:val="both"/>
        <w:rPr>
          <w:rFonts w:cs="Arial"/>
        </w:rPr>
      </w:pPr>
    </w:p>
    <w:p w14:paraId="256177E3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>Smluvní strany se dohodly, že pokud nebude dodržen kterýkoliv z následujících termínů dle článku IV. této smlouvy: termín předání a převzetí staveniště, termín zahájení stavebních prací/prací na díle a/nebo termín provedení díla, má objednatel v případě každého takového prodlení vůči zhotoviteli nárok na smluvní pokutu ve výši 0,05 % z ceny díla za každý započatý den prodlení.</w:t>
      </w:r>
    </w:p>
    <w:p w14:paraId="2740FFAE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039D833E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v případě prodlení zhotovitele s odstraněním vad a nedodělků po termínu dohodnutém v protokolu o předání a převzetí díla, má objednatel nárok na smluvní pokutu ve výši 300,- </w:t>
      </w:r>
      <w:proofErr w:type="gramStart"/>
      <w:r>
        <w:rPr>
          <w:rFonts w:cs="Arial"/>
        </w:rPr>
        <w:t>Kč  za</w:t>
      </w:r>
      <w:proofErr w:type="gramEnd"/>
      <w:r>
        <w:rPr>
          <w:rFonts w:cs="Arial"/>
        </w:rPr>
        <w:t xml:space="preserve"> každý den prodlení za jednotlivou vadu/nedodělek.</w:t>
      </w:r>
    </w:p>
    <w:p w14:paraId="4CC08A82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118E84C8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v případě prodlení zhotovitele s odstraněním oprávněně reklamované vady dle bodu 9.9. této smlouvy má objednatel nárok na smluvní pokutu ve výši 0,02 % z ceny díla za každý den prodlení. </w:t>
      </w:r>
    </w:p>
    <w:p w14:paraId="2388A12F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4B9C4836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pokud bude objednatel v prodlení s úhradou úplného a řádně vystaveného daňového dokladu, uhradí zhotoviteli smluvní úrok z prodlení ve výši 0,05 </w:t>
      </w:r>
      <w:proofErr w:type="gramStart"/>
      <w:r>
        <w:rPr>
          <w:rFonts w:cs="Arial"/>
        </w:rPr>
        <w:t>%  z</w:t>
      </w:r>
      <w:proofErr w:type="gramEnd"/>
      <w:r>
        <w:rPr>
          <w:rFonts w:cs="Arial"/>
        </w:rPr>
        <w:t> dlužné částky za každý den prodlení.</w:t>
      </w:r>
    </w:p>
    <w:p w14:paraId="458B2C0A" w14:textId="77777777" w:rsidR="006D6C37" w:rsidRDefault="006D6C37">
      <w:pPr>
        <w:pStyle w:val="Odstavecseseznamem"/>
        <w:spacing w:before="120"/>
        <w:ind w:left="567" w:hanging="567"/>
        <w:jc w:val="both"/>
        <w:rPr>
          <w:rFonts w:cs="Arial"/>
        </w:rPr>
      </w:pPr>
    </w:p>
    <w:p w14:paraId="07254F1B" w14:textId="77777777" w:rsidR="006D6C37" w:rsidRDefault="00887DC5">
      <w:pPr>
        <w:pStyle w:val="Odstavecseseznamem"/>
        <w:numPr>
          <w:ilvl w:val="1"/>
          <w:numId w:val="16"/>
        </w:numPr>
        <w:spacing w:before="120"/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není v prodlení s termínem dokončení díla či odstranění vady, brání-li mu v řádném splnění vyšší moc, nevhodné klimatické podmínky (např. teplota pod </w:t>
      </w:r>
      <w:proofErr w:type="gramStart"/>
      <w:r>
        <w:rPr>
          <w:rFonts w:cs="Arial"/>
        </w:rPr>
        <w:t>5°C</w:t>
      </w:r>
      <w:proofErr w:type="gramEnd"/>
      <w:r>
        <w:rPr>
          <w:rFonts w:cs="Arial"/>
        </w:rPr>
        <w:t xml:space="preserve">, mráz, sněžení, déšť, povětrnostní podmínky; trvají-li déle než 3 po sobě jdoucí dny), neposkytnutí součinnosti objednatele (např. nepředání staveniště, neúčast na kontrolních dnech, nevyjádření se k potřebným změnám díla/jeho </w:t>
      </w:r>
      <w:r>
        <w:rPr>
          <w:rFonts w:cs="Arial"/>
        </w:rPr>
        <w:lastRenderedPageBreak/>
        <w:t xml:space="preserve">provedení). Termín dokončení díla/odstranění vady se prodlužuje o dobu, po kterou nemůže zhotovitel z výše uvedených důvodů provádět dílo. </w:t>
      </w:r>
    </w:p>
    <w:p w14:paraId="3D587F9F" w14:textId="77777777" w:rsidR="006D6C37" w:rsidRDefault="006D6C37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0724D52D" w14:textId="77777777" w:rsidR="006D6C37" w:rsidRDefault="006D6C37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2B12CDBB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Vyšší moc</w:t>
      </w:r>
    </w:p>
    <w:p w14:paraId="0B6B431F" w14:textId="77777777" w:rsidR="006D6C37" w:rsidRDefault="006D6C37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2CFABAFA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účely této smlouvy se za vyšší moc považuje každá mimořádná nepředvídatelná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 a kterým nemohla smluvní strana, jíž se týkají, zabránit.</w:t>
      </w:r>
    </w:p>
    <w:p w14:paraId="29E3E3EF" w14:textId="77777777" w:rsidR="006D6C37" w:rsidRDefault="00887DC5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6AC1CDF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strana, u níž dojde k okolnosti vyšší moci, je povinna neprodleně nejpozději do </w:t>
      </w:r>
      <w:r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dnů písemně uvědomit druhou smluvní stranu o vzniku této události, jakož i o jejím předpokládaném ukončení. </w:t>
      </w:r>
    </w:p>
    <w:p w14:paraId="33DC50B5" w14:textId="77777777" w:rsidR="006D6C37" w:rsidRDefault="00887DC5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611045A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dobu trvání okolnosti vyšší moci není smluvní strana, jež je vyšší mocí dotčena, v prodlení.</w:t>
      </w:r>
    </w:p>
    <w:p w14:paraId="75E0A6F1" w14:textId="77777777" w:rsidR="006D6C37" w:rsidRDefault="00887DC5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67158DF" w14:textId="77777777" w:rsidR="006D6C37" w:rsidRDefault="00887DC5">
      <w:pPr>
        <w:pStyle w:val="Normlnweb"/>
        <w:numPr>
          <w:ilvl w:val="1"/>
          <w:numId w:val="1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Jestliže okolnost vyšší moci trvá déle než 30 dnů,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056B3D74" w14:textId="77777777" w:rsidR="006D6C37" w:rsidRDefault="00887DC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E2147D4" w14:textId="77777777" w:rsidR="006D6C37" w:rsidRDefault="006D6C37">
      <w:pPr>
        <w:rPr>
          <w:rFonts w:cs="Arial"/>
        </w:rPr>
      </w:pPr>
    </w:p>
    <w:p w14:paraId="5DCD9529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Změna závazku</w:t>
      </w:r>
    </w:p>
    <w:p w14:paraId="32E03D8E" w14:textId="77777777" w:rsidR="006D6C37" w:rsidRDefault="006D6C37">
      <w:pPr>
        <w:rPr>
          <w:rFonts w:cs="Arial"/>
        </w:rPr>
      </w:pPr>
    </w:p>
    <w:p w14:paraId="5FA64D7F" w14:textId="77777777" w:rsidR="006D6C37" w:rsidRDefault="00887DC5">
      <w:pPr>
        <w:pStyle w:val="Odstavecseseznamem"/>
        <w:numPr>
          <w:ilvl w:val="1"/>
          <w:numId w:val="18"/>
        </w:numPr>
        <w:ind w:left="567" w:hanging="567"/>
        <w:jc w:val="both"/>
        <w:rPr>
          <w:rFonts w:cs="Arial"/>
        </w:rPr>
      </w:pPr>
      <w:r>
        <w:rPr>
          <w:rFonts w:cs="Arial"/>
        </w:rPr>
        <w:t>Tuto smlouvu lze měnit pouze písemnými oboustranně podepsanými dodatky v souladu s touto smlouvou a zákonem č. 134/2016 Sb., o zadávání veřejných zakázek.</w:t>
      </w:r>
    </w:p>
    <w:p w14:paraId="09F7E3F9" w14:textId="77777777" w:rsidR="006D6C37" w:rsidRDefault="006D6C37">
      <w:pPr>
        <w:ind w:left="567" w:hanging="567"/>
        <w:rPr>
          <w:rFonts w:cs="Arial"/>
        </w:rPr>
      </w:pPr>
    </w:p>
    <w:p w14:paraId="05F16AFA" w14:textId="77777777" w:rsidR="006D6C37" w:rsidRDefault="00887DC5">
      <w:pPr>
        <w:pStyle w:val="Odstavecseseznamem"/>
        <w:numPr>
          <w:ilvl w:val="1"/>
          <w:numId w:val="18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Nastanou-li u některé ze smluvních stran skutečnosti bránící řádnému plnění této smlouvy, je povinna to ihned bez zbytečného odkladu oznámit druhé straně a vyvolat jednání o změnách či ukončení smlouvy. </w:t>
      </w:r>
    </w:p>
    <w:p w14:paraId="19A1B00C" w14:textId="77777777" w:rsidR="006D6C37" w:rsidRDefault="006D6C37">
      <w:pPr>
        <w:rPr>
          <w:rFonts w:cs="Arial"/>
        </w:rPr>
      </w:pPr>
    </w:p>
    <w:p w14:paraId="6AEB6AD0" w14:textId="77777777" w:rsidR="006D6C37" w:rsidRDefault="006D6C37">
      <w:pPr>
        <w:rPr>
          <w:rFonts w:cs="Arial"/>
        </w:rPr>
      </w:pPr>
    </w:p>
    <w:p w14:paraId="646D9F14" w14:textId="77777777" w:rsidR="006D6C37" w:rsidRDefault="00887DC5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Závěrečná ustanovení</w:t>
      </w:r>
    </w:p>
    <w:p w14:paraId="5C7CA34C" w14:textId="77777777" w:rsidR="006D6C37" w:rsidRDefault="006D6C37">
      <w:pPr>
        <w:rPr>
          <w:rFonts w:cs="Arial"/>
        </w:rPr>
      </w:pPr>
    </w:p>
    <w:p w14:paraId="34917D11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>Obě strany berou na vědomí, že během účinnosti této smlouvy může dojít k situacím, které nejsou a ani nemohly být řešeny v této smlouvě. Z tohoto důvodu obě strany souhlasí s tím, že v případě vzniku takové situace vstoupí obě strany ve společné jednání za účelem doplnění této smlouvy.</w:t>
      </w:r>
    </w:p>
    <w:p w14:paraId="4C77C294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  <w:color w:val="FF0000"/>
        </w:rPr>
      </w:pPr>
    </w:p>
    <w:p w14:paraId="29707398" w14:textId="77777777" w:rsidR="006D6C37" w:rsidRDefault="00887DC5">
      <w:pPr>
        <w:pStyle w:val="Normlnweb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právem České republiky, zejména občanským zákoníkem.</w:t>
      </w:r>
    </w:p>
    <w:p w14:paraId="5A0F612A" w14:textId="77777777" w:rsidR="006D6C37" w:rsidRDefault="006D6C37">
      <w:pPr>
        <w:pStyle w:val="Normlnweb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B0F6506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  <w:color w:val="000000"/>
        </w:rPr>
      </w:pPr>
      <w:r>
        <w:rPr>
          <w:rFonts w:cs="Arial"/>
        </w:rPr>
        <w:t>Tato smlouva se vyhotovuje ve 3 stejnopisech, z nichž každý má platnost originálu. Nabývá účinnosti dnem podpisu obou smluvních stran. 2 vyhotovení smlouvy obdrží objednatel a 1 vyhotovení smlouvy obdrží zhotovitel.</w:t>
      </w:r>
    </w:p>
    <w:p w14:paraId="38A345B6" w14:textId="77777777" w:rsidR="006D6C37" w:rsidRDefault="006D6C37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AB6293C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 xml:space="preserve">Smluvní strany se dohodly, že veškeré podstatné písemnosti (např. odstoupení, upozornění na porušení povinnosti, oznámení změny sídla) budou zasílány druhé straně na adresu uvedenou v záhlaví (není-li písemně oznámena jiná adresa) doporučenou poštou nebo do datové schránky. V případě doporučené pošty se písemnost považuje vždy za doručenou 3. pracovní den po jejím odeslání. </w:t>
      </w:r>
    </w:p>
    <w:p w14:paraId="6958E5FE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127C4380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>Smluvní strany se zavazují udržovat veškeré informace, které jsou obecně považovány za obchodní tajemství v tajnosti.</w:t>
      </w:r>
    </w:p>
    <w:p w14:paraId="44365380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732E32B5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>Zhotovitel prohlašuje, že umožní pověřeným pracovníkům provádějícím audit a kontrolu poskytnout všechny nezbytné informace, týkající se poddodavatelských činností (nařízení komise ES č. 448/2004, Pravidlo č.1, bod 3.2.)</w:t>
      </w:r>
    </w:p>
    <w:p w14:paraId="4E5C4875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45549056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lastRenderedPageBreak/>
        <w:t xml:space="preserve">Zhotovitel bude uchovávat příslušné smlouvy a ostatní doklady týkající se realizace projektu ve smyslu zákona č. 563/1991 Sb., o účetnictví, ve znění pozdějších předpisů, po dobu stanovenou v tomto zákoně, nejméně však 12 let od poslední platby. </w:t>
      </w:r>
    </w:p>
    <w:p w14:paraId="5832194B" w14:textId="77777777" w:rsidR="006D6C37" w:rsidRDefault="006D6C37">
      <w:pPr>
        <w:pStyle w:val="Odstavecseseznamem"/>
        <w:rPr>
          <w:rFonts w:cs="Arial"/>
        </w:rPr>
      </w:pPr>
    </w:p>
    <w:p w14:paraId="15013B39" w14:textId="77777777" w:rsidR="006D6C37" w:rsidRDefault="00887DC5">
      <w:pPr>
        <w:pStyle w:val="Odstavecseseznamem"/>
        <w:numPr>
          <w:ilvl w:val="1"/>
          <w:numId w:val="19"/>
        </w:numPr>
        <w:tabs>
          <w:tab w:val="decimal" w:pos="284"/>
        </w:tabs>
        <w:ind w:left="567" w:hanging="567"/>
        <w:jc w:val="both"/>
        <w:rPr>
          <w:rFonts w:cs="Arial"/>
        </w:rPr>
      </w:pPr>
      <w:r>
        <w:rPr>
          <w:rFonts w:cs="Arial"/>
        </w:rPr>
        <w:t xml:space="preserve">Zhotovitel odpovídá za to, že on sám, ani žádný z jeho poddodavatelů není po celou dobu trvání zakázky osobou uvedenou v sankčním seznamu v příloze nařízení Rady (EU)  č. 269/2014 ve znění pozdějších aktualizací, nařízení Rady (EU) č. 208/2014 ve znění pozdějších aktualizací nebo nařízení Rady (ES) č. 765/2006 ve znění pozdějších aktualizací, a dále na níž by se vztahovaly české právní předpisy, zejména zákon č. 69/2006 </w:t>
      </w:r>
      <w:proofErr w:type="spellStart"/>
      <w:r>
        <w:rPr>
          <w:rFonts w:cs="Arial"/>
        </w:rPr>
        <w:t>Sb</w:t>
      </w:r>
      <w:proofErr w:type="spellEnd"/>
      <w:r>
        <w:rPr>
          <w:rFonts w:cs="Arial"/>
        </w:rPr>
        <w:t xml:space="preserve"> v platném znění, ani právnickou osobou, subjektem nebo orgánem usazeným v Rusku, které jsou z více než 50 % ve veřejném vlastnictví či pod veřejnou kontrolou. Zhotovitel žádné finanční prostředky, které obdrží za plnění zakázky, přímo či nepřímo nezpřístupní 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</w:t>
      </w:r>
      <w:proofErr w:type="spellStart"/>
      <w:r>
        <w:rPr>
          <w:rFonts w:cs="Arial"/>
        </w:rPr>
        <w:t>Sb</w:t>
      </w:r>
      <w:proofErr w:type="spellEnd"/>
      <w:r>
        <w:rPr>
          <w:rFonts w:cs="Arial"/>
        </w:rPr>
        <w:t xml:space="preserve"> v platném znění, nebo osobě, která je právnickou osobou, subjektem nebo orgánem usazeným v Rusku, které jsou z více než 50% ve veřejném vlastnictví či pod veřejnou kontrolou. Vznik výše popsané skutečnosti je zhotovitel povinen objednateli neprodleně oznámit. </w:t>
      </w:r>
      <w:r>
        <w:rPr>
          <w:rFonts w:cs="Arial"/>
          <w:b/>
          <w:bCs/>
        </w:rPr>
        <w:t>Objednatel je v takovém případě oprávněn odstoupit od smlouvy.</w:t>
      </w:r>
      <w:r>
        <w:rPr>
          <w:rFonts w:cs="Arial"/>
        </w:rPr>
        <w:t xml:space="preserve"> </w:t>
      </w:r>
    </w:p>
    <w:p w14:paraId="6B49BF8A" w14:textId="77777777" w:rsidR="006D6C37" w:rsidRDefault="006D6C37">
      <w:pPr>
        <w:pStyle w:val="Odstavecseseznamem"/>
        <w:tabs>
          <w:tab w:val="decimal" w:pos="284"/>
        </w:tabs>
        <w:ind w:left="567"/>
        <w:jc w:val="both"/>
        <w:rPr>
          <w:rFonts w:cs="Arial"/>
        </w:rPr>
      </w:pPr>
    </w:p>
    <w:p w14:paraId="21FD9111" w14:textId="77777777" w:rsidR="006D6C37" w:rsidRDefault="006D6C37">
      <w:pPr>
        <w:tabs>
          <w:tab w:val="decimal" w:pos="284"/>
        </w:tabs>
        <w:jc w:val="both"/>
        <w:rPr>
          <w:rFonts w:cs="Arial"/>
        </w:rPr>
      </w:pPr>
      <w:bookmarkStart w:id="1" w:name="_Hlk123553493"/>
      <w:bookmarkEnd w:id="1"/>
    </w:p>
    <w:p w14:paraId="17B2F712" w14:textId="77777777" w:rsidR="006D6C37" w:rsidRDefault="006D6C37">
      <w:pPr>
        <w:tabs>
          <w:tab w:val="decimal" w:pos="284"/>
        </w:tabs>
        <w:ind w:left="567" w:hanging="567"/>
        <w:jc w:val="both"/>
        <w:rPr>
          <w:rFonts w:cs="Arial"/>
        </w:rPr>
      </w:pPr>
    </w:p>
    <w:p w14:paraId="47BD225D" w14:textId="77777777" w:rsidR="006D6C37" w:rsidRDefault="00887DC5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3DDC25CC" w14:textId="77777777" w:rsidR="006D6C37" w:rsidRDefault="00887DC5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příloha č. 1 – položkový rozpočet</w:t>
      </w:r>
    </w:p>
    <w:p w14:paraId="41A2DF0C" w14:textId="77777777" w:rsidR="006D6C37" w:rsidRDefault="00887DC5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příloha č. 2 – technická specifikace technologie</w:t>
      </w:r>
    </w:p>
    <w:p w14:paraId="2053A455" w14:textId="169DE732" w:rsidR="006D6C37" w:rsidRDefault="006D6C37" w:rsidP="0048211C">
      <w:pPr>
        <w:ind w:left="1470"/>
        <w:rPr>
          <w:rFonts w:cs="Arial"/>
          <w:i/>
        </w:rPr>
      </w:pPr>
    </w:p>
    <w:p w14:paraId="43D4039B" w14:textId="77777777" w:rsidR="006D6C37" w:rsidRDefault="006D6C37">
      <w:pPr>
        <w:jc w:val="both"/>
        <w:rPr>
          <w:rFonts w:cs="Arial"/>
          <w:color w:val="FF0000"/>
        </w:rPr>
      </w:pPr>
    </w:p>
    <w:p w14:paraId="379B2A06" w14:textId="77777777" w:rsidR="006D6C37" w:rsidRDefault="006D6C37">
      <w:pPr>
        <w:rPr>
          <w:rFonts w:cs="Arial"/>
          <w:color w:val="FF0000"/>
        </w:rPr>
      </w:pPr>
    </w:p>
    <w:p w14:paraId="56A8046A" w14:textId="77777777" w:rsidR="006D6C37" w:rsidRDefault="006D6C37">
      <w:pPr>
        <w:rPr>
          <w:rFonts w:cs="Arial"/>
        </w:rPr>
      </w:pPr>
    </w:p>
    <w:p w14:paraId="06BE475B" w14:textId="77777777" w:rsidR="006D6C37" w:rsidRDefault="00887DC5">
      <w:pPr>
        <w:rPr>
          <w:rFonts w:cs="Arial"/>
        </w:rPr>
      </w:pPr>
      <w:r>
        <w:rPr>
          <w:rFonts w:cs="Arial"/>
        </w:rPr>
        <w:t xml:space="preserve">V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highlight w:val="yellow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 xml:space="preserve"> dne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highlight w:val="yellow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CC4104D" w14:textId="77777777" w:rsidR="006D6C37" w:rsidRDefault="006D6C37">
      <w:pPr>
        <w:rPr>
          <w:rFonts w:cs="Arial"/>
        </w:rPr>
      </w:pPr>
    </w:p>
    <w:p w14:paraId="18B23430" w14:textId="77777777" w:rsidR="006D6C37" w:rsidRDefault="006D6C37">
      <w:pPr>
        <w:rPr>
          <w:rFonts w:cs="Arial"/>
        </w:rPr>
      </w:pPr>
    </w:p>
    <w:p w14:paraId="0788E397" w14:textId="77777777" w:rsidR="006D6C37" w:rsidRDefault="006D6C37">
      <w:pPr>
        <w:rPr>
          <w:rFonts w:cs="Arial"/>
        </w:rPr>
      </w:pPr>
    </w:p>
    <w:p w14:paraId="298FDCA4" w14:textId="77777777" w:rsidR="006D6C37" w:rsidRDefault="006D6C37">
      <w:pPr>
        <w:rPr>
          <w:rFonts w:cs="Arial"/>
        </w:rPr>
      </w:pPr>
    </w:p>
    <w:p w14:paraId="0F104FAE" w14:textId="77777777" w:rsidR="006D6C37" w:rsidRDefault="00887DC5">
      <w:pPr>
        <w:rPr>
          <w:rFonts w:cs="Arial"/>
        </w:rPr>
      </w:pPr>
      <w:r>
        <w:rPr>
          <w:rFonts w:cs="Arial"/>
        </w:rPr>
        <w:t>…...............………..............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.....…...........……................</w:t>
      </w:r>
    </w:p>
    <w:p w14:paraId="7FCD805A" w14:textId="13A10566" w:rsidR="006D6C37" w:rsidRDefault="00887DC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  <w:highlight w:val="yellow"/>
        </w:rPr>
        <w:t>jméno, příjmení</w:t>
      </w:r>
      <w:r>
        <w:rPr>
          <w:rFonts w:cs="Arial"/>
        </w:rPr>
        <w:t xml:space="preserve">                                                                     </w:t>
      </w:r>
      <w:r w:rsidR="00204668" w:rsidRPr="00204668">
        <w:rPr>
          <w:rFonts w:cs="Arial"/>
        </w:rPr>
        <w:t>Ing. VÍT ŠIMON, Ph.D.</w:t>
      </w:r>
    </w:p>
    <w:p w14:paraId="09C1FB1A" w14:textId="77777777" w:rsidR="006D6C37" w:rsidRDefault="00887DC5">
      <w:pPr>
        <w:rPr>
          <w:rFonts w:cs="Arial"/>
        </w:rPr>
      </w:pPr>
      <w:r>
        <w:rPr>
          <w:rFonts w:cs="Arial"/>
        </w:rPr>
        <w:t xml:space="preserve">              zhotovitel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objednatel</w:t>
      </w:r>
    </w:p>
    <w:p w14:paraId="71CAD867" w14:textId="77777777" w:rsidR="006D6C37" w:rsidRDefault="00887DC5">
      <w:pPr>
        <w:rPr>
          <w:rFonts w:cs="Arial"/>
        </w:rPr>
      </w:pPr>
      <w:r>
        <w:rPr>
          <w:rFonts w:cs="Arial"/>
        </w:rPr>
        <w:t xml:space="preserve">          </w:t>
      </w:r>
    </w:p>
    <w:p w14:paraId="0DDCDDF5" w14:textId="77777777" w:rsidR="006D6C37" w:rsidRDefault="006D6C37">
      <w:pPr>
        <w:rPr>
          <w:rFonts w:cs="Arial"/>
        </w:rPr>
      </w:pPr>
    </w:p>
    <w:p w14:paraId="6D3BC144" w14:textId="77777777" w:rsidR="006D6C37" w:rsidRDefault="006D6C37">
      <w:pPr>
        <w:rPr>
          <w:rFonts w:cs="Arial"/>
        </w:rPr>
      </w:pPr>
    </w:p>
    <w:p w14:paraId="28722F90" w14:textId="77777777" w:rsidR="006D6C37" w:rsidRDefault="006D6C37">
      <w:pPr>
        <w:rPr>
          <w:rFonts w:cs="Arial"/>
        </w:rPr>
      </w:pPr>
    </w:p>
    <w:p w14:paraId="3F97637B" w14:textId="77777777" w:rsidR="006D6C37" w:rsidRDefault="006D6C37">
      <w:pPr>
        <w:rPr>
          <w:rFonts w:cs="Arial"/>
        </w:rPr>
      </w:pPr>
    </w:p>
    <w:p w14:paraId="2DD03A0E" w14:textId="77777777" w:rsidR="006D6C37" w:rsidRDefault="006D6C37">
      <w:pPr>
        <w:rPr>
          <w:rFonts w:cs="Arial"/>
        </w:rPr>
      </w:pPr>
    </w:p>
    <w:p w14:paraId="284FF2CB" w14:textId="77777777" w:rsidR="006D6C37" w:rsidRDefault="006D6C37">
      <w:pPr>
        <w:rPr>
          <w:rFonts w:cs="Arial"/>
        </w:rPr>
      </w:pPr>
    </w:p>
    <w:p w14:paraId="1E222912" w14:textId="77777777" w:rsidR="006D6C37" w:rsidRDefault="006D6C37">
      <w:pPr>
        <w:numPr>
          <w:ilvl w:val="0"/>
          <w:numId w:val="1"/>
        </w:numPr>
        <w:rPr>
          <w:rFonts w:cs="Arial"/>
          <w:i/>
        </w:rPr>
      </w:pPr>
    </w:p>
    <w:sectPr w:rsidR="006D6C37">
      <w:footerReference w:type="default" r:id="rId8"/>
      <w:pgSz w:w="11906" w:h="16838"/>
      <w:pgMar w:top="1418" w:right="1106" w:bottom="1258" w:left="1417" w:header="0" w:footer="44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2C6E" w14:textId="77777777" w:rsidR="00216B8E" w:rsidRDefault="00216B8E">
      <w:r>
        <w:separator/>
      </w:r>
    </w:p>
  </w:endnote>
  <w:endnote w:type="continuationSeparator" w:id="0">
    <w:p w14:paraId="7E89DD38" w14:textId="77777777" w:rsidR="00216B8E" w:rsidRDefault="0021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189338"/>
      <w:docPartObj>
        <w:docPartGallery w:val="Page Numbers (Bottom of Page)"/>
        <w:docPartUnique/>
      </w:docPartObj>
    </w:sdtPr>
    <w:sdtEndPr/>
    <w:sdtContent>
      <w:p w14:paraId="5470F1D3" w14:textId="77777777" w:rsidR="006D6C37" w:rsidRDefault="00887DC5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BFA136E" w14:textId="77777777" w:rsidR="006D6C37" w:rsidRDefault="006D6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5FCC" w14:textId="77777777" w:rsidR="00216B8E" w:rsidRDefault="00216B8E">
      <w:r>
        <w:separator/>
      </w:r>
    </w:p>
  </w:footnote>
  <w:footnote w:type="continuationSeparator" w:id="0">
    <w:p w14:paraId="7F280F0F" w14:textId="77777777" w:rsidR="00216B8E" w:rsidRDefault="0021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B4D"/>
    <w:multiLevelType w:val="multilevel"/>
    <w:tmpl w:val="6596897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8107425"/>
    <w:multiLevelType w:val="multilevel"/>
    <w:tmpl w:val="DC846CC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17A42794"/>
    <w:multiLevelType w:val="multilevel"/>
    <w:tmpl w:val="44D869E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FC5094"/>
    <w:multiLevelType w:val="multilevel"/>
    <w:tmpl w:val="28A0D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612FCF"/>
    <w:multiLevelType w:val="multilevel"/>
    <w:tmpl w:val="BC904F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1CEA628A"/>
    <w:multiLevelType w:val="multilevel"/>
    <w:tmpl w:val="4E28CAE6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 w15:restartNumberingAfterBreak="0">
    <w:nsid w:val="202D13C9"/>
    <w:multiLevelType w:val="multilevel"/>
    <w:tmpl w:val="675A64F0"/>
    <w:lvl w:ilvl="0">
      <w:start w:val="14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3064D66"/>
    <w:multiLevelType w:val="multilevel"/>
    <w:tmpl w:val="1B526C66"/>
    <w:lvl w:ilvl="0">
      <w:start w:val="1"/>
      <w:numFmt w:val="lowerLetter"/>
      <w:lvlText w:val="%1)"/>
      <w:lvlJc w:val="left"/>
      <w:pPr>
        <w:tabs>
          <w:tab w:val="num" w:pos="0"/>
        </w:tabs>
        <w:ind w:left="18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90" w:hanging="180"/>
      </w:pPr>
    </w:lvl>
  </w:abstractNum>
  <w:abstractNum w:abstractNumId="8" w15:restartNumberingAfterBreak="0">
    <w:nsid w:val="2BD65D8D"/>
    <w:multiLevelType w:val="multilevel"/>
    <w:tmpl w:val="734A613A"/>
    <w:lvl w:ilvl="0">
      <w:start w:val="13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2EE5544E"/>
    <w:multiLevelType w:val="multilevel"/>
    <w:tmpl w:val="DC3ECC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33D369CB"/>
    <w:multiLevelType w:val="multilevel"/>
    <w:tmpl w:val="C21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E6271"/>
    <w:multiLevelType w:val="multilevel"/>
    <w:tmpl w:val="9F8687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4DDC3126"/>
    <w:multiLevelType w:val="multilevel"/>
    <w:tmpl w:val="75FA805E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50300CC8"/>
    <w:multiLevelType w:val="multilevel"/>
    <w:tmpl w:val="2C90EE78"/>
    <w:lvl w:ilvl="0">
      <w:start w:val="10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59D5125A"/>
    <w:multiLevelType w:val="multilevel"/>
    <w:tmpl w:val="6A5A8AAE"/>
    <w:lvl w:ilvl="0">
      <w:start w:val="12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5E227936"/>
    <w:multiLevelType w:val="multilevel"/>
    <w:tmpl w:val="0E1EF224"/>
    <w:lvl w:ilvl="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74675C"/>
    <w:multiLevelType w:val="multilevel"/>
    <w:tmpl w:val="E286ED9E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6F5D00E2"/>
    <w:multiLevelType w:val="multilevel"/>
    <w:tmpl w:val="1818988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7386241A"/>
    <w:multiLevelType w:val="multilevel"/>
    <w:tmpl w:val="7E68B8B4"/>
    <w:lvl w:ilvl="0">
      <w:start w:val="11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9" w15:restartNumberingAfterBreak="0">
    <w:nsid w:val="74AB1898"/>
    <w:multiLevelType w:val="multilevel"/>
    <w:tmpl w:val="6CC2A86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227567991">
    <w:abstractNumId w:val="15"/>
  </w:num>
  <w:num w:numId="2" w16cid:durableId="484594646">
    <w:abstractNumId w:val="10"/>
  </w:num>
  <w:num w:numId="3" w16cid:durableId="774135918">
    <w:abstractNumId w:val="2"/>
  </w:num>
  <w:num w:numId="4" w16cid:durableId="1906866801">
    <w:abstractNumId w:val="9"/>
  </w:num>
  <w:num w:numId="5" w16cid:durableId="1152600240">
    <w:abstractNumId w:val="0"/>
  </w:num>
  <w:num w:numId="6" w16cid:durableId="2053536901">
    <w:abstractNumId w:val="4"/>
  </w:num>
  <w:num w:numId="7" w16cid:durableId="930550216">
    <w:abstractNumId w:val="19"/>
  </w:num>
  <w:num w:numId="8" w16cid:durableId="620501910">
    <w:abstractNumId w:val="11"/>
  </w:num>
  <w:num w:numId="9" w16cid:durableId="1554854746">
    <w:abstractNumId w:val="5"/>
  </w:num>
  <w:num w:numId="10" w16cid:durableId="650594814">
    <w:abstractNumId w:val="1"/>
  </w:num>
  <w:num w:numId="11" w16cid:durableId="829908001">
    <w:abstractNumId w:val="17"/>
  </w:num>
  <w:num w:numId="12" w16cid:durableId="1888375278">
    <w:abstractNumId w:val="7"/>
  </w:num>
  <w:num w:numId="13" w16cid:durableId="2018344190">
    <w:abstractNumId w:val="16"/>
  </w:num>
  <w:num w:numId="14" w16cid:durableId="989559238">
    <w:abstractNumId w:val="12"/>
  </w:num>
  <w:num w:numId="15" w16cid:durableId="1912423578">
    <w:abstractNumId w:val="13"/>
  </w:num>
  <w:num w:numId="16" w16cid:durableId="675034516">
    <w:abstractNumId w:val="18"/>
  </w:num>
  <w:num w:numId="17" w16cid:durableId="1883057348">
    <w:abstractNumId w:val="14"/>
  </w:num>
  <w:num w:numId="18" w16cid:durableId="1797068828">
    <w:abstractNumId w:val="8"/>
  </w:num>
  <w:num w:numId="19" w16cid:durableId="630748782">
    <w:abstractNumId w:val="6"/>
  </w:num>
  <w:num w:numId="20" w16cid:durableId="1864399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37"/>
    <w:rsid w:val="000419B7"/>
    <w:rsid w:val="00204668"/>
    <w:rsid w:val="00216B8E"/>
    <w:rsid w:val="00283854"/>
    <w:rsid w:val="0048211C"/>
    <w:rsid w:val="005379E7"/>
    <w:rsid w:val="006248F8"/>
    <w:rsid w:val="00635C2E"/>
    <w:rsid w:val="00696912"/>
    <w:rsid w:val="006D6C37"/>
    <w:rsid w:val="00756FDF"/>
    <w:rsid w:val="00887DC5"/>
    <w:rsid w:val="008F3BB9"/>
    <w:rsid w:val="009D438D"/>
    <w:rsid w:val="00A12FB0"/>
    <w:rsid w:val="00E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F734"/>
  <w15:docId w15:val="{7CA5023E-1DE3-4051-B122-BC8930A8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25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CharChar">
    <w:name w:val="Prostý text Char Char Char"/>
    <w:qFormat/>
    <w:rsid w:val="006D6670"/>
    <w:rPr>
      <w:rFonts w:ascii="Courier New" w:hAnsi="Courier New" w:cs="Courier New"/>
      <w:lang w:val="cs-CZ" w:eastAsia="cs-CZ" w:bidi="ar-SA"/>
    </w:rPr>
  </w:style>
  <w:style w:type="character" w:customStyle="1" w:styleId="spiszn">
    <w:name w:val="spiszn"/>
    <w:qFormat/>
    <w:rsid w:val="003F6463"/>
  </w:style>
  <w:style w:type="character" w:styleId="Odkaznakoment">
    <w:name w:val="annotation reference"/>
    <w:qFormat/>
    <w:rsid w:val="00A53F23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A53F23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qFormat/>
    <w:rsid w:val="00D34D85"/>
    <w:rPr>
      <w:rFonts w:ascii="Arial" w:hAnsi="Arial"/>
      <w:b/>
      <w:bCs/>
    </w:rPr>
  </w:style>
  <w:style w:type="character" w:customStyle="1" w:styleId="Nadpis9Char">
    <w:name w:val="Nadpis 9 Char"/>
    <w:basedOn w:val="Standardnpsmoodstavce"/>
    <w:link w:val="Nadpis9"/>
    <w:semiHidden/>
    <w:qFormat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qFormat/>
    <w:rsid w:val="009906F8"/>
  </w:style>
  <w:style w:type="character" w:customStyle="1" w:styleId="Nadpis1Char">
    <w:name w:val="Nadpis 1 Char"/>
    <w:basedOn w:val="Standardnpsmoodstavce"/>
    <w:link w:val="Nadpis1"/>
    <w:qFormat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semiHidden/>
    <w:qFormat/>
    <w:rsid w:val="007C25C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F53C7E"/>
    <w:rPr>
      <w:color w:val="0563C1"/>
      <w:u w:val="single"/>
    </w:rPr>
  </w:style>
  <w:style w:type="character" w:styleId="Zdraznn">
    <w:name w:val="Emphasis"/>
    <w:basedOn w:val="Standardnpsmoodstavce"/>
    <w:uiPriority w:val="20"/>
    <w:qFormat/>
    <w:rsid w:val="009E03F6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F51215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51522"/>
    <w:rPr>
      <w:rFonts w:ascii="Arial" w:hAnsi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A65E6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qFormat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qFormat/>
    <w:rsid w:val="006D6670"/>
    <w:pPr>
      <w:spacing w:line="276" w:lineRule="auto"/>
    </w:pPr>
    <w:rPr>
      <w:sz w:val="24"/>
    </w:rPr>
  </w:style>
  <w:style w:type="paragraph" w:styleId="Normlnweb">
    <w:name w:val="Normal (Web)"/>
    <w:basedOn w:val="Normln"/>
    <w:qFormat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paragraph" w:styleId="Textbubliny">
    <w:name w:val="Balloon Text"/>
    <w:basedOn w:val="Normln"/>
    <w:semiHidden/>
    <w:qFormat/>
    <w:rsid w:val="003554C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A53F23"/>
  </w:style>
  <w:style w:type="paragraph" w:styleId="Pedmtkomente">
    <w:name w:val="annotation subject"/>
    <w:basedOn w:val="Textkomente"/>
    <w:next w:val="Textkomente"/>
    <w:link w:val="PedmtkomenteChar"/>
    <w:qFormat/>
    <w:rsid w:val="00D34D85"/>
    <w:rPr>
      <w:b/>
      <w:bCs/>
    </w:rPr>
  </w:style>
  <w:style w:type="paragraph" w:styleId="Revize">
    <w:name w:val="Revision"/>
    <w:uiPriority w:val="99"/>
    <w:semiHidden/>
    <w:qFormat/>
    <w:rsid w:val="00D34D85"/>
    <w:rPr>
      <w:rFonts w:ascii="Arial" w:hAnsi="Arial"/>
    </w:rPr>
  </w:style>
  <w:style w:type="paragraph" w:customStyle="1" w:styleId="ZkladntextodsazenIMP">
    <w:name w:val="Základní text odsazený_IMP"/>
    <w:basedOn w:val="Normln"/>
    <w:qFormat/>
    <w:rsid w:val="008F223C"/>
    <w:pPr>
      <w:tabs>
        <w:tab w:val="left" w:pos="6720"/>
      </w:tabs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280D1B"/>
    <w:pPr>
      <w:ind w:left="720"/>
      <w:contextualSpacing/>
    </w:pPr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FD18E-EC6A-4861-BB27-2D9B723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4375</Words>
  <Characters>25814</Characters>
  <Application>Microsoft Office Word</Application>
  <DocSecurity>0</DocSecurity>
  <Lines>215</Lines>
  <Paragraphs>60</Paragraphs>
  <ScaleCrop>false</ScaleCrop>
  <Company>Fagus s.r.o. / Strom Praha a.s.</Company>
  <LinksUpToDate>false</LinksUpToDate>
  <CharactersWithSpaces>30129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subject/>
  <dc:creator>petraskova</dc:creator>
  <dc:description/>
  <cp:lastModifiedBy>Pokorná Kamila</cp:lastModifiedBy>
  <cp:revision>7</cp:revision>
  <cp:lastPrinted>2015-09-22T12:39:00Z</cp:lastPrinted>
  <dcterms:created xsi:type="dcterms:W3CDTF">2026-01-09T15:46:00Z</dcterms:created>
  <dcterms:modified xsi:type="dcterms:W3CDTF">2026-02-09T14:12:00Z</dcterms:modified>
  <dc:language>cs-CZ</dc:language>
</cp:coreProperties>
</file>