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b/>
          <w:color w:val="2F5D50"/>
          <w:sz w:val="40"/>
        </w:rPr>
        <w:t>PŘÍLOHA Č. 10</w:t>
      </w:r>
    </w:p>
    <w:p>
      <w:pPr>
        <w:jc w:val="center"/>
      </w:pPr>
      <w:r>
        <w:rPr>
          <w:b/>
          <w:sz w:val="26"/>
        </w:rPr>
        <w:t>Harmonogram a členění etap</w:t>
      </w:r>
    </w:p>
    <w:p>
      <w:pPr>
        <w:spacing w:before="600"/>
        <w:jc w:val="center"/>
      </w:pPr>
      <w:r>
        <w:rPr>
          <w:rFonts w:ascii="Aptos" w:hAnsi="Aptos"/>
          <w:sz w:val="18"/>
        </w:rPr>
        <w:t>Zadavatel: Biofarma Pod Hájkem s.r.o.</w:t>
        <w:br/>
        <w:t>IČO: 24736261</w:t>
        <w:br/>
        <w:t>Označení dokumentu: P10</w:t>
        <w:br/>
        <w:t>Verze: V06G</w:t>
        <w:br/>
        <w:t>Datum zpracování: 18. 7. 2026</w:t>
      </w:r>
    </w:p>
    <w:p>
      <w:r>
        <w:br w:type="page"/>
      </w:r>
    </w:p>
    <w:p>
      <w:r>
        <w:t>Účastník uvede závazný maximální počet kalendářních dnů, po které bude objekt z důvodu realizace každé etapy úplně uzavřen ubytovaným hostům. Hodnotí se aritmetický součet dob A–E.</w:t>
      </w:r>
    </w:p>
    <w:p>
      <w:r>
        <w:t>Doba etapy začíná protokolárním předáním pracoviště a úplným uzavřením objektu pro danou etapu a končí písemným převzetím celé etapy. Zahrnuje víkendy, svátky, technologické přestávky a čekání na materiál. Příprava a výroba mimo objekt před uzavřením se nezapočítává.</w:t>
      </w:r>
    </w:p>
    <w:p>
      <w:r>
        <w:rPr>
          <w:rFonts w:ascii="Aptos" w:hAnsi="Aptos"/>
          <w:b/>
          <w:sz w:val="18"/>
        </w:rPr>
        <w:t>Aktivace etapy nezahajuje běh hodnocené doby a provozní pauzy mezi etapami se nezapočítávají.</w:t>
      </w:r>
    </w:p>
    <w:p>
      <w:r>
        <w:rPr>
          <w:rFonts w:ascii="Aptos" w:hAnsi="Aptos"/>
          <w:b w:val="0"/>
          <w:sz w:val="18"/>
        </w:rPr>
        <w:t>Do tabulky se uvádí pouze čistá maximální doba uzavření objektu pro každou jednotlivou etapu. Doba mezi převzetím jedné etapy a předáním pracoviště pro další etapu se do žádného řádku ani do součtu A–E nezahrnuje.</w:t>
      </w:r>
    </w:p>
    <w:p>
      <w:pPr>
        <w:pStyle w:val="Heading1"/>
      </w:pPr>
      <w:r>
        <w:t>Závazné maximální doby etap</w:t>
      </w:r>
    </w:p>
    <w:tbl>
      <w:tblPr>
        <w:tblStyle w:val="TableGrid"/>
        <w:tblW w:type="dxa" w:w="9783"/>
        <w:jc w:val="center"/>
        <w:tblLayout w:type="fixed"/>
        <w:tblLook w:firstColumn="1" w:firstRow="1" w:lastColumn="0" w:lastRow="0" w:noHBand="0" w:noVBand="1" w:val="04A0"/>
      </w:tblPr>
      <w:tblGrid>
        <w:gridCol w:w="2446"/>
        <w:gridCol w:w="2446"/>
        <w:gridCol w:w="2446"/>
        <w:gridCol w:w="2446"/>
      </w:tblGrid>
      <w:tr>
        <w:trPr>
          <w:tblHeader w:val="true"/>
          <w:cantSplit/>
        </w:trPr>
        <w:tc>
          <w:tcPr>
            <w:tcW w:type="dxa" w:w="244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Etapa</w:t>
            </w:r>
          </w:p>
        </w:tc>
        <w:tc>
          <w:tcPr>
            <w:tcW w:type="dxa" w:w="244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Rozsah</w:t>
            </w:r>
          </w:p>
        </w:tc>
        <w:tc>
          <w:tcPr>
            <w:tcW w:type="dxa" w:w="244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Maximální doba úplného uzavření objektu (kal. dny)</w:t>
            </w:r>
          </w:p>
        </w:tc>
        <w:tc>
          <w:tcPr>
            <w:tcW w:type="dxa" w:w="244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Stručná organizace / hlavní souběhy</w:t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A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Okna, dveře, opláštění a zateplení objektu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B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Balkon a venkovní schodiště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C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WC a koupelna včetně ventilátorů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D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Lodžie, podlahové krytiny, svítidla a malby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E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Plynový kondenzační kotel a související práce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2446"/>
            <w:vAlign w:val="center"/>
            <w:shd w:fill="E2F0D9"/>
          </w:tcPr>
          <w:p>
            <w:r/>
            <w:r>
              <w:rPr>
                <w:rFonts w:ascii="Aptos" w:hAnsi="Aptos"/>
                <w:b/>
                <w:sz w:val="18"/>
              </w:rPr>
              <w:t>SOUČET A–E</w:t>
            </w:r>
          </w:p>
        </w:tc>
        <w:tc>
          <w:tcPr>
            <w:tcW w:type="dxa" w:w="2446"/>
            <w:vAlign w:val="center"/>
            <w:shd w:fill="E2F0D9"/>
          </w:tcPr>
          <w:p>
            <w:r/>
            <w:r>
              <w:rPr>
                <w:rFonts w:ascii="Aptos" w:hAnsi="Aptos"/>
                <w:b/>
                <w:sz w:val="18"/>
              </w:rPr>
              <w:t>Aritmetický součet pěti nabídnutých dob</w:t>
            </w:r>
          </w:p>
        </w:tc>
        <w:tc>
          <w:tcPr>
            <w:tcW w:type="dxa" w:w="2446"/>
            <w:vAlign w:val="center"/>
            <w:shd w:fill="E2F0D9"/>
          </w:tcPr>
          <w:p>
            <w:r/>
            <w:r>
              <w:rPr>
                <w:rFonts w:ascii="Aptos" w:hAnsi="Aptos"/>
                <w:b/>
                <w:sz w:val="18"/>
              </w:rPr>
            </w:r>
          </w:p>
        </w:tc>
        <w:tc>
          <w:tcPr>
            <w:tcW w:type="dxa" w:w="2446"/>
            <w:vAlign w:val="center"/>
            <w:shd w:fill="E2F0D9"/>
          </w:tcPr>
          <w:p>
            <w:r/>
            <w:r>
              <w:rPr>
                <w:rFonts w:ascii="Aptos" w:hAnsi="Aptos"/>
                <w:b/>
                <w:sz w:val="18"/>
              </w:rPr>
              <w:t>Musí být shodný s P11</w:t>
            </w:r>
          </w:p>
        </w:tc>
      </w:tr>
    </w:tbl>
    <w:p>
      <w:pPr>
        <w:pStyle w:val="Heading1"/>
      </w:pPr>
      <w:r>
        <w:t>Závazné zásady</w:t>
      </w:r>
    </w:p>
    <w:p>
      <w:pPr>
        <w:pStyle w:val="ListBullet"/>
      </w:pPr>
      <w:r>
        <w:t>Každá doba se uvádí jako kladný celý počet kalendářních dnů.</w:t>
      </w:r>
    </w:p>
    <w:p>
      <w:pPr>
        <w:pStyle w:val="ListBullet"/>
      </w:pPr>
      <w:r>
        <w:t>Součet nejvýše 80 dnů získává plný počet bodů; kratší nabídka již další body nepřináší, ale zůstává smluvně závazná.</w:t>
      </w:r>
    </w:p>
    <w:p>
      <w:pPr>
        <w:pStyle w:val="ListBullet"/>
      </w:pPr>
      <w:r>
        <w:rPr>
          <w:rFonts w:ascii="Aptos" w:hAnsi="Aptos"/>
          <w:sz w:val="18"/>
        </w:rPr>
        <w:t>Etapa A je závazně objednána smlouvou. Etapy B–E jsou podmíněny výsledkem administrace dotace a provádějí se po písemné aktivaci v rozsahu schváleném SZIF. Všech pět etap musí být v nabídce oceněno a časově uvedeno. Samotná aktivace není předáním pracoviště ani zahájením běhu doby etapy.</w:t>
      </w:r>
    </w:p>
    <w:p>
      <w:pPr>
        <w:pStyle w:val="ListBullet"/>
      </w:pPr>
      <w:r>
        <w:t>Jednotlivé etapy mohou být aktivovány samostatně nebo souběžně. Při souběhu se doba každé etapy měří samostatně; pro hodnocení se vždy použije součet pěti nabídnutých dob.</w:t>
      </w:r>
    </w:p>
    <w:p>
      <w:pPr>
        <w:pStyle w:val="ListBullet"/>
      </w:pPr>
      <w:r>
        <w:t>Zhotovitel zahájí uzavření objektu až po zajištění potřebných výrobků, materiálů, pracovníků a poddodavatelů.</w:t>
      </w:r>
    </w:p>
    <w:p>
      <w:pPr>
        <w:pStyle w:val="ListBullet"/>
      </w:pPr>
      <w:r>
        <w:t>Aktualizovaný kalendářní harmonogram konkrétní aktivované etapy předloží zhotovitel do pěti pracovních dnů od výzvy.</w:t>
      </w:r>
    </w:p>
    <w:p>
      <w:pPr>
        <w:pStyle w:val="ListBullet"/>
      </w:pPr>
      <w:r>
        <w:t>Nabídnuté doby lze prodloužit jen z důvodů a postupem výslovně uvedeným ve smlouvě.</w:t>
      </w:r>
    </w:p>
    <w:p>
      <w:r>
        <w:t>V ................................ dne ........................</w:t>
      </w:r>
    </w:p>
    <w:tbl>
      <w:tblPr>
        <w:tblStyle w:val="TableGrid"/>
        <w:tblW w:type="dxa" w:w="9783"/>
        <w:jc w:val="center"/>
        <w:tblLayout w:type="fixed"/>
        <w:tblLook w:firstColumn="1" w:firstRow="1" w:lastColumn="0" w:lastRow="0" w:noHBand="0" w:noVBand="1" w:val="04A0"/>
      </w:tblPr>
      <w:tblGrid>
        <w:gridCol w:w="4892"/>
        <w:gridCol w:w="4892"/>
      </w:tblGrid>
      <w:tr>
        <w:trPr>
          <w:cantSplit/>
        </w:trPr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Účastník</w:t>
            </w:r>
          </w:p>
        </w:tc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Jméno, funkce a podpis</w:t>
            </w:r>
          </w:p>
        </w:tc>
      </w:tr>
      <w:tr>
        <w:trPr>
          <w:cantSplit/>
        </w:trPr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........................................................</w:t>
            </w:r>
          </w:p>
        </w:tc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........................................................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2240" w:h="15840"/>
      <w:pgMar w:top="1020" w:right="1020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 xml:space="preserve">Biofarma Pod Hájkem s.r.o.  •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t>Agroturistika na farmě  |  P10  |  verze V06G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2222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2F5D5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Doplnit">
    <w:name w:val="Doplnit"/>
    <w:rPr>
      <w:rFonts w:ascii="Arial" w:hAnsi="Arial"/>
      <w:b/>
      <w:color w:val="9C65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P10_Harmonogram_a_cleneni_etap_V04</dc:title>
  <dc:subject>Agroturistika na farmě – zadávací dokumentace</dc:subject>
  <dc:creator>Biofarma Pod Hájkem s.r.o.</dc:creator>
  <cp:keywords>SZIF, výběrové řízení, Agroturistika na farmě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