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FCD4" w14:textId="09EF9AF5" w:rsidR="00FD22EC" w:rsidRDefault="00192A35">
      <w:r>
        <w:rPr>
          <w:noProof/>
        </w:rPr>
        <w:drawing>
          <wp:inline distT="0" distB="0" distL="0" distR="0" wp14:anchorId="481869B4" wp14:editId="675ABD6E">
            <wp:extent cx="8892540" cy="4536440"/>
            <wp:effectExtent l="0" t="0" r="3810" b="16510"/>
            <wp:docPr id="889826010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2363216C-9F55-4267-A140-804AEBF5E5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D22EC" w:rsidSect="00AA67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B7"/>
    <w:rsid w:val="00192A35"/>
    <w:rsid w:val="00194C5F"/>
    <w:rsid w:val="002524EA"/>
    <w:rsid w:val="00314B5E"/>
    <w:rsid w:val="00546609"/>
    <w:rsid w:val="005C20DE"/>
    <w:rsid w:val="005F1662"/>
    <w:rsid w:val="006117CB"/>
    <w:rsid w:val="0070455B"/>
    <w:rsid w:val="00AA67B7"/>
    <w:rsid w:val="00FD22EC"/>
    <w:rsid w:val="00F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88FB"/>
  <w15:chartTrackingRefBased/>
  <w15:docId w15:val="{C7902928-AB89-45A2-9854-8C4A98B1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5463\Desktop\&#381;N&#282;_2023\7.8.2023\Graf%20-%20Pr&#367;b&#283;h%20sklizn&#283;%20obilnin%202019-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500"/>
            </a:pPr>
            <a:r>
              <a:rPr lang="cs-CZ" sz="1500" baseline="0"/>
              <a:t>Průběh sklizně obilnin a řepky v ČR v letech 2019</a:t>
            </a:r>
            <a:r>
              <a:rPr lang="cs-CZ" sz="1500" baseline="0">
                <a:latin typeface="Calibri" panose="020F0502020204030204" pitchFamily="34" charset="0"/>
                <a:cs typeface="Calibri" panose="020F0502020204030204" pitchFamily="34" charset="0"/>
              </a:rPr>
              <a:t>−</a:t>
            </a:r>
            <a:r>
              <a:rPr lang="cs-CZ" sz="1500" baseline="0"/>
              <a:t>2023</a:t>
            </a:r>
            <a:endParaRPr lang="cs-CZ" sz="1500"/>
          </a:p>
        </c:rich>
      </c:tx>
      <c:layout>
        <c:manualLayout>
          <c:xMode val="edge"/>
          <c:yMode val="edge"/>
          <c:x val="0.30224459747409621"/>
          <c:y val="2.643533660856495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6818706731013883E-2"/>
          <c:y val="0.19686569543110985"/>
          <c:w val="0.92031983972824793"/>
          <c:h val="0.6271108434516901"/>
        </c:manualLayout>
      </c:layout>
      <c:lineChart>
        <c:grouping val="standard"/>
        <c:varyColors val="0"/>
        <c:ser>
          <c:idx val="0"/>
          <c:order val="0"/>
          <c:tx>
            <c:strRef>
              <c:f>Graf_2023!$A$5</c:f>
              <c:strCache>
                <c:ptCount val="1"/>
                <c:pt idx="0">
                  <c:v>Obilniny (tis. ha)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multiLvlStrRef>
              <c:f>Graf_2023!$B$3:$AU$4</c:f>
              <c:multiLvlStrCache>
                <c:ptCount val="46"/>
                <c:lvl>
                  <c:pt idx="0">
                    <c:v>8.7.</c:v>
                  </c:pt>
                  <c:pt idx="1">
                    <c:v>15.7.</c:v>
                  </c:pt>
                  <c:pt idx="2">
                    <c:v>22.7.</c:v>
                  </c:pt>
                  <c:pt idx="3">
                    <c:v>29.7.</c:v>
                  </c:pt>
                  <c:pt idx="4">
                    <c:v>5.8.</c:v>
                  </c:pt>
                  <c:pt idx="5">
                    <c:v>12.8.</c:v>
                  </c:pt>
                  <c:pt idx="6">
                    <c:v>19.8.</c:v>
                  </c:pt>
                  <c:pt idx="7">
                    <c:v>26.8.</c:v>
                  </c:pt>
                  <c:pt idx="8">
                    <c:v>2.9.</c:v>
                  </c:pt>
                  <c:pt idx="10">
                    <c:v>7.7.</c:v>
                  </c:pt>
                  <c:pt idx="11">
                    <c:v>13.7.</c:v>
                  </c:pt>
                  <c:pt idx="12">
                    <c:v>20.7.</c:v>
                  </c:pt>
                  <c:pt idx="13">
                    <c:v>27.7.</c:v>
                  </c:pt>
                  <c:pt idx="14">
                    <c:v>3.8.</c:v>
                  </c:pt>
                  <c:pt idx="15">
                    <c:v>10.8.</c:v>
                  </c:pt>
                  <c:pt idx="16">
                    <c:v>17.8.</c:v>
                  </c:pt>
                  <c:pt idx="17">
                    <c:v>24.8.</c:v>
                  </c:pt>
                  <c:pt idx="18">
                    <c:v>31.8.</c:v>
                  </c:pt>
                  <c:pt idx="19">
                    <c:v>7.9.</c:v>
                  </c:pt>
                  <c:pt idx="21">
                    <c:v>12.7.</c:v>
                  </c:pt>
                  <c:pt idx="22">
                    <c:v>19.7.</c:v>
                  </c:pt>
                  <c:pt idx="23">
                    <c:v>26.7.</c:v>
                  </c:pt>
                  <c:pt idx="24">
                    <c:v>2.8.</c:v>
                  </c:pt>
                  <c:pt idx="25">
                    <c:v>9.8.</c:v>
                  </c:pt>
                  <c:pt idx="26">
                    <c:v>16.8.</c:v>
                  </c:pt>
                  <c:pt idx="27">
                    <c:v>23.8.</c:v>
                  </c:pt>
                  <c:pt idx="28">
                    <c:v>30.8.</c:v>
                  </c:pt>
                  <c:pt idx="29">
                    <c:v>6.9.</c:v>
                  </c:pt>
                  <c:pt idx="30">
                    <c:v>13.9.</c:v>
                  </c:pt>
                  <c:pt idx="32">
                    <c:v>11.7.</c:v>
                  </c:pt>
                  <c:pt idx="33">
                    <c:v>18.7.</c:v>
                  </c:pt>
                  <c:pt idx="34">
                    <c:v>25.7.</c:v>
                  </c:pt>
                  <c:pt idx="35">
                    <c:v>1.8.</c:v>
                  </c:pt>
                  <c:pt idx="36">
                    <c:v>8.8.</c:v>
                  </c:pt>
                  <c:pt idx="37">
                    <c:v>15.8.</c:v>
                  </c:pt>
                  <c:pt idx="39">
                    <c:v>10.7.</c:v>
                  </c:pt>
                  <c:pt idx="40">
                    <c:v>17.7.</c:v>
                  </c:pt>
                  <c:pt idx="41">
                    <c:v>24.7.</c:v>
                  </c:pt>
                  <c:pt idx="42">
                    <c:v>31.7.</c:v>
                  </c:pt>
                  <c:pt idx="43">
                    <c:v>7.8.</c:v>
                  </c:pt>
                  <c:pt idx="44">
                    <c:v>14.8.</c:v>
                  </c:pt>
                  <c:pt idx="45">
                    <c:v>21.8.</c:v>
                  </c:pt>
                </c:lvl>
                <c:lvl>
                  <c:pt idx="0">
                    <c:v>2019</c:v>
                  </c:pt>
                  <c:pt idx="10">
                    <c:v>2020</c:v>
                  </c:pt>
                  <c:pt idx="21">
                    <c:v>2021</c:v>
                  </c:pt>
                  <c:pt idx="32">
                    <c:v>2022</c:v>
                  </c:pt>
                  <c:pt idx="39">
                    <c:v>2023</c:v>
                  </c:pt>
                </c:lvl>
              </c:multiLvlStrCache>
            </c:multiLvlStrRef>
          </c:cat>
          <c:val>
            <c:numRef>
              <c:f>Graf_2023!$B$5:$AU$5</c:f>
              <c:numCache>
                <c:formatCode>General</c:formatCode>
                <c:ptCount val="46"/>
                <c:pt idx="0">
                  <c:v>47.3</c:v>
                </c:pt>
                <c:pt idx="1">
                  <c:v>164.7</c:v>
                </c:pt>
                <c:pt idx="2">
                  <c:v>293.8</c:v>
                </c:pt>
                <c:pt idx="3">
                  <c:v>568.70000000000005</c:v>
                </c:pt>
                <c:pt idx="4">
                  <c:v>814.8</c:v>
                </c:pt>
                <c:pt idx="5">
                  <c:v>1005.6</c:v>
                </c:pt>
                <c:pt idx="6">
                  <c:v>1154.7</c:v>
                </c:pt>
                <c:pt idx="7">
                  <c:v>1243</c:v>
                </c:pt>
                <c:pt idx="8" formatCode="#\ ##0.0">
                  <c:v>1269</c:v>
                </c:pt>
                <c:pt idx="10">
                  <c:v>1.6</c:v>
                </c:pt>
                <c:pt idx="11">
                  <c:v>18.2</c:v>
                </c:pt>
                <c:pt idx="12">
                  <c:v>78.900000000000006</c:v>
                </c:pt>
                <c:pt idx="13">
                  <c:v>179.9</c:v>
                </c:pt>
                <c:pt idx="14">
                  <c:v>477.2</c:v>
                </c:pt>
                <c:pt idx="15">
                  <c:v>697.7</c:v>
                </c:pt>
                <c:pt idx="16">
                  <c:v>980.5</c:v>
                </c:pt>
                <c:pt idx="17">
                  <c:v>1140</c:v>
                </c:pt>
                <c:pt idx="18">
                  <c:v>1241.2</c:v>
                </c:pt>
                <c:pt idx="19">
                  <c:v>1249.4000000000001</c:v>
                </c:pt>
                <c:pt idx="21">
                  <c:v>14.2</c:v>
                </c:pt>
                <c:pt idx="22" formatCode="0.0">
                  <c:v>38</c:v>
                </c:pt>
                <c:pt idx="23">
                  <c:v>151.5</c:v>
                </c:pt>
                <c:pt idx="24">
                  <c:v>282.2</c:v>
                </c:pt>
                <c:pt idx="25">
                  <c:v>373.2</c:v>
                </c:pt>
                <c:pt idx="26">
                  <c:v>640.79999999999995</c:v>
                </c:pt>
                <c:pt idx="27">
                  <c:v>941.7</c:v>
                </c:pt>
                <c:pt idx="28">
                  <c:v>1050.5999999999999</c:v>
                </c:pt>
                <c:pt idx="29">
                  <c:v>1156.5</c:v>
                </c:pt>
                <c:pt idx="30" formatCode="#\ ##0.0">
                  <c:v>1235.3</c:v>
                </c:pt>
                <c:pt idx="32">
                  <c:v>47.2</c:v>
                </c:pt>
                <c:pt idx="33">
                  <c:v>184.1</c:v>
                </c:pt>
                <c:pt idx="34">
                  <c:v>482.2</c:v>
                </c:pt>
                <c:pt idx="35">
                  <c:v>785.5</c:v>
                </c:pt>
                <c:pt idx="36">
                  <c:v>1015.5</c:v>
                </c:pt>
                <c:pt idx="37" formatCode="#\ ##0.0">
                  <c:v>1226.9000000000001</c:v>
                </c:pt>
                <c:pt idx="39">
                  <c:v>31.2</c:v>
                </c:pt>
                <c:pt idx="40">
                  <c:v>135.1</c:v>
                </c:pt>
                <c:pt idx="41">
                  <c:v>348.6</c:v>
                </c:pt>
                <c:pt idx="42">
                  <c:v>500.4</c:v>
                </c:pt>
                <c:pt idx="43" formatCode="0.0">
                  <c:v>561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7B3-443B-B853-4E3207D6E415}"/>
            </c:ext>
          </c:extLst>
        </c:ser>
        <c:ser>
          <c:idx val="1"/>
          <c:order val="1"/>
          <c:tx>
            <c:strRef>
              <c:f>Graf_2023!$A$6</c:f>
              <c:strCache>
                <c:ptCount val="1"/>
                <c:pt idx="0">
                  <c:v>Řepka (tis. ha)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Graf_2023!$B$3:$AU$4</c:f>
              <c:multiLvlStrCache>
                <c:ptCount val="46"/>
                <c:lvl>
                  <c:pt idx="0">
                    <c:v>8.7.</c:v>
                  </c:pt>
                  <c:pt idx="1">
                    <c:v>15.7.</c:v>
                  </c:pt>
                  <c:pt idx="2">
                    <c:v>22.7.</c:v>
                  </c:pt>
                  <c:pt idx="3">
                    <c:v>29.7.</c:v>
                  </c:pt>
                  <c:pt idx="4">
                    <c:v>5.8.</c:v>
                  </c:pt>
                  <c:pt idx="5">
                    <c:v>12.8.</c:v>
                  </c:pt>
                  <c:pt idx="6">
                    <c:v>19.8.</c:v>
                  </c:pt>
                  <c:pt idx="7">
                    <c:v>26.8.</c:v>
                  </c:pt>
                  <c:pt idx="8">
                    <c:v>2.9.</c:v>
                  </c:pt>
                  <c:pt idx="10">
                    <c:v>7.7.</c:v>
                  </c:pt>
                  <c:pt idx="11">
                    <c:v>13.7.</c:v>
                  </c:pt>
                  <c:pt idx="12">
                    <c:v>20.7.</c:v>
                  </c:pt>
                  <c:pt idx="13">
                    <c:v>27.7.</c:v>
                  </c:pt>
                  <c:pt idx="14">
                    <c:v>3.8.</c:v>
                  </c:pt>
                  <c:pt idx="15">
                    <c:v>10.8.</c:v>
                  </c:pt>
                  <c:pt idx="16">
                    <c:v>17.8.</c:v>
                  </c:pt>
                  <c:pt idx="17">
                    <c:v>24.8.</c:v>
                  </c:pt>
                  <c:pt idx="18">
                    <c:v>31.8.</c:v>
                  </c:pt>
                  <c:pt idx="19">
                    <c:v>7.9.</c:v>
                  </c:pt>
                  <c:pt idx="21">
                    <c:v>12.7.</c:v>
                  </c:pt>
                  <c:pt idx="22">
                    <c:v>19.7.</c:v>
                  </c:pt>
                  <c:pt idx="23">
                    <c:v>26.7.</c:v>
                  </c:pt>
                  <c:pt idx="24">
                    <c:v>2.8.</c:v>
                  </c:pt>
                  <c:pt idx="25">
                    <c:v>9.8.</c:v>
                  </c:pt>
                  <c:pt idx="26">
                    <c:v>16.8.</c:v>
                  </c:pt>
                  <c:pt idx="27">
                    <c:v>23.8.</c:v>
                  </c:pt>
                  <c:pt idx="28">
                    <c:v>30.8.</c:v>
                  </c:pt>
                  <c:pt idx="29">
                    <c:v>6.9.</c:v>
                  </c:pt>
                  <c:pt idx="30">
                    <c:v>13.9.</c:v>
                  </c:pt>
                  <c:pt idx="32">
                    <c:v>11.7.</c:v>
                  </c:pt>
                  <c:pt idx="33">
                    <c:v>18.7.</c:v>
                  </c:pt>
                  <c:pt idx="34">
                    <c:v>25.7.</c:v>
                  </c:pt>
                  <c:pt idx="35">
                    <c:v>1.8.</c:v>
                  </c:pt>
                  <c:pt idx="36">
                    <c:v>8.8.</c:v>
                  </c:pt>
                  <c:pt idx="37">
                    <c:v>15.8.</c:v>
                  </c:pt>
                  <c:pt idx="39">
                    <c:v>10.7.</c:v>
                  </c:pt>
                  <c:pt idx="40">
                    <c:v>17.7.</c:v>
                  </c:pt>
                  <c:pt idx="41">
                    <c:v>24.7.</c:v>
                  </c:pt>
                  <c:pt idx="42">
                    <c:v>31.7.</c:v>
                  </c:pt>
                  <c:pt idx="43">
                    <c:v>7.8.</c:v>
                  </c:pt>
                  <c:pt idx="44">
                    <c:v>14.8.</c:v>
                  </c:pt>
                  <c:pt idx="45">
                    <c:v>21.8.</c:v>
                  </c:pt>
                </c:lvl>
                <c:lvl>
                  <c:pt idx="0">
                    <c:v>2019</c:v>
                  </c:pt>
                  <c:pt idx="10">
                    <c:v>2020</c:v>
                  </c:pt>
                  <c:pt idx="21">
                    <c:v>2021</c:v>
                  </c:pt>
                  <c:pt idx="32">
                    <c:v>2022</c:v>
                  </c:pt>
                  <c:pt idx="39">
                    <c:v>2023</c:v>
                  </c:pt>
                </c:lvl>
              </c:multiLvlStrCache>
            </c:multiLvlStrRef>
          </c:cat>
          <c:val>
            <c:numRef>
              <c:f>Graf_2023!$B$6:$AU$6</c:f>
              <c:numCache>
                <c:formatCode>General</c:formatCode>
                <c:ptCount val="46"/>
                <c:pt idx="0">
                  <c:v>2.4</c:v>
                </c:pt>
                <c:pt idx="1">
                  <c:v>27.9</c:v>
                </c:pt>
                <c:pt idx="2">
                  <c:v>100.3</c:v>
                </c:pt>
                <c:pt idx="3">
                  <c:v>256.8</c:v>
                </c:pt>
                <c:pt idx="4">
                  <c:v>335.1</c:v>
                </c:pt>
                <c:pt idx="5">
                  <c:v>370.3</c:v>
                </c:pt>
                <c:pt idx="6">
                  <c:v>376.4</c:v>
                </c:pt>
                <c:pt idx="7">
                  <c:v>377.3</c:v>
                </c:pt>
                <c:pt idx="8">
                  <c:v>379.8</c:v>
                </c:pt>
                <c:pt idx="10">
                  <c:v>0.02</c:v>
                </c:pt>
                <c:pt idx="11">
                  <c:v>2.2000000000000002</c:v>
                </c:pt>
                <c:pt idx="12">
                  <c:v>19.3</c:v>
                </c:pt>
                <c:pt idx="13" formatCode="0.0">
                  <c:v>115</c:v>
                </c:pt>
                <c:pt idx="14">
                  <c:v>252.9</c:v>
                </c:pt>
                <c:pt idx="15">
                  <c:v>307.39999999999998</c:v>
                </c:pt>
                <c:pt idx="16">
                  <c:v>352.9</c:v>
                </c:pt>
                <c:pt idx="17">
                  <c:v>363.5</c:v>
                </c:pt>
                <c:pt idx="18">
                  <c:v>368.2</c:v>
                </c:pt>
                <c:pt idx="19">
                  <c:v>368.2</c:v>
                </c:pt>
                <c:pt idx="21">
                  <c:v>2.2000000000000002</c:v>
                </c:pt>
                <c:pt idx="22" formatCode="0.0">
                  <c:v>4</c:v>
                </c:pt>
                <c:pt idx="23">
                  <c:v>39.4</c:v>
                </c:pt>
                <c:pt idx="24">
                  <c:v>148.5</c:v>
                </c:pt>
                <c:pt idx="25" formatCode="0.0">
                  <c:v>214</c:v>
                </c:pt>
                <c:pt idx="26">
                  <c:v>305.8</c:v>
                </c:pt>
                <c:pt idx="27">
                  <c:v>327.3</c:v>
                </c:pt>
                <c:pt idx="28">
                  <c:v>339.4</c:v>
                </c:pt>
                <c:pt idx="29">
                  <c:v>341.9</c:v>
                </c:pt>
                <c:pt idx="30">
                  <c:v>342.3</c:v>
                </c:pt>
                <c:pt idx="32">
                  <c:v>4.7</c:v>
                </c:pt>
                <c:pt idx="33">
                  <c:v>42.2</c:v>
                </c:pt>
                <c:pt idx="34">
                  <c:v>171.7</c:v>
                </c:pt>
                <c:pt idx="35">
                  <c:v>267.60000000000002</c:v>
                </c:pt>
                <c:pt idx="36">
                  <c:v>315.8</c:v>
                </c:pt>
                <c:pt idx="37">
                  <c:v>340.7</c:v>
                </c:pt>
                <c:pt idx="39">
                  <c:v>0.37</c:v>
                </c:pt>
                <c:pt idx="40">
                  <c:v>24.6</c:v>
                </c:pt>
                <c:pt idx="41">
                  <c:v>150.5</c:v>
                </c:pt>
                <c:pt idx="42">
                  <c:v>247.1</c:v>
                </c:pt>
                <c:pt idx="43" formatCode="0.0">
                  <c:v>292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7B3-443B-B853-4E3207D6E4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73985600"/>
        <c:axId val="1"/>
      </c:lineChart>
      <c:catAx>
        <c:axId val="273985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/>
        </c:sp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985600"/>
        <c:crosses val="autoZero"/>
        <c:crossBetween val="between"/>
        <c:majorUnit val="100"/>
      </c:valAx>
      <c:spPr>
        <a:ln>
          <a:solidFill>
            <a:sysClr val="windowText" lastClr="000000"/>
          </a:solidFill>
        </a:ln>
      </c:spPr>
    </c:plotArea>
    <c:legend>
      <c:legendPos val="t"/>
      <c:layout>
        <c:manualLayout>
          <c:xMode val="edge"/>
          <c:yMode val="edge"/>
          <c:x val="0.307187760066577"/>
          <c:y val="8.8048814411019125E-2"/>
          <c:w val="0.39546443889635752"/>
          <c:h val="6.7178859052874809E-2"/>
        </c:manualLayout>
      </c:layout>
      <c:overlay val="0"/>
      <c:txPr>
        <a:bodyPr/>
        <a:lstStyle/>
        <a:p>
          <a:pPr>
            <a:defRPr sz="120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Heřmanská Anna</dc:creator>
  <cp:keywords/>
  <dc:description/>
  <cp:lastModifiedBy>Heřmanská Anna</cp:lastModifiedBy>
  <cp:revision>9</cp:revision>
  <dcterms:created xsi:type="dcterms:W3CDTF">2023-07-17T12:09:00Z</dcterms:created>
  <dcterms:modified xsi:type="dcterms:W3CDTF">2023-08-07T09:58:00Z</dcterms:modified>
</cp:coreProperties>
</file>