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1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2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21.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xml" ContentType="application/vnd.openxmlformats-officedocument.themeOverride+xml"/>
  <Override PartName="/word/charts/chart22.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2.xml" ContentType="application/vnd.openxmlformats-officedocument.themeOverride+xml"/>
  <Override PartName="/word/charts/chart23.xml" ContentType="application/vnd.openxmlformats-officedocument.drawingml.chart+xml"/>
  <Override PartName="/word/charts/chart24.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25.xml" ContentType="application/vnd.openxmlformats-officedocument.drawingml.chart+xml"/>
  <Override PartName="/word/charts/chart26.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27.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28.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2.xml" ContentType="application/vnd.openxmlformats-officedocument.drawingml.chartshapes+xml"/>
  <Override PartName="/word/charts/chart29.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30.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31.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32.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33.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34.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35.xml" ContentType="application/vnd.openxmlformats-officedocument.drawingml.chart+xml"/>
  <Override PartName="/word/charts/style21.xml" ContentType="application/vnd.ms-office.chartstyle+xml"/>
  <Override PartName="/word/charts/colors2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0463086" w:displacedByCustomXml="next"/>
    <w:sdt>
      <w:sdtPr>
        <w:rPr>
          <w:color w:val="5B9BD5" w:themeColor="accent1"/>
          <w:highlight w:val="yellow"/>
        </w:rPr>
        <w:id w:val="-2137869544"/>
        <w:docPartObj>
          <w:docPartGallery w:val="Cover Pages"/>
          <w:docPartUnique/>
        </w:docPartObj>
      </w:sdtPr>
      <w:sdtEndPr>
        <w:rPr>
          <w:rFonts w:cs="Arial"/>
          <w:color w:val="auto"/>
        </w:rPr>
      </w:sdtEndPr>
      <w:sdtContent>
        <w:p w14:paraId="26E24B15" w14:textId="4BB64582" w:rsidR="00C0181E" w:rsidRPr="00104F7D" w:rsidRDefault="00C0181E">
          <w:pPr>
            <w:pStyle w:val="Bezmezer"/>
            <w:spacing w:before="1540" w:after="240"/>
            <w:jc w:val="center"/>
            <w:rPr>
              <w:color w:val="5B9BD5" w:themeColor="accent1"/>
              <w:highlight w:val="yellow"/>
            </w:rPr>
          </w:pPr>
        </w:p>
        <w:sdt>
          <w:sdtPr>
            <w:rPr>
              <w:rFonts w:asciiTheme="majorHAnsi" w:eastAsiaTheme="majorEastAsia" w:hAnsiTheme="majorHAnsi" w:cstheme="majorBidi"/>
              <w:caps/>
              <w:color w:val="5B9BD5" w:themeColor="accent1"/>
              <w:sz w:val="72"/>
              <w:szCs w:val="72"/>
            </w:rPr>
            <w:alias w:val="Název"/>
            <w:tag w:val=""/>
            <w:id w:val="1735040861"/>
            <w:placeholder>
              <w:docPart w:val="35983D40FDC94230863BFE298BEAFC1A"/>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52673A59" w14:textId="1DF59510" w:rsidR="00C0181E" w:rsidRPr="00104F7D" w:rsidRDefault="00C0181E">
              <w:pPr>
                <w:pStyle w:val="Bezmezer"/>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Pr>
              </w:pPr>
              <w:r w:rsidRPr="00104F7D">
                <w:rPr>
                  <w:rFonts w:asciiTheme="majorHAnsi" w:eastAsiaTheme="majorEastAsia" w:hAnsiTheme="majorHAnsi" w:cstheme="majorBidi"/>
                  <w:caps/>
                  <w:color w:val="5B9BD5" w:themeColor="accent1"/>
                  <w:sz w:val="72"/>
                  <w:szCs w:val="72"/>
                </w:rPr>
                <w:t>Zpráva o stavu vodního hospodářství České republiky v roce 202</w:t>
              </w:r>
              <w:r w:rsidR="00104F7D" w:rsidRPr="00104F7D">
                <w:rPr>
                  <w:rFonts w:asciiTheme="majorHAnsi" w:eastAsiaTheme="majorEastAsia" w:hAnsiTheme="majorHAnsi" w:cstheme="majorBidi"/>
                  <w:caps/>
                  <w:color w:val="5B9BD5" w:themeColor="accent1"/>
                  <w:sz w:val="72"/>
                  <w:szCs w:val="72"/>
                </w:rPr>
                <w:t>5</w:t>
              </w:r>
            </w:p>
          </w:sdtContent>
        </w:sdt>
        <w:p w14:paraId="3291E0A7" w14:textId="55B436EA" w:rsidR="00C0181E" w:rsidRPr="00104F7D" w:rsidRDefault="00000000" w:rsidP="00C0181E">
          <w:pPr>
            <w:pStyle w:val="Bezmezer"/>
            <w:spacing w:before="480"/>
            <w:jc w:val="center"/>
            <w:rPr>
              <w:rFonts w:cs="Arial"/>
              <w:b/>
              <w:bCs/>
              <w:highlight w:val="yellow"/>
            </w:rPr>
          </w:pPr>
          <w:sdt>
            <w:sdtPr>
              <w:rPr>
                <w:color w:val="5B9BD5" w:themeColor="accent1"/>
              </w:rPr>
              <w:alias w:val="Adresa"/>
              <w:tag w:val=""/>
              <w:id w:val="-726379553"/>
              <w:dataBinding w:prefixMappings="xmlns:ns0='http://schemas.microsoft.com/office/2006/coverPageProps' " w:xpath="/ns0:CoverPageProperties[1]/ns0:CompanyAddress[1]" w:storeItemID="{55AF091B-3C7A-41E3-B477-F2FDAA23CFDA}"/>
              <w:text/>
            </w:sdtPr>
            <w:sdtContent>
              <w:r w:rsidR="00690EC8" w:rsidRPr="00104F7D">
                <w:rPr>
                  <w:color w:val="5B9BD5" w:themeColor="accent1"/>
                </w:rPr>
                <w:t>VERZE SCHVÁLENÁ NA JEDNÁNÍ VLÁDY DNE</w:t>
              </w:r>
              <w:r w:rsidR="00690EC8">
                <w:rPr>
                  <w:color w:val="5B9BD5" w:themeColor="accent1"/>
                </w:rPr>
                <w:t xml:space="preserve"> …</w:t>
              </w:r>
              <w:r w:rsidR="00690EC8" w:rsidRPr="00104F7D">
                <w:rPr>
                  <w:color w:val="5B9BD5" w:themeColor="accent1"/>
                </w:rPr>
                <w:t xml:space="preserve"> </w:t>
              </w:r>
              <w:r w:rsidR="00EE005E">
                <w:rPr>
                  <w:color w:val="5B9BD5" w:themeColor="accent1"/>
                </w:rPr>
                <w:t xml:space="preserve"> </w:t>
              </w:r>
            </w:sdtContent>
          </w:sdt>
          <w:r w:rsidR="00C0181E" w:rsidRPr="00104F7D">
            <w:rPr>
              <w:noProof/>
              <w:color w:val="5B9BD5" w:themeColor="accent1"/>
              <w:highlight w:val="yellow"/>
            </w:rPr>
            <mc:AlternateContent>
              <mc:Choice Requires="wps">
                <w:drawing>
                  <wp:anchor distT="0" distB="0" distL="114300" distR="114300" simplePos="0" relativeHeight="251658247" behindDoc="0" locked="0" layoutInCell="1" allowOverlap="1" wp14:anchorId="58688A3F" wp14:editId="3D8C7079">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ové pole 146"/>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1"/>
                                    <w:sz w:val="28"/>
                                    <w:szCs w:val="28"/>
                                  </w:rPr>
                                  <w:alias w:val="Datum"/>
                                  <w:tag w:val=""/>
                                  <w:id w:val="197127006"/>
                                  <w:dataBinding w:prefixMappings="xmlns:ns0='http://schemas.microsoft.com/office/2006/coverPageProps' " w:xpath="/ns0:CoverPageProperties[1]/ns0:PublishDate[1]" w:storeItemID="{55AF091B-3C7A-41E3-B477-F2FDAA23CFDA}"/>
                                  <w:date>
                                    <w:dateFormat w:val="d. MMMM yyyy"/>
                                    <w:lid w:val="cs-CZ"/>
                                    <w:storeMappedDataAs w:val="dateTime"/>
                                    <w:calendar w:val="gregorian"/>
                                  </w:date>
                                </w:sdtPr>
                                <w:sdtContent>
                                  <w:p w14:paraId="1E702860" w14:textId="563DD7E5" w:rsidR="00C0181E" w:rsidRDefault="006C3A83" w:rsidP="002E0050">
                                    <w:pPr>
                                      <w:pStyle w:val="Bezmezer"/>
                                      <w:spacing w:after="40"/>
                                      <w:jc w:val="center"/>
                                      <w:rPr>
                                        <w:caps/>
                                        <w:color w:val="5B9BD5" w:themeColor="accent1"/>
                                        <w:sz w:val="28"/>
                                        <w:szCs w:val="28"/>
                                      </w:rPr>
                                    </w:pPr>
                                    <w:r>
                                      <w:rPr>
                                        <w:caps/>
                                        <w:color w:val="5B9BD5" w:themeColor="accent1"/>
                                        <w:sz w:val="28"/>
                                        <w:szCs w:val="28"/>
                                      </w:rPr>
                                      <w:t xml:space="preserve"> 202</w:t>
                                    </w:r>
                                    <w:r w:rsidR="00394034">
                                      <w:rPr>
                                        <w:caps/>
                                        <w:color w:val="5B9BD5" w:themeColor="accent1"/>
                                        <w:sz w:val="28"/>
                                        <w:szCs w:val="28"/>
                                      </w:rPr>
                                      <w:t>6</w:t>
                                    </w:r>
                                  </w:p>
                                </w:sdtContent>
                              </w:sdt>
                              <w:p w14:paraId="4FC9A71E" w14:textId="13995847" w:rsidR="00C0181E" w:rsidRDefault="00000000">
                                <w:pPr>
                                  <w:pStyle w:val="Bezmezer"/>
                                  <w:jc w:val="center"/>
                                  <w:rPr>
                                    <w:color w:val="5B9BD5" w:themeColor="accent1"/>
                                  </w:rPr>
                                </w:pPr>
                                <w:sdt>
                                  <w:sdtPr>
                                    <w:rPr>
                                      <w:caps/>
                                      <w:color w:val="5B9BD5" w:themeColor="accent1"/>
                                    </w:rPr>
                                    <w:alias w:val="Společnost"/>
                                    <w:tag w:val=""/>
                                    <w:id w:val="1390145197"/>
                                    <w:dataBinding w:prefixMappings="xmlns:ns0='http://schemas.openxmlformats.org/officeDocument/2006/extended-properties' " w:xpath="/ns0:Properties[1]/ns0:Company[1]" w:storeItemID="{6668398D-A668-4E3E-A5EB-62B293D839F1}"/>
                                    <w:text/>
                                  </w:sdtPr>
                                  <w:sdtContent>
                                    <w:r w:rsidR="00C0181E">
                                      <w:rPr>
                                        <w:caps/>
                                        <w:color w:val="5B9BD5" w:themeColor="accent1"/>
                                      </w:rPr>
                                      <w:t>MZe ČR</w:t>
                                    </w:r>
                                  </w:sdtContent>
                                </w:sdt>
                              </w:p>
                              <w:p w14:paraId="061D053D" w14:textId="3D0D966D" w:rsidR="00C0181E" w:rsidRDefault="00C0181E">
                                <w:pPr>
                                  <w:pStyle w:val="Bezmezer"/>
                                  <w:jc w:val="center"/>
                                  <w:rPr>
                                    <w:color w:val="5B9BD5"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8688A3F" id="_x0000_t202" coordsize="21600,21600" o:spt="202" path="m,l,21600r21600,l21600,xe">
                    <v:stroke joinstyle="miter"/>
                    <v:path gradientshapeok="t" o:connecttype="rect"/>
                  </v:shapetype>
                  <v:shape id="Textové pole 146" o:spid="_x0000_s1026" type="#_x0000_t202" style="position:absolute;left:0;text-align:left;margin-left:0;margin-top:0;width:516pt;height:43.9pt;z-index:251658247;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caps/>
                              <w:color w:val="5B9BD5" w:themeColor="accent1"/>
                              <w:sz w:val="28"/>
                              <w:szCs w:val="28"/>
                            </w:rPr>
                            <w:alias w:val="Datum"/>
                            <w:tag w:val=""/>
                            <w:id w:val="197127006"/>
                            <w:dataBinding w:prefixMappings="xmlns:ns0='http://schemas.microsoft.com/office/2006/coverPageProps' " w:xpath="/ns0:CoverPageProperties[1]/ns0:PublishDate[1]" w:storeItemID="{55AF091B-3C7A-41E3-B477-F2FDAA23CFDA}"/>
                            <w:date>
                              <w:dateFormat w:val="d. MMMM yyyy"/>
                              <w:lid w:val="cs-CZ"/>
                              <w:storeMappedDataAs w:val="dateTime"/>
                              <w:calendar w:val="gregorian"/>
                            </w:date>
                          </w:sdtPr>
                          <w:sdtContent>
                            <w:p w14:paraId="1E702860" w14:textId="563DD7E5" w:rsidR="00C0181E" w:rsidRDefault="006C3A83" w:rsidP="002E0050">
                              <w:pPr>
                                <w:pStyle w:val="Bezmezer"/>
                                <w:spacing w:after="40"/>
                                <w:jc w:val="center"/>
                                <w:rPr>
                                  <w:caps/>
                                  <w:color w:val="5B9BD5" w:themeColor="accent1"/>
                                  <w:sz w:val="28"/>
                                  <w:szCs w:val="28"/>
                                </w:rPr>
                              </w:pPr>
                              <w:r>
                                <w:rPr>
                                  <w:caps/>
                                  <w:color w:val="5B9BD5" w:themeColor="accent1"/>
                                  <w:sz w:val="28"/>
                                  <w:szCs w:val="28"/>
                                </w:rPr>
                                <w:t xml:space="preserve"> 202</w:t>
                              </w:r>
                              <w:r w:rsidR="00394034">
                                <w:rPr>
                                  <w:caps/>
                                  <w:color w:val="5B9BD5" w:themeColor="accent1"/>
                                  <w:sz w:val="28"/>
                                  <w:szCs w:val="28"/>
                                </w:rPr>
                                <w:t>6</w:t>
                              </w:r>
                            </w:p>
                          </w:sdtContent>
                        </w:sdt>
                        <w:p w14:paraId="4FC9A71E" w14:textId="13995847" w:rsidR="00C0181E" w:rsidRDefault="00000000">
                          <w:pPr>
                            <w:pStyle w:val="Bezmezer"/>
                            <w:jc w:val="center"/>
                            <w:rPr>
                              <w:color w:val="5B9BD5" w:themeColor="accent1"/>
                            </w:rPr>
                          </w:pPr>
                          <w:sdt>
                            <w:sdtPr>
                              <w:rPr>
                                <w:caps/>
                                <w:color w:val="5B9BD5" w:themeColor="accent1"/>
                              </w:rPr>
                              <w:alias w:val="Společnost"/>
                              <w:tag w:val=""/>
                              <w:id w:val="1390145197"/>
                              <w:dataBinding w:prefixMappings="xmlns:ns0='http://schemas.openxmlformats.org/officeDocument/2006/extended-properties' " w:xpath="/ns0:Properties[1]/ns0:Company[1]" w:storeItemID="{6668398D-A668-4E3E-A5EB-62B293D839F1}"/>
                              <w:text/>
                            </w:sdtPr>
                            <w:sdtContent>
                              <w:r w:rsidR="00C0181E">
                                <w:rPr>
                                  <w:caps/>
                                  <w:color w:val="5B9BD5" w:themeColor="accent1"/>
                                </w:rPr>
                                <w:t>MZe ČR</w:t>
                              </w:r>
                            </w:sdtContent>
                          </w:sdt>
                        </w:p>
                        <w:p w14:paraId="061D053D" w14:textId="3D0D966D" w:rsidR="00C0181E" w:rsidRDefault="00C0181E">
                          <w:pPr>
                            <w:pStyle w:val="Bezmezer"/>
                            <w:jc w:val="center"/>
                            <w:rPr>
                              <w:color w:val="5B9BD5" w:themeColor="accent1"/>
                            </w:rPr>
                          </w:pPr>
                        </w:p>
                      </w:txbxContent>
                    </v:textbox>
                    <w10:wrap anchorx="margin" anchory="page"/>
                  </v:shape>
                </w:pict>
              </mc:Fallback>
            </mc:AlternateContent>
          </w:r>
          <w:r w:rsidR="00C0181E" w:rsidRPr="00104F7D">
            <w:rPr>
              <w:rFonts w:ascii="Arial" w:hAnsi="Arial" w:cs="Arial"/>
              <w:sz w:val="22"/>
              <w:szCs w:val="22"/>
              <w:highlight w:val="yellow"/>
            </w:rPr>
            <w:br w:type="page"/>
          </w:r>
        </w:p>
      </w:sdtContent>
    </w:sdt>
    <w:p w14:paraId="422A0235" w14:textId="0D989B7E" w:rsidR="00547BCC" w:rsidRPr="00B91D04" w:rsidRDefault="00547BCC" w:rsidP="007C4955">
      <w:pPr>
        <w:pStyle w:val="Nadpisobsahu"/>
        <w:spacing w:before="0" w:line="240" w:lineRule="auto"/>
        <w:contextualSpacing/>
        <w:rPr>
          <w:rFonts w:ascii="Arial" w:hAnsi="Arial" w:cs="Arial"/>
          <w:color w:val="auto"/>
          <w:sz w:val="22"/>
          <w:szCs w:val="22"/>
        </w:rPr>
      </w:pPr>
      <w:r w:rsidRPr="00B91D04">
        <w:rPr>
          <w:rFonts w:ascii="Arial" w:hAnsi="Arial" w:cs="Arial"/>
          <w:color w:val="auto"/>
          <w:sz w:val="22"/>
          <w:szCs w:val="22"/>
        </w:rPr>
        <w:lastRenderedPageBreak/>
        <w:t>Obsah</w:t>
      </w:r>
    </w:p>
    <w:p w14:paraId="2BB60E31" w14:textId="65AF5C77" w:rsidR="006B31DD" w:rsidRDefault="00547BCC">
      <w:pPr>
        <w:pStyle w:val="Obsah1"/>
        <w:rPr>
          <w:rFonts w:asciiTheme="minorHAnsi" w:eastAsiaTheme="minorEastAsia" w:hAnsiTheme="minorHAnsi" w:cstheme="minorBidi"/>
          <w:kern w:val="2"/>
          <w:sz w:val="24"/>
          <w:szCs w:val="24"/>
          <w:lang w:eastAsia="cs-CZ"/>
          <w14:ligatures w14:val="standardContextual"/>
        </w:rPr>
      </w:pPr>
      <w:r w:rsidRPr="00B91D04">
        <w:rPr>
          <w:color w:val="FF0000"/>
          <w:sz w:val="20"/>
          <w:szCs w:val="20"/>
        </w:rPr>
        <w:fldChar w:fldCharType="begin"/>
      </w:r>
      <w:r w:rsidRPr="00B91D04">
        <w:rPr>
          <w:color w:val="FF0000"/>
          <w:sz w:val="20"/>
          <w:szCs w:val="20"/>
        </w:rPr>
        <w:instrText xml:space="preserve"> TOC \o "1-3" \h \z \u </w:instrText>
      </w:r>
      <w:r w:rsidRPr="00B91D04">
        <w:rPr>
          <w:color w:val="FF0000"/>
          <w:sz w:val="20"/>
          <w:szCs w:val="20"/>
        </w:rPr>
        <w:fldChar w:fldCharType="separate"/>
      </w:r>
      <w:hyperlink w:anchor="_Toc236991602" w:history="1">
        <w:r w:rsidR="006B31DD" w:rsidRPr="00FA7D08">
          <w:rPr>
            <w:rStyle w:val="Hypertextovodkaz"/>
          </w:rPr>
          <w:t>1.</w:t>
        </w:r>
        <w:r w:rsidR="006B31DD">
          <w:rPr>
            <w:rFonts w:asciiTheme="minorHAnsi" w:eastAsiaTheme="minorEastAsia" w:hAnsiTheme="minorHAnsi" w:cstheme="minorBidi"/>
            <w:kern w:val="2"/>
            <w:sz w:val="24"/>
            <w:szCs w:val="24"/>
            <w:lang w:eastAsia="cs-CZ"/>
            <w14:ligatures w14:val="standardContextual"/>
          </w:rPr>
          <w:tab/>
        </w:r>
        <w:r w:rsidR="006B31DD" w:rsidRPr="00FA7D08">
          <w:rPr>
            <w:rStyle w:val="Hypertextovodkaz"/>
          </w:rPr>
          <w:t>HYDROLOGICKÁ BILANCE</w:t>
        </w:r>
        <w:r w:rsidR="006B31DD">
          <w:rPr>
            <w:webHidden/>
          </w:rPr>
          <w:tab/>
        </w:r>
        <w:r w:rsidR="006B31DD">
          <w:rPr>
            <w:webHidden/>
          </w:rPr>
          <w:fldChar w:fldCharType="begin"/>
        </w:r>
        <w:r w:rsidR="006B31DD">
          <w:rPr>
            <w:webHidden/>
          </w:rPr>
          <w:instrText xml:space="preserve"> PAGEREF _Toc236991602 \h </w:instrText>
        </w:r>
        <w:r w:rsidR="006B31DD">
          <w:rPr>
            <w:webHidden/>
          </w:rPr>
        </w:r>
        <w:r w:rsidR="006B31DD">
          <w:rPr>
            <w:webHidden/>
          </w:rPr>
          <w:fldChar w:fldCharType="separate"/>
        </w:r>
        <w:r w:rsidR="006B31DD">
          <w:rPr>
            <w:webHidden/>
          </w:rPr>
          <w:t>4</w:t>
        </w:r>
        <w:r w:rsidR="006B31DD">
          <w:rPr>
            <w:webHidden/>
          </w:rPr>
          <w:fldChar w:fldCharType="end"/>
        </w:r>
      </w:hyperlink>
    </w:p>
    <w:p w14:paraId="024B4253" w14:textId="791D016B"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03" w:history="1">
        <w:r w:rsidRPr="00FA7D08">
          <w:rPr>
            <w:rStyle w:val="Hypertextovodkaz"/>
            <w:noProof/>
          </w:rPr>
          <w:t>1.1</w:t>
        </w:r>
        <w:r>
          <w:rPr>
            <w:rFonts w:asciiTheme="minorHAnsi" w:eastAsiaTheme="minorEastAsia" w:hAnsiTheme="minorHAnsi" w:cstheme="minorBidi"/>
            <w:noProof/>
            <w:kern w:val="2"/>
            <w:sz w:val="24"/>
            <w:szCs w:val="24"/>
            <w:lang w:eastAsia="cs-CZ"/>
            <w14:ligatures w14:val="standardContextual"/>
          </w:rPr>
          <w:tab/>
        </w:r>
        <w:r w:rsidRPr="00FA7D08">
          <w:rPr>
            <w:rStyle w:val="Hypertextovodkaz"/>
            <w:noProof/>
          </w:rPr>
          <w:t>Teplotní a srážkové poměry</w:t>
        </w:r>
        <w:r>
          <w:rPr>
            <w:noProof/>
            <w:webHidden/>
          </w:rPr>
          <w:tab/>
        </w:r>
        <w:r>
          <w:rPr>
            <w:noProof/>
            <w:webHidden/>
          </w:rPr>
          <w:fldChar w:fldCharType="begin"/>
        </w:r>
        <w:r>
          <w:rPr>
            <w:noProof/>
            <w:webHidden/>
          </w:rPr>
          <w:instrText xml:space="preserve"> PAGEREF _Toc236991603 \h </w:instrText>
        </w:r>
        <w:r>
          <w:rPr>
            <w:noProof/>
            <w:webHidden/>
          </w:rPr>
        </w:r>
        <w:r>
          <w:rPr>
            <w:noProof/>
            <w:webHidden/>
          </w:rPr>
          <w:fldChar w:fldCharType="separate"/>
        </w:r>
        <w:r>
          <w:rPr>
            <w:noProof/>
            <w:webHidden/>
          </w:rPr>
          <w:t>4</w:t>
        </w:r>
        <w:r>
          <w:rPr>
            <w:noProof/>
            <w:webHidden/>
          </w:rPr>
          <w:fldChar w:fldCharType="end"/>
        </w:r>
      </w:hyperlink>
    </w:p>
    <w:p w14:paraId="1C3C196F" w14:textId="0255712C"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04" w:history="1">
        <w:r w:rsidRPr="00FA7D08">
          <w:rPr>
            <w:rStyle w:val="Hypertextovodkaz"/>
            <w:noProof/>
          </w:rPr>
          <w:t>1.2</w:t>
        </w:r>
        <w:r>
          <w:rPr>
            <w:rFonts w:asciiTheme="minorHAnsi" w:eastAsiaTheme="minorEastAsia" w:hAnsiTheme="minorHAnsi" w:cstheme="minorBidi"/>
            <w:noProof/>
            <w:kern w:val="2"/>
            <w:sz w:val="24"/>
            <w:szCs w:val="24"/>
            <w:lang w:eastAsia="cs-CZ"/>
            <w14:ligatures w14:val="standardContextual"/>
          </w:rPr>
          <w:tab/>
        </w:r>
        <w:r w:rsidRPr="00FA7D08">
          <w:rPr>
            <w:rStyle w:val="Hypertextovodkaz"/>
            <w:noProof/>
          </w:rPr>
          <w:t>Odtokové poměry</w:t>
        </w:r>
        <w:r>
          <w:rPr>
            <w:noProof/>
            <w:webHidden/>
          </w:rPr>
          <w:tab/>
        </w:r>
        <w:r>
          <w:rPr>
            <w:noProof/>
            <w:webHidden/>
          </w:rPr>
          <w:fldChar w:fldCharType="begin"/>
        </w:r>
        <w:r>
          <w:rPr>
            <w:noProof/>
            <w:webHidden/>
          </w:rPr>
          <w:instrText xml:space="preserve"> PAGEREF _Toc236991604 \h </w:instrText>
        </w:r>
        <w:r>
          <w:rPr>
            <w:noProof/>
            <w:webHidden/>
          </w:rPr>
        </w:r>
        <w:r>
          <w:rPr>
            <w:noProof/>
            <w:webHidden/>
          </w:rPr>
          <w:fldChar w:fldCharType="separate"/>
        </w:r>
        <w:r>
          <w:rPr>
            <w:noProof/>
            <w:webHidden/>
          </w:rPr>
          <w:t>10</w:t>
        </w:r>
        <w:r>
          <w:rPr>
            <w:noProof/>
            <w:webHidden/>
          </w:rPr>
          <w:fldChar w:fldCharType="end"/>
        </w:r>
      </w:hyperlink>
    </w:p>
    <w:p w14:paraId="48A88268" w14:textId="04C8AF70"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05" w:history="1">
        <w:r w:rsidRPr="00FA7D08">
          <w:rPr>
            <w:rStyle w:val="Hypertextovodkaz"/>
            <w:noProof/>
          </w:rPr>
          <w:t>1.3</w:t>
        </w:r>
        <w:r>
          <w:rPr>
            <w:rFonts w:asciiTheme="minorHAnsi" w:eastAsiaTheme="minorEastAsia" w:hAnsiTheme="minorHAnsi" w:cstheme="minorBidi"/>
            <w:noProof/>
            <w:kern w:val="2"/>
            <w:sz w:val="24"/>
            <w:szCs w:val="24"/>
            <w:lang w:eastAsia="cs-CZ"/>
            <w14:ligatures w14:val="standardContextual"/>
          </w:rPr>
          <w:tab/>
        </w:r>
        <w:r w:rsidRPr="00FA7D08">
          <w:rPr>
            <w:rStyle w:val="Hypertextovodkaz"/>
            <w:noProof/>
          </w:rPr>
          <w:t>Režim podzemních vod</w:t>
        </w:r>
        <w:r>
          <w:rPr>
            <w:noProof/>
            <w:webHidden/>
          </w:rPr>
          <w:tab/>
        </w:r>
        <w:r>
          <w:rPr>
            <w:noProof/>
            <w:webHidden/>
          </w:rPr>
          <w:fldChar w:fldCharType="begin"/>
        </w:r>
        <w:r>
          <w:rPr>
            <w:noProof/>
            <w:webHidden/>
          </w:rPr>
          <w:instrText xml:space="preserve"> PAGEREF _Toc236991605 \h </w:instrText>
        </w:r>
        <w:r>
          <w:rPr>
            <w:noProof/>
            <w:webHidden/>
          </w:rPr>
        </w:r>
        <w:r>
          <w:rPr>
            <w:noProof/>
            <w:webHidden/>
          </w:rPr>
          <w:fldChar w:fldCharType="separate"/>
        </w:r>
        <w:r>
          <w:rPr>
            <w:noProof/>
            <w:webHidden/>
          </w:rPr>
          <w:t>14</w:t>
        </w:r>
        <w:r>
          <w:rPr>
            <w:noProof/>
            <w:webHidden/>
          </w:rPr>
          <w:fldChar w:fldCharType="end"/>
        </w:r>
      </w:hyperlink>
    </w:p>
    <w:p w14:paraId="039F9A6A" w14:textId="4EAB2A50" w:rsidR="006B31DD" w:rsidRDefault="006B31DD">
      <w:pPr>
        <w:pStyle w:val="Obsah1"/>
        <w:rPr>
          <w:rFonts w:asciiTheme="minorHAnsi" w:eastAsiaTheme="minorEastAsia" w:hAnsiTheme="minorHAnsi" w:cstheme="minorBidi"/>
          <w:kern w:val="2"/>
          <w:sz w:val="24"/>
          <w:szCs w:val="24"/>
          <w:lang w:eastAsia="cs-CZ"/>
          <w14:ligatures w14:val="standardContextual"/>
        </w:rPr>
      </w:pPr>
      <w:hyperlink w:anchor="_Toc236991606" w:history="1">
        <w:r w:rsidRPr="00FA7D08">
          <w:rPr>
            <w:rStyle w:val="Hypertextovodkaz"/>
          </w:rPr>
          <w:t>2.</w:t>
        </w:r>
        <w:r>
          <w:rPr>
            <w:rFonts w:asciiTheme="minorHAnsi" w:eastAsiaTheme="minorEastAsia" w:hAnsiTheme="minorHAnsi" w:cstheme="minorBidi"/>
            <w:kern w:val="2"/>
            <w:sz w:val="24"/>
            <w:szCs w:val="24"/>
            <w:lang w:eastAsia="cs-CZ"/>
            <w14:ligatures w14:val="standardContextual"/>
          </w:rPr>
          <w:tab/>
        </w:r>
        <w:r w:rsidRPr="00FA7D08">
          <w:rPr>
            <w:rStyle w:val="Hypertextovodkaz"/>
          </w:rPr>
          <w:t>HYDROLOGICKÉ EXTRÉMY</w:t>
        </w:r>
        <w:r>
          <w:rPr>
            <w:webHidden/>
          </w:rPr>
          <w:tab/>
        </w:r>
        <w:r>
          <w:rPr>
            <w:webHidden/>
          </w:rPr>
          <w:fldChar w:fldCharType="begin"/>
        </w:r>
        <w:r>
          <w:rPr>
            <w:webHidden/>
          </w:rPr>
          <w:instrText xml:space="preserve"> PAGEREF _Toc236991606 \h </w:instrText>
        </w:r>
        <w:r>
          <w:rPr>
            <w:webHidden/>
          </w:rPr>
        </w:r>
        <w:r>
          <w:rPr>
            <w:webHidden/>
          </w:rPr>
          <w:fldChar w:fldCharType="separate"/>
        </w:r>
        <w:r>
          <w:rPr>
            <w:webHidden/>
          </w:rPr>
          <w:t>26</w:t>
        </w:r>
        <w:r>
          <w:rPr>
            <w:webHidden/>
          </w:rPr>
          <w:fldChar w:fldCharType="end"/>
        </w:r>
      </w:hyperlink>
    </w:p>
    <w:p w14:paraId="1CF384B0" w14:textId="1ACF6E0F"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07" w:history="1">
        <w:r w:rsidRPr="00FA7D08">
          <w:rPr>
            <w:rStyle w:val="Hypertextovodkaz"/>
            <w:noProof/>
          </w:rPr>
          <w:t>2.1</w:t>
        </w:r>
        <w:r>
          <w:rPr>
            <w:rFonts w:asciiTheme="minorHAnsi" w:eastAsiaTheme="minorEastAsia" w:hAnsiTheme="minorHAnsi" w:cstheme="minorBidi"/>
            <w:noProof/>
            <w:kern w:val="2"/>
            <w:sz w:val="24"/>
            <w:szCs w:val="24"/>
            <w:lang w:eastAsia="cs-CZ"/>
            <w14:ligatures w14:val="standardContextual"/>
          </w:rPr>
          <w:tab/>
        </w:r>
        <w:r w:rsidRPr="00FA7D08">
          <w:rPr>
            <w:rStyle w:val="Hypertextovodkaz"/>
            <w:noProof/>
          </w:rPr>
          <w:t>Průběh povodní</w:t>
        </w:r>
        <w:r>
          <w:rPr>
            <w:noProof/>
            <w:webHidden/>
          </w:rPr>
          <w:tab/>
        </w:r>
        <w:r>
          <w:rPr>
            <w:noProof/>
            <w:webHidden/>
          </w:rPr>
          <w:fldChar w:fldCharType="begin"/>
        </w:r>
        <w:r>
          <w:rPr>
            <w:noProof/>
            <w:webHidden/>
          </w:rPr>
          <w:instrText xml:space="preserve"> PAGEREF _Toc236991607 \h </w:instrText>
        </w:r>
        <w:r>
          <w:rPr>
            <w:noProof/>
            <w:webHidden/>
          </w:rPr>
        </w:r>
        <w:r>
          <w:rPr>
            <w:noProof/>
            <w:webHidden/>
          </w:rPr>
          <w:fldChar w:fldCharType="separate"/>
        </w:r>
        <w:r>
          <w:rPr>
            <w:noProof/>
            <w:webHidden/>
          </w:rPr>
          <w:t>26</w:t>
        </w:r>
        <w:r>
          <w:rPr>
            <w:noProof/>
            <w:webHidden/>
          </w:rPr>
          <w:fldChar w:fldCharType="end"/>
        </w:r>
      </w:hyperlink>
    </w:p>
    <w:p w14:paraId="453625E9" w14:textId="6CAE85F9"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08" w:history="1">
        <w:r w:rsidRPr="00FA7D08">
          <w:rPr>
            <w:rStyle w:val="Hypertextovodkaz"/>
            <w:noProof/>
          </w:rPr>
          <w:t>2.2</w:t>
        </w:r>
        <w:r>
          <w:rPr>
            <w:rFonts w:asciiTheme="minorHAnsi" w:eastAsiaTheme="minorEastAsia" w:hAnsiTheme="minorHAnsi" w:cstheme="minorBidi"/>
            <w:noProof/>
            <w:kern w:val="2"/>
            <w:sz w:val="24"/>
            <w:szCs w:val="24"/>
            <w:lang w:eastAsia="cs-CZ"/>
            <w14:ligatures w14:val="standardContextual"/>
          </w:rPr>
          <w:tab/>
        </w:r>
        <w:r w:rsidRPr="00FA7D08">
          <w:rPr>
            <w:rStyle w:val="Hypertextovodkaz"/>
            <w:noProof/>
          </w:rPr>
          <w:t>Odstraňování povodňových škod</w:t>
        </w:r>
        <w:r>
          <w:rPr>
            <w:noProof/>
            <w:webHidden/>
          </w:rPr>
          <w:tab/>
        </w:r>
        <w:r>
          <w:rPr>
            <w:noProof/>
            <w:webHidden/>
          </w:rPr>
          <w:fldChar w:fldCharType="begin"/>
        </w:r>
        <w:r>
          <w:rPr>
            <w:noProof/>
            <w:webHidden/>
          </w:rPr>
          <w:instrText xml:space="preserve"> PAGEREF _Toc236991608 \h </w:instrText>
        </w:r>
        <w:r>
          <w:rPr>
            <w:noProof/>
            <w:webHidden/>
          </w:rPr>
        </w:r>
        <w:r>
          <w:rPr>
            <w:noProof/>
            <w:webHidden/>
          </w:rPr>
          <w:fldChar w:fldCharType="separate"/>
        </w:r>
        <w:r>
          <w:rPr>
            <w:noProof/>
            <w:webHidden/>
          </w:rPr>
          <w:t>27</w:t>
        </w:r>
        <w:r>
          <w:rPr>
            <w:noProof/>
            <w:webHidden/>
          </w:rPr>
          <w:fldChar w:fldCharType="end"/>
        </w:r>
      </w:hyperlink>
    </w:p>
    <w:p w14:paraId="49592A8B" w14:textId="580C959D"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09" w:history="1">
        <w:r w:rsidRPr="00FA7D08">
          <w:rPr>
            <w:rStyle w:val="Hypertextovodkaz"/>
            <w:noProof/>
          </w:rPr>
          <w:t>2.3</w:t>
        </w:r>
        <w:r>
          <w:rPr>
            <w:rFonts w:asciiTheme="minorHAnsi" w:eastAsiaTheme="minorEastAsia" w:hAnsiTheme="minorHAnsi" w:cstheme="minorBidi"/>
            <w:noProof/>
            <w:kern w:val="2"/>
            <w:sz w:val="24"/>
            <w:szCs w:val="24"/>
            <w:lang w:eastAsia="cs-CZ"/>
            <w14:ligatures w14:val="standardContextual"/>
          </w:rPr>
          <w:tab/>
        </w:r>
        <w:r w:rsidRPr="00FA7D08">
          <w:rPr>
            <w:rStyle w:val="Hypertextovodkaz"/>
            <w:noProof/>
          </w:rPr>
          <w:t>Průběh sucha</w:t>
        </w:r>
        <w:r>
          <w:rPr>
            <w:noProof/>
            <w:webHidden/>
          </w:rPr>
          <w:tab/>
        </w:r>
        <w:r>
          <w:rPr>
            <w:noProof/>
            <w:webHidden/>
          </w:rPr>
          <w:fldChar w:fldCharType="begin"/>
        </w:r>
        <w:r>
          <w:rPr>
            <w:noProof/>
            <w:webHidden/>
          </w:rPr>
          <w:instrText xml:space="preserve"> PAGEREF _Toc236991609 \h </w:instrText>
        </w:r>
        <w:r>
          <w:rPr>
            <w:noProof/>
            <w:webHidden/>
          </w:rPr>
        </w:r>
        <w:r>
          <w:rPr>
            <w:noProof/>
            <w:webHidden/>
          </w:rPr>
          <w:fldChar w:fldCharType="separate"/>
        </w:r>
        <w:r>
          <w:rPr>
            <w:noProof/>
            <w:webHidden/>
          </w:rPr>
          <w:t>28</w:t>
        </w:r>
        <w:r>
          <w:rPr>
            <w:noProof/>
            <w:webHidden/>
          </w:rPr>
          <w:fldChar w:fldCharType="end"/>
        </w:r>
      </w:hyperlink>
    </w:p>
    <w:p w14:paraId="7CC1FA99" w14:textId="741A04F5"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10" w:history="1">
        <w:r w:rsidRPr="00FA7D08">
          <w:rPr>
            <w:rStyle w:val="Hypertextovodkaz"/>
            <w:noProof/>
          </w:rPr>
          <w:t>2.4 Meziresortní komise VODA-SUCHO</w:t>
        </w:r>
        <w:r>
          <w:rPr>
            <w:noProof/>
            <w:webHidden/>
          </w:rPr>
          <w:tab/>
        </w:r>
        <w:r>
          <w:rPr>
            <w:noProof/>
            <w:webHidden/>
          </w:rPr>
          <w:fldChar w:fldCharType="begin"/>
        </w:r>
        <w:r>
          <w:rPr>
            <w:noProof/>
            <w:webHidden/>
          </w:rPr>
          <w:instrText xml:space="preserve"> PAGEREF _Toc236991610 \h </w:instrText>
        </w:r>
        <w:r>
          <w:rPr>
            <w:noProof/>
            <w:webHidden/>
          </w:rPr>
        </w:r>
        <w:r>
          <w:rPr>
            <w:noProof/>
            <w:webHidden/>
          </w:rPr>
          <w:fldChar w:fldCharType="separate"/>
        </w:r>
        <w:r>
          <w:rPr>
            <w:noProof/>
            <w:webHidden/>
          </w:rPr>
          <w:t>29</w:t>
        </w:r>
        <w:r>
          <w:rPr>
            <w:noProof/>
            <w:webHidden/>
          </w:rPr>
          <w:fldChar w:fldCharType="end"/>
        </w:r>
      </w:hyperlink>
    </w:p>
    <w:p w14:paraId="38B7B332" w14:textId="3716DD59" w:rsidR="006B31DD" w:rsidRDefault="006B31DD">
      <w:pPr>
        <w:pStyle w:val="Obsah1"/>
        <w:rPr>
          <w:rFonts w:asciiTheme="minorHAnsi" w:eastAsiaTheme="minorEastAsia" w:hAnsiTheme="minorHAnsi" w:cstheme="minorBidi"/>
          <w:kern w:val="2"/>
          <w:sz w:val="24"/>
          <w:szCs w:val="24"/>
          <w:lang w:eastAsia="cs-CZ"/>
          <w14:ligatures w14:val="standardContextual"/>
        </w:rPr>
      </w:pPr>
      <w:hyperlink w:anchor="_Toc236991611" w:history="1">
        <w:r w:rsidRPr="00FA7D08">
          <w:rPr>
            <w:rStyle w:val="Hypertextovodkaz"/>
          </w:rPr>
          <w:t>3.</w:t>
        </w:r>
        <w:r>
          <w:rPr>
            <w:rFonts w:asciiTheme="minorHAnsi" w:eastAsiaTheme="minorEastAsia" w:hAnsiTheme="minorHAnsi" w:cstheme="minorBidi"/>
            <w:kern w:val="2"/>
            <w:sz w:val="24"/>
            <w:szCs w:val="24"/>
            <w:lang w:eastAsia="cs-CZ"/>
            <w14:ligatures w14:val="standardContextual"/>
          </w:rPr>
          <w:tab/>
        </w:r>
        <w:r w:rsidRPr="00FA7D08">
          <w:rPr>
            <w:rStyle w:val="Hypertextovodkaz"/>
          </w:rPr>
          <w:t>JAKOST POVRCHOVÝCH A PODZEMNÍCH VOD</w:t>
        </w:r>
        <w:r>
          <w:rPr>
            <w:webHidden/>
          </w:rPr>
          <w:tab/>
        </w:r>
        <w:r>
          <w:rPr>
            <w:webHidden/>
          </w:rPr>
          <w:fldChar w:fldCharType="begin"/>
        </w:r>
        <w:r>
          <w:rPr>
            <w:webHidden/>
          </w:rPr>
          <w:instrText xml:space="preserve"> PAGEREF _Toc236991611 \h </w:instrText>
        </w:r>
        <w:r>
          <w:rPr>
            <w:webHidden/>
          </w:rPr>
        </w:r>
        <w:r>
          <w:rPr>
            <w:webHidden/>
          </w:rPr>
          <w:fldChar w:fldCharType="separate"/>
        </w:r>
        <w:r>
          <w:rPr>
            <w:webHidden/>
          </w:rPr>
          <w:t>31</w:t>
        </w:r>
        <w:r>
          <w:rPr>
            <w:webHidden/>
          </w:rPr>
          <w:fldChar w:fldCharType="end"/>
        </w:r>
      </w:hyperlink>
    </w:p>
    <w:p w14:paraId="7A62697D" w14:textId="57D12CD3"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12" w:history="1">
        <w:r w:rsidRPr="00FA7D08">
          <w:rPr>
            <w:rStyle w:val="Hypertextovodkaz"/>
            <w:noProof/>
          </w:rPr>
          <w:t>3.1</w:t>
        </w:r>
        <w:r>
          <w:rPr>
            <w:rFonts w:asciiTheme="minorHAnsi" w:eastAsiaTheme="minorEastAsia" w:hAnsiTheme="minorHAnsi" w:cstheme="minorBidi"/>
            <w:noProof/>
            <w:kern w:val="2"/>
            <w:sz w:val="24"/>
            <w:szCs w:val="24"/>
            <w:lang w:eastAsia="cs-CZ"/>
            <w14:ligatures w14:val="standardContextual"/>
          </w:rPr>
          <w:tab/>
        </w:r>
        <w:r w:rsidRPr="00FA7D08">
          <w:rPr>
            <w:rStyle w:val="Hypertextovodkaz"/>
            <w:noProof/>
          </w:rPr>
          <w:t>Jakost povrchových vod</w:t>
        </w:r>
        <w:r>
          <w:rPr>
            <w:noProof/>
            <w:webHidden/>
          </w:rPr>
          <w:tab/>
        </w:r>
        <w:r>
          <w:rPr>
            <w:noProof/>
            <w:webHidden/>
          </w:rPr>
          <w:fldChar w:fldCharType="begin"/>
        </w:r>
        <w:r>
          <w:rPr>
            <w:noProof/>
            <w:webHidden/>
          </w:rPr>
          <w:instrText xml:space="preserve"> PAGEREF _Toc236991612 \h </w:instrText>
        </w:r>
        <w:r>
          <w:rPr>
            <w:noProof/>
            <w:webHidden/>
          </w:rPr>
        </w:r>
        <w:r>
          <w:rPr>
            <w:noProof/>
            <w:webHidden/>
          </w:rPr>
          <w:fldChar w:fldCharType="separate"/>
        </w:r>
        <w:r>
          <w:rPr>
            <w:noProof/>
            <w:webHidden/>
          </w:rPr>
          <w:t>31</w:t>
        </w:r>
        <w:r>
          <w:rPr>
            <w:noProof/>
            <w:webHidden/>
          </w:rPr>
          <w:fldChar w:fldCharType="end"/>
        </w:r>
      </w:hyperlink>
    </w:p>
    <w:p w14:paraId="2C75E8EE" w14:textId="4AC03813"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13" w:history="1">
        <w:r w:rsidRPr="00FA7D08">
          <w:rPr>
            <w:rStyle w:val="Hypertextovodkaz"/>
            <w:noProof/>
          </w:rPr>
          <w:t>3.2</w:t>
        </w:r>
        <w:r>
          <w:rPr>
            <w:rFonts w:asciiTheme="minorHAnsi" w:eastAsiaTheme="minorEastAsia" w:hAnsiTheme="minorHAnsi" w:cstheme="minorBidi"/>
            <w:noProof/>
            <w:kern w:val="2"/>
            <w:sz w:val="24"/>
            <w:szCs w:val="24"/>
            <w:lang w:eastAsia="cs-CZ"/>
            <w14:ligatures w14:val="standardContextual"/>
          </w:rPr>
          <w:tab/>
        </w:r>
        <w:r w:rsidRPr="00FA7D08">
          <w:rPr>
            <w:rStyle w:val="Hypertextovodkaz"/>
            <w:noProof/>
          </w:rPr>
          <w:t>Jakost podzemních vod</w:t>
        </w:r>
        <w:r>
          <w:rPr>
            <w:noProof/>
            <w:webHidden/>
          </w:rPr>
          <w:tab/>
        </w:r>
        <w:r>
          <w:rPr>
            <w:noProof/>
            <w:webHidden/>
          </w:rPr>
          <w:fldChar w:fldCharType="begin"/>
        </w:r>
        <w:r>
          <w:rPr>
            <w:noProof/>
            <w:webHidden/>
          </w:rPr>
          <w:instrText xml:space="preserve"> PAGEREF _Toc236991613 \h </w:instrText>
        </w:r>
        <w:r>
          <w:rPr>
            <w:noProof/>
            <w:webHidden/>
          </w:rPr>
        </w:r>
        <w:r>
          <w:rPr>
            <w:noProof/>
            <w:webHidden/>
          </w:rPr>
          <w:fldChar w:fldCharType="separate"/>
        </w:r>
        <w:r>
          <w:rPr>
            <w:noProof/>
            <w:webHidden/>
          </w:rPr>
          <w:t>56</w:t>
        </w:r>
        <w:r>
          <w:rPr>
            <w:noProof/>
            <w:webHidden/>
          </w:rPr>
          <w:fldChar w:fldCharType="end"/>
        </w:r>
      </w:hyperlink>
    </w:p>
    <w:p w14:paraId="4275CA80" w14:textId="27842193" w:rsidR="006B31DD" w:rsidRDefault="006B31DD">
      <w:pPr>
        <w:pStyle w:val="Obsah1"/>
        <w:rPr>
          <w:rFonts w:asciiTheme="minorHAnsi" w:eastAsiaTheme="minorEastAsia" w:hAnsiTheme="minorHAnsi" w:cstheme="minorBidi"/>
          <w:kern w:val="2"/>
          <w:sz w:val="24"/>
          <w:szCs w:val="24"/>
          <w:lang w:eastAsia="cs-CZ"/>
          <w14:ligatures w14:val="standardContextual"/>
        </w:rPr>
      </w:pPr>
      <w:hyperlink w:anchor="_Toc236991614" w:history="1">
        <w:r w:rsidRPr="00FA7D08">
          <w:rPr>
            <w:rStyle w:val="Hypertextovodkaz"/>
          </w:rPr>
          <w:t>4.</w:t>
        </w:r>
        <w:r>
          <w:rPr>
            <w:rFonts w:asciiTheme="minorHAnsi" w:eastAsiaTheme="minorEastAsia" w:hAnsiTheme="minorHAnsi" w:cstheme="minorBidi"/>
            <w:kern w:val="2"/>
            <w:sz w:val="24"/>
            <w:szCs w:val="24"/>
            <w:lang w:eastAsia="cs-CZ"/>
            <w14:ligatures w14:val="standardContextual"/>
          </w:rPr>
          <w:tab/>
        </w:r>
        <w:r w:rsidRPr="00FA7D08">
          <w:rPr>
            <w:rStyle w:val="Hypertextovodkaz"/>
          </w:rPr>
          <w:t>NAKLÁDÁNÍ S VODAMI</w:t>
        </w:r>
        <w:r>
          <w:rPr>
            <w:webHidden/>
          </w:rPr>
          <w:tab/>
        </w:r>
        <w:r>
          <w:rPr>
            <w:webHidden/>
          </w:rPr>
          <w:fldChar w:fldCharType="begin"/>
        </w:r>
        <w:r>
          <w:rPr>
            <w:webHidden/>
          </w:rPr>
          <w:instrText xml:space="preserve"> PAGEREF _Toc236991614 \h </w:instrText>
        </w:r>
        <w:r>
          <w:rPr>
            <w:webHidden/>
          </w:rPr>
        </w:r>
        <w:r>
          <w:rPr>
            <w:webHidden/>
          </w:rPr>
          <w:fldChar w:fldCharType="separate"/>
        </w:r>
        <w:r>
          <w:rPr>
            <w:webHidden/>
          </w:rPr>
          <w:t>59</w:t>
        </w:r>
        <w:r>
          <w:rPr>
            <w:webHidden/>
          </w:rPr>
          <w:fldChar w:fldCharType="end"/>
        </w:r>
      </w:hyperlink>
    </w:p>
    <w:p w14:paraId="3BE67AC0" w14:textId="54D2D2BF"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15" w:history="1">
        <w:r w:rsidRPr="00FA7D08">
          <w:rPr>
            <w:rStyle w:val="Hypertextovodkaz"/>
            <w:noProof/>
          </w:rPr>
          <w:t>4.1</w:t>
        </w:r>
        <w:r>
          <w:rPr>
            <w:rFonts w:asciiTheme="minorHAnsi" w:eastAsiaTheme="minorEastAsia" w:hAnsiTheme="minorHAnsi" w:cstheme="minorBidi"/>
            <w:noProof/>
            <w:kern w:val="2"/>
            <w:sz w:val="24"/>
            <w:szCs w:val="24"/>
            <w:lang w:eastAsia="cs-CZ"/>
            <w14:ligatures w14:val="standardContextual"/>
          </w:rPr>
          <w:tab/>
        </w:r>
        <w:r w:rsidRPr="00FA7D08">
          <w:rPr>
            <w:rStyle w:val="Hypertextovodkaz"/>
            <w:noProof/>
          </w:rPr>
          <w:t>Odběry povrchových vod</w:t>
        </w:r>
        <w:r>
          <w:rPr>
            <w:noProof/>
            <w:webHidden/>
          </w:rPr>
          <w:tab/>
        </w:r>
        <w:r>
          <w:rPr>
            <w:noProof/>
            <w:webHidden/>
          </w:rPr>
          <w:fldChar w:fldCharType="begin"/>
        </w:r>
        <w:r>
          <w:rPr>
            <w:noProof/>
            <w:webHidden/>
          </w:rPr>
          <w:instrText xml:space="preserve"> PAGEREF _Toc236991615 \h </w:instrText>
        </w:r>
        <w:r>
          <w:rPr>
            <w:noProof/>
            <w:webHidden/>
          </w:rPr>
        </w:r>
        <w:r>
          <w:rPr>
            <w:noProof/>
            <w:webHidden/>
          </w:rPr>
          <w:fldChar w:fldCharType="separate"/>
        </w:r>
        <w:r>
          <w:rPr>
            <w:noProof/>
            <w:webHidden/>
          </w:rPr>
          <w:t>59</w:t>
        </w:r>
        <w:r>
          <w:rPr>
            <w:noProof/>
            <w:webHidden/>
          </w:rPr>
          <w:fldChar w:fldCharType="end"/>
        </w:r>
      </w:hyperlink>
    </w:p>
    <w:p w14:paraId="13FFE0F5" w14:textId="11EBE8DC"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16" w:history="1">
        <w:r w:rsidRPr="00FA7D08">
          <w:rPr>
            <w:rStyle w:val="Hypertextovodkaz"/>
            <w:noProof/>
          </w:rPr>
          <w:t>4.2</w:t>
        </w:r>
        <w:r>
          <w:rPr>
            <w:rFonts w:asciiTheme="minorHAnsi" w:eastAsiaTheme="minorEastAsia" w:hAnsiTheme="minorHAnsi" w:cstheme="minorBidi"/>
            <w:noProof/>
            <w:kern w:val="2"/>
            <w:sz w:val="24"/>
            <w:szCs w:val="24"/>
            <w:lang w:eastAsia="cs-CZ"/>
            <w14:ligatures w14:val="standardContextual"/>
          </w:rPr>
          <w:tab/>
        </w:r>
        <w:r w:rsidRPr="00FA7D08">
          <w:rPr>
            <w:rStyle w:val="Hypertextovodkaz"/>
            <w:noProof/>
          </w:rPr>
          <w:t>Odběry podzemních vod</w:t>
        </w:r>
        <w:r>
          <w:rPr>
            <w:noProof/>
            <w:webHidden/>
          </w:rPr>
          <w:tab/>
        </w:r>
        <w:r>
          <w:rPr>
            <w:noProof/>
            <w:webHidden/>
          </w:rPr>
          <w:fldChar w:fldCharType="begin"/>
        </w:r>
        <w:r>
          <w:rPr>
            <w:noProof/>
            <w:webHidden/>
          </w:rPr>
          <w:instrText xml:space="preserve"> PAGEREF _Toc236991616 \h </w:instrText>
        </w:r>
        <w:r>
          <w:rPr>
            <w:noProof/>
            <w:webHidden/>
          </w:rPr>
        </w:r>
        <w:r>
          <w:rPr>
            <w:noProof/>
            <w:webHidden/>
          </w:rPr>
          <w:fldChar w:fldCharType="separate"/>
        </w:r>
        <w:r>
          <w:rPr>
            <w:noProof/>
            <w:webHidden/>
          </w:rPr>
          <w:t>61</w:t>
        </w:r>
        <w:r>
          <w:rPr>
            <w:noProof/>
            <w:webHidden/>
          </w:rPr>
          <w:fldChar w:fldCharType="end"/>
        </w:r>
      </w:hyperlink>
    </w:p>
    <w:p w14:paraId="5A65DC3D" w14:textId="18C9C862"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17" w:history="1">
        <w:r w:rsidRPr="00FA7D08">
          <w:rPr>
            <w:rStyle w:val="Hypertextovodkaz"/>
            <w:noProof/>
          </w:rPr>
          <w:t>4.3</w:t>
        </w:r>
        <w:r>
          <w:rPr>
            <w:rFonts w:asciiTheme="minorHAnsi" w:eastAsiaTheme="minorEastAsia" w:hAnsiTheme="minorHAnsi" w:cstheme="minorBidi"/>
            <w:noProof/>
            <w:kern w:val="2"/>
            <w:sz w:val="24"/>
            <w:szCs w:val="24"/>
            <w:lang w:eastAsia="cs-CZ"/>
            <w14:ligatures w14:val="standardContextual"/>
          </w:rPr>
          <w:tab/>
        </w:r>
        <w:r w:rsidRPr="00FA7D08">
          <w:rPr>
            <w:rStyle w:val="Hypertextovodkaz"/>
            <w:noProof/>
          </w:rPr>
          <w:t>Vypouštění odpadních vod</w:t>
        </w:r>
        <w:r>
          <w:rPr>
            <w:noProof/>
            <w:webHidden/>
          </w:rPr>
          <w:tab/>
        </w:r>
        <w:r>
          <w:rPr>
            <w:noProof/>
            <w:webHidden/>
          </w:rPr>
          <w:fldChar w:fldCharType="begin"/>
        </w:r>
        <w:r>
          <w:rPr>
            <w:noProof/>
            <w:webHidden/>
          </w:rPr>
          <w:instrText xml:space="preserve"> PAGEREF _Toc236991617 \h </w:instrText>
        </w:r>
        <w:r>
          <w:rPr>
            <w:noProof/>
            <w:webHidden/>
          </w:rPr>
        </w:r>
        <w:r>
          <w:rPr>
            <w:noProof/>
            <w:webHidden/>
          </w:rPr>
          <w:fldChar w:fldCharType="separate"/>
        </w:r>
        <w:r>
          <w:rPr>
            <w:noProof/>
            <w:webHidden/>
          </w:rPr>
          <w:t>63</w:t>
        </w:r>
        <w:r>
          <w:rPr>
            <w:noProof/>
            <w:webHidden/>
          </w:rPr>
          <w:fldChar w:fldCharType="end"/>
        </w:r>
      </w:hyperlink>
    </w:p>
    <w:p w14:paraId="10BEE3B5" w14:textId="2B691456"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18" w:history="1">
        <w:r w:rsidRPr="00FA7D08">
          <w:rPr>
            <w:rStyle w:val="Hypertextovodkaz"/>
            <w:noProof/>
          </w:rPr>
          <w:t>4.4</w:t>
        </w:r>
        <w:r>
          <w:rPr>
            <w:rFonts w:asciiTheme="minorHAnsi" w:eastAsiaTheme="minorEastAsia" w:hAnsiTheme="minorHAnsi" w:cstheme="minorBidi"/>
            <w:noProof/>
            <w:kern w:val="2"/>
            <w:sz w:val="24"/>
            <w:szCs w:val="24"/>
            <w:lang w:eastAsia="cs-CZ"/>
            <w14:ligatures w14:val="standardContextual"/>
          </w:rPr>
          <w:tab/>
        </w:r>
        <w:r w:rsidRPr="00FA7D08">
          <w:rPr>
            <w:rStyle w:val="Hypertextovodkaz"/>
            <w:noProof/>
          </w:rPr>
          <w:t>Celkové porovnání nakládání s vodami</w:t>
        </w:r>
        <w:r>
          <w:rPr>
            <w:noProof/>
            <w:webHidden/>
          </w:rPr>
          <w:tab/>
        </w:r>
        <w:r>
          <w:rPr>
            <w:noProof/>
            <w:webHidden/>
          </w:rPr>
          <w:fldChar w:fldCharType="begin"/>
        </w:r>
        <w:r>
          <w:rPr>
            <w:noProof/>
            <w:webHidden/>
          </w:rPr>
          <w:instrText xml:space="preserve"> PAGEREF _Toc236991618 \h </w:instrText>
        </w:r>
        <w:r>
          <w:rPr>
            <w:noProof/>
            <w:webHidden/>
          </w:rPr>
        </w:r>
        <w:r>
          <w:rPr>
            <w:noProof/>
            <w:webHidden/>
          </w:rPr>
          <w:fldChar w:fldCharType="separate"/>
        </w:r>
        <w:r>
          <w:rPr>
            <w:noProof/>
            <w:webHidden/>
          </w:rPr>
          <w:t>65</w:t>
        </w:r>
        <w:r>
          <w:rPr>
            <w:noProof/>
            <w:webHidden/>
          </w:rPr>
          <w:fldChar w:fldCharType="end"/>
        </w:r>
      </w:hyperlink>
    </w:p>
    <w:p w14:paraId="06325E8A" w14:textId="58AB6C18" w:rsidR="006B31DD" w:rsidRDefault="006B31DD">
      <w:pPr>
        <w:pStyle w:val="Obsah1"/>
        <w:rPr>
          <w:rFonts w:asciiTheme="minorHAnsi" w:eastAsiaTheme="minorEastAsia" w:hAnsiTheme="minorHAnsi" w:cstheme="minorBidi"/>
          <w:kern w:val="2"/>
          <w:sz w:val="24"/>
          <w:szCs w:val="24"/>
          <w:lang w:eastAsia="cs-CZ"/>
          <w14:ligatures w14:val="standardContextual"/>
        </w:rPr>
      </w:pPr>
      <w:hyperlink w:anchor="_Toc236991619" w:history="1">
        <w:r w:rsidRPr="00FA7D08">
          <w:rPr>
            <w:rStyle w:val="Hypertextovodkaz"/>
          </w:rPr>
          <w:t>5.</w:t>
        </w:r>
        <w:r>
          <w:rPr>
            <w:rFonts w:asciiTheme="minorHAnsi" w:eastAsiaTheme="minorEastAsia" w:hAnsiTheme="minorHAnsi" w:cstheme="minorBidi"/>
            <w:kern w:val="2"/>
            <w:sz w:val="24"/>
            <w:szCs w:val="24"/>
            <w:lang w:eastAsia="cs-CZ"/>
            <w14:ligatures w14:val="standardContextual"/>
          </w:rPr>
          <w:tab/>
        </w:r>
        <w:r w:rsidRPr="00FA7D08">
          <w:rPr>
            <w:rStyle w:val="Hypertextovodkaz"/>
          </w:rPr>
          <w:t>ZDROJE ZNEČIŠTĚNÍ</w:t>
        </w:r>
        <w:r>
          <w:rPr>
            <w:webHidden/>
          </w:rPr>
          <w:tab/>
        </w:r>
        <w:r>
          <w:rPr>
            <w:webHidden/>
          </w:rPr>
          <w:fldChar w:fldCharType="begin"/>
        </w:r>
        <w:r>
          <w:rPr>
            <w:webHidden/>
          </w:rPr>
          <w:instrText xml:space="preserve"> PAGEREF _Toc236991619 \h </w:instrText>
        </w:r>
        <w:r>
          <w:rPr>
            <w:webHidden/>
          </w:rPr>
        </w:r>
        <w:r>
          <w:rPr>
            <w:webHidden/>
          </w:rPr>
          <w:fldChar w:fldCharType="separate"/>
        </w:r>
        <w:r>
          <w:rPr>
            <w:webHidden/>
          </w:rPr>
          <w:t>68</w:t>
        </w:r>
        <w:r>
          <w:rPr>
            <w:webHidden/>
          </w:rPr>
          <w:fldChar w:fldCharType="end"/>
        </w:r>
      </w:hyperlink>
    </w:p>
    <w:p w14:paraId="5561880F" w14:textId="26B6C372"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20" w:history="1">
        <w:r w:rsidRPr="00FA7D08">
          <w:rPr>
            <w:rStyle w:val="Hypertextovodkaz"/>
            <w:noProof/>
          </w:rPr>
          <w:t>5.1</w:t>
        </w:r>
        <w:r>
          <w:rPr>
            <w:rFonts w:asciiTheme="minorHAnsi" w:eastAsiaTheme="minorEastAsia" w:hAnsiTheme="minorHAnsi" w:cstheme="minorBidi"/>
            <w:noProof/>
            <w:kern w:val="2"/>
            <w:sz w:val="24"/>
            <w:szCs w:val="24"/>
            <w:lang w:eastAsia="cs-CZ"/>
            <w14:ligatures w14:val="standardContextual"/>
          </w:rPr>
          <w:tab/>
        </w:r>
        <w:r w:rsidRPr="00FA7D08">
          <w:rPr>
            <w:rStyle w:val="Hypertextovodkaz"/>
            <w:noProof/>
          </w:rPr>
          <w:t>Bodové zdroje znečištění</w:t>
        </w:r>
        <w:r>
          <w:rPr>
            <w:noProof/>
            <w:webHidden/>
          </w:rPr>
          <w:tab/>
        </w:r>
        <w:r>
          <w:rPr>
            <w:noProof/>
            <w:webHidden/>
          </w:rPr>
          <w:fldChar w:fldCharType="begin"/>
        </w:r>
        <w:r>
          <w:rPr>
            <w:noProof/>
            <w:webHidden/>
          </w:rPr>
          <w:instrText xml:space="preserve"> PAGEREF _Toc236991620 \h </w:instrText>
        </w:r>
        <w:r>
          <w:rPr>
            <w:noProof/>
            <w:webHidden/>
          </w:rPr>
        </w:r>
        <w:r>
          <w:rPr>
            <w:noProof/>
            <w:webHidden/>
          </w:rPr>
          <w:fldChar w:fldCharType="separate"/>
        </w:r>
        <w:r>
          <w:rPr>
            <w:noProof/>
            <w:webHidden/>
          </w:rPr>
          <w:t>68</w:t>
        </w:r>
        <w:r>
          <w:rPr>
            <w:noProof/>
            <w:webHidden/>
          </w:rPr>
          <w:fldChar w:fldCharType="end"/>
        </w:r>
      </w:hyperlink>
    </w:p>
    <w:p w14:paraId="19AD7C92" w14:textId="32ECEB11"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21" w:history="1">
        <w:r w:rsidRPr="00FA7D08">
          <w:rPr>
            <w:rStyle w:val="Hypertextovodkaz"/>
            <w:noProof/>
          </w:rPr>
          <w:t>5.2</w:t>
        </w:r>
        <w:r>
          <w:rPr>
            <w:rFonts w:asciiTheme="minorHAnsi" w:eastAsiaTheme="minorEastAsia" w:hAnsiTheme="minorHAnsi" w:cstheme="minorBidi"/>
            <w:noProof/>
            <w:kern w:val="2"/>
            <w:sz w:val="24"/>
            <w:szCs w:val="24"/>
            <w:lang w:eastAsia="cs-CZ"/>
            <w14:ligatures w14:val="standardContextual"/>
          </w:rPr>
          <w:tab/>
        </w:r>
        <w:r w:rsidRPr="00FA7D08">
          <w:rPr>
            <w:rStyle w:val="Hypertextovodkaz"/>
            <w:noProof/>
          </w:rPr>
          <w:t>Plošné znečištění</w:t>
        </w:r>
        <w:r>
          <w:rPr>
            <w:noProof/>
            <w:webHidden/>
          </w:rPr>
          <w:tab/>
        </w:r>
        <w:r>
          <w:rPr>
            <w:noProof/>
            <w:webHidden/>
          </w:rPr>
          <w:fldChar w:fldCharType="begin"/>
        </w:r>
        <w:r>
          <w:rPr>
            <w:noProof/>
            <w:webHidden/>
          </w:rPr>
          <w:instrText xml:space="preserve"> PAGEREF _Toc236991621 \h </w:instrText>
        </w:r>
        <w:r>
          <w:rPr>
            <w:noProof/>
            <w:webHidden/>
          </w:rPr>
        </w:r>
        <w:r>
          <w:rPr>
            <w:noProof/>
            <w:webHidden/>
          </w:rPr>
          <w:fldChar w:fldCharType="separate"/>
        </w:r>
        <w:r>
          <w:rPr>
            <w:noProof/>
            <w:webHidden/>
          </w:rPr>
          <w:t>70</w:t>
        </w:r>
        <w:r>
          <w:rPr>
            <w:noProof/>
            <w:webHidden/>
          </w:rPr>
          <w:fldChar w:fldCharType="end"/>
        </w:r>
      </w:hyperlink>
    </w:p>
    <w:p w14:paraId="2F90ADB4" w14:textId="7363FB16"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22" w:history="1">
        <w:r w:rsidRPr="00FA7D08">
          <w:rPr>
            <w:rStyle w:val="Hypertextovodkaz"/>
            <w:noProof/>
          </w:rPr>
          <w:t>5.3</w:t>
        </w:r>
        <w:r>
          <w:rPr>
            <w:rFonts w:asciiTheme="minorHAnsi" w:eastAsiaTheme="minorEastAsia" w:hAnsiTheme="minorHAnsi" w:cstheme="minorBidi"/>
            <w:noProof/>
            <w:kern w:val="2"/>
            <w:sz w:val="24"/>
            <w:szCs w:val="24"/>
            <w:lang w:eastAsia="cs-CZ"/>
            <w14:ligatures w14:val="standardContextual"/>
          </w:rPr>
          <w:tab/>
        </w:r>
        <w:r w:rsidRPr="00FA7D08">
          <w:rPr>
            <w:rStyle w:val="Hypertextovodkaz"/>
            <w:noProof/>
          </w:rPr>
          <w:t>Havarijní znečištění</w:t>
        </w:r>
        <w:r>
          <w:rPr>
            <w:noProof/>
            <w:webHidden/>
          </w:rPr>
          <w:tab/>
        </w:r>
        <w:r>
          <w:rPr>
            <w:noProof/>
            <w:webHidden/>
          </w:rPr>
          <w:fldChar w:fldCharType="begin"/>
        </w:r>
        <w:r>
          <w:rPr>
            <w:noProof/>
            <w:webHidden/>
          </w:rPr>
          <w:instrText xml:space="preserve"> PAGEREF _Toc236991622 \h </w:instrText>
        </w:r>
        <w:r>
          <w:rPr>
            <w:noProof/>
            <w:webHidden/>
          </w:rPr>
        </w:r>
        <w:r>
          <w:rPr>
            <w:noProof/>
            <w:webHidden/>
          </w:rPr>
          <w:fldChar w:fldCharType="separate"/>
        </w:r>
        <w:r>
          <w:rPr>
            <w:noProof/>
            <w:webHidden/>
          </w:rPr>
          <w:t>73</w:t>
        </w:r>
        <w:r>
          <w:rPr>
            <w:noProof/>
            <w:webHidden/>
          </w:rPr>
          <w:fldChar w:fldCharType="end"/>
        </w:r>
      </w:hyperlink>
    </w:p>
    <w:p w14:paraId="5C64A2DD" w14:textId="0AD4B661" w:rsidR="006B31DD" w:rsidRDefault="006B31DD">
      <w:pPr>
        <w:pStyle w:val="Obsah1"/>
        <w:rPr>
          <w:rFonts w:asciiTheme="minorHAnsi" w:eastAsiaTheme="minorEastAsia" w:hAnsiTheme="minorHAnsi" w:cstheme="minorBidi"/>
          <w:kern w:val="2"/>
          <w:sz w:val="24"/>
          <w:szCs w:val="24"/>
          <w:lang w:eastAsia="cs-CZ"/>
          <w14:ligatures w14:val="standardContextual"/>
        </w:rPr>
      </w:pPr>
      <w:hyperlink w:anchor="_Toc236991623" w:history="1">
        <w:r w:rsidRPr="00FA7D08">
          <w:rPr>
            <w:rStyle w:val="Hypertextovodkaz"/>
          </w:rPr>
          <w:t>6.</w:t>
        </w:r>
        <w:r>
          <w:rPr>
            <w:rFonts w:asciiTheme="minorHAnsi" w:eastAsiaTheme="minorEastAsia" w:hAnsiTheme="minorHAnsi" w:cstheme="minorBidi"/>
            <w:kern w:val="2"/>
            <w:sz w:val="24"/>
            <w:szCs w:val="24"/>
            <w:lang w:eastAsia="cs-CZ"/>
            <w14:ligatures w14:val="standardContextual"/>
          </w:rPr>
          <w:tab/>
        </w:r>
        <w:r w:rsidRPr="00FA7D08">
          <w:rPr>
            <w:rStyle w:val="Hypertextovodkaz"/>
          </w:rPr>
          <w:t>SPRÁVA VODNÍCH TOKŮ</w:t>
        </w:r>
        <w:r>
          <w:rPr>
            <w:webHidden/>
          </w:rPr>
          <w:tab/>
        </w:r>
        <w:r>
          <w:rPr>
            <w:webHidden/>
          </w:rPr>
          <w:fldChar w:fldCharType="begin"/>
        </w:r>
        <w:r>
          <w:rPr>
            <w:webHidden/>
          </w:rPr>
          <w:instrText xml:space="preserve"> PAGEREF _Toc236991623 \h </w:instrText>
        </w:r>
        <w:r>
          <w:rPr>
            <w:webHidden/>
          </w:rPr>
        </w:r>
        <w:r>
          <w:rPr>
            <w:webHidden/>
          </w:rPr>
          <w:fldChar w:fldCharType="separate"/>
        </w:r>
        <w:r>
          <w:rPr>
            <w:webHidden/>
          </w:rPr>
          <w:t>75</w:t>
        </w:r>
        <w:r>
          <w:rPr>
            <w:webHidden/>
          </w:rPr>
          <w:fldChar w:fldCharType="end"/>
        </w:r>
      </w:hyperlink>
    </w:p>
    <w:p w14:paraId="1BC8D546" w14:textId="54CBCAD9"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24" w:history="1">
        <w:r w:rsidRPr="00FA7D08">
          <w:rPr>
            <w:rStyle w:val="Hypertextovodkaz"/>
            <w:noProof/>
          </w:rPr>
          <w:t>6.1</w:t>
        </w:r>
        <w:r>
          <w:rPr>
            <w:rFonts w:asciiTheme="minorHAnsi" w:eastAsiaTheme="minorEastAsia" w:hAnsiTheme="minorHAnsi" w:cstheme="minorBidi"/>
            <w:noProof/>
            <w:kern w:val="2"/>
            <w:sz w:val="24"/>
            <w:szCs w:val="24"/>
            <w:lang w:eastAsia="cs-CZ"/>
            <w14:ligatures w14:val="standardContextual"/>
          </w:rPr>
          <w:tab/>
        </w:r>
        <w:r w:rsidRPr="00FA7D08">
          <w:rPr>
            <w:rStyle w:val="Hypertextovodkaz"/>
            <w:noProof/>
          </w:rPr>
          <w:t>Odborná správa vodních toků</w:t>
        </w:r>
        <w:r>
          <w:rPr>
            <w:noProof/>
            <w:webHidden/>
          </w:rPr>
          <w:tab/>
        </w:r>
        <w:r>
          <w:rPr>
            <w:noProof/>
            <w:webHidden/>
          </w:rPr>
          <w:fldChar w:fldCharType="begin"/>
        </w:r>
        <w:r>
          <w:rPr>
            <w:noProof/>
            <w:webHidden/>
          </w:rPr>
          <w:instrText xml:space="preserve"> PAGEREF _Toc236991624 \h </w:instrText>
        </w:r>
        <w:r>
          <w:rPr>
            <w:noProof/>
            <w:webHidden/>
          </w:rPr>
        </w:r>
        <w:r>
          <w:rPr>
            <w:noProof/>
            <w:webHidden/>
          </w:rPr>
          <w:fldChar w:fldCharType="separate"/>
        </w:r>
        <w:r>
          <w:rPr>
            <w:noProof/>
            <w:webHidden/>
          </w:rPr>
          <w:t>75</w:t>
        </w:r>
        <w:r>
          <w:rPr>
            <w:noProof/>
            <w:webHidden/>
          </w:rPr>
          <w:fldChar w:fldCharType="end"/>
        </w:r>
      </w:hyperlink>
    </w:p>
    <w:p w14:paraId="02AAA1DF" w14:textId="7814D17C"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25" w:history="1">
        <w:r w:rsidRPr="00FA7D08">
          <w:rPr>
            <w:rStyle w:val="Hypertextovodkaz"/>
            <w:noProof/>
          </w:rPr>
          <w:t>6.2</w:t>
        </w:r>
        <w:r>
          <w:rPr>
            <w:rFonts w:asciiTheme="minorHAnsi" w:eastAsiaTheme="minorEastAsia" w:hAnsiTheme="minorHAnsi" w:cstheme="minorBidi"/>
            <w:noProof/>
            <w:kern w:val="2"/>
            <w:sz w:val="24"/>
            <w:szCs w:val="24"/>
            <w:lang w:eastAsia="cs-CZ"/>
            <w14:ligatures w14:val="standardContextual"/>
          </w:rPr>
          <w:tab/>
        </w:r>
        <w:r w:rsidRPr="00FA7D08">
          <w:rPr>
            <w:rStyle w:val="Hypertextovodkaz"/>
            <w:noProof/>
          </w:rPr>
          <w:t>Státní podniky Povodí</w:t>
        </w:r>
        <w:r>
          <w:rPr>
            <w:noProof/>
            <w:webHidden/>
          </w:rPr>
          <w:tab/>
        </w:r>
        <w:r>
          <w:rPr>
            <w:noProof/>
            <w:webHidden/>
          </w:rPr>
          <w:fldChar w:fldCharType="begin"/>
        </w:r>
        <w:r>
          <w:rPr>
            <w:noProof/>
            <w:webHidden/>
          </w:rPr>
          <w:instrText xml:space="preserve"> PAGEREF _Toc236991625 \h </w:instrText>
        </w:r>
        <w:r>
          <w:rPr>
            <w:noProof/>
            <w:webHidden/>
          </w:rPr>
        </w:r>
        <w:r>
          <w:rPr>
            <w:noProof/>
            <w:webHidden/>
          </w:rPr>
          <w:fldChar w:fldCharType="separate"/>
        </w:r>
        <w:r>
          <w:rPr>
            <w:noProof/>
            <w:webHidden/>
          </w:rPr>
          <w:t>77</w:t>
        </w:r>
        <w:r>
          <w:rPr>
            <w:noProof/>
            <w:webHidden/>
          </w:rPr>
          <w:fldChar w:fldCharType="end"/>
        </w:r>
      </w:hyperlink>
    </w:p>
    <w:p w14:paraId="67108768" w14:textId="3A920B96"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26" w:history="1">
        <w:r w:rsidRPr="00FA7D08">
          <w:rPr>
            <w:rStyle w:val="Hypertextovodkaz"/>
            <w:noProof/>
          </w:rPr>
          <w:t>6.3</w:t>
        </w:r>
        <w:r>
          <w:rPr>
            <w:rFonts w:asciiTheme="minorHAnsi" w:eastAsiaTheme="minorEastAsia" w:hAnsiTheme="minorHAnsi" w:cstheme="minorBidi"/>
            <w:noProof/>
            <w:kern w:val="2"/>
            <w:sz w:val="24"/>
            <w:szCs w:val="24"/>
            <w:lang w:eastAsia="cs-CZ"/>
            <w14:ligatures w14:val="standardContextual"/>
          </w:rPr>
          <w:tab/>
        </w:r>
        <w:r w:rsidRPr="00FA7D08">
          <w:rPr>
            <w:rStyle w:val="Hypertextovodkaz"/>
            <w:noProof/>
          </w:rPr>
          <w:t>Lesy České republiky, s. p.</w:t>
        </w:r>
        <w:r>
          <w:rPr>
            <w:noProof/>
            <w:webHidden/>
          </w:rPr>
          <w:tab/>
        </w:r>
        <w:r>
          <w:rPr>
            <w:noProof/>
            <w:webHidden/>
          </w:rPr>
          <w:fldChar w:fldCharType="begin"/>
        </w:r>
        <w:r>
          <w:rPr>
            <w:noProof/>
            <w:webHidden/>
          </w:rPr>
          <w:instrText xml:space="preserve"> PAGEREF _Toc236991626 \h </w:instrText>
        </w:r>
        <w:r>
          <w:rPr>
            <w:noProof/>
            <w:webHidden/>
          </w:rPr>
        </w:r>
        <w:r>
          <w:rPr>
            <w:noProof/>
            <w:webHidden/>
          </w:rPr>
          <w:fldChar w:fldCharType="separate"/>
        </w:r>
        <w:r>
          <w:rPr>
            <w:noProof/>
            <w:webHidden/>
          </w:rPr>
          <w:t>87</w:t>
        </w:r>
        <w:r>
          <w:rPr>
            <w:noProof/>
            <w:webHidden/>
          </w:rPr>
          <w:fldChar w:fldCharType="end"/>
        </w:r>
      </w:hyperlink>
    </w:p>
    <w:p w14:paraId="00277EBF" w14:textId="3A41C944" w:rsidR="006B31DD" w:rsidRDefault="006B31DD">
      <w:pPr>
        <w:pStyle w:val="Obsah1"/>
        <w:rPr>
          <w:rFonts w:asciiTheme="minorHAnsi" w:eastAsiaTheme="minorEastAsia" w:hAnsiTheme="minorHAnsi" w:cstheme="minorBidi"/>
          <w:kern w:val="2"/>
          <w:sz w:val="24"/>
          <w:szCs w:val="24"/>
          <w:lang w:eastAsia="cs-CZ"/>
          <w14:ligatures w14:val="standardContextual"/>
        </w:rPr>
      </w:pPr>
      <w:hyperlink w:anchor="_Toc236991627" w:history="1">
        <w:r w:rsidRPr="00FA7D08">
          <w:rPr>
            <w:rStyle w:val="Hypertextovodkaz"/>
          </w:rPr>
          <w:t>7.</w:t>
        </w:r>
        <w:r>
          <w:rPr>
            <w:rFonts w:asciiTheme="minorHAnsi" w:eastAsiaTheme="minorEastAsia" w:hAnsiTheme="minorHAnsi" w:cstheme="minorBidi"/>
            <w:kern w:val="2"/>
            <w:sz w:val="24"/>
            <w:szCs w:val="24"/>
            <w:lang w:eastAsia="cs-CZ"/>
            <w14:ligatures w14:val="standardContextual"/>
          </w:rPr>
          <w:tab/>
        </w:r>
        <w:r w:rsidRPr="00FA7D08">
          <w:rPr>
            <w:rStyle w:val="Hypertextovodkaz"/>
          </w:rPr>
          <w:t>POZEMKOVÉ ÚPRAVY A MELIORAČNÍ STAVBY</w:t>
        </w:r>
        <w:r>
          <w:rPr>
            <w:webHidden/>
          </w:rPr>
          <w:tab/>
        </w:r>
        <w:r>
          <w:rPr>
            <w:webHidden/>
          </w:rPr>
          <w:fldChar w:fldCharType="begin"/>
        </w:r>
        <w:r>
          <w:rPr>
            <w:webHidden/>
          </w:rPr>
          <w:instrText xml:space="preserve"> PAGEREF _Toc236991627 \h </w:instrText>
        </w:r>
        <w:r>
          <w:rPr>
            <w:webHidden/>
          </w:rPr>
        </w:r>
        <w:r>
          <w:rPr>
            <w:webHidden/>
          </w:rPr>
          <w:fldChar w:fldCharType="separate"/>
        </w:r>
        <w:r>
          <w:rPr>
            <w:webHidden/>
          </w:rPr>
          <w:t>92</w:t>
        </w:r>
        <w:r>
          <w:rPr>
            <w:webHidden/>
          </w:rPr>
          <w:fldChar w:fldCharType="end"/>
        </w:r>
      </w:hyperlink>
    </w:p>
    <w:p w14:paraId="06362754" w14:textId="22C90786" w:rsidR="006B31DD" w:rsidRDefault="006B31DD">
      <w:pPr>
        <w:pStyle w:val="Obsah1"/>
        <w:rPr>
          <w:rFonts w:asciiTheme="minorHAnsi" w:eastAsiaTheme="minorEastAsia" w:hAnsiTheme="minorHAnsi" w:cstheme="minorBidi"/>
          <w:kern w:val="2"/>
          <w:sz w:val="24"/>
          <w:szCs w:val="24"/>
          <w:lang w:eastAsia="cs-CZ"/>
          <w14:ligatures w14:val="standardContextual"/>
        </w:rPr>
      </w:pPr>
      <w:hyperlink w:anchor="_Toc236991628" w:history="1">
        <w:r w:rsidRPr="00FA7D08">
          <w:rPr>
            <w:rStyle w:val="Hypertextovodkaz"/>
          </w:rPr>
          <w:t>8.</w:t>
        </w:r>
        <w:r>
          <w:rPr>
            <w:rFonts w:asciiTheme="minorHAnsi" w:eastAsiaTheme="minorEastAsia" w:hAnsiTheme="minorHAnsi" w:cstheme="minorBidi"/>
            <w:kern w:val="2"/>
            <w:sz w:val="24"/>
            <w:szCs w:val="24"/>
            <w:lang w:eastAsia="cs-CZ"/>
            <w14:ligatures w14:val="standardContextual"/>
          </w:rPr>
          <w:tab/>
        </w:r>
        <w:r w:rsidRPr="00FA7D08">
          <w:rPr>
            <w:rStyle w:val="Hypertextovodkaz"/>
          </w:rPr>
          <w:t>VODNÍ CESTY</w:t>
        </w:r>
        <w:r>
          <w:rPr>
            <w:webHidden/>
          </w:rPr>
          <w:tab/>
        </w:r>
        <w:r>
          <w:rPr>
            <w:webHidden/>
          </w:rPr>
          <w:fldChar w:fldCharType="begin"/>
        </w:r>
        <w:r>
          <w:rPr>
            <w:webHidden/>
          </w:rPr>
          <w:instrText xml:space="preserve"> PAGEREF _Toc236991628 \h </w:instrText>
        </w:r>
        <w:r>
          <w:rPr>
            <w:webHidden/>
          </w:rPr>
        </w:r>
        <w:r>
          <w:rPr>
            <w:webHidden/>
          </w:rPr>
          <w:fldChar w:fldCharType="separate"/>
        </w:r>
        <w:r>
          <w:rPr>
            <w:webHidden/>
          </w:rPr>
          <w:t>96</w:t>
        </w:r>
        <w:r>
          <w:rPr>
            <w:webHidden/>
          </w:rPr>
          <w:fldChar w:fldCharType="end"/>
        </w:r>
      </w:hyperlink>
    </w:p>
    <w:p w14:paraId="668F6EFF" w14:textId="4BEB5ACF" w:rsidR="006B31DD" w:rsidRDefault="006B31DD">
      <w:pPr>
        <w:pStyle w:val="Obsah1"/>
        <w:rPr>
          <w:rFonts w:asciiTheme="minorHAnsi" w:eastAsiaTheme="minorEastAsia" w:hAnsiTheme="minorHAnsi" w:cstheme="minorBidi"/>
          <w:kern w:val="2"/>
          <w:sz w:val="24"/>
          <w:szCs w:val="24"/>
          <w:lang w:eastAsia="cs-CZ"/>
          <w14:ligatures w14:val="standardContextual"/>
        </w:rPr>
      </w:pPr>
      <w:hyperlink w:anchor="_Toc236991629" w:history="1">
        <w:r w:rsidRPr="00FA7D08">
          <w:rPr>
            <w:rStyle w:val="Hypertextovodkaz"/>
          </w:rPr>
          <w:t>9.</w:t>
        </w:r>
        <w:r>
          <w:rPr>
            <w:rFonts w:asciiTheme="minorHAnsi" w:eastAsiaTheme="minorEastAsia" w:hAnsiTheme="minorHAnsi" w:cstheme="minorBidi"/>
            <w:kern w:val="2"/>
            <w:sz w:val="24"/>
            <w:szCs w:val="24"/>
            <w:lang w:eastAsia="cs-CZ"/>
            <w14:ligatures w14:val="standardContextual"/>
          </w:rPr>
          <w:tab/>
        </w:r>
        <w:r w:rsidRPr="00FA7D08">
          <w:rPr>
            <w:rStyle w:val="Hypertextovodkaz"/>
          </w:rPr>
          <w:t>VODOVODY A KANALIZACE PRO VEŘEJNOU POTŘEBU</w:t>
        </w:r>
        <w:r>
          <w:rPr>
            <w:webHidden/>
          </w:rPr>
          <w:tab/>
        </w:r>
        <w:r>
          <w:rPr>
            <w:webHidden/>
          </w:rPr>
          <w:fldChar w:fldCharType="begin"/>
        </w:r>
        <w:r>
          <w:rPr>
            <w:webHidden/>
          </w:rPr>
          <w:instrText xml:space="preserve"> PAGEREF _Toc236991629 \h </w:instrText>
        </w:r>
        <w:r>
          <w:rPr>
            <w:webHidden/>
          </w:rPr>
        </w:r>
        <w:r>
          <w:rPr>
            <w:webHidden/>
          </w:rPr>
          <w:fldChar w:fldCharType="separate"/>
        </w:r>
        <w:r>
          <w:rPr>
            <w:webHidden/>
          </w:rPr>
          <w:t>97</w:t>
        </w:r>
        <w:r>
          <w:rPr>
            <w:webHidden/>
          </w:rPr>
          <w:fldChar w:fldCharType="end"/>
        </w:r>
      </w:hyperlink>
    </w:p>
    <w:p w14:paraId="27A21EAA" w14:textId="7F4E6A12"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30" w:history="1">
        <w:r w:rsidRPr="00FA7D08">
          <w:rPr>
            <w:rStyle w:val="Hypertextovodkaz"/>
            <w:noProof/>
          </w:rPr>
          <w:t>9.1</w:t>
        </w:r>
        <w:r>
          <w:rPr>
            <w:rFonts w:asciiTheme="minorHAnsi" w:eastAsiaTheme="minorEastAsia" w:hAnsiTheme="minorHAnsi" w:cstheme="minorBidi"/>
            <w:noProof/>
            <w:kern w:val="2"/>
            <w:sz w:val="24"/>
            <w:szCs w:val="24"/>
            <w:lang w:eastAsia="cs-CZ"/>
            <w14:ligatures w14:val="standardContextual"/>
          </w:rPr>
          <w:tab/>
        </w:r>
        <w:r w:rsidRPr="00FA7D08">
          <w:rPr>
            <w:rStyle w:val="Hypertextovodkaz"/>
            <w:noProof/>
          </w:rPr>
          <w:t>Zásobování pitnou vodou</w:t>
        </w:r>
        <w:r>
          <w:rPr>
            <w:noProof/>
            <w:webHidden/>
          </w:rPr>
          <w:tab/>
        </w:r>
        <w:r>
          <w:rPr>
            <w:noProof/>
            <w:webHidden/>
          </w:rPr>
          <w:fldChar w:fldCharType="begin"/>
        </w:r>
        <w:r>
          <w:rPr>
            <w:noProof/>
            <w:webHidden/>
          </w:rPr>
          <w:instrText xml:space="preserve"> PAGEREF _Toc236991630 \h </w:instrText>
        </w:r>
        <w:r>
          <w:rPr>
            <w:noProof/>
            <w:webHidden/>
          </w:rPr>
        </w:r>
        <w:r>
          <w:rPr>
            <w:noProof/>
            <w:webHidden/>
          </w:rPr>
          <w:fldChar w:fldCharType="separate"/>
        </w:r>
        <w:r>
          <w:rPr>
            <w:noProof/>
            <w:webHidden/>
          </w:rPr>
          <w:t>97</w:t>
        </w:r>
        <w:r>
          <w:rPr>
            <w:noProof/>
            <w:webHidden/>
          </w:rPr>
          <w:fldChar w:fldCharType="end"/>
        </w:r>
      </w:hyperlink>
    </w:p>
    <w:p w14:paraId="58055D6F" w14:textId="64E27E6D"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32" w:history="1">
        <w:r w:rsidRPr="00FA7D08">
          <w:rPr>
            <w:rStyle w:val="Hypertextovodkaz"/>
            <w:noProof/>
          </w:rPr>
          <w:t>9.2</w:t>
        </w:r>
        <w:r>
          <w:rPr>
            <w:rFonts w:asciiTheme="minorHAnsi" w:eastAsiaTheme="minorEastAsia" w:hAnsiTheme="minorHAnsi" w:cstheme="minorBidi"/>
            <w:noProof/>
            <w:kern w:val="2"/>
            <w:sz w:val="24"/>
            <w:szCs w:val="24"/>
            <w:lang w:eastAsia="cs-CZ"/>
            <w14:ligatures w14:val="standardContextual"/>
          </w:rPr>
          <w:tab/>
        </w:r>
        <w:r w:rsidRPr="00FA7D08">
          <w:rPr>
            <w:rStyle w:val="Hypertextovodkaz"/>
            <w:noProof/>
          </w:rPr>
          <w:t>Odvádění a čištění komunálních odpadních vod</w:t>
        </w:r>
        <w:r>
          <w:rPr>
            <w:noProof/>
            <w:webHidden/>
          </w:rPr>
          <w:tab/>
        </w:r>
        <w:r>
          <w:rPr>
            <w:noProof/>
            <w:webHidden/>
          </w:rPr>
          <w:fldChar w:fldCharType="begin"/>
        </w:r>
        <w:r>
          <w:rPr>
            <w:noProof/>
            <w:webHidden/>
          </w:rPr>
          <w:instrText xml:space="preserve"> PAGEREF _Toc236991632 \h </w:instrText>
        </w:r>
        <w:r>
          <w:rPr>
            <w:noProof/>
            <w:webHidden/>
          </w:rPr>
        </w:r>
        <w:r>
          <w:rPr>
            <w:noProof/>
            <w:webHidden/>
          </w:rPr>
          <w:fldChar w:fldCharType="separate"/>
        </w:r>
        <w:r>
          <w:rPr>
            <w:noProof/>
            <w:webHidden/>
          </w:rPr>
          <w:t>99</w:t>
        </w:r>
        <w:r>
          <w:rPr>
            <w:noProof/>
            <w:webHidden/>
          </w:rPr>
          <w:fldChar w:fldCharType="end"/>
        </w:r>
      </w:hyperlink>
    </w:p>
    <w:p w14:paraId="4D99A531" w14:textId="0F4A2A84"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34" w:history="1">
        <w:r w:rsidRPr="00FA7D08">
          <w:rPr>
            <w:rStyle w:val="Hypertextovodkaz"/>
            <w:noProof/>
          </w:rPr>
          <w:t>9.3</w:t>
        </w:r>
        <w:r>
          <w:rPr>
            <w:rFonts w:asciiTheme="minorHAnsi" w:eastAsiaTheme="minorEastAsia" w:hAnsiTheme="minorHAnsi" w:cstheme="minorBidi"/>
            <w:noProof/>
            <w:kern w:val="2"/>
            <w:sz w:val="24"/>
            <w:szCs w:val="24"/>
            <w:lang w:eastAsia="cs-CZ"/>
            <w14:ligatures w14:val="standardContextual"/>
          </w:rPr>
          <w:tab/>
        </w:r>
        <w:r w:rsidRPr="00FA7D08">
          <w:rPr>
            <w:rStyle w:val="Hypertextovodkaz"/>
            <w:noProof/>
          </w:rPr>
          <w:t>Vývoj ceny pro vodné a stočné</w:t>
        </w:r>
        <w:r>
          <w:rPr>
            <w:noProof/>
            <w:webHidden/>
          </w:rPr>
          <w:tab/>
        </w:r>
        <w:r>
          <w:rPr>
            <w:noProof/>
            <w:webHidden/>
          </w:rPr>
          <w:fldChar w:fldCharType="begin"/>
        </w:r>
        <w:r>
          <w:rPr>
            <w:noProof/>
            <w:webHidden/>
          </w:rPr>
          <w:instrText xml:space="preserve"> PAGEREF _Toc236991634 \h </w:instrText>
        </w:r>
        <w:r>
          <w:rPr>
            <w:noProof/>
            <w:webHidden/>
          </w:rPr>
        </w:r>
        <w:r>
          <w:rPr>
            <w:noProof/>
            <w:webHidden/>
          </w:rPr>
          <w:fldChar w:fldCharType="separate"/>
        </w:r>
        <w:r>
          <w:rPr>
            <w:noProof/>
            <w:webHidden/>
          </w:rPr>
          <w:t>101</w:t>
        </w:r>
        <w:r>
          <w:rPr>
            <w:noProof/>
            <w:webHidden/>
          </w:rPr>
          <w:fldChar w:fldCharType="end"/>
        </w:r>
      </w:hyperlink>
    </w:p>
    <w:p w14:paraId="1A632869" w14:textId="6040B871"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35" w:history="1">
        <w:r w:rsidRPr="00FA7D08">
          <w:rPr>
            <w:rStyle w:val="Hypertextovodkaz"/>
            <w:noProof/>
          </w:rPr>
          <w:t>9.4</w:t>
        </w:r>
        <w:r>
          <w:rPr>
            <w:rFonts w:asciiTheme="minorHAnsi" w:eastAsiaTheme="minorEastAsia" w:hAnsiTheme="minorHAnsi" w:cstheme="minorBidi"/>
            <w:noProof/>
            <w:kern w:val="2"/>
            <w:sz w:val="24"/>
            <w:szCs w:val="24"/>
            <w:lang w:eastAsia="cs-CZ"/>
            <w14:ligatures w14:val="standardContextual"/>
          </w:rPr>
          <w:tab/>
        </w:r>
        <w:r w:rsidRPr="00FA7D08">
          <w:rPr>
            <w:rStyle w:val="Hypertextovodkaz"/>
            <w:noProof/>
          </w:rPr>
          <w:t>Regulace oboru vodovodů a kanalizací</w:t>
        </w:r>
        <w:r>
          <w:rPr>
            <w:noProof/>
            <w:webHidden/>
          </w:rPr>
          <w:tab/>
        </w:r>
        <w:r>
          <w:rPr>
            <w:noProof/>
            <w:webHidden/>
          </w:rPr>
          <w:fldChar w:fldCharType="begin"/>
        </w:r>
        <w:r>
          <w:rPr>
            <w:noProof/>
            <w:webHidden/>
          </w:rPr>
          <w:instrText xml:space="preserve"> PAGEREF _Toc236991635 \h </w:instrText>
        </w:r>
        <w:r>
          <w:rPr>
            <w:noProof/>
            <w:webHidden/>
          </w:rPr>
        </w:r>
        <w:r>
          <w:rPr>
            <w:noProof/>
            <w:webHidden/>
          </w:rPr>
          <w:fldChar w:fldCharType="separate"/>
        </w:r>
        <w:r>
          <w:rPr>
            <w:noProof/>
            <w:webHidden/>
          </w:rPr>
          <w:t>102</w:t>
        </w:r>
        <w:r>
          <w:rPr>
            <w:noProof/>
            <w:webHidden/>
          </w:rPr>
          <w:fldChar w:fldCharType="end"/>
        </w:r>
      </w:hyperlink>
    </w:p>
    <w:p w14:paraId="6912154A" w14:textId="062D7BEA" w:rsidR="006B31DD" w:rsidRDefault="006B31DD">
      <w:pPr>
        <w:pStyle w:val="Obsah1"/>
        <w:tabs>
          <w:tab w:val="left" w:pos="660"/>
        </w:tabs>
        <w:rPr>
          <w:rFonts w:asciiTheme="minorHAnsi" w:eastAsiaTheme="minorEastAsia" w:hAnsiTheme="minorHAnsi" w:cstheme="minorBidi"/>
          <w:kern w:val="2"/>
          <w:sz w:val="24"/>
          <w:szCs w:val="24"/>
          <w:lang w:eastAsia="cs-CZ"/>
          <w14:ligatures w14:val="standardContextual"/>
        </w:rPr>
      </w:pPr>
      <w:hyperlink w:anchor="_Toc236991636" w:history="1">
        <w:r w:rsidRPr="00FA7D08">
          <w:rPr>
            <w:rStyle w:val="Hypertextovodkaz"/>
          </w:rPr>
          <w:t>10.</w:t>
        </w:r>
        <w:r>
          <w:rPr>
            <w:rFonts w:asciiTheme="minorHAnsi" w:eastAsiaTheme="minorEastAsia" w:hAnsiTheme="minorHAnsi" w:cstheme="minorBidi"/>
            <w:kern w:val="2"/>
            <w:sz w:val="24"/>
            <w:szCs w:val="24"/>
            <w:lang w:eastAsia="cs-CZ"/>
            <w14:ligatures w14:val="standardContextual"/>
          </w:rPr>
          <w:tab/>
        </w:r>
        <w:r w:rsidRPr="00FA7D08">
          <w:rPr>
            <w:rStyle w:val="Hypertextovodkaz"/>
          </w:rPr>
          <w:t>RYBÁŘSTVÍ A RYBNÍKÁŘSTVÍ</w:t>
        </w:r>
        <w:r>
          <w:rPr>
            <w:webHidden/>
          </w:rPr>
          <w:tab/>
        </w:r>
        <w:r>
          <w:rPr>
            <w:webHidden/>
          </w:rPr>
          <w:fldChar w:fldCharType="begin"/>
        </w:r>
        <w:r>
          <w:rPr>
            <w:webHidden/>
          </w:rPr>
          <w:instrText xml:space="preserve"> PAGEREF _Toc236991636 \h </w:instrText>
        </w:r>
        <w:r>
          <w:rPr>
            <w:webHidden/>
          </w:rPr>
        </w:r>
        <w:r>
          <w:rPr>
            <w:webHidden/>
          </w:rPr>
          <w:fldChar w:fldCharType="separate"/>
        </w:r>
        <w:r>
          <w:rPr>
            <w:webHidden/>
          </w:rPr>
          <w:t>106</w:t>
        </w:r>
        <w:r>
          <w:rPr>
            <w:webHidden/>
          </w:rPr>
          <w:fldChar w:fldCharType="end"/>
        </w:r>
      </w:hyperlink>
    </w:p>
    <w:p w14:paraId="75C7AD38" w14:textId="449D7327" w:rsidR="006B31DD" w:rsidRDefault="006B31DD">
      <w:pPr>
        <w:pStyle w:val="Obsah1"/>
        <w:rPr>
          <w:rFonts w:asciiTheme="minorHAnsi" w:eastAsiaTheme="minorEastAsia" w:hAnsiTheme="minorHAnsi" w:cstheme="minorBidi"/>
          <w:kern w:val="2"/>
          <w:sz w:val="24"/>
          <w:szCs w:val="24"/>
          <w:lang w:eastAsia="cs-CZ"/>
          <w14:ligatures w14:val="standardContextual"/>
        </w:rPr>
      </w:pPr>
      <w:hyperlink w:anchor="_Toc236991637" w:history="1">
        <w:r w:rsidRPr="00FA7D08">
          <w:rPr>
            <w:rStyle w:val="Hypertextovodkaz"/>
          </w:rPr>
          <w:t>11. FINANČNÍ PODPORY VODNÍHO HOSPODÁŘSTVÍ</w:t>
        </w:r>
        <w:r>
          <w:rPr>
            <w:webHidden/>
          </w:rPr>
          <w:tab/>
        </w:r>
        <w:r>
          <w:rPr>
            <w:webHidden/>
          </w:rPr>
          <w:fldChar w:fldCharType="begin"/>
        </w:r>
        <w:r>
          <w:rPr>
            <w:webHidden/>
          </w:rPr>
          <w:instrText xml:space="preserve"> PAGEREF _Toc236991637 \h </w:instrText>
        </w:r>
        <w:r>
          <w:rPr>
            <w:webHidden/>
          </w:rPr>
        </w:r>
        <w:r>
          <w:rPr>
            <w:webHidden/>
          </w:rPr>
          <w:fldChar w:fldCharType="separate"/>
        </w:r>
        <w:r>
          <w:rPr>
            <w:webHidden/>
          </w:rPr>
          <w:t>108</w:t>
        </w:r>
        <w:r>
          <w:rPr>
            <w:webHidden/>
          </w:rPr>
          <w:fldChar w:fldCharType="end"/>
        </w:r>
      </w:hyperlink>
    </w:p>
    <w:p w14:paraId="084D286C" w14:textId="1EEA3482"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38" w:history="1">
        <w:r w:rsidRPr="00FA7D08">
          <w:rPr>
            <w:rStyle w:val="Hypertextovodkaz"/>
            <w:noProof/>
          </w:rPr>
          <w:t>11.1 Finanční podpory z národních a nadnárodních programů</w:t>
        </w:r>
        <w:r>
          <w:rPr>
            <w:noProof/>
            <w:webHidden/>
          </w:rPr>
          <w:tab/>
        </w:r>
        <w:r>
          <w:rPr>
            <w:noProof/>
            <w:webHidden/>
          </w:rPr>
          <w:fldChar w:fldCharType="begin"/>
        </w:r>
        <w:r>
          <w:rPr>
            <w:noProof/>
            <w:webHidden/>
          </w:rPr>
          <w:instrText xml:space="preserve"> PAGEREF _Toc236991638 \h </w:instrText>
        </w:r>
        <w:r>
          <w:rPr>
            <w:noProof/>
            <w:webHidden/>
          </w:rPr>
        </w:r>
        <w:r>
          <w:rPr>
            <w:noProof/>
            <w:webHidden/>
          </w:rPr>
          <w:fldChar w:fldCharType="separate"/>
        </w:r>
        <w:r>
          <w:rPr>
            <w:noProof/>
            <w:webHidden/>
          </w:rPr>
          <w:t>108</w:t>
        </w:r>
        <w:r>
          <w:rPr>
            <w:noProof/>
            <w:webHidden/>
          </w:rPr>
          <w:fldChar w:fldCharType="end"/>
        </w:r>
      </w:hyperlink>
    </w:p>
    <w:p w14:paraId="13145A14" w14:textId="39C1F4BB"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39" w:history="1">
        <w:r w:rsidRPr="00FA7D08">
          <w:rPr>
            <w:rStyle w:val="Hypertextovodkaz"/>
            <w:noProof/>
          </w:rPr>
          <w:t>11. 2 Finanční podpory ze zahraniční spolupráce a EU</w:t>
        </w:r>
        <w:r>
          <w:rPr>
            <w:noProof/>
            <w:webHidden/>
          </w:rPr>
          <w:tab/>
        </w:r>
        <w:r>
          <w:rPr>
            <w:noProof/>
            <w:webHidden/>
          </w:rPr>
          <w:fldChar w:fldCharType="begin"/>
        </w:r>
        <w:r>
          <w:rPr>
            <w:noProof/>
            <w:webHidden/>
          </w:rPr>
          <w:instrText xml:space="preserve"> PAGEREF _Toc236991639 \h </w:instrText>
        </w:r>
        <w:r>
          <w:rPr>
            <w:noProof/>
            <w:webHidden/>
          </w:rPr>
        </w:r>
        <w:r>
          <w:rPr>
            <w:noProof/>
            <w:webHidden/>
          </w:rPr>
          <w:fldChar w:fldCharType="separate"/>
        </w:r>
        <w:r>
          <w:rPr>
            <w:noProof/>
            <w:webHidden/>
          </w:rPr>
          <w:t>131</w:t>
        </w:r>
        <w:r>
          <w:rPr>
            <w:noProof/>
            <w:webHidden/>
          </w:rPr>
          <w:fldChar w:fldCharType="end"/>
        </w:r>
      </w:hyperlink>
    </w:p>
    <w:p w14:paraId="0ED07681" w14:textId="214D8BCF" w:rsidR="006B31DD" w:rsidRDefault="006B31DD">
      <w:pPr>
        <w:pStyle w:val="Obsah1"/>
        <w:rPr>
          <w:rFonts w:asciiTheme="minorHAnsi" w:eastAsiaTheme="minorEastAsia" w:hAnsiTheme="minorHAnsi" w:cstheme="minorBidi"/>
          <w:kern w:val="2"/>
          <w:sz w:val="24"/>
          <w:szCs w:val="24"/>
          <w:lang w:eastAsia="cs-CZ"/>
          <w14:ligatures w14:val="standardContextual"/>
        </w:rPr>
      </w:pPr>
      <w:hyperlink w:anchor="_Toc236991640" w:history="1">
        <w:r w:rsidRPr="00FA7D08">
          <w:rPr>
            <w:rStyle w:val="Hypertextovodkaz"/>
          </w:rPr>
          <w:t>12. LEGISLATIVNÍ OPATŘENÍ</w:t>
        </w:r>
        <w:r>
          <w:rPr>
            <w:webHidden/>
          </w:rPr>
          <w:tab/>
        </w:r>
        <w:r>
          <w:rPr>
            <w:webHidden/>
          </w:rPr>
          <w:fldChar w:fldCharType="begin"/>
        </w:r>
        <w:r>
          <w:rPr>
            <w:webHidden/>
          </w:rPr>
          <w:instrText xml:space="preserve"> PAGEREF _Toc236991640 \h </w:instrText>
        </w:r>
        <w:r>
          <w:rPr>
            <w:webHidden/>
          </w:rPr>
        </w:r>
        <w:r>
          <w:rPr>
            <w:webHidden/>
          </w:rPr>
          <w:fldChar w:fldCharType="separate"/>
        </w:r>
        <w:r>
          <w:rPr>
            <w:webHidden/>
          </w:rPr>
          <w:t>145</w:t>
        </w:r>
        <w:r>
          <w:rPr>
            <w:webHidden/>
          </w:rPr>
          <w:fldChar w:fldCharType="end"/>
        </w:r>
      </w:hyperlink>
    </w:p>
    <w:p w14:paraId="6E5EE00B" w14:textId="15C7CC42"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41" w:history="1">
        <w:r w:rsidRPr="00FA7D08">
          <w:rPr>
            <w:rStyle w:val="Hypertextovodkaz"/>
            <w:noProof/>
          </w:rPr>
          <w:t>12.1 Zákon o vodách a prováděcí předpisy</w:t>
        </w:r>
        <w:r>
          <w:rPr>
            <w:noProof/>
            <w:webHidden/>
          </w:rPr>
          <w:tab/>
        </w:r>
        <w:r>
          <w:rPr>
            <w:noProof/>
            <w:webHidden/>
          </w:rPr>
          <w:fldChar w:fldCharType="begin"/>
        </w:r>
        <w:r>
          <w:rPr>
            <w:noProof/>
            <w:webHidden/>
          </w:rPr>
          <w:instrText xml:space="preserve"> PAGEREF _Toc236991641 \h </w:instrText>
        </w:r>
        <w:r>
          <w:rPr>
            <w:noProof/>
            <w:webHidden/>
          </w:rPr>
        </w:r>
        <w:r>
          <w:rPr>
            <w:noProof/>
            <w:webHidden/>
          </w:rPr>
          <w:fldChar w:fldCharType="separate"/>
        </w:r>
        <w:r>
          <w:rPr>
            <w:noProof/>
            <w:webHidden/>
          </w:rPr>
          <w:t>145</w:t>
        </w:r>
        <w:r>
          <w:rPr>
            <w:noProof/>
            <w:webHidden/>
          </w:rPr>
          <w:fldChar w:fldCharType="end"/>
        </w:r>
      </w:hyperlink>
    </w:p>
    <w:p w14:paraId="48C5F424" w14:textId="1E7720F3"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42" w:history="1">
        <w:r w:rsidRPr="00FA7D08">
          <w:rPr>
            <w:rStyle w:val="Hypertextovodkaz"/>
            <w:noProof/>
          </w:rPr>
          <w:t>12.2 Zákon o vodovodech a kanalizacích</w:t>
        </w:r>
        <w:r>
          <w:rPr>
            <w:noProof/>
            <w:webHidden/>
          </w:rPr>
          <w:tab/>
        </w:r>
        <w:r>
          <w:rPr>
            <w:noProof/>
            <w:webHidden/>
          </w:rPr>
          <w:fldChar w:fldCharType="begin"/>
        </w:r>
        <w:r>
          <w:rPr>
            <w:noProof/>
            <w:webHidden/>
          </w:rPr>
          <w:instrText xml:space="preserve"> PAGEREF _Toc236991642 \h </w:instrText>
        </w:r>
        <w:r>
          <w:rPr>
            <w:noProof/>
            <w:webHidden/>
          </w:rPr>
        </w:r>
        <w:r>
          <w:rPr>
            <w:noProof/>
            <w:webHidden/>
          </w:rPr>
          <w:fldChar w:fldCharType="separate"/>
        </w:r>
        <w:r>
          <w:rPr>
            <w:noProof/>
            <w:webHidden/>
          </w:rPr>
          <w:t>146</w:t>
        </w:r>
        <w:r>
          <w:rPr>
            <w:noProof/>
            <w:webHidden/>
          </w:rPr>
          <w:fldChar w:fldCharType="end"/>
        </w:r>
      </w:hyperlink>
    </w:p>
    <w:p w14:paraId="6D33E384" w14:textId="075D056C"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43" w:history="1">
        <w:r w:rsidRPr="00FA7D08">
          <w:rPr>
            <w:rStyle w:val="Hypertextovodkaz"/>
            <w:noProof/>
          </w:rPr>
          <w:t>12.3 Kontrola výkonu státní správy v oblasti vodního hospodářství</w:t>
        </w:r>
        <w:r>
          <w:rPr>
            <w:noProof/>
            <w:webHidden/>
          </w:rPr>
          <w:tab/>
        </w:r>
        <w:r>
          <w:rPr>
            <w:noProof/>
            <w:webHidden/>
          </w:rPr>
          <w:fldChar w:fldCharType="begin"/>
        </w:r>
        <w:r>
          <w:rPr>
            <w:noProof/>
            <w:webHidden/>
          </w:rPr>
          <w:instrText xml:space="preserve"> PAGEREF _Toc236991643 \h </w:instrText>
        </w:r>
        <w:r>
          <w:rPr>
            <w:noProof/>
            <w:webHidden/>
          </w:rPr>
        </w:r>
        <w:r>
          <w:rPr>
            <w:noProof/>
            <w:webHidden/>
          </w:rPr>
          <w:fldChar w:fldCharType="separate"/>
        </w:r>
        <w:r>
          <w:rPr>
            <w:noProof/>
            <w:webHidden/>
          </w:rPr>
          <w:t>146</w:t>
        </w:r>
        <w:r>
          <w:rPr>
            <w:noProof/>
            <w:webHidden/>
          </w:rPr>
          <w:fldChar w:fldCharType="end"/>
        </w:r>
      </w:hyperlink>
    </w:p>
    <w:p w14:paraId="7AAC2201" w14:textId="6F7E8CAE" w:rsidR="006B31DD" w:rsidRDefault="006B31DD">
      <w:pPr>
        <w:pStyle w:val="Obsah1"/>
        <w:rPr>
          <w:rFonts w:asciiTheme="minorHAnsi" w:eastAsiaTheme="minorEastAsia" w:hAnsiTheme="minorHAnsi" w:cstheme="minorBidi"/>
          <w:kern w:val="2"/>
          <w:sz w:val="24"/>
          <w:szCs w:val="24"/>
          <w:lang w:eastAsia="cs-CZ"/>
          <w14:ligatures w14:val="standardContextual"/>
        </w:rPr>
      </w:pPr>
      <w:hyperlink w:anchor="_Toc236991644" w:history="1">
        <w:r w:rsidRPr="00FA7D08">
          <w:rPr>
            <w:rStyle w:val="Hypertextovodkaz"/>
            <w:caps/>
          </w:rPr>
          <w:t>13. Prioritní úkoly, programy a stěžejní dokumenty ve vodním hospodářství</w:t>
        </w:r>
        <w:r>
          <w:rPr>
            <w:webHidden/>
          </w:rPr>
          <w:tab/>
        </w:r>
        <w:r>
          <w:rPr>
            <w:webHidden/>
          </w:rPr>
          <w:fldChar w:fldCharType="begin"/>
        </w:r>
        <w:r>
          <w:rPr>
            <w:webHidden/>
          </w:rPr>
          <w:instrText xml:space="preserve"> PAGEREF _Toc236991644 \h </w:instrText>
        </w:r>
        <w:r>
          <w:rPr>
            <w:webHidden/>
          </w:rPr>
        </w:r>
        <w:r>
          <w:rPr>
            <w:webHidden/>
          </w:rPr>
          <w:fldChar w:fldCharType="separate"/>
        </w:r>
        <w:r>
          <w:rPr>
            <w:webHidden/>
          </w:rPr>
          <w:t>149</w:t>
        </w:r>
        <w:r>
          <w:rPr>
            <w:webHidden/>
          </w:rPr>
          <w:fldChar w:fldCharType="end"/>
        </w:r>
      </w:hyperlink>
    </w:p>
    <w:p w14:paraId="38A185A9" w14:textId="308DCA9E"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45" w:history="1">
        <w:r w:rsidRPr="00FA7D08">
          <w:rPr>
            <w:rStyle w:val="Hypertextovodkaz"/>
            <w:noProof/>
          </w:rPr>
          <w:t>13.1 Plánování v oblasti vod</w:t>
        </w:r>
        <w:r>
          <w:rPr>
            <w:noProof/>
            <w:webHidden/>
          </w:rPr>
          <w:tab/>
        </w:r>
        <w:r>
          <w:rPr>
            <w:noProof/>
            <w:webHidden/>
          </w:rPr>
          <w:fldChar w:fldCharType="begin"/>
        </w:r>
        <w:r>
          <w:rPr>
            <w:noProof/>
            <w:webHidden/>
          </w:rPr>
          <w:instrText xml:space="preserve"> PAGEREF _Toc236991645 \h </w:instrText>
        </w:r>
        <w:r>
          <w:rPr>
            <w:noProof/>
            <w:webHidden/>
          </w:rPr>
        </w:r>
        <w:r>
          <w:rPr>
            <w:noProof/>
            <w:webHidden/>
          </w:rPr>
          <w:fldChar w:fldCharType="separate"/>
        </w:r>
        <w:r>
          <w:rPr>
            <w:noProof/>
            <w:webHidden/>
          </w:rPr>
          <w:t>149</w:t>
        </w:r>
        <w:r>
          <w:rPr>
            <w:noProof/>
            <w:webHidden/>
          </w:rPr>
          <w:fldChar w:fldCharType="end"/>
        </w:r>
      </w:hyperlink>
    </w:p>
    <w:p w14:paraId="279183A1" w14:textId="66A3FD4A"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46" w:history="1">
        <w:r w:rsidRPr="00FA7D08">
          <w:rPr>
            <w:rStyle w:val="Hypertextovodkaz"/>
            <w:noProof/>
          </w:rPr>
          <w:t>13.2 Plány rozvoje vodovodů a kanalizací</w:t>
        </w:r>
        <w:r>
          <w:rPr>
            <w:noProof/>
            <w:webHidden/>
          </w:rPr>
          <w:tab/>
        </w:r>
        <w:r>
          <w:rPr>
            <w:noProof/>
            <w:webHidden/>
          </w:rPr>
          <w:fldChar w:fldCharType="begin"/>
        </w:r>
        <w:r>
          <w:rPr>
            <w:noProof/>
            <w:webHidden/>
          </w:rPr>
          <w:instrText xml:space="preserve"> PAGEREF _Toc236991646 \h </w:instrText>
        </w:r>
        <w:r>
          <w:rPr>
            <w:noProof/>
            <w:webHidden/>
          </w:rPr>
        </w:r>
        <w:r>
          <w:rPr>
            <w:noProof/>
            <w:webHidden/>
          </w:rPr>
          <w:fldChar w:fldCharType="separate"/>
        </w:r>
        <w:r>
          <w:rPr>
            <w:noProof/>
            <w:webHidden/>
          </w:rPr>
          <w:t>150</w:t>
        </w:r>
        <w:r>
          <w:rPr>
            <w:noProof/>
            <w:webHidden/>
          </w:rPr>
          <w:fldChar w:fldCharType="end"/>
        </w:r>
      </w:hyperlink>
    </w:p>
    <w:p w14:paraId="14738C29" w14:textId="6C307DF0"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47" w:history="1">
        <w:r w:rsidRPr="00FA7D08">
          <w:rPr>
            <w:rStyle w:val="Hypertextovodkaz"/>
            <w:noProof/>
          </w:rPr>
          <w:t>13.3 Programy a opatření ke snižování znečištění povrchových vod</w:t>
        </w:r>
        <w:r>
          <w:rPr>
            <w:noProof/>
            <w:webHidden/>
          </w:rPr>
          <w:tab/>
        </w:r>
        <w:r>
          <w:rPr>
            <w:noProof/>
            <w:webHidden/>
          </w:rPr>
          <w:fldChar w:fldCharType="begin"/>
        </w:r>
        <w:r>
          <w:rPr>
            <w:noProof/>
            <w:webHidden/>
          </w:rPr>
          <w:instrText xml:space="preserve"> PAGEREF _Toc236991647 \h </w:instrText>
        </w:r>
        <w:r>
          <w:rPr>
            <w:noProof/>
            <w:webHidden/>
          </w:rPr>
        </w:r>
        <w:r>
          <w:rPr>
            <w:noProof/>
            <w:webHidden/>
          </w:rPr>
          <w:fldChar w:fldCharType="separate"/>
        </w:r>
        <w:r>
          <w:rPr>
            <w:noProof/>
            <w:webHidden/>
          </w:rPr>
          <w:t>151</w:t>
        </w:r>
        <w:r>
          <w:rPr>
            <w:noProof/>
            <w:webHidden/>
          </w:rPr>
          <w:fldChar w:fldCharType="end"/>
        </w:r>
      </w:hyperlink>
    </w:p>
    <w:p w14:paraId="2FD4BE1D" w14:textId="3E55B741" w:rsidR="006B31DD" w:rsidRDefault="006B31DD">
      <w:pPr>
        <w:pStyle w:val="Obsah1"/>
        <w:rPr>
          <w:rFonts w:asciiTheme="minorHAnsi" w:eastAsiaTheme="minorEastAsia" w:hAnsiTheme="minorHAnsi" w:cstheme="minorBidi"/>
          <w:kern w:val="2"/>
          <w:sz w:val="24"/>
          <w:szCs w:val="24"/>
          <w:lang w:eastAsia="cs-CZ"/>
          <w14:ligatures w14:val="standardContextual"/>
        </w:rPr>
      </w:pPr>
      <w:hyperlink w:anchor="_Toc236991648" w:history="1">
        <w:r w:rsidRPr="00FA7D08">
          <w:rPr>
            <w:rStyle w:val="Hypertextovodkaz"/>
            <w:caps/>
          </w:rPr>
          <w:t>14. Mezinárodní vztahy</w:t>
        </w:r>
        <w:r>
          <w:rPr>
            <w:webHidden/>
          </w:rPr>
          <w:tab/>
        </w:r>
        <w:r>
          <w:rPr>
            <w:webHidden/>
          </w:rPr>
          <w:fldChar w:fldCharType="begin"/>
        </w:r>
        <w:r>
          <w:rPr>
            <w:webHidden/>
          </w:rPr>
          <w:instrText xml:space="preserve"> PAGEREF _Toc236991648 \h </w:instrText>
        </w:r>
        <w:r>
          <w:rPr>
            <w:webHidden/>
          </w:rPr>
        </w:r>
        <w:r>
          <w:rPr>
            <w:webHidden/>
          </w:rPr>
          <w:fldChar w:fldCharType="separate"/>
        </w:r>
        <w:r>
          <w:rPr>
            <w:webHidden/>
          </w:rPr>
          <w:t>156</w:t>
        </w:r>
        <w:r>
          <w:rPr>
            <w:webHidden/>
          </w:rPr>
          <w:fldChar w:fldCharType="end"/>
        </w:r>
      </w:hyperlink>
    </w:p>
    <w:p w14:paraId="0F8E2160" w14:textId="109D4CE0"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49" w:history="1">
        <w:r w:rsidRPr="00FA7D08">
          <w:rPr>
            <w:rStyle w:val="Hypertextovodkaz"/>
            <w:noProof/>
          </w:rPr>
          <w:t>14.1 Spolupráce v rámci EHK OSN</w:t>
        </w:r>
        <w:r>
          <w:rPr>
            <w:noProof/>
            <w:webHidden/>
          </w:rPr>
          <w:tab/>
        </w:r>
        <w:r>
          <w:rPr>
            <w:noProof/>
            <w:webHidden/>
          </w:rPr>
          <w:fldChar w:fldCharType="begin"/>
        </w:r>
        <w:r>
          <w:rPr>
            <w:noProof/>
            <w:webHidden/>
          </w:rPr>
          <w:instrText xml:space="preserve"> PAGEREF _Toc236991649 \h </w:instrText>
        </w:r>
        <w:r>
          <w:rPr>
            <w:noProof/>
            <w:webHidden/>
          </w:rPr>
        </w:r>
        <w:r>
          <w:rPr>
            <w:noProof/>
            <w:webHidden/>
          </w:rPr>
          <w:fldChar w:fldCharType="separate"/>
        </w:r>
        <w:r>
          <w:rPr>
            <w:noProof/>
            <w:webHidden/>
          </w:rPr>
          <w:t>156</w:t>
        </w:r>
        <w:r>
          <w:rPr>
            <w:noProof/>
            <w:webHidden/>
          </w:rPr>
          <w:fldChar w:fldCharType="end"/>
        </w:r>
      </w:hyperlink>
    </w:p>
    <w:p w14:paraId="5AA31440" w14:textId="3938224D"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50" w:history="1">
        <w:r w:rsidRPr="00FA7D08">
          <w:rPr>
            <w:rStyle w:val="Hypertextovodkaz"/>
            <w:noProof/>
          </w:rPr>
          <w:t>14.2 Mezinárodní spolupráce České republiky v ucelených povodích Labe, Dunaje a Odry</w:t>
        </w:r>
        <w:r>
          <w:rPr>
            <w:noProof/>
            <w:webHidden/>
          </w:rPr>
          <w:tab/>
        </w:r>
        <w:r>
          <w:rPr>
            <w:noProof/>
            <w:webHidden/>
          </w:rPr>
          <w:fldChar w:fldCharType="begin"/>
        </w:r>
        <w:r>
          <w:rPr>
            <w:noProof/>
            <w:webHidden/>
          </w:rPr>
          <w:instrText xml:space="preserve"> PAGEREF _Toc236991650 \h </w:instrText>
        </w:r>
        <w:r>
          <w:rPr>
            <w:noProof/>
            <w:webHidden/>
          </w:rPr>
        </w:r>
        <w:r>
          <w:rPr>
            <w:noProof/>
            <w:webHidden/>
          </w:rPr>
          <w:fldChar w:fldCharType="separate"/>
        </w:r>
        <w:r>
          <w:rPr>
            <w:noProof/>
            <w:webHidden/>
          </w:rPr>
          <w:t>157</w:t>
        </w:r>
        <w:r>
          <w:rPr>
            <w:noProof/>
            <w:webHidden/>
          </w:rPr>
          <w:fldChar w:fldCharType="end"/>
        </w:r>
      </w:hyperlink>
    </w:p>
    <w:p w14:paraId="3D4CB3D1" w14:textId="4B06C757"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51" w:history="1">
        <w:r w:rsidRPr="00FA7D08">
          <w:rPr>
            <w:rStyle w:val="Hypertextovodkaz"/>
            <w:noProof/>
          </w:rPr>
          <w:t>14.3 Mezinárodní spolupráce České republiky na hraničních vodách</w:t>
        </w:r>
        <w:r>
          <w:rPr>
            <w:noProof/>
            <w:webHidden/>
          </w:rPr>
          <w:tab/>
        </w:r>
        <w:r>
          <w:rPr>
            <w:noProof/>
            <w:webHidden/>
          </w:rPr>
          <w:fldChar w:fldCharType="begin"/>
        </w:r>
        <w:r>
          <w:rPr>
            <w:noProof/>
            <w:webHidden/>
          </w:rPr>
          <w:instrText xml:space="preserve"> PAGEREF _Toc236991651 \h </w:instrText>
        </w:r>
        <w:r>
          <w:rPr>
            <w:noProof/>
            <w:webHidden/>
          </w:rPr>
        </w:r>
        <w:r>
          <w:rPr>
            <w:noProof/>
            <w:webHidden/>
          </w:rPr>
          <w:fldChar w:fldCharType="separate"/>
        </w:r>
        <w:r>
          <w:rPr>
            <w:noProof/>
            <w:webHidden/>
          </w:rPr>
          <w:t>159</w:t>
        </w:r>
        <w:r>
          <w:rPr>
            <w:noProof/>
            <w:webHidden/>
          </w:rPr>
          <w:fldChar w:fldCharType="end"/>
        </w:r>
      </w:hyperlink>
    </w:p>
    <w:p w14:paraId="429B273A" w14:textId="30433CC1" w:rsidR="006B31DD" w:rsidRDefault="006B31DD">
      <w:pPr>
        <w:pStyle w:val="Obsah1"/>
        <w:rPr>
          <w:rFonts w:asciiTheme="minorHAnsi" w:eastAsiaTheme="minorEastAsia" w:hAnsiTheme="minorHAnsi" w:cstheme="minorBidi"/>
          <w:kern w:val="2"/>
          <w:sz w:val="24"/>
          <w:szCs w:val="24"/>
          <w:lang w:eastAsia="cs-CZ"/>
          <w14:ligatures w14:val="standardContextual"/>
        </w:rPr>
      </w:pPr>
      <w:hyperlink w:anchor="_Toc236991652" w:history="1">
        <w:r w:rsidRPr="00FA7D08">
          <w:rPr>
            <w:rStyle w:val="Hypertextovodkaz"/>
            <w:caps/>
          </w:rPr>
          <w:t>15. Výzkum a vývoj v oblasti vod</w:t>
        </w:r>
        <w:r>
          <w:rPr>
            <w:webHidden/>
          </w:rPr>
          <w:tab/>
        </w:r>
        <w:r>
          <w:rPr>
            <w:webHidden/>
          </w:rPr>
          <w:fldChar w:fldCharType="begin"/>
        </w:r>
        <w:r>
          <w:rPr>
            <w:webHidden/>
          </w:rPr>
          <w:instrText xml:space="preserve"> PAGEREF _Toc236991652 \h </w:instrText>
        </w:r>
        <w:r>
          <w:rPr>
            <w:webHidden/>
          </w:rPr>
        </w:r>
        <w:r>
          <w:rPr>
            <w:webHidden/>
          </w:rPr>
          <w:fldChar w:fldCharType="separate"/>
        </w:r>
        <w:r>
          <w:rPr>
            <w:webHidden/>
          </w:rPr>
          <w:t>162</w:t>
        </w:r>
        <w:r>
          <w:rPr>
            <w:webHidden/>
          </w:rPr>
          <w:fldChar w:fldCharType="end"/>
        </w:r>
      </w:hyperlink>
    </w:p>
    <w:p w14:paraId="553CAECA" w14:textId="79758684"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53" w:history="1">
        <w:r w:rsidRPr="00FA7D08">
          <w:rPr>
            <w:rStyle w:val="Hypertextovodkaz"/>
            <w:noProof/>
          </w:rPr>
          <w:t>15.1 Výzkum a vývoj v působnosti Ministerstva zemědělství</w:t>
        </w:r>
        <w:r>
          <w:rPr>
            <w:noProof/>
            <w:webHidden/>
          </w:rPr>
          <w:tab/>
        </w:r>
        <w:r>
          <w:rPr>
            <w:noProof/>
            <w:webHidden/>
          </w:rPr>
          <w:fldChar w:fldCharType="begin"/>
        </w:r>
        <w:r>
          <w:rPr>
            <w:noProof/>
            <w:webHidden/>
          </w:rPr>
          <w:instrText xml:space="preserve"> PAGEREF _Toc236991653 \h </w:instrText>
        </w:r>
        <w:r>
          <w:rPr>
            <w:noProof/>
            <w:webHidden/>
          </w:rPr>
        </w:r>
        <w:r>
          <w:rPr>
            <w:noProof/>
            <w:webHidden/>
          </w:rPr>
          <w:fldChar w:fldCharType="separate"/>
        </w:r>
        <w:r>
          <w:rPr>
            <w:noProof/>
            <w:webHidden/>
          </w:rPr>
          <w:t>162</w:t>
        </w:r>
        <w:r>
          <w:rPr>
            <w:noProof/>
            <w:webHidden/>
          </w:rPr>
          <w:fldChar w:fldCharType="end"/>
        </w:r>
      </w:hyperlink>
    </w:p>
    <w:p w14:paraId="140A699B" w14:textId="6D0E033A"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54" w:history="1">
        <w:r w:rsidRPr="00FA7D08">
          <w:rPr>
            <w:rStyle w:val="Hypertextovodkaz"/>
            <w:noProof/>
          </w:rPr>
          <w:t>15.2 Výzkum a vývoj v působnosti Ministerstva životního prostředí</w:t>
        </w:r>
        <w:r>
          <w:rPr>
            <w:noProof/>
            <w:webHidden/>
          </w:rPr>
          <w:tab/>
        </w:r>
        <w:r>
          <w:rPr>
            <w:noProof/>
            <w:webHidden/>
          </w:rPr>
          <w:fldChar w:fldCharType="begin"/>
        </w:r>
        <w:r>
          <w:rPr>
            <w:noProof/>
            <w:webHidden/>
          </w:rPr>
          <w:instrText xml:space="preserve"> PAGEREF _Toc236991654 \h </w:instrText>
        </w:r>
        <w:r>
          <w:rPr>
            <w:noProof/>
            <w:webHidden/>
          </w:rPr>
        </w:r>
        <w:r>
          <w:rPr>
            <w:noProof/>
            <w:webHidden/>
          </w:rPr>
          <w:fldChar w:fldCharType="separate"/>
        </w:r>
        <w:r>
          <w:rPr>
            <w:noProof/>
            <w:webHidden/>
          </w:rPr>
          <w:t>164</w:t>
        </w:r>
        <w:r>
          <w:rPr>
            <w:noProof/>
            <w:webHidden/>
          </w:rPr>
          <w:fldChar w:fldCharType="end"/>
        </w:r>
      </w:hyperlink>
    </w:p>
    <w:p w14:paraId="6E821A33" w14:textId="5D00736C"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55" w:history="1">
        <w:r w:rsidRPr="00FA7D08">
          <w:rPr>
            <w:rStyle w:val="Hypertextovodkaz"/>
            <w:noProof/>
          </w:rPr>
          <w:t>15.3 Výzkum a vývoj v působnosti Ministerstva školství, mládeže a tělovýchovy</w:t>
        </w:r>
        <w:r>
          <w:rPr>
            <w:noProof/>
            <w:webHidden/>
          </w:rPr>
          <w:tab/>
        </w:r>
        <w:r>
          <w:rPr>
            <w:noProof/>
            <w:webHidden/>
          </w:rPr>
          <w:fldChar w:fldCharType="begin"/>
        </w:r>
        <w:r>
          <w:rPr>
            <w:noProof/>
            <w:webHidden/>
          </w:rPr>
          <w:instrText xml:space="preserve"> PAGEREF _Toc236991655 \h </w:instrText>
        </w:r>
        <w:r>
          <w:rPr>
            <w:noProof/>
            <w:webHidden/>
          </w:rPr>
        </w:r>
        <w:r>
          <w:rPr>
            <w:noProof/>
            <w:webHidden/>
          </w:rPr>
          <w:fldChar w:fldCharType="separate"/>
        </w:r>
        <w:r>
          <w:rPr>
            <w:noProof/>
            <w:webHidden/>
          </w:rPr>
          <w:t>164</w:t>
        </w:r>
        <w:r>
          <w:rPr>
            <w:noProof/>
            <w:webHidden/>
          </w:rPr>
          <w:fldChar w:fldCharType="end"/>
        </w:r>
      </w:hyperlink>
    </w:p>
    <w:p w14:paraId="10340DE4" w14:textId="6E27388F" w:rsidR="006B31DD" w:rsidRDefault="006B31DD">
      <w:pPr>
        <w:pStyle w:val="Obsah2"/>
        <w:rPr>
          <w:rFonts w:asciiTheme="minorHAnsi" w:eastAsiaTheme="minorEastAsia" w:hAnsiTheme="minorHAnsi" w:cstheme="minorBidi"/>
          <w:noProof/>
          <w:kern w:val="2"/>
          <w:sz w:val="24"/>
          <w:szCs w:val="24"/>
          <w:lang w:eastAsia="cs-CZ"/>
          <w14:ligatures w14:val="standardContextual"/>
        </w:rPr>
      </w:pPr>
      <w:hyperlink w:anchor="_Toc236991656" w:history="1">
        <w:r w:rsidRPr="00FA7D08">
          <w:rPr>
            <w:rStyle w:val="Hypertextovodkaz"/>
            <w:noProof/>
          </w:rPr>
          <w:t>15.4 Výzkum a vývoj v působnosti Technologické agentury České republiky</w:t>
        </w:r>
        <w:r>
          <w:rPr>
            <w:noProof/>
            <w:webHidden/>
          </w:rPr>
          <w:tab/>
        </w:r>
        <w:r>
          <w:rPr>
            <w:noProof/>
            <w:webHidden/>
          </w:rPr>
          <w:fldChar w:fldCharType="begin"/>
        </w:r>
        <w:r>
          <w:rPr>
            <w:noProof/>
            <w:webHidden/>
          </w:rPr>
          <w:instrText xml:space="preserve"> PAGEREF _Toc236991656 \h </w:instrText>
        </w:r>
        <w:r>
          <w:rPr>
            <w:noProof/>
            <w:webHidden/>
          </w:rPr>
        </w:r>
        <w:r>
          <w:rPr>
            <w:noProof/>
            <w:webHidden/>
          </w:rPr>
          <w:fldChar w:fldCharType="separate"/>
        </w:r>
        <w:r>
          <w:rPr>
            <w:noProof/>
            <w:webHidden/>
          </w:rPr>
          <w:t>166</w:t>
        </w:r>
        <w:r>
          <w:rPr>
            <w:noProof/>
            <w:webHidden/>
          </w:rPr>
          <w:fldChar w:fldCharType="end"/>
        </w:r>
      </w:hyperlink>
    </w:p>
    <w:p w14:paraId="3805A4F1" w14:textId="4A8A693E" w:rsidR="006B31DD" w:rsidRDefault="006B31DD">
      <w:pPr>
        <w:pStyle w:val="Obsah1"/>
        <w:rPr>
          <w:rFonts w:asciiTheme="minorHAnsi" w:eastAsiaTheme="minorEastAsia" w:hAnsiTheme="minorHAnsi" w:cstheme="minorBidi"/>
          <w:kern w:val="2"/>
          <w:sz w:val="24"/>
          <w:szCs w:val="24"/>
          <w:lang w:eastAsia="cs-CZ"/>
          <w14:ligatures w14:val="standardContextual"/>
        </w:rPr>
      </w:pPr>
      <w:hyperlink w:anchor="_Toc236991657" w:history="1">
        <w:r w:rsidRPr="00FA7D08">
          <w:rPr>
            <w:rStyle w:val="Hypertextovodkaz"/>
          </w:rPr>
          <w:t>Vybrané zajímavé údaje za rok 2025</w:t>
        </w:r>
        <w:r>
          <w:rPr>
            <w:webHidden/>
          </w:rPr>
          <w:tab/>
        </w:r>
        <w:r>
          <w:rPr>
            <w:webHidden/>
          </w:rPr>
          <w:fldChar w:fldCharType="begin"/>
        </w:r>
        <w:r>
          <w:rPr>
            <w:webHidden/>
          </w:rPr>
          <w:instrText xml:space="preserve"> PAGEREF _Toc236991657 \h </w:instrText>
        </w:r>
        <w:r>
          <w:rPr>
            <w:webHidden/>
          </w:rPr>
        </w:r>
        <w:r>
          <w:rPr>
            <w:webHidden/>
          </w:rPr>
          <w:fldChar w:fldCharType="separate"/>
        </w:r>
        <w:r>
          <w:rPr>
            <w:webHidden/>
          </w:rPr>
          <w:t>168</w:t>
        </w:r>
        <w:r>
          <w:rPr>
            <w:webHidden/>
          </w:rPr>
          <w:fldChar w:fldCharType="end"/>
        </w:r>
      </w:hyperlink>
    </w:p>
    <w:p w14:paraId="4B958578" w14:textId="4BF0E0F4" w:rsidR="006B31DD" w:rsidRDefault="006B31DD">
      <w:pPr>
        <w:pStyle w:val="Obsah1"/>
        <w:rPr>
          <w:rFonts w:asciiTheme="minorHAnsi" w:eastAsiaTheme="minorEastAsia" w:hAnsiTheme="minorHAnsi" w:cstheme="minorBidi"/>
          <w:kern w:val="2"/>
          <w:sz w:val="24"/>
          <w:szCs w:val="24"/>
          <w:lang w:eastAsia="cs-CZ"/>
          <w14:ligatures w14:val="standardContextual"/>
        </w:rPr>
      </w:pPr>
      <w:hyperlink w:anchor="_Toc236991658" w:history="1">
        <w:r w:rsidRPr="00FA7D08">
          <w:rPr>
            <w:rStyle w:val="Hypertextovodkaz"/>
          </w:rPr>
          <w:t>Vysvětlivky zkratek</w:t>
        </w:r>
        <w:r>
          <w:rPr>
            <w:webHidden/>
          </w:rPr>
          <w:tab/>
        </w:r>
        <w:r>
          <w:rPr>
            <w:webHidden/>
          </w:rPr>
          <w:fldChar w:fldCharType="begin"/>
        </w:r>
        <w:r>
          <w:rPr>
            <w:webHidden/>
          </w:rPr>
          <w:instrText xml:space="preserve"> PAGEREF _Toc236991658 \h </w:instrText>
        </w:r>
        <w:r>
          <w:rPr>
            <w:webHidden/>
          </w:rPr>
        </w:r>
        <w:r>
          <w:rPr>
            <w:webHidden/>
          </w:rPr>
          <w:fldChar w:fldCharType="separate"/>
        </w:r>
        <w:r>
          <w:rPr>
            <w:webHidden/>
          </w:rPr>
          <w:t>170</w:t>
        </w:r>
        <w:r>
          <w:rPr>
            <w:webHidden/>
          </w:rPr>
          <w:fldChar w:fldCharType="end"/>
        </w:r>
      </w:hyperlink>
    </w:p>
    <w:p w14:paraId="422E3738" w14:textId="665D2D38" w:rsidR="006B31DD" w:rsidRDefault="006B31DD">
      <w:pPr>
        <w:pStyle w:val="Obsah1"/>
        <w:rPr>
          <w:rFonts w:asciiTheme="minorHAnsi" w:eastAsiaTheme="minorEastAsia" w:hAnsiTheme="minorHAnsi" w:cstheme="minorBidi"/>
          <w:kern w:val="2"/>
          <w:sz w:val="24"/>
          <w:szCs w:val="24"/>
          <w:lang w:eastAsia="cs-CZ"/>
          <w14:ligatures w14:val="standardContextual"/>
        </w:rPr>
      </w:pPr>
      <w:hyperlink w:anchor="_Toc236991659" w:history="1">
        <w:r w:rsidRPr="00FA7D08">
          <w:rPr>
            <w:rStyle w:val="Hypertextovodkaz"/>
          </w:rPr>
          <w:t>Důležité kontakty ve vodním hospodářství</w:t>
        </w:r>
        <w:r>
          <w:rPr>
            <w:webHidden/>
          </w:rPr>
          <w:tab/>
        </w:r>
        <w:r>
          <w:rPr>
            <w:webHidden/>
          </w:rPr>
          <w:fldChar w:fldCharType="begin"/>
        </w:r>
        <w:r>
          <w:rPr>
            <w:webHidden/>
          </w:rPr>
          <w:instrText xml:space="preserve"> PAGEREF _Toc236991659 \h </w:instrText>
        </w:r>
        <w:r>
          <w:rPr>
            <w:webHidden/>
          </w:rPr>
        </w:r>
        <w:r>
          <w:rPr>
            <w:webHidden/>
          </w:rPr>
          <w:fldChar w:fldCharType="separate"/>
        </w:r>
        <w:r>
          <w:rPr>
            <w:webHidden/>
          </w:rPr>
          <w:t>173</w:t>
        </w:r>
        <w:r>
          <w:rPr>
            <w:webHidden/>
          </w:rPr>
          <w:fldChar w:fldCharType="end"/>
        </w:r>
      </w:hyperlink>
    </w:p>
    <w:p w14:paraId="2D5B2583" w14:textId="716BBFA7" w:rsidR="00547BCC" w:rsidRPr="00104F7D" w:rsidRDefault="00547BCC" w:rsidP="007C4955">
      <w:pPr>
        <w:contextualSpacing/>
        <w:rPr>
          <w:color w:val="FF0000"/>
          <w:sz w:val="20"/>
          <w:szCs w:val="20"/>
          <w:highlight w:val="yellow"/>
        </w:rPr>
      </w:pPr>
      <w:r w:rsidRPr="00B91D04">
        <w:rPr>
          <w:rFonts w:cs="Arial"/>
          <w:b/>
          <w:bCs/>
          <w:color w:val="FF0000"/>
          <w:sz w:val="20"/>
          <w:szCs w:val="20"/>
        </w:rPr>
        <w:fldChar w:fldCharType="end"/>
      </w:r>
    </w:p>
    <w:p w14:paraId="1CBAEC95" w14:textId="77777777" w:rsidR="00B27E33" w:rsidRDefault="00547BCC">
      <w:pPr>
        <w:pStyle w:val="Nadpis1"/>
        <w:numPr>
          <w:ilvl w:val="0"/>
          <w:numId w:val="13"/>
        </w:numPr>
        <w:spacing w:before="0"/>
        <w:contextualSpacing/>
      </w:pPr>
      <w:r w:rsidRPr="00104F7D">
        <w:rPr>
          <w:color w:val="FF0000"/>
          <w:highlight w:val="yellow"/>
        </w:rPr>
        <w:br w:type="page"/>
      </w:r>
      <w:bookmarkStart w:id="1" w:name="_Toc10183397"/>
      <w:bookmarkStart w:id="2" w:name="_Toc236991602"/>
      <w:r w:rsidR="00DB248A" w:rsidRPr="00394034">
        <w:lastRenderedPageBreak/>
        <w:t>HYDROL</w:t>
      </w:r>
      <w:r w:rsidR="0042563F" w:rsidRPr="00394034">
        <w:t>O</w:t>
      </w:r>
      <w:r w:rsidR="00DB248A" w:rsidRPr="00394034">
        <w:t>GICKÁ BILANCE</w:t>
      </w:r>
      <w:bookmarkEnd w:id="1"/>
      <w:bookmarkEnd w:id="2"/>
    </w:p>
    <w:p w14:paraId="31CAE127" w14:textId="77777777" w:rsidR="00B55152" w:rsidRPr="00B55152" w:rsidRDefault="00B55152" w:rsidP="00B55152"/>
    <w:p w14:paraId="4D8507BD" w14:textId="77777777" w:rsidR="00B55152" w:rsidRPr="00B55152" w:rsidRDefault="00B55152" w:rsidP="00B55152">
      <w:pPr>
        <w:rPr>
          <w:b/>
          <w:bCs/>
        </w:rPr>
      </w:pPr>
      <w:r w:rsidRPr="00B55152">
        <w:rPr>
          <w:b/>
          <w:bCs/>
        </w:rPr>
        <w:t xml:space="preserve">Kapitola poskytuje ucelený přehled vývoje hydrometeorologických a hydrologických podmínek na území České republiky v roce 2025. Zaměřuje se na hodnocení teplotních a srážkových poměrů, odtokových charakteristik hlavních povodí a režimu podzemních vod, a to jak z hlediska celoročního průběhu, tak i sezónních a mimořádných hydrologických situací. Součástí kapitoly je rovněž vyhodnocení hydrologických extrémů, zejména povodňových epizod a období se znaky hydrologického sucha, a jejich srovnání s dlouhodobými charakteristikami referenčního období 1991–2020. </w:t>
      </w:r>
    </w:p>
    <w:p w14:paraId="77B9A53D" w14:textId="77777777" w:rsidR="00B55152" w:rsidRPr="00B55152" w:rsidRDefault="00B55152" w:rsidP="00B55152">
      <w:pPr>
        <w:rPr>
          <w:b/>
          <w:bCs/>
        </w:rPr>
      </w:pPr>
    </w:p>
    <w:p w14:paraId="6CDF2054" w14:textId="4F2C760D" w:rsidR="00B55152" w:rsidRPr="00245672" w:rsidRDefault="00B55152" w:rsidP="00B55152">
      <w:pPr>
        <w:rPr>
          <w:highlight w:val="yellow"/>
        </w:rPr>
      </w:pPr>
      <w:r w:rsidRPr="00245672">
        <w:t>Hydrologická a hydrometeorologická situace v roce 2025 je detailně popsána v Roční zprávě ČHMÚ o hydrometeorologické situaci a v navazující Hydrologické ročence ČHMÚ, které obsahují kompletní vyhodnocení odtokových poměrů, průtokových charakteristik a výskytu hydrologických extrémů.</w:t>
      </w:r>
    </w:p>
    <w:p w14:paraId="4A12C960" w14:textId="77777777" w:rsidR="009B1091" w:rsidRPr="00104F7D" w:rsidRDefault="009B1091" w:rsidP="009B1091">
      <w:pPr>
        <w:rPr>
          <w:color w:val="FF0000"/>
          <w:highlight w:val="yellow"/>
        </w:rPr>
      </w:pPr>
    </w:p>
    <w:p w14:paraId="4DC43906" w14:textId="77777777" w:rsidR="009A4681" w:rsidRPr="00394034" w:rsidRDefault="00DB248A">
      <w:pPr>
        <w:pStyle w:val="Nadpis2"/>
        <w:numPr>
          <w:ilvl w:val="1"/>
          <w:numId w:val="13"/>
        </w:numPr>
        <w:spacing w:before="0"/>
        <w:contextualSpacing/>
      </w:pPr>
      <w:bookmarkStart w:id="3" w:name="_Toc10183398"/>
      <w:bookmarkStart w:id="4" w:name="_Toc236991603"/>
      <w:r w:rsidRPr="00394034">
        <w:t>Teplotní a srážkové poměry</w:t>
      </w:r>
      <w:bookmarkEnd w:id="3"/>
      <w:bookmarkEnd w:id="4"/>
    </w:p>
    <w:p w14:paraId="7BCC6A27" w14:textId="77777777" w:rsidR="009B1091" w:rsidRPr="00104F7D" w:rsidRDefault="009B1091" w:rsidP="009B1091">
      <w:pPr>
        <w:ind w:left="792"/>
        <w:rPr>
          <w:color w:val="FF0000"/>
          <w:highlight w:val="yellow"/>
        </w:rPr>
      </w:pPr>
    </w:p>
    <w:p w14:paraId="48B36413" w14:textId="065666C2" w:rsidR="009003D4" w:rsidRDefault="009003D4" w:rsidP="009003D4">
      <w:pPr>
        <w:rPr>
          <w:b/>
          <w:bCs/>
          <w:lang w:eastAsia="cs-CZ"/>
        </w:rPr>
      </w:pPr>
      <w:r w:rsidRPr="009003D4">
        <w:rPr>
          <w:b/>
          <w:bCs/>
          <w:lang w:eastAsia="cs-CZ"/>
        </w:rPr>
        <w:t>Rok 2025 na území ČR hodnotíme jako teplotně normální, průměrná roční teplota vzduchu 8,8 °C byla o 0,5 °C vyšší než normál 1991–2020. Tato odchylka se však pohybuje na hranici teplotně nadnormálního roku. Jedná se o 13. nejteplejší rok na území ČR v řadě od roku 1961. Nejteplejším rokem na území ČR zůstává rekordně teplý rok 2024 (10,3 °C), následují roky 2023 (9,7 °C), 2018 (9,6 °C) a 2019 (9,5 °C).</w:t>
      </w:r>
    </w:p>
    <w:p w14:paraId="7143FA62" w14:textId="77777777" w:rsidR="009003D4" w:rsidRPr="009003D4" w:rsidRDefault="009003D4" w:rsidP="009003D4">
      <w:pPr>
        <w:rPr>
          <w:b/>
          <w:bCs/>
          <w:lang w:eastAsia="cs-CZ"/>
        </w:rPr>
      </w:pPr>
    </w:p>
    <w:p w14:paraId="25131461" w14:textId="77777777" w:rsidR="009003D4" w:rsidRDefault="009003D4" w:rsidP="009003D4">
      <w:pPr>
        <w:rPr>
          <w:lang w:eastAsia="cs-CZ"/>
        </w:rPr>
      </w:pPr>
      <w:r w:rsidRPr="00135994">
        <w:rPr>
          <w:lang w:eastAsia="cs-CZ"/>
        </w:rPr>
        <w:t>V polovině měsíců roku 2025 byla zaznamenána kladná a v polovině měsíců záporná odchylka průměrné měsíční teploty vzduchu na území ČR od normálu 1991–2020. Teplé nebo velmi teplé měsíce nastaly většinou v první polovině roku, zaznamenali jsme zde však i chladný květen. V druhé polovině roku byly všechny měsíce hodnoceny jako teplotně normální. Teplotně nadnormální nebo silně nadnormální ve srovnání s normálem byly měsíce leden (odchylka +1,8 °C), březen (odchylka +1,9 °C), duben (odchylka +1,8 °C) a červen (odchylka +1,6 °C). Prosinec byl s průměrnou teplotou vzduchu na území ČR 1,1 °C (odchylka +1,5 °C) na hranici teplotně normálního a nadnormálního měsíce. Nejchladnějším měsícem ve srovnání s normálem byl květen, který hodnotíme jako teplotně podnormální (odchylka -1,9 °C).</w:t>
      </w:r>
    </w:p>
    <w:p w14:paraId="338A5491" w14:textId="77777777" w:rsidR="009003D4" w:rsidRDefault="009003D4" w:rsidP="009003D4">
      <w:pPr>
        <w:rPr>
          <w:lang w:eastAsia="cs-CZ"/>
        </w:rPr>
      </w:pPr>
    </w:p>
    <w:p w14:paraId="6801A128" w14:textId="77777777" w:rsidR="009003D4" w:rsidRDefault="009003D4" w:rsidP="009003D4">
      <w:pPr>
        <w:rPr>
          <w:lang w:eastAsia="cs-CZ"/>
        </w:rPr>
      </w:pPr>
      <w:r w:rsidRPr="003C7571">
        <w:rPr>
          <w:lang w:eastAsia="cs-CZ"/>
        </w:rPr>
        <w:t>Hranice intervalů pro hodnocení normálnosti (abnormálnosti) jsou určovány pro každý měsíc zvlášť, hranice se tedy pro různé měsíce nemusí shodovat. V</w:t>
      </w:r>
      <w:r>
        <w:rPr>
          <w:lang w:eastAsia="cs-CZ"/>
        </w:rPr>
        <w:t> </w:t>
      </w:r>
      <w:r w:rsidRPr="003C7571">
        <w:rPr>
          <w:lang w:eastAsia="cs-CZ"/>
        </w:rPr>
        <w:t>tabulce</w:t>
      </w:r>
      <w:r>
        <w:rPr>
          <w:lang w:eastAsia="cs-CZ"/>
        </w:rPr>
        <w:t xml:space="preserve"> 1.1.1</w:t>
      </w:r>
      <w:r w:rsidRPr="003C7571">
        <w:rPr>
          <w:lang w:eastAsia="cs-CZ"/>
        </w:rPr>
        <w:t xml:space="preserve"> je uvedeno, co intervaly znamenají a jak se určují. Abnormálnost jevu je obecně určována pomocí hodnot kvantilů </w:t>
      </w:r>
      <w:proofErr w:type="spellStart"/>
      <w:r w:rsidRPr="003C7571">
        <w:rPr>
          <w:lang w:eastAsia="cs-CZ"/>
        </w:rPr>
        <w:t>Q</w:t>
      </w:r>
      <w:r w:rsidRPr="006E08CA">
        <w:rPr>
          <w:vertAlign w:val="subscript"/>
          <w:lang w:eastAsia="cs-CZ"/>
        </w:rPr>
        <w:t>p</w:t>
      </w:r>
      <w:proofErr w:type="spellEnd"/>
      <w:r w:rsidRPr="003C7571">
        <w:rPr>
          <w:lang w:eastAsia="cs-CZ"/>
        </w:rPr>
        <w:t xml:space="preserve">, pro které platí </w:t>
      </w:r>
      <w:proofErr w:type="gramStart"/>
      <w:r w:rsidRPr="003C7571">
        <w:rPr>
          <w:lang w:eastAsia="cs-CZ"/>
        </w:rPr>
        <w:t>P(</w:t>
      </w:r>
      <w:proofErr w:type="gramEnd"/>
      <w:r w:rsidRPr="003C7571">
        <w:rPr>
          <w:lang w:eastAsia="cs-CZ"/>
        </w:rPr>
        <w:t xml:space="preserve">X ≤ </w:t>
      </w:r>
      <w:proofErr w:type="spellStart"/>
      <w:r w:rsidRPr="003C7571">
        <w:rPr>
          <w:lang w:eastAsia="cs-CZ"/>
        </w:rPr>
        <w:t>Q</w:t>
      </w:r>
      <w:r w:rsidRPr="006E08CA">
        <w:rPr>
          <w:vertAlign w:val="subscript"/>
          <w:lang w:eastAsia="cs-CZ"/>
        </w:rPr>
        <w:t>p</w:t>
      </w:r>
      <w:proofErr w:type="spellEnd"/>
      <w:r w:rsidRPr="003C7571">
        <w:rPr>
          <w:lang w:eastAsia="cs-CZ"/>
        </w:rPr>
        <w:t xml:space="preserve">) = p (tedy pravděpodobnost, že jev dosáhne hodnoty kvantilu </w:t>
      </w:r>
      <w:proofErr w:type="spellStart"/>
      <w:r w:rsidRPr="003C7571">
        <w:rPr>
          <w:lang w:eastAsia="cs-CZ"/>
        </w:rPr>
        <w:t>Q</w:t>
      </w:r>
      <w:r w:rsidRPr="006E08CA">
        <w:rPr>
          <w:vertAlign w:val="subscript"/>
          <w:lang w:eastAsia="cs-CZ"/>
        </w:rPr>
        <w:t>p</w:t>
      </w:r>
      <w:proofErr w:type="spellEnd"/>
      <w:r w:rsidRPr="003C7571">
        <w:rPr>
          <w:lang w:eastAsia="cs-CZ"/>
        </w:rPr>
        <w:t xml:space="preserve"> nebo menší je rovna p). </w:t>
      </w:r>
    </w:p>
    <w:p w14:paraId="343E5145" w14:textId="77777777" w:rsidR="004940CB" w:rsidRPr="00104F7D" w:rsidRDefault="004940CB" w:rsidP="007C4955">
      <w:pPr>
        <w:contextualSpacing/>
        <w:rPr>
          <w:b/>
          <w:i/>
          <w:color w:val="000000" w:themeColor="text1"/>
          <w:highlight w:val="yellow"/>
        </w:rPr>
      </w:pPr>
    </w:p>
    <w:p w14:paraId="37C4CA72" w14:textId="4C6E0839" w:rsidR="00EE3342" w:rsidRPr="009003D4" w:rsidRDefault="00EE3342" w:rsidP="007C4955">
      <w:pPr>
        <w:contextualSpacing/>
        <w:rPr>
          <w:b/>
          <w:i/>
          <w:color w:val="000000" w:themeColor="text1"/>
        </w:rPr>
      </w:pPr>
      <w:r w:rsidRPr="009003D4">
        <w:rPr>
          <w:b/>
          <w:i/>
          <w:color w:val="000000" w:themeColor="text1"/>
        </w:rPr>
        <w:t>Tabulka 1.1.1</w:t>
      </w:r>
    </w:p>
    <w:p w14:paraId="13974677" w14:textId="77777777" w:rsidR="00EE3342" w:rsidRPr="009003D4" w:rsidRDefault="00EE3342" w:rsidP="007C4955">
      <w:pPr>
        <w:contextualSpacing/>
        <w:rPr>
          <w:b/>
          <w:i/>
          <w:color w:val="000000" w:themeColor="text1"/>
        </w:rPr>
      </w:pPr>
      <w:r w:rsidRPr="009003D4">
        <w:rPr>
          <w:b/>
          <w:i/>
          <w:color w:val="000000" w:themeColor="text1"/>
        </w:rPr>
        <w:t>Hranice intervalů pro hodnocení normálnosti (abnormálnosti)</w:t>
      </w:r>
    </w:p>
    <w:tbl>
      <w:tblPr>
        <w:tblpPr w:leftFromText="150" w:rightFromText="150" w:bottomFromText="88" w:vertAnchor="text"/>
        <w:tblW w:w="0" w:type="auto"/>
        <w:tblCellMar>
          <w:left w:w="0" w:type="dxa"/>
          <w:right w:w="0" w:type="dxa"/>
        </w:tblCellMar>
        <w:tblLook w:val="04A0" w:firstRow="1" w:lastRow="0" w:firstColumn="1" w:lastColumn="0" w:noHBand="0" w:noVBand="1"/>
      </w:tblPr>
      <w:tblGrid>
        <w:gridCol w:w="2630"/>
        <w:gridCol w:w="3207"/>
        <w:gridCol w:w="3781"/>
      </w:tblGrid>
      <w:tr w:rsidR="00BB3411" w:rsidRPr="001F273B" w14:paraId="26B5A6A1" w14:textId="77777777" w:rsidTr="001B0D3A">
        <w:trPr>
          <w:trHeight w:val="340"/>
        </w:trPr>
        <w:tc>
          <w:tcPr>
            <w:tcW w:w="2630"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2D770EE9" w14:textId="77777777" w:rsidR="00EE3342" w:rsidRPr="001F273B" w:rsidRDefault="00EE3342" w:rsidP="007C4955">
            <w:pPr>
              <w:contextualSpacing/>
              <w:rPr>
                <w:rFonts w:cs="Arial"/>
                <w:color w:val="000000" w:themeColor="text1"/>
                <w:sz w:val="20"/>
                <w:szCs w:val="20"/>
                <w:lang w:eastAsia="cs-CZ"/>
              </w:rPr>
            </w:pPr>
            <w:r w:rsidRPr="001F273B">
              <w:rPr>
                <w:rFonts w:cs="Arial"/>
                <w:b/>
                <w:bCs/>
                <w:iCs/>
                <w:color w:val="000000" w:themeColor="text1"/>
                <w:sz w:val="20"/>
                <w:szCs w:val="20"/>
              </w:rPr>
              <w:t>Označení jevu</w:t>
            </w:r>
          </w:p>
        </w:tc>
        <w:tc>
          <w:tcPr>
            <w:tcW w:w="320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4B83C5A7" w14:textId="77777777" w:rsidR="00EE3342" w:rsidRPr="001F273B" w:rsidRDefault="00EE3342" w:rsidP="007C4955">
            <w:pPr>
              <w:contextualSpacing/>
              <w:rPr>
                <w:rFonts w:cs="Arial"/>
                <w:color w:val="000000" w:themeColor="text1"/>
                <w:sz w:val="20"/>
                <w:szCs w:val="20"/>
              </w:rPr>
            </w:pPr>
            <w:r w:rsidRPr="001F273B">
              <w:rPr>
                <w:rFonts w:cs="Arial"/>
                <w:b/>
                <w:bCs/>
                <w:iCs/>
                <w:color w:val="000000" w:themeColor="text1"/>
                <w:sz w:val="20"/>
                <w:szCs w:val="20"/>
              </w:rPr>
              <w:t>Hranice intervalů dle kvantilů</w:t>
            </w:r>
          </w:p>
        </w:tc>
        <w:tc>
          <w:tcPr>
            <w:tcW w:w="378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19427CAD" w14:textId="65C79234" w:rsidR="00EE3342" w:rsidRPr="001F273B" w:rsidRDefault="00EE3342" w:rsidP="007C4955">
            <w:pPr>
              <w:contextualSpacing/>
              <w:jc w:val="left"/>
              <w:rPr>
                <w:rFonts w:cs="Arial"/>
                <w:color w:val="000000" w:themeColor="text1"/>
                <w:sz w:val="20"/>
                <w:szCs w:val="20"/>
              </w:rPr>
            </w:pPr>
            <w:r w:rsidRPr="001F273B">
              <w:rPr>
                <w:rFonts w:cs="Arial"/>
                <w:b/>
                <w:bCs/>
                <w:iCs/>
                <w:color w:val="000000" w:themeColor="text1"/>
                <w:sz w:val="20"/>
                <w:szCs w:val="20"/>
              </w:rPr>
              <w:t xml:space="preserve">Pravděpodobnost překročení </w:t>
            </w:r>
            <w:r w:rsidRPr="001F273B">
              <w:rPr>
                <w:rFonts w:cs="Arial"/>
                <w:b/>
                <w:bCs/>
                <w:iCs/>
                <w:color w:val="000000" w:themeColor="text1"/>
                <w:sz w:val="20"/>
                <w:szCs w:val="20"/>
                <w:lang w:val="en-US"/>
              </w:rPr>
              <w:t>(</w:t>
            </w:r>
            <w:r w:rsidR="00352054" w:rsidRPr="001F273B">
              <w:rPr>
                <w:rFonts w:cs="Arial"/>
                <w:b/>
                <w:bCs/>
                <w:iCs/>
                <w:color w:val="000000" w:themeColor="text1"/>
                <w:sz w:val="20"/>
                <w:szCs w:val="20"/>
              </w:rPr>
              <w:t>klimatické zajištění</w:t>
            </w:r>
            <w:r w:rsidR="00BD6827" w:rsidRPr="001F273B">
              <w:rPr>
                <w:rFonts w:cs="Arial"/>
                <w:b/>
                <w:bCs/>
                <w:iCs/>
                <w:color w:val="000000" w:themeColor="text1"/>
                <w:sz w:val="20"/>
                <w:szCs w:val="20"/>
              </w:rPr>
              <w:t xml:space="preserve"> v %</w:t>
            </w:r>
            <w:r w:rsidRPr="001F273B">
              <w:rPr>
                <w:rFonts w:cs="Arial"/>
                <w:b/>
                <w:bCs/>
                <w:iCs/>
                <w:color w:val="000000" w:themeColor="text1"/>
                <w:sz w:val="20"/>
                <w:szCs w:val="20"/>
              </w:rPr>
              <w:t>)</w:t>
            </w:r>
          </w:p>
        </w:tc>
      </w:tr>
      <w:tr w:rsidR="001B0D3A" w:rsidRPr="001F273B" w14:paraId="571B736A" w14:textId="77777777" w:rsidTr="001B0D3A">
        <w:trPr>
          <w:trHeight w:val="283"/>
        </w:trPr>
        <w:tc>
          <w:tcPr>
            <w:tcW w:w="26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C647A8" w14:textId="77777777" w:rsidR="001B0D3A" w:rsidRPr="001F273B" w:rsidRDefault="001B0D3A" w:rsidP="001B0D3A">
            <w:pPr>
              <w:contextualSpacing/>
              <w:rPr>
                <w:rFonts w:cs="Arial"/>
                <w:color w:val="000000" w:themeColor="text1"/>
                <w:sz w:val="20"/>
                <w:szCs w:val="20"/>
              </w:rPr>
            </w:pPr>
            <w:r w:rsidRPr="001F273B">
              <w:rPr>
                <w:rFonts w:cs="Arial"/>
                <w:b/>
                <w:bCs/>
                <w:iCs/>
                <w:color w:val="000000" w:themeColor="text1"/>
                <w:sz w:val="20"/>
                <w:szCs w:val="20"/>
              </w:rPr>
              <w:t>Mimořádně podnormální</w:t>
            </w:r>
          </w:p>
        </w:tc>
        <w:tc>
          <w:tcPr>
            <w:tcW w:w="3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B7B15A" w14:textId="4147BF57" w:rsidR="001B0D3A" w:rsidRPr="001F273B" w:rsidRDefault="0055449D" w:rsidP="001B0D3A">
            <w:pPr>
              <w:contextualSpacing/>
              <w:rPr>
                <w:rFonts w:cs="Arial"/>
                <w:color w:val="000000" w:themeColor="text1"/>
                <w:sz w:val="20"/>
                <w:szCs w:val="20"/>
              </w:rPr>
            </w:pPr>
            <w:r w:rsidRPr="001F273B">
              <w:rPr>
                <w:rFonts w:eastAsia="Times New Roman"/>
                <w:color w:val="000000"/>
                <w:sz w:val="20"/>
                <w:szCs w:val="20"/>
                <w:lang w:eastAsia="cs-CZ"/>
              </w:rPr>
              <w:t>&lt;Q</w:t>
            </w:r>
            <w:r w:rsidR="001B0D3A" w:rsidRPr="001F273B">
              <w:rPr>
                <w:rFonts w:eastAsia="Times New Roman"/>
                <w:color w:val="000000"/>
                <w:sz w:val="20"/>
                <w:szCs w:val="20"/>
                <w:vertAlign w:val="subscript"/>
                <w:lang w:eastAsia="cs-CZ"/>
              </w:rPr>
              <w:t>0,02</w:t>
            </w:r>
          </w:p>
        </w:tc>
        <w:tc>
          <w:tcPr>
            <w:tcW w:w="3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1BA1CF" w14:textId="6E45C20E" w:rsidR="001B0D3A" w:rsidRPr="001F273B" w:rsidRDefault="001B0D3A" w:rsidP="001B0D3A">
            <w:pPr>
              <w:contextualSpacing/>
              <w:rPr>
                <w:rFonts w:cs="Arial"/>
                <w:color w:val="000000" w:themeColor="text1"/>
                <w:sz w:val="20"/>
                <w:szCs w:val="20"/>
              </w:rPr>
            </w:pPr>
            <w:r w:rsidRPr="001F273B">
              <w:rPr>
                <w:rFonts w:eastAsia="Times New Roman"/>
                <w:color w:val="000000"/>
                <w:sz w:val="20"/>
                <w:szCs w:val="20"/>
                <w:lang w:eastAsia="cs-CZ"/>
              </w:rPr>
              <w:t>&gt;98</w:t>
            </w:r>
          </w:p>
        </w:tc>
      </w:tr>
      <w:tr w:rsidR="001B0D3A" w:rsidRPr="001F273B" w14:paraId="4D454431" w14:textId="77777777" w:rsidTr="001B0D3A">
        <w:trPr>
          <w:trHeight w:val="283"/>
        </w:trPr>
        <w:tc>
          <w:tcPr>
            <w:tcW w:w="26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279507" w14:textId="77777777" w:rsidR="001B0D3A" w:rsidRPr="001F273B" w:rsidRDefault="001B0D3A" w:rsidP="001B0D3A">
            <w:pPr>
              <w:contextualSpacing/>
              <w:rPr>
                <w:rFonts w:cs="Arial"/>
                <w:color w:val="000000" w:themeColor="text1"/>
                <w:sz w:val="20"/>
                <w:szCs w:val="20"/>
              </w:rPr>
            </w:pPr>
            <w:r w:rsidRPr="001F273B">
              <w:rPr>
                <w:rFonts w:cs="Arial"/>
                <w:b/>
                <w:bCs/>
                <w:iCs/>
                <w:color w:val="000000" w:themeColor="text1"/>
                <w:sz w:val="20"/>
                <w:szCs w:val="20"/>
              </w:rPr>
              <w:t>Silně podnormální</w:t>
            </w:r>
          </w:p>
        </w:tc>
        <w:tc>
          <w:tcPr>
            <w:tcW w:w="3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8D207C" w14:textId="76B2DB4F" w:rsidR="001B0D3A" w:rsidRPr="001F273B" w:rsidRDefault="001B0D3A" w:rsidP="001B0D3A">
            <w:pPr>
              <w:contextualSpacing/>
              <w:rPr>
                <w:rFonts w:cs="Arial"/>
                <w:color w:val="000000" w:themeColor="text1"/>
                <w:sz w:val="20"/>
                <w:szCs w:val="20"/>
              </w:rPr>
            </w:pPr>
            <w:r w:rsidRPr="001F273B">
              <w:rPr>
                <w:rFonts w:eastAsia="Times New Roman"/>
                <w:color w:val="000000"/>
                <w:sz w:val="20"/>
                <w:szCs w:val="20"/>
                <w:lang w:eastAsia="cs-CZ"/>
              </w:rPr>
              <w:t>&lt;Q</w:t>
            </w:r>
            <w:r w:rsidRPr="001F273B">
              <w:rPr>
                <w:rFonts w:eastAsia="Times New Roman"/>
                <w:color w:val="000000"/>
                <w:sz w:val="20"/>
                <w:szCs w:val="20"/>
                <w:vertAlign w:val="subscript"/>
                <w:lang w:eastAsia="cs-CZ"/>
              </w:rPr>
              <w:t>0,</w:t>
            </w:r>
            <w:r w:rsidR="00326A87" w:rsidRPr="001F273B">
              <w:rPr>
                <w:rFonts w:eastAsia="Times New Roman"/>
                <w:color w:val="000000"/>
                <w:sz w:val="20"/>
                <w:szCs w:val="20"/>
                <w:vertAlign w:val="subscript"/>
                <w:lang w:eastAsia="cs-CZ"/>
              </w:rPr>
              <w:t>02,</w:t>
            </w:r>
            <w:r w:rsidRPr="001F273B">
              <w:rPr>
                <w:rFonts w:eastAsia="Times New Roman"/>
                <w:color w:val="000000"/>
                <w:sz w:val="20"/>
                <w:szCs w:val="20"/>
                <w:lang w:eastAsia="cs-CZ"/>
              </w:rPr>
              <w:t xml:space="preserve"> Q</w:t>
            </w:r>
            <w:r w:rsidRPr="001F273B">
              <w:rPr>
                <w:rFonts w:eastAsia="Times New Roman"/>
                <w:color w:val="000000"/>
                <w:sz w:val="20"/>
                <w:szCs w:val="20"/>
                <w:vertAlign w:val="subscript"/>
                <w:lang w:eastAsia="cs-CZ"/>
              </w:rPr>
              <w:t>0,10</w:t>
            </w:r>
            <w:r w:rsidRPr="001F273B">
              <w:rPr>
                <w:rFonts w:eastAsia="Times New Roman"/>
                <w:color w:val="000000"/>
                <w:sz w:val="20"/>
                <w:szCs w:val="20"/>
                <w:lang w:eastAsia="cs-CZ"/>
              </w:rPr>
              <w:t>)</w:t>
            </w:r>
          </w:p>
        </w:tc>
        <w:tc>
          <w:tcPr>
            <w:tcW w:w="3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2400F3" w14:textId="27F5256C" w:rsidR="001B0D3A" w:rsidRPr="001F273B" w:rsidRDefault="001B0D3A" w:rsidP="001B0D3A">
            <w:pPr>
              <w:contextualSpacing/>
              <w:rPr>
                <w:rFonts w:cs="Arial"/>
                <w:color w:val="000000" w:themeColor="text1"/>
                <w:sz w:val="20"/>
                <w:szCs w:val="20"/>
              </w:rPr>
            </w:pPr>
            <w:r w:rsidRPr="001F273B">
              <w:rPr>
                <w:rFonts w:eastAsia="Times New Roman"/>
                <w:color w:val="000000"/>
                <w:sz w:val="20"/>
                <w:szCs w:val="20"/>
                <w:lang w:eastAsia="cs-CZ"/>
              </w:rPr>
              <w:t>(90, 98&gt;</w:t>
            </w:r>
          </w:p>
        </w:tc>
      </w:tr>
      <w:tr w:rsidR="001B0D3A" w:rsidRPr="001F273B" w14:paraId="7DAF945F" w14:textId="77777777" w:rsidTr="001B0D3A">
        <w:trPr>
          <w:trHeight w:val="283"/>
        </w:trPr>
        <w:tc>
          <w:tcPr>
            <w:tcW w:w="26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55E470" w14:textId="77777777" w:rsidR="001B0D3A" w:rsidRPr="001F273B" w:rsidRDefault="001B0D3A" w:rsidP="001B0D3A">
            <w:pPr>
              <w:contextualSpacing/>
              <w:rPr>
                <w:rFonts w:cs="Arial"/>
                <w:color w:val="000000" w:themeColor="text1"/>
                <w:sz w:val="20"/>
                <w:szCs w:val="20"/>
              </w:rPr>
            </w:pPr>
            <w:r w:rsidRPr="001F273B">
              <w:rPr>
                <w:rFonts w:cs="Arial"/>
                <w:b/>
                <w:bCs/>
                <w:iCs/>
                <w:color w:val="000000" w:themeColor="text1"/>
                <w:sz w:val="20"/>
                <w:szCs w:val="20"/>
              </w:rPr>
              <w:t>Podnormální</w:t>
            </w:r>
          </w:p>
        </w:tc>
        <w:tc>
          <w:tcPr>
            <w:tcW w:w="3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299851" w14:textId="47667175" w:rsidR="001B0D3A" w:rsidRPr="001F273B" w:rsidRDefault="001B0D3A" w:rsidP="001B0D3A">
            <w:pPr>
              <w:contextualSpacing/>
              <w:rPr>
                <w:rFonts w:cs="Arial"/>
                <w:color w:val="000000" w:themeColor="text1"/>
                <w:sz w:val="20"/>
                <w:szCs w:val="20"/>
              </w:rPr>
            </w:pPr>
            <w:r w:rsidRPr="001F273B">
              <w:rPr>
                <w:rFonts w:eastAsia="Times New Roman"/>
                <w:color w:val="000000"/>
                <w:sz w:val="20"/>
                <w:szCs w:val="20"/>
                <w:lang w:eastAsia="cs-CZ"/>
              </w:rPr>
              <w:t>&lt;Q</w:t>
            </w:r>
            <w:r w:rsidRPr="001F273B">
              <w:rPr>
                <w:rFonts w:eastAsia="Times New Roman"/>
                <w:color w:val="000000"/>
                <w:sz w:val="20"/>
                <w:szCs w:val="20"/>
                <w:vertAlign w:val="subscript"/>
                <w:lang w:eastAsia="cs-CZ"/>
              </w:rPr>
              <w:t>0,</w:t>
            </w:r>
            <w:r w:rsidR="00326A87" w:rsidRPr="001F273B">
              <w:rPr>
                <w:rFonts w:eastAsia="Times New Roman"/>
                <w:color w:val="000000"/>
                <w:sz w:val="20"/>
                <w:szCs w:val="20"/>
                <w:vertAlign w:val="subscript"/>
                <w:lang w:eastAsia="cs-CZ"/>
              </w:rPr>
              <w:t>10,</w:t>
            </w:r>
            <w:r w:rsidRPr="001F273B">
              <w:rPr>
                <w:rFonts w:eastAsia="Times New Roman"/>
                <w:color w:val="000000"/>
                <w:sz w:val="20"/>
                <w:szCs w:val="20"/>
                <w:lang w:eastAsia="cs-CZ"/>
              </w:rPr>
              <w:t xml:space="preserve"> Q</w:t>
            </w:r>
            <w:r w:rsidRPr="001F273B">
              <w:rPr>
                <w:rFonts w:eastAsia="Times New Roman"/>
                <w:color w:val="000000"/>
                <w:sz w:val="20"/>
                <w:szCs w:val="20"/>
                <w:vertAlign w:val="subscript"/>
                <w:lang w:eastAsia="cs-CZ"/>
              </w:rPr>
              <w:t>0,25</w:t>
            </w:r>
            <w:r w:rsidRPr="001F273B">
              <w:rPr>
                <w:rFonts w:eastAsia="Times New Roman"/>
                <w:color w:val="000000"/>
                <w:sz w:val="20"/>
                <w:szCs w:val="20"/>
                <w:lang w:eastAsia="cs-CZ"/>
              </w:rPr>
              <w:t>)</w:t>
            </w:r>
          </w:p>
        </w:tc>
        <w:tc>
          <w:tcPr>
            <w:tcW w:w="3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C5508B" w14:textId="0B2E80D5" w:rsidR="001B0D3A" w:rsidRPr="001F273B" w:rsidRDefault="001B0D3A" w:rsidP="001B0D3A">
            <w:pPr>
              <w:contextualSpacing/>
              <w:rPr>
                <w:rFonts w:cs="Arial"/>
                <w:color w:val="000000" w:themeColor="text1"/>
                <w:sz w:val="20"/>
                <w:szCs w:val="20"/>
              </w:rPr>
            </w:pPr>
            <w:r w:rsidRPr="001F273B">
              <w:rPr>
                <w:rFonts w:eastAsia="Times New Roman"/>
                <w:color w:val="000000"/>
                <w:sz w:val="20"/>
                <w:szCs w:val="20"/>
                <w:lang w:eastAsia="cs-CZ"/>
              </w:rPr>
              <w:t>(75, 90&gt;</w:t>
            </w:r>
          </w:p>
        </w:tc>
      </w:tr>
      <w:tr w:rsidR="001B0D3A" w:rsidRPr="001F273B" w14:paraId="54D9020D" w14:textId="77777777" w:rsidTr="001B0D3A">
        <w:trPr>
          <w:trHeight w:val="283"/>
        </w:trPr>
        <w:tc>
          <w:tcPr>
            <w:tcW w:w="26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DC0356" w14:textId="77777777" w:rsidR="001B0D3A" w:rsidRPr="001F273B" w:rsidRDefault="001B0D3A" w:rsidP="001B0D3A">
            <w:pPr>
              <w:contextualSpacing/>
              <w:rPr>
                <w:rFonts w:cs="Arial"/>
                <w:color w:val="000000" w:themeColor="text1"/>
                <w:sz w:val="20"/>
                <w:szCs w:val="20"/>
              </w:rPr>
            </w:pPr>
            <w:r w:rsidRPr="001F273B">
              <w:rPr>
                <w:rFonts w:cs="Arial"/>
                <w:b/>
                <w:bCs/>
                <w:iCs/>
                <w:color w:val="000000" w:themeColor="text1"/>
                <w:sz w:val="20"/>
                <w:szCs w:val="20"/>
              </w:rPr>
              <w:t>Normální</w:t>
            </w:r>
          </w:p>
        </w:tc>
        <w:tc>
          <w:tcPr>
            <w:tcW w:w="3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78D9C7" w14:textId="545DDF76" w:rsidR="001B0D3A" w:rsidRPr="001F273B" w:rsidRDefault="001B0D3A" w:rsidP="001B0D3A">
            <w:pPr>
              <w:contextualSpacing/>
              <w:rPr>
                <w:rFonts w:cs="Arial"/>
                <w:color w:val="000000" w:themeColor="text1"/>
                <w:sz w:val="20"/>
                <w:szCs w:val="20"/>
              </w:rPr>
            </w:pPr>
            <w:r w:rsidRPr="001F273B">
              <w:rPr>
                <w:rFonts w:eastAsia="Times New Roman"/>
                <w:color w:val="000000"/>
                <w:sz w:val="20"/>
                <w:szCs w:val="20"/>
                <w:lang w:eastAsia="cs-CZ"/>
              </w:rPr>
              <w:t>&lt;Q</w:t>
            </w:r>
            <w:r w:rsidRPr="001F273B">
              <w:rPr>
                <w:rFonts w:eastAsia="Times New Roman"/>
                <w:color w:val="000000"/>
                <w:sz w:val="20"/>
                <w:szCs w:val="20"/>
                <w:vertAlign w:val="subscript"/>
                <w:lang w:eastAsia="cs-CZ"/>
              </w:rPr>
              <w:t>0,</w:t>
            </w:r>
            <w:r w:rsidR="00326A87" w:rsidRPr="001F273B">
              <w:rPr>
                <w:rFonts w:eastAsia="Times New Roman"/>
                <w:color w:val="000000"/>
                <w:sz w:val="20"/>
                <w:szCs w:val="20"/>
                <w:vertAlign w:val="subscript"/>
                <w:lang w:eastAsia="cs-CZ"/>
              </w:rPr>
              <w:t>25</w:t>
            </w:r>
            <w:r w:rsidR="00326A87" w:rsidRPr="001F273B">
              <w:rPr>
                <w:rFonts w:eastAsia="Times New Roman"/>
                <w:color w:val="000000"/>
                <w:sz w:val="20"/>
                <w:szCs w:val="20"/>
                <w:lang w:eastAsia="cs-CZ"/>
              </w:rPr>
              <w:t>,</w:t>
            </w:r>
            <w:r w:rsidRPr="001F273B">
              <w:rPr>
                <w:rFonts w:eastAsia="Times New Roman"/>
                <w:color w:val="000000"/>
                <w:sz w:val="20"/>
                <w:szCs w:val="20"/>
                <w:lang w:eastAsia="cs-CZ"/>
              </w:rPr>
              <w:t xml:space="preserve"> Q</w:t>
            </w:r>
            <w:r w:rsidRPr="001F273B">
              <w:rPr>
                <w:rFonts w:eastAsia="Times New Roman"/>
                <w:color w:val="000000"/>
                <w:sz w:val="20"/>
                <w:szCs w:val="20"/>
                <w:vertAlign w:val="subscript"/>
                <w:lang w:eastAsia="cs-CZ"/>
              </w:rPr>
              <w:t>0,75</w:t>
            </w:r>
            <w:r w:rsidRPr="001F273B">
              <w:rPr>
                <w:rFonts w:eastAsia="Times New Roman"/>
                <w:color w:val="000000"/>
                <w:sz w:val="20"/>
                <w:szCs w:val="20"/>
                <w:lang w:eastAsia="cs-CZ"/>
              </w:rPr>
              <w:t>&gt;</w:t>
            </w:r>
          </w:p>
        </w:tc>
        <w:tc>
          <w:tcPr>
            <w:tcW w:w="3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477179" w14:textId="780F29C8" w:rsidR="001B0D3A" w:rsidRPr="001F273B" w:rsidRDefault="001B0D3A" w:rsidP="001B0D3A">
            <w:pPr>
              <w:contextualSpacing/>
              <w:rPr>
                <w:rFonts w:cs="Arial"/>
                <w:color w:val="000000" w:themeColor="text1"/>
                <w:sz w:val="20"/>
                <w:szCs w:val="20"/>
              </w:rPr>
            </w:pPr>
            <w:r w:rsidRPr="001F273B">
              <w:rPr>
                <w:rFonts w:eastAsia="Times New Roman"/>
                <w:color w:val="000000"/>
                <w:sz w:val="20"/>
                <w:szCs w:val="20"/>
                <w:lang w:eastAsia="cs-CZ"/>
              </w:rPr>
              <w:t>&lt;25, 75&gt;</w:t>
            </w:r>
          </w:p>
        </w:tc>
      </w:tr>
      <w:tr w:rsidR="001B0D3A" w:rsidRPr="001F273B" w14:paraId="0302DA30" w14:textId="77777777" w:rsidTr="001B0D3A">
        <w:trPr>
          <w:trHeight w:val="283"/>
        </w:trPr>
        <w:tc>
          <w:tcPr>
            <w:tcW w:w="26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30976C" w14:textId="77777777" w:rsidR="001B0D3A" w:rsidRPr="001F273B" w:rsidRDefault="001B0D3A" w:rsidP="001B0D3A">
            <w:pPr>
              <w:contextualSpacing/>
              <w:rPr>
                <w:rFonts w:cs="Arial"/>
                <w:color w:val="000000" w:themeColor="text1"/>
                <w:sz w:val="20"/>
                <w:szCs w:val="20"/>
              </w:rPr>
            </w:pPr>
            <w:r w:rsidRPr="001F273B">
              <w:rPr>
                <w:rFonts w:cs="Arial"/>
                <w:b/>
                <w:bCs/>
                <w:iCs/>
                <w:color w:val="000000" w:themeColor="text1"/>
                <w:sz w:val="20"/>
                <w:szCs w:val="20"/>
              </w:rPr>
              <w:t>Nadnormální</w:t>
            </w:r>
          </w:p>
        </w:tc>
        <w:tc>
          <w:tcPr>
            <w:tcW w:w="3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2DD6E2" w14:textId="3038DA5C" w:rsidR="001B0D3A" w:rsidRPr="001F273B" w:rsidRDefault="001B0D3A" w:rsidP="001B0D3A">
            <w:pPr>
              <w:contextualSpacing/>
              <w:rPr>
                <w:rFonts w:cs="Arial"/>
                <w:color w:val="000000" w:themeColor="text1"/>
                <w:sz w:val="20"/>
                <w:szCs w:val="20"/>
              </w:rPr>
            </w:pPr>
            <w:r w:rsidRPr="001F273B">
              <w:rPr>
                <w:rFonts w:eastAsia="Times New Roman"/>
                <w:color w:val="000000"/>
                <w:sz w:val="20"/>
                <w:szCs w:val="20"/>
                <w:lang w:eastAsia="cs-CZ"/>
              </w:rPr>
              <w:t>(Q</w:t>
            </w:r>
            <w:r w:rsidRPr="001F273B">
              <w:rPr>
                <w:rFonts w:eastAsia="Times New Roman"/>
                <w:color w:val="000000"/>
                <w:sz w:val="20"/>
                <w:szCs w:val="20"/>
                <w:vertAlign w:val="subscript"/>
                <w:lang w:eastAsia="cs-CZ"/>
              </w:rPr>
              <w:t>0,</w:t>
            </w:r>
            <w:r w:rsidR="00326A87" w:rsidRPr="001F273B">
              <w:rPr>
                <w:rFonts w:eastAsia="Times New Roman"/>
                <w:color w:val="000000"/>
                <w:sz w:val="20"/>
                <w:szCs w:val="20"/>
                <w:vertAlign w:val="subscript"/>
                <w:lang w:eastAsia="cs-CZ"/>
              </w:rPr>
              <w:t>75</w:t>
            </w:r>
            <w:r w:rsidR="00326A87" w:rsidRPr="001F273B">
              <w:rPr>
                <w:rFonts w:eastAsia="Times New Roman"/>
                <w:color w:val="000000"/>
                <w:sz w:val="20"/>
                <w:szCs w:val="20"/>
                <w:lang w:eastAsia="cs-CZ"/>
              </w:rPr>
              <w:t>,</w:t>
            </w:r>
            <w:r w:rsidRPr="001F273B">
              <w:rPr>
                <w:rFonts w:eastAsia="Times New Roman"/>
                <w:color w:val="000000"/>
                <w:sz w:val="20"/>
                <w:szCs w:val="20"/>
                <w:lang w:eastAsia="cs-CZ"/>
              </w:rPr>
              <w:t xml:space="preserve"> Q</w:t>
            </w:r>
            <w:r w:rsidRPr="001F273B">
              <w:rPr>
                <w:rFonts w:eastAsia="Times New Roman"/>
                <w:color w:val="000000"/>
                <w:sz w:val="20"/>
                <w:szCs w:val="20"/>
                <w:vertAlign w:val="subscript"/>
                <w:lang w:eastAsia="cs-CZ"/>
              </w:rPr>
              <w:t>0,90</w:t>
            </w:r>
            <w:r w:rsidRPr="001F273B">
              <w:rPr>
                <w:rFonts w:eastAsia="Times New Roman"/>
                <w:color w:val="000000"/>
                <w:sz w:val="20"/>
                <w:szCs w:val="20"/>
                <w:lang w:eastAsia="cs-CZ"/>
              </w:rPr>
              <w:t>&gt;</w:t>
            </w:r>
          </w:p>
        </w:tc>
        <w:tc>
          <w:tcPr>
            <w:tcW w:w="3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999556" w14:textId="5BC057D1" w:rsidR="001B0D3A" w:rsidRPr="001F273B" w:rsidRDefault="001B0D3A" w:rsidP="001B0D3A">
            <w:pPr>
              <w:contextualSpacing/>
              <w:rPr>
                <w:rFonts w:cs="Arial"/>
                <w:color w:val="000000" w:themeColor="text1"/>
                <w:sz w:val="20"/>
                <w:szCs w:val="20"/>
              </w:rPr>
            </w:pPr>
            <w:r w:rsidRPr="001F273B">
              <w:rPr>
                <w:rFonts w:eastAsia="Times New Roman"/>
                <w:color w:val="000000"/>
                <w:sz w:val="20"/>
                <w:szCs w:val="20"/>
                <w:lang w:eastAsia="cs-CZ"/>
              </w:rPr>
              <w:t>&lt;10, 25)</w:t>
            </w:r>
          </w:p>
        </w:tc>
      </w:tr>
      <w:tr w:rsidR="001B0D3A" w:rsidRPr="001F273B" w14:paraId="2CECC9F4" w14:textId="77777777" w:rsidTr="001B0D3A">
        <w:trPr>
          <w:trHeight w:val="283"/>
        </w:trPr>
        <w:tc>
          <w:tcPr>
            <w:tcW w:w="26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792407" w14:textId="77777777" w:rsidR="001B0D3A" w:rsidRPr="001F273B" w:rsidRDefault="001B0D3A" w:rsidP="001B0D3A">
            <w:pPr>
              <w:contextualSpacing/>
              <w:rPr>
                <w:rFonts w:cs="Arial"/>
                <w:color w:val="000000" w:themeColor="text1"/>
                <w:sz w:val="20"/>
                <w:szCs w:val="20"/>
              </w:rPr>
            </w:pPr>
            <w:r w:rsidRPr="001F273B">
              <w:rPr>
                <w:rFonts w:cs="Arial"/>
                <w:b/>
                <w:bCs/>
                <w:iCs/>
                <w:color w:val="000000" w:themeColor="text1"/>
                <w:sz w:val="20"/>
                <w:szCs w:val="20"/>
              </w:rPr>
              <w:t>Silně nadnormální</w:t>
            </w:r>
          </w:p>
        </w:tc>
        <w:tc>
          <w:tcPr>
            <w:tcW w:w="3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67EA0E" w14:textId="38DB094D" w:rsidR="001B0D3A" w:rsidRPr="001F273B" w:rsidRDefault="001B0D3A" w:rsidP="001B0D3A">
            <w:pPr>
              <w:contextualSpacing/>
              <w:rPr>
                <w:rFonts w:cs="Arial"/>
                <w:color w:val="000000" w:themeColor="text1"/>
                <w:sz w:val="20"/>
                <w:szCs w:val="20"/>
              </w:rPr>
            </w:pPr>
            <w:r w:rsidRPr="001F273B">
              <w:rPr>
                <w:rFonts w:eastAsia="Times New Roman"/>
                <w:color w:val="000000"/>
                <w:sz w:val="20"/>
                <w:szCs w:val="20"/>
                <w:lang w:eastAsia="cs-CZ"/>
              </w:rPr>
              <w:t>(Q</w:t>
            </w:r>
            <w:r w:rsidRPr="001F273B">
              <w:rPr>
                <w:rFonts w:eastAsia="Times New Roman"/>
                <w:color w:val="000000"/>
                <w:sz w:val="20"/>
                <w:szCs w:val="20"/>
                <w:vertAlign w:val="subscript"/>
                <w:lang w:eastAsia="cs-CZ"/>
              </w:rPr>
              <w:t>0,</w:t>
            </w:r>
            <w:r w:rsidR="00326A87" w:rsidRPr="001F273B">
              <w:rPr>
                <w:rFonts w:eastAsia="Times New Roman"/>
                <w:color w:val="000000"/>
                <w:sz w:val="20"/>
                <w:szCs w:val="20"/>
                <w:vertAlign w:val="subscript"/>
                <w:lang w:eastAsia="cs-CZ"/>
              </w:rPr>
              <w:t>90</w:t>
            </w:r>
            <w:r w:rsidR="00326A87" w:rsidRPr="001F273B">
              <w:rPr>
                <w:rFonts w:eastAsia="Times New Roman"/>
                <w:color w:val="000000"/>
                <w:sz w:val="20"/>
                <w:szCs w:val="20"/>
                <w:lang w:eastAsia="cs-CZ"/>
              </w:rPr>
              <w:t>,</w:t>
            </w:r>
            <w:r w:rsidRPr="001F273B">
              <w:rPr>
                <w:rFonts w:eastAsia="Times New Roman"/>
                <w:color w:val="000000"/>
                <w:sz w:val="20"/>
                <w:szCs w:val="20"/>
                <w:lang w:eastAsia="cs-CZ"/>
              </w:rPr>
              <w:t xml:space="preserve"> Q</w:t>
            </w:r>
            <w:r w:rsidRPr="001F273B">
              <w:rPr>
                <w:rFonts w:eastAsia="Times New Roman"/>
                <w:color w:val="000000"/>
                <w:sz w:val="20"/>
                <w:szCs w:val="20"/>
                <w:vertAlign w:val="subscript"/>
                <w:lang w:eastAsia="cs-CZ"/>
              </w:rPr>
              <w:t>0,98</w:t>
            </w:r>
            <w:r w:rsidRPr="001F273B">
              <w:rPr>
                <w:rFonts w:eastAsia="Times New Roman"/>
                <w:color w:val="000000"/>
                <w:sz w:val="20"/>
                <w:szCs w:val="20"/>
                <w:lang w:eastAsia="cs-CZ"/>
              </w:rPr>
              <w:t>&gt;</w:t>
            </w:r>
          </w:p>
        </w:tc>
        <w:tc>
          <w:tcPr>
            <w:tcW w:w="3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8AC677" w14:textId="37089255" w:rsidR="001B0D3A" w:rsidRPr="001F273B" w:rsidRDefault="001B0D3A" w:rsidP="001B0D3A">
            <w:pPr>
              <w:contextualSpacing/>
              <w:rPr>
                <w:rFonts w:cs="Arial"/>
                <w:color w:val="000000" w:themeColor="text1"/>
                <w:sz w:val="20"/>
                <w:szCs w:val="20"/>
              </w:rPr>
            </w:pPr>
            <w:r w:rsidRPr="001F273B">
              <w:rPr>
                <w:rFonts w:eastAsia="Times New Roman"/>
                <w:color w:val="000000"/>
                <w:sz w:val="20"/>
                <w:szCs w:val="20"/>
                <w:lang w:eastAsia="cs-CZ"/>
              </w:rPr>
              <w:t>&lt;2, 10)</w:t>
            </w:r>
          </w:p>
        </w:tc>
      </w:tr>
      <w:tr w:rsidR="001B0D3A" w:rsidRPr="001F273B" w14:paraId="64E356D3" w14:textId="77777777" w:rsidTr="001B0D3A">
        <w:trPr>
          <w:trHeight w:val="283"/>
        </w:trPr>
        <w:tc>
          <w:tcPr>
            <w:tcW w:w="26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0C5FE6" w14:textId="77777777" w:rsidR="001B0D3A" w:rsidRPr="001F273B" w:rsidRDefault="001B0D3A" w:rsidP="001B0D3A">
            <w:pPr>
              <w:contextualSpacing/>
              <w:rPr>
                <w:rFonts w:cs="Arial"/>
                <w:color w:val="000000" w:themeColor="text1"/>
                <w:sz w:val="20"/>
                <w:szCs w:val="20"/>
              </w:rPr>
            </w:pPr>
            <w:r w:rsidRPr="001F273B">
              <w:rPr>
                <w:rFonts w:cs="Arial"/>
                <w:b/>
                <w:bCs/>
                <w:iCs/>
                <w:color w:val="000000" w:themeColor="text1"/>
                <w:sz w:val="20"/>
                <w:szCs w:val="20"/>
              </w:rPr>
              <w:t>Mimořádně nadnormální</w:t>
            </w:r>
          </w:p>
        </w:tc>
        <w:tc>
          <w:tcPr>
            <w:tcW w:w="32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C7AE41" w14:textId="73AA9945" w:rsidR="001B0D3A" w:rsidRPr="001F273B" w:rsidRDefault="001B0D3A" w:rsidP="001B0D3A">
            <w:pPr>
              <w:contextualSpacing/>
              <w:rPr>
                <w:rFonts w:cs="Arial"/>
                <w:color w:val="000000" w:themeColor="text1"/>
                <w:sz w:val="20"/>
                <w:szCs w:val="20"/>
              </w:rPr>
            </w:pPr>
            <w:proofErr w:type="gramStart"/>
            <w:r w:rsidRPr="001F273B">
              <w:rPr>
                <w:rFonts w:eastAsia="Times New Roman"/>
                <w:color w:val="000000"/>
                <w:sz w:val="20"/>
                <w:szCs w:val="20"/>
                <w:lang w:eastAsia="cs-CZ"/>
              </w:rPr>
              <w:t>&gt;Q</w:t>
            </w:r>
            <w:proofErr w:type="gramEnd"/>
            <w:r w:rsidRPr="001F273B">
              <w:rPr>
                <w:rFonts w:eastAsia="Times New Roman"/>
                <w:color w:val="000000"/>
                <w:sz w:val="20"/>
                <w:szCs w:val="20"/>
                <w:vertAlign w:val="subscript"/>
                <w:lang w:eastAsia="cs-CZ"/>
              </w:rPr>
              <w:t>0,98</w:t>
            </w:r>
          </w:p>
        </w:tc>
        <w:tc>
          <w:tcPr>
            <w:tcW w:w="3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74DA30" w14:textId="33AF48C0" w:rsidR="001B0D3A" w:rsidRPr="001F273B" w:rsidRDefault="00352054" w:rsidP="001B0D3A">
            <w:pPr>
              <w:contextualSpacing/>
              <w:rPr>
                <w:rFonts w:cs="Arial"/>
                <w:color w:val="000000" w:themeColor="text1"/>
                <w:sz w:val="20"/>
                <w:szCs w:val="20"/>
              </w:rPr>
            </w:pPr>
            <w:r w:rsidRPr="001F273B">
              <w:rPr>
                <w:rFonts w:eastAsia="Times New Roman"/>
                <w:color w:val="000000"/>
                <w:sz w:val="20"/>
                <w:szCs w:val="20"/>
                <w:lang w:eastAsia="cs-CZ"/>
              </w:rPr>
              <w:t>&lt;2</w:t>
            </w:r>
          </w:p>
        </w:tc>
      </w:tr>
    </w:tbl>
    <w:p w14:paraId="0086D25E" w14:textId="037404F0" w:rsidR="00EE3342" w:rsidRPr="001F273B" w:rsidRDefault="00EE3342" w:rsidP="007C4955">
      <w:pPr>
        <w:contextualSpacing/>
        <w:rPr>
          <w:i/>
          <w:color w:val="000000" w:themeColor="text1"/>
          <w:sz w:val="20"/>
          <w:szCs w:val="20"/>
        </w:rPr>
      </w:pPr>
      <w:r w:rsidRPr="001F273B">
        <w:rPr>
          <w:i/>
          <w:color w:val="000000" w:themeColor="text1"/>
          <w:sz w:val="20"/>
          <w:szCs w:val="20"/>
        </w:rPr>
        <w:t>Pramen: ČHMÚ</w:t>
      </w:r>
    </w:p>
    <w:p w14:paraId="14EE2329" w14:textId="77777777" w:rsidR="00BB3411" w:rsidRPr="00104F7D" w:rsidRDefault="00BB3411" w:rsidP="007C4955">
      <w:pPr>
        <w:contextualSpacing/>
        <w:rPr>
          <w:i/>
          <w:color w:val="FF0000"/>
          <w:sz w:val="20"/>
          <w:szCs w:val="20"/>
          <w:highlight w:val="yellow"/>
        </w:rPr>
      </w:pPr>
    </w:p>
    <w:p w14:paraId="0204A0DE" w14:textId="77777777" w:rsidR="001F273B" w:rsidRDefault="001F273B" w:rsidP="007C4955">
      <w:pPr>
        <w:contextualSpacing/>
        <w:rPr>
          <w:b/>
          <w:i/>
          <w:highlight w:val="yellow"/>
        </w:rPr>
      </w:pPr>
    </w:p>
    <w:p w14:paraId="2F0B41A5" w14:textId="77777777" w:rsidR="001F273B" w:rsidRDefault="001F273B" w:rsidP="007C4955">
      <w:pPr>
        <w:contextualSpacing/>
        <w:rPr>
          <w:b/>
          <w:i/>
          <w:highlight w:val="yellow"/>
        </w:rPr>
      </w:pPr>
    </w:p>
    <w:p w14:paraId="45346F5E" w14:textId="77777777" w:rsidR="001F273B" w:rsidRDefault="001F273B" w:rsidP="007C4955">
      <w:pPr>
        <w:contextualSpacing/>
        <w:rPr>
          <w:b/>
          <w:i/>
          <w:highlight w:val="yellow"/>
        </w:rPr>
      </w:pPr>
    </w:p>
    <w:p w14:paraId="779F3D8C" w14:textId="77777777" w:rsidR="00787A3F" w:rsidRDefault="00787A3F" w:rsidP="007C4955">
      <w:pPr>
        <w:contextualSpacing/>
        <w:rPr>
          <w:b/>
          <w:i/>
        </w:rPr>
      </w:pPr>
    </w:p>
    <w:p w14:paraId="10A8BB22" w14:textId="107BC773" w:rsidR="009A4681" w:rsidRPr="001F273B" w:rsidRDefault="009A4681" w:rsidP="007C4955">
      <w:pPr>
        <w:contextualSpacing/>
        <w:rPr>
          <w:b/>
          <w:i/>
        </w:rPr>
      </w:pPr>
      <w:r w:rsidRPr="001F273B">
        <w:rPr>
          <w:b/>
          <w:i/>
        </w:rPr>
        <w:lastRenderedPageBreak/>
        <w:t>Graf 1.1.1</w:t>
      </w:r>
    </w:p>
    <w:p w14:paraId="1DFBA8DD" w14:textId="461FA356" w:rsidR="0063395C" w:rsidRPr="001F273B" w:rsidRDefault="009A4681" w:rsidP="007C4955">
      <w:pPr>
        <w:contextualSpacing/>
      </w:pPr>
      <w:r w:rsidRPr="001F273B">
        <w:rPr>
          <w:b/>
          <w:i/>
        </w:rPr>
        <w:t>Průměrné měsíční teploty vzduchu na území České republiky v roce 20</w:t>
      </w:r>
      <w:r w:rsidR="004E7527" w:rsidRPr="001F273B">
        <w:rPr>
          <w:b/>
          <w:i/>
        </w:rPr>
        <w:t>2</w:t>
      </w:r>
      <w:r w:rsidR="00D830F4">
        <w:rPr>
          <w:b/>
          <w:i/>
        </w:rPr>
        <w:t>5</w:t>
      </w:r>
      <w:r w:rsidRPr="001F273B">
        <w:rPr>
          <w:b/>
          <w:i/>
        </w:rPr>
        <w:t xml:space="preserve"> ve srovnání s normálem 19</w:t>
      </w:r>
      <w:r w:rsidR="00664A40" w:rsidRPr="001F273B">
        <w:rPr>
          <w:b/>
          <w:i/>
        </w:rPr>
        <w:t>9</w:t>
      </w:r>
      <w:r w:rsidRPr="001F273B">
        <w:rPr>
          <w:b/>
          <w:i/>
        </w:rPr>
        <w:t>1–20</w:t>
      </w:r>
      <w:r w:rsidR="00664A40" w:rsidRPr="001F273B">
        <w:rPr>
          <w:b/>
          <w:i/>
        </w:rPr>
        <w:t>2</w:t>
      </w:r>
      <w:r w:rsidRPr="001F273B">
        <w:rPr>
          <w:b/>
          <w:i/>
        </w:rPr>
        <w:t>0</w:t>
      </w:r>
      <w:r w:rsidRPr="001F273B">
        <w:t xml:space="preserve"> </w:t>
      </w:r>
    </w:p>
    <w:p w14:paraId="43ECBF0B" w14:textId="758F0FCB" w:rsidR="004E7527" w:rsidRPr="00104F7D" w:rsidRDefault="00652399" w:rsidP="007C4955">
      <w:pPr>
        <w:contextualSpacing/>
        <w:rPr>
          <w:highlight w:val="yellow"/>
        </w:rPr>
      </w:pPr>
      <w:r>
        <w:rPr>
          <w:rFonts w:cs="Arial"/>
          <w:i/>
          <w:noProof/>
          <w:sz w:val="20"/>
          <w:szCs w:val="20"/>
          <w:lang w:eastAsia="cs-CZ"/>
        </w:rPr>
        <w:drawing>
          <wp:inline distT="0" distB="0" distL="0" distR="0" wp14:anchorId="0C5DDA02" wp14:editId="45C10148">
            <wp:extent cx="5732780" cy="2876204"/>
            <wp:effectExtent l="0" t="0" r="1270" b="635"/>
            <wp:docPr id="1806926296" name="Obrázek 1806926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t="11177"/>
                    <a:stretch>
                      <a:fillRect/>
                    </a:stretch>
                  </pic:blipFill>
                  <pic:spPr bwMode="auto">
                    <a:xfrm>
                      <a:off x="0" y="0"/>
                      <a:ext cx="5733393" cy="2876512"/>
                    </a:xfrm>
                    <a:prstGeom prst="rect">
                      <a:avLst/>
                    </a:prstGeom>
                    <a:noFill/>
                    <a:ln>
                      <a:noFill/>
                    </a:ln>
                    <a:extLst>
                      <a:ext uri="{53640926-AAD7-44D8-BBD7-CCE9431645EC}">
                        <a14:shadowObscured xmlns:a14="http://schemas.microsoft.com/office/drawing/2010/main"/>
                      </a:ext>
                    </a:extLst>
                  </pic:spPr>
                </pic:pic>
              </a:graphicData>
            </a:graphic>
          </wp:inline>
        </w:drawing>
      </w:r>
    </w:p>
    <w:p w14:paraId="6C69F21E" w14:textId="77777777" w:rsidR="009A4681" w:rsidRPr="00652399" w:rsidRDefault="004E7527" w:rsidP="007C4955">
      <w:pPr>
        <w:contextualSpacing/>
        <w:rPr>
          <w:i/>
          <w:color w:val="000000" w:themeColor="text1"/>
          <w:sz w:val="20"/>
          <w:szCs w:val="20"/>
        </w:rPr>
      </w:pPr>
      <w:r w:rsidRPr="00652399">
        <w:rPr>
          <w:i/>
          <w:color w:val="000000" w:themeColor="text1"/>
          <w:sz w:val="20"/>
          <w:szCs w:val="20"/>
        </w:rPr>
        <w:t>Prame</w:t>
      </w:r>
      <w:r w:rsidR="009A4681" w:rsidRPr="00652399">
        <w:rPr>
          <w:i/>
          <w:color w:val="000000" w:themeColor="text1"/>
          <w:sz w:val="20"/>
          <w:szCs w:val="20"/>
        </w:rPr>
        <w:t>n: ČHMÚ</w:t>
      </w:r>
    </w:p>
    <w:p w14:paraId="377A6308" w14:textId="77777777" w:rsidR="009A4681" w:rsidRPr="00104F7D" w:rsidRDefault="009A4681" w:rsidP="007C4955">
      <w:pPr>
        <w:ind w:firstLine="708"/>
        <w:contextualSpacing/>
        <w:rPr>
          <w:rFonts w:cs="Arial"/>
          <w:color w:val="FF0000"/>
          <w:sz w:val="24"/>
          <w:szCs w:val="24"/>
          <w:highlight w:val="yellow"/>
        </w:rPr>
      </w:pPr>
    </w:p>
    <w:p w14:paraId="447118B2" w14:textId="3DF98198" w:rsidR="00580430" w:rsidRDefault="00580430" w:rsidP="00580430">
      <w:pPr>
        <w:rPr>
          <w:lang w:eastAsia="cs-CZ"/>
        </w:rPr>
      </w:pPr>
      <w:r w:rsidRPr="00135994">
        <w:rPr>
          <w:lang w:eastAsia="cs-CZ"/>
        </w:rPr>
        <w:t xml:space="preserve">Zima 2024/2025 byla na území ČR s průměrnou teplotou vzduchu 0,1 °C o 0,8 °C teplejší než normál 1991–2020. Řadí se tak jako 19. nejteplejší v řadě od sezony 1961/1962. Prosinec 2024 a leden 2025 byly teplejší než normál, zatímco únor 2025 byl o něco chladnější. Prosinec byl hodnocen jako teplotně normální (odchylka +1,3 °C), leden jako teplotně nadnormální (odchylka +1,8 °C) a únor jako normální (odchylka -0,5 °C). Během zimy byla zaznamenána dvě velmi teplá období, a to 16. – 19. prosince a 25. – 30. ledna, kdy se průměrná denní teplota vzduchu na území ČR pohybovala více než 5 °C nad normálem. Denní maxima teploty vzduchu v těchto dnech často překračovala 10 °C. Naopak nejchladnější období bylo zaznamenáno 15. – 20. února s průměrnou denní teplotou vzduchu na území ČR více než 4 °C pod hodnotou normálu. Ve dnech 15. – 18. února panoval na většině stanic celodenní mráz. </w:t>
      </w:r>
    </w:p>
    <w:p w14:paraId="2F87AE53" w14:textId="77777777" w:rsidR="00580430" w:rsidRPr="00135994" w:rsidRDefault="00580430" w:rsidP="00580430">
      <w:pPr>
        <w:rPr>
          <w:lang w:eastAsia="cs-CZ"/>
        </w:rPr>
      </w:pPr>
    </w:p>
    <w:p w14:paraId="41CD35A9" w14:textId="7BFCE3A0" w:rsidR="00580430" w:rsidRDefault="00580430" w:rsidP="00580430">
      <w:pPr>
        <w:rPr>
          <w:lang w:eastAsia="cs-CZ"/>
        </w:rPr>
      </w:pPr>
      <w:r w:rsidRPr="00135994">
        <w:rPr>
          <w:lang w:eastAsia="cs-CZ"/>
        </w:rPr>
        <w:t>Jaro bylo s průměrnou teplotou vzduchu na území ČR (8,9 °C) o 0,6 °C teplejší než normál. Jednalo se o 10.</w:t>
      </w:r>
      <w:r w:rsidR="00434A45">
        <w:rPr>
          <w:lang w:eastAsia="cs-CZ"/>
        </w:rPr>
        <w:t xml:space="preserve"> </w:t>
      </w:r>
      <w:r w:rsidRPr="00135994">
        <w:rPr>
          <w:lang w:eastAsia="cs-CZ"/>
        </w:rPr>
        <w:t>–</w:t>
      </w:r>
      <w:r w:rsidR="00434A45">
        <w:rPr>
          <w:lang w:eastAsia="cs-CZ"/>
        </w:rPr>
        <w:t xml:space="preserve"> </w:t>
      </w:r>
      <w:r w:rsidRPr="00135994">
        <w:rPr>
          <w:lang w:eastAsia="cs-CZ"/>
        </w:rPr>
        <w:t>11. nejteplejší jarní sezonu zaznamenanou na území ČR v období od roku 1961. Březen a duben byly teplotně nadnormální s odchylkou průměrné teploty na území ČR od normálu +1,9 °C a +1,8 °C. Květen byl naopak teplotně podnormální (odchylka −1,9 °C). Během března a dubna se průměrná teplota na území ČR většinou pohybovala nad hodnotou normálu. Velmi teplá období s teplotou výrazně nad hodnotou normálu nastala zejména ve dnech 6.</w:t>
      </w:r>
      <w:r w:rsidR="00434A45">
        <w:rPr>
          <w:lang w:eastAsia="cs-CZ"/>
        </w:rPr>
        <w:t xml:space="preserve"> </w:t>
      </w:r>
      <w:r w:rsidRPr="00135994">
        <w:rPr>
          <w:lang w:eastAsia="cs-CZ"/>
        </w:rPr>
        <w:t>–</w:t>
      </w:r>
      <w:r w:rsidR="00434A45">
        <w:rPr>
          <w:lang w:eastAsia="cs-CZ"/>
        </w:rPr>
        <w:t xml:space="preserve"> </w:t>
      </w:r>
      <w:r w:rsidRPr="00135994">
        <w:rPr>
          <w:lang w:eastAsia="cs-CZ"/>
        </w:rPr>
        <w:t>12. března a 13.</w:t>
      </w:r>
      <w:r w:rsidR="00434A45">
        <w:rPr>
          <w:lang w:eastAsia="cs-CZ"/>
        </w:rPr>
        <w:t xml:space="preserve"> </w:t>
      </w:r>
      <w:r w:rsidRPr="00135994">
        <w:rPr>
          <w:lang w:eastAsia="cs-CZ"/>
        </w:rPr>
        <w:t>–</w:t>
      </w:r>
      <w:r w:rsidR="00434A45">
        <w:rPr>
          <w:lang w:eastAsia="cs-CZ"/>
        </w:rPr>
        <w:t xml:space="preserve"> </w:t>
      </w:r>
      <w:r w:rsidRPr="00135994">
        <w:rPr>
          <w:lang w:eastAsia="cs-CZ"/>
        </w:rPr>
        <w:t>17. dubna. Naopak chladná ve srovnání s normálem byla pouze kratší období 15.</w:t>
      </w:r>
      <w:r w:rsidR="00434A45">
        <w:rPr>
          <w:lang w:eastAsia="cs-CZ"/>
        </w:rPr>
        <w:t xml:space="preserve"> </w:t>
      </w:r>
      <w:r w:rsidRPr="00135994">
        <w:rPr>
          <w:lang w:eastAsia="cs-CZ"/>
        </w:rPr>
        <w:t>–</w:t>
      </w:r>
      <w:r w:rsidR="00434A45">
        <w:rPr>
          <w:lang w:eastAsia="cs-CZ"/>
        </w:rPr>
        <w:t xml:space="preserve"> </w:t>
      </w:r>
      <w:r w:rsidRPr="00135994">
        <w:rPr>
          <w:lang w:eastAsia="cs-CZ"/>
        </w:rPr>
        <w:t>19. března, 5.</w:t>
      </w:r>
      <w:r w:rsidR="00434A45">
        <w:rPr>
          <w:lang w:eastAsia="cs-CZ"/>
        </w:rPr>
        <w:t xml:space="preserve"> </w:t>
      </w:r>
      <w:r w:rsidRPr="00135994">
        <w:rPr>
          <w:lang w:eastAsia="cs-CZ"/>
        </w:rPr>
        <w:t>–</w:t>
      </w:r>
      <w:r w:rsidR="00434A45">
        <w:rPr>
          <w:lang w:eastAsia="cs-CZ"/>
        </w:rPr>
        <w:t xml:space="preserve"> </w:t>
      </w:r>
      <w:r w:rsidRPr="00135994">
        <w:rPr>
          <w:lang w:eastAsia="cs-CZ"/>
        </w:rPr>
        <w:t>10. a 25. – 27. dubna. Ve dnech 6. – 9. dubna denní minima teploty vzduchu na většině našeho území klesala pod 0 °C. Po většinu května se teplota pohybovala pod hodnotou normálu, výrazněji nad hodnotu normálu se dostala pouze začátkem měsíce a poslední den měsíce. Dne 3. května byl zaznamenán první tropický den tohoto roku, když na stanici Dyjákovice naměřili 31,0 °C. Přes 30 °C bylo poté na několika stanicích naměřeno až poslední den měsíce. V první polovině měsíce nastalo ještě několik dní, kdy denní minima teploty vzduchu na velké části našeho území klesala pod 0 °C (nejčastěji 9.</w:t>
      </w:r>
      <w:r w:rsidR="009616E5">
        <w:rPr>
          <w:lang w:eastAsia="cs-CZ"/>
        </w:rPr>
        <w:t xml:space="preserve"> </w:t>
      </w:r>
      <w:r w:rsidRPr="00135994">
        <w:rPr>
          <w:lang w:eastAsia="cs-CZ"/>
        </w:rPr>
        <w:t>– 10. května).</w:t>
      </w:r>
    </w:p>
    <w:p w14:paraId="02A36B8C" w14:textId="77777777" w:rsidR="00580430" w:rsidRPr="00135994" w:rsidRDefault="00580430" w:rsidP="00580430">
      <w:pPr>
        <w:rPr>
          <w:lang w:eastAsia="cs-CZ"/>
        </w:rPr>
      </w:pPr>
    </w:p>
    <w:p w14:paraId="78907BCB" w14:textId="4574F311" w:rsidR="00580430" w:rsidRPr="00135994" w:rsidRDefault="00580430" w:rsidP="00580430">
      <w:pPr>
        <w:rPr>
          <w:lang w:eastAsia="cs-CZ"/>
        </w:rPr>
      </w:pPr>
      <w:r w:rsidRPr="00135994">
        <w:rPr>
          <w:lang w:eastAsia="cs-CZ"/>
        </w:rPr>
        <w:t xml:space="preserve">Léto na území ČR s průměrnou teplotou vzduchu 17,9 °C bylo o 0,3 °C teplejší než normál. Jednalo se </w:t>
      </w:r>
      <w:r w:rsidR="009616E5">
        <w:rPr>
          <w:lang w:eastAsia="cs-CZ"/>
        </w:rPr>
        <w:t xml:space="preserve">o </w:t>
      </w:r>
      <w:r w:rsidRPr="00135994">
        <w:rPr>
          <w:lang w:eastAsia="cs-CZ"/>
        </w:rPr>
        <w:t>13</w:t>
      </w:r>
      <w:r w:rsidR="009616E5">
        <w:rPr>
          <w:lang w:eastAsia="cs-CZ"/>
        </w:rPr>
        <w:t>.</w:t>
      </w:r>
      <w:r w:rsidRPr="00135994">
        <w:rPr>
          <w:lang w:eastAsia="cs-CZ"/>
        </w:rPr>
        <w:t>–15. nejteplejší léto v řadě od roku 1961. Nejteplejším měsícem léta byl červen, který byl teplotně silně nadnormální (odchylka + 1,6 °C), červenec a srpen byly teplotně normální (odchylka -0,4 a -0,2 °C).</w:t>
      </w:r>
      <w:r w:rsidR="001D7595">
        <w:rPr>
          <w:lang w:eastAsia="cs-CZ"/>
        </w:rPr>
        <w:t xml:space="preserve"> </w:t>
      </w:r>
      <w:r w:rsidRPr="00135994">
        <w:rPr>
          <w:lang w:eastAsia="cs-CZ"/>
        </w:rPr>
        <w:t>Během léta se střídala chladná a teplá období ve srovnání s normálem. Teplá byla zejména období 22. června až 6. července a 8. až 16. srpna, kdy denní maxima teploty vzduchu na našem území často překračovala tropických 30 °C. Nejvyšších hodnot denní maxima teploty dosahovala ve dnech 26. června, 2.</w:t>
      </w:r>
      <w:r w:rsidR="009616E5">
        <w:rPr>
          <w:lang w:eastAsia="cs-CZ"/>
        </w:rPr>
        <w:t xml:space="preserve"> </w:t>
      </w:r>
      <w:r w:rsidRPr="00135994">
        <w:rPr>
          <w:lang w:eastAsia="cs-CZ"/>
        </w:rPr>
        <w:t>–</w:t>
      </w:r>
      <w:r w:rsidR="009616E5">
        <w:rPr>
          <w:lang w:eastAsia="cs-CZ"/>
        </w:rPr>
        <w:t xml:space="preserve"> </w:t>
      </w:r>
      <w:r w:rsidRPr="00135994">
        <w:rPr>
          <w:lang w:eastAsia="cs-CZ"/>
        </w:rPr>
        <w:t>3. července a 13.</w:t>
      </w:r>
      <w:r w:rsidR="009616E5">
        <w:rPr>
          <w:lang w:eastAsia="cs-CZ"/>
        </w:rPr>
        <w:t xml:space="preserve"> </w:t>
      </w:r>
      <w:r w:rsidRPr="00135994">
        <w:rPr>
          <w:lang w:eastAsia="cs-CZ"/>
        </w:rPr>
        <w:t>–</w:t>
      </w:r>
      <w:r w:rsidR="009616E5">
        <w:rPr>
          <w:lang w:eastAsia="cs-CZ"/>
        </w:rPr>
        <w:t xml:space="preserve"> </w:t>
      </w:r>
      <w:r w:rsidRPr="00135994">
        <w:rPr>
          <w:lang w:eastAsia="cs-CZ"/>
        </w:rPr>
        <w:t xml:space="preserve">15. srpna, kdy na některých stanicích překročovala 35 °C. Nejvyšší hodnota teploty vzduchu za letní sezonu 37,3 °C byla naměřena 2. </w:t>
      </w:r>
      <w:r w:rsidRPr="00135994">
        <w:rPr>
          <w:lang w:eastAsia="cs-CZ"/>
        </w:rPr>
        <w:lastRenderedPageBreak/>
        <w:t>července na stanici Doksany, na stanici mimo standardní síť ČHMÚ Husinec, Řež bylo naměřeno dokonce 37,4 °C.</w:t>
      </w:r>
      <w:r w:rsidR="003101F1">
        <w:rPr>
          <w:lang w:eastAsia="cs-CZ"/>
        </w:rPr>
        <w:t xml:space="preserve"> </w:t>
      </w:r>
      <w:r w:rsidRPr="00135994">
        <w:rPr>
          <w:lang w:eastAsia="cs-CZ"/>
        </w:rPr>
        <w:t>Vyskytly se i dny s teplotou výrazně pod hodnotou normálu, nejdéle trvající chladná období nastala ve dnech 8.</w:t>
      </w:r>
      <w:r w:rsidR="00471D6D">
        <w:rPr>
          <w:lang w:eastAsia="cs-CZ"/>
        </w:rPr>
        <w:t xml:space="preserve"> </w:t>
      </w:r>
      <w:r w:rsidRPr="00135994">
        <w:rPr>
          <w:lang w:eastAsia="cs-CZ"/>
        </w:rPr>
        <w:t>–</w:t>
      </w:r>
      <w:r w:rsidR="00471D6D">
        <w:rPr>
          <w:lang w:eastAsia="cs-CZ"/>
        </w:rPr>
        <w:t xml:space="preserve"> </w:t>
      </w:r>
      <w:r w:rsidRPr="00135994">
        <w:rPr>
          <w:lang w:eastAsia="cs-CZ"/>
        </w:rPr>
        <w:t>12. července, 28. července – 6. srpna a 22. – 25. srpna. V</w:t>
      </w:r>
      <w:r w:rsidR="003101F1">
        <w:rPr>
          <w:lang w:eastAsia="cs-CZ"/>
        </w:rPr>
        <w:t xml:space="preserve"> </w:t>
      </w:r>
      <w:r w:rsidRPr="00135994">
        <w:rPr>
          <w:lang w:eastAsia="cs-CZ"/>
        </w:rPr>
        <w:t xml:space="preserve">těchto dnech denní maxima teploty vzduchu na stanicích většinou nedosahovala ani letních 25 °C. </w:t>
      </w:r>
    </w:p>
    <w:p w14:paraId="4C779D5F" w14:textId="77777777" w:rsidR="00D830F4" w:rsidRDefault="00D830F4" w:rsidP="00580430">
      <w:pPr>
        <w:rPr>
          <w:lang w:eastAsia="cs-CZ"/>
        </w:rPr>
      </w:pPr>
    </w:p>
    <w:p w14:paraId="59EA0E0F" w14:textId="5D9A022F" w:rsidR="00580430" w:rsidRDefault="00580430" w:rsidP="00580430">
      <w:pPr>
        <w:rPr>
          <w:lang w:eastAsia="cs-CZ"/>
        </w:rPr>
      </w:pPr>
      <w:r w:rsidRPr="00135994">
        <w:rPr>
          <w:lang w:eastAsia="cs-CZ"/>
        </w:rPr>
        <w:t>Podzim 2025 byl jako celek teplotně normální, průměrná sezonní teplota vzduchu na území ČR 8,2 °C byla shodná s normálem 1991–2020. Všechny podzimní měsíce byly hodnoceny jako teplotně normální s odchylkou průměrné teploty od normálu +0,9 °C v září, -0,3 °C v říjnu a -0,8 °C v listopadu. Během podzimu teplota často kolísala kolem hodnot normálu, výrazněji nad hodnotu normálu se průměrná teplota dostala pouze v několika spíše osamocených dnech. Teplé ve srovnání s normálem byly především dny 19.</w:t>
      </w:r>
      <w:r w:rsidR="00471D6D">
        <w:rPr>
          <w:lang w:eastAsia="cs-CZ"/>
        </w:rPr>
        <w:t xml:space="preserve"> </w:t>
      </w:r>
      <w:r w:rsidRPr="00135994">
        <w:rPr>
          <w:lang w:eastAsia="cs-CZ"/>
        </w:rPr>
        <w:t>–</w:t>
      </w:r>
      <w:r w:rsidR="00471D6D">
        <w:rPr>
          <w:lang w:eastAsia="cs-CZ"/>
        </w:rPr>
        <w:t xml:space="preserve"> </w:t>
      </w:r>
      <w:r w:rsidRPr="00135994">
        <w:rPr>
          <w:lang w:eastAsia="cs-CZ"/>
        </w:rPr>
        <w:t xml:space="preserve">21. září, kdy denní maxima teploty vzduchu na většině našeho území ještě překračovala letních 25 °C. Ve dnech 20. a 21. září byl na několika stanicích sítě ČHMÚ dokonce zaznamenán i tropický den (denní maximum teploty vzduchu 30 °C a vyšší). Naopak chladná déletrvající období nastala ve dnech 29. </w:t>
      </w:r>
      <w:proofErr w:type="gramStart"/>
      <w:r w:rsidRPr="00135994">
        <w:rPr>
          <w:lang w:eastAsia="cs-CZ"/>
        </w:rPr>
        <w:t>září</w:t>
      </w:r>
      <w:r w:rsidR="009E463E">
        <w:rPr>
          <w:lang w:eastAsia="cs-CZ"/>
        </w:rPr>
        <w:t xml:space="preserve"> </w:t>
      </w:r>
      <w:r w:rsidRPr="00135994">
        <w:rPr>
          <w:lang w:eastAsia="cs-CZ"/>
        </w:rPr>
        <w:t>–</w:t>
      </w:r>
      <w:r w:rsidR="009E463E">
        <w:rPr>
          <w:lang w:eastAsia="cs-CZ"/>
        </w:rPr>
        <w:t xml:space="preserve"> </w:t>
      </w:r>
      <w:r w:rsidRPr="00135994">
        <w:rPr>
          <w:lang w:eastAsia="cs-CZ"/>
        </w:rPr>
        <w:t>4</w:t>
      </w:r>
      <w:proofErr w:type="gramEnd"/>
      <w:r w:rsidRPr="00135994">
        <w:rPr>
          <w:lang w:eastAsia="cs-CZ"/>
        </w:rPr>
        <w:t>. října a 18. – 28</w:t>
      </w:r>
      <w:r w:rsidR="009E463E">
        <w:rPr>
          <w:lang w:eastAsia="cs-CZ"/>
        </w:rPr>
        <w:t>.</w:t>
      </w:r>
      <w:r w:rsidRPr="00135994">
        <w:rPr>
          <w:lang w:eastAsia="cs-CZ"/>
        </w:rPr>
        <w:t xml:space="preserve"> listopadu, kdy se průměrná denní teplota vzduchu na území ČR pohybovala většinou 2–7 °C pod normálem. Ve dnech 18. – 29. listopadu denní minima teploty vzduchu klesla pod 0 °C na většině území ČR. Dne 22. až 24. listopadu byl na více než 100 stanicích ČHMÚ zaznamenán ledový den (den,</w:t>
      </w:r>
      <w:r w:rsidRPr="00377C15">
        <w:rPr>
          <w:lang w:eastAsia="cs-CZ"/>
        </w:rPr>
        <w:t xml:space="preserve"> </w:t>
      </w:r>
      <w:r w:rsidRPr="00135994">
        <w:rPr>
          <w:lang w:eastAsia="cs-CZ"/>
        </w:rPr>
        <w:t>v němž maximální teplota vzduchu nedosáhla hodnoty 0,0 °C).</w:t>
      </w:r>
    </w:p>
    <w:p w14:paraId="00674839" w14:textId="77777777" w:rsidR="00580430" w:rsidRPr="00135994" w:rsidRDefault="00580430" w:rsidP="00580430">
      <w:pPr>
        <w:rPr>
          <w:lang w:eastAsia="cs-CZ"/>
        </w:rPr>
      </w:pPr>
    </w:p>
    <w:p w14:paraId="032A4446" w14:textId="77777777" w:rsidR="00580430" w:rsidRDefault="00580430" w:rsidP="00580430">
      <w:pPr>
        <w:rPr>
          <w:lang w:eastAsia="cs-CZ"/>
        </w:rPr>
      </w:pPr>
      <w:r w:rsidRPr="00135994">
        <w:rPr>
          <w:lang w:eastAsia="cs-CZ"/>
        </w:rPr>
        <w:t>Prosinec 2025 byl na území ČR hodnocen jako teplotně normální, průměrná měsíční teplota na území ČR 1,1 °C (odchylka +1,5 °C) však byla na hranici teplotně normálního a nadnormálního měsíce. Po většinu měsíce průměrná denní teplota vzduchu byla nad hodnotou normálu, konec měsíce (od 24. prosince) byl pak chladnější než normál.</w:t>
      </w:r>
    </w:p>
    <w:p w14:paraId="3E4777DC" w14:textId="77777777" w:rsidR="00A82CD4" w:rsidRPr="00104F7D" w:rsidRDefault="00A82CD4" w:rsidP="007C4955">
      <w:pPr>
        <w:contextualSpacing/>
        <w:rPr>
          <w:b/>
          <w:i/>
          <w:color w:val="000000" w:themeColor="text1"/>
          <w:highlight w:val="yellow"/>
        </w:rPr>
      </w:pPr>
    </w:p>
    <w:p w14:paraId="29FDB12D" w14:textId="325D3F05" w:rsidR="009A4681" w:rsidRPr="00D830F4" w:rsidRDefault="009A4681" w:rsidP="007C4955">
      <w:pPr>
        <w:contextualSpacing/>
        <w:rPr>
          <w:b/>
          <w:i/>
          <w:color w:val="000000" w:themeColor="text1"/>
        </w:rPr>
      </w:pPr>
      <w:r w:rsidRPr="00D830F4">
        <w:rPr>
          <w:b/>
          <w:i/>
          <w:color w:val="000000" w:themeColor="text1"/>
        </w:rPr>
        <w:t>Obrázek 1.1.1</w:t>
      </w:r>
    </w:p>
    <w:p w14:paraId="0482C57F" w14:textId="72A298B7" w:rsidR="009A4681" w:rsidRDefault="009A4681" w:rsidP="007C4955">
      <w:pPr>
        <w:contextualSpacing/>
        <w:rPr>
          <w:b/>
          <w:i/>
          <w:color w:val="000000" w:themeColor="text1"/>
        </w:rPr>
      </w:pPr>
      <w:r w:rsidRPr="00D830F4">
        <w:rPr>
          <w:b/>
          <w:i/>
          <w:color w:val="000000" w:themeColor="text1"/>
        </w:rPr>
        <w:t>Průměrná roční teplota vzduchu v roce 20</w:t>
      </w:r>
      <w:r w:rsidR="004E7527" w:rsidRPr="00D830F4">
        <w:rPr>
          <w:b/>
          <w:i/>
          <w:color w:val="000000" w:themeColor="text1"/>
        </w:rPr>
        <w:t>2</w:t>
      </w:r>
      <w:r w:rsidR="00D830F4">
        <w:rPr>
          <w:b/>
          <w:i/>
          <w:color w:val="000000" w:themeColor="text1"/>
        </w:rPr>
        <w:t>5</w:t>
      </w:r>
    </w:p>
    <w:p w14:paraId="0C3C34FA" w14:textId="77777777" w:rsidR="00D830F4" w:rsidRPr="00D830F4" w:rsidRDefault="00D830F4" w:rsidP="007C4955">
      <w:pPr>
        <w:contextualSpacing/>
        <w:rPr>
          <w:b/>
          <w:i/>
          <w:color w:val="000000" w:themeColor="text1"/>
        </w:rPr>
      </w:pPr>
    </w:p>
    <w:p w14:paraId="27DF4AD1" w14:textId="75EC31A8" w:rsidR="009A4681" w:rsidRPr="00104F7D" w:rsidRDefault="00D830F4" w:rsidP="007C4955">
      <w:pPr>
        <w:contextualSpacing/>
        <w:rPr>
          <w:b/>
          <w:i/>
          <w:color w:val="000000" w:themeColor="text1"/>
          <w:highlight w:val="yellow"/>
        </w:rPr>
      </w:pPr>
      <w:r>
        <w:rPr>
          <w:noProof/>
        </w:rPr>
        <w:drawing>
          <wp:inline distT="0" distB="0" distL="0" distR="0" wp14:anchorId="0139FC30" wp14:editId="2B59CB0B">
            <wp:extent cx="5637803" cy="3495040"/>
            <wp:effectExtent l="0" t="0" r="1270" b="0"/>
            <wp:docPr id="40698935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989352" name=""/>
                    <pic:cNvPicPr/>
                  </pic:nvPicPr>
                  <pic:blipFill rotWithShape="1">
                    <a:blip r:embed="rId13"/>
                    <a:srcRect t="12316"/>
                    <a:stretch>
                      <a:fillRect/>
                    </a:stretch>
                  </pic:blipFill>
                  <pic:spPr bwMode="auto">
                    <a:xfrm>
                      <a:off x="0" y="0"/>
                      <a:ext cx="5638648" cy="3495564"/>
                    </a:xfrm>
                    <a:prstGeom prst="rect">
                      <a:avLst/>
                    </a:prstGeom>
                    <a:ln>
                      <a:noFill/>
                    </a:ln>
                    <a:extLst>
                      <a:ext uri="{53640926-AAD7-44D8-BBD7-CCE9431645EC}">
                        <a14:shadowObscured xmlns:a14="http://schemas.microsoft.com/office/drawing/2010/main"/>
                      </a:ext>
                    </a:extLst>
                  </pic:spPr>
                </pic:pic>
              </a:graphicData>
            </a:graphic>
          </wp:inline>
        </w:drawing>
      </w:r>
      <w:r w:rsidR="0011043C" w:rsidRPr="00104F7D">
        <w:rPr>
          <w:rFonts w:cs="Arial"/>
          <w:noProof/>
          <w:color w:val="FF0000"/>
          <w:highlight w:val="yellow"/>
          <w:lang w:eastAsia="cs-CZ"/>
        </w:rPr>
        <mc:AlternateContent>
          <mc:Choice Requires="wps">
            <w:drawing>
              <wp:anchor distT="0" distB="0" distL="114300" distR="114300" simplePos="0" relativeHeight="251658241" behindDoc="0" locked="0" layoutInCell="1" allowOverlap="1" wp14:anchorId="6D9C423C" wp14:editId="74157310">
                <wp:simplePos x="0" y="0"/>
                <wp:positionH relativeFrom="column">
                  <wp:posOffset>4861560</wp:posOffset>
                </wp:positionH>
                <wp:positionV relativeFrom="paragraph">
                  <wp:posOffset>3140075</wp:posOffset>
                </wp:positionV>
                <wp:extent cx="714375" cy="209550"/>
                <wp:effectExtent l="0" t="0" r="0" b="1270"/>
                <wp:wrapNone/>
                <wp:docPr id="8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0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C2444D5" id="Rectangle 27" o:spid="_x0000_s1026" style="position:absolute;margin-left:382.8pt;margin-top:247.25pt;width:56.25pt;height:1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" stroked="f"/>
            </w:pict>
          </mc:Fallback>
        </mc:AlternateContent>
      </w:r>
    </w:p>
    <w:p w14:paraId="3C45F7D0" w14:textId="77777777" w:rsidR="009A4681" w:rsidRPr="00D830F4" w:rsidRDefault="009A4681" w:rsidP="007C4955">
      <w:pPr>
        <w:contextualSpacing/>
        <w:rPr>
          <w:i/>
          <w:color w:val="000000" w:themeColor="text1"/>
          <w:sz w:val="20"/>
          <w:szCs w:val="20"/>
        </w:rPr>
      </w:pPr>
      <w:r w:rsidRPr="00D830F4">
        <w:rPr>
          <w:i/>
          <w:color w:val="000000" w:themeColor="text1"/>
          <w:sz w:val="20"/>
          <w:szCs w:val="20"/>
        </w:rPr>
        <w:t>Pramen: ČHMÚ</w:t>
      </w:r>
    </w:p>
    <w:p w14:paraId="6340AFC4" w14:textId="77777777" w:rsidR="009A4681" w:rsidRPr="00104F7D" w:rsidRDefault="009A4681" w:rsidP="007C4955">
      <w:pPr>
        <w:contextualSpacing/>
        <w:rPr>
          <w:b/>
          <w:i/>
          <w:color w:val="FF0000"/>
          <w:highlight w:val="yellow"/>
        </w:rPr>
      </w:pPr>
    </w:p>
    <w:p w14:paraId="41F5DBD5" w14:textId="77777777" w:rsidR="000A3913" w:rsidRDefault="000A3913" w:rsidP="007C4955">
      <w:pPr>
        <w:contextualSpacing/>
        <w:rPr>
          <w:b/>
          <w:i/>
          <w:color w:val="000000" w:themeColor="text1"/>
          <w:highlight w:val="yellow"/>
        </w:rPr>
      </w:pPr>
    </w:p>
    <w:p w14:paraId="53BE7DF3" w14:textId="77777777" w:rsidR="000A3913" w:rsidRDefault="000A3913" w:rsidP="007C4955">
      <w:pPr>
        <w:contextualSpacing/>
        <w:rPr>
          <w:b/>
          <w:i/>
          <w:color w:val="000000" w:themeColor="text1"/>
          <w:highlight w:val="yellow"/>
        </w:rPr>
      </w:pPr>
    </w:p>
    <w:p w14:paraId="75CD9CB1" w14:textId="77777777" w:rsidR="000A3913" w:rsidRDefault="000A3913" w:rsidP="007C4955">
      <w:pPr>
        <w:contextualSpacing/>
        <w:rPr>
          <w:b/>
          <w:i/>
          <w:color w:val="000000" w:themeColor="text1"/>
          <w:highlight w:val="yellow"/>
        </w:rPr>
      </w:pPr>
    </w:p>
    <w:p w14:paraId="0354C38D" w14:textId="77777777" w:rsidR="000A3913" w:rsidRDefault="000A3913" w:rsidP="007C4955">
      <w:pPr>
        <w:contextualSpacing/>
        <w:rPr>
          <w:b/>
          <w:i/>
          <w:color w:val="000000" w:themeColor="text1"/>
          <w:highlight w:val="yellow"/>
        </w:rPr>
      </w:pPr>
    </w:p>
    <w:p w14:paraId="292BD230" w14:textId="77777777" w:rsidR="000A3913" w:rsidRDefault="000A3913" w:rsidP="007C4955">
      <w:pPr>
        <w:contextualSpacing/>
        <w:rPr>
          <w:b/>
          <w:i/>
          <w:color w:val="000000" w:themeColor="text1"/>
          <w:highlight w:val="yellow"/>
        </w:rPr>
      </w:pPr>
    </w:p>
    <w:p w14:paraId="4442CFAF" w14:textId="77777777" w:rsidR="000A3913" w:rsidRDefault="000A3913" w:rsidP="007C4955">
      <w:pPr>
        <w:contextualSpacing/>
        <w:rPr>
          <w:b/>
          <w:i/>
          <w:color w:val="000000" w:themeColor="text1"/>
          <w:highlight w:val="yellow"/>
        </w:rPr>
      </w:pPr>
    </w:p>
    <w:p w14:paraId="43A3DDCD" w14:textId="112B46AB" w:rsidR="009A4681" w:rsidRPr="000A3913" w:rsidRDefault="009A4681" w:rsidP="007C4955">
      <w:pPr>
        <w:contextualSpacing/>
        <w:rPr>
          <w:b/>
          <w:i/>
          <w:color w:val="000000" w:themeColor="text1"/>
        </w:rPr>
      </w:pPr>
      <w:r w:rsidRPr="000A3913">
        <w:rPr>
          <w:b/>
          <w:i/>
          <w:color w:val="000000" w:themeColor="text1"/>
        </w:rPr>
        <w:lastRenderedPageBreak/>
        <w:t>Obrázek 1.1.2</w:t>
      </w:r>
    </w:p>
    <w:p w14:paraId="0080D506" w14:textId="21094673" w:rsidR="009A4681" w:rsidRDefault="009A4681" w:rsidP="007C4955">
      <w:pPr>
        <w:contextualSpacing/>
        <w:rPr>
          <w:b/>
          <w:i/>
          <w:color w:val="000000" w:themeColor="text1"/>
          <w:highlight w:val="yellow"/>
        </w:rPr>
      </w:pPr>
      <w:r w:rsidRPr="000A3913">
        <w:rPr>
          <w:b/>
          <w:i/>
          <w:color w:val="000000" w:themeColor="text1"/>
        </w:rPr>
        <w:t xml:space="preserve">Odchylka průměrné roční teploty vzduchu v roce </w:t>
      </w:r>
      <w:r w:rsidR="002D28DB" w:rsidRPr="000A3913">
        <w:rPr>
          <w:b/>
          <w:i/>
          <w:color w:val="000000" w:themeColor="text1"/>
        </w:rPr>
        <w:t>20</w:t>
      </w:r>
      <w:r w:rsidR="004E7527" w:rsidRPr="000A3913">
        <w:rPr>
          <w:b/>
          <w:i/>
          <w:color w:val="000000" w:themeColor="text1"/>
        </w:rPr>
        <w:t>2</w:t>
      </w:r>
      <w:r w:rsidR="000A3913">
        <w:rPr>
          <w:b/>
          <w:i/>
          <w:color w:val="000000" w:themeColor="text1"/>
        </w:rPr>
        <w:t>5</w:t>
      </w:r>
      <w:r w:rsidR="002D28DB" w:rsidRPr="000A3913">
        <w:rPr>
          <w:b/>
          <w:i/>
          <w:color w:val="000000" w:themeColor="text1"/>
        </w:rPr>
        <w:t xml:space="preserve"> </w:t>
      </w:r>
      <w:r w:rsidRPr="000A3913">
        <w:rPr>
          <w:b/>
          <w:i/>
          <w:color w:val="000000" w:themeColor="text1"/>
        </w:rPr>
        <w:t>od normálu 19</w:t>
      </w:r>
      <w:r w:rsidR="00664A40" w:rsidRPr="000A3913">
        <w:rPr>
          <w:b/>
          <w:i/>
          <w:color w:val="000000" w:themeColor="text1"/>
        </w:rPr>
        <w:t>9</w:t>
      </w:r>
      <w:r w:rsidRPr="000A3913">
        <w:rPr>
          <w:b/>
          <w:i/>
          <w:color w:val="000000" w:themeColor="text1"/>
        </w:rPr>
        <w:t>1–20</w:t>
      </w:r>
      <w:r w:rsidR="00664A40" w:rsidRPr="000A3913">
        <w:rPr>
          <w:b/>
          <w:i/>
          <w:color w:val="000000" w:themeColor="text1"/>
        </w:rPr>
        <w:t>2</w:t>
      </w:r>
      <w:r w:rsidRPr="000A3913">
        <w:rPr>
          <w:b/>
          <w:i/>
          <w:color w:val="000000" w:themeColor="text1"/>
        </w:rPr>
        <w:t>0</w:t>
      </w:r>
      <w:r w:rsidRPr="00104F7D">
        <w:rPr>
          <w:b/>
          <w:i/>
          <w:color w:val="000000" w:themeColor="text1"/>
          <w:highlight w:val="yellow"/>
        </w:rPr>
        <w:t xml:space="preserve"> </w:t>
      </w:r>
    </w:p>
    <w:p w14:paraId="500AADC1" w14:textId="77777777" w:rsidR="006C3057" w:rsidRPr="00104F7D" w:rsidRDefault="006C3057" w:rsidP="007C4955">
      <w:pPr>
        <w:contextualSpacing/>
        <w:rPr>
          <w:b/>
          <w:i/>
          <w:color w:val="000000" w:themeColor="text1"/>
          <w:highlight w:val="yellow"/>
        </w:rPr>
      </w:pPr>
    </w:p>
    <w:p w14:paraId="6978E898" w14:textId="20FBD154" w:rsidR="009A4681" w:rsidRPr="00104F7D" w:rsidRDefault="0011043C" w:rsidP="007C4955">
      <w:pPr>
        <w:contextualSpacing/>
        <w:rPr>
          <w:rFonts w:eastAsia="Times New Roman" w:cs="Arial"/>
          <w:color w:val="FF0000"/>
          <w:sz w:val="24"/>
          <w:szCs w:val="24"/>
          <w:highlight w:val="yellow"/>
        </w:rPr>
      </w:pPr>
      <w:r w:rsidRPr="00104F7D">
        <w:rPr>
          <w:noProof/>
          <w:color w:val="FF0000"/>
          <w:highlight w:val="yellow"/>
          <w:lang w:eastAsia="cs-CZ"/>
        </w:rPr>
        <mc:AlternateContent>
          <mc:Choice Requires="wps">
            <w:drawing>
              <wp:anchor distT="0" distB="0" distL="114300" distR="114300" simplePos="0" relativeHeight="251658240" behindDoc="0" locked="0" layoutInCell="1" allowOverlap="1" wp14:anchorId="6072A662" wp14:editId="1B69C103">
                <wp:simplePos x="0" y="0"/>
                <wp:positionH relativeFrom="column">
                  <wp:posOffset>4890135</wp:posOffset>
                </wp:positionH>
                <wp:positionV relativeFrom="paragraph">
                  <wp:posOffset>3114675</wp:posOffset>
                </wp:positionV>
                <wp:extent cx="714375" cy="209550"/>
                <wp:effectExtent l="0" t="0" r="0" b="0"/>
                <wp:wrapNone/>
                <wp:docPr id="8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0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7719777" id="Rectangle 26" o:spid="_x0000_s1026" style="position:absolute;margin-left:385.05pt;margin-top:245.25pt;width:56.25pt;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" stroked="f"/>
            </w:pict>
          </mc:Fallback>
        </mc:AlternateContent>
      </w:r>
      <w:r w:rsidR="006C3057">
        <w:rPr>
          <w:noProof/>
        </w:rPr>
        <w:drawing>
          <wp:inline distT="0" distB="0" distL="0" distR="0" wp14:anchorId="779A42E7" wp14:editId="4A7B46AA">
            <wp:extent cx="5760720" cy="3615690"/>
            <wp:effectExtent l="0" t="0" r="0" b="3810"/>
            <wp:docPr id="11527671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76711" name=""/>
                    <pic:cNvPicPr/>
                  </pic:nvPicPr>
                  <pic:blipFill rotWithShape="1">
                    <a:blip r:embed="rId14"/>
                    <a:srcRect t="11225"/>
                    <a:stretch>
                      <a:fillRect/>
                    </a:stretch>
                  </pic:blipFill>
                  <pic:spPr bwMode="auto">
                    <a:xfrm>
                      <a:off x="0" y="0"/>
                      <a:ext cx="5760720" cy="3615690"/>
                    </a:xfrm>
                    <a:prstGeom prst="rect">
                      <a:avLst/>
                    </a:prstGeom>
                    <a:ln>
                      <a:noFill/>
                    </a:ln>
                    <a:extLst>
                      <a:ext uri="{53640926-AAD7-44D8-BBD7-CCE9431645EC}">
                        <a14:shadowObscured xmlns:a14="http://schemas.microsoft.com/office/drawing/2010/main"/>
                      </a:ext>
                    </a:extLst>
                  </pic:spPr>
                </pic:pic>
              </a:graphicData>
            </a:graphic>
          </wp:inline>
        </w:drawing>
      </w:r>
    </w:p>
    <w:p w14:paraId="5E800FDF" w14:textId="77777777" w:rsidR="009A4681" w:rsidRPr="006C3057" w:rsidRDefault="009A4681" w:rsidP="007C4955">
      <w:pPr>
        <w:contextualSpacing/>
        <w:rPr>
          <w:i/>
          <w:color w:val="000000" w:themeColor="text1"/>
          <w:sz w:val="20"/>
          <w:szCs w:val="20"/>
        </w:rPr>
      </w:pPr>
      <w:r w:rsidRPr="006C3057">
        <w:rPr>
          <w:i/>
          <w:color w:val="000000" w:themeColor="text1"/>
          <w:sz w:val="20"/>
          <w:szCs w:val="20"/>
        </w:rPr>
        <w:t>Pramen: ČHMÚ</w:t>
      </w:r>
    </w:p>
    <w:p w14:paraId="6C7714FA" w14:textId="77777777" w:rsidR="000A3913" w:rsidRDefault="000A3913" w:rsidP="00815BB4">
      <w:pPr>
        <w:contextualSpacing/>
        <w:rPr>
          <w:b/>
          <w:highlight w:val="yellow"/>
        </w:rPr>
      </w:pPr>
    </w:p>
    <w:p w14:paraId="0F1712B6" w14:textId="77777777" w:rsidR="00CE1394" w:rsidRPr="00553CF4" w:rsidRDefault="00CE1394" w:rsidP="00CE1394">
      <w:pPr>
        <w:rPr>
          <w:rFonts w:cs="Arial"/>
          <w:b/>
          <w:i/>
          <w:iCs/>
        </w:rPr>
      </w:pPr>
      <w:r w:rsidRPr="00553CF4">
        <w:rPr>
          <w:rFonts w:cs="Arial"/>
          <w:b/>
          <w:i/>
          <w:iCs/>
        </w:rPr>
        <w:t>Srážkové poměry</w:t>
      </w:r>
    </w:p>
    <w:p w14:paraId="072AC6BE" w14:textId="77777777" w:rsidR="00CE1394" w:rsidRDefault="00CE1394" w:rsidP="00BD6757">
      <w:pPr>
        <w:rPr>
          <w:lang w:eastAsia="cs-CZ"/>
        </w:rPr>
      </w:pPr>
    </w:p>
    <w:p w14:paraId="2C9B1CF9" w14:textId="17BA4DCE" w:rsidR="00CE1394" w:rsidRDefault="00BD6757" w:rsidP="00BD6757">
      <w:pPr>
        <w:rPr>
          <w:lang w:eastAsia="cs-CZ"/>
        </w:rPr>
      </w:pPr>
      <w:r w:rsidRPr="00CE1394">
        <w:rPr>
          <w:b/>
          <w:bCs/>
          <w:lang w:eastAsia="cs-CZ"/>
        </w:rPr>
        <w:t xml:space="preserve">Srážkově byl rok 2025 na území ČR podnormální, průměrný roční úhrn srážek na našem území 571 mm představuje 83 % normálu 1991–2020. Jedná se tak o 7. nejnižší roční úhrn zaznamenaný v období od roku 1961. U většiny měsíců roku byl průměrný srážkový úhrn na území ČR nižší než normál 1991–2020. Vyšší </w:t>
      </w:r>
      <w:proofErr w:type="gramStart"/>
      <w:r w:rsidRPr="00CE1394">
        <w:rPr>
          <w:b/>
          <w:bCs/>
          <w:lang w:eastAsia="cs-CZ"/>
        </w:rPr>
        <w:t>úhrn</w:t>
      </w:r>
      <w:proofErr w:type="gramEnd"/>
      <w:r w:rsidRPr="00CE1394">
        <w:rPr>
          <w:b/>
          <w:bCs/>
          <w:lang w:eastAsia="cs-CZ"/>
        </w:rPr>
        <w:t xml:space="preserve"> než normál byl zaznamenán pouze v měsících červenec (107 % normálu), září (148 % normálu) a listopad (111 % normálu).</w:t>
      </w:r>
      <w:r w:rsidRPr="00135994">
        <w:rPr>
          <w:lang w:eastAsia="cs-CZ"/>
        </w:rPr>
        <w:t xml:space="preserve"> </w:t>
      </w:r>
    </w:p>
    <w:p w14:paraId="5A700563" w14:textId="77777777" w:rsidR="00CE1394" w:rsidRDefault="00CE1394" w:rsidP="00BD6757">
      <w:pPr>
        <w:rPr>
          <w:lang w:eastAsia="cs-CZ"/>
        </w:rPr>
      </w:pPr>
    </w:p>
    <w:p w14:paraId="798C9405" w14:textId="55B34BCE" w:rsidR="00BD6757" w:rsidRPr="00135994" w:rsidRDefault="00BD6757" w:rsidP="00BD6757">
      <w:pPr>
        <w:rPr>
          <w:lang w:eastAsia="cs-CZ"/>
        </w:rPr>
      </w:pPr>
      <w:r w:rsidRPr="00135994">
        <w:rPr>
          <w:lang w:eastAsia="cs-CZ"/>
        </w:rPr>
        <w:t>Jako srážkově nadnormální však hodnotíme pouze září. Srážkově silně podnormální byl únor (30 % normálu), srpen byl podnormální (64 % normálu) a silně podnormální byl také prosinec (39 % normálu). Od začátku roku tak postupně narůstal srážkový deficit, vyšší srážkové úhrny v září přinesly pouze malé zmírnění.</w:t>
      </w:r>
    </w:p>
    <w:p w14:paraId="101071BF" w14:textId="77777777" w:rsidR="00CE1394" w:rsidRDefault="00CE1394" w:rsidP="00BD6757">
      <w:pPr>
        <w:rPr>
          <w:lang w:eastAsia="cs-CZ"/>
        </w:rPr>
      </w:pPr>
    </w:p>
    <w:p w14:paraId="21178DB0" w14:textId="504F5F86" w:rsidR="00BD6757" w:rsidRDefault="00BD6757" w:rsidP="00BD6757">
      <w:pPr>
        <w:rPr>
          <w:lang w:eastAsia="cs-CZ"/>
        </w:rPr>
      </w:pPr>
      <w:r w:rsidRPr="00135994">
        <w:rPr>
          <w:lang w:eastAsia="cs-CZ"/>
        </w:rPr>
        <w:t>Na území Čech spadlo v roce 2025 v průměru 554 mm srážek (81 % normálu), na území Moravy a Slezska to bylo 606 mm (88 % normálu). Ve všech krajích byl roční úhrn srážek nižší než normál 1991–2020. Nejvíce srážek ve srovnání s normálem spadlo v Jihomoravském (91 % normálu), naopak nejméně to bylo na západě a východě Čech v krajích Karlovarský, Plzeňský, Ústecký, Pardubický a Vysočina (méně než 80 % normálu).</w:t>
      </w:r>
    </w:p>
    <w:p w14:paraId="2562934C" w14:textId="77777777" w:rsidR="002E0FD7" w:rsidRPr="00104F7D" w:rsidRDefault="002E0FD7" w:rsidP="005A6BC2">
      <w:pPr>
        <w:spacing w:before="120"/>
        <w:rPr>
          <w:highlight w:val="yellow"/>
        </w:rPr>
      </w:pPr>
    </w:p>
    <w:p w14:paraId="225D39DB" w14:textId="77777777" w:rsidR="00116412" w:rsidRDefault="00116412" w:rsidP="007C4955">
      <w:pPr>
        <w:contextualSpacing/>
        <w:rPr>
          <w:b/>
          <w:i/>
          <w:highlight w:val="yellow"/>
        </w:rPr>
      </w:pPr>
    </w:p>
    <w:p w14:paraId="12F52D6D" w14:textId="77777777" w:rsidR="00116412" w:rsidRDefault="00116412" w:rsidP="007C4955">
      <w:pPr>
        <w:contextualSpacing/>
        <w:rPr>
          <w:b/>
          <w:i/>
          <w:highlight w:val="yellow"/>
        </w:rPr>
      </w:pPr>
    </w:p>
    <w:p w14:paraId="3C40BDDA" w14:textId="77777777" w:rsidR="00116412" w:rsidRDefault="00116412" w:rsidP="007C4955">
      <w:pPr>
        <w:contextualSpacing/>
        <w:rPr>
          <w:b/>
          <w:i/>
          <w:highlight w:val="yellow"/>
        </w:rPr>
      </w:pPr>
    </w:p>
    <w:p w14:paraId="56434884" w14:textId="77777777" w:rsidR="00116412" w:rsidRDefault="00116412" w:rsidP="007C4955">
      <w:pPr>
        <w:contextualSpacing/>
        <w:rPr>
          <w:b/>
          <w:i/>
          <w:highlight w:val="yellow"/>
        </w:rPr>
      </w:pPr>
    </w:p>
    <w:p w14:paraId="6C184BBA" w14:textId="77777777" w:rsidR="00116412" w:rsidRDefault="00116412" w:rsidP="007C4955">
      <w:pPr>
        <w:contextualSpacing/>
        <w:rPr>
          <w:b/>
          <w:i/>
          <w:highlight w:val="yellow"/>
        </w:rPr>
      </w:pPr>
    </w:p>
    <w:p w14:paraId="4BFCF5C8" w14:textId="77777777" w:rsidR="00116412" w:rsidRDefault="00116412" w:rsidP="007C4955">
      <w:pPr>
        <w:contextualSpacing/>
        <w:rPr>
          <w:b/>
          <w:i/>
          <w:highlight w:val="yellow"/>
        </w:rPr>
      </w:pPr>
    </w:p>
    <w:p w14:paraId="0B8DF2D8" w14:textId="77777777" w:rsidR="00116412" w:rsidRDefault="00116412" w:rsidP="007C4955">
      <w:pPr>
        <w:contextualSpacing/>
        <w:rPr>
          <w:b/>
          <w:i/>
          <w:highlight w:val="yellow"/>
        </w:rPr>
      </w:pPr>
    </w:p>
    <w:p w14:paraId="196C6AFB" w14:textId="77777777" w:rsidR="00116412" w:rsidRDefault="00116412" w:rsidP="007C4955">
      <w:pPr>
        <w:contextualSpacing/>
        <w:rPr>
          <w:b/>
          <w:i/>
          <w:highlight w:val="yellow"/>
        </w:rPr>
      </w:pPr>
    </w:p>
    <w:p w14:paraId="0ED03F7A" w14:textId="77777777" w:rsidR="00116412" w:rsidRDefault="00116412" w:rsidP="007C4955">
      <w:pPr>
        <w:contextualSpacing/>
        <w:rPr>
          <w:b/>
          <w:i/>
          <w:highlight w:val="yellow"/>
        </w:rPr>
      </w:pPr>
    </w:p>
    <w:p w14:paraId="72596B42" w14:textId="77777777" w:rsidR="00116412" w:rsidRDefault="00116412" w:rsidP="007C4955">
      <w:pPr>
        <w:contextualSpacing/>
        <w:rPr>
          <w:b/>
          <w:i/>
          <w:highlight w:val="yellow"/>
        </w:rPr>
      </w:pPr>
    </w:p>
    <w:p w14:paraId="07901ADB" w14:textId="661FF07A" w:rsidR="009A4681" w:rsidRPr="007F4740" w:rsidRDefault="009A4681" w:rsidP="007C4955">
      <w:pPr>
        <w:contextualSpacing/>
        <w:rPr>
          <w:b/>
          <w:i/>
        </w:rPr>
      </w:pPr>
      <w:r w:rsidRPr="007F4740">
        <w:rPr>
          <w:b/>
          <w:i/>
        </w:rPr>
        <w:lastRenderedPageBreak/>
        <w:t>Tabulka 1.1.</w:t>
      </w:r>
      <w:r w:rsidR="009F3320" w:rsidRPr="007F4740">
        <w:rPr>
          <w:b/>
          <w:i/>
        </w:rPr>
        <w:t>2</w:t>
      </w:r>
    </w:p>
    <w:p w14:paraId="3E62EA26" w14:textId="131F7C99" w:rsidR="009A4681" w:rsidRPr="007F4740" w:rsidRDefault="009A4681" w:rsidP="007A5338">
      <w:pPr>
        <w:spacing w:line="259" w:lineRule="auto"/>
        <w:rPr>
          <w:i/>
        </w:rPr>
      </w:pPr>
      <w:r w:rsidRPr="007F4740">
        <w:rPr>
          <w:b/>
          <w:i/>
        </w:rPr>
        <w:t>Obnovitelné vodní zdroje v letech 201</w:t>
      </w:r>
      <w:r w:rsidR="00664A40" w:rsidRPr="007F4740">
        <w:rPr>
          <w:b/>
          <w:i/>
        </w:rPr>
        <w:t>5</w:t>
      </w:r>
      <w:r w:rsidRPr="007F4740">
        <w:rPr>
          <w:b/>
          <w:i/>
        </w:rPr>
        <w:t>–20</w:t>
      </w:r>
      <w:r w:rsidR="004E7527" w:rsidRPr="007F4740">
        <w:rPr>
          <w:b/>
          <w:i/>
        </w:rPr>
        <w:t>2</w:t>
      </w:r>
      <w:r w:rsidR="009F7BAF" w:rsidRPr="007F4740">
        <w:rPr>
          <w:b/>
          <w:i/>
        </w:rPr>
        <w:t xml:space="preserve">5 </w:t>
      </w:r>
    </w:p>
    <w:tbl>
      <w:tblPr>
        <w:tblW w:w="5595" w:type="pct"/>
        <w:tblInd w:w="-569" w:type="dxa"/>
        <w:tblLayout w:type="fixed"/>
        <w:tblCellMar>
          <w:left w:w="70" w:type="dxa"/>
          <w:right w:w="70" w:type="dxa"/>
        </w:tblCellMar>
        <w:tblLook w:val="04A0" w:firstRow="1" w:lastRow="0" w:firstColumn="1" w:lastColumn="0" w:noHBand="0" w:noVBand="1"/>
      </w:tblPr>
      <w:tblGrid>
        <w:gridCol w:w="2834"/>
        <w:gridCol w:w="631"/>
        <w:gridCol w:w="633"/>
        <w:gridCol w:w="635"/>
        <w:gridCol w:w="687"/>
        <w:gridCol w:w="762"/>
        <w:gridCol w:w="762"/>
        <w:gridCol w:w="700"/>
        <w:gridCol w:w="713"/>
        <w:gridCol w:w="708"/>
        <w:gridCol w:w="852"/>
        <w:gridCol w:w="846"/>
      </w:tblGrid>
      <w:tr w:rsidR="007F4740" w:rsidRPr="007F4740" w14:paraId="304033FA" w14:textId="1F808CCF" w:rsidTr="007F4740">
        <w:trPr>
          <w:trHeight w:val="20"/>
        </w:trPr>
        <w:tc>
          <w:tcPr>
            <w:tcW w:w="1317" w:type="pct"/>
            <w:vMerge w:val="restart"/>
            <w:tcBorders>
              <w:top w:val="single" w:sz="8" w:space="0" w:color="auto"/>
              <w:left w:val="single" w:sz="8" w:space="0" w:color="auto"/>
              <w:bottom w:val="single" w:sz="4" w:space="0" w:color="000000"/>
              <w:right w:val="single" w:sz="4" w:space="0" w:color="auto"/>
            </w:tcBorders>
            <w:shd w:val="clear" w:color="000000" w:fill="A6A6A6"/>
            <w:noWrap/>
            <w:vAlign w:val="bottom"/>
            <w:hideMark/>
          </w:tcPr>
          <w:p w14:paraId="73BD7C2F" w14:textId="77777777" w:rsidR="007F4740" w:rsidRPr="007F4740" w:rsidRDefault="007F4740" w:rsidP="007C4955">
            <w:pPr>
              <w:contextualSpacing/>
              <w:jc w:val="center"/>
              <w:rPr>
                <w:rFonts w:eastAsia="Times New Roman" w:cs="Arial"/>
                <w:b/>
                <w:bCs/>
                <w:sz w:val="18"/>
                <w:szCs w:val="18"/>
                <w:lang w:eastAsia="cs-CZ"/>
              </w:rPr>
            </w:pPr>
            <w:r w:rsidRPr="007F4740">
              <w:rPr>
                <w:rFonts w:eastAsia="Times New Roman" w:cs="Arial"/>
                <w:b/>
                <w:bCs/>
                <w:sz w:val="18"/>
                <w:szCs w:val="18"/>
                <w:lang w:eastAsia="cs-CZ"/>
              </w:rPr>
              <w:t>Položka</w:t>
            </w:r>
          </w:p>
        </w:tc>
        <w:tc>
          <w:tcPr>
            <w:tcW w:w="3683" w:type="pct"/>
            <w:gridSpan w:val="11"/>
            <w:tcBorders>
              <w:top w:val="single" w:sz="8" w:space="0" w:color="auto"/>
              <w:left w:val="nil"/>
              <w:bottom w:val="single" w:sz="4" w:space="0" w:color="auto"/>
              <w:right w:val="single" w:sz="8" w:space="0" w:color="000000"/>
            </w:tcBorders>
            <w:shd w:val="clear" w:color="000000" w:fill="A6A6A6"/>
          </w:tcPr>
          <w:p w14:paraId="21A698F3" w14:textId="1B2CE95D" w:rsidR="007F4740" w:rsidRPr="007F4740" w:rsidRDefault="007F4740" w:rsidP="00081863">
            <w:pPr>
              <w:tabs>
                <w:tab w:val="left" w:pos="1380"/>
              </w:tabs>
              <w:contextualSpacing/>
              <w:jc w:val="center"/>
              <w:rPr>
                <w:rFonts w:eastAsia="Times New Roman" w:cs="Arial"/>
                <w:b/>
                <w:bCs/>
                <w:sz w:val="18"/>
                <w:szCs w:val="18"/>
                <w:lang w:eastAsia="cs-CZ"/>
              </w:rPr>
            </w:pPr>
            <w:r w:rsidRPr="007F4740">
              <w:rPr>
                <w:rFonts w:eastAsia="Times New Roman" w:cs="Arial"/>
                <w:b/>
                <w:bCs/>
                <w:sz w:val="18"/>
                <w:szCs w:val="18"/>
                <w:lang w:eastAsia="cs-CZ"/>
              </w:rPr>
              <w:t>Roční hodnoty (mil. m</w:t>
            </w:r>
            <w:r w:rsidRPr="007F4740">
              <w:rPr>
                <w:rFonts w:eastAsia="Times New Roman" w:cs="Arial"/>
                <w:b/>
                <w:bCs/>
                <w:sz w:val="18"/>
                <w:szCs w:val="18"/>
                <w:vertAlign w:val="superscript"/>
                <w:lang w:eastAsia="cs-CZ"/>
              </w:rPr>
              <w:t>3</w:t>
            </w:r>
            <w:r w:rsidRPr="007F4740">
              <w:rPr>
                <w:rFonts w:eastAsia="Times New Roman" w:cs="Arial"/>
                <w:b/>
                <w:bCs/>
                <w:sz w:val="18"/>
                <w:szCs w:val="18"/>
                <w:lang w:eastAsia="cs-CZ"/>
              </w:rPr>
              <w:t>)</w:t>
            </w:r>
          </w:p>
        </w:tc>
      </w:tr>
      <w:tr w:rsidR="00F6308A" w:rsidRPr="007F4740" w14:paraId="05B7DBFE" w14:textId="4F27A4EF" w:rsidTr="007F4740">
        <w:trPr>
          <w:trHeight w:val="20"/>
        </w:trPr>
        <w:tc>
          <w:tcPr>
            <w:tcW w:w="1317" w:type="pct"/>
            <w:vMerge/>
            <w:tcBorders>
              <w:top w:val="single" w:sz="8" w:space="0" w:color="auto"/>
              <w:left w:val="single" w:sz="8" w:space="0" w:color="auto"/>
              <w:bottom w:val="single" w:sz="4" w:space="0" w:color="000000"/>
              <w:right w:val="single" w:sz="4" w:space="0" w:color="auto"/>
            </w:tcBorders>
            <w:vAlign w:val="center"/>
            <w:hideMark/>
          </w:tcPr>
          <w:p w14:paraId="2A16C873" w14:textId="77777777" w:rsidR="00F6308A" w:rsidRPr="007F4740" w:rsidRDefault="00F6308A" w:rsidP="007C4955">
            <w:pPr>
              <w:contextualSpacing/>
              <w:rPr>
                <w:rFonts w:eastAsia="Times New Roman" w:cs="Arial"/>
                <w:b/>
                <w:bCs/>
                <w:sz w:val="18"/>
                <w:szCs w:val="18"/>
                <w:lang w:eastAsia="cs-CZ"/>
              </w:rPr>
            </w:pPr>
          </w:p>
        </w:tc>
        <w:tc>
          <w:tcPr>
            <w:tcW w:w="293" w:type="pct"/>
            <w:tcBorders>
              <w:top w:val="nil"/>
              <w:left w:val="nil"/>
              <w:bottom w:val="single" w:sz="4" w:space="0" w:color="auto"/>
              <w:right w:val="single" w:sz="4" w:space="0" w:color="auto"/>
            </w:tcBorders>
            <w:shd w:val="clear" w:color="000000" w:fill="A6A6A6"/>
            <w:noWrap/>
            <w:vAlign w:val="center"/>
          </w:tcPr>
          <w:p w14:paraId="4714BA52" w14:textId="77777777" w:rsidR="00F6308A" w:rsidRPr="007F4740" w:rsidRDefault="00F6308A" w:rsidP="007C4955">
            <w:pPr>
              <w:contextualSpacing/>
              <w:jc w:val="center"/>
              <w:rPr>
                <w:rFonts w:eastAsia="Times New Roman" w:cs="Arial"/>
                <w:b/>
                <w:bCs/>
                <w:sz w:val="18"/>
                <w:szCs w:val="18"/>
                <w:lang w:eastAsia="cs-CZ"/>
              </w:rPr>
            </w:pPr>
            <w:r w:rsidRPr="007F4740">
              <w:rPr>
                <w:rFonts w:eastAsia="Times New Roman" w:cs="Arial"/>
                <w:b/>
                <w:bCs/>
                <w:sz w:val="18"/>
                <w:szCs w:val="18"/>
                <w:lang w:eastAsia="cs-CZ"/>
              </w:rPr>
              <w:t>2015</w:t>
            </w:r>
          </w:p>
        </w:tc>
        <w:tc>
          <w:tcPr>
            <w:tcW w:w="294" w:type="pct"/>
            <w:tcBorders>
              <w:top w:val="nil"/>
              <w:left w:val="nil"/>
              <w:bottom w:val="single" w:sz="4" w:space="0" w:color="auto"/>
              <w:right w:val="single" w:sz="4" w:space="0" w:color="auto"/>
            </w:tcBorders>
            <w:shd w:val="clear" w:color="000000" w:fill="A6A6A6"/>
            <w:noWrap/>
            <w:vAlign w:val="center"/>
          </w:tcPr>
          <w:p w14:paraId="013CADC4" w14:textId="77777777" w:rsidR="00F6308A" w:rsidRPr="007F4740" w:rsidRDefault="00F6308A" w:rsidP="007C4955">
            <w:pPr>
              <w:contextualSpacing/>
              <w:jc w:val="center"/>
              <w:rPr>
                <w:rFonts w:eastAsia="Times New Roman" w:cs="Arial"/>
                <w:b/>
                <w:bCs/>
                <w:sz w:val="18"/>
                <w:szCs w:val="18"/>
                <w:lang w:eastAsia="cs-CZ"/>
              </w:rPr>
            </w:pPr>
            <w:r w:rsidRPr="007F4740">
              <w:rPr>
                <w:rFonts w:eastAsia="Times New Roman" w:cs="Arial"/>
                <w:b/>
                <w:bCs/>
                <w:sz w:val="18"/>
                <w:szCs w:val="18"/>
                <w:lang w:eastAsia="cs-CZ"/>
              </w:rPr>
              <w:t>2016</w:t>
            </w:r>
          </w:p>
        </w:tc>
        <w:tc>
          <w:tcPr>
            <w:tcW w:w="295" w:type="pct"/>
            <w:tcBorders>
              <w:top w:val="nil"/>
              <w:left w:val="nil"/>
              <w:bottom w:val="single" w:sz="4" w:space="0" w:color="auto"/>
              <w:right w:val="single" w:sz="4" w:space="0" w:color="auto"/>
            </w:tcBorders>
            <w:shd w:val="clear" w:color="000000" w:fill="A6A6A6"/>
            <w:noWrap/>
            <w:vAlign w:val="center"/>
          </w:tcPr>
          <w:p w14:paraId="0FE2E0BE" w14:textId="77777777" w:rsidR="00F6308A" w:rsidRPr="007F4740" w:rsidRDefault="00F6308A" w:rsidP="007C4955">
            <w:pPr>
              <w:contextualSpacing/>
              <w:jc w:val="center"/>
              <w:rPr>
                <w:rFonts w:eastAsia="Times New Roman" w:cs="Arial"/>
                <w:b/>
                <w:bCs/>
                <w:sz w:val="18"/>
                <w:szCs w:val="18"/>
                <w:lang w:eastAsia="cs-CZ"/>
              </w:rPr>
            </w:pPr>
            <w:r w:rsidRPr="007F4740">
              <w:rPr>
                <w:rFonts w:eastAsia="Times New Roman" w:cs="Arial"/>
                <w:b/>
                <w:bCs/>
                <w:sz w:val="18"/>
                <w:szCs w:val="18"/>
                <w:lang w:eastAsia="cs-CZ"/>
              </w:rPr>
              <w:t>2017</w:t>
            </w:r>
          </w:p>
        </w:tc>
        <w:tc>
          <w:tcPr>
            <w:tcW w:w="319" w:type="pct"/>
            <w:tcBorders>
              <w:top w:val="nil"/>
              <w:left w:val="nil"/>
              <w:bottom w:val="single" w:sz="4" w:space="0" w:color="auto"/>
              <w:right w:val="single" w:sz="4" w:space="0" w:color="auto"/>
            </w:tcBorders>
            <w:shd w:val="clear" w:color="000000" w:fill="A6A6A6"/>
            <w:noWrap/>
            <w:vAlign w:val="center"/>
          </w:tcPr>
          <w:p w14:paraId="0DD496C5" w14:textId="77777777" w:rsidR="00F6308A" w:rsidRPr="007F4740" w:rsidRDefault="00F6308A" w:rsidP="007C4955">
            <w:pPr>
              <w:contextualSpacing/>
              <w:jc w:val="center"/>
              <w:rPr>
                <w:rFonts w:eastAsia="Times New Roman" w:cs="Arial"/>
                <w:b/>
                <w:bCs/>
                <w:sz w:val="18"/>
                <w:szCs w:val="18"/>
                <w:lang w:eastAsia="cs-CZ"/>
              </w:rPr>
            </w:pPr>
            <w:r w:rsidRPr="007F4740">
              <w:rPr>
                <w:rFonts w:eastAsia="Times New Roman" w:cs="Arial"/>
                <w:b/>
                <w:bCs/>
                <w:sz w:val="18"/>
                <w:szCs w:val="18"/>
                <w:lang w:eastAsia="cs-CZ"/>
              </w:rPr>
              <w:t>2018</w:t>
            </w:r>
          </w:p>
        </w:tc>
        <w:tc>
          <w:tcPr>
            <w:tcW w:w="354" w:type="pct"/>
            <w:tcBorders>
              <w:top w:val="nil"/>
              <w:left w:val="nil"/>
              <w:bottom w:val="single" w:sz="4" w:space="0" w:color="auto"/>
              <w:right w:val="single" w:sz="8" w:space="0" w:color="auto"/>
            </w:tcBorders>
            <w:shd w:val="clear" w:color="000000" w:fill="A6A6A6"/>
            <w:noWrap/>
            <w:vAlign w:val="center"/>
          </w:tcPr>
          <w:p w14:paraId="2FA8B5F5" w14:textId="77777777" w:rsidR="00F6308A" w:rsidRPr="007F4740" w:rsidRDefault="00F6308A" w:rsidP="007C4955">
            <w:pPr>
              <w:contextualSpacing/>
              <w:jc w:val="center"/>
              <w:rPr>
                <w:rFonts w:eastAsia="Times New Roman" w:cs="Arial"/>
                <w:b/>
                <w:bCs/>
                <w:sz w:val="18"/>
                <w:szCs w:val="18"/>
                <w:lang w:eastAsia="cs-CZ"/>
              </w:rPr>
            </w:pPr>
            <w:r w:rsidRPr="007F4740">
              <w:rPr>
                <w:rFonts w:eastAsia="Times New Roman" w:cs="Arial"/>
                <w:b/>
                <w:bCs/>
                <w:sz w:val="18"/>
                <w:szCs w:val="18"/>
                <w:lang w:eastAsia="cs-CZ"/>
              </w:rPr>
              <w:t>2019</w:t>
            </w:r>
          </w:p>
        </w:tc>
        <w:tc>
          <w:tcPr>
            <w:tcW w:w="354" w:type="pct"/>
            <w:tcBorders>
              <w:top w:val="nil"/>
              <w:left w:val="nil"/>
              <w:bottom w:val="single" w:sz="4" w:space="0" w:color="auto"/>
              <w:right w:val="single" w:sz="8" w:space="0" w:color="auto"/>
            </w:tcBorders>
            <w:shd w:val="clear" w:color="000000" w:fill="A6A6A6"/>
          </w:tcPr>
          <w:p w14:paraId="7659448A" w14:textId="77777777" w:rsidR="00F6308A" w:rsidRPr="007F4740" w:rsidRDefault="00F6308A" w:rsidP="007C4955">
            <w:pPr>
              <w:contextualSpacing/>
              <w:jc w:val="center"/>
              <w:rPr>
                <w:rFonts w:eastAsia="Times New Roman" w:cs="Arial"/>
                <w:b/>
                <w:bCs/>
                <w:sz w:val="18"/>
                <w:szCs w:val="18"/>
                <w:lang w:eastAsia="cs-CZ"/>
              </w:rPr>
            </w:pPr>
            <w:r w:rsidRPr="007F4740">
              <w:rPr>
                <w:b/>
                <w:sz w:val="18"/>
                <w:szCs w:val="18"/>
              </w:rPr>
              <w:t>2020</w:t>
            </w:r>
          </w:p>
        </w:tc>
        <w:tc>
          <w:tcPr>
            <w:tcW w:w="325" w:type="pct"/>
            <w:tcBorders>
              <w:top w:val="nil"/>
              <w:left w:val="nil"/>
              <w:bottom w:val="single" w:sz="4" w:space="0" w:color="auto"/>
              <w:right w:val="single" w:sz="8" w:space="0" w:color="auto"/>
            </w:tcBorders>
            <w:shd w:val="clear" w:color="000000" w:fill="A6A6A6"/>
          </w:tcPr>
          <w:p w14:paraId="59A76418" w14:textId="77777777" w:rsidR="00F6308A" w:rsidRPr="007F4740" w:rsidRDefault="00F6308A" w:rsidP="007C4955">
            <w:pPr>
              <w:contextualSpacing/>
              <w:jc w:val="center"/>
              <w:rPr>
                <w:b/>
                <w:sz w:val="18"/>
                <w:szCs w:val="18"/>
              </w:rPr>
            </w:pPr>
            <w:r w:rsidRPr="007F4740">
              <w:rPr>
                <w:b/>
                <w:sz w:val="18"/>
                <w:szCs w:val="18"/>
              </w:rPr>
              <w:t>2021</w:t>
            </w:r>
          </w:p>
        </w:tc>
        <w:tc>
          <w:tcPr>
            <w:tcW w:w="331" w:type="pct"/>
            <w:tcBorders>
              <w:top w:val="nil"/>
              <w:left w:val="nil"/>
              <w:bottom w:val="single" w:sz="4" w:space="0" w:color="auto"/>
              <w:right w:val="single" w:sz="8" w:space="0" w:color="auto"/>
            </w:tcBorders>
            <w:shd w:val="clear" w:color="000000" w:fill="A6A6A6"/>
          </w:tcPr>
          <w:p w14:paraId="34254D52" w14:textId="7D9B646F" w:rsidR="00F6308A" w:rsidRPr="007F4740" w:rsidRDefault="00F6308A" w:rsidP="007C4955">
            <w:pPr>
              <w:contextualSpacing/>
              <w:jc w:val="center"/>
              <w:rPr>
                <w:b/>
                <w:sz w:val="18"/>
                <w:szCs w:val="18"/>
              </w:rPr>
            </w:pPr>
            <w:r w:rsidRPr="007F4740">
              <w:rPr>
                <w:b/>
                <w:sz w:val="18"/>
                <w:szCs w:val="18"/>
              </w:rPr>
              <w:t>2022</w:t>
            </w:r>
          </w:p>
        </w:tc>
        <w:tc>
          <w:tcPr>
            <w:tcW w:w="329" w:type="pct"/>
            <w:tcBorders>
              <w:top w:val="nil"/>
              <w:left w:val="nil"/>
              <w:bottom w:val="single" w:sz="4" w:space="0" w:color="auto"/>
              <w:right w:val="single" w:sz="8" w:space="0" w:color="auto"/>
            </w:tcBorders>
            <w:shd w:val="clear" w:color="auto" w:fill="A6A6A6" w:themeFill="background1" w:themeFillShade="A6"/>
          </w:tcPr>
          <w:p w14:paraId="0EED56CB" w14:textId="18E5E2FB" w:rsidR="00F6308A" w:rsidRPr="007F4740" w:rsidRDefault="00F6308A" w:rsidP="007C4955">
            <w:pPr>
              <w:contextualSpacing/>
              <w:jc w:val="center"/>
              <w:rPr>
                <w:b/>
                <w:sz w:val="18"/>
                <w:szCs w:val="18"/>
              </w:rPr>
            </w:pPr>
            <w:r w:rsidRPr="007F4740">
              <w:rPr>
                <w:b/>
                <w:sz w:val="18"/>
                <w:szCs w:val="18"/>
              </w:rPr>
              <w:t>2023</w:t>
            </w:r>
          </w:p>
        </w:tc>
        <w:tc>
          <w:tcPr>
            <w:tcW w:w="396" w:type="pct"/>
            <w:tcBorders>
              <w:top w:val="nil"/>
              <w:left w:val="nil"/>
              <w:bottom w:val="single" w:sz="4" w:space="0" w:color="auto"/>
              <w:right w:val="single" w:sz="8" w:space="0" w:color="auto"/>
            </w:tcBorders>
            <w:shd w:val="clear" w:color="auto" w:fill="A6A6A6" w:themeFill="background1" w:themeFillShade="A6"/>
          </w:tcPr>
          <w:p w14:paraId="281125F1" w14:textId="0F6F8C4C" w:rsidR="00F6308A" w:rsidRPr="007F4740" w:rsidRDefault="00F6308A" w:rsidP="007C4955">
            <w:pPr>
              <w:contextualSpacing/>
              <w:jc w:val="center"/>
              <w:rPr>
                <w:b/>
                <w:sz w:val="18"/>
                <w:szCs w:val="18"/>
              </w:rPr>
            </w:pPr>
            <w:r w:rsidRPr="007F4740">
              <w:rPr>
                <w:b/>
                <w:sz w:val="18"/>
                <w:szCs w:val="18"/>
              </w:rPr>
              <w:t>2024</w:t>
            </w:r>
          </w:p>
        </w:tc>
        <w:tc>
          <w:tcPr>
            <w:tcW w:w="393" w:type="pct"/>
            <w:tcBorders>
              <w:top w:val="nil"/>
              <w:left w:val="nil"/>
              <w:bottom w:val="single" w:sz="4" w:space="0" w:color="auto"/>
              <w:right w:val="single" w:sz="8" w:space="0" w:color="auto"/>
            </w:tcBorders>
            <w:shd w:val="clear" w:color="auto" w:fill="A6A6A6" w:themeFill="background1" w:themeFillShade="A6"/>
          </w:tcPr>
          <w:p w14:paraId="3EEF48EE" w14:textId="6769AB67" w:rsidR="00F6308A" w:rsidRPr="007F4740" w:rsidRDefault="00F6308A" w:rsidP="007C4955">
            <w:pPr>
              <w:contextualSpacing/>
              <w:jc w:val="center"/>
              <w:rPr>
                <w:b/>
                <w:sz w:val="18"/>
                <w:szCs w:val="18"/>
              </w:rPr>
            </w:pPr>
            <w:r w:rsidRPr="007F4740">
              <w:rPr>
                <w:b/>
                <w:sz w:val="18"/>
                <w:szCs w:val="18"/>
              </w:rPr>
              <w:t>2025</w:t>
            </w:r>
          </w:p>
        </w:tc>
      </w:tr>
      <w:tr w:rsidR="007F4740" w:rsidRPr="007F4740" w14:paraId="6BC7609F" w14:textId="5BC330D9" w:rsidTr="007F4740">
        <w:trPr>
          <w:trHeight w:val="20"/>
        </w:trPr>
        <w:tc>
          <w:tcPr>
            <w:tcW w:w="1317" w:type="pct"/>
            <w:tcBorders>
              <w:top w:val="nil"/>
              <w:left w:val="single" w:sz="8" w:space="0" w:color="auto"/>
              <w:bottom w:val="single" w:sz="4" w:space="0" w:color="auto"/>
              <w:right w:val="single" w:sz="4" w:space="0" w:color="auto"/>
            </w:tcBorders>
            <w:shd w:val="clear" w:color="000000" w:fill="D9D9D9"/>
            <w:noWrap/>
            <w:vAlign w:val="bottom"/>
            <w:hideMark/>
          </w:tcPr>
          <w:p w14:paraId="797F48A1" w14:textId="77777777" w:rsidR="007F4740" w:rsidRPr="007F4740" w:rsidRDefault="007F4740" w:rsidP="007F4740">
            <w:pPr>
              <w:contextualSpacing/>
              <w:rPr>
                <w:rFonts w:eastAsia="Times New Roman" w:cs="Arial"/>
                <w:sz w:val="18"/>
                <w:szCs w:val="18"/>
                <w:lang w:eastAsia="cs-CZ"/>
              </w:rPr>
            </w:pPr>
            <w:r w:rsidRPr="007F4740">
              <w:rPr>
                <w:rFonts w:eastAsia="Times New Roman" w:cs="Arial"/>
                <w:sz w:val="18"/>
                <w:szCs w:val="18"/>
                <w:lang w:eastAsia="cs-CZ"/>
              </w:rPr>
              <w:t>Srážky</w:t>
            </w:r>
          </w:p>
        </w:tc>
        <w:tc>
          <w:tcPr>
            <w:tcW w:w="293" w:type="pct"/>
            <w:tcBorders>
              <w:top w:val="nil"/>
              <w:left w:val="nil"/>
              <w:bottom w:val="single" w:sz="4" w:space="0" w:color="auto"/>
              <w:right w:val="single" w:sz="4" w:space="0" w:color="auto"/>
            </w:tcBorders>
            <w:noWrap/>
            <w:vAlign w:val="center"/>
          </w:tcPr>
          <w:p w14:paraId="231252E2"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41 957</w:t>
            </w:r>
          </w:p>
        </w:tc>
        <w:tc>
          <w:tcPr>
            <w:tcW w:w="294" w:type="pct"/>
            <w:tcBorders>
              <w:top w:val="nil"/>
              <w:left w:val="nil"/>
              <w:bottom w:val="single" w:sz="4" w:space="0" w:color="auto"/>
              <w:right w:val="single" w:sz="4" w:space="0" w:color="auto"/>
            </w:tcBorders>
            <w:noWrap/>
            <w:vAlign w:val="center"/>
          </w:tcPr>
          <w:p w14:paraId="11026E76"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50 240</w:t>
            </w:r>
          </w:p>
        </w:tc>
        <w:tc>
          <w:tcPr>
            <w:tcW w:w="295" w:type="pct"/>
            <w:tcBorders>
              <w:top w:val="nil"/>
              <w:left w:val="nil"/>
              <w:bottom w:val="single" w:sz="4" w:space="0" w:color="auto"/>
              <w:right w:val="single" w:sz="4" w:space="0" w:color="auto"/>
            </w:tcBorders>
            <w:noWrap/>
            <w:vAlign w:val="center"/>
          </w:tcPr>
          <w:p w14:paraId="25546DD9"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53 868</w:t>
            </w:r>
          </w:p>
        </w:tc>
        <w:tc>
          <w:tcPr>
            <w:tcW w:w="319" w:type="pct"/>
            <w:tcBorders>
              <w:top w:val="nil"/>
              <w:left w:val="nil"/>
              <w:bottom w:val="single" w:sz="4" w:space="0" w:color="auto"/>
              <w:right w:val="single" w:sz="4" w:space="0" w:color="auto"/>
            </w:tcBorders>
            <w:noWrap/>
            <w:vAlign w:val="center"/>
          </w:tcPr>
          <w:p w14:paraId="3306F486"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41 170</w:t>
            </w:r>
          </w:p>
        </w:tc>
        <w:tc>
          <w:tcPr>
            <w:tcW w:w="354" w:type="pct"/>
            <w:tcBorders>
              <w:top w:val="nil"/>
              <w:left w:val="nil"/>
              <w:bottom w:val="single" w:sz="4" w:space="0" w:color="auto"/>
              <w:right w:val="single" w:sz="8" w:space="0" w:color="auto"/>
            </w:tcBorders>
            <w:noWrap/>
            <w:vAlign w:val="center"/>
          </w:tcPr>
          <w:p w14:paraId="2CDF9897"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50 004</w:t>
            </w:r>
          </w:p>
        </w:tc>
        <w:tc>
          <w:tcPr>
            <w:tcW w:w="354" w:type="pct"/>
            <w:tcBorders>
              <w:top w:val="nil"/>
              <w:left w:val="nil"/>
              <w:bottom w:val="single" w:sz="4" w:space="0" w:color="auto"/>
              <w:right w:val="single" w:sz="8" w:space="0" w:color="auto"/>
            </w:tcBorders>
          </w:tcPr>
          <w:p w14:paraId="18ED9F84" w14:textId="77777777" w:rsidR="007F4740" w:rsidRPr="007F4740" w:rsidRDefault="007F4740" w:rsidP="007F4740">
            <w:pPr>
              <w:contextualSpacing/>
              <w:jc w:val="right"/>
              <w:rPr>
                <w:rFonts w:eastAsia="Times New Roman" w:cs="Arial"/>
                <w:sz w:val="18"/>
                <w:szCs w:val="18"/>
                <w:lang w:eastAsia="cs-CZ"/>
              </w:rPr>
            </w:pPr>
            <w:r w:rsidRPr="007F4740">
              <w:rPr>
                <w:sz w:val="18"/>
                <w:szCs w:val="18"/>
              </w:rPr>
              <w:t>60 411</w:t>
            </w:r>
          </w:p>
        </w:tc>
        <w:tc>
          <w:tcPr>
            <w:tcW w:w="325" w:type="pct"/>
            <w:tcBorders>
              <w:top w:val="nil"/>
              <w:left w:val="nil"/>
              <w:bottom w:val="single" w:sz="4" w:space="0" w:color="auto"/>
              <w:right w:val="single" w:sz="8" w:space="0" w:color="auto"/>
            </w:tcBorders>
          </w:tcPr>
          <w:p w14:paraId="6F0D4971" w14:textId="5C328788" w:rsidR="007F4740" w:rsidRPr="007F4740" w:rsidRDefault="007F4740" w:rsidP="007F4740">
            <w:pPr>
              <w:contextualSpacing/>
              <w:jc w:val="right"/>
              <w:rPr>
                <w:sz w:val="18"/>
                <w:szCs w:val="18"/>
              </w:rPr>
            </w:pPr>
            <w:r w:rsidRPr="007F4740">
              <w:rPr>
                <w:sz w:val="18"/>
                <w:szCs w:val="18"/>
              </w:rPr>
              <w:t>53 674</w:t>
            </w:r>
          </w:p>
        </w:tc>
        <w:tc>
          <w:tcPr>
            <w:tcW w:w="331" w:type="pct"/>
            <w:tcBorders>
              <w:top w:val="nil"/>
              <w:left w:val="nil"/>
              <w:bottom w:val="single" w:sz="4" w:space="0" w:color="auto"/>
              <w:right w:val="single" w:sz="8" w:space="0" w:color="auto"/>
            </w:tcBorders>
            <w:vAlign w:val="center"/>
          </w:tcPr>
          <w:p w14:paraId="1C7E5F75" w14:textId="498BA98F" w:rsidR="007F4740" w:rsidRPr="007F4740" w:rsidRDefault="007F4740" w:rsidP="007F4740">
            <w:pPr>
              <w:contextualSpacing/>
              <w:jc w:val="right"/>
              <w:rPr>
                <w:sz w:val="18"/>
                <w:szCs w:val="18"/>
              </w:rPr>
            </w:pPr>
            <w:r w:rsidRPr="007F4740">
              <w:rPr>
                <w:rFonts w:cs="Arial"/>
                <w:sz w:val="18"/>
                <w:szCs w:val="18"/>
              </w:rPr>
              <w:t>49 984</w:t>
            </w:r>
          </w:p>
        </w:tc>
        <w:tc>
          <w:tcPr>
            <w:tcW w:w="329" w:type="pct"/>
            <w:tcBorders>
              <w:top w:val="nil"/>
              <w:left w:val="nil"/>
              <w:bottom w:val="single" w:sz="4" w:space="0" w:color="auto"/>
              <w:right w:val="single" w:sz="8" w:space="0" w:color="auto"/>
            </w:tcBorders>
          </w:tcPr>
          <w:p w14:paraId="7BA32034" w14:textId="7C4495F8" w:rsidR="007F4740" w:rsidRPr="007F4740" w:rsidRDefault="007F4740" w:rsidP="007F4740">
            <w:pPr>
              <w:contextualSpacing/>
              <w:jc w:val="right"/>
              <w:rPr>
                <w:rFonts w:cs="Arial"/>
                <w:sz w:val="18"/>
                <w:szCs w:val="18"/>
              </w:rPr>
            </w:pPr>
            <w:r w:rsidRPr="007F4740">
              <w:rPr>
                <w:sz w:val="18"/>
                <w:szCs w:val="18"/>
              </w:rPr>
              <w:t>57 150</w:t>
            </w:r>
          </w:p>
        </w:tc>
        <w:tc>
          <w:tcPr>
            <w:tcW w:w="396" w:type="pct"/>
            <w:tcBorders>
              <w:top w:val="nil"/>
              <w:left w:val="nil"/>
              <w:bottom w:val="single" w:sz="4" w:space="0" w:color="auto"/>
              <w:right w:val="single" w:sz="8" w:space="0" w:color="auto"/>
            </w:tcBorders>
            <w:vAlign w:val="center"/>
          </w:tcPr>
          <w:p w14:paraId="5C96DD71" w14:textId="2C979760" w:rsidR="007F4740" w:rsidRPr="007F4740" w:rsidRDefault="007F4740" w:rsidP="007F4740">
            <w:pPr>
              <w:contextualSpacing/>
              <w:jc w:val="right"/>
              <w:rPr>
                <w:sz w:val="18"/>
                <w:szCs w:val="18"/>
              </w:rPr>
            </w:pPr>
            <w:r w:rsidRPr="007F4740">
              <w:rPr>
                <w:rFonts w:cs="Arial"/>
                <w:sz w:val="18"/>
                <w:szCs w:val="18"/>
              </w:rPr>
              <w:t>60 724</w:t>
            </w:r>
          </w:p>
        </w:tc>
        <w:tc>
          <w:tcPr>
            <w:tcW w:w="393" w:type="pct"/>
            <w:tcBorders>
              <w:top w:val="nil"/>
              <w:left w:val="nil"/>
              <w:bottom w:val="single" w:sz="4" w:space="0" w:color="auto"/>
              <w:right w:val="single" w:sz="8" w:space="0" w:color="auto"/>
            </w:tcBorders>
          </w:tcPr>
          <w:p w14:paraId="6A35DEDA" w14:textId="1FD153F0" w:rsidR="007F4740" w:rsidRPr="007F4740" w:rsidRDefault="007F4740" w:rsidP="007F4740">
            <w:pPr>
              <w:contextualSpacing/>
              <w:jc w:val="right"/>
              <w:rPr>
                <w:rFonts w:cs="Arial"/>
                <w:sz w:val="18"/>
                <w:szCs w:val="18"/>
              </w:rPr>
            </w:pPr>
            <w:r w:rsidRPr="007F4740">
              <w:rPr>
                <w:sz w:val="18"/>
                <w:szCs w:val="18"/>
              </w:rPr>
              <w:t>44 744</w:t>
            </w:r>
          </w:p>
        </w:tc>
      </w:tr>
      <w:tr w:rsidR="007F4740" w:rsidRPr="007F4740" w14:paraId="148CFE95" w14:textId="22D850C2" w:rsidTr="007F4740">
        <w:trPr>
          <w:trHeight w:val="20"/>
        </w:trPr>
        <w:tc>
          <w:tcPr>
            <w:tcW w:w="1317" w:type="pct"/>
            <w:tcBorders>
              <w:top w:val="nil"/>
              <w:left w:val="single" w:sz="8" w:space="0" w:color="auto"/>
              <w:bottom w:val="single" w:sz="4" w:space="0" w:color="auto"/>
              <w:right w:val="single" w:sz="4" w:space="0" w:color="auto"/>
            </w:tcBorders>
            <w:shd w:val="clear" w:color="000000" w:fill="D9D9D9"/>
            <w:noWrap/>
            <w:vAlign w:val="bottom"/>
            <w:hideMark/>
          </w:tcPr>
          <w:p w14:paraId="5AD2953E" w14:textId="77777777" w:rsidR="007F4740" w:rsidRPr="007F4740" w:rsidRDefault="007F4740" w:rsidP="007F4740">
            <w:pPr>
              <w:contextualSpacing/>
              <w:rPr>
                <w:rFonts w:eastAsia="Times New Roman" w:cs="Arial"/>
                <w:sz w:val="18"/>
                <w:szCs w:val="18"/>
                <w:lang w:eastAsia="cs-CZ"/>
              </w:rPr>
            </w:pPr>
            <w:r w:rsidRPr="007F4740">
              <w:rPr>
                <w:rFonts w:eastAsia="Times New Roman" w:cs="Arial"/>
                <w:sz w:val="18"/>
                <w:szCs w:val="18"/>
                <w:lang w:eastAsia="cs-CZ"/>
              </w:rPr>
              <w:t>Evapotranspirace</w:t>
            </w:r>
          </w:p>
        </w:tc>
        <w:tc>
          <w:tcPr>
            <w:tcW w:w="293" w:type="pct"/>
            <w:tcBorders>
              <w:top w:val="nil"/>
              <w:left w:val="nil"/>
              <w:bottom w:val="single" w:sz="4" w:space="0" w:color="auto"/>
              <w:right w:val="single" w:sz="4" w:space="0" w:color="auto"/>
            </w:tcBorders>
            <w:noWrap/>
            <w:vAlign w:val="center"/>
          </w:tcPr>
          <w:p w14:paraId="5BB45180"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32 165</w:t>
            </w:r>
          </w:p>
        </w:tc>
        <w:tc>
          <w:tcPr>
            <w:tcW w:w="294" w:type="pct"/>
            <w:tcBorders>
              <w:top w:val="nil"/>
              <w:left w:val="nil"/>
              <w:bottom w:val="single" w:sz="4" w:space="0" w:color="auto"/>
              <w:right w:val="single" w:sz="4" w:space="0" w:color="auto"/>
            </w:tcBorders>
            <w:noWrap/>
            <w:vAlign w:val="center"/>
          </w:tcPr>
          <w:p w14:paraId="2FA77D82"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40 223</w:t>
            </w:r>
          </w:p>
        </w:tc>
        <w:tc>
          <w:tcPr>
            <w:tcW w:w="295" w:type="pct"/>
            <w:tcBorders>
              <w:top w:val="nil"/>
              <w:left w:val="nil"/>
              <w:bottom w:val="single" w:sz="4" w:space="0" w:color="auto"/>
              <w:right w:val="single" w:sz="4" w:space="0" w:color="auto"/>
            </w:tcBorders>
            <w:noWrap/>
            <w:vAlign w:val="center"/>
          </w:tcPr>
          <w:p w14:paraId="4786AE2E"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43 424</w:t>
            </w:r>
          </w:p>
        </w:tc>
        <w:tc>
          <w:tcPr>
            <w:tcW w:w="319" w:type="pct"/>
            <w:tcBorders>
              <w:top w:val="nil"/>
              <w:left w:val="nil"/>
              <w:bottom w:val="single" w:sz="4" w:space="0" w:color="auto"/>
              <w:right w:val="single" w:sz="4" w:space="0" w:color="auto"/>
            </w:tcBorders>
            <w:noWrap/>
            <w:vAlign w:val="center"/>
          </w:tcPr>
          <w:p w14:paraId="14D4FF45"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33 305</w:t>
            </w:r>
          </w:p>
        </w:tc>
        <w:tc>
          <w:tcPr>
            <w:tcW w:w="354" w:type="pct"/>
            <w:tcBorders>
              <w:top w:val="nil"/>
              <w:left w:val="nil"/>
              <w:bottom w:val="single" w:sz="4" w:space="0" w:color="auto"/>
              <w:right w:val="single" w:sz="8" w:space="0" w:color="auto"/>
            </w:tcBorders>
            <w:noWrap/>
            <w:vAlign w:val="center"/>
          </w:tcPr>
          <w:p w14:paraId="4A51A467"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40 369</w:t>
            </w:r>
          </w:p>
        </w:tc>
        <w:tc>
          <w:tcPr>
            <w:tcW w:w="354" w:type="pct"/>
            <w:tcBorders>
              <w:top w:val="nil"/>
              <w:left w:val="nil"/>
              <w:bottom w:val="single" w:sz="4" w:space="0" w:color="auto"/>
              <w:right w:val="single" w:sz="8" w:space="0" w:color="auto"/>
            </w:tcBorders>
          </w:tcPr>
          <w:p w14:paraId="391CCEF2" w14:textId="77777777" w:rsidR="007F4740" w:rsidRPr="007F4740" w:rsidRDefault="007F4740" w:rsidP="007F4740">
            <w:pPr>
              <w:contextualSpacing/>
              <w:jc w:val="right"/>
              <w:rPr>
                <w:rFonts w:eastAsia="Times New Roman" w:cs="Arial"/>
                <w:sz w:val="18"/>
                <w:szCs w:val="18"/>
                <w:lang w:eastAsia="cs-CZ"/>
              </w:rPr>
            </w:pPr>
            <w:r w:rsidRPr="007F4740">
              <w:rPr>
                <w:sz w:val="18"/>
                <w:szCs w:val="18"/>
              </w:rPr>
              <w:t>47 477</w:t>
            </w:r>
          </w:p>
        </w:tc>
        <w:tc>
          <w:tcPr>
            <w:tcW w:w="325" w:type="pct"/>
            <w:tcBorders>
              <w:top w:val="nil"/>
              <w:left w:val="nil"/>
              <w:bottom w:val="single" w:sz="4" w:space="0" w:color="auto"/>
              <w:right w:val="single" w:sz="8" w:space="0" w:color="auto"/>
            </w:tcBorders>
          </w:tcPr>
          <w:p w14:paraId="213BF75A" w14:textId="4F27D1B9" w:rsidR="007F4740" w:rsidRPr="007F4740" w:rsidRDefault="007F4740" w:rsidP="007F4740">
            <w:pPr>
              <w:contextualSpacing/>
              <w:jc w:val="right"/>
              <w:rPr>
                <w:sz w:val="18"/>
                <w:szCs w:val="18"/>
              </w:rPr>
            </w:pPr>
            <w:r w:rsidRPr="007F4740">
              <w:rPr>
                <w:sz w:val="18"/>
                <w:szCs w:val="18"/>
              </w:rPr>
              <w:t>41 719</w:t>
            </w:r>
          </w:p>
        </w:tc>
        <w:tc>
          <w:tcPr>
            <w:tcW w:w="331" w:type="pct"/>
            <w:tcBorders>
              <w:top w:val="nil"/>
              <w:left w:val="nil"/>
              <w:bottom w:val="single" w:sz="4" w:space="0" w:color="auto"/>
              <w:right w:val="single" w:sz="8" w:space="0" w:color="auto"/>
            </w:tcBorders>
            <w:vAlign w:val="center"/>
          </w:tcPr>
          <w:p w14:paraId="7EA770B7" w14:textId="0DF4C25F" w:rsidR="007F4740" w:rsidRPr="007F4740" w:rsidRDefault="007F4740" w:rsidP="007F4740">
            <w:pPr>
              <w:contextualSpacing/>
              <w:jc w:val="right"/>
              <w:rPr>
                <w:sz w:val="18"/>
                <w:szCs w:val="18"/>
              </w:rPr>
            </w:pPr>
            <w:r w:rsidRPr="007F4740">
              <w:rPr>
                <w:rFonts w:cs="Arial"/>
                <w:sz w:val="18"/>
                <w:szCs w:val="18"/>
              </w:rPr>
              <w:t>41 365</w:t>
            </w:r>
          </w:p>
        </w:tc>
        <w:tc>
          <w:tcPr>
            <w:tcW w:w="329" w:type="pct"/>
            <w:tcBorders>
              <w:top w:val="nil"/>
              <w:left w:val="nil"/>
              <w:bottom w:val="single" w:sz="4" w:space="0" w:color="auto"/>
              <w:right w:val="single" w:sz="8" w:space="0" w:color="auto"/>
            </w:tcBorders>
          </w:tcPr>
          <w:p w14:paraId="67AE1DE6" w14:textId="6E3A3C9C" w:rsidR="007F4740" w:rsidRPr="007F4740" w:rsidRDefault="007F4740" w:rsidP="007F4740">
            <w:pPr>
              <w:contextualSpacing/>
              <w:jc w:val="right"/>
              <w:rPr>
                <w:rFonts w:cs="Arial"/>
                <w:sz w:val="18"/>
                <w:szCs w:val="18"/>
              </w:rPr>
            </w:pPr>
            <w:r w:rsidRPr="007F4740">
              <w:rPr>
                <w:sz w:val="18"/>
                <w:szCs w:val="18"/>
              </w:rPr>
              <w:t>37 475</w:t>
            </w:r>
          </w:p>
        </w:tc>
        <w:tc>
          <w:tcPr>
            <w:tcW w:w="396" w:type="pct"/>
            <w:tcBorders>
              <w:top w:val="nil"/>
              <w:left w:val="nil"/>
              <w:bottom w:val="single" w:sz="4" w:space="0" w:color="auto"/>
              <w:right w:val="single" w:sz="8" w:space="0" w:color="auto"/>
            </w:tcBorders>
            <w:vAlign w:val="center"/>
          </w:tcPr>
          <w:p w14:paraId="1320F85B" w14:textId="4E970BBA" w:rsidR="007F4740" w:rsidRPr="007F4740" w:rsidRDefault="007F4740" w:rsidP="007F4740">
            <w:pPr>
              <w:contextualSpacing/>
              <w:jc w:val="right"/>
              <w:rPr>
                <w:sz w:val="18"/>
                <w:szCs w:val="18"/>
              </w:rPr>
            </w:pPr>
            <w:r w:rsidRPr="007F4740">
              <w:rPr>
                <w:rFonts w:cs="Arial"/>
                <w:sz w:val="18"/>
                <w:szCs w:val="18"/>
              </w:rPr>
              <w:t>43 386</w:t>
            </w:r>
          </w:p>
        </w:tc>
        <w:tc>
          <w:tcPr>
            <w:tcW w:w="393" w:type="pct"/>
            <w:tcBorders>
              <w:top w:val="nil"/>
              <w:left w:val="nil"/>
              <w:bottom w:val="single" w:sz="4" w:space="0" w:color="auto"/>
              <w:right w:val="single" w:sz="8" w:space="0" w:color="auto"/>
            </w:tcBorders>
          </w:tcPr>
          <w:p w14:paraId="5F9EF4D2" w14:textId="3C8DF2EF" w:rsidR="007F4740" w:rsidRPr="007F4740" w:rsidRDefault="007F4740" w:rsidP="007F4740">
            <w:pPr>
              <w:contextualSpacing/>
              <w:jc w:val="right"/>
              <w:rPr>
                <w:rFonts w:cs="Arial"/>
                <w:sz w:val="18"/>
                <w:szCs w:val="18"/>
              </w:rPr>
            </w:pPr>
            <w:r w:rsidRPr="007F4740">
              <w:rPr>
                <w:sz w:val="18"/>
                <w:szCs w:val="18"/>
              </w:rPr>
              <w:t>37 715</w:t>
            </w:r>
          </w:p>
        </w:tc>
      </w:tr>
      <w:tr w:rsidR="007F4740" w:rsidRPr="007F4740" w14:paraId="6A86B943" w14:textId="625B1CFB" w:rsidTr="007F4740">
        <w:trPr>
          <w:trHeight w:val="20"/>
        </w:trPr>
        <w:tc>
          <w:tcPr>
            <w:tcW w:w="1317" w:type="pct"/>
            <w:tcBorders>
              <w:top w:val="nil"/>
              <w:left w:val="single" w:sz="8" w:space="0" w:color="auto"/>
              <w:bottom w:val="single" w:sz="4" w:space="0" w:color="auto"/>
              <w:right w:val="single" w:sz="4" w:space="0" w:color="auto"/>
            </w:tcBorders>
            <w:shd w:val="clear" w:color="000000" w:fill="D9D9D9"/>
            <w:noWrap/>
            <w:vAlign w:val="bottom"/>
            <w:hideMark/>
          </w:tcPr>
          <w:p w14:paraId="000F472A" w14:textId="77777777" w:rsidR="007F4740" w:rsidRPr="007F4740" w:rsidRDefault="007F4740" w:rsidP="007F4740">
            <w:pPr>
              <w:contextualSpacing/>
              <w:rPr>
                <w:rFonts w:eastAsia="Times New Roman" w:cs="Arial"/>
                <w:sz w:val="18"/>
                <w:szCs w:val="18"/>
                <w:lang w:eastAsia="cs-CZ"/>
              </w:rPr>
            </w:pPr>
            <w:r w:rsidRPr="007F4740">
              <w:rPr>
                <w:rFonts w:eastAsia="Times New Roman" w:cs="Arial"/>
                <w:sz w:val="18"/>
                <w:szCs w:val="18"/>
                <w:lang w:eastAsia="cs-CZ"/>
              </w:rPr>
              <w:t>Roční přítok na území ČR z okolních států</w:t>
            </w:r>
          </w:p>
        </w:tc>
        <w:tc>
          <w:tcPr>
            <w:tcW w:w="293" w:type="pct"/>
            <w:tcBorders>
              <w:top w:val="nil"/>
              <w:left w:val="nil"/>
              <w:bottom w:val="single" w:sz="4" w:space="0" w:color="auto"/>
              <w:right w:val="single" w:sz="4" w:space="0" w:color="auto"/>
            </w:tcBorders>
            <w:noWrap/>
            <w:vAlign w:val="center"/>
          </w:tcPr>
          <w:p w14:paraId="6529D01A"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398</w:t>
            </w:r>
          </w:p>
        </w:tc>
        <w:tc>
          <w:tcPr>
            <w:tcW w:w="294" w:type="pct"/>
            <w:tcBorders>
              <w:top w:val="nil"/>
              <w:left w:val="nil"/>
              <w:bottom w:val="single" w:sz="4" w:space="0" w:color="auto"/>
              <w:right w:val="single" w:sz="4" w:space="0" w:color="auto"/>
            </w:tcBorders>
            <w:noWrap/>
            <w:vAlign w:val="center"/>
          </w:tcPr>
          <w:p w14:paraId="102157FB"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402</w:t>
            </w:r>
          </w:p>
        </w:tc>
        <w:tc>
          <w:tcPr>
            <w:tcW w:w="295" w:type="pct"/>
            <w:tcBorders>
              <w:top w:val="nil"/>
              <w:left w:val="nil"/>
              <w:bottom w:val="single" w:sz="4" w:space="0" w:color="auto"/>
              <w:right w:val="single" w:sz="4" w:space="0" w:color="auto"/>
            </w:tcBorders>
            <w:noWrap/>
            <w:vAlign w:val="center"/>
          </w:tcPr>
          <w:p w14:paraId="6A38F3D3"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339</w:t>
            </w:r>
          </w:p>
        </w:tc>
        <w:tc>
          <w:tcPr>
            <w:tcW w:w="319" w:type="pct"/>
            <w:tcBorders>
              <w:top w:val="nil"/>
              <w:left w:val="nil"/>
              <w:bottom w:val="single" w:sz="4" w:space="0" w:color="auto"/>
              <w:right w:val="single" w:sz="4" w:space="0" w:color="auto"/>
            </w:tcBorders>
            <w:noWrap/>
            <w:vAlign w:val="center"/>
          </w:tcPr>
          <w:p w14:paraId="25EED5F9"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320</w:t>
            </w:r>
          </w:p>
        </w:tc>
        <w:tc>
          <w:tcPr>
            <w:tcW w:w="354" w:type="pct"/>
            <w:tcBorders>
              <w:top w:val="nil"/>
              <w:left w:val="nil"/>
              <w:bottom w:val="single" w:sz="4" w:space="0" w:color="auto"/>
              <w:right w:val="single" w:sz="8" w:space="0" w:color="auto"/>
            </w:tcBorders>
            <w:noWrap/>
            <w:vAlign w:val="center"/>
          </w:tcPr>
          <w:p w14:paraId="56936FA5"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405</w:t>
            </w:r>
          </w:p>
        </w:tc>
        <w:tc>
          <w:tcPr>
            <w:tcW w:w="354" w:type="pct"/>
            <w:tcBorders>
              <w:top w:val="nil"/>
              <w:left w:val="nil"/>
              <w:bottom w:val="single" w:sz="4" w:space="0" w:color="auto"/>
              <w:right w:val="single" w:sz="8" w:space="0" w:color="auto"/>
            </w:tcBorders>
            <w:vAlign w:val="center"/>
          </w:tcPr>
          <w:p w14:paraId="712F0400" w14:textId="77777777" w:rsidR="007F4740" w:rsidRPr="007F4740" w:rsidRDefault="007F4740" w:rsidP="007F4740">
            <w:pPr>
              <w:contextualSpacing/>
              <w:jc w:val="right"/>
              <w:rPr>
                <w:rFonts w:eastAsia="Times New Roman" w:cs="Arial"/>
                <w:sz w:val="18"/>
                <w:szCs w:val="18"/>
                <w:lang w:eastAsia="cs-CZ"/>
              </w:rPr>
            </w:pPr>
            <w:r w:rsidRPr="007F4740">
              <w:rPr>
                <w:sz w:val="18"/>
                <w:szCs w:val="18"/>
              </w:rPr>
              <w:t>840</w:t>
            </w:r>
          </w:p>
        </w:tc>
        <w:tc>
          <w:tcPr>
            <w:tcW w:w="325" w:type="pct"/>
            <w:tcBorders>
              <w:top w:val="nil"/>
              <w:left w:val="nil"/>
              <w:bottom w:val="single" w:sz="4" w:space="0" w:color="auto"/>
              <w:right w:val="single" w:sz="8" w:space="0" w:color="auto"/>
            </w:tcBorders>
            <w:vAlign w:val="center"/>
          </w:tcPr>
          <w:p w14:paraId="33B965E4" w14:textId="77777777" w:rsidR="007F4740" w:rsidRPr="007F4740" w:rsidRDefault="007F4740" w:rsidP="007F4740">
            <w:pPr>
              <w:contextualSpacing/>
              <w:jc w:val="right"/>
              <w:rPr>
                <w:sz w:val="18"/>
                <w:szCs w:val="18"/>
              </w:rPr>
            </w:pPr>
            <w:r w:rsidRPr="007F4740">
              <w:rPr>
                <w:sz w:val="18"/>
                <w:szCs w:val="18"/>
              </w:rPr>
              <w:t>785</w:t>
            </w:r>
          </w:p>
        </w:tc>
        <w:tc>
          <w:tcPr>
            <w:tcW w:w="331" w:type="pct"/>
            <w:tcBorders>
              <w:top w:val="nil"/>
              <w:left w:val="nil"/>
              <w:bottom w:val="single" w:sz="4" w:space="0" w:color="auto"/>
              <w:right w:val="single" w:sz="8" w:space="0" w:color="auto"/>
            </w:tcBorders>
            <w:vAlign w:val="center"/>
          </w:tcPr>
          <w:p w14:paraId="15701512" w14:textId="01D16DD0" w:rsidR="007F4740" w:rsidRPr="007F4740" w:rsidRDefault="007F4740" w:rsidP="007F4740">
            <w:pPr>
              <w:contextualSpacing/>
              <w:jc w:val="right"/>
              <w:rPr>
                <w:sz w:val="18"/>
                <w:szCs w:val="18"/>
              </w:rPr>
            </w:pPr>
            <w:r w:rsidRPr="007F4740">
              <w:rPr>
                <w:rFonts w:cs="Arial"/>
                <w:sz w:val="18"/>
                <w:szCs w:val="18"/>
              </w:rPr>
              <w:t>593</w:t>
            </w:r>
          </w:p>
        </w:tc>
        <w:tc>
          <w:tcPr>
            <w:tcW w:w="329" w:type="pct"/>
            <w:tcBorders>
              <w:top w:val="nil"/>
              <w:left w:val="nil"/>
              <w:bottom w:val="single" w:sz="4" w:space="0" w:color="auto"/>
              <w:right w:val="single" w:sz="8" w:space="0" w:color="auto"/>
            </w:tcBorders>
          </w:tcPr>
          <w:p w14:paraId="1841FCED" w14:textId="4B340DB4" w:rsidR="007F4740" w:rsidRPr="007F4740" w:rsidRDefault="007F4740" w:rsidP="007F4740">
            <w:pPr>
              <w:contextualSpacing/>
              <w:jc w:val="right"/>
              <w:rPr>
                <w:rFonts w:cs="Arial"/>
                <w:sz w:val="18"/>
                <w:szCs w:val="18"/>
              </w:rPr>
            </w:pPr>
            <w:r w:rsidRPr="007F4740">
              <w:rPr>
                <w:sz w:val="18"/>
                <w:szCs w:val="18"/>
              </w:rPr>
              <w:t>819</w:t>
            </w:r>
          </w:p>
        </w:tc>
        <w:tc>
          <w:tcPr>
            <w:tcW w:w="396" w:type="pct"/>
            <w:tcBorders>
              <w:top w:val="nil"/>
              <w:left w:val="nil"/>
              <w:bottom w:val="single" w:sz="4" w:space="0" w:color="auto"/>
              <w:right w:val="single" w:sz="8" w:space="0" w:color="auto"/>
            </w:tcBorders>
            <w:vAlign w:val="center"/>
          </w:tcPr>
          <w:p w14:paraId="4339C686" w14:textId="13A9ADD9" w:rsidR="007F4740" w:rsidRPr="007F4740" w:rsidRDefault="007F4740" w:rsidP="007F4740">
            <w:pPr>
              <w:contextualSpacing/>
              <w:jc w:val="right"/>
              <w:rPr>
                <w:sz w:val="18"/>
                <w:szCs w:val="18"/>
              </w:rPr>
            </w:pPr>
            <w:r w:rsidRPr="007F4740">
              <w:rPr>
                <w:rFonts w:cs="Arial"/>
                <w:sz w:val="18"/>
                <w:szCs w:val="18"/>
              </w:rPr>
              <w:t>1 017</w:t>
            </w:r>
          </w:p>
        </w:tc>
        <w:tc>
          <w:tcPr>
            <w:tcW w:w="393" w:type="pct"/>
            <w:tcBorders>
              <w:top w:val="nil"/>
              <w:left w:val="nil"/>
              <w:bottom w:val="single" w:sz="4" w:space="0" w:color="auto"/>
              <w:right w:val="single" w:sz="8" w:space="0" w:color="auto"/>
            </w:tcBorders>
          </w:tcPr>
          <w:p w14:paraId="5C73A2CC" w14:textId="2CAD7F03" w:rsidR="007F4740" w:rsidRPr="007F4740" w:rsidRDefault="007F4740" w:rsidP="007F4740">
            <w:pPr>
              <w:contextualSpacing/>
              <w:jc w:val="right"/>
              <w:rPr>
                <w:rFonts w:cs="Arial"/>
                <w:sz w:val="18"/>
                <w:szCs w:val="18"/>
              </w:rPr>
            </w:pPr>
            <w:r w:rsidRPr="007F4740">
              <w:rPr>
                <w:sz w:val="18"/>
                <w:szCs w:val="18"/>
              </w:rPr>
              <w:t>431</w:t>
            </w:r>
          </w:p>
        </w:tc>
      </w:tr>
      <w:tr w:rsidR="007F4740" w:rsidRPr="007F4740" w14:paraId="0891E812" w14:textId="17D92A1D" w:rsidTr="007F4740">
        <w:trPr>
          <w:trHeight w:val="20"/>
        </w:trPr>
        <w:tc>
          <w:tcPr>
            <w:tcW w:w="1317" w:type="pct"/>
            <w:tcBorders>
              <w:top w:val="nil"/>
              <w:left w:val="single" w:sz="8" w:space="0" w:color="auto"/>
              <w:bottom w:val="single" w:sz="4" w:space="0" w:color="auto"/>
              <w:right w:val="single" w:sz="4" w:space="0" w:color="auto"/>
            </w:tcBorders>
            <w:shd w:val="clear" w:color="000000" w:fill="D9D9D9"/>
            <w:noWrap/>
            <w:vAlign w:val="bottom"/>
            <w:hideMark/>
          </w:tcPr>
          <w:p w14:paraId="4D7E2C96" w14:textId="77777777" w:rsidR="007F4740" w:rsidRPr="007F4740" w:rsidRDefault="007F4740" w:rsidP="007F4740">
            <w:pPr>
              <w:contextualSpacing/>
              <w:rPr>
                <w:rFonts w:eastAsia="Times New Roman" w:cs="Arial"/>
                <w:sz w:val="18"/>
                <w:szCs w:val="18"/>
                <w:lang w:eastAsia="cs-CZ"/>
              </w:rPr>
            </w:pPr>
            <w:r w:rsidRPr="007F4740">
              <w:rPr>
                <w:rFonts w:eastAsia="Times New Roman" w:cs="Arial"/>
                <w:sz w:val="18"/>
                <w:szCs w:val="18"/>
                <w:lang w:eastAsia="cs-CZ"/>
              </w:rPr>
              <w:t>Roční odtok z území ČR</w:t>
            </w:r>
          </w:p>
        </w:tc>
        <w:tc>
          <w:tcPr>
            <w:tcW w:w="293" w:type="pct"/>
            <w:tcBorders>
              <w:top w:val="nil"/>
              <w:left w:val="nil"/>
              <w:bottom w:val="single" w:sz="4" w:space="0" w:color="auto"/>
              <w:right w:val="single" w:sz="4" w:space="0" w:color="auto"/>
            </w:tcBorders>
            <w:noWrap/>
            <w:vAlign w:val="center"/>
          </w:tcPr>
          <w:p w14:paraId="7C8149E2"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10 190</w:t>
            </w:r>
          </w:p>
        </w:tc>
        <w:tc>
          <w:tcPr>
            <w:tcW w:w="294" w:type="pct"/>
            <w:tcBorders>
              <w:top w:val="nil"/>
              <w:left w:val="nil"/>
              <w:bottom w:val="single" w:sz="4" w:space="0" w:color="auto"/>
              <w:right w:val="single" w:sz="4" w:space="0" w:color="auto"/>
            </w:tcBorders>
            <w:noWrap/>
            <w:vAlign w:val="center"/>
          </w:tcPr>
          <w:p w14:paraId="06FC69AD"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10 419</w:t>
            </w:r>
          </w:p>
        </w:tc>
        <w:tc>
          <w:tcPr>
            <w:tcW w:w="295" w:type="pct"/>
            <w:tcBorders>
              <w:top w:val="nil"/>
              <w:left w:val="nil"/>
              <w:bottom w:val="single" w:sz="4" w:space="0" w:color="auto"/>
              <w:right w:val="single" w:sz="4" w:space="0" w:color="auto"/>
            </w:tcBorders>
            <w:noWrap/>
            <w:vAlign w:val="center"/>
          </w:tcPr>
          <w:p w14:paraId="1C6ECE04"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10 783</w:t>
            </w:r>
          </w:p>
        </w:tc>
        <w:tc>
          <w:tcPr>
            <w:tcW w:w="319" w:type="pct"/>
            <w:tcBorders>
              <w:top w:val="nil"/>
              <w:left w:val="nil"/>
              <w:bottom w:val="single" w:sz="4" w:space="0" w:color="auto"/>
              <w:right w:val="single" w:sz="4" w:space="0" w:color="auto"/>
            </w:tcBorders>
            <w:noWrap/>
            <w:vAlign w:val="center"/>
          </w:tcPr>
          <w:p w14:paraId="61E243D2"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8 185</w:t>
            </w:r>
          </w:p>
        </w:tc>
        <w:tc>
          <w:tcPr>
            <w:tcW w:w="354" w:type="pct"/>
            <w:tcBorders>
              <w:top w:val="nil"/>
              <w:left w:val="nil"/>
              <w:bottom w:val="single" w:sz="4" w:space="0" w:color="auto"/>
              <w:right w:val="single" w:sz="8" w:space="0" w:color="auto"/>
            </w:tcBorders>
            <w:noWrap/>
            <w:vAlign w:val="center"/>
          </w:tcPr>
          <w:p w14:paraId="4050BD5C"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10 040</w:t>
            </w:r>
          </w:p>
        </w:tc>
        <w:tc>
          <w:tcPr>
            <w:tcW w:w="354" w:type="pct"/>
            <w:tcBorders>
              <w:top w:val="nil"/>
              <w:left w:val="nil"/>
              <w:bottom w:val="single" w:sz="4" w:space="0" w:color="auto"/>
              <w:right w:val="single" w:sz="8" w:space="0" w:color="auto"/>
            </w:tcBorders>
          </w:tcPr>
          <w:p w14:paraId="747D45BD" w14:textId="77777777" w:rsidR="007F4740" w:rsidRPr="007F4740" w:rsidRDefault="007F4740" w:rsidP="007F4740">
            <w:pPr>
              <w:contextualSpacing/>
              <w:jc w:val="right"/>
              <w:rPr>
                <w:rFonts w:eastAsia="Times New Roman" w:cs="Arial"/>
                <w:sz w:val="18"/>
                <w:szCs w:val="18"/>
                <w:lang w:eastAsia="cs-CZ"/>
              </w:rPr>
            </w:pPr>
            <w:r w:rsidRPr="007F4740">
              <w:rPr>
                <w:sz w:val="18"/>
                <w:szCs w:val="18"/>
              </w:rPr>
              <w:t>13 774</w:t>
            </w:r>
          </w:p>
        </w:tc>
        <w:tc>
          <w:tcPr>
            <w:tcW w:w="325" w:type="pct"/>
            <w:tcBorders>
              <w:top w:val="nil"/>
              <w:left w:val="nil"/>
              <w:bottom w:val="single" w:sz="4" w:space="0" w:color="auto"/>
              <w:right w:val="single" w:sz="8" w:space="0" w:color="auto"/>
            </w:tcBorders>
          </w:tcPr>
          <w:p w14:paraId="04E96344" w14:textId="77777777" w:rsidR="007F4740" w:rsidRPr="007F4740" w:rsidRDefault="007F4740" w:rsidP="007F4740">
            <w:pPr>
              <w:contextualSpacing/>
              <w:jc w:val="right"/>
              <w:rPr>
                <w:sz w:val="18"/>
                <w:szCs w:val="18"/>
              </w:rPr>
            </w:pPr>
            <w:r w:rsidRPr="007F4740">
              <w:rPr>
                <w:sz w:val="18"/>
                <w:szCs w:val="18"/>
              </w:rPr>
              <w:t>14 035</w:t>
            </w:r>
          </w:p>
        </w:tc>
        <w:tc>
          <w:tcPr>
            <w:tcW w:w="331" w:type="pct"/>
            <w:tcBorders>
              <w:top w:val="nil"/>
              <w:left w:val="nil"/>
              <w:bottom w:val="single" w:sz="4" w:space="0" w:color="auto"/>
              <w:right w:val="single" w:sz="8" w:space="0" w:color="auto"/>
            </w:tcBorders>
            <w:vAlign w:val="center"/>
          </w:tcPr>
          <w:p w14:paraId="7798BE24" w14:textId="5A6E79FC" w:rsidR="007F4740" w:rsidRPr="007F4740" w:rsidRDefault="007F4740" w:rsidP="007F4740">
            <w:pPr>
              <w:contextualSpacing/>
              <w:jc w:val="right"/>
              <w:rPr>
                <w:sz w:val="18"/>
                <w:szCs w:val="18"/>
              </w:rPr>
            </w:pPr>
            <w:r w:rsidRPr="007F4740">
              <w:rPr>
                <w:rFonts w:cs="Arial"/>
                <w:sz w:val="18"/>
                <w:szCs w:val="18"/>
              </w:rPr>
              <w:t>10 043</w:t>
            </w:r>
          </w:p>
        </w:tc>
        <w:tc>
          <w:tcPr>
            <w:tcW w:w="329" w:type="pct"/>
            <w:tcBorders>
              <w:top w:val="nil"/>
              <w:left w:val="nil"/>
              <w:bottom w:val="single" w:sz="4" w:space="0" w:color="auto"/>
              <w:right w:val="single" w:sz="8" w:space="0" w:color="auto"/>
            </w:tcBorders>
          </w:tcPr>
          <w:p w14:paraId="6B83465F" w14:textId="26FE94EC" w:rsidR="007F4740" w:rsidRPr="007F4740" w:rsidRDefault="007F4740" w:rsidP="007F4740">
            <w:pPr>
              <w:contextualSpacing/>
              <w:jc w:val="right"/>
              <w:rPr>
                <w:rFonts w:cs="Arial"/>
                <w:sz w:val="18"/>
                <w:szCs w:val="18"/>
              </w:rPr>
            </w:pPr>
            <w:r w:rsidRPr="007F4740">
              <w:rPr>
                <w:sz w:val="18"/>
                <w:szCs w:val="18"/>
              </w:rPr>
              <w:t>13 864</w:t>
            </w:r>
          </w:p>
        </w:tc>
        <w:tc>
          <w:tcPr>
            <w:tcW w:w="396" w:type="pct"/>
            <w:tcBorders>
              <w:top w:val="nil"/>
              <w:left w:val="nil"/>
              <w:bottom w:val="single" w:sz="4" w:space="0" w:color="auto"/>
              <w:right w:val="single" w:sz="8" w:space="0" w:color="auto"/>
            </w:tcBorders>
            <w:vAlign w:val="center"/>
          </w:tcPr>
          <w:p w14:paraId="0A7BF57C" w14:textId="6F7F180C" w:rsidR="007F4740" w:rsidRPr="007F4740" w:rsidRDefault="007F4740" w:rsidP="007F4740">
            <w:pPr>
              <w:contextualSpacing/>
              <w:jc w:val="right"/>
              <w:rPr>
                <w:sz w:val="18"/>
                <w:szCs w:val="18"/>
              </w:rPr>
            </w:pPr>
            <w:r w:rsidRPr="007F4740">
              <w:rPr>
                <w:rFonts w:cs="Arial"/>
                <w:sz w:val="18"/>
                <w:szCs w:val="18"/>
              </w:rPr>
              <w:t>17 322</w:t>
            </w:r>
          </w:p>
        </w:tc>
        <w:tc>
          <w:tcPr>
            <w:tcW w:w="393" w:type="pct"/>
            <w:tcBorders>
              <w:top w:val="nil"/>
              <w:left w:val="nil"/>
              <w:bottom w:val="single" w:sz="4" w:space="0" w:color="auto"/>
              <w:right w:val="single" w:sz="8" w:space="0" w:color="auto"/>
            </w:tcBorders>
          </w:tcPr>
          <w:p w14:paraId="01314A7E" w14:textId="16EE54CF" w:rsidR="007F4740" w:rsidRPr="007F4740" w:rsidRDefault="007F4740" w:rsidP="007F4740">
            <w:pPr>
              <w:contextualSpacing/>
              <w:jc w:val="right"/>
              <w:rPr>
                <w:rFonts w:cs="Arial"/>
                <w:sz w:val="18"/>
                <w:szCs w:val="18"/>
              </w:rPr>
            </w:pPr>
            <w:r w:rsidRPr="007F4740">
              <w:rPr>
                <w:sz w:val="18"/>
                <w:szCs w:val="18"/>
              </w:rPr>
              <w:t>8 021</w:t>
            </w:r>
          </w:p>
        </w:tc>
      </w:tr>
      <w:tr w:rsidR="007F4740" w:rsidRPr="007F4740" w14:paraId="2141E347" w14:textId="368C6B98" w:rsidTr="007F4740">
        <w:trPr>
          <w:trHeight w:val="20"/>
        </w:trPr>
        <w:tc>
          <w:tcPr>
            <w:tcW w:w="1317" w:type="pct"/>
            <w:tcBorders>
              <w:top w:val="nil"/>
              <w:left w:val="single" w:sz="8" w:space="0" w:color="auto"/>
              <w:bottom w:val="single" w:sz="4" w:space="0" w:color="auto"/>
              <w:right w:val="single" w:sz="4" w:space="0" w:color="auto"/>
            </w:tcBorders>
            <w:shd w:val="clear" w:color="000000" w:fill="D9D9D9"/>
            <w:noWrap/>
            <w:vAlign w:val="bottom"/>
            <w:hideMark/>
          </w:tcPr>
          <w:p w14:paraId="6080AF23" w14:textId="04E1B2B3" w:rsidR="007F4740" w:rsidRPr="007F4740" w:rsidRDefault="007F4740" w:rsidP="007F4740">
            <w:pPr>
              <w:contextualSpacing/>
              <w:rPr>
                <w:rFonts w:eastAsia="Times New Roman" w:cs="Arial"/>
                <w:sz w:val="18"/>
                <w:szCs w:val="18"/>
                <w:lang w:eastAsia="cs-CZ"/>
              </w:rPr>
            </w:pPr>
            <w:r w:rsidRPr="007F4740">
              <w:rPr>
                <w:rFonts w:eastAsia="Times New Roman" w:cs="Arial"/>
                <w:sz w:val="18"/>
                <w:szCs w:val="18"/>
                <w:lang w:eastAsia="cs-CZ"/>
              </w:rPr>
              <w:t xml:space="preserve">Využitelní zdroje povrchových vod </w:t>
            </w:r>
            <w:r w:rsidRPr="007F4740">
              <w:rPr>
                <w:rFonts w:eastAsia="Times New Roman" w:cs="Arial"/>
                <w:sz w:val="18"/>
                <w:szCs w:val="18"/>
                <w:vertAlign w:val="superscript"/>
                <w:lang w:eastAsia="cs-CZ"/>
              </w:rPr>
              <w:t>1)</w:t>
            </w:r>
          </w:p>
        </w:tc>
        <w:tc>
          <w:tcPr>
            <w:tcW w:w="293" w:type="pct"/>
            <w:tcBorders>
              <w:top w:val="nil"/>
              <w:left w:val="nil"/>
              <w:bottom w:val="single" w:sz="4" w:space="0" w:color="auto"/>
              <w:right w:val="single" w:sz="4" w:space="0" w:color="auto"/>
            </w:tcBorders>
            <w:noWrap/>
            <w:vAlign w:val="center"/>
          </w:tcPr>
          <w:p w14:paraId="43CBBF2F"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3 591</w:t>
            </w:r>
          </w:p>
        </w:tc>
        <w:tc>
          <w:tcPr>
            <w:tcW w:w="294" w:type="pct"/>
            <w:tcBorders>
              <w:top w:val="nil"/>
              <w:left w:val="nil"/>
              <w:bottom w:val="single" w:sz="4" w:space="0" w:color="auto"/>
              <w:right w:val="single" w:sz="4" w:space="0" w:color="auto"/>
            </w:tcBorders>
            <w:noWrap/>
            <w:vAlign w:val="center"/>
          </w:tcPr>
          <w:p w14:paraId="7A72565F"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4 421</w:t>
            </w:r>
          </w:p>
        </w:tc>
        <w:tc>
          <w:tcPr>
            <w:tcW w:w="295" w:type="pct"/>
            <w:tcBorders>
              <w:top w:val="nil"/>
              <w:left w:val="nil"/>
              <w:bottom w:val="single" w:sz="4" w:space="0" w:color="auto"/>
              <w:right w:val="single" w:sz="4" w:space="0" w:color="auto"/>
            </w:tcBorders>
            <w:noWrap/>
            <w:vAlign w:val="center"/>
          </w:tcPr>
          <w:p w14:paraId="0F6874B9"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4 258</w:t>
            </w:r>
          </w:p>
        </w:tc>
        <w:tc>
          <w:tcPr>
            <w:tcW w:w="319" w:type="pct"/>
            <w:tcBorders>
              <w:top w:val="nil"/>
              <w:left w:val="nil"/>
              <w:bottom w:val="single" w:sz="4" w:space="0" w:color="auto"/>
              <w:right w:val="single" w:sz="4" w:space="0" w:color="auto"/>
            </w:tcBorders>
            <w:noWrap/>
            <w:vAlign w:val="center"/>
          </w:tcPr>
          <w:p w14:paraId="35529A93"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3 355</w:t>
            </w:r>
          </w:p>
        </w:tc>
        <w:tc>
          <w:tcPr>
            <w:tcW w:w="354" w:type="pct"/>
            <w:tcBorders>
              <w:top w:val="nil"/>
              <w:left w:val="nil"/>
              <w:bottom w:val="single" w:sz="4" w:space="0" w:color="auto"/>
              <w:right w:val="single" w:sz="8" w:space="0" w:color="auto"/>
            </w:tcBorders>
            <w:noWrap/>
            <w:vAlign w:val="center"/>
          </w:tcPr>
          <w:p w14:paraId="3D00CA2D"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3 732</w:t>
            </w:r>
          </w:p>
        </w:tc>
        <w:tc>
          <w:tcPr>
            <w:tcW w:w="354" w:type="pct"/>
            <w:tcBorders>
              <w:top w:val="nil"/>
              <w:left w:val="nil"/>
              <w:bottom w:val="single" w:sz="4" w:space="0" w:color="auto"/>
              <w:right w:val="single" w:sz="8" w:space="0" w:color="auto"/>
            </w:tcBorders>
          </w:tcPr>
          <w:p w14:paraId="6258F2D8" w14:textId="77777777" w:rsidR="007F4740" w:rsidRPr="007F4740" w:rsidRDefault="007F4740" w:rsidP="007F4740">
            <w:pPr>
              <w:contextualSpacing/>
              <w:jc w:val="right"/>
              <w:rPr>
                <w:rFonts w:eastAsia="Times New Roman" w:cs="Arial"/>
                <w:sz w:val="18"/>
                <w:szCs w:val="18"/>
                <w:lang w:eastAsia="cs-CZ"/>
              </w:rPr>
            </w:pPr>
            <w:r w:rsidRPr="007F4740">
              <w:rPr>
                <w:sz w:val="18"/>
                <w:szCs w:val="18"/>
              </w:rPr>
              <w:t>5 000</w:t>
            </w:r>
          </w:p>
        </w:tc>
        <w:tc>
          <w:tcPr>
            <w:tcW w:w="325" w:type="pct"/>
            <w:tcBorders>
              <w:top w:val="nil"/>
              <w:left w:val="nil"/>
              <w:bottom w:val="single" w:sz="4" w:space="0" w:color="auto"/>
              <w:right w:val="single" w:sz="8" w:space="0" w:color="auto"/>
            </w:tcBorders>
          </w:tcPr>
          <w:p w14:paraId="096921C9" w14:textId="77777777" w:rsidR="007F4740" w:rsidRPr="007F4740" w:rsidRDefault="007F4740" w:rsidP="007F4740">
            <w:pPr>
              <w:contextualSpacing/>
              <w:jc w:val="right"/>
              <w:rPr>
                <w:sz w:val="18"/>
                <w:szCs w:val="18"/>
              </w:rPr>
            </w:pPr>
            <w:r w:rsidRPr="007F4740">
              <w:rPr>
                <w:sz w:val="18"/>
                <w:szCs w:val="18"/>
              </w:rPr>
              <w:t>5 692</w:t>
            </w:r>
          </w:p>
        </w:tc>
        <w:tc>
          <w:tcPr>
            <w:tcW w:w="331" w:type="pct"/>
            <w:tcBorders>
              <w:top w:val="nil"/>
              <w:left w:val="nil"/>
              <w:bottom w:val="single" w:sz="4" w:space="0" w:color="auto"/>
              <w:right w:val="single" w:sz="8" w:space="0" w:color="auto"/>
            </w:tcBorders>
            <w:vAlign w:val="center"/>
          </w:tcPr>
          <w:p w14:paraId="16F2122F" w14:textId="5B4AA5F1" w:rsidR="007F4740" w:rsidRPr="007F4740" w:rsidRDefault="007F4740" w:rsidP="007F4740">
            <w:pPr>
              <w:contextualSpacing/>
              <w:jc w:val="right"/>
              <w:rPr>
                <w:sz w:val="18"/>
                <w:szCs w:val="18"/>
              </w:rPr>
            </w:pPr>
            <w:r w:rsidRPr="007F4740">
              <w:rPr>
                <w:rFonts w:cs="Arial"/>
                <w:sz w:val="18"/>
                <w:szCs w:val="18"/>
              </w:rPr>
              <w:t>4 771</w:t>
            </w:r>
          </w:p>
        </w:tc>
        <w:tc>
          <w:tcPr>
            <w:tcW w:w="329" w:type="pct"/>
            <w:tcBorders>
              <w:top w:val="nil"/>
              <w:left w:val="nil"/>
              <w:bottom w:val="single" w:sz="4" w:space="0" w:color="auto"/>
              <w:right w:val="single" w:sz="8" w:space="0" w:color="auto"/>
            </w:tcBorders>
          </w:tcPr>
          <w:p w14:paraId="0D5064AF" w14:textId="0FA3F61B" w:rsidR="007F4740" w:rsidRPr="007F4740" w:rsidRDefault="007F4740" w:rsidP="007F4740">
            <w:pPr>
              <w:contextualSpacing/>
              <w:jc w:val="right"/>
              <w:rPr>
                <w:rFonts w:cs="Arial"/>
                <w:sz w:val="18"/>
                <w:szCs w:val="18"/>
              </w:rPr>
            </w:pPr>
            <w:r w:rsidRPr="007F4740">
              <w:rPr>
                <w:sz w:val="18"/>
                <w:szCs w:val="18"/>
              </w:rPr>
              <w:t>3 974</w:t>
            </w:r>
          </w:p>
        </w:tc>
        <w:tc>
          <w:tcPr>
            <w:tcW w:w="396" w:type="pct"/>
            <w:tcBorders>
              <w:top w:val="nil"/>
              <w:left w:val="nil"/>
              <w:bottom w:val="single" w:sz="4" w:space="0" w:color="auto"/>
              <w:right w:val="single" w:sz="8" w:space="0" w:color="auto"/>
            </w:tcBorders>
            <w:vAlign w:val="center"/>
          </w:tcPr>
          <w:p w14:paraId="2DCBD7F0" w14:textId="79CA89BB" w:rsidR="007F4740" w:rsidRPr="007F4740" w:rsidRDefault="007F4740" w:rsidP="007F4740">
            <w:pPr>
              <w:contextualSpacing/>
              <w:jc w:val="right"/>
              <w:rPr>
                <w:sz w:val="18"/>
                <w:szCs w:val="18"/>
              </w:rPr>
            </w:pPr>
            <w:r w:rsidRPr="007F4740">
              <w:rPr>
                <w:rFonts w:cs="Arial"/>
                <w:sz w:val="18"/>
                <w:szCs w:val="18"/>
              </w:rPr>
              <w:t>4 605</w:t>
            </w:r>
          </w:p>
        </w:tc>
        <w:tc>
          <w:tcPr>
            <w:tcW w:w="393" w:type="pct"/>
            <w:tcBorders>
              <w:top w:val="nil"/>
              <w:left w:val="nil"/>
              <w:bottom w:val="single" w:sz="4" w:space="0" w:color="auto"/>
              <w:right w:val="single" w:sz="8" w:space="0" w:color="auto"/>
            </w:tcBorders>
          </w:tcPr>
          <w:p w14:paraId="44087604" w14:textId="50383DF3" w:rsidR="007F4740" w:rsidRPr="007F4740" w:rsidRDefault="007F4740" w:rsidP="007F4740">
            <w:pPr>
              <w:contextualSpacing/>
              <w:jc w:val="right"/>
              <w:rPr>
                <w:rFonts w:cs="Arial"/>
                <w:sz w:val="18"/>
                <w:szCs w:val="18"/>
              </w:rPr>
            </w:pPr>
            <w:r w:rsidRPr="007F4740">
              <w:rPr>
                <w:sz w:val="18"/>
                <w:szCs w:val="18"/>
              </w:rPr>
              <w:t>3 671</w:t>
            </w:r>
          </w:p>
        </w:tc>
      </w:tr>
      <w:tr w:rsidR="007F4740" w:rsidRPr="007F4740" w14:paraId="44E8AB5A" w14:textId="54CE78B9" w:rsidTr="007F4740">
        <w:trPr>
          <w:trHeight w:val="20"/>
        </w:trPr>
        <w:tc>
          <w:tcPr>
            <w:tcW w:w="1317" w:type="pct"/>
            <w:tcBorders>
              <w:top w:val="nil"/>
              <w:left w:val="single" w:sz="8" w:space="0" w:color="auto"/>
              <w:bottom w:val="single" w:sz="8" w:space="0" w:color="auto"/>
              <w:right w:val="single" w:sz="4" w:space="0" w:color="auto"/>
            </w:tcBorders>
            <w:shd w:val="clear" w:color="000000" w:fill="D9D9D9"/>
            <w:noWrap/>
            <w:vAlign w:val="bottom"/>
            <w:hideMark/>
          </w:tcPr>
          <w:p w14:paraId="77B8EAAA" w14:textId="77777777" w:rsidR="007F4740" w:rsidRPr="007F4740" w:rsidRDefault="007F4740" w:rsidP="007F4740">
            <w:pPr>
              <w:contextualSpacing/>
              <w:rPr>
                <w:rFonts w:eastAsia="Times New Roman" w:cs="Arial"/>
                <w:sz w:val="18"/>
                <w:szCs w:val="18"/>
                <w:lang w:eastAsia="cs-CZ"/>
              </w:rPr>
            </w:pPr>
            <w:r w:rsidRPr="007F4740">
              <w:rPr>
                <w:rFonts w:eastAsia="Times New Roman" w:cs="Arial"/>
                <w:sz w:val="18"/>
                <w:szCs w:val="18"/>
                <w:lang w:eastAsia="cs-CZ"/>
              </w:rPr>
              <w:t xml:space="preserve">Využitelné zdroje podzemních vod </w:t>
            </w:r>
          </w:p>
        </w:tc>
        <w:tc>
          <w:tcPr>
            <w:tcW w:w="293" w:type="pct"/>
            <w:tcBorders>
              <w:top w:val="nil"/>
              <w:left w:val="nil"/>
              <w:bottom w:val="single" w:sz="8" w:space="0" w:color="auto"/>
              <w:right w:val="single" w:sz="4" w:space="0" w:color="auto"/>
            </w:tcBorders>
            <w:noWrap/>
            <w:vAlign w:val="center"/>
          </w:tcPr>
          <w:p w14:paraId="0C0F6DBA"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939</w:t>
            </w:r>
          </w:p>
        </w:tc>
        <w:tc>
          <w:tcPr>
            <w:tcW w:w="294" w:type="pct"/>
            <w:tcBorders>
              <w:top w:val="nil"/>
              <w:left w:val="nil"/>
              <w:bottom w:val="single" w:sz="8" w:space="0" w:color="auto"/>
              <w:right w:val="single" w:sz="4" w:space="0" w:color="auto"/>
            </w:tcBorders>
            <w:noWrap/>
            <w:vAlign w:val="center"/>
          </w:tcPr>
          <w:p w14:paraId="46F136B0"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925</w:t>
            </w:r>
          </w:p>
        </w:tc>
        <w:tc>
          <w:tcPr>
            <w:tcW w:w="295" w:type="pct"/>
            <w:tcBorders>
              <w:top w:val="nil"/>
              <w:left w:val="nil"/>
              <w:bottom w:val="single" w:sz="8" w:space="0" w:color="auto"/>
              <w:right w:val="single" w:sz="4" w:space="0" w:color="auto"/>
            </w:tcBorders>
            <w:noWrap/>
            <w:vAlign w:val="center"/>
          </w:tcPr>
          <w:p w14:paraId="2ECBC7AB"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911</w:t>
            </w:r>
          </w:p>
        </w:tc>
        <w:tc>
          <w:tcPr>
            <w:tcW w:w="319" w:type="pct"/>
            <w:tcBorders>
              <w:top w:val="nil"/>
              <w:left w:val="nil"/>
              <w:bottom w:val="single" w:sz="8" w:space="0" w:color="auto"/>
              <w:right w:val="single" w:sz="4" w:space="0" w:color="auto"/>
            </w:tcBorders>
            <w:noWrap/>
            <w:vAlign w:val="center"/>
          </w:tcPr>
          <w:p w14:paraId="5AB7BAC5"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765</w:t>
            </w:r>
          </w:p>
        </w:tc>
        <w:tc>
          <w:tcPr>
            <w:tcW w:w="354" w:type="pct"/>
            <w:tcBorders>
              <w:top w:val="nil"/>
              <w:left w:val="nil"/>
              <w:bottom w:val="single" w:sz="8" w:space="0" w:color="auto"/>
              <w:right w:val="single" w:sz="8" w:space="0" w:color="auto"/>
            </w:tcBorders>
            <w:noWrap/>
            <w:vAlign w:val="center"/>
          </w:tcPr>
          <w:p w14:paraId="5584F4A0" w14:textId="77777777" w:rsidR="007F4740" w:rsidRPr="007F4740" w:rsidRDefault="007F4740" w:rsidP="007F4740">
            <w:pPr>
              <w:contextualSpacing/>
              <w:jc w:val="right"/>
              <w:rPr>
                <w:rFonts w:eastAsia="Times New Roman" w:cs="Arial"/>
                <w:sz w:val="18"/>
                <w:szCs w:val="18"/>
                <w:lang w:eastAsia="cs-CZ"/>
              </w:rPr>
            </w:pPr>
            <w:r w:rsidRPr="007F4740">
              <w:rPr>
                <w:rFonts w:eastAsia="Times New Roman" w:cs="Arial"/>
                <w:sz w:val="18"/>
                <w:szCs w:val="18"/>
                <w:lang w:eastAsia="cs-CZ"/>
              </w:rPr>
              <w:t>789</w:t>
            </w:r>
          </w:p>
        </w:tc>
        <w:tc>
          <w:tcPr>
            <w:tcW w:w="354" w:type="pct"/>
            <w:tcBorders>
              <w:top w:val="nil"/>
              <w:left w:val="nil"/>
              <w:bottom w:val="single" w:sz="8" w:space="0" w:color="auto"/>
              <w:right w:val="single" w:sz="8" w:space="0" w:color="auto"/>
            </w:tcBorders>
          </w:tcPr>
          <w:p w14:paraId="68A98EE4" w14:textId="77777777" w:rsidR="007F4740" w:rsidRPr="007F4740" w:rsidRDefault="007F4740" w:rsidP="007F4740">
            <w:pPr>
              <w:contextualSpacing/>
              <w:jc w:val="right"/>
              <w:rPr>
                <w:rFonts w:eastAsia="Times New Roman" w:cs="Arial"/>
                <w:sz w:val="18"/>
                <w:szCs w:val="18"/>
                <w:lang w:eastAsia="cs-CZ"/>
              </w:rPr>
            </w:pPr>
            <w:r w:rsidRPr="007F4740">
              <w:rPr>
                <w:sz w:val="18"/>
                <w:szCs w:val="18"/>
              </w:rPr>
              <w:t>978</w:t>
            </w:r>
          </w:p>
        </w:tc>
        <w:tc>
          <w:tcPr>
            <w:tcW w:w="325" w:type="pct"/>
            <w:tcBorders>
              <w:top w:val="nil"/>
              <w:left w:val="nil"/>
              <w:bottom w:val="single" w:sz="8" w:space="0" w:color="auto"/>
              <w:right w:val="single" w:sz="8" w:space="0" w:color="auto"/>
            </w:tcBorders>
          </w:tcPr>
          <w:p w14:paraId="4BDBA8D4" w14:textId="77777777" w:rsidR="007F4740" w:rsidRPr="007F4740" w:rsidRDefault="007F4740" w:rsidP="007F4740">
            <w:pPr>
              <w:contextualSpacing/>
              <w:jc w:val="right"/>
              <w:rPr>
                <w:sz w:val="18"/>
                <w:szCs w:val="18"/>
              </w:rPr>
            </w:pPr>
            <w:r w:rsidRPr="007F4740">
              <w:rPr>
                <w:sz w:val="18"/>
                <w:szCs w:val="18"/>
              </w:rPr>
              <w:t>1 213</w:t>
            </w:r>
          </w:p>
        </w:tc>
        <w:tc>
          <w:tcPr>
            <w:tcW w:w="331" w:type="pct"/>
            <w:tcBorders>
              <w:top w:val="nil"/>
              <w:left w:val="nil"/>
              <w:bottom w:val="single" w:sz="8" w:space="0" w:color="auto"/>
              <w:right w:val="single" w:sz="8" w:space="0" w:color="auto"/>
            </w:tcBorders>
            <w:vAlign w:val="center"/>
          </w:tcPr>
          <w:p w14:paraId="0BC49967" w14:textId="59CD06E2" w:rsidR="007F4740" w:rsidRPr="007F4740" w:rsidRDefault="007F4740" w:rsidP="007F4740">
            <w:pPr>
              <w:contextualSpacing/>
              <w:jc w:val="right"/>
              <w:rPr>
                <w:sz w:val="18"/>
                <w:szCs w:val="18"/>
              </w:rPr>
            </w:pPr>
            <w:r w:rsidRPr="007F4740">
              <w:rPr>
                <w:rFonts w:cs="Arial"/>
                <w:sz w:val="18"/>
                <w:szCs w:val="18"/>
              </w:rPr>
              <w:t>817</w:t>
            </w:r>
          </w:p>
        </w:tc>
        <w:tc>
          <w:tcPr>
            <w:tcW w:w="329" w:type="pct"/>
            <w:tcBorders>
              <w:top w:val="nil"/>
              <w:left w:val="nil"/>
              <w:bottom w:val="single" w:sz="8" w:space="0" w:color="auto"/>
              <w:right w:val="single" w:sz="8" w:space="0" w:color="auto"/>
            </w:tcBorders>
          </w:tcPr>
          <w:p w14:paraId="27E09214" w14:textId="20253184" w:rsidR="007F4740" w:rsidRPr="007F4740" w:rsidRDefault="007F4740" w:rsidP="007F4740">
            <w:pPr>
              <w:contextualSpacing/>
              <w:jc w:val="right"/>
              <w:rPr>
                <w:rFonts w:cs="Arial"/>
                <w:sz w:val="18"/>
                <w:szCs w:val="18"/>
              </w:rPr>
            </w:pPr>
            <w:r w:rsidRPr="007F4740">
              <w:rPr>
                <w:sz w:val="18"/>
                <w:szCs w:val="18"/>
              </w:rPr>
              <w:t>962</w:t>
            </w:r>
          </w:p>
        </w:tc>
        <w:tc>
          <w:tcPr>
            <w:tcW w:w="396" w:type="pct"/>
            <w:tcBorders>
              <w:top w:val="nil"/>
              <w:left w:val="nil"/>
              <w:bottom w:val="single" w:sz="8" w:space="0" w:color="auto"/>
              <w:right w:val="single" w:sz="8" w:space="0" w:color="auto"/>
            </w:tcBorders>
            <w:vAlign w:val="center"/>
          </w:tcPr>
          <w:p w14:paraId="5180B58D" w14:textId="6A12B10F" w:rsidR="007F4740" w:rsidRPr="007F4740" w:rsidRDefault="007F4740" w:rsidP="007F4740">
            <w:pPr>
              <w:contextualSpacing/>
              <w:jc w:val="right"/>
              <w:rPr>
                <w:sz w:val="18"/>
                <w:szCs w:val="18"/>
              </w:rPr>
            </w:pPr>
            <w:r w:rsidRPr="007F4740">
              <w:rPr>
                <w:rFonts w:cs="Arial"/>
                <w:sz w:val="18"/>
                <w:szCs w:val="18"/>
              </w:rPr>
              <w:t>1 436</w:t>
            </w:r>
          </w:p>
        </w:tc>
        <w:tc>
          <w:tcPr>
            <w:tcW w:w="393" w:type="pct"/>
            <w:tcBorders>
              <w:top w:val="nil"/>
              <w:left w:val="nil"/>
              <w:bottom w:val="single" w:sz="8" w:space="0" w:color="auto"/>
              <w:right w:val="single" w:sz="8" w:space="0" w:color="auto"/>
            </w:tcBorders>
          </w:tcPr>
          <w:p w14:paraId="0FFA2880" w14:textId="18AD6853" w:rsidR="007F4740" w:rsidRPr="007F4740" w:rsidRDefault="007F4740" w:rsidP="007F4740">
            <w:pPr>
              <w:contextualSpacing/>
              <w:jc w:val="right"/>
              <w:rPr>
                <w:rFonts w:cs="Arial"/>
                <w:sz w:val="18"/>
                <w:szCs w:val="18"/>
              </w:rPr>
            </w:pPr>
            <w:r w:rsidRPr="007F4740">
              <w:rPr>
                <w:sz w:val="18"/>
                <w:szCs w:val="18"/>
              </w:rPr>
              <w:t>753</w:t>
            </w:r>
          </w:p>
        </w:tc>
      </w:tr>
    </w:tbl>
    <w:p w14:paraId="2D026979" w14:textId="77777777" w:rsidR="00C12512" w:rsidRPr="007F4740" w:rsidRDefault="00C12512" w:rsidP="007C4955">
      <w:pPr>
        <w:contextualSpacing/>
        <w:rPr>
          <w:rFonts w:cs="Arial"/>
          <w:i/>
          <w:sz w:val="20"/>
          <w:szCs w:val="20"/>
        </w:rPr>
      </w:pPr>
      <w:r w:rsidRPr="007F4740">
        <w:rPr>
          <w:rFonts w:cs="Arial"/>
          <w:i/>
          <w:sz w:val="20"/>
          <w:szCs w:val="20"/>
        </w:rPr>
        <w:t>Pramen: ČHMÚ</w:t>
      </w:r>
    </w:p>
    <w:p w14:paraId="50950F43" w14:textId="55E9870C" w:rsidR="005856AB" w:rsidRPr="007F4740" w:rsidRDefault="005856AB" w:rsidP="007C4955">
      <w:pPr>
        <w:contextualSpacing/>
        <w:rPr>
          <w:rFonts w:cs="Arial"/>
          <w:i/>
          <w:sz w:val="20"/>
          <w:szCs w:val="20"/>
        </w:rPr>
      </w:pPr>
      <w:r w:rsidRPr="007F4740">
        <w:rPr>
          <w:rFonts w:cs="Arial"/>
          <w:i/>
          <w:sz w:val="20"/>
          <w:szCs w:val="20"/>
        </w:rPr>
        <w:t xml:space="preserve">Pozn.: </w:t>
      </w:r>
      <w:r w:rsidRPr="007F4740">
        <w:rPr>
          <w:rFonts w:cs="Arial"/>
          <w:i/>
          <w:sz w:val="20"/>
          <w:szCs w:val="20"/>
        </w:rPr>
        <w:tab/>
      </w:r>
      <w:r w:rsidR="00EE2E04" w:rsidRPr="007F4740">
        <w:rPr>
          <w:rFonts w:cs="Arial"/>
          <w:i/>
          <w:sz w:val="20"/>
          <w:szCs w:val="20"/>
          <w:vertAlign w:val="superscript"/>
        </w:rPr>
        <w:t>1</w:t>
      </w:r>
      <w:r w:rsidRPr="007F4740">
        <w:rPr>
          <w:rFonts w:cs="Arial"/>
          <w:i/>
          <w:sz w:val="20"/>
          <w:szCs w:val="20"/>
          <w:vertAlign w:val="superscript"/>
        </w:rPr>
        <w:t>)</w:t>
      </w:r>
      <w:r w:rsidRPr="007F4740">
        <w:rPr>
          <w:rFonts w:cs="Arial"/>
          <w:i/>
          <w:sz w:val="20"/>
          <w:szCs w:val="20"/>
        </w:rPr>
        <w:t xml:space="preserve"> </w:t>
      </w:r>
      <w:r w:rsidR="00ED7262" w:rsidRPr="007F4740">
        <w:rPr>
          <w:rFonts w:cs="Arial"/>
          <w:i/>
          <w:sz w:val="20"/>
          <w:szCs w:val="20"/>
        </w:rPr>
        <w:t xml:space="preserve">Proteklé množství vody odpovídající průtoku v hlavních povodích s </w:t>
      </w:r>
      <w:proofErr w:type="gramStart"/>
      <w:r w:rsidR="00ED7262" w:rsidRPr="007F4740">
        <w:rPr>
          <w:rFonts w:cs="Arial"/>
          <w:i/>
          <w:sz w:val="20"/>
          <w:szCs w:val="20"/>
        </w:rPr>
        <w:t>95%</w:t>
      </w:r>
      <w:proofErr w:type="gramEnd"/>
      <w:r w:rsidR="00ED7262" w:rsidRPr="007F4740">
        <w:rPr>
          <w:rFonts w:cs="Arial"/>
          <w:i/>
          <w:sz w:val="20"/>
          <w:szCs w:val="20"/>
        </w:rPr>
        <w:t xml:space="preserve"> zabezpečeností.</w:t>
      </w:r>
    </w:p>
    <w:p w14:paraId="0177620C" w14:textId="77777777" w:rsidR="00487726" w:rsidRPr="007F4740" w:rsidRDefault="00487726" w:rsidP="007C4955">
      <w:pPr>
        <w:contextualSpacing/>
        <w:rPr>
          <w:b/>
          <w:i/>
          <w:color w:val="FF0000"/>
        </w:rPr>
      </w:pPr>
    </w:p>
    <w:p w14:paraId="3B6A0945" w14:textId="77777777" w:rsidR="00A31417" w:rsidRPr="00104F7D" w:rsidRDefault="00A31417" w:rsidP="007C4955">
      <w:pPr>
        <w:contextualSpacing/>
        <w:rPr>
          <w:b/>
          <w:i/>
          <w:color w:val="000000" w:themeColor="text1"/>
          <w:highlight w:val="yellow"/>
        </w:rPr>
      </w:pPr>
    </w:p>
    <w:p w14:paraId="5BF91EA1" w14:textId="2B38C1A8" w:rsidR="005856AB" w:rsidRPr="007312CE" w:rsidRDefault="009A4681" w:rsidP="007C4955">
      <w:pPr>
        <w:contextualSpacing/>
        <w:rPr>
          <w:b/>
          <w:i/>
          <w:color w:val="000000" w:themeColor="text1"/>
        </w:rPr>
      </w:pPr>
      <w:r w:rsidRPr="007312CE">
        <w:rPr>
          <w:b/>
          <w:i/>
          <w:color w:val="000000" w:themeColor="text1"/>
        </w:rPr>
        <w:t xml:space="preserve">Graf 1.1.2 </w:t>
      </w:r>
    </w:p>
    <w:p w14:paraId="7F18F023" w14:textId="0B29662D" w:rsidR="009A4681" w:rsidRPr="007312CE" w:rsidRDefault="009A4681" w:rsidP="007C4955">
      <w:pPr>
        <w:contextualSpacing/>
        <w:rPr>
          <w:b/>
          <w:i/>
          <w:color w:val="000000" w:themeColor="text1"/>
        </w:rPr>
      </w:pPr>
      <w:r w:rsidRPr="007312CE">
        <w:rPr>
          <w:b/>
          <w:i/>
          <w:color w:val="000000" w:themeColor="text1"/>
        </w:rPr>
        <w:t>Průměrné měsíční srážky na území České republiky v roce 20</w:t>
      </w:r>
      <w:r w:rsidR="004E7527" w:rsidRPr="007312CE">
        <w:rPr>
          <w:b/>
          <w:i/>
          <w:color w:val="000000" w:themeColor="text1"/>
        </w:rPr>
        <w:t>2</w:t>
      </w:r>
      <w:r w:rsidR="007312CE">
        <w:rPr>
          <w:b/>
          <w:i/>
          <w:color w:val="000000" w:themeColor="text1"/>
        </w:rPr>
        <w:t>5</w:t>
      </w:r>
      <w:r w:rsidRPr="007312CE">
        <w:rPr>
          <w:b/>
          <w:i/>
          <w:color w:val="000000" w:themeColor="text1"/>
        </w:rPr>
        <w:t xml:space="preserve"> ve srovnání s normálem 19</w:t>
      </w:r>
      <w:r w:rsidR="00664A40" w:rsidRPr="007312CE">
        <w:rPr>
          <w:b/>
          <w:i/>
          <w:color w:val="000000" w:themeColor="text1"/>
        </w:rPr>
        <w:t>9</w:t>
      </w:r>
      <w:r w:rsidRPr="007312CE">
        <w:rPr>
          <w:b/>
          <w:i/>
          <w:color w:val="000000" w:themeColor="text1"/>
        </w:rPr>
        <w:t>1–20</w:t>
      </w:r>
      <w:r w:rsidR="00664A40" w:rsidRPr="007312CE">
        <w:rPr>
          <w:b/>
          <w:i/>
          <w:color w:val="000000" w:themeColor="text1"/>
        </w:rPr>
        <w:t>2</w:t>
      </w:r>
      <w:r w:rsidRPr="007312CE">
        <w:rPr>
          <w:b/>
          <w:i/>
          <w:color w:val="000000" w:themeColor="text1"/>
        </w:rPr>
        <w:t>0</w:t>
      </w:r>
    </w:p>
    <w:p w14:paraId="1C885B53" w14:textId="70FD38D2" w:rsidR="001C5E98" w:rsidRPr="00104F7D" w:rsidRDefault="007312CE" w:rsidP="007C4955">
      <w:pPr>
        <w:contextualSpacing/>
        <w:rPr>
          <w:color w:val="FF0000"/>
          <w:highlight w:val="yellow"/>
        </w:rPr>
      </w:pPr>
      <w:r>
        <w:rPr>
          <w:rFonts w:cs="Arial"/>
          <w:noProof/>
          <w:sz w:val="20"/>
          <w:szCs w:val="20"/>
          <w:lang w:eastAsia="cs-CZ"/>
        </w:rPr>
        <w:drawing>
          <wp:inline distT="0" distB="0" distL="0" distR="0" wp14:anchorId="3D79CF11" wp14:editId="194C2B69">
            <wp:extent cx="5698490" cy="2787511"/>
            <wp:effectExtent l="0" t="0" r="0" b="0"/>
            <wp:docPr id="1998764609" name="Obrázek 1998764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t="11313"/>
                    <a:stretch>
                      <a:fillRect/>
                    </a:stretch>
                  </pic:blipFill>
                  <pic:spPr bwMode="auto">
                    <a:xfrm>
                      <a:off x="0" y="0"/>
                      <a:ext cx="5708170" cy="2792246"/>
                    </a:xfrm>
                    <a:prstGeom prst="rect">
                      <a:avLst/>
                    </a:prstGeom>
                    <a:noFill/>
                    <a:ln>
                      <a:noFill/>
                    </a:ln>
                    <a:extLst>
                      <a:ext uri="{53640926-AAD7-44D8-BBD7-CCE9431645EC}">
                        <a14:shadowObscured xmlns:a14="http://schemas.microsoft.com/office/drawing/2010/main"/>
                      </a:ext>
                    </a:extLst>
                  </pic:spPr>
                </pic:pic>
              </a:graphicData>
            </a:graphic>
          </wp:inline>
        </w:drawing>
      </w:r>
    </w:p>
    <w:p w14:paraId="7C28E8F7" w14:textId="77777777" w:rsidR="00B83067" w:rsidRPr="001422D3" w:rsidRDefault="009A4681" w:rsidP="007C4955">
      <w:pPr>
        <w:contextualSpacing/>
        <w:rPr>
          <w:rFonts w:eastAsia="Times New Roman" w:cs="Arial"/>
          <w:color w:val="000000" w:themeColor="text1"/>
          <w:sz w:val="20"/>
          <w:szCs w:val="20"/>
        </w:rPr>
      </w:pPr>
      <w:r w:rsidRPr="001422D3">
        <w:rPr>
          <w:i/>
          <w:color w:val="000000" w:themeColor="text1"/>
          <w:sz w:val="20"/>
          <w:szCs w:val="20"/>
        </w:rPr>
        <w:t>Pramen: ČHMÚ</w:t>
      </w:r>
    </w:p>
    <w:p w14:paraId="68F98EA4" w14:textId="77777777" w:rsidR="00417D91" w:rsidRDefault="00417D91" w:rsidP="007C4955">
      <w:pPr>
        <w:contextualSpacing/>
        <w:rPr>
          <w:b/>
          <w:i/>
          <w:color w:val="000000" w:themeColor="text1"/>
          <w:highlight w:val="yellow"/>
        </w:rPr>
      </w:pPr>
    </w:p>
    <w:p w14:paraId="6657CAAA" w14:textId="77777777" w:rsidR="0078074A" w:rsidRPr="00135994" w:rsidRDefault="0078074A" w:rsidP="0078074A">
      <w:pPr>
        <w:rPr>
          <w:lang w:eastAsia="cs-CZ"/>
        </w:rPr>
      </w:pPr>
      <w:r w:rsidRPr="00135994">
        <w:rPr>
          <w:lang w:eastAsia="cs-CZ"/>
        </w:rPr>
        <w:t>Zimní měsíce leden a únor byly na srážky chudé. V lednu spadlo na území ČR v průměru 32 mm (73 % normálu) a v únoru pouze 11 mm srážek (30 % normálu). V lednu dosáhl úhrn srážek hodnoty normálu pouze na západě našeho území v krajích Karlovarský a Ústecký. V únoru spadlo ve všech krajích méně než 50 % srážkového normálu, v krajích Pardubický, Olomoucký a Zlínský to bylo dokonce méně než 20 % normálu. V lednu většina srážek spadla v první polovině měsíce. Srážky byly často sněhové a sněžilo i v nižších polohách. V únoru většina srážek spadla v několika málo dnech zejména 12. a 13 února, kdy byly srážky převážně sněhové. Nejvíce sněhu (141 cm) leželo na stanici Labská bouda dne 17. února.</w:t>
      </w:r>
    </w:p>
    <w:p w14:paraId="1DC2789F" w14:textId="77777777" w:rsidR="0078074A" w:rsidRDefault="0078074A" w:rsidP="0078074A">
      <w:pPr>
        <w:rPr>
          <w:lang w:eastAsia="cs-CZ"/>
        </w:rPr>
      </w:pPr>
    </w:p>
    <w:p w14:paraId="5106BCB7" w14:textId="39E94153" w:rsidR="0078074A" w:rsidRPr="00135994" w:rsidRDefault="0078074A" w:rsidP="0078074A">
      <w:pPr>
        <w:rPr>
          <w:lang w:eastAsia="cs-CZ"/>
        </w:rPr>
      </w:pPr>
      <w:r w:rsidRPr="00135994">
        <w:rPr>
          <w:lang w:eastAsia="cs-CZ"/>
        </w:rPr>
        <w:t xml:space="preserve">Všechny jarní měsíce byly hodnoceny jako srážkově normální, </w:t>
      </w:r>
      <w:r w:rsidR="00D737F5">
        <w:rPr>
          <w:lang w:eastAsia="cs-CZ"/>
        </w:rPr>
        <w:t>jednotlivé</w:t>
      </w:r>
      <w:r w:rsidRPr="00135994">
        <w:rPr>
          <w:lang w:eastAsia="cs-CZ"/>
        </w:rPr>
        <w:t xml:space="preserve"> měsíční úhrny však byly pod hodnotou normálu. V březnu spadlo v průměru na území ČR 33 mm srážek (72 % normálu), v dubnu 31 mm srážek (79 % normálu), v květnu 53 mm srážek (76 % normálu). V březnu bylo více srážek zaznamenáno na území Moravy a Slezska (41 mm, 91 % normálu) než v Čechách (29 mm, 62 % normálu). Pouze v Jihomoravském a Zlínském kraji byl průměrným měsíční úhrn nad hodnotou normálu (114 a 102 % normálu). V březnu se většinou jednalo o srážky dešťové, na horských stanicích byl však v některých dnech ještě zaznamenán nový sníh. Na rozdíl od března bylo v dubnu zaznamenáno více srážek na území Čech (33 mm, 89 % normálu) než na území Moravy a Slezska </w:t>
      </w:r>
      <w:r w:rsidRPr="00135994">
        <w:rPr>
          <w:lang w:eastAsia="cs-CZ"/>
        </w:rPr>
        <w:lastRenderedPageBreak/>
        <w:t xml:space="preserve">(28 mm, 67 % normálu). Nejméně srážek ve srovnání s normálem spadlo v Moravskoslezském kraji (46 % normálu), naopak nejvíce v kraji Praha a Středočeský (106 % normálu). Většina dubnového úhrnu srážek spadla v druhé polovině měsíce. Nejvyšší celkovou výšku sněhu naměřila stanice Labská bouda (110 cm) dne 1. dubna, na konci měsíce již na žádné stanici nebyla sněhová pokrývka zaznamenána. V květnu byly nejvyšší srážkové úhrny zaznamenány v Libereckém kraji (116 %), ve všech ostatních krajích byly průměrné srážkové úhrny opět pod hodnotou normálu. V Jihomoravském kraji spadlo pouze 49 % srážkového normálu. Většina srážek spadla ve druhé polovině měsíce. </w:t>
      </w:r>
    </w:p>
    <w:p w14:paraId="5CE0CAFE" w14:textId="77777777" w:rsidR="0078074A" w:rsidRDefault="0078074A" w:rsidP="0078074A">
      <w:pPr>
        <w:rPr>
          <w:lang w:eastAsia="cs-CZ"/>
        </w:rPr>
      </w:pPr>
    </w:p>
    <w:p w14:paraId="0A8293F9" w14:textId="25BB9625" w:rsidR="0078074A" w:rsidRPr="00135994" w:rsidRDefault="0078074A" w:rsidP="0078074A">
      <w:pPr>
        <w:rPr>
          <w:lang w:eastAsia="cs-CZ"/>
        </w:rPr>
      </w:pPr>
      <w:r w:rsidRPr="00135994">
        <w:rPr>
          <w:lang w:eastAsia="cs-CZ"/>
        </w:rPr>
        <w:t xml:space="preserve">Letní měsíce byly srážkově rozkolísané. V červnu spadlo na území ČR v průměru 62 mm (76 % normálu), v červenci 95 mm (107 % normálu) a v srpnu pouze 50 mm (64 % normálu). V červnu byly průměrné úhrny srážek ve všech krajích pod hodnotou normálu. V červenci byl na srážky bohatý zejména východ našeho území, v krajích Jihomoravský, Zlínský, Olomoucký a Moravskoslezský spadlo více než 120 % srážkového normálu. V srpnu byly opět ve všech krajích srážkové úhrny pod hodnotou normálu. Srážky byly v letních měsících často spojeny s bouřkovou činností. Nejvyšší denní úhrny srážek byly zaznamenány při přechodu tlakové níže dne 27. července na východě našeho území. Na 37 stanicích standardní sítě ČHMÚ spadlo více jak 50 mm srážek. Nejvyšší hodnoty naměřily v okrese Frýdek-Místek stanice Lysá hora (130 mm), Ostravice (127 mm) a Nýdek (123,2 mm). </w:t>
      </w:r>
    </w:p>
    <w:p w14:paraId="25C4057D" w14:textId="77777777" w:rsidR="0078074A" w:rsidRDefault="0078074A" w:rsidP="0078074A">
      <w:pPr>
        <w:rPr>
          <w:lang w:eastAsia="cs-CZ"/>
        </w:rPr>
      </w:pPr>
    </w:p>
    <w:p w14:paraId="4E73629D" w14:textId="4AE7B9BC" w:rsidR="0078074A" w:rsidRPr="00135994" w:rsidRDefault="0078074A" w:rsidP="0078074A">
      <w:pPr>
        <w:rPr>
          <w:lang w:eastAsia="cs-CZ"/>
        </w:rPr>
      </w:pPr>
      <w:r w:rsidRPr="00135994">
        <w:rPr>
          <w:lang w:eastAsia="cs-CZ"/>
        </w:rPr>
        <w:t>Září bylo na území ČR srážkově nadnormální, průměrný měsíční úhrn srážek na našem území činil 89 mm, což představuje 148 % normálu. Ve všech krajích byly srážkové úhrny vyšší než normál. Nejvíce ve srovnání s normálem spadlo v Praze a Středočeském kraji (173 % normálu). Nejvíce srážek spadlo na našem území 10. září, v průměru přes 20 mm srážek. Na více než 40 stanicích byly denní úhrny přes 50 mm, v Krkonoších dokonce přes 80 mm. Říjen a listopad hodnotíme na území ČR jako srážkově normální. V říjnu na našem území spadlo v průměru 47 mm (96 % normálu) a v listopadu 50 mm (111 % normálu). V říjnu byly srážky prostorově nerovnoměrně rozděleny. Zatímco v krajích Praha a Středočeský, Jihočeský, Vysočina a Jihomoravský spadlo méně než 80 % normálu, v některých krajích to bylo více než 120 % normálu, nejvíce v Libereckém a Královéhradeckém (149 a 130 % normálu). V říjnu se srážky vyskytovaly během celého měsíce a byly dešťové a zejména na severních horách i sněhové. Také v listopadu byly srážkové úhrny prostorově velmi rozdílné. Výrazně méně srážek ve srovnání s normálem spadlo na severu a západě našeho území, v krajích Karlovarský (45 % normálu), Ústecký a Liberecký (69 % normálu). Na východě našeho území srážkové úhrny o poznání vyšší než normál, v krajích Moravskoslezský, Jihomoravský, Olomoucký, Zlínský spadlo více než 130 % normálu. První sněžení na větší části našeho území bylo zaznamenáno 23.</w:t>
      </w:r>
      <w:r w:rsidR="00340AC4">
        <w:rPr>
          <w:lang w:eastAsia="cs-CZ"/>
        </w:rPr>
        <w:t xml:space="preserve"> </w:t>
      </w:r>
      <w:r w:rsidRPr="00135994">
        <w:rPr>
          <w:lang w:eastAsia="cs-CZ"/>
        </w:rPr>
        <w:t>–</w:t>
      </w:r>
      <w:r w:rsidR="00340AC4">
        <w:rPr>
          <w:lang w:eastAsia="cs-CZ"/>
        </w:rPr>
        <w:t xml:space="preserve"> </w:t>
      </w:r>
      <w:r w:rsidRPr="00135994">
        <w:rPr>
          <w:lang w:eastAsia="cs-CZ"/>
        </w:rPr>
        <w:t xml:space="preserve">26. listopadu. </w:t>
      </w:r>
    </w:p>
    <w:p w14:paraId="3E2FA378" w14:textId="77777777" w:rsidR="0078074A" w:rsidRDefault="0078074A" w:rsidP="0078074A">
      <w:pPr>
        <w:rPr>
          <w:lang w:eastAsia="cs-CZ"/>
        </w:rPr>
      </w:pPr>
    </w:p>
    <w:p w14:paraId="3B9B12DA" w14:textId="6C135EFB" w:rsidR="0078074A" w:rsidRPr="00135994" w:rsidRDefault="0078074A" w:rsidP="0078074A">
      <w:pPr>
        <w:rPr>
          <w:lang w:eastAsia="cs-CZ"/>
        </w:rPr>
      </w:pPr>
      <w:r w:rsidRPr="00135994">
        <w:rPr>
          <w:lang w:eastAsia="cs-CZ"/>
        </w:rPr>
        <w:t>Prosinec byl srážkově silně podnormální, průměrný úhrn srážek na našem území (18 mm) činil pouze 39 % normálu. Srážky se během měsíce vyskytovaly ve formě deště i sněhu, nový sníh byl na velké části našeho území zaznamenán ve dnech 29. – 31. prosince. Ve vyšších polohách, nejvíce na jihu Čech, byl nový sníh naměřen i ve dnech 23. a 24. prosince.</w:t>
      </w:r>
    </w:p>
    <w:p w14:paraId="587D9F5E" w14:textId="77777777" w:rsidR="0078074A" w:rsidRPr="00104F7D" w:rsidRDefault="0078074A" w:rsidP="007C4955">
      <w:pPr>
        <w:contextualSpacing/>
        <w:rPr>
          <w:b/>
          <w:i/>
          <w:color w:val="000000" w:themeColor="text1"/>
          <w:highlight w:val="yellow"/>
        </w:rPr>
      </w:pPr>
    </w:p>
    <w:p w14:paraId="4D2949B9" w14:textId="77777777" w:rsidR="00116412" w:rsidRDefault="00116412" w:rsidP="007C4955">
      <w:pPr>
        <w:contextualSpacing/>
        <w:rPr>
          <w:b/>
          <w:i/>
          <w:color w:val="000000" w:themeColor="text1"/>
        </w:rPr>
      </w:pPr>
    </w:p>
    <w:p w14:paraId="084EBA9E" w14:textId="77777777" w:rsidR="00116412" w:rsidRDefault="00116412" w:rsidP="007C4955">
      <w:pPr>
        <w:contextualSpacing/>
        <w:rPr>
          <w:b/>
          <w:i/>
          <w:color w:val="000000" w:themeColor="text1"/>
        </w:rPr>
      </w:pPr>
    </w:p>
    <w:p w14:paraId="4A037ED2" w14:textId="77777777" w:rsidR="00116412" w:rsidRDefault="00116412" w:rsidP="007C4955">
      <w:pPr>
        <w:contextualSpacing/>
        <w:rPr>
          <w:b/>
          <w:i/>
          <w:color w:val="000000" w:themeColor="text1"/>
        </w:rPr>
      </w:pPr>
    </w:p>
    <w:p w14:paraId="42187048" w14:textId="77777777" w:rsidR="00116412" w:rsidRDefault="00116412" w:rsidP="007C4955">
      <w:pPr>
        <w:contextualSpacing/>
        <w:rPr>
          <w:b/>
          <w:i/>
          <w:color w:val="000000" w:themeColor="text1"/>
        </w:rPr>
      </w:pPr>
    </w:p>
    <w:p w14:paraId="722F2517" w14:textId="77777777" w:rsidR="00116412" w:rsidRDefault="00116412" w:rsidP="007C4955">
      <w:pPr>
        <w:contextualSpacing/>
        <w:rPr>
          <w:b/>
          <w:i/>
          <w:color w:val="000000" w:themeColor="text1"/>
        </w:rPr>
      </w:pPr>
    </w:p>
    <w:p w14:paraId="6D7183E7" w14:textId="77777777" w:rsidR="00116412" w:rsidRDefault="00116412" w:rsidP="007C4955">
      <w:pPr>
        <w:contextualSpacing/>
        <w:rPr>
          <w:b/>
          <w:i/>
          <w:color w:val="000000" w:themeColor="text1"/>
        </w:rPr>
      </w:pPr>
    </w:p>
    <w:p w14:paraId="04BFE290" w14:textId="77777777" w:rsidR="00116412" w:rsidRDefault="00116412" w:rsidP="007C4955">
      <w:pPr>
        <w:contextualSpacing/>
        <w:rPr>
          <w:b/>
          <w:i/>
          <w:color w:val="000000" w:themeColor="text1"/>
        </w:rPr>
      </w:pPr>
    </w:p>
    <w:p w14:paraId="0FF8F091" w14:textId="77777777" w:rsidR="00116412" w:rsidRDefault="00116412" w:rsidP="007C4955">
      <w:pPr>
        <w:contextualSpacing/>
        <w:rPr>
          <w:b/>
          <w:i/>
          <w:color w:val="000000" w:themeColor="text1"/>
        </w:rPr>
      </w:pPr>
    </w:p>
    <w:p w14:paraId="770E6A04" w14:textId="77777777" w:rsidR="00116412" w:rsidRDefault="00116412" w:rsidP="007C4955">
      <w:pPr>
        <w:contextualSpacing/>
        <w:rPr>
          <w:b/>
          <w:i/>
          <w:color w:val="000000" w:themeColor="text1"/>
        </w:rPr>
      </w:pPr>
    </w:p>
    <w:p w14:paraId="2942E3A3" w14:textId="77777777" w:rsidR="00116412" w:rsidRDefault="00116412" w:rsidP="007C4955">
      <w:pPr>
        <w:contextualSpacing/>
        <w:rPr>
          <w:b/>
          <w:i/>
          <w:color w:val="000000" w:themeColor="text1"/>
        </w:rPr>
      </w:pPr>
    </w:p>
    <w:p w14:paraId="237B798E" w14:textId="77777777" w:rsidR="00116412" w:rsidRDefault="00116412" w:rsidP="007C4955">
      <w:pPr>
        <w:contextualSpacing/>
        <w:rPr>
          <w:b/>
          <w:i/>
          <w:color w:val="000000" w:themeColor="text1"/>
        </w:rPr>
      </w:pPr>
    </w:p>
    <w:p w14:paraId="4E9F9416" w14:textId="77777777" w:rsidR="00116412" w:rsidRDefault="00116412" w:rsidP="007C4955">
      <w:pPr>
        <w:contextualSpacing/>
        <w:rPr>
          <w:b/>
          <w:i/>
          <w:color w:val="000000" w:themeColor="text1"/>
        </w:rPr>
      </w:pPr>
    </w:p>
    <w:p w14:paraId="4C5F6A54" w14:textId="77777777" w:rsidR="00116412" w:rsidRDefault="00116412" w:rsidP="007C4955">
      <w:pPr>
        <w:contextualSpacing/>
        <w:rPr>
          <w:b/>
          <w:i/>
          <w:color w:val="000000" w:themeColor="text1"/>
        </w:rPr>
      </w:pPr>
    </w:p>
    <w:p w14:paraId="375B27C9" w14:textId="77777777" w:rsidR="00116412" w:rsidRDefault="00116412" w:rsidP="007C4955">
      <w:pPr>
        <w:contextualSpacing/>
        <w:rPr>
          <w:b/>
          <w:i/>
          <w:color w:val="000000" w:themeColor="text1"/>
        </w:rPr>
      </w:pPr>
    </w:p>
    <w:p w14:paraId="3322212F" w14:textId="77777777" w:rsidR="00116412" w:rsidRDefault="00116412" w:rsidP="007C4955">
      <w:pPr>
        <w:contextualSpacing/>
        <w:rPr>
          <w:b/>
          <w:i/>
          <w:color w:val="000000" w:themeColor="text1"/>
        </w:rPr>
      </w:pPr>
    </w:p>
    <w:p w14:paraId="462264CF" w14:textId="3F1210FA" w:rsidR="009A4681" w:rsidRPr="0078074A" w:rsidRDefault="009A4681" w:rsidP="007C4955">
      <w:pPr>
        <w:contextualSpacing/>
        <w:rPr>
          <w:rFonts w:eastAsia="Times New Roman" w:cs="Arial"/>
          <w:color w:val="000000" w:themeColor="text1"/>
          <w:sz w:val="20"/>
          <w:szCs w:val="20"/>
        </w:rPr>
      </w:pPr>
      <w:r w:rsidRPr="0078074A">
        <w:rPr>
          <w:b/>
          <w:i/>
          <w:color w:val="000000" w:themeColor="text1"/>
        </w:rPr>
        <w:lastRenderedPageBreak/>
        <w:t>Obrázek 1.1.3</w:t>
      </w:r>
    </w:p>
    <w:p w14:paraId="308239C8" w14:textId="7E759487" w:rsidR="009A4681" w:rsidRPr="0078074A" w:rsidRDefault="009A4681" w:rsidP="007C4955">
      <w:pPr>
        <w:contextualSpacing/>
        <w:rPr>
          <w:b/>
          <w:i/>
          <w:color w:val="000000" w:themeColor="text1"/>
        </w:rPr>
      </w:pPr>
      <w:r w:rsidRPr="0078074A">
        <w:rPr>
          <w:b/>
          <w:i/>
          <w:color w:val="000000" w:themeColor="text1"/>
        </w:rPr>
        <w:t>Úhrn srážek v roce 20</w:t>
      </w:r>
      <w:r w:rsidR="00550FE2" w:rsidRPr="0078074A">
        <w:rPr>
          <w:b/>
          <w:i/>
          <w:color w:val="000000" w:themeColor="text1"/>
        </w:rPr>
        <w:t>2</w:t>
      </w:r>
      <w:r w:rsidR="0078074A">
        <w:rPr>
          <w:b/>
          <w:i/>
          <w:color w:val="000000" w:themeColor="text1"/>
        </w:rPr>
        <w:t>5</w:t>
      </w:r>
    </w:p>
    <w:p w14:paraId="0EEF8CAB" w14:textId="37981D8B" w:rsidR="009A4681" w:rsidRPr="00104F7D" w:rsidRDefault="0011043C" w:rsidP="007C4955">
      <w:pPr>
        <w:contextualSpacing/>
        <w:rPr>
          <w:rFonts w:eastAsia="Times New Roman" w:cs="Arial"/>
          <w:color w:val="FF0000"/>
          <w:sz w:val="24"/>
          <w:szCs w:val="24"/>
          <w:highlight w:val="yellow"/>
        </w:rPr>
      </w:pPr>
      <w:r w:rsidRPr="00104F7D">
        <w:rPr>
          <w:noProof/>
          <w:color w:val="FF0000"/>
          <w:highlight w:val="yellow"/>
          <w:lang w:eastAsia="cs-CZ"/>
        </w:rPr>
        <mc:AlternateContent>
          <mc:Choice Requires="wps">
            <w:drawing>
              <wp:anchor distT="0" distB="0" distL="114300" distR="114300" simplePos="0" relativeHeight="251658242" behindDoc="0" locked="0" layoutInCell="1" allowOverlap="1" wp14:anchorId="1C3DF67F" wp14:editId="36839C5C">
                <wp:simplePos x="0" y="0"/>
                <wp:positionH relativeFrom="column">
                  <wp:posOffset>4994910</wp:posOffset>
                </wp:positionH>
                <wp:positionV relativeFrom="paragraph">
                  <wp:posOffset>3195955</wp:posOffset>
                </wp:positionV>
                <wp:extent cx="533400" cy="133350"/>
                <wp:effectExtent l="0" t="0" r="0" b="1270"/>
                <wp:wrapNone/>
                <wp:docPr id="8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133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51EF2C0" id="Rectangle 28" o:spid="_x0000_s1026" style="position:absolute;margin-left:393.3pt;margin-top:251.65pt;width:42pt;height:1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" stroked="f"/>
            </w:pict>
          </mc:Fallback>
        </mc:AlternateContent>
      </w:r>
      <w:r w:rsidR="00627466">
        <w:rPr>
          <w:noProof/>
        </w:rPr>
        <w:drawing>
          <wp:inline distT="0" distB="0" distL="0" distR="0" wp14:anchorId="61B23D2E" wp14:editId="6DBD1851">
            <wp:extent cx="4031722" cy="2481580"/>
            <wp:effectExtent l="0" t="0" r="6985" b="0"/>
            <wp:docPr id="201291380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913807" name=""/>
                    <pic:cNvPicPr/>
                  </pic:nvPicPr>
                  <pic:blipFill rotWithShape="1">
                    <a:blip r:embed="rId16"/>
                    <a:srcRect t="12942"/>
                    <a:stretch>
                      <a:fillRect/>
                    </a:stretch>
                  </pic:blipFill>
                  <pic:spPr bwMode="auto">
                    <a:xfrm>
                      <a:off x="0" y="0"/>
                      <a:ext cx="4036463" cy="2484498"/>
                    </a:xfrm>
                    <a:prstGeom prst="rect">
                      <a:avLst/>
                    </a:prstGeom>
                    <a:ln>
                      <a:noFill/>
                    </a:ln>
                    <a:extLst>
                      <a:ext uri="{53640926-AAD7-44D8-BBD7-CCE9431645EC}">
                        <a14:shadowObscured xmlns:a14="http://schemas.microsoft.com/office/drawing/2010/main"/>
                      </a:ext>
                    </a:extLst>
                  </pic:spPr>
                </pic:pic>
              </a:graphicData>
            </a:graphic>
          </wp:inline>
        </w:drawing>
      </w:r>
    </w:p>
    <w:p w14:paraId="16F43BE3" w14:textId="77777777" w:rsidR="009A4681" w:rsidRPr="00627466" w:rsidRDefault="009A4681" w:rsidP="007C4955">
      <w:pPr>
        <w:contextualSpacing/>
        <w:rPr>
          <w:i/>
          <w:color w:val="000000" w:themeColor="text1"/>
          <w:sz w:val="20"/>
          <w:szCs w:val="20"/>
        </w:rPr>
      </w:pPr>
      <w:r w:rsidRPr="00627466">
        <w:rPr>
          <w:i/>
          <w:color w:val="000000" w:themeColor="text1"/>
          <w:sz w:val="20"/>
          <w:szCs w:val="20"/>
        </w:rPr>
        <w:t>Pramen: ČHMÚ</w:t>
      </w:r>
    </w:p>
    <w:p w14:paraId="14B0C447" w14:textId="4E3C2066" w:rsidR="00312A6C" w:rsidRPr="001C2F22" w:rsidRDefault="00017FD8" w:rsidP="007C4955">
      <w:pPr>
        <w:contextualSpacing/>
        <w:rPr>
          <w:rFonts w:cs="Arial"/>
          <w:i/>
          <w:color w:val="FF0000"/>
          <w:sz w:val="24"/>
          <w:szCs w:val="24"/>
          <w:highlight w:val="yellow"/>
        </w:rPr>
      </w:pPr>
      <w:r w:rsidRPr="00104F7D">
        <w:rPr>
          <w:rFonts w:cs="Arial"/>
          <w:i/>
          <w:color w:val="FF0000"/>
          <w:sz w:val="24"/>
          <w:szCs w:val="24"/>
          <w:highlight w:val="yellow"/>
        </w:rPr>
        <w:t xml:space="preserve"> </w:t>
      </w:r>
    </w:p>
    <w:p w14:paraId="47F4B712" w14:textId="7D35D171" w:rsidR="009A4681" w:rsidRPr="001C2F22" w:rsidRDefault="009A4681" w:rsidP="007C4955">
      <w:pPr>
        <w:contextualSpacing/>
        <w:rPr>
          <w:b/>
          <w:i/>
          <w:color w:val="000000" w:themeColor="text1"/>
        </w:rPr>
      </w:pPr>
      <w:r w:rsidRPr="001C2F22">
        <w:rPr>
          <w:b/>
          <w:i/>
          <w:color w:val="000000" w:themeColor="text1"/>
        </w:rPr>
        <w:t>Obrázek 1.1.4</w:t>
      </w:r>
    </w:p>
    <w:p w14:paraId="122012D8" w14:textId="5539BAFB" w:rsidR="005177DB" w:rsidRPr="001C2F22" w:rsidRDefault="009A4681" w:rsidP="007C4955">
      <w:pPr>
        <w:contextualSpacing/>
        <w:rPr>
          <w:b/>
          <w:i/>
          <w:color w:val="FF0000"/>
        </w:rPr>
      </w:pPr>
      <w:r w:rsidRPr="001C2F22">
        <w:rPr>
          <w:b/>
          <w:i/>
          <w:color w:val="000000" w:themeColor="text1"/>
        </w:rPr>
        <w:t xml:space="preserve">Úhrn srážek </w:t>
      </w:r>
      <w:r w:rsidR="00664A40" w:rsidRPr="001C2F22">
        <w:rPr>
          <w:b/>
          <w:i/>
          <w:color w:val="000000" w:themeColor="text1"/>
        </w:rPr>
        <w:t>v roce 202</w:t>
      </w:r>
      <w:r w:rsidR="001C2F22" w:rsidRPr="001C2F22">
        <w:rPr>
          <w:b/>
          <w:i/>
          <w:color w:val="000000" w:themeColor="text1"/>
        </w:rPr>
        <w:t>5</w:t>
      </w:r>
      <w:r w:rsidR="00664A40" w:rsidRPr="001C2F22">
        <w:rPr>
          <w:b/>
          <w:i/>
          <w:color w:val="000000" w:themeColor="text1"/>
        </w:rPr>
        <w:t xml:space="preserve"> </w:t>
      </w:r>
      <w:r w:rsidRPr="001C2F22">
        <w:rPr>
          <w:b/>
          <w:i/>
          <w:color w:val="000000" w:themeColor="text1"/>
        </w:rPr>
        <w:t>v procentech normálu 19</w:t>
      </w:r>
      <w:r w:rsidR="00664A40" w:rsidRPr="001C2F22">
        <w:rPr>
          <w:b/>
          <w:i/>
          <w:color w:val="000000" w:themeColor="text1"/>
        </w:rPr>
        <w:t>9</w:t>
      </w:r>
      <w:r w:rsidRPr="001C2F22">
        <w:rPr>
          <w:b/>
          <w:i/>
          <w:color w:val="000000" w:themeColor="text1"/>
        </w:rPr>
        <w:t>1–20</w:t>
      </w:r>
      <w:r w:rsidR="00664A40" w:rsidRPr="001C2F22">
        <w:rPr>
          <w:b/>
          <w:i/>
          <w:color w:val="000000" w:themeColor="text1"/>
        </w:rPr>
        <w:t>2</w:t>
      </w:r>
      <w:r w:rsidRPr="001C2F22">
        <w:rPr>
          <w:b/>
          <w:i/>
          <w:color w:val="000000" w:themeColor="text1"/>
        </w:rPr>
        <w:t>0</w:t>
      </w:r>
      <w:r w:rsidR="00DB722A" w:rsidRPr="001C2F22">
        <w:rPr>
          <w:b/>
          <w:i/>
          <w:color w:val="000000" w:themeColor="text1"/>
        </w:rPr>
        <w:t xml:space="preserve"> </w:t>
      </w:r>
    </w:p>
    <w:p w14:paraId="737FB21F" w14:textId="28FF0DD0" w:rsidR="009A4681" w:rsidRPr="00104F7D" w:rsidRDefault="0011043C" w:rsidP="007C4955">
      <w:pPr>
        <w:contextualSpacing/>
        <w:rPr>
          <w:rFonts w:cs="Arial"/>
          <w:color w:val="FF0000"/>
          <w:sz w:val="24"/>
          <w:szCs w:val="24"/>
          <w:highlight w:val="yellow"/>
        </w:rPr>
      </w:pPr>
      <w:r w:rsidRPr="00104F7D">
        <w:rPr>
          <w:noProof/>
          <w:color w:val="FF0000"/>
          <w:highlight w:val="yellow"/>
          <w:lang w:eastAsia="cs-CZ"/>
        </w:rPr>
        <mc:AlternateContent>
          <mc:Choice Requires="wps">
            <w:drawing>
              <wp:anchor distT="0" distB="0" distL="114300" distR="114300" simplePos="0" relativeHeight="251658243" behindDoc="0" locked="0" layoutInCell="1" allowOverlap="1" wp14:anchorId="240A072B" wp14:editId="65B8A813">
                <wp:simplePos x="0" y="0"/>
                <wp:positionH relativeFrom="column">
                  <wp:posOffset>4956810</wp:posOffset>
                </wp:positionH>
                <wp:positionV relativeFrom="paragraph">
                  <wp:posOffset>3149600</wp:posOffset>
                </wp:positionV>
                <wp:extent cx="533400" cy="133350"/>
                <wp:effectExtent l="0" t="3175" r="0" b="0"/>
                <wp:wrapNone/>
                <wp:docPr id="8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133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B2A95C3" id="Rectangle 30" o:spid="_x0000_s1026" style="position:absolute;margin-left:390.3pt;margin-top:248pt;width:42pt;height:1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" stroked="f"/>
            </w:pict>
          </mc:Fallback>
        </mc:AlternateContent>
      </w:r>
      <w:r w:rsidR="001C2F22">
        <w:rPr>
          <w:noProof/>
        </w:rPr>
        <w:drawing>
          <wp:inline distT="0" distB="0" distL="0" distR="0" wp14:anchorId="5BC1BB1A" wp14:editId="1286C070">
            <wp:extent cx="4432300" cy="2801456"/>
            <wp:effectExtent l="0" t="0" r="6350" b="0"/>
            <wp:docPr id="18246164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616415" name=""/>
                    <pic:cNvPicPr/>
                  </pic:nvPicPr>
                  <pic:blipFill rotWithShape="1">
                    <a:blip r:embed="rId17"/>
                    <a:srcRect t="10602"/>
                    <a:stretch>
                      <a:fillRect/>
                    </a:stretch>
                  </pic:blipFill>
                  <pic:spPr bwMode="auto">
                    <a:xfrm>
                      <a:off x="0" y="0"/>
                      <a:ext cx="4436686" cy="2804228"/>
                    </a:xfrm>
                    <a:prstGeom prst="rect">
                      <a:avLst/>
                    </a:prstGeom>
                    <a:ln>
                      <a:noFill/>
                    </a:ln>
                    <a:extLst>
                      <a:ext uri="{53640926-AAD7-44D8-BBD7-CCE9431645EC}">
                        <a14:shadowObscured xmlns:a14="http://schemas.microsoft.com/office/drawing/2010/main"/>
                      </a:ext>
                    </a:extLst>
                  </pic:spPr>
                </pic:pic>
              </a:graphicData>
            </a:graphic>
          </wp:inline>
        </w:drawing>
      </w:r>
    </w:p>
    <w:p w14:paraId="04E13E4F" w14:textId="77777777" w:rsidR="009A4681" w:rsidRPr="001C2F22" w:rsidRDefault="009A4681" w:rsidP="007C4955">
      <w:pPr>
        <w:contextualSpacing/>
        <w:rPr>
          <w:i/>
          <w:color w:val="000000" w:themeColor="text1"/>
          <w:sz w:val="20"/>
          <w:szCs w:val="20"/>
        </w:rPr>
      </w:pPr>
      <w:r w:rsidRPr="001C2F22">
        <w:rPr>
          <w:i/>
          <w:color w:val="000000" w:themeColor="text1"/>
          <w:sz w:val="20"/>
          <w:szCs w:val="20"/>
        </w:rPr>
        <w:t>Pramen: ČHMÚ</w:t>
      </w:r>
    </w:p>
    <w:p w14:paraId="76B3014B" w14:textId="77777777" w:rsidR="002A3708" w:rsidRPr="00104F7D" w:rsidRDefault="002A3708" w:rsidP="007C4955">
      <w:pPr>
        <w:contextualSpacing/>
        <w:rPr>
          <w:color w:val="FF0000"/>
          <w:highlight w:val="yellow"/>
        </w:rPr>
      </w:pPr>
    </w:p>
    <w:p w14:paraId="102BD82A" w14:textId="77777777" w:rsidR="007A5338" w:rsidRPr="00104F7D" w:rsidRDefault="007A5338" w:rsidP="007C4955">
      <w:pPr>
        <w:contextualSpacing/>
        <w:rPr>
          <w:color w:val="FF0000"/>
          <w:highlight w:val="yellow"/>
        </w:rPr>
      </w:pPr>
    </w:p>
    <w:p w14:paraId="25487F4C" w14:textId="1F215CF5" w:rsidR="00017FD8" w:rsidRPr="00116412" w:rsidRDefault="00DB248A">
      <w:pPr>
        <w:pStyle w:val="Nadpis2"/>
        <w:numPr>
          <w:ilvl w:val="1"/>
          <w:numId w:val="13"/>
        </w:numPr>
        <w:spacing w:before="0"/>
        <w:contextualSpacing/>
        <w:rPr>
          <w:color w:val="000000" w:themeColor="text1"/>
        </w:rPr>
      </w:pPr>
      <w:bookmarkStart w:id="5" w:name="_Toc10183399"/>
      <w:bookmarkStart w:id="6" w:name="_Toc236991604"/>
      <w:r w:rsidRPr="00116412">
        <w:rPr>
          <w:color w:val="000000" w:themeColor="text1"/>
        </w:rPr>
        <w:t>Odtokové poměry</w:t>
      </w:r>
      <w:bookmarkEnd w:id="5"/>
      <w:bookmarkEnd w:id="6"/>
      <w:r w:rsidR="00212885" w:rsidRPr="00116412">
        <w:rPr>
          <w:color w:val="000000" w:themeColor="text1"/>
        </w:rPr>
        <w:t xml:space="preserve">  </w:t>
      </w:r>
    </w:p>
    <w:p w14:paraId="025A51A2" w14:textId="77777777" w:rsidR="00DF0535" w:rsidRPr="00104F7D" w:rsidRDefault="00DF0535" w:rsidP="00DF0535">
      <w:pPr>
        <w:rPr>
          <w:highlight w:val="yellow"/>
        </w:rPr>
      </w:pPr>
    </w:p>
    <w:p w14:paraId="33AB15A7" w14:textId="77777777" w:rsidR="00F31B24" w:rsidRPr="00553CF4" w:rsidRDefault="00F31B24" w:rsidP="00F31B24">
      <w:pPr>
        <w:rPr>
          <w:lang w:eastAsia="cs-CZ"/>
        </w:rPr>
      </w:pPr>
      <w:r w:rsidRPr="00553CF4">
        <w:rPr>
          <w:lang w:eastAsia="cs-CZ"/>
        </w:rPr>
        <w:t xml:space="preserve">Z hlediska odtokových poměrů byl rok 2025 ve většině hlavních povodí charakterizován převážně průměrnými až podprůměrnými průtoky. </w:t>
      </w:r>
    </w:p>
    <w:p w14:paraId="7A63D467" w14:textId="77777777" w:rsidR="00F31B24" w:rsidRDefault="00F31B24" w:rsidP="00F31B24">
      <w:pPr>
        <w:rPr>
          <w:lang w:eastAsia="cs-CZ"/>
        </w:rPr>
      </w:pPr>
    </w:p>
    <w:p w14:paraId="259BE3B7" w14:textId="77777777" w:rsidR="00F31B24" w:rsidRDefault="00F31B24" w:rsidP="00F31B24">
      <w:pPr>
        <w:rPr>
          <w:lang w:eastAsia="cs-CZ"/>
        </w:rPr>
      </w:pPr>
      <w:r w:rsidRPr="00553CF4">
        <w:rPr>
          <w:lang w:eastAsia="cs-CZ"/>
        </w:rPr>
        <w:t xml:space="preserve">Zimní období probíhalo bez významnějších povodňových situací, přičemž v únoru docházelo místy k poklesům průtoků až k hodnotám blízkým hydrologickému suchu. Jarní měsíce byly ve všech hlavních povodích převážně podprůměrné až výrazně podprůměrné, s nízkými průtoky a pouze ojedinělými krátkodobými vzestupy hladin způsobenými srážkami. </w:t>
      </w:r>
    </w:p>
    <w:p w14:paraId="6D546D62" w14:textId="77777777" w:rsidR="00F31B24" w:rsidRDefault="00F31B24" w:rsidP="00F31B24">
      <w:pPr>
        <w:rPr>
          <w:lang w:eastAsia="cs-CZ"/>
        </w:rPr>
      </w:pPr>
    </w:p>
    <w:p w14:paraId="456A6AA7" w14:textId="687BB826" w:rsidR="00F31B24" w:rsidRPr="00553CF4" w:rsidRDefault="00F31B24" w:rsidP="00F31B24">
      <w:pPr>
        <w:rPr>
          <w:lang w:eastAsia="cs-CZ"/>
        </w:rPr>
      </w:pPr>
      <w:r w:rsidRPr="00553CF4">
        <w:rPr>
          <w:lang w:eastAsia="cs-CZ"/>
        </w:rPr>
        <w:t xml:space="preserve">Také v letním období převažovaly nízké průtoky, které byly místy přerušovány lokálními srážkovými epizodami vedoucími zejména na menších tocích k přechodnému dosažení stupňů povodňové aktivity. Nejvýznamnější hydrologické události roku byly zaznamenány v červenci, kdy lokálně došlo i k dosažení 2. a 3. stupně povodňové aktivity. Podzimní období se vyznačovalo převahou </w:t>
      </w:r>
      <w:r w:rsidRPr="00553CF4">
        <w:rPr>
          <w:lang w:eastAsia="cs-CZ"/>
        </w:rPr>
        <w:lastRenderedPageBreak/>
        <w:t>průměrných až podprůměrných průtoků bez plošně významných povodňových situací, pouze s ojedinělými výskyty 1. stupně povodňové aktivity.</w:t>
      </w:r>
    </w:p>
    <w:p w14:paraId="0B846037" w14:textId="77777777" w:rsidR="00F31B24" w:rsidRDefault="00F31B24" w:rsidP="00F31B24">
      <w:pPr>
        <w:rPr>
          <w:lang w:eastAsia="cs-CZ"/>
        </w:rPr>
      </w:pPr>
    </w:p>
    <w:p w14:paraId="1E8A7158" w14:textId="5AF531CD" w:rsidR="00F31B24" w:rsidRPr="00553CF4" w:rsidRDefault="00F31B24" w:rsidP="00F31B24">
      <w:pPr>
        <w:rPr>
          <w:lang w:eastAsia="cs-CZ"/>
        </w:rPr>
      </w:pPr>
      <w:r w:rsidRPr="00553CF4">
        <w:rPr>
          <w:lang w:eastAsia="cs-CZ"/>
        </w:rPr>
        <w:t>Celkově byl rok 2025 hodnocen jako rok bez plošně významných povodňových epizod a s častým výskytem podprůměrných průtoků. Opakovaná překročení stupňů povodňové aktivity (SPA) byla zaznamenána na Pitkovickém potoce, přičemž naměřené hodnoty byly ovlivněny probíhajícími stavebními pracemi v profilu.</w:t>
      </w:r>
    </w:p>
    <w:p w14:paraId="4B73D891" w14:textId="77777777" w:rsidR="00017138" w:rsidRPr="00104F7D" w:rsidRDefault="00017138" w:rsidP="007C4955">
      <w:pPr>
        <w:contextualSpacing/>
        <w:rPr>
          <w:b/>
          <w:i/>
          <w:color w:val="000000" w:themeColor="text1"/>
          <w:highlight w:val="yellow"/>
        </w:rPr>
      </w:pPr>
    </w:p>
    <w:p w14:paraId="7D18914F" w14:textId="56E28778" w:rsidR="0016541D" w:rsidRPr="00812880" w:rsidRDefault="009A4681" w:rsidP="007C4955">
      <w:pPr>
        <w:contextualSpacing/>
        <w:rPr>
          <w:b/>
          <w:i/>
          <w:color w:val="000000" w:themeColor="text1"/>
        </w:rPr>
      </w:pPr>
      <w:r w:rsidRPr="00812880">
        <w:rPr>
          <w:b/>
          <w:i/>
          <w:color w:val="000000" w:themeColor="text1"/>
        </w:rPr>
        <w:t xml:space="preserve">Obrázek 1.2.1 </w:t>
      </w:r>
    </w:p>
    <w:p w14:paraId="2A44C903" w14:textId="77777777" w:rsidR="008361B8" w:rsidRPr="00812880" w:rsidRDefault="009A4681" w:rsidP="007C4955">
      <w:pPr>
        <w:contextualSpacing/>
        <w:rPr>
          <w:b/>
          <w:i/>
          <w:color w:val="000000" w:themeColor="text1"/>
          <w:shd w:val="clear" w:color="auto" w:fill="FFFFFF"/>
        </w:rPr>
      </w:pPr>
      <w:r w:rsidRPr="00812880">
        <w:rPr>
          <w:b/>
          <w:i/>
          <w:color w:val="000000" w:themeColor="text1"/>
          <w:shd w:val="clear" w:color="auto" w:fill="FFFFFF"/>
        </w:rPr>
        <w:t>Roční výška odtoku v porovnání s dlouhodobým průměrem 19</w:t>
      </w:r>
      <w:r w:rsidR="00664A40" w:rsidRPr="00812880">
        <w:rPr>
          <w:b/>
          <w:i/>
          <w:color w:val="000000" w:themeColor="text1"/>
          <w:shd w:val="clear" w:color="auto" w:fill="FFFFFF"/>
        </w:rPr>
        <w:t>9</w:t>
      </w:r>
      <w:r w:rsidRPr="00812880">
        <w:rPr>
          <w:b/>
          <w:i/>
          <w:color w:val="000000" w:themeColor="text1"/>
          <w:shd w:val="clear" w:color="auto" w:fill="FFFFFF"/>
        </w:rPr>
        <w:t>1–20</w:t>
      </w:r>
      <w:r w:rsidR="00664A40" w:rsidRPr="00812880">
        <w:rPr>
          <w:b/>
          <w:i/>
          <w:color w:val="000000" w:themeColor="text1"/>
          <w:shd w:val="clear" w:color="auto" w:fill="FFFFFF"/>
        </w:rPr>
        <w:t>2</w:t>
      </w:r>
      <w:r w:rsidRPr="00812880">
        <w:rPr>
          <w:b/>
          <w:i/>
          <w:color w:val="000000" w:themeColor="text1"/>
          <w:shd w:val="clear" w:color="auto" w:fill="FFFFFF"/>
        </w:rPr>
        <w:t>0</w:t>
      </w:r>
    </w:p>
    <w:p w14:paraId="2CFF8A4A" w14:textId="425B230F" w:rsidR="004C505E" w:rsidRPr="00104F7D" w:rsidRDefault="00812880" w:rsidP="007C4955">
      <w:pPr>
        <w:contextualSpacing/>
        <w:rPr>
          <w:b/>
          <w:i/>
          <w:color w:val="000000" w:themeColor="text1"/>
          <w:highlight w:val="yellow"/>
        </w:rPr>
      </w:pPr>
      <w:r>
        <w:rPr>
          <w:b/>
          <w:i/>
          <w:noProof/>
          <w:color w:val="000000" w:themeColor="text1"/>
          <w:shd w:val="clear" w:color="auto" w:fill="FFFFFF"/>
        </w:rPr>
        <w:drawing>
          <wp:inline distT="0" distB="0" distL="0" distR="0" wp14:anchorId="3D5CCB0B" wp14:editId="66113EF1">
            <wp:extent cx="4984750" cy="3461632"/>
            <wp:effectExtent l="0" t="0" r="6350" b="5715"/>
            <wp:docPr id="52583188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831883" name="Obrázek 52583188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87384" cy="3463461"/>
                    </a:xfrm>
                    <a:prstGeom prst="rect">
                      <a:avLst/>
                    </a:prstGeom>
                  </pic:spPr>
                </pic:pic>
              </a:graphicData>
            </a:graphic>
          </wp:inline>
        </w:drawing>
      </w:r>
    </w:p>
    <w:p w14:paraId="6268F32D" w14:textId="77777777" w:rsidR="009A4681" w:rsidRPr="00812880" w:rsidRDefault="009A4681" w:rsidP="007C4955">
      <w:pPr>
        <w:contextualSpacing/>
        <w:rPr>
          <w:rFonts w:cs="Arial"/>
          <w:i/>
          <w:color w:val="000000" w:themeColor="text1"/>
          <w:sz w:val="20"/>
          <w:szCs w:val="20"/>
          <w:shd w:val="clear" w:color="auto" w:fill="FFFFFF"/>
        </w:rPr>
      </w:pPr>
      <w:r w:rsidRPr="00812880">
        <w:rPr>
          <w:rFonts w:cs="Arial"/>
          <w:i/>
          <w:color w:val="000000" w:themeColor="text1"/>
          <w:sz w:val="20"/>
          <w:szCs w:val="20"/>
          <w:shd w:val="clear" w:color="auto" w:fill="FFFFFF"/>
        </w:rPr>
        <w:t>Pramen: ČHMÚ</w:t>
      </w:r>
    </w:p>
    <w:p w14:paraId="6F45EB53" w14:textId="77777777" w:rsidR="007C064A" w:rsidRPr="00104F7D" w:rsidRDefault="007C064A" w:rsidP="007C4955">
      <w:pPr>
        <w:contextualSpacing/>
        <w:rPr>
          <w:rFonts w:cs="Arial"/>
          <w:b/>
          <w:bCs/>
          <w:i/>
          <w:color w:val="FF0000"/>
          <w:sz w:val="20"/>
          <w:szCs w:val="20"/>
          <w:highlight w:val="yellow"/>
        </w:rPr>
      </w:pPr>
    </w:p>
    <w:p w14:paraId="1E97DB50" w14:textId="77777777" w:rsidR="003A73C7" w:rsidRPr="00A066C9" w:rsidRDefault="003A73C7" w:rsidP="003A73C7">
      <w:pPr>
        <w:rPr>
          <w:b/>
          <w:bCs/>
          <w:i/>
          <w:iCs/>
        </w:rPr>
      </w:pPr>
      <w:r w:rsidRPr="00A066C9">
        <w:rPr>
          <w:b/>
          <w:bCs/>
          <w:i/>
          <w:iCs/>
        </w:rPr>
        <w:t>Zimní období</w:t>
      </w:r>
    </w:p>
    <w:p w14:paraId="42C55F62" w14:textId="77777777" w:rsidR="003A73C7" w:rsidRPr="00A066C9" w:rsidRDefault="003A73C7" w:rsidP="003A73C7">
      <w:pPr>
        <w:rPr>
          <w:rFonts w:eastAsia="Times New Roman"/>
          <w:bCs/>
          <w:sz w:val="20"/>
          <w:szCs w:val="20"/>
          <w:lang w:eastAsia="cs-CZ"/>
        </w:rPr>
      </w:pPr>
      <w:r w:rsidRPr="00A066C9">
        <w:rPr>
          <w:bCs/>
        </w:rPr>
        <w:t>Zimní měsíce byly z odtokového hlediska ve většině hlavních povodí převážně průměrné až mírně podprůměrné. Hydrologická situace byla po většinu období klidná, bez plošně významných odtokových epizod. V lednu se místy vyskytovalo přechodné zvýšení průtoků v souvislosti se srážkami a táním sněhové pokrývky, zatímco v únoru docházelo k postupnému poklesu průtoků, místy až k hodnotám blízkým hydrologickému suchu. V obou měsících se převážně na menších horských tocích vyskytovaly ledové jevy, které lokálně ovlivňovaly průtokové poměry.</w:t>
      </w:r>
      <w:r w:rsidRPr="00A066C9">
        <w:rPr>
          <w:rFonts w:eastAsia="Times New Roman"/>
          <w:bCs/>
          <w:sz w:val="20"/>
          <w:szCs w:val="20"/>
          <w:lang w:eastAsia="cs-CZ"/>
        </w:rPr>
        <w:t xml:space="preserve"> </w:t>
      </w:r>
    </w:p>
    <w:p w14:paraId="422030C1" w14:textId="77777777" w:rsidR="003A73C7" w:rsidRDefault="003A73C7" w:rsidP="003A73C7">
      <w:pPr>
        <w:rPr>
          <w:b/>
          <w:bCs/>
          <w:i/>
          <w:iCs/>
        </w:rPr>
      </w:pPr>
    </w:p>
    <w:p w14:paraId="28E90BD8" w14:textId="01E17A5F" w:rsidR="003A73C7" w:rsidRPr="00A066C9" w:rsidRDefault="003A73C7" w:rsidP="003A73C7">
      <w:pPr>
        <w:rPr>
          <w:b/>
          <w:bCs/>
          <w:i/>
          <w:iCs/>
        </w:rPr>
      </w:pPr>
      <w:r w:rsidRPr="00A066C9">
        <w:rPr>
          <w:b/>
          <w:bCs/>
          <w:i/>
          <w:iCs/>
        </w:rPr>
        <w:t>Leden</w:t>
      </w:r>
    </w:p>
    <w:p w14:paraId="0F781DC3" w14:textId="77777777" w:rsidR="003A73C7" w:rsidRPr="00A066C9" w:rsidRDefault="003A73C7" w:rsidP="003A73C7">
      <w:pPr>
        <w:rPr>
          <w:rFonts w:eastAsia="Times New Roman"/>
          <w:lang w:eastAsia="cs-CZ"/>
        </w:rPr>
      </w:pPr>
      <w:r w:rsidRPr="00A066C9">
        <w:rPr>
          <w:rFonts w:eastAsia="Times New Roman"/>
          <w:lang w:eastAsia="cs-CZ"/>
        </w:rPr>
        <w:t>Leden byl ve většině hlavních povodí převážně průměrným až mírně podprůměrným měsícem, nejméně vody odteklo Labem (70 % Q</w:t>
      </w:r>
      <w:r w:rsidRPr="00A066C9">
        <w:rPr>
          <w:rFonts w:eastAsia="Times New Roman"/>
          <w:vertAlign w:val="subscript"/>
          <w:lang w:eastAsia="cs-CZ"/>
        </w:rPr>
        <w:t>I</w:t>
      </w:r>
      <w:r w:rsidRPr="00A066C9">
        <w:rPr>
          <w:rFonts w:eastAsia="Times New Roman"/>
          <w:lang w:eastAsia="cs-CZ"/>
        </w:rPr>
        <w:t>) a Vltavou (60 % Q</w:t>
      </w:r>
      <w:r w:rsidRPr="00A066C9">
        <w:rPr>
          <w:rFonts w:eastAsia="Times New Roman"/>
          <w:vertAlign w:val="subscript"/>
          <w:lang w:eastAsia="cs-CZ"/>
        </w:rPr>
        <w:t>I</w:t>
      </w:r>
      <w:r w:rsidRPr="00A066C9">
        <w:rPr>
          <w:rFonts w:eastAsia="Times New Roman"/>
          <w:lang w:eastAsia="cs-CZ"/>
        </w:rPr>
        <w:t>). Průměrné měsíční průtoky se na sledovaných tocích nejčastěji pohybovaly v rozmezí od 60 do 115 % Q</w:t>
      </w:r>
      <w:r w:rsidRPr="00A066C9">
        <w:rPr>
          <w:rFonts w:eastAsia="Times New Roman"/>
          <w:vertAlign w:val="subscript"/>
          <w:lang w:eastAsia="cs-CZ"/>
        </w:rPr>
        <w:t>I</w:t>
      </w:r>
      <w:r w:rsidRPr="00A066C9">
        <w:rPr>
          <w:rFonts w:eastAsia="Times New Roman"/>
          <w:lang w:eastAsia="cs-CZ"/>
        </w:rPr>
        <w:t xml:space="preserve">. Ve druhé polovině měsíce vykazovaly hladiny toků převážně klesající tendenci. V průběhu měsíce se na menších tocích začaly projevovat ledové jevy, vlivem kterých byl místy překročen 1. SPA. </w:t>
      </w:r>
    </w:p>
    <w:p w14:paraId="2B6019AC" w14:textId="77777777" w:rsidR="003A73C7" w:rsidRDefault="003A73C7" w:rsidP="003A73C7">
      <w:pPr>
        <w:rPr>
          <w:b/>
          <w:bCs/>
          <w:i/>
          <w:iCs/>
        </w:rPr>
      </w:pPr>
    </w:p>
    <w:p w14:paraId="41AB0693" w14:textId="77777777" w:rsidR="00FD7E69" w:rsidRDefault="00FD7E69" w:rsidP="003A73C7">
      <w:pPr>
        <w:rPr>
          <w:b/>
          <w:bCs/>
          <w:i/>
          <w:iCs/>
        </w:rPr>
      </w:pPr>
    </w:p>
    <w:p w14:paraId="0E1A6F79" w14:textId="527084FF" w:rsidR="003A73C7" w:rsidRPr="00A066C9" w:rsidRDefault="003A73C7" w:rsidP="003A73C7">
      <w:pPr>
        <w:rPr>
          <w:b/>
          <w:bCs/>
          <w:i/>
          <w:iCs/>
        </w:rPr>
      </w:pPr>
      <w:r w:rsidRPr="00A066C9">
        <w:rPr>
          <w:b/>
          <w:bCs/>
          <w:i/>
          <w:iCs/>
        </w:rPr>
        <w:t>Únor</w:t>
      </w:r>
    </w:p>
    <w:p w14:paraId="27334030" w14:textId="77777777" w:rsidR="003A73C7" w:rsidRPr="00A066C9" w:rsidRDefault="003A73C7" w:rsidP="003A73C7">
      <w:pPr>
        <w:rPr>
          <w:rFonts w:eastAsia="Times New Roman"/>
          <w:lang w:eastAsia="cs-CZ"/>
        </w:rPr>
      </w:pPr>
      <w:r w:rsidRPr="00A066C9">
        <w:rPr>
          <w:rFonts w:eastAsia="Times New Roman"/>
          <w:lang w:eastAsia="cs-CZ"/>
        </w:rPr>
        <w:t>Z odtokového hlediska byl únor ve většině hlavních povodí převážně podprůměrným měsícem. Průměrné měsíční průtoky se pohybovaly v hodnotách od 30 do 85 % Q</w:t>
      </w:r>
      <w:r w:rsidRPr="00A066C9">
        <w:rPr>
          <w:rFonts w:eastAsia="Times New Roman"/>
          <w:vertAlign w:val="subscript"/>
          <w:lang w:eastAsia="cs-CZ"/>
        </w:rPr>
        <w:t>II</w:t>
      </w:r>
      <w:r w:rsidRPr="00A066C9">
        <w:rPr>
          <w:rFonts w:eastAsia="Times New Roman"/>
          <w:lang w:eastAsia="cs-CZ"/>
        </w:rPr>
        <w:t>. V průběhu měsíce se postupně snižovaly a ke konci února dosahovaly místy až na hranici hydrologického sucha. Také během února se zejména na menších horských tocích přechodně vyskytovaly ledové jevy, místy s dosažením nebo i překročením 1. SPA. Hladiny toků byly převážně setrvalé nebo s pozvolně klesající tendencí.</w:t>
      </w:r>
    </w:p>
    <w:p w14:paraId="7022B799" w14:textId="77777777" w:rsidR="00FD7E69" w:rsidRDefault="00FD7E69" w:rsidP="003A73C7">
      <w:pPr>
        <w:rPr>
          <w:b/>
          <w:bCs/>
          <w:i/>
          <w:iCs/>
        </w:rPr>
      </w:pPr>
    </w:p>
    <w:p w14:paraId="743232FF" w14:textId="59280A5F" w:rsidR="003A73C7" w:rsidRPr="00A066C9" w:rsidRDefault="003A73C7" w:rsidP="003A73C7">
      <w:pPr>
        <w:rPr>
          <w:b/>
          <w:bCs/>
          <w:i/>
          <w:iCs/>
        </w:rPr>
      </w:pPr>
      <w:r w:rsidRPr="00A066C9">
        <w:rPr>
          <w:b/>
          <w:bCs/>
          <w:i/>
          <w:iCs/>
        </w:rPr>
        <w:t>Jarní období</w:t>
      </w:r>
    </w:p>
    <w:p w14:paraId="44DB5E5E" w14:textId="77777777" w:rsidR="003A73C7" w:rsidRPr="00A066C9" w:rsidRDefault="003A73C7" w:rsidP="003A73C7">
      <w:pPr>
        <w:rPr>
          <w:rFonts w:eastAsia="Times New Roman"/>
          <w:lang w:eastAsia="cs-CZ"/>
        </w:rPr>
      </w:pPr>
      <w:r w:rsidRPr="00A066C9">
        <w:rPr>
          <w:rFonts w:eastAsia="Times New Roman"/>
          <w:lang w:eastAsia="cs-CZ"/>
        </w:rPr>
        <w:t>Jarní měsíce byly z hlediska odtoku ve všech hlavních povodích převážně podprůměrné až výrazně podprůměrné. Průtoky se po většinu jara udržovaly na nízkých hodnotách, bez významnějších plošných odtokových epizod. Pouze lokálně a krátkodobě docházelo k přechodným vzestupům hladin v reakci na srážky, případně se jednalo o manipulaci na vodních dílech, přičemž ojediněle byly dosaženy 1. stupně povodňové aktivity.</w:t>
      </w:r>
    </w:p>
    <w:p w14:paraId="01979AA3" w14:textId="77777777" w:rsidR="00FD7E69" w:rsidRDefault="00FD7E69" w:rsidP="003A73C7">
      <w:pPr>
        <w:rPr>
          <w:b/>
          <w:bCs/>
          <w:i/>
          <w:iCs/>
        </w:rPr>
      </w:pPr>
    </w:p>
    <w:p w14:paraId="2EC00E32" w14:textId="7EEA67A8" w:rsidR="003A73C7" w:rsidRPr="00A066C9" w:rsidRDefault="003A73C7" w:rsidP="003A73C7">
      <w:pPr>
        <w:rPr>
          <w:b/>
          <w:bCs/>
          <w:i/>
          <w:iCs/>
        </w:rPr>
      </w:pPr>
      <w:r w:rsidRPr="00A066C9">
        <w:rPr>
          <w:b/>
          <w:bCs/>
          <w:i/>
          <w:iCs/>
        </w:rPr>
        <w:t>Březen</w:t>
      </w:r>
    </w:p>
    <w:p w14:paraId="18ED6A09" w14:textId="77777777" w:rsidR="003A73C7" w:rsidRPr="00A066C9" w:rsidRDefault="003A73C7" w:rsidP="003A73C7">
      <w:pPr>
        <w:rPr>
          <w:rFonts w:eastAsia="Times New Roman"/>
          <w:lang w:eastAsia="cs-CZ"/>
        </w:rPr>
      </w:pPr>
      <w:r w:rsidRPr="00A066C9">
        <w:rPr>
          <w:rFonts w:eastAsia="Times New Roman"/>
          <w:lang w:eastAsia="cs-CZ"/>
        </w:rPr>
        <w:t>Březen byl měsícem převážně výrazně podprůměrným až podprůměrným ve všech hlavních povodích, přičemž nejméně vody odteklo Labem (36 % Q</w:t>
      </w:r>
      <w:r w:rsidRPr="00A066C9">
        <w:rPr>
          <w:rFonts w:eastAsia="Times New Roman"/>
          <w:vertAlign w:val="subscript"/>
          <w:lang w:eastAsia="cs-CZ"/>
        </w:rPr>
        <w:t>III</w:t>
      </w:r>
      <w:r w:rsidRPr="00A066C9">
        <w:rPr>
          <w:rFonts w:eastAsia="Times New Roman"/>
          <w:lang w:eastAsia="cs-CZ"/>
        </w:rPr>
        <w:t>) a Vltavou (36 % Q</w:t>
      </w:r>
      <w:r w:rsidRPr="00A066C9">
        <w:rPr>
          <w:rFonts w:eastAsia="Times New Roman"/>
          <w:vertAlign w:val="subscript"/>
          <w:lang w:eastAsia="cs-CZ"/>
        </w:rPr>
        <w:t>III</w:t>
      </w:r>
      <w:r w:rsidRPr="00A066C9">
        <w:rPr>
          <w:rFonts w:eastAsia="Times New Roman"/>
          <w:lang w:eastAsia="cs-CZ"/>
        </w:rPr>
        <w:t>). Průměrné měsíční průtoky se nejčastěji pohybovaly v rozmezí od 20 do 60 % Q</w:t>
      </w:r>
      <w:r w:rsidRPr="00A066C9">
        <w:rPr>
          <w:rFonts w:eastAsia="Times New Roman"/>
          <w:vertAlign w:val="subscript"/>
          <w:lang w:eastAsia="cs-CZ"/>
        </w:rPr>
        <w:t>III</w:t>
      </w:r>
      <w:r w:rsidRPr="00A066C9">
        <w:rPr>
          <w:rFonts w:eastAsia="Times New Roman"/>
          <w:lang w:eastAsia="cs-CZ"/>
        </w:rPr>
        <w:t>. Hladiny sledovaných toků byly v průběhu celého měsíce převážně setrvalé nebo na pozvolném poklesu. Přechodné vzestupy hladin se vyskytovaly pouze lokálně a krátkodobě.</w:t>
      </w:r>
    </w:p>
    <w:p w14:paraId="0AD37C5C" w14:textId="77777777" w:rsidR="00FD7E69" w:rsidRDefault="00FD7E69" w:rsidP="003A73C7">
      <w:pPr>
        <w:rPr>
          <w:b/>
          <w:bCs/>
          <w:i/>
          <w:iCs/>
        </w:rPr>
      </w:pPr>
    </w:p>
    <w:p w14:paraId="670994E3" w14:textId="30140368" w:rsidR="003A73C7" w:rsidRPr="00A066C9" w:rsidRDefault="003A73C7" w:rsidP="003A73C7">
      <w:pPr>
        <w:rPr>
          <w:b/>
          <w:bCs/>
          <w:i/>
          <w:iCs/>
        </w:rPr>
      </w:pPr>
      <w:r w:rsidRPr="00A066C9">
        <w:rPr>
          <w:b/>
          <w:bCs/>
          <w:i/>
          <w:iCs/>
        </w:rPr>
        <w:t>Duben</w:t>
      </w:r>
    </w:p>
    <w:p w14:paraId="75A1BC73" w14:textId="77777777" w:rsidR="003A73C7" w:rsidRPr="00A066C9" w:rsidRDefault="003A73C7" w:rsidP="003A73C7">
      <w:pPr>
        <w:rPr>
          <w:rFonts w:eastAsia="Times New Roman"/>
          <w:lang w:eastAsia="cs-CZ"/>
        </w:rPr>
      </w:pPr>
      <w:r w:rsidRPr="00A066C9">
        <w:rPr>
          <w:rFonts w:eastAsia="Times New Roman"/>
          <w:lang w:eastAsia="cs-CZ"/>
        </w:rPr>
        <w:t>Co se týká odtoku, byl duben převážně výrazně podprůměrným až podprůměrným měsícem ve všech hlavních povodích, nejméně vody odteklo Moravou (35 % Q</w:t>
      </w:r>
      <w:r w:rsidRPr="00A066C9">
        <w:rPr>
          <w:rFonts w:eastAsia="Times New Roman"/>
          <w:vertAlign w:val="subscript"/>
          <w:lang w:eastAsia="cs-CZ"/>
        </w:rPr>
        <w:t>IV</w:t>
      </w:r>
      <w:r w:rsidRPr="00A066C9">
        <w:rPr>
          <w:rFonts w:eastAsia="Times New Roman"/>
          <w:lang w:eastAsia="cs-CZ"/>
        </w:rPr>
        <w:t>) a Olší (30 % Q</w:t>
      </w:r>
      <w:r w:rsidRPr="00A066C9">
        <w:rPr>
          <w:rFonts w:eastAsia="Times New Roman"/>
          <w:vertAlign w:val="subscript"/>
          <w:lang w:eastAsia="cs-CZ"/>
        </w:rPr>
        <w:t>IV</w:t>
      </w:r>
      <w:r w:rsidRPr="00A066C9">
        <w:rPr>
          <w:rFonts w:eastAsia="Times New Roman"/>
          <w:lang w:eastAsia="cs-CZ"/>
        </w:rPr>
        <w:t>). Průměrné měsíční průtoky se na většině sledovaných toků nejčastěji pohybovaly v rozmezí od 15 do 65 % Q</w:t>
      </w:r>
      <w:r w:rsidRPr="00A066C9">
        <w:rPr>
          <w:rFonts w:eastAsia="Times New Roman"/>
          <w:vertAlign w:val="subscript"/>
          <w:lang w:eastAsia="cs-CZ"/>
        </w:rPr>
        <w:t>IV</w:t>
      </w:r>
      <w:r w:rsidRPr="00A066C9">
        <w:rPr>
          <w:rFonts w:eastAsia="Times New Roman"/>
          <w:lang w:eastAsia="cs-CZ"/>
        </w:rPr>
        <w:t xml:space="preserve">. Hladiny toků byly v průběhu většiny měsíce převážně setrvalé nebo pouze slabě kolísaly. Výraznější kolísání bylo zaznamenáno až v závěru měsíce, kdy 25. 4. došlo vlivem srážek k přechodnému dosažení 1. SPA na </w:t>
      </w:r>
      <w:proofErr w:type="spellStart"/>
      <w:r w:rsidRPr="00A066C9">
        <w:rPr>
          <w:rFonts w:eastAsia="Times New Roman"/>
          <w:lang w:eastAsia="cs-CZ"/>
        </w:rPr>
        <w:t>Brodečce</w:t>
      </w:r>
      <w:proofErr w:type="spellEnd"/>
      <w:r w:rsidRPr="00A066C9">
        <w:rPr>
          <w:rFonts w:eastAsia="Times New Roman"/>
          <w:lang w:eastAsia="cs-CZ"/>
        </w:rPr>
        <w:t xml:space="preserve"> v profilu Otaslavice. K vzestupům s překročením 1. SPA došlo také vlivem manipulací na vodních dílech.</w:t>
      </w:r>
    </w:p>
    <w:p w14:paraId="09F833D8" w14:textId="77777777" w:rsidR="00FD7E69" w:rsidRDefault="00FD7E69" w:rsidP="003A73C7">
      <w:pPr>
        <w:rPr>
          <w:b/>
          <w:bCs/>
          <w:i/>
          <w:iCs/>
        </w:rPr>
      </w:pPr>
    </w:p>
    <w:p w14:paraId="58C78EDF" w14:textId="6E5690A6" w:rsidR="003A73C7" w:rsidRPr="00A066C9" w:rsidRDefault="003A73C7" w:rsidP="003A73C7">
      <w:pPr>
        <w:rPr>
          <w:b/>
          <w:bCs/>
          <w:i/>
          <w:iCs/>
        </w:rPr>
      </w:pPr>
      <w:r w:rsidRPr="00A066C9">
        <w:rPr>
          <w:b/>
          <w:bCs/>
          <w:i/>
          <w:iCs/>
        </w:rPr>
        <w:t>Květe</w:t>
      </w:r>
      <w:r w:rsidRPr="00A066C9">
        <w:rPr>
          <w:rFonts w:eastAsia="Times New Roman"/>
          <w:b/>
          <w:bCs/>
          <w:i/>
          <w:iCs/>
          <w:lang w:eastAsia="cs-CZ"/>
        </w:rPr>
        <w:t>n</w:t>
      </w:r>
    </w:p>
    <w:p w14:paraId="7AC0EE07" w14:textId="77777777" w:rsidR="003A73C7" w:rsidRPr="00A066C9" w:rsidRDefault="003A73C7" w:rsidP="003A73C7">
      <w:pPr>
        <w:rPr>
          <w:rFonts w:eastAsia="Times New Roman"/>
          <w:lang w:eastAsia="cs-CZ"/>
        </w:rPr>
      </w:pPr>
      <w:r w:rsidRPr="00A066C9">
        <w:rPr>
          <w:rFonts w:eastAsia="Times New Roman"/>
          <w:lang w:eastAsia="cs-CZ"/>
        </w:rPr>
        <w:t>Z odtokového hlediska byl i květen výrazně podprůměrným až podprůměrným měsícem ve všech hlavních povodích, nejméně vody odteklo Odrou (39 % Q</w:t>
      </w:r>
      <w:r w:rsidRPr="00A066C9">
        <w:rPr>
          <w:rFonts w:eastAsia="Times New Roman"/>
          <w:vertAlign w:val="subscript"/>
          <w:lang w:eastAsia="cs-CZ"/>
        </w:rPr>
        <w:t>V</w:t>
      </w:r>
      <w:r w:rsidRPr="00A066C9">
        <w:rPr>
          <w:rFonts w:eastAsia="Times New Roman"/>
          <w:lang w:eastAsia="cs-CZ"/>
        </w:rPr>
        <w:t>) a Moravou (38 % Q</w:t>
      </w:r>
      <w:r w:rsidRPr="00A066C9">
        <w:rPr>
          <w:rFonts w:eastAsia="Times New Roman"/>
          <w:vertAlign w:val="subscript"/>
          <w:lang w:eastAsia="cs-CZ"/>
        </w:rPr>
        <w:t>V</w:t>
      </w:r>
      <w:r w:rsidRPr="00A066C9">
        <w:rPr>
          <w:rFonts w:eastAsia="Times New Roman"/>
          <w:lang w:eastAsia="cs-CZ"/>
        </w:rPr>
        <w:t>). Průměrné měsíční průtoky se na většině sledovaných toků pohybovaly nejčastěji v rozmezí od 15 do 90 % Q</w:t>
      </w:r>
      <w:r w:rsidRPr="00A066C9">
        <w:rPr>
          <w:rFonts w:eastAsia="Times New Roman"/>
          <w:vertAlign w:val="subscript"/>
          <w:lang w:eastAsia="cs-CZ"/>
        </w:rPr>
        <w:t>V</w:t>
      </w:r>
      <w:r w:rsidRPr="00A066C9">
        <w:rPr>
          <w:rFonts w:eastAsia="Times New Roman"/>
          <w:lang w:eastAsia="cs-CZ"/>
        </w:rPr>
        <w:t>. Nízké průtoky převažovaly zejména v první a druhé dekádě měsíce. Hladiny sledovaných toků byly v průběhu většiny měsíce převážně setrvalé nebo pouze slabě kolísaly. Výraznější kolísání hladin bylo zaznamenáno v závěru měsíce v důsledku srážkové činnosti, kdy na některých tocích došlo k přechodným vzestupům hladin. K dalším vzestupům, avšak již s dosažením 1. SPA došlo na přelomu května a června.</w:t>
      </w:r>
    </w:p>
    <w:p w14:paraId="4BBF7503" w14:textId="77777777" w:rsidR="00FD7E69" w:rsidRDefault="00FD7E69" w:rsidP="003A73C7">
      <w:pPr>
        <w:rPr>
          <w:b/>
          <w:bCs/>
          <w:i/>
          <w:iCs/>
        </w:rPr>
      </w:pPr>
    </w:p>
    <w:p w14:paraId="56788DC2" w14:textId="11E9A72F" w:rsidR="003A73C7" w:rsidRPr="00A066C9" w:rsidRDefault="003A73C7" w:rsidP="003A73C7">
      <w:pPr>
        <w:rPr>
          <w:b/>
          <w:bCs/>
          <w:i/>
          <w:iCs/>
        </w:rPr>
      </w:pPr>
      <w:r w:rsidRPr="00A066C9">
        <w:rPr>
          <w:b/>
          <w:bCs/>
          <w:i/>
          <w:iCs/>
        </w:rPr>
        <w:t>Letní období</w:t>
      </w:r>
    </w:p>
    <w:p w14:paraId="69E33832" w14:textId="77777777" w:rsidR="003A73C7" w:rsidRPr="00A066C9" w:rsidRDefault="003A73C7" w:rsidP="003A73C7">
      <w:pPr>
        <w:rPr>
          <w:rFonts w:eastAsia="Times New Roman"/>
          <w:lang w:eastAsia="cs-CZ"/>
        </w:rPr>
      </w:pPr>
      <w:r w:rsidRPr="00A066C9">
        <w:rPr>
          <w:rFonts w:eastAsia="Times New Roman"/>
          <w:lang w:eastAsia="cs-CZ"/>
        </w:rPr>
        <w:t>Letní období bylo z odtokového hlediska převážně podprůměrné, místy až výrazně podprůměrné. Nízké průtoky převažovaly ve většině hlavních povodí, hydrologickou situaci ovlivňovaly především lokální a krátkodobé srážkové epizody, které zejména na menších tocích vedly k přechodným vzestupům hladin a místy i k dosažení stupňů povodňové aktivity.</w:t>
      </w:r>
    </w:p>
    <w:p w14:paraId="0953CEDB" w14:textId="77777777" w:rsidR="00FD7E69" w:rsidRDefault="00FD7E69" w:rsidP="003A73C7">
      <w:pPr>
        <w:rPr>
          <w:b/>
          <w:bCs/>
          <w:i/>
          <w:iCs/>
        </w:rPr>
      </w:pPr>
    </w:p>
    <w:p w14:paraId="4CEFC582" w14:textId="0AF8E41C" w:rsidR="003A73C7" w:rsidRPr="00A066C9" w:rsidRDefault="003A73C7" w:rsidP="003A73C7">
      <w:pPr>
        <w:rPr>
          <w:b/>
          <w:bCs/>
          <w:i/>
          <w:iCs/>
        </w:rPr>
      </w:pPr>
      <w:r w:rsidRPr="00A066C9">
        <w:rPr>
          <w:b/>
          <w:bCs/>
          <w:i/>
          <w:iCs/>
        </w:rPr>
        <w:t>Červen</w:t>
      </w:r>
    </w:p>
    <w:p w14:paraId="2578E2EC" w14:textId="77777777" w:rsidR="003A73C7" w:rsidRPr="00A066C9" w:rsidRDefault="003A73C7" w:rsidP="003A73C7">
      <w:pPr>
        <w:rPr>
          <w:rFonts w:eastAsia="Times New Roman"/>
          <w:lang w:eastAsia="cs-CZ"/>
        </w:rPr>
      </w:pPr>
      <w:r w:rsidRPr="00A066C9">
        <w:rPr>
          <w:rFonts w:eastAsia="Times New Roman"/>
          <w:lang w:eastAsia="cs-CZ"/>
        </w:rPr>
        <w:t>Z odtokového hlediska byl červen podprůměrným až výrazně podprůměrným měsícem ve všech hlavních povodích, nejméně vody odteklo Vltavou (45 % Q</w:t>
      </w:r>
      <w:r w:rsidRPr="00A066C9">
        <w:rPr>
          <w:rFonts w:eastAsia="Times New Roman"/>
          <w:vertAlign w:val="subscript"/>
          <w:lang w:eastAsia="cs-CZ"/>
        </w:rPr>
        <w:t>VI</w:t>
      </w:r>
      <w:r w:rsidRPr="00A066C9">
        <w:rPr>
          <w:rFonts w:eastAsia="Times New Roman"/>
          <w:lang w:eastAsia="cs-CZ"/>
        </w:rPr>
        <w:t>) a Moravou (46 % Q</w:t>
      </w:r>
      <w:r w:rsidRPr="00A066C9">
        <w:rPr>
          <w:rFonts w:eastAsia="Times New Roman"/>
          <w:vertAlign w:val="subscript"/>
          <w:lang w:eastAsia="cs-CZ"/>
        </w:rPr>
        <w:t>VI</w:t>
      </w:r>
      <w:r w:rsidRPr="00A066C9">
        <w:rPr>
          <w:rFonts w:eastAsia="Times New Roman"/>
          <w:lang w:eastAsia="cs-CZ"/>
        </w:rPr>
        <w:t>). Průměrné měsíční průtoky se na většině sledovaných toků pohybovaly v širokém rozmezí od 15 do 90 % Q</w:t>
      </w:r>
      <w:r w:rsidRPr="00A066C9">
        <w:rPr>
          <w:rFonts w:eastAsia="Times New Roman"/>
          <w:vertAlign w:val="subscript"/>
          <w:lang w:eastAsia="cs-CZ"/>
        </w:rPr>
        <w:t>VI</w:t>
      </w:r>
      <w:r w:rsidRPr="00A066C9">
        <w:rPr>
          <w:rFonts w:eastAsia="Times New Roman"/>
          <w:lang w:eastAsia="cs-CZ"/>
        </w:rPr>
        <w:t>, přičemž nejnižší hodnoty průtoků byly zaznamenány zejména v povodí Vltavy a středního Labe. V průběhu měsíce byly hladiny toků převážně setrvalé nebo hladiny vykazovaly pouze mírně klesající tendencí. Přechodné vzestupy hladin se vyskytly pouze lokálně v reakci na srážkovou činnost. K dosažení 2. SPA došlo 5. 6. na Litavě v Brankovicích (</w:t>
      </w:r>
      <w:proofErr w:type="gramStart"/>
      <w:r w:rsidRPr="00A066C9">
        <w:rPr>
          <w:rFonts w:eastAsia="Times New Roman"/>
          <w:lang w:eastAsia="cs-CZ"/>
        </w:rPr>
        <w:t>Q</w:t>
      </w:r>
      <w:r w:rsidRPr="00A066C9">
        <w:rPr>
          <w:rFonts w:eastAsia="Times New Roman"/>
          <w:vertAlign w:val="subscript"/>
          <w:lang w:eastAsia="cs-CZ"/>
        </w:rPr>
        <w:t>&lt;</w:t>
      </w:r>
      <w:proofErr w:type="gramEnd"/>
      <w:r w:rsidRPr="00A066C9">
        <w:rPr>
          <w:rFonts w:eastAsia="Times New Roman"/>
          <w:vertAlign w:val="subscript"/>
          <w:lang w:eastAsia="cs-CZ"/>
        </w:rPr>
        <w:t>2</w:t>
      </w:r>
      <w:r w:rsidRPr="00A066C9">
        <w:rPr>
          <w:rFonts w:eastAsia="Times New Roman"/>
          <w:lang w:eastAsia="cs-CZ"/>
        </w:rPr>
        <w:t>), 1. SPA byl překročen na Cidlině v Novém Bydžově (Q</w:t>
      </w:r>
      <w:r w:rsidRPr="00A066C9">
        <w:rPr>
          <w:rFonts w:eastAsia="Times New Roman"/>
          <w:vertAlign w:val="subscript"/>
          <w:lang w:eastAsia="cs-CZ"/>
        </w:rPr>
        <w:t>2</w:t>
      </w:r>
      <w:r w:rsidRPr="00A066C9">
        <w:rPr>
          <w:rFonts w:eastAsia="Times New Roman"/>
          <w:lang w:eastAsia="cs-CZ"/>
        </w:rPr>
        <w:t xml:space="preserve">). Během 23. 6. došlo pak k překročení 1. SPA na Lužické Nise v Proseči a v Liberci (vše </w:t>
      </w:r>
      <w:proofErr w:type="gramStart"/>
      <w:r w:rsidRPr="00A066C9">
        <w:rPr>
          <w:rFonts w:eastAsia="Times New Roman"/>
          <w:lang w:eastAsia="cs-CZ"/>
        </w:rPr>
        <w:t>Q</w:t>
      </w:r>
      <w:r w:rsidRPr="00A066C9">
        <w:rPr>
          <w:rFonts w:eastAsia="Times New Roman"/>
          <w:vertAlign w:val="subscript"/>
          <w:lang w:eastAsia="cs-CZ"/>
        </w:rPr>
        <w:t>&lt;</w:t>
      </w:r>
      <w:proofErr w:type="gramEnd"/>
      <w:r w:rsidRPr="00A066C9">
        <w:rPr>
          <w:rFonts w:eastAsia="Times New Roman"/>
          <w:vertAlign w:val="subscript"/>
          <w:lang w:eastAsia="cs-CZ"/>
        </w:rPr>
        <w:t>2</w:t>
      </w:r>
      <w:r w:rsidRPr="00A066C9">
        <w:rPr>
          <w:rFonts w:eastAsia="Times New Roman"/>
          <w:lang w:eastAsia="cs-CZ"/>
        </w:rPr>
        <w:t>). V průběhu června se postupně navyšoval počet profilů s indikací hydrologického sucha, zejména v nižších a středních polohách.</w:t>
      </w:r>
    </w:p>
    <w:p w14:paraId="2151ED45" w14:textId="77777777" w:rsidR="00FD7E69" w:rsidRDefault="00FD7E69" w:rsidP="003A73C7">
      <w:pPr>
        <w:rPr>
          <w:b/>
          <w:bCs/>
          <w:i/>
          <w:iCs/>
        </w:rPr>
      </w:pPr>
    </w:p>
    <w:p w14:paraId="29A63148" w14:textId="6F336260" w:rsidR="003A73C7" w:rsidRPr="00A066C9" w:rsidRDefault="003A73C7" w:rsidP="003A73C7">
      <w:pPr>
        <w:rPr>
          <w:b/>
          <w:bCs/>
          <w:i/>
          <w:iCs/>
        </w:rPr>
      </w:pPr>
      <w:r w:rsidRPr="00A066C9">
        <w:rPr>
          <w:b/>
          <w:bCs/>
          <w:i/>
          <w:iCs/>
        </w:rPr>
        <w:t>Červenec</w:t>
      </w:r>
    </w:p>
    <w:p w14:paraId="67BD5DD0" w14:textId="77777777" w:rsidR="003A73C7" w:rsidRPr="00A066C9" w:rsidRDefault="003A73C7" w:rsidP="003A73C7">
      <w:pPr>
        <w:rPr>
          <w:rFonts w:eastAsia="Times New Roman"/>
          <w:lang w:eastAsia="cs-CZ"/>
        </w:rPr>
      </w:pPr>
      <w:r w:rsidRPr="00A066C9">
        <w:rPr>
          <w:rFonts w:eastAsia="Times New Roman"/>
          <w:lang w:eastAsia="cs-CZ"/>
        </w:rPr>
        <w:t>Červenec byl, s výjimkou povodí Olše (88 % Q</w:t>
      </w:r>
      <w:r w:rsidRPr="00A066C9">
        <w:rPr>
          <w:rFonts w:eastAsia="Times New Roman"/>
          <w:vertAlign w:val="subscript"/>
          <w:lang w:eastAsia="cs-CZ"/>
        </w:rPr>
        <w:t>VII</w:t>
      </w:r>
      <w:r w:rsidRPr="00A066C9">
        <w:rPr>
          <w:rFonts w:eastAsia="Times New Roman"/>
          <w:lang w:eastAsia="cs-CZ"/>
        </w:rPr>
        <w:t>), dalším podprůměrným až výrazně podprůměrným měsícem v téměř všech hlavních povodích. Průměrné měsíční průtoky se ve většině sledovaných toků pohybovaly nejčastěji v širokém rozmezí od 20 do 80 % Q</w:t>
      </w:r>
      <w:r w:rsidRPr="00A066C9">
        <w:rPr>
          <w:rFonts w:eastAsia="Times New Roman"/>
          <w:vertAlign w:val="subscript"/>
          <w:lang w:eastAsia="cs-CZ"/>
        </w:rPr>
        <w:t>VII</w:t>
      </w:r>
      <w:r w:rsidRPr="00A066C9">
        <w:rPr>
          <w:rFonts w:eastAsia="Times New Roman"/>
          <w:lang w:eastAsia="cs-CZ"/>
        </w:rPr>
        <w:t xml:space="preserve">. Relativně větší průtoky byly zaznamenány zejména na tocích odvodňujících oblasti Jeseníků, Beskyd a v povodí Lužické Nisy. </w:t>
      </w:r>
      <w:r w:rsidRPr="00A066C9">
        <w:rPr>
          <w:rFonts w:eastAsia="Times New Roman"/>
          <w:lang w:eastAsia="cs-CZ"/>
        </w:rPr>
        <w:lastRenderedPageBreak/>
        <w:t>Na začátku měsíce byly hladiny toků místy ještě mírně rozkolísané v reakci na srážkovou epizodu na konci června. V průběhu druhé a třetí dekády však převládala setrvalá až klesající tendence hladin. Lokálně však docházelo 21. a 22. 7. k přechodným vzestupům hladin v důsledku bouřkové činnosti. K dalším výrazným vzestupům, v reakci na srážkové úhrny z 27. a 28. 7. došlo u toků odvodňující zejména Jeseníky. Dne 27. 7. byl přechodně překročen 3. SPA na toku Černý potok v profilu Velká Kraš (Q</w:t>
      </w:r>
      <w:r w:rsidRPr="00A066C9">
        <w:rPr>
          <w:rFonts w:eastAsia="Times New Roman"/>
          <w:vertAlign w:val="subscript"/>
          <w:lang w:eastAsia="cs-CZ"/>
        </w:rPr>
        <w:t>5</w:t>
      </w:r>
      <w:r w:rsidRPr="00A066C9">
        <w:rPr>
          <w:rFonts w:eastAsia="Times New Roman"/>
          <w:lang w:eastAsia="cs-CZ"/>
        </w:rPr>
        <w:t>) a dne 28. 7. byl krátkodobě dosažen 2. SPA na Lučině v Horních Domaslavicích (Q</w:t>
      </w:r>
      <w:r w:rsidRPr="00A066C9">
        <w:rPr>
          <w:rFonts w:eastAsia="Times New Roman"/>
          <w:vertAlign w:val="subscript"/>
          <w:lang w:eastAsia="cs-CZ"/>
        </w:rPr>
        <w:t>5</w:t>
      </w:r>
      <w:r w:rsidRPr="00A066C9">
        <w:rPr>
          <w:rFonts w:eastAsia="Times New Roman"/>
          <w:lang w:eastAsia="cs-CZ"/>
        </w:rPr>
        <w:t>) a na Stonávce v Hradišti (Q</w:t>
      </w:r>
      <w:r w:rsidRPr="00A066C9">
        <w:rPr>
          <w:rFonts w:eastAsia="Times New Roman"/>
          <w:vertAlign w:val="subscript"/>
          <w:lang w:eastAsia="cs-CZ"/>
        </w:rPr>
        <w:t>2</w:t>
      </w:r>
      <w:r w:rsidRPr="00A066C9">
        <w:rPr>
          <w:rFonts w:eastAsia="Times New Roman"/>
          <w:lang w:eastAsia="cs-CZ"/>
        </w:rPr>
        <w:t>). V závěru měsíce došlo vlivem srážek k přechodnému snížení počtu profilů s indikací hydrologického sucha.</w:t>
      </w:r>
    </w:p>
    <w:p w14:paraId="58EEBEA5" w14:textId="77777777" w:rsidR="00FD7E69" w:rsidRDefault="00FD7E69" w:rsidP="003A73C7">
      <w:pPr>
        <w:rPr>
          <w:b/>
          <w:bCs/>
          <w:i/>
          <w:iCs/>
        </w:rPr>
      </w:pPr>
    </w:p>
    <w:p w14:paraId="66C4D96A" w14:textId="5F083539" w:rsidR="003A73C7" w:rsidRPr="00A066C9" w:rsidRDefault="003A73C7" w:rsidP="003A73C7">
      <w:pPr>
        <w:rPr>
          <w:b/>
          <w:bCs/>
          <w:i/>
          <w:iCs/>
        </w:rPr>
      </w:pPr>
      <w:r w:rsidRPr="00A066C9">
        <w:rPr>
          <w:b/>
          <w:bCs/>
          <w:i/>
          <w:iCs/>
        </w:rPr>
        <w:t>Srpen</w:t>
      </w:r>
    </w:p>
    <w:p w14:paraId="28D5A415" w14:textId="77777777" w:rsidR="003A73C7" w:rsidRPr="00A066C9" w:rsidRDefault="003A73C7" w:rsidP="003A73C7">
      <w:pPr>
        <w:rPr>
          <w:rFonts w:eastAsia="Times New Roman"/>
          <w:lang w:eastAsia="cs-CZ"/>
        </w:rPr>
      </w:pPr>
      <w:r w:rsidRPr="00A066C9">
        <w:rPr>
          <w:rFonts w:eastAsia="Times New Roman"/>
          <w:lang w:eastAsia="cs-CZ"/>
        </w:rPr>
        <w:t>Z odtokového hlediska byl srpen opět podprůměrným měsícem téměř ve všech hlavních povodích. Průměrné měsíční průtoky se na většině sledovaných toků pohybovaly nejčastěji ve velkém rozmezí od 25 do 110 % Q</w:t>
      </w:r>
      <w:r w:rsidRPr="00A066C9">
        <w:rPr>
          <w:rFonts w:eastAsia="Times New Roman"/>
          <w:vertAlign w:val="subscript"/>
          <w:lang w:eastAsia="cs-CZ"/>
        </w:rPr>
        <w:t>VIII</w:t>
      </w:r>
      <w:r w:rsidRPr="00A066C9">
        <w:rPr>
          <w:rFonts w:eastAsia="Times New Roman"/>
          <w:lang w:eastAsia="cs-CZ"/>
        </w:rPr>
        <w:t>. Hladiny toků byly v průběhu měsíce převážně setrvalé nebo s pozvolně klesající tendencí. K výraznějšímu rozkolísání hladin docházelo zejména v první polovině měsíce pouze lokálně v souvislosti s bouřkovou činností</w:t>
      </w:r>
      <w:r w:rsidRPr="00A066C9">
        <w:rPr>
          <w:rFonts w:eastAsia="Times New Roman"/>
          <w:shd w:val="clear" w:color="auto" w:fill="FFFFFF"/>
          <w:lang w:eastAsia="cs-CZ"/>
        </w:rPr>
        <w:t>.</w:t>
      </w:r>
      <w:r w:rsidRPr="00A066C9">
        <w:rPr>
          <w:rFonts w:eastAsia="Times New Roman"/>
          <w:lang w:eastAsia="cs-CZ"/>
        </w:rPr>
        <w:t xml:space="preserve"> K překročení 1. SPA došlo v srpnu na začátku a na konci měsíce. V polovině srpna došlo k rychlému nárůstu počtu suchých profilů (s hodnotami průtoků menšími než Q</w:t>
      </w:r>
      <w:r w:rsidRPr="00A066C9">
        <w:rPr>
          <w:rFonts w:eastAsia="Times New Roman"/>
          <w:vertAlign w:val="subscript"/>
          <w:lang w:eastAsia="cs-CZ"/>
        </w:rPr>
        <w:t>355d</w:t>
      </w:r>
      <w:r w:rsidRPr="00A066C9">
        <w:rPr>
          <w:rFonts w:eastAsia="Times New Roman"/>
          <w:lang w:eastAsia="cs-CZ"/>
        </w:rPr>
        <w:t>) a jejich počet dosáhl ročního maxima 35 % v roce 2025. Na konci měsíce se pak jejich počet snížil.</w:t>
      </w:r>
    </w:p>
    <w:p w14:paraId="6705752A" w14:textId="77777777" w:rsidR="00FD7E69" w:rsidRDefault="00FD7E69" w:rsidP="003A73C7">
      <w:pPr>
        <w:rPr>
          <w:b/>
          <w:bCs/>
          <w:i/>
          <w:iCs/>
        </w:rPr>
      </w:pPr>
    </w:p>
    <w:p w14:paraId="270474AD" w14:textId="5A14B235" w:rsidR="003A73C7" w:rsidRPr="00A066C9" w:rsidRDefault="003A73C7" w:rsidP="003A73C7">
      <w:pPr>
        <w:rPr>
          <w:b/>
          <w:bCs/>
          <w:i/>
          <w:iCs/>
        </w:rPr>
      </w:pPr>
      <w:r w:rsidRPr="00A066C9">
        <w:rPr>
          <w:b/>
          <w:bCs/>
          <w:i/>
          <w:iCs/>
        </w:rPr>
        <w:t>Podzimní období</w:t>
      </w:r>
    </w:p>
    <w:p w14:paraId="70FCC96A" w14:textId="77777777" w:rsidR="003A73C7" w:rsidRPr="00A066C9" w:rsidRDefault="003A73C7" w:rsidP="003A73C7">
      <w:pPr>
        <w:rPr>
          <w:rFonts w:eastAsia="Times New Roman"/>
          <w:lang w:eastAsia="cs-CZ"/>
        </w:rPr>
      </w:pPr>
      <w:r w:rsidRPr="00A066C9">
        <w:rPr>
          <w:rFonts w:eastAsia="Times New Roman"/>
          <w:lang w:eastAsia="cs-CZ"/>
        </w:rPr>
        <w:t>Podzimní období bylo z odtokového hlediska proměnlivé. Zatímco září a říjen byly charakterizovány rozkolísanými hladinami toků a přechodnými vzestupy v souvislosti se srážkami, listopad se vyznačoval postupnou stabilizací hydrologické situace. Ve většině hlavních povodích se průtoky během podzimu pohybovaly v rozmezí průměrných až podprůměrných hodnot, významnější povodňové situace se nevyskytly.</w:t>
      </w:r>
    </w:p>
    <w:p w14:paraId="03BE9E9D" w14:textId="77777777" w:rsidR="00FD7E69" w:rsidRDefault="00FD7E69" w:rsidP="003A73C7">
      <w:pPr>
        <w:rPr>
          <w:b/>
          <w:bCs/>
          <w:i/>
          <w:iCs/>
        </w:rPr>
      </w:pPr>
    </w:p>
    <w:p w14:paraId="2CC7ED08" w14:textId="576CCB43" w:rsidR="003A73C7" w:rsidRPr="00A066C9" w:rsidRDefault="003A73C7" w:rsidP="003A73C7">
      <w:pPr>
        <w:rPr>
          <w:b/>
          <w:bCs/>
          <w:i/>
          <w:iCs/>
        </w:rPr>
      </w:pPr>
      <w:r w:rsidRPr="00A066C9">
        <w:rPr>
          <w:b/>
          <w:bCs/>
          <w:i/>
          <w:iCs/>
        </w:rPr>
        <w:t>Září</w:t>
      </w:r>
    </w:p>
    <w:p w14:paraId="0CDD19C3" w14:textId="77777777" w:rsidR="003A73C7" w:rsidRPr="00A066C9" w:rsidRDefault="003A73C7" w:rsidP="003A73C7">
      <w:pPr>
        <w:rPr>
          <w:rFonts w:eastAsia="Times New Roman"/>
          <w:lang w:eastAsia="cs-CZ"/>
        </w:rPr>
      </w:pPr>
      <w:r w:rsidRPr="00A066C9">
        <w:rPr>
          <w:rFonts w:eastAsia="Times New Roman"/>
          <w:lang w:eastAsia="cs-CZ"/>
        </w:rPr>
        <w:t>Září bylo převážně podprůměrným až výrazně podprůměrným měsícem ve všech hlavních povodích, nejméně vody odteklo Odrou (46 % Q</w:t>
      </w:r>
      <w:r w:rsidRPr="00A066C9">
        <w:rPr>
          <w:rFonts w:eastAsia="Times New Roman"/>
          <w:vertAlign w:val="subscript"/>
          <w:lang w:eastAsia="cs-CZ"/>
        </w:rPr>
        <w:t>IX</w:t>
      </w:r>
      <w:r w:rsidRPr="00A066C9">
        <w:rPr>
          <w:rFonts w:eastAsia="Times New Roman"/>
          <w:lang w:eastAsia="cs-CZ"/>
        </w:rPr>
        <w:t>) a Olší (41 % Q</w:t>
      </w:r>
      <w:r w:rsidRPr="00A066C9">
        <w:rPr>
          <w:rFonts w:eastAsia="Times New Roman"/>
          <w:vertAlign w:val="subscript"/>
          <w:lang w:eastAsia="cs-CZ"/>
        </w:rPr>
        <w:t>IX</w:t>
      </w:r>
      <w:r w:rsidRPr="00A066C9">
        <w:rPr>
          <w:rFonts w:eastAsia="Times New Roman"/>
          <w:lang w:eastAsia="cs-CZ"/>
        </w:rPr>
        <w:t>). Průměrné měsíční průtoky se u většiny sledovaných toků pohybovaly nejčastěji v širokém rozmezí od 20 do 110 % Q</w:t>
      </w:r>
      <w:r w:rsidRPr="00A066C9">
        <w:rPr>
          <w:rFonts w:eastAsia="Times New Roman"/>
          <w:vertAlign w:val="subscript"/>
          <w:lang w:eastAsia="cs-CZ"/>
        </w:rPr>
        <w:t>IX</w:t>
      </w:r>
      <w:r w:rsidRPr="00A066C9">
        <w:rPr>
          <w:rFonts w:eastAsia="Times New Roman"/>
          <w:lang w:eastAsia="cs-CZ"/>
        </w:rPr>
        <w:t>. Hladiny toků byly v průběhu září mírně rozkolísané, výraznější kolísání bylo 5. 9. na Botiči v Praze-Nuslích, kdy došlo k překročení 1. SPA (</w:t>
      </w:r>
      <w:proofErr w:type="gramStart"/>
      <w:r w:rsidRPr="00A066C9">
        <w:rPr>
          <w:rFonts w:eastAsia="Times New Roman"/>
          <w:lang w:eastAsia="cs-CZ"/>
        </w:rPr>
        <w:t>Q</w:t>
      </w:r>
      <w:r w:rsidRPr="00A066C9">
        <w:rPr>
          <w:rFonts w:eastAsia="Times New Roman"/>
          <w:vertAlign w:val="subscript"/>
          <w:lang w:eastAsia="cs-CZ"/>
        </w:rPr>
        <w:t>&lt;</w:t>
      </w:r>
      <w:proofErr w:type="gramEnd"/>
      <w:r w:rsidRPr="00A066C9">
        <w:rPr>
          <w:rFonts w:eastAsia="Times New Roman"/>
          <w:vertAlign w:val="subscript"/>
          <w:lang w:eastAsia="cs-CZ"/>
        </w:rPr>
        <w:t>2</w:t>
      </w:r>
      <w:r w:rsidRPr="00A066C9">
        <w:rPr>
          <w:rFonts w:eastAsia="Times New Roman"/>
          <w:lang w:eastAsia="cs-CZ"/>
        </w:rPr>
        <w:t>). Následně během 10. a 11. 9. byl překročen 1. SPA na některých menších tocích v horských oblastech na severu Čech. Během 14. 9. pak došlo k překročení 2. SPA na Stružce v Rychvaldu (Q</w:t>
      </w:r>
      <w:r w:rsidRPr="00A066C9">
        <w:rPr>
          <w:rFonts w:eastAsia="Times New Roman"/>
          <w:vertAlign w:val="subscript"/>
          <w:lang w:eastAsia="cs-CZ"/>
        </w:rPr>
        <w:t>2</w:t>
      </w:r>
      <w:r w:rsidRPr="00A066C9">
        <w:rPr>
          <w:rFonts w:eastAsia="Times New Roman"/>
          <w:lang w:eastAsia="cs-CZ"/>
        </w:rPr>
        <w:t>).</w:t>
      </w:r>
    </w:p>
    <w:p w14:paraId="638666A9" w14:textId="77777777" w:rsidR="00FD7E69" w:rsidRDefault="00FD7E69" w:rsidP="003A73C7">
      <w:pPr>
        <w:rPr>
          <w:b/>
          <w:bCs/>
          <w:i/>
          <w:iCs/>
        </w:rPr>
      </w:pPr>
    </w:p>
    <w:p w14:paraId="1931F6C1" w14:textId="42D79546" w:rsidR="003A73C7" w:rsidRPr="00A066C9" w:rsidRDefault="003A73C7" w:rsidP="003A73C7">
      <w:pPr>
        <w:rPr>
          <w:b/>
          <w:bCs/>
          <w:i/>
          <w:iCs/>
        </w:rPr>
      </w:pPr>
      <w:r w:rsidRPr="00A066C9">
        <w:rPr>
          <w:b/>
          <w:bCs/>
          <w:i/>
          <w:iCs/>
        </w:rPr>
        <w:t>Říjen</w:t>
      </w:r>
    </w:p>
    <w:p w14:paraId="2CD40456" w14:textId="77777777" w:rsidR="003A73C7" w:rsidRPr="00A066C9" w:rsidRDefault="003A73C7" w:rsidP="003A73C7">
      <w:pPr>
        <w:rPr>
          <w:rFonts w:eastAsia="Times New Roman"/>
          <w:lang w:eastAsia="cs-CZ"/>
        </w:rPr>
      </w:pPr>
      <w:r w:rsidRPr="00A066C9">
        <w:rPr>
          <w:rFonts w:eastAsia="Times New Roman"/>
          <w:lang w:eastAsia="cs-CZ"/>
        </w:rPr>
        <w:t>Z odtokového hlediska byl říjen celkově spíše podprůměrným měsícem ve většině hlavních povodí. Nadprůměrné odtoky byly zaznamenány pouze v povodí Olše (134 % Q</w:t>
      </w:r>
      <w:r w:rsidRPr="00A066C9">
        <w:rPr>
          <w:rFonts w:eastAsia="Times New Roman"/>
          <w:vertAlign w:val="subscript"/>
          <w:lang w:eastAsia="cs-CZ"/>
        </w:rPr>
        <w:t>X</w:t>
      </w:r>
      <w:r w:rsidRPr="00A066C9">
        <w:rPr>
          <w:rFonts w:eastAsia="Times New Roman"/>
          <w:lang w:eastAsia="cs-CZ"/>
        </w:rPr>
        <w:t>). Průměrné měsíční průtoky se pohybovaly nejčastěji v rozmezí od 20 do 150 % Q</w:t>
      </w:r>
      <w:r w:rsidRPr="00A066C9">
        <w:rPr>
          <w:rFonts w:eastAsia="Times New Roman"/>
          <w:vertAlign w:val="subscript"/>
          <w:lang w:eastAsia="cs-CZ"/>
        </w:rPr>
        <w:t>X</w:t>
      </w:r>
      <w:r w:rsidRPr="00A066C9">
        <w:rPr>
          <w:rFonts w:eastAsia="Times New Roman"/>
          <w:lang w:eastAsia="cs-CZ"/>
        </w:rPr>
        <w:t xml:space="preserve">. Hladiny toků byly v průběhu měsíce poměrně rozkolísané, přičemž výraznější vzestupy se vyskytly zejména ve druhé polovině října. Na konci měsíce (28. a 29. 9.) došlo na Mumlavě, horním Labi, Lužické Nise, horní Úpě, Divoké Orlici a Jizeře k překročení 1. SPA (vše </w:t>
      </w:r>
      <w:proofErr w:type="gramStart"/>
      <w:r w:rsidRPr="00A066C9">
        <w:rPr>
          <w:rFonts w:eastAsia="Times New Roman"/>
          <w:lang w:eastAsia="cs-CZ"/>
        </w:rPr>
        <w:t>Q</w:t>
      </w:r>
      <w:r w:rsidRPr="00A066C9">
        <w:rPr>
          <w:rFonts w:eastAsia="Times New Roman"/>
          <w:vertAlign w:val="subscript"/>
          <w:lang w:eastAsia="cs-CZ"/>
        </w:rPr>
        <w:t>&lt;</w:t>
      </w:r>
      <w:proofErr w:type="gramEnd"/>
      <w:r w:rsidRPr="00A066C9">
        <w:rPr>
          <w:rFonts w:eastAsia="Times New Roman"/>
          <w:vertAlign w:val="subscript"/>
          <w:lang w:eastAsia="cs-CZ"/>
        </w:rPr>
        <w:t>2</w:t>
      </w:r>
      <w:r w:rsidRPr="00A066C9">
        <w:rPr>
          <w:rFonts w:eastAsia="Times New Roman"/>
          <w:lang w:eastAsia="cs-CZ"/>
        </w:rPr>
        <w:t xml:space="preserve">), na horním toku Labe v profilu </w:t>
      </w:r>
      <w:proofErr w:type="spellStart"/>
      <w:r w:rsidRPr="00A066C9">
        <w:rPr>
          <w:rFonts w:eastAsia="Times New Roman"/>
          <w:lang w:eastAsia="cs-CZ"/>
        </w:rPr>
        <w:t>Vestřev</w:t>
      </w:r>
      <w:proofErr w:type="spellEnd"/>
      <w:r w:rsidRPr="00A066C9">
        <w:rPr>
          <w:rFonts w:eastAsia="Times New Roman"/>
          <w:lang w:eastAsia="cs-CZ"/>
        </w:rPr>
        <w:t xml:space="preserve"> byl 29. 10. přechodně dosažen 3. SPA (</w:t>
      </w:r>
      <w:proofErr w:type="gramStart"/>
      <w:r w:rsidRPr="00A066C9">
        <w:rPr>
          <w:rFonts w:eastAsia="Times New Roman"/>
          <w:lang w:eastAsia="cs-CZ"/>
        </w:rPr>
        <w:t>Q</w:t>
      </w:r>
      <w:r w:rsidRPr="00A066C9">
        <w:rPr>
          <w:rFonts w:eastAsia="Times New Roman"/>
          <w:vertAlign w:val="subscript"/>
          <w:lang w:eastAsia="cs-CZ"/>
        </w:rPr>
        <w:t>&lt;</w:t>
      </w:r>
      <w:proofErr w:type="gramEnd"/>
      <w:r w:rsidRPr="00A066C9">
        <w:rPr>
          <w:rFonts w:eastAsia="Times New Roman"/>
          <w:vertAlign w:val="subscript"/>
          <w:lang w:eastAsia="cs-CZ"/>
        </w:rPr>
        <w:t>2</w:t>
      </w:r>
      <w:r w:rsidRPr="00A066C9">
        <w:rPr>
          <w:rFonts w:eastAsia="Times New Roman"/>
          <w:lang w:eastAsia="cs-CZ"/>
        </w:rPr>
        <w:t>). </w:t>
      </w:r>
    </w:p>
    <w:p w14:paraId="1B0BB7BF" w14:textId="77777777" w:rsidR="00FD7E69" w:rsidRDefault="00FD7E69" w:rsidP="003A73C7">
      <w:pPr>
        <w:rPr>
          <w:b/>
          <w:bCs/>
          <w:i/>
          <w:iCs/>
        </w:rPr>
      </w:pPr>
    </w:p>
    <w:p w14:paraId="5CB70FE3" w14:textId="361D3F21" w:rsidR="003A73C7" w:rsidRPr="00A066C9" w:rsidRDefault="003A73C7" w:rsidP="003A73C7">
      <w:pPr>
        <w:rPr>
          <w:b/>
          <w:bCs/>
          <w:i/>
          <w:iCs/>
        </w:rPr>
      </w:pPr>
      <w:r w:rsidRPr="00A066C9">
        <w:rPr>
          <w:b/>
          <w:bCs/>
          <w:i/>
          <w:iCs/>
        </w:rPr>
        <w:t>Listopad</w:t>
      </w:r>
    </w:p>
    <w:p w14:paraId="75E95D97" w14:textId="77777777" w:rsidR="003A73C7" w:rsidRPr="00A066C9" w:rsidRDefault="003A73C7" w:rsidP="003A73C7">
      <w:pPr>
        <w:rPr>
          <w:rFonts w:eastAsia="Times New Roman"/>
          <w:lang w:eastAsia="cs-CZ"/>
        </w:rPr>
      </w:pPr>
      <w:r w:rsidRPr="00A066C9">
        <w:rPr>
          <w:rFonts w:eastAsia="Times New Roman"/>
          <w:lang w:eastAsia="cs-CZ"/>
        </w:rPr>
        <w:t>Listopad byl ve většině hlavních povodí převážně průměrným měsícem, nejméně odteklo Vltavou (65 % Q</w:t>
      </w:r>
      <w:r w:rsidRPr="00A066C9">
        <w:rPr>
          <w:rFonts w:eastAsia="Times New Roman"/>
          <w:vertAlign w:val="subscript"/>
          <w:lang w:eastAsia="cs-CZ"/>
        </w:rPr>
        <w:t>XI</w:t>
      </w:r>
      <w:r w:rsidRPr="00A066C9">
        <w:rPr>
          <w:rFonts w:eastAsia="Times New Roman"/>
          <w:lang w:eastAsia="cs-CZ"/>
        </w:rPr>
        <w:t>). Průměrné listopadové průtoky se nejčastěji pohybovaly v rozmezí od 40 do 140 % Q</w:t>
      </w:r>
      <w:r w:rsidRPr="00A066C9">
        <w:rPr>
          <w:rFonts w:eastAsia="Times New Roman"/>
          <w:vertAlign w:val="subscript"/>
          <w:lang w:eastAsia="cs-CZ"/>
        </w:rPr>
        <w:t>XI</w:t>
      </w:r>
      <w:r w:rsidRPr="00A066C9">
        <w:rPr>
          <w:rFonts w:eastAsia="Times New Roman"/>
          <w:lang w:eastAsia="cs-CZ"/>
        </w:rPr>
        <w:t>. Hladiny sledovaných toků byly v průběhu měsíce převážně setrvalé nebo s pozvolně klesající tendencí. Kolísání hladin bylo pouze mírné a bez výraznějších vzestupů. V průběhu listopadu se vodnosti na tocích postupně snižovaly. V listopadu nebyly zaznamenány žádné stupně povodňové aktivity.</w:t>
      </w:r>
    </w:p>
    <w:p w14:paraId="08FA8E52" w14:textId="77777777" w:rsidR="00FD7E69" w:rsidRDefault="00FD7E69" w:rsidP="003A73C7">
      <w:pPr>
        <w:rPr>
          <w:b/>
          <w:bCs/>
          <w:i/>
          <w:iCs/>
        </w:rPr>
      </w:pPr>
    </w:p>
    <w:p w14:paraId="14B859CD" w14:textId="2B94DD4D" w:rsidR="003A73C7" w:rsidRPr="00A066C9" w:rsidRDefault="003A73C7" w:rsidP="003A73C7">
      <w:pPr>
        <w:rPr>
          <w:b/>
          <w:bCs/>
          <w:i/>
          <w:iCs/>
        </w:rPr>
      </w:pPr>
      <w:r w:rsidRPr="00A066C9">
        <w:rPr>
          <w:b/>
          <w:bCs/>
          <w:i/>
          <w:iCs/>
        </w:rPr>
        <w:t>Prosinec</w:t>
      </w:r>
    </w:p>
    <w:p w14:paraId="62499454" w14:textId="66158992" w:rsidR="00017138" w:rsidRPr="00116412" w:rsidRDefault="003A73C7" w:rsidP="00116412">
      <w:pPr>
        <w:rPr>
          <w:rFonts w:eastAsia="Times New Roman"/>
          <w:lang w:eastAsia="cs-CZ"/>
        </w:rPr>
      </w:pPr>
      <w:r w:rsidRPr="00A066C9">
        <w:rPr>
          <w:rFonts w:eastAsia="Times New Roman"/>
          <w:shd w:val="clear" w:color="auto" w:fill="FFFFFF"/>
          <w:lang w:eastAsia="cs-CZ"/>
        </w:rPr>
        <w:t>Z odtokového hlediska byl prosinec ve většině hlavních povodí také převážně podprůměrným měsícem, nejmenší hodnoty průtoků vykazovaly povodí Labe (55 % Q</w:t>
      </w:r>
      <w:r w:rsidRPr="00A066C9">
        <w:rPr>
          <w:rFonts w:eastAsia="Times New Roman"/>
          <w:shd w:val="clear" w:color="auto" w:fill="FFFFFF"/>
          <w:vertAlign w:val="subscript"/>
          <w:lang w:eastAsia="cs-CZ"/>
        </w:rPr>
        <w:t>XII</w:t>
      </w:r>
      <w:r w:rsidRPr="00A066C9">
        <w:rPr>
          <w:rFonts w:eastAsia="Times New Roman"/>
          <w:shd w:val="clear" w:color="auto" w:fill="FFFFFF"/>
          <w:lang w:eastAsia="cs-CZ"/>
        </w:rPr>
        <w:t>) a Vltavy (44 % Q</w:t>
      </w:r>
      <w:r w:rsidRPr="00A066C9">
        <w:rPr>
          <w:rFonts w:eastAsia="Times New Roman"/>
          <w:shd w:val="clear" w:color="auto" w:fill="FFFFFF"/>
          <w:vertAlign w:val="subscript"/>
          <w:lang w:eastAsia="cs-CZ"/>
        </w:rPr>
        <w:t>XII</w:t>
      </w:r>
      <w:r w:rsidRPr="00A066C9">
        <w:rPr>
          <w:rFonts w:eastAsia="Times New Roman"/>
          <w:shd w:val="clear" w:color="auto" w:fill="FFFFFF"/>
          <w:lang w:eastAsia="cs-CZ"/>
        </w:rPr>
        <w:t>). Průměrné měsíční průtoky se nejčastěji pohybovaly v rozmezí od 35 do 100 % Q</w:t>
      </w:r>
      <w:r w:rsidRPr="00A066C9">
        <w:rPr>
          <w:rFonts w:eastAsia="Times New Roman"/>
          <w:shd w:val="clear" w:color="auto" w:fill="FFFFFF"/>
          <w:vertAlign w:val="subscript"/>
          <w:lang w:eastAsia="cs-CZ"/>
        </w:rPr>
        <w:t>XII</w:t>
      </w:r>
      <w:r w:rsidRPr="00A066C9">
        <w:rPr>
          <w:rFonts w:eastAsia="Times New Roman"/>
          <w:shd w:val="clear" w:color="auto" w:fill="FFFFFF"/>
          <w:lang w:eastAsia="cs-CZ"/>
        </w:rPr>
        <w:t>.</w:t>
      </w:r>
      <w:r w:rsidRPr="00A066C9">
        <w:rPr>
          <w:rFonts w:eastAsia="Times New Roman"/>
          <w:lang w:eastAsia="cs-CZ"/>
        </w:rPr>
        <w:t xml:space="preserve"> V průběhu měsíce docházelo k postupnému snižování průtoků. Hladiny toků byly převážně setrvalé nebo slabě </w:t>
      </w:r>
      <w:r w:rsidRPr="00A066C9">
        <w:rPr>
          <w:rFonts w:eastAsia="Times New Roman"/>
          <w:lang w:eastAsia="cs-CZ"/>
        </w:rPr>
        <w:lastRenderedPageBreak/>
        <w:t>rozkolísané, s celkově mírně klesající tendencí. Od poloviny třetí prosincové dekády byly zejména menší horské toky ovlivňovány ledovými jevy. Stupně povodňové aktivity nebyly během prosince zaznamenány.</w:t>
      </w:r>
    </w:p>
    <w:p w14:paraId="28DB20DD" w14:textId="77777777" w:rsidR="00017138" w:rsidRPr="00104F7D" w:rsidRDefault="00017138" w:rsidP="007C4955">
      <w:pPr>
        <w:pStyle w:val="Default"/>
        <w:contextualSpacing/>
        <w:rPr>
          <w:b/>
          <w:i/>
          <w:color w:val="000000" w:themeColor="text1"/>
          <w:sz w:val="22"/>
          <w:szCs w:val="22"/>
          <w:highlight w:val="yellow"/>
        </w:rPr>
      </w:pPr>
    </w:p>
    <w:p w14:paraId="5276B9E3" w14:textId="3BCC54B9" w:rsidR="009A4681" w:rsidRPr="00FD7E69" w:rsidRDefault="009A4681" w:rsidP="007C4955">
      <w:pPr>
        <w:pStyle w:val="Default"/>
        <w:contextualSpacing/>
        <w:rPr>
          <w:b/>
          <w:i/>
          <w:color w:val="000000" w:themeColor="text1"/>
          <w:sz w:val="22"/>
          <w:szCs w:val="22"/>
        </w:rPr>
      </w:pPr>
      <w:r w:rsidRPr="00FD7E69">
        <w:rPr>
          <w:b/>
          <w:i/>
          <w:color w:val="000000" w:themeColor="text1"/>
          <w:sz w:val="22"/>
          <w:szCs w:val="22"/>
        </w:rPr>
        <w:t xml:space="preserve">Tabulka 1.2.1 </w:t>
      </w:r>
    </w:p>
    <w:p w14:paraId="3BB07AF3" w14:textId="7CF3BB0D" w:rsidR="0061455A" w:rsidRDefault="009A4681" w:rsidP="007C4955">
      <w:pPr>
        <w:pStyle w:val="Default"/>
        <w:contextualSpacing/>
        <w:rPr>
          <w:b/>
          <w:i/>
          <w:color w:val="000000" w:themeColor="text1"/>
          <w:sz w:val="22"/>
          <w:szCs w:val="22"/>
        </w:rPr>
      </w:pPr>
      <w:r w:rsidRPr="00FD7E69">
        <w:rPr>
          <w:b/>
          <w:i/>
          <w:color w:val="000000" w:themeColor="text1"/>
          <w:sz w:val="22"/>
          <w:szCs w:val="22"/>
        </w:rPr>
        <w:t>Odtok v roce 20</w:t>
      </w:r>
      <w:r w:rsidR="00550FE2" w:rsidRPr="00FD7E69">
        <w:rPr>
          <w:b/>
          <w:i/>
          <w:color w:val="000000" w:themeColor="text1"/>
          <w:sz w:val="22"/>
          <w:szCs w:val="22"/>
        </w:rPr>
        <w:t>2</w:t>
      </w:r>
      <w:r w:rsidR="00FD7E69">
        <w:rPr>
          <w:b/>
          <w:i/>
          <w:color w:val="000000" w:themeColor="text1"/>
          <w:sz w:val="22"/>
          <w:szCs w:val="22"/>
        </w:rPr>
        <w:t>5</w:t>
      </w:r>
      <w:r w:rsidRPr="00FD7E69">
        <w:rPr>
          <w:b/>
          <w:i/>
          <w:color w:val="000000" w:themeColor="text1"/>
          <w:sz w:val="22"/>
          <w:szCs w:val="22"/>
        </w:rPr>
        <w:t xml:space="preserve"> v procentech dlouhodobých průměrných měsíčních průtoků</w:t>
      </w:r>
      <w:r w:rsidR="00680A90" w:rsidRPr="00FD7E69">
        <w:rPr>
          <w:b/>
          <w:i/>
          <w:color w:val="000000" w:themeColor="text1"/>
          <w:sz w:val="22"/>
          <w:szCs w:val="22"/>
        </w:rPr>
        <w:t xml:space="preserve"> za </w:t>
      </w:r>
      <w:r w:rsidR="00136378" w:rsidRPr="00FD7E69">
        <w:rPr>
          <w:b/>
          <w:i/>
          <w:color w:val="000000" w:themeColor="text1"/>
          <w:sz w:val="22"/>
          <w:szCs w:val="22"/>
        </w:rPr>
        <w:t xml:space="preserve">referenční </w:t>
      </w:r>
      <w:r w:rsidR="00680A90" w:rsidRPr="00FD7E69">
        <w:rPr>
          <w:b/>
          <w:i/>
          <w:color w:val="000000" w:themeColor="text1"/>
          <w:sz w:val="22"/>
          <w:szCs w:val="22"/>
        </w:rPr>
        <w:t>období 1991–2020</w:t>
      </w:r>
    </w:p>
    <w:p w14:paraId="785ABDF5" w14:textId="2EAED649" w:rsidR="0061455A" w:rsidRPr="00D1081C" w:rsidRDefault="00D1081C" w:rsidP="007C4955">
      <w:pPr>
        <w:pStyle w:val="Default"/>
        <w:contextualSpacing/>
        <w:rPr>
          <w:b/>
          <w:i/>
          <w:color w:val="000000" w:themeColor="text1"/>
          <w:sz w:val="22"/>
          <w:szCs w:val="22"/>
        </w:rPr>
      </w:pPr>
      <w:r w:rsidRPr="00D73C90">
        <w:rPr>
          <w:noProof/>
        </w:rPr>
        <w:drawing>
          <wp:inline distT="0" distB="0" distL="0" distR="0" wp14:anchorId="546A8AE0" wp14:editId="165E8DAB">
            <wp:extent cx="5760720" cy="3928110"/>
            <wp:effectExtent l="0" t="0" r="0" b="0"/>
            <wp:docPr id="213852730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928110"/>
                    </a:xfrm>
                    <a:prstGeom prst="rect">
                      <a:avLst/>
                    </a:prstGeom>
                    <a:noFill/>
                    <a:ln>
                      <a:noFill/>
                    </a:ln>
                  </pic:spPr>
                </pic:pic>
              </a:graphicData>
            </a:graphic>
          </wp:inline>
        </w:drawing>
      </w:r>
    </w:p>
    <w:p w14:paraId="3C2FCEC8" w14:textId="67316103" w:rsidR="00AB1B0D" w:rsidRPr="00D1081C" w:rsidRDefault="00941EA9" w:rsidP="00964B48">
      <w:pPr>
        <w:spacing w:before="120"/>
        <w:rPr>
          <w:rFonts w:cs="Arial"/>
          <w:i/>
          <w:sz w:val="20"/>
          <w:szCs w:val="20"/>
        </w:rPr>
      </w:pPr>
      <w:r w:rsidRPr="00D1081C">
        <w:rPr>
          <w:rFonts w:cs="Arial"/>
          <w:i/>
          <w:sz w:val="20"/>
          <w:szCs w:val="20"/>
        </w:rPr>
        <w:t>Pramen: ČHMÚ</w:t>
      </w:r>
      <w:bookmarkStart w:id="7" w:name="_Toc10183400"/>
    </w:p>
    <w:p w14:paraId="05C9AB3A" w14:textId="77777777" w:rsidR="00B83067" w:rsidRPr="00104F7D" w:rsidRDefault="00B83067" w:rsidP="00B83067">
      <w:pPr>
        <w:rPr>
          <w:rFonts w:cs="Arial"/>
          <w:bCs/>
          <w:iCs/>
          <w:highlight w:val="yellow"/>
        </w:rPr>
      </w:pPr>
    </w:p>
    <w:p w14:paraId="711CF4DD" w14:textId="77777777" w:rsidR="00DB248A" w:rsidRPr="00C13DE3" w:rsidRDefault="00DB248A">
      <w:pPr>
        <w:pStyle w:val="Nadpis2"/>
        <w:numPr>
          <w:ilvl w:val="1"/>
          <w:numId w:val="13"/>
        </w:numPr>
        <w:spacing w:before="0"/>
        <w:contextualSpacing/>
        <w:rPr>
          <w:color w:val="000000" w:themeColor="text1"/>
        </w:rPr>
      </w:pPr>
      <w:bookmarkStart w:id="8" w:name="_Toc236991605"/>
      <w:r w:rsidRPr="00C13DE3">
        <w:rPr>
          <w:color w:val="000000" w:themeColor="text1"/>
        </w:rPr>
        <w:t>Režim podzemních vod</w:t>
      </w:r>
      <w:bookmarkEnd w:id="7"/>
      <w:bookmarkEnd w:id="8"/>
    </w:p>
    <w:p w14:paraId="7EEAA3FD" w14:textId="77777777" w:rsidR="009B1091" w:rsidRPr="00104F7D" w:rsidRDefault="009B1091" w:rsidP="009B1091">
      <w:pPr>
        <w:ind w:left="792"/>
        <w:rPr>
          <w:color w:val="FF0000"/>
          <w:highlight w:val="yellow"/>
        </w:rPr>
      </w:pPr>
    </w:p>
    <w:p w14:paraId="25368F76" w14:textId="77777777" w:rsidR="00C13DE3" w:rsidRPr="00930E82" w:rsidRDefault="00C13DE3" w:rsidP="00C13DE3">
      <w:pPr>
        <w:rPr>
          <w:rFonts w:eastAsia="Times New Roman"/>
          <w:b/>
          <w:bCs/>
          <w:shd w:val="clear" w:color="auto" w:fill="FFFFFF"/>
          <w:lang w:eastAsia="cs-CZ"/>
        </w:rPr>
      </w:pPr>
      <w:r w:rsidRPr="003C7571">
        <w:rPr>
          <w:rFonts w:eastAsia="Times New Roman"/>
          <w:shd w:val="clear" w:color="auto" w:fill="FFFFFF"/>
          <w:lang w:eastAsia="cs-CZ"/>
        </w:rPr>
        <w:t xml:space="preserve">Hladina v mělkém oběhu podzemních vod byla v roce 2025 celkově mírně podnormální (83 % křivky překročení, dále jen </w:t>
      </w:r>
      <w:r>
        <w:rPr>
          <w:rFonts w:eastAsia="Times New Roman"/>
          <w:shd w:val="clear" w:color="auto" w:fill="FFFFFF"/>
          <w:lang w:eastAsia="cs-CZ"/>
        </w:rPr>
        <w:t>„</w:t>
      </w:r>
      <w:r w:rsidRPr="003C7571">
        <w:rPr>
          <w:rFonts w:eastAsia="Times New Roman"/>
          <w:shd w:val="clear" w:color="auto" w:fill="FFFFFF"/>
          <w:lang w:eastAsia="cs-CZ"/>
        </w:rPr>
        <w:t>KP</w:t>
      </w:r>
      <w:r>
        <w:rPr>
          <w:rFonts w:eastAsia="Times New Roman"/>
          <w:shd w:val="clear" w:color="auto" w:fill="FFFFFF"/>
          <w:lang w:eastAsia="cs-CZ"/>
        </w:rPr>
        <w:t>“</w:t>
      </w:r>
      <w:r w:rsidRPr="00930E82">
        <w:rPr>
          <w:rFonts w:eastAsia="Times New Roman"/>
          <w:shd w:val="clear" w:color="auto" w:fill="FFFFFF"/>
          <w:lang w:eastAsia="cs-CZ"/>
        </w:rPr>
        <w:t>).</w:t>
      </w:r>
      <w:r w:rsidRPr="003C7571">
        <w:rPr>
          <w:rFonts w:eastAsia="Times New Roman"/>
          <w:shd w:val="clear" w:color="auto" w:fill="FFFFFF"/>
          <w:lang w:eastAsia="cs-CZ"/>
        </w:rPr>
        <w:t xml:space="preserve"> Stav se však regionálně lišil, zatímco na Moravě byla hladina normální, v dílčím povodí Horního a středního Labe byla hladina silně podnormální (86 % KP) a v dílčím povodí Ohře, Dolního Labe a ostatních přítoků Labe dokonce mimořádně podnormální </w:t>
      </w:r>
      <w:r w:rsidRPr="00930E82">
        <w:rPr>
          <w:rFonts w:eastAsia="Times New Roman"/>
          <w:shd w:val="clear" w:color="auto" w:fill="FFFFFF"/>
          <w:lang w:eastAsia="cs-CZ"/>
        </w:rPr>
        <w:t>(97 % KP</w:t>
      </w:r>
      <w:r w:rsidRPr="003C7571">
        <w:rPr>
          <w:rFonts w:eastAsia="Times New Roman"/>
          <w:shd w:val="clear" w:color="auto" w:fill="FFFFFF"/>
          <w:lang w:eastAsia="cs-CZ"/>
        </w:rPr>
        <w:t>). Vydatnost pramenů byla celkově mimořádně podnormální (96 % KP</w:t>
      </w:r>
      <w:r w:rsidRPr="00930E82">
        <w:rPr>
          <w:rFonts w:eastAsia="Times New Roman"/>
          <w:shd w:val="clear" w:color="auto" w:fill="FFFFFF"/>
          <w:lang w:eastAsia="cs-CZ"/>
        </w:rPr>
        <w:t>).</w:t>
      </w:r>
      <w:r w:rsidRPr="003C7571">
        <w:rPr>
          <w:rFonts w:eastAsia="Times New Roman"/>
          <w:shd w:val="clear" w:color="auto" w:fill="FFFFFF"/>
          <w:lang w:eastAsia="cs-CZ"/>
        </w:rPr>
        <w:t xml:space="preserve"> Silně až mimořádně podnormální stav převládal na většině území s výjimkou dílčího povodí Dolní Vltavy, kde byla vydatnost normální (73 % KP) a dílčího povodí Horní Odry, kde byla vydatnost mírně podnormální (84 % KP). Podíl mělkých vrtů a pramenů s normálním stavem dosáhl 44 %, resp. 29 %. </w:t>
      </w:r>
      <w:r w:rsidRPr="00930E82">
        <w:rPr>
          <w:rFonts w:eastAsia="Times New Roman"/>
          <w:b/>
          <w:bCs/>
          <w:shd w:val="clear" w:color="auto" w:fill="FFFFFF"/>
          <w:lang w:eastAsia="cs-CZ"/>
        </w:rPr>
        <w:t>Silně nebo mimořádně podnormálních bylo 31 % mělkých vrtů a 51 % pramenů. Naopak silně nebo mimořádně nadnormálních bylo shodně 4 % mělkých vrtů i pramenů.</w:t>
      </w:r>
    </w:p>
    <w:p w14:paraId="727243FD" w14:textId="77777777" w:rsidR="00C13DE3" w:rsidRDefault="00C13DE3" w:rsidP="00C13DE3"/>
    <w:p w14:paraId="392A6048" w14:textId="3F9FD9C5" w:rsidR="00C13DE3" w:rsidRDefault="00C13DE3" w:rsidP="00C13DE3">
      <w:pPr>
        <w:rPr>
          <w:rFonts w:eastAsia="Times New Roman"/>
          <w:shd w:val="clear" w:color="auto" w:fill="FFFFFF"/>
          <w:lang w:eastAsia="cs-CZ"/>
        </w:rPr>
      </w:pPr>
      <w:r w:rsidRPr="004C41E1">
        <w:t>V lednu nastalo normální roční maximum hladiny (26</w:t>
      </w:r>
      <w:r>
        <w:t> </w:t>
      </w:r>
      <w:r w:rsidRPr="004C41E1">
        <w:t>% KP</w:t>
      </w:r>
      <w:r w:rsidRPr="00930E82">
        <w:t>)</w:t>
      </w:r>
      <w:r w:rsidRPr="004C41E1">
        <w:t xml:space="preserve"> i vydatnosti (43</w:t>
      </w:r>
      <w:r>
        <w:t> </w:t>
      </w:r>
      <w:r w:rsidRPr="004C41E1">
        <w:t>% KP</w:t>
      </w:r>
      <w:r w:rsidRPr="00930E82">
        <w:t>)</w:t>
      </w:r>
      <w:r w:rsidRPr="004C41E1">
        <w:t>. Poté hladina klesala a vydatnost se zmenšovala. Zatímco v únoru byla vydatnost i hladina ještě normální, v březnu se stav zhoršil na silně podnormální (89–95</w:t>
      </w:r>
      <w:r>
        <w:t> </w:t>
      </w:r>
      <w:r w:rsidRPr="004C41E1">
        <w:t>% KP</w:t>
      </w:r>
      <w:r>
        <w:t>)</w:t>
      </w:r>
      <w:r w:rsidRPr="004C41E1">
        <w:t>. Hladina pozvolna klesala až na roční mírně podnormální minimum, které nastalo v srpnu (81</w:t>
      </w:r>
      <w:r>
        <w:t> </w:t>
      </w:r>
      <w:r w:rsidRPr="004C41E1">
        <w:t>% KP). Vydatnost byla silně až mimořádně podnormální od dubna až do ročního siln</w:t>
      </w:r>
      <w:r>
        <w:t>ě podnormální minima v září (92 </w:t>
      </w:r>
      <w:r w:rsidRPr="004C41E1">
        <w:t>% KP). Od září hladina stoupala do konce roku převážně v mezích normálu, zatímco zvětšování vydatnosti bylo pouze pozvolné a celkově byla vydatnost mírně až silně podnormální. Regionálně se však stav lišil, v dílčím povodí Horní Odry se vydatnost v listopadu a prosinci zvětšila až na mírně nadnormální (19–23</w:t>
      </w:r>
      <w:r>
        <w:t> </w:t>
      </w:r>
      <w:r w:rsidRPr="004C41E1">
        <w:t>% KP), zatímco v</w:t>
      </w:r>
      <w:r>
        <w:t> </w:t>
      </w:r>
      <w:r w:rsidRPr="004C41E1">
        <w:t xml:space="preserve">dílčím povodí Ohře, Dolního Labe a ostatních přítoků Labe a dílčím povodí Lužické </w:t>
      </w:r>
      <w:r w:rsidRPr="004C41E1">
        <w:lastRenderedPageBreak/>
        <w:t>Nisy a ostatních přítoků Odry byla vydatnost od září do konce roku mimořádně podnormální (98–100</w:t>
      </w:r>
      <w:r>
        <w:t> </w:t>
      </w:r>
      <w:r w:rsidRPr="004C41E1">
        <w:t>% KP).</w:t>
      </w:r>
    </w:p>
    <w:p w14:paraId="3CFE83F0" w14:textId="77777777" w:rsidR="00C13DE3" w:rsidRDefault="00C13DE3" w:rsidP="00C13DE3"/>
    <w:p w14:paraId="29BC8FC3" w14:textId="24A7308E" w:rsidR="00C13DE3" w:rsidRPr="00930E82" w:rsidRDefault="00C13DE3" w:rsidP="00C13DE3">
      <w:pPr>
        <w:rPr>
          <w:rFonts w:eastAsia="Times New Roman"/>
          <w:b/>
          <w:bCs/>
          <w:shd w:val="clear" w:color="auto" w:fill="FFFFFF"/>
          <w:lang w:eastAsia="cs-CZ"/>
        </w:rPr>
      </w:pPr>
      <w:r w:rsidRPr="004C41E1">
        <w:t>Hladina hlubokých zvodní v ČR byla v roce 202</w:t>
      </w:r>
      <w:r>
        <w:t>5 celkově silně podnormální (87 </w:t>
      </w:r>
      <w:r w:rsidRPr="004C41E1">
        <w:t xml:space="preserve">% KP). Regionálně však byl stav rozdílný. Mimořádně podnormální byla hladina v severočeské křídě a v </w:t>
      </w:r>
      <w:proofErr w:type="spellStart"/>
      <w:r w:rsidRPr="004C41E1">
        <w:t>permokarbonu</w:t>
      </w:r>
      <w:proofErr w:type="spellEnd"/>
      <w:r w:rsidRPr="004C41E1">
        <w:t xml:space="preserve"> středních a</w:t>
      </w:r>
      <w:r>
        <w:t> </w:t>
      </w:r>
      <w:r w:rsidRPr="004C41E1">
        <w:t>západních Čech, silně podnormální hladina byla v podkrušnohorských a jihočeských pánvích a</w:t>
      </w:r>
      <w:r>
        <w:t> </w:t>
      </w:r>
      <w:r w:rsidRPr="004C41E1">
        <w:t>v</w:t>
      </w:r>
      <w:r>
        <w:t> </w:t>
      </w:r>
      <w:proofErr w:type="spellStart"/>
      <w:r w:rsidRPr="004C41E1">
        <w:t>permokarbonu</w:t>
      </w:r>
      <w:proofErr w:type="spellEnd"/>
      <w:r w:rsidRPr="004C41E1">
        <w:t xml:space="preserve"> východních Čech. Naopak v moravském terciéru jako celku byla hladina mírně nadnormální. </w:t>
      </w:r>
      <w:r w:rsidRPr="00930E82">
        <w:rPr>
          <w:b/>
          <w:bCs/>
        </w:rPr>
        <w:t>Celkově bylo 34 % vrtů silně nebo mimořádně podnormálních, 33 % bylo normálních a 12 % vrtů bylo silně nebo mimořádně nadnormálních.</w:t>
      </w:r>
    </w:p>
    <w:p w14:paraId="42E2C023" w14:textId="77777777" w:rsidR="00C13DE3" w:rsidRDefault="00C13DE3" w:rsidP="00C13DE3"/>
    <w:p w14:paraId="41E3EB01" w14:textId="0B186B8D" w:rsidR="00C13DE3" w:rsidRDefault="00C13DE3" w:rsidP="00C13DE3">
      <w:r w:rsidRPr="004C41E1">
        <w:t>Z hlediska celé ČR byla hladina hlubokých zvodní od ledna do února normální, v březnu mírně podnormální, poté od dubna do října byla silně podnormální, v listopadu a prosinci se stav hladiny zlepšil na mírně podnormální. Z normálního ročního maxima v lednu (41 % KP) hladina stále zvolna klesala až na silně podnormální roční minimum v září (91</w:t>
      </w:r>
      <w:r>
        <w:t> </w:t>
      </w:r>
      <w:r w:rsidRPr="004C41E1">
        <w:t>% KP), poté mírně stoupala až do prosince na mírně podnormální stav (85</w:t>
      </w:r>
      <w:r>
        <w:t> </w:t>
      </w:r>
      <w:r w:rsidRPr="004C41E1">
        <w:t xml:space="preserve">% KP). V severočeské křídě byla hladina mimořádně podnormální po celý rok (dokonce mimo rozsah minim za referenční období 1991–2020). Podobně v </w:t>
      </w:r>
      <w:proofErr w:type="spellStart"/>
      <w:r w:rsidRPr="004C41E1">
        <w:t>permokarbonu</w:t>
      </w:r>
      <w:proofErr w:type="spellEnd"/>
      <w:r w:rsidRPr="004C41E1">
        <w:t xml:space="preserve"> středních a západních Čech byla hladina celoročně mimořádně, příp. silně podnormální</w:t>
      </w:r>
      <w:r>
        <w:t xml:space="preserve">. </w:t>
      </w:r>
      <w:r w:rsidRPr="004C41E1">
        <w:t xml:space="preserve">V </w:t>
      </w:r>
      <w:proofErr w:type="spellStart"/>
      <w:r w:rsidRPr="004C41E1">
        <w:t>permokarbonu</w:t>
      </w:r>
      <w:proofErr w:type="spellEnd"/>
      <w:r w:rsidRPr="004C41E1">
        <w:t xml:space="preserve"> východních Čech trval silně nebo mimořádně podnormální stav hladiny od dubna do října. Naopak nejvyšší hladina byla v moravském terciéru, kde od ledna do března trval silně nadnormální stav z konce předcházejícího roku, a poté až do konce roku byla hladina normální.</w:t>
      </w:r>
    </w:p>
    <w:p w14:paraId="4BB47544" w14:textId="77777777" w:rsidR="00C13DE3" w:rsidRDefault="00C13DE3" w:rsidP="00C13DE3">
      <w:pPr>
        <w:rPr>
          <w:b/>
          <w:bCs/>
          <w:i/>
          <w:iCs/>
        </w:rPr>
      </w:pPr>
    </w:p>
    <w:p w14:paraId="5FBB63EC" w14:textId="0FF1D63C" w:rsidR="00C13DE3" w:rsidRDefault="00C13DE3" w:rsidP="00C13DE3">
      <w:pPr>
        <w:rPr>
          <w:b/>
          <w:bCs/>
          <w:i/>
          <w:iCs/>
        </w:rPr>
      </w:pPr>
      <w:r w:rsidRPr="003C7571">
        <w:rPr>
          <w:b/>
          <w:bCs/>
          <w:i/>
          <w:iCs/>
        </w:rPr>
        <w:t>Mělké vrty</w:t>
      </w:r>
    </w:p>
    <w:p w14:paraId="32F5376B" w14:textId="77777777" w:rsidR="00C13DE3" w:rsidRDefault="00C13DE3" w:rsidP="00C13DE3">
      <w:r w:rsidRPr="00015151">
        <w:t>Začátek roku byl v mělkém oběhu podzemních vod celkově normální a v lednu na</w:t>
      </w:r>
      <w:r>
        <w:t>stalo roční maximum hladiny (26 </w:t>
      </w:r>
      <w:r w:rsidRPr="00015151">
        <w:t>% KP</w:t>
      </w:r>
      <w:r>
        <w:t>), které bylo v dílčích</w:t>
      </w:r>
      <w:r w:rsidRPr="00015151">
        <w:t xml:space="preserve"> povodí</w:t>
      </w:r>
      <w:r>
        <w:t>ch</w:t>
      </w:r>
      <w:r w:rsidRPr="00015151">
        <w:t xml:space="preserve"> Moravy a přítoků Váhu a Dyje dokonce mírně nadnormální (18–19</w:t>
      </w:r>
      <w:r>
        <w:t> </w:t>
      </w:r>
      <w:r w:rsidRPr="00015151">
        <w:t>% KP). Převážně normální stav hladiny pokračoval i v únoru. V březnu hladina poklesla na celkově silně podnormální (89</w:t>
      </w:r>
      <w:r>
        <w:t> </w:t>
      </w:r>
      <w:r w:rsidRPr="00015151">
        <w:t>% KP), normální stav přetrval pouze v dílčím povodí Dyje (65</w:t>
      </w:r>
      <w:r>
        <w:t> </w:t>
      </w:r>
      <w:r w:rsidRPr="00015151">
        <w:t>% KP). V dubnu a</w:t>
      </w:r>
      <w:r>
        <w:t> </w:t>
      </w:r>
      <w:r w:rsidRPr="00015151">
        <w:t>květnu hladina na většině území dále klesala a byla celkově silně podnormální, nejhorší – mimořádně podnormální stav byl zaznamenán v dílčím povodí Ohře, Dolního Labe a ostatních přítoků Labe a v dílčím povodí Lužické Nisy a ostatních přítoků Odry (96–97</w:t>
      </w:r>
      <w:r>
        <w:t> </w:t>
      </w:r>
      <w:r w:rsidRPr="00015151">
        <w:t>% KP). Naopak v dílčím povodí Dyje byla hladina normální až do června. V červnu se stav hladiny na většině území zlepšil na celkově mírně podnormální (76</w:t>
      </w:r>
      <w:r>
        <w:t> % KP) a v dílčích</w:t>
      </w:r>
      <w:r w:rsidRPr="00015151">
        <w:t xml:space="preserve"> povodí</w:t>
      </w:r>
      <w:r>
        <w:t>ch</w:t>
      </w:r>
      <w:r w:rsidRPr="00015151">
        <w:t xml:space="preserve"> Lužické Nisy a ostatních přítoků Odry a Horní Odry došlo k vzestupu hladiny z mimořádně, resp. silně podnormální až na normální. V červenci a srpnu hladina v mělkém oběhu postupně klesala, až dosáhla v srpnu mírně podnormálního ročního minima (81</w:t>
      </w:r>
      <w:r>
        <w:t> </w:t>
      </w:r>
      <w:r w:rsidRPr="00015151">
        <w:t>% KP)</w:t>
      </w:r>
      <w:r>
        <w:t>. N</w:t>
      </w:r>
      <w:r w:rsidRPr="00015151">
        <w:t>a Moravě převážně v mezích normálu, zatímco v Čechách převažoval mírně až silně podnormální stav. V září došlo k mírnému vzestupu hladiny, což se projevilo zlepšení</w:t>
      </w:r>
      <w:r>
        <w:t>m stavu v dílčích</w:t>
      </w:r>
      <w:r w:rsidRPr="00015151">
        <w:t xml:space="preserve"> povodí</w:t>
      </w:r>
      <w:r>
        <w:t>ch</w:t>
      </w:r>
      <w:r w:rsidRPr="00015151">
        <w:t xml:space="preserve"> Horního a středního Labe a Berounky ze silně podnormálního na mírně podnormální. V</w:t>
      </w:r>
      <w:r>
        <w:t> </w:t>
      </w:r>
      <w:r w:rsidRPr="00015151">
        <w:t>říjnu a listopadu hladina dále stoupala převážně v mezích normálu, v dílčím povodí Horní Odry se stav v</w:t>
      </w:r>
      <w:r>
        <w:t> </w:t>
      </w:r>
      <w:r w:rsidRPr="00015151">
        <w:t>listopadu zlepšil až na mírně nadnormální (24</w:t>
      </w:r>
      <w:r>
        <w:t> </w:t>
      </w:r>
      <w:r w:rsidRPr="00015151">
        <w:t>% KP). V prosinci v některých dílčích povodích hladina poklesla, zůstala však celkově normální (63</w:t>
      </w:r>
      <w:r>
        <w:t> </w:t>
      </w:r>
      <w:r w:rsidRPr="00015151">
        <w:t>% KP)</w:t>
      </w:r>
      <w:r>
        <w:t>. V</w:t>
      </w:r>
      <w:r w:rsidRPr="00015151">
        <w:t>ýrazněji se stav zhoršil pouze v dílčím povodí Ohře, Dolního Labe a</w:t>
      </w:r>
      <w:r>
        <w:t> </w:t>
      </w:r>
      <w:r w:rsidRPr="00015151">
        <w:t>ostatních přítoků Labe, kde byl</w:t>
      </w:r>
      <w:r>
        <w:t>a hladina silně podnormální (91 </w:t>
      </w:r>
      <w:r w:rsidRPr="00015151">
        <w:t>% KP).</w:t>
      </w:r>
    </w:p>
    <w:p w14:paraId="390CC701" w14:textId="77777777" w:rsidR="00765FA0" w:rsidRPr="00104F7D" w:rsidRDefault="00765FA0" w:rsidP="007C4955">
      <w:pPr>
        <w:contextualSpacing/>
        <w:rPr>
          <w:b/>
          <w:i/>
          <w:color w:val="FF0000"/>
          <w:highlight w:val="yellow"/>
        </w:rPr>
      </w:pPr>
    </w:p>
    <w:p w14:paraId="571BBCF8" w14:textId="77777777" w:rsidR="00116412" w:rsidRDefault="00116412" w:rsidP="007C4955">
      <w:pPr>
        <w:contextualSpacing/>
        <w:rPr>
          <w:b/>
          <w:i/>
          <w:color w:val="000000" w:themeColor="text1"/>
        </w:rPr>
      </w:pPr>
    </w:p>
    <w:p w14:paraId="0A608102" w14:textId="77777777" w:rsidR="00116412" w:rsidRDefault="00116412" w:rsidP="007C4955">
      <w:pPr>
        <w:contextualSpacing/>
        <w:rPr>
          <w:b/>
          <w:i/>
          <w:color w:val="000000" w:themeColor="text1"/>
        </w:rPr>
      </w:pPr>
    </w:p>
    <w:p w14:paraId="03F7A13A" w14:textId="77777777" w:rsidR="00116412" w:rsidRDefault="00116412" w:rsidP="007C4955">
      <w:pPr>
        <w:contextualSpacing/>
        <w:rPr>
          <w:b/>
          <w:i/>
          <w:color w:val="000000" w:themeColor="text1"/>
        </w:rPr>
      </w:pPr>
    </w:p>
    <w:p w14:paraId="2BE73698" w14:textId="77777777" w:rsidR="00116412" w:rsidRDefault="00116412" w:rsidP="007C4955">
      <w:pPr>
        <w:contextualSpacing/>
        <w:rPr>
          <w:b/>
          <w:i/>
          <w:color w:val="000000" w:themeColor="text1"/>
        </w:rPr>
      </w:pPr>
    </w:p>
    <w:p w14:paraId="355F5EDB" w14:textId="77777777" w:rsidR="00116412" w:rsidRDefault="00116412" w:rsidP="007C4955">
      <w:pPr>
        <w:contextualSpacing/>
        <w:rPr>
          <w:b/>
          <w:i/>
          <w:color w:val="000000" w:themeColor="text1"/>
        </w:rPr>
      </w:pPr>
    </w:p>
    <w:p w14:paraId="33CF2E11" w14:textId="77777777" w:rsidR="00116412" w:rsidRDefault="00116412" w:rsidP="007C4955">
      <w:pPr>
        <w:contextualSpacing/>
        <w:rPr>
          <w:b/>
          <w:i/>
          <w:color w:val="000000" w:themeColor="text1"/>
        </w:rPr>
      </w:pPr>
    </w:p>
    <w:p w14:paraId="291DA8A9" w14:textId="77777777" w:rsidR="00116412" w:rsidRDefault="00116412" w:rsidP="007C4955">
      <w:pPr>
        <w:contextualSpacing/>
        <w:rPr>
          <w:b/>
          <w:i/>
          <w:color w:val="000000" w:themeColor="text1"/>
        </w:rPr>
      </w:pPr>
    </w:p>
    <w:p w14:paraId="3E14D8BE" w14:textId="77777777" w:rsidR="00431A89" w:rsidRDefault="00431A89" w:rsidP="007C4955">
      <w:pPr>
        <w:contextualSpacing/>
        <w:rPr>
          <w:b/>
          <w:i/>
          <w:color w:val="000000" w:themeColor="text1"/>
        </w:rPr>
      </w:pPr>
    </w:p>
    <w:p w14:paraId="6646458A" w14:textId="77777777" w:rsidR="00431A89" w:rsidRDefault="00431A89" w:rsidP="007C4955">
      <w:pPr>
        <w:contextualSpacing/>
        <w:rPr>
          <w:b/>
          <w:i/>
          <w:color w:val="000000" w:themeColor="text1"/>
        </w:rPr>
      </w:pPr>
    </w:p>
    <w:p w14:paraId="1D69ED62" w14:textId="77777777" w:rsidR="00431A89" w:rsidRDefault="00431A89" w:rsidP="007C4955">
      <w:pPr>
        <w:contextualSpacing/>
        <w:rPr>
          <w:b/>
          <w:i/>
          <w:color w:val="000000" w:themeColor="text1"/>
        </w:rPr>
      </w:pPr>
    </w:p>
    <w:p w14:paraId="2890269F" w14:textId="77777777" w:rsidR="00431A89" w:rsidRDefault="00431A89" w:rsidP="007C4955">
      <w:pPr>
        <w:contextualSpacing/>
        <w:rPr>
          <w:b/>
          <w:i/>
          <w:color w:val="000000" w:themeColor="text1"/>
        </w:rPr>
      </w:pPr>
    </w:p>
    <w:p w14:paraId="07A2DD28" w14:textId="77777777" w:rsidR="00431A89" w:rsidRDefault="00431A89" w:rsidP="007C4955">
      <w:pPr>
        <w:contextualSpacing/>
        <w:rPr>
          <w:b/>
          <w:i/>
          <w:color w:val="000000" w:themeColor="text1"/>
        </w:rPr>
      </w:pPr>
    </w:p>
    <w:p w14:paraId="56BF4839" w14:textId="77777777" w:rsidR="00431A89" w:rsidRDefault="00431A89" w:rsidP="007C4955">
      <w:pPr>
        <w:contextualSpacing/>
        <w:rPr>
          <w:b/>
          <w:i/>
          <w:color w:val="000000" w:themeColor="text1"/>
        </w:rPr>
      </w:pPr>
    </w:p>
    <w:p w14:paraId="2F103AC0" w14:textId="77777777" w:rsidR="00431A89" w:rsidRDefault="00431A89" w:rsidP="007C4955">
      <w:pPr>
        <w:contextualSpacing/>
        <w:rPr>
          <w:b/>
          <w:i/>
          <w:color w:val="000000" w:themeColor="text1"/>
        </w:rPr>
      </w:pPr>
    </w:p>
    <w:p w14:paraId="3A3B37A6" w14:textId="2E26FF52" w:rsidR="0016541D" w:rsidRPr="00E44E84" w:rsidRDefault="00862B67" w:rsidP="007C4955">
      <w:pPr>
        <w:contextualSpacing/>
        <w:rPr>
          <w:b/>
          <w:i/>
          <w:color w:val="000000" w:themeColor="text1"/>
        </w:rPr>
      </w:pPr>
      <w:r w:rsidRPr="00E44E84">
        <w:rPr>
          <w:b/>
          <w:i/>
          <w:color w:val="000000" w:themeColor="text1"/>
        </w:rPr>
        <w:lastRenderedPageBreak/>
        <w:t xml:space="preserve">Graf 1.3.1 </w:t>
      </w:r>
    </w:p>
    <w:p w14:paraId="2372AC02" w14:textId="67A3B342" w:rsidR="007432A7" w:rsidRPr="00E44E84" w:rsidRDefault="00862B67" w:rsidP="007C4955">
      <w:pPr>
        <w:contextualSpacing/>
        <w:rPr>
          <w:b/>
          <w:i/>
          <w:color w:val="000000" w:themeColor="text1"/>
        </w:rPr>
      </w:pPr>
      <w:r w:rsidRPr="00E44E84">
        <w:rPr>
          <w:b/>
          <w:i/>
          <w:color w:val="000000" w:themeColor="text1"/>
        </w:rPr>
        <w:t xml:space="preserve">Průměrná standardizovaná úroveň hladin </w:t>
      </w:r>
      <w:r w:rsidR="00941E99" w:rsidRPr="00E44E84">
        <w:rPr>
          <w:b/>
          <w:i/>
          <w:color w:val="000000" w:themeColor="text1"/>
        </w:rPr>
        <w:t xml:space="preserve">podzemních vod u </w:t>
      </w:r>
      <w:r w:rsidRPr="00E44E84">
        <w:rPr>
          <w:b/>
          <w:i/>
          <w:color w:val="000000" w:themeColor="text1"/>
        </w:rPr>
        <w:t>mělkých vrtů hlásné sítě pro celou Č</w:t>
      </w:r>
      <w:r w:rsidR="00362295" w:rsidRPr="00E44E84">
        <w:rPr>
          <w:b/>
          <w:i/>
          <w:color w:val="000000" w:themeColor="text1"/>
        </w:rPr>
        <w:t>eskou republiku</w:t>
      </w:r>
      <w:r w:rsidRPr="00E44E84">
        <w:rPr>
          <w:b/>
          <w:i/>
          <w:color w:val="000000" w:themeColor="text1"/>
        </w:rPr>
        <w:t xml:space="preserve"> v roce 20</w:t>
      </w:r>
      <w:r w:rsidR="009202B0" w:rsidRPr="00E44E84">
        <w:rPr>
          <w:b/>
          <w:i/>
          <w:color w:val="000000" w:themeColor="text1"/>
        </w:rPr>
        <w:t>2</w:t>
      </w:r>
      <w:r w:rsidR="00E44E84">
        <w:rPr>
          <w:b/>
          <w:i/>
          <w:color w:val="000000" w:themeColor="text1"/>
        </w:rPr>
        <w:t>5</w:t>
      </w:r>
      <w:r w:rsidRPr="00E44E84">
        <w:rPr>
          <w:b/>
          <w:i/>
          <w:color w:val="000000" w:themeColor="text1"/>
        </w:rPr>
        <w:t xml:space="preserve"> </w:t>
      </w:r>
      <w:r w:rsidR="00136378" w:rsidRPr="00E44E84">
        <w:rPr>
          <w:b/>
          <w:i/>
          <w:color w:val="000000" w:themeColor="text1"/>
        </w:rPr>
        <w:t xml:space="preserve">(modře) </w:t>
      </w:r>
      <w:r w:rsidRPr="00E44E84">
        <w:rPr>
          <w:b/>
          <w:i/>
          <w:color w:val="000000" w:themeColor="text1"/>
        </w:rPr>
        <w:t xml:space="preserve">ve srovnání s dlouhodobými hodnotami </w:t>
      </w:r>
      <w:r w:rsidR="00F642B6" w:rsidRPr="00E44E84">
        <w:rPr>
          <w:b/>
          <w:i/>
          <w:color w:val="000000" w:themeColor="text1"/>
        </w:rPr>
        <w:t>za referenční</w:t>
      </w:r>
      <w:r w:rsidR="00136378" w:rsidRPr="00E44E84">
        <w:rPr>
          <w:b/>
          <w:i/>
          <w:color w:val="000000" w:themeColor="text1"/>
        </w:rPr>
        <w:t xml:space="preserve"> </w:t>
      </w:r>
      <w:r w:rsidRPr="00E44E84">
        <w:rPr>
          <w:b/>
          <w:i/>
          <w:color w:val="000000" w:themeColor="text1"/>
        </w:rPr>
        <w:t>období19</w:t>
      </w:r>
      <w:r w:rsidR="00680A90" w:rsidRPr="00E44E84">
        <w:rPr>
          <w:b/>
          <w:i/>
          <w:color w:val="000000" w:themeColor="text1"/>
        </w:rPr>
        <w:t>9</w:t>
      </w:r>
      <w:r w:rsidRPr="00E44E84">
        <w:rPr>
          <w:b/>
          <w:i/>
          <w:color w:val="000000" w:themeColor="text1"/>
        </w:rPr>
        <w:t>1–20</w:t>
      </w:r>
      <w:r w:rsidR="00680A90" w:rsidRPr="00E44E84">
        <w:rPr>
          <w:b/>
          <w:i/>
          <w:color w:val="000000" w:themeColor="text1"/>
        </w:rPr>
        <w:t>2</w:t>
      </w:r>
      <w:r w:rsidRPr="00E44E84">
        <w:rPr>
          <w:b/>
          <w:i/>
          <w:color w:val="000000" w:themeColor="text1"/>
        </w:rPr>
        <w:t>0</w:t>
      </w:r>
    </w:p>
    <w:p w14:paraId="56B23142" w14:textId="4FA226DF" w:rsidR="00471F55" w:rsidRPr="00104F7D" w:rsidRDefault="00E44E84" w:rsidP="00471F55">
      <w:pPr>
        <w:contextualSpacing/>
        <w:rPr>
          <w:b/>
          <w:i/>
          <w:color w:val="000000" w:themeColor="text1"/>
          <w:highlight w:val="yellow"/>
        </w:rPr>
      </w:pPr>
      <w:r>
        <w:rPr>
          <w:noProof/>
        </w:rPr>
        <w:drawing>
          <wp:inline distT="0" distB="0" distL="0" distR="0" wp14:anchorId="1ABA19E6" wp14:editId="70803AB5">
            <wp:extent cx="4114800" cy="3200400"/>
            <wp:effectExtent l="0" t="0" r="0" b="0"/>
            <wp:docPr id="1830267923"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14800" cy="3200400"/>
                    </a:xfrm>
                    <a:prstGeom prst="rect">
                      <a:avLst/>
                    </a:prstGeom>
                    <a:noFill/>
                    <a:ln>
                      <a:noFill/>
                    </a:ln>
                  </pic:spPr>
                </pic:pic>
              </a:graphicData>
            </a:graphic>
          </wp:inline>
        </w:drawing>
      </w:r>
    </w:p>
    <w:p w14:paraId="5B248EB1" w14:textId="2427BC61" w:rsidR="00862B67" w:rsidRPr="00E44E84" w:rsidRDefault="00862B67" w:rsidP="007C4955">
      <w:pPr>
        <w:contextualSpacing/>
        <w:rPr>
          <w:i/>
          <w:color w:val="000000" w:themeColor="text1"/>
          <w:sz w:val="20"/>
          <w:szCs w:val="20"/>
        </w:rPr>
      </w:pPr>
      <w:r w:rsidRPr="00E44E84">
        <w:rPr>
          <w:i/>
          <w:color w:val="000000" w:themeColor="text1"/>
          <w:sz w:val="20"/>
          <w:szCs w:val="20"/>
        </w:rPr>
        <w:t>Pramen: ČHMÚ</w:t>
      </w:r>
    </w:p>
    <w:p w14:paraId="24830CD8" w14:textId="77777777" w:rsidR="00175A3B" w:rsidRPr="00E44E84" w:rsidRDefault="0016541D" w:rsidP="007C4955">
      <w:pPr>
        <w:ind w:left="709" w:hanging="709"/>
        <w:contextualSpacing/>
        <w:rPr>
          <w:rFonts w:cs="Arial"/>
          <w:i/>
          <w:color w:val="000000" w:themeColor="text1"/>
          <w:sz w:val="20"/>
          <w:szCs w:val="20"/>
        </w:rPr>
      </w:pPr>
      <w:r w:rsidRPr="00E44E84">
        <w:rPr>
          <w:rFonts w:cs="Arial"/>
          <w:i/>
          <w:color w:val="000000" w:themeColor="text1"/>
          <w:sz w:val="20"/>
          <w:szCs w:val="20"/>
        </w:rPr>
        <w:t xml:space="preserve">Pozn.: </w:t>
      </w:r>
      <w:r w:rsidR="00175A3B" w:rsidRPr="00E44E84">
        <w:rPr>
          <w:rFonts w:cs="Arial"/>
          <w:i/>
          <w:color w:val="000000" w:themeColor="text1"/>
          <w:sz w:val="20"/>
          <w:szCs w:val="20"/>
        </w:rPr>
        <w:t>Uvedeny jsou také kvantily měsíčních křivek překročení (</w:t>
      </w:r>
      <w:proofErr w:type="spellStart"/>
      <w:r w:rsidR="00175A3B" w:rsidRPr="00E44E84">
        <w:rPr>
          <w:rFonts w:cs="Arial"/>
          <w:i/>
          <w:color w:val="000000" w:themeColor="text1"/>
          <w:sz w:val="20"/>
          <w:szCs w:val="20"/>
        </w:rPr>
        <w:t>KP</w:t>
      </w:r>
      <w:r w:rsidR="00175A3B" w:rsidRPr="00E44E84">
        <w:rPr>
          <w:rFonts w:cs="Arial"/>
          <w:i/>
          <w:color w:val="000000" w:themeColor="text1"/>
          <w:sz w:val="20"/>
          <w:szCs w:val="20"/>
          <w:vertAlign w:val="subscript"/>
        </w:rPr>
        <w:t>m</w:t>
      </w:r>
      <w:proofErr w:type="spellEnd"/>
      <w:r w:rsidR="00175A3B" w:rsidRPr="00E44E84">
        <w:rPr>
          <w:rFonts w:cs="Arial"/>
          <w:i/>
          <w:color w:val="000000" w:themeColor="text1"/>
          <w:sz w:val="20"/>
          <w:szCs w:val="20"/>
        </w:rPr>
        <w:t xml:space="preserve">) </w:t>
      </w:r>
    </w:p>
    <w:p w14:paraId="52908D90" w14:textId="77777777" w:rsidR="009A4681" w:rsidRPr="00E44E84" w:rsidRDefault="009A4681" w:rsidP="007C4955">
      <w:pPr>
        <w:ind w:left="709" w:hanging="142"/>
        <w:contextualSpacing/>
        <w:rPr>
          <w:rFonts w:cs="Arial"/>
          <w:i/>
          <w:noProof/>
          <w:color w:val="000000" w:themeColor="text1"/>
          <w:sz w:val="20"/>
          <w:szCs w:val="20"/>
          <w:lang w:eastAsia="cs-CZ"/>
        </w:rPr>
      </w:pPr>
      <w:r w:rsidRPr="00E44E84">
        <w:rPr>
          <w:rFonts w:cs="Arial"/>
          <w:i/>
          <w:color w:val="000000" w:themeColor="text1"/>
          <w:sz w:val="20"/>
          <w:szCs w:val="20"/>
        </w:rPr>
        <w:t xml:space="preserve">Svislá osa vyjadřuje směrodatnou odchylku. </w:t>
      </w:r>
    </w:p>
    <w:p w14:paraId="0DBBA292" w14:textId="77777777" w:rsidR="00471F55" w:rsidRPr="00104F7D" w:rsidRDefault="00471F55" w:rsidP="00BA6441">
      <w:pPr>
        <w:spacing w:before="120"/>
        <w:rPr>
          <w:b/>
          <w:i/>
          <w:color w:val="000000" w:themeColor="text1"/>
          <w:sz w:val="20"/>
          <w:szCs w:val="20"/>
          <w:highlight w:val="yellow"/>
        </w:rPr>
      </w:pPr>
    </w:p>
    <w:p w14:paraId="042C0BF5" w14:textId="77777777" w:rsidR="008E5397" w:rsidRPr="00104F7D" w:rsidRDefault="008E5397" w:rsidP="00BA6441">
      <w:pPr>
        <w:spacing w:before="120"/>
        <w:rPr>
          <w:b/>
          <w:i/>
          <w:color w:val="000000" w:themeColor="text1"/>
          <w:highlight w:val="yellow"/>
        </w:rPr>
      </w:pPr>
    </w:p>
    <w:p w14:paraId="0BE9F459" w14:textId="77777777" w:rsidR="00116412" w:rsidRDefault="00116412" w:rsidP="00BA6441">
      <w:pPr>
        <w:spacing w:before="120"/>
        <w:rPr>
          <w:b/>
          <w:i/>
          <w:color w:val="000000" w:themeColor="text1"/>
        </w:rPr>
      </w:pPr>
    </w:p>
    <w:p w14:paraId="7169C8C1" w14:textId="77777777" w:rsidR="00116412" w:rsidRDefault="00116412" w:rsidP="00BA6441">
      <w:pPr>
        <w:spacing w:before="120"/>
        <w:rPr>
          <w:b/>
          <w:i/>
          <w:color w:val="000000" w:themeColor="text1"/>
        </w:rPr>
      </w:pPr>
    </w:p>
    <w:p w14:paraId="0F8793CC" w14:textId="77777777" w:rsidR="00116412" w:rsidRDefault="00116412" w:rsidP="00BA6441">
      <w:pPr>
        <w:spacing w:before="120"/>
        <w:rPr>
          <w:b/>
          <w:i/>
          <w:color w:val="000000" w:themeColor="text1"/>
        </w:rPr>
      </w:pPr>
    </w:p>
    <w:p w14:paraId="5F6E587F" w14:textId="77777777" w:rsidR="00116412" w:rsidRDefault="00116412" w:rsidP="00BA6441">
      <w:pPr>
        <w:spacing w:before="120"/>
        <w:rPr>
          <w:b/>
          <w:i/>
          <w:color w:val="000000" w:themeColor="text1"/>
        </w:rPr>
      </w:pPr>
    </w:p>
    <w:p w14:paraId="416B7397" w14:textId="77777777" w:rsidR="00116412" w:rsidRDefault="00116412" w:rsidP="00BA6441">
      <w:pPr>
        <w:spacing w:before="120"/>
        <w:rPr>
          <w:b/>
          <w:i/>
          <w:color w:val="000000" w:themeColor="text1"/>
        </w:rPr>
      </w:pPr>
    </w:p>
    <w:p w14:paraId="3A794F2E" w14:textId="77777777" w:rsidR="00116412" w:rsidRDefault="00116412" w:rsidP="00BA6441">
      <w:pPr>
        <w:spacing w:before="120"/>
        <w:rPr>
          <w:b/>
          <w:i/>
          <w:color w:val="000000" w:themeColor="text1"/>
        </w:rPr>
      </w:pPr>
    </w:p>
    <w:p w14:paraId="48730723" w14:textId="77777777" w:rsidR="00116412" w:rsidRDefault="00116412" w:rsidP="00BA6441">
      <w:pPr>
        <w:spacing w:before="120"/>
        <w:rPr>
          <w:b/>
          <w:i/>
          <w:color w:val="000000" w:themeColor="text1"/>
        </w:rPr>
      </w:pPr>
    </w:p>
    <w:p w14:paraId="27C61000" w14:textId="77777777" w:rsidR="00116412" w:rsidRDefault="00116412" w:rsidP="00BA6441">
      <w:pPr>
        <w:spacing w:before="120"/>
        <w:rPr>
          <w:b/>
          <w:i/>
          <w:color w:val="000000" w:themeColor="text1"/>
        </w:rPr>
      </w:pPr>
    </w:p>
    <w:p w14:paraId="3A12FDC8" w14:textId="77777777" w:rsidR="00116412" w:rsidRDefault="00116412" w:rsidP="00BA6441">
      <w:pPr>
        <w:spacing w:before="120"/>
        <w:rPr>
          <w:b/>
          <w:i/>
          <w:color w:val="000000" w:themeColor="text1"/>
        </w:rPr>
      </w:pPr>
    </w:p>
    <w:p w14:paraId="3266ED05" w14:textId="77777777" w:rsidR="00116412" w:rsidRDefault="00116412" w:rsidP="00BA6441">
      <w:pPr>
        <w:spacing w:before="120"/>
        <w:rPr>
          <w:b/>
          <w:i/>
          <w:color w:val="000000" w:themeColor="text1"/>
        </w:rPr>
      </w:pPr>
    </w:p>
    <w:p w14:paraId="56F7644E" w14:textId="77777777" w:rsidR="00116412" w:rsidRDefault="00116412" w:rsidP="00BA6441">
      <w:pPr>
        <w:spacing w:before="120"/>
        <w:rPr>
          <w:b/>
          <w:i/>
          <w:color w:val="000000" w:themeColor="text1"/>
        </w:rPr>
      </w:pPr>
    </w:p>
    <w:p w14:paraId="22799FC7" w14:textId="77777777" w:rsidR="00116412" w:rsidRDefault="00116412" w:rsidP="00BA6441">
      <w:pPr>
        <w:spacing w:before="120"/>
        <w:rPr>
          <w:b/>
          <w:i/>
          <w:color w:val="000000" w:themeColor="text1"/>
        </w:rPr>
      </w:pPr>
    </w:p>
    <w:p w14:paraId="49325D19" w14:textId="77777777" w:rsidR="00116412" w:rsidRDefault="00116412" w:rsidP="00BA6441">
      <w:pPr>
        <w:spacing w:before="120"/>
        <w:rPr>
          <w:b/>
          <w:i/>
          <w:color w:val="000000" w:themeColor="text1"/>
        </w:rPr>
      </w:pPr>
    </w:p>
    <w:p w14:paraId="6ED944FA" w14:textId="77777777" w:rsidR="00116412" w:rsidRDefault="00116412" w:rsidP="00BA6441">
      <w:pPr>
        <w:spacing w:before="120"/>
        <w:rPr>
          <w:b/>
          <w:i/>
          <w:color w:val="000000" w:themeColor="text1"/>
        </w:rPr>
      </w:pPr>
    </w:p>
    <w:p w14:paraId="2261FEC3" w14:textId="77777777" w:rsidR="00116412" w:rsidRDefault="00116412" w:rsidP="00BA6441">
      <w:pPr>
        <w:spacing w:before="120"/>
        <w:rPr>
          <w:b/>
          <w:i/>
          <w:color w:val="000000" w:themeColor="text1"/>
        </w:rPr>
      </w:pPr>
    </w:p>
    <w:p w14:paraId="0D4AAE29" w14:textId="77777777" w:rsidR="00116412" w:rsidRDefault="00116412" w:rsidP="00BA6441">
      <w:pPr>
        <w:spacing w:before="120"/>
        <w:rPr>
          <w:b/>
          <w:i/>
          <w:color w:val="000000" w:themeColor="text1"/>
        </w:rPr>
      </w:pPr>
    </w:p>
    <w:p w14:paraId="20A089BF" w14:textId="77777777" w:rsidR="00116412" w:rsidRDefault="00116412" w:rsidP="00BA6441">
      <w:pPr>
        <w:spacing w:before="120"/>
        <w:rPr>
          <w:b/>
          <w:i/>
          <w:color w:val="000000" w:themeColor="text1"/>
        </w:rPr>
      </w:pPr>
    </w:p>
    <w:p w14:paraId="790B42BC" w14:textId="77777777" w:rsidR="00116412" w:rsidRDefault="00116412" w:rsidP="00BA6441">
      <w:pPr>
        <w:spacing w:before="120"/>
        <w:rPr>
          <w:b/>
          <w:i/>
          <w:color w:val="000000" w:themeColor="text1"/>
        </w:rPr>
      </w:pPr>
    </w:p>
    <w:p w14:paraId="7C1364A9" w14:textId="49D12F2A" w:rsidR="00BA6441" w:rsidRPr="00E44E84" w:rsidRDefault="00BA6441" w:rsidP="00BA6441">
      <w:pPr>
        <w:spacing w:before="120"/>
        <w:rPr>
          <w:b/>
          <w:i/>
          <w:color w:val="000000" w:themeColor="text1"/>
        </w:rPr>
      </w:pPr>
      <w:r w:rsidRPr="00E44E84">
        <w:rPr>
          <w:b/>
          <w:i/>
          <w:color w:val="000000" w:themeColor="text1"/>
        </w:rPr>
        <w:lastRenderedPageBreak/>
        <w:t xml:space="preserve">Graf 1.3.2 </w:t>
      </w:r>
    </w:p>
    <w:p w14:paraId="0F09AB6C" w14:textId="5C27139B" w:rsidR="00BA6441" w:rsidRPr="00E44E84" w:rsidRDefault="00BA6441" w:rsidP="00BA6441">
      <w:pPr>
        <w:rPr>
          <w:b/>
          <w:i/>
          <w:color w:val="000000" w:themeColor="text1"/>
        </w:rPr>
      </w:pPr>
      <w:r w:rsidRPr="00E44E84">
        <w:rPr>
          <w:b/>
          <w:i/>
          <w:color w:val="000000" w:themeColor="text1"/>
        </w:rPr>
        <w:t>Průměrná standardizovaná úroveň hladiny mělkých vrtů hlásné sítě v dílčích povodích v roce 202</w:t>
      </w:r>
      <w:r w:rsidR="00A7644E">
        <w:rPr>
          <w:b/>
          <w:i/>
          <w:color w:val="000000" w:themeColor="text1"/>
        </w:rPr>
        <w:t>5</w:t>
      </w:r>
      <w:r w:rsidRPr="00E44E84">
        <w:rPr>
          <w:b/>
          <w:i/>
          <w:color w:val="000000" w:themeColor="text1"/>
        </w:rPr>
        <w:t xml:space="preserve"> </w:t>
      </w:r>
      <w:r w:rsidR="00F642B6" w:rsidRPr="00E44E84">
        <w:rPr>
          <w:b/>
          <w:i/>
          <w:color w:val="000000" w:themeColor="text1"/>
        </w:rPr>
        <w:t xml:space="preserve">(modře) </w:t>
      </w:r>
      <w:r w:rsidRPr="00E44E84">
        <w:rPr>
          <w:b/>
          <w:i/>
          <w:color w:val="000000" w:themeColor="text1"/>
        </w:rPr>
        <w:t>ve srovnání s dlouhodobými hodnotami za referenční období 1991–2020</w:t>
      </w:r>
    </w:p>
    <w:p w14:paraId="1E31C55A" w14:textId="3EB81EDB" w:rsidR="0065666F" w:rsidRPr="00104F7D" w:rsidRDefault="00CC49BC" w:rsidP="0065666F">
      <w:pPr>
        <w:pStyle w:val="Titulek"/>
        <w:rPr>
          <w:highlight w:val="yellow"/>
        </w:rPr>
      </w:pPr>
      <w:r>
        <w:rPr>
          <w:noProof/>
        </w:rPr>
        <w:drawing>
          <wp:inline distT="0" distB="0" distL="0" distR="0" wp14:anchorId="3884912D" wp14:editId="50C23394">
            <wp:extent cx="5486400" cy="7315200"/>
            <wp:effectExtent l="0" t="0" r="0" b="0"/>
            <wp:docPr id="320214905"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86400" cy="7315200"/>
                    </a:xfrm>
                    <a:prstGeom prst="rect">
                      <a:avLst/>
                    </a:prstGeom>
                    <a:noFill/>
                    <a:ln>
                      <a:noFill/>
                    </a:ln>
                  </pic:spPr>
                </pic:pic>
              </a:graphicData>
            </a:graphic>
          </wp:inline>
        </w:drawing>
      </w:r>
    </w:p>
    <w:p w14:paraId="00B6D9CA" w14:textId="79072B2F" w:rsidR="00BA6441" w:rsidRPr="00CC49BC" w:rsidRDefault="00BA6441" w:rsidP="00BA6441">
      <w:pPr>
        <w:contextualSpacing/>
        <w:rPr>
          <w:i/>
          <w:color w:val="000000" w:themeColor="text1"/>
          <w:sz w:val="20"/>
          <w:szCs w:val="20"/>
        </w:rPr>
      </w:pPr>
      <w:r w:rsidRPr="00CC49BC">
        <w:rPr>
          <w:i/>
          <w:color w:val="000000" w:themeColor="text1"/>
          <w:sz w:val="20"/>
          <w:szCs w:val="20"/>
        </w:rPr>
        <w:t>Pramen: ČHMÚ</w:t>
      </w:r>
    </w:p>
    <w:p w14:paraId="4D81DB59" w14:textId="4600CC06" w:rsidR="006A4EBC" w:rsidRPr="00CC49BC" w:rsidRDefault="00F64F6F" w:rsidP="007C4955">
      <w:pPr>
        <w:contextualSpacing/>
        <w:rPr>
          <w:i/>
          <w:color w:val="000000" w:themeColor="text1"/>
          <w:sz w:val="20"/>
          <w:szCs w:val="20"/>
        </w:rPr>
      </w:pPr>
      <w:r w:rsidRPr="00CC49BC">
        <w:rPr>
          <w:i/>
          <w:color w:val="000000" w:themeColor="text1"/>
          <w:sz w:val="20"/>
          <w:szCs w:val="20"/>
        </w:rPr>
        <w:t>Pozn.: Uvedeny jsou také kvantily měsíčních křivek překročení (</w:t>
      </w:r>
      <w:proofErr w:type="spellStart"/>
      <w:r w:rsidRPr="00CC49BC">
        <w:rPr>
          <w:i/>
          <w:color w:val="000000" w:themeColor="text1"/>
          <w:sz w:val="20"/>
          <w:szCs w:val="20"/>
        </w:rPr>
        <w:t>KPm</w:t>
      </w:r>
      <w:proofErr w:type="spellEnd"/>
      <w:r w:rsidRPr="00CC49BC">
        <w:rPr>
          <w:i/>
          <w:color w:val="000000" w:themeColor="text1"/>
          <w:sz w:val="20"/>
          <w:szCs w:val="20"/>
        </w:rPr>
        <w:t>).</w:t>
      </w:r>
    </w:p>
    <w:p w14:paraId="4030A6B4" w14:textId="77777777" w:rsidR="00014071" w:rsidRPr="00104F7D" w:rsidRDefault="00014071" w:rsidP="007C4955">
      <w:pPr>
        <w:contextualSpacing/>
        <w:rPr>
          <w:rFonts w:cs="Arial"/>
          <w:b/>
          <w:i/>
          <w:color w:val="000000" w:themeColor="text1"/>
          <w:highlight w:val="yellow"/>
        </w:rPr>
      </w:pPr>
    </w:p>
    <w:p w14:paraId="096F4AD6" w14:textId="77777777" w:rsidR="00014071" w:rsidRPr="00104F7D" w:rsidRDefault="00014071" w:rsidP="007C4955">
      <w:pPr>
        <w:contextualSpacing/>
        <w:rPr>
          <w:rFonts w:cs="Arial"/>
          <w:b/>
          <w:i/>
          <w:color w:val="000000" w:themeColor="text1"/>
          <w:highlight w:val="yellow"/>
        </w:rPr>
      </w:pPr>
    </w:p>
    <w:p w14:paraId="262FCBC0" w14:textId="77777777" w:rsidR="00590E83" w:rsidRPr="00104F7D" w:rsidRDefault="00590E83" w:rsidP="007C4955">
      <w:pPr>
        <w:contextualSpacing/>
        <w:rPr>
          <w:rFonts w:cs="Arial"/>
          <w:b/>
          <w:i/>
          <w:color w:val="000000" w:themeColor="text1"/>
          <w:highlight w:val="yellow"/>
        </w:rPr>
      </w:pPr>
    </w:p>
    <w:p w14:paraId="54D1C132" w14:textId="77777777" w:rsidR="00964B48" w:rsidRPr="00104F7D" w:rsidRDefault="00964B48" w:rsidP="007C4955">
      <w:pPr>
        <w:contextualSpacing/>
        <w:rPr>
          <w:rFonts w:cs="Arial"/>
          <w:b/>
          <w:i/>
          <w:color w:val="000000" w:themeColor="text1"/>
          <w:highlight w:val="yellow"/>
        </w:rPr>
      </w:pPr>
    </w:p>
    <w:p w14:paraId="6B21485A" w14:textId="77777777" w:rsidR="00964B48" w:rsidRPr="00104F7D" w:rsidRDefault="00964B48" w:rsidP="007C4955">
      <w:pPr>
        <w:contextualSpacing/>
        <w:rPr>
          <w:rFonts w:cs="Arial"/>
          <w:b/>
          <w:i/>
          <w:color w:val="000000" w:themeColor="text1"/>
          <w:highlight w:val="yellow"/>
        </w:rPr>
      </w:pPr>
    </w:p>
    <w:p w14:paraId="4480B6ED" w14:textId="77777777" w:rsidR="00964B48" w:rsidRPr="00104F7D" w:rsidRDefault="00964B48" w:rsidP="007C4955">
      <w:pPr>
        <w:contextualSpacing/>
        <w:rPr>
          <w:rFonts w:cs="Arial"/>
          <w:b/>
          <w:i/>
          <w:color w:val="000000" w:themeColor="text1"/>
          <w:highlight w:val="yellow"/>
        </w:rPr>
      </w:pPr>
    </w:p>
    <w:p w14:paraId="2F26A6E5" w14:textId="76E1838D" w:rsidR="00175A3B" w:rsidRPr="00CC49BC" w:rsidRDefault="00175A3B" w:rsidP="007C4955">
      <w:pPr>
        <w:contextualSpacing/>
        <w:rPr>
          <w:rFonts w:cs="Arial"/>
          <w:b/>
          <w:i/>
          <w:color w:val="000000" w:themeColor="text1"/>
        </w:rPr>
      </w:pPr>
      <w:r w:rsidRPr="00CC49BC">
        <w:rPr>
          <w:rFonts w:cs="Arial"/>
          <w:b/>
          <w:i/>
          <w:color w:val="000000" w:themeColor="text1"/>
        </w:rPr>
        <w:lastRenderedPageBreak/>
        <w:t>Obrázek 1.3.1</w:t>
      </w:r>
    </w:p>
    <w:p w14:paraId="78DD74FB" w14:textId="411A385C" w:rsidR="00175A3B" w:rsidRPr="0083165A" w:rsidRDefault="00175A3B" w:rsidP="007C4955">
      <w:pPr>
        <w:contextualSpacing/>
        <w:rPr>
          <w:rFonts w:cs="Arial"/>
          <w:b/>
          <w:i/>
          <w:color w:val="000000" w:themeColor="text1"/>
        </w:rPr>
      </w:pPr>
      <w:r w:rsidRPr="0083165A">
        <w:rPr>
          <w:rFonts w:cs="Arial"/>
          <w:b/>
          <w:i/>
          <w:color w:val="000000" w:themeColor="text1"/>
        </w:rPr>
        <w:t>Stav hladiny podzemní</w:t>
      </w:r>
      <w:r w:rsidR="0065315B" w:rsidRPr="0083165A">
        <w:rPr>
          <w:rFonts w:cs="Arial"/>
          <w:b/>
          <w:i/>
          <w:color w:val="000000" w:themeColor="text1"/>
        </w:rPr>
        <w:t>ch</w:t>
      </w:r>
      <w:r w:rsidRPr="0083165A">
        <w:rPr>
          <w:rFonts w:cs="Arial"/>
          <w:b/>
          <w:i/>
          <w:color w:val="000000" w:themeColor="text1"/>
        </w:rPr>
        <w:t xml:space="preserve"> vod v mělkých vrtech v </w:t>
      </w:r>
      <w:r w:rsidR="00680A90" w:rsidRPr="0083165A">
        <w:rPr>
          <w:rFonts w:cs="Arial"/>
          <w:b/>
          <w:i/>
          <w:color w:val="000000" w:themeColor="text1"/>
        </w:rPr>
        <w:t xml:space="preserve">roce </w:t>
      </w:r>
      <w:r w:rsidRPr="0083165A">
        <w:rPr>
          <w:rFonts w:cs="Arial"/>
          <w:b/>
          <w:i/>
          <w:color w:val="000000" w:themeColor="text1"/>
        </w:rPr>
        <w:t>20</w:t>
      </w:r>
      <w:r w:rsidR="009202B0" w:rsidRPr="0083165A">
        <w:rPr>
          <w:rFonts w:cs="Arial"/>
          <w:b/>
          <w:i/>
          <w:color w:val="000000" w:themeColor="text1"/>
        </w:rPr>
        <w:t>2</w:t>
      </w:r>
      <w:r w:rsidR="0083165A" w:rsidRPr="0083165A">
        <w:rPr>
          <w:rFonts w:cs="Arial"/>
          <w:b/>
          <w:i/>
          <w:color w:val="000000" w:themeColor="text1"/>
        </w:rPr>
        <w:t>5</w:t>
      </w:r>
      <w:r w:rsidR="00680A90" w:rsidRPr="0083165A">
        <w:rPr>
          <w:rFonts w:cs="Arial"/>
          <w:b/>
          <w:i/>
          <w:color w:val="000000" w:themeColor="text1"/>
        </w:rPr>
        <w:t xml:space="preserve"> vztaženo k referenčnímu období 1991–2020</w:t>
      </w:r>
    </w:p>
    <w:p w14:paraId="62DDC08F" w14:textId="0BA956BA" w:rsidR="0069704D" w:rsidRPr="00104F7D" w:rsidRDefault="0083165A" w:rsidP="007C4955">
      <w:pPr>
        <w:contextualSpacing/>
        <w:rPr>
          <w:rFonts w:cs="Arial"/>
          <w:b/>
          <w:i/>
          <w:color w:val="000000" w:themeColor="text1"/>
          <w:highlight w:val="yellow"/>
        </w:rPr>
      </w:pPr>
      <w:r>
        <w:rPr>
          <w:noProof/>
        </w:rPr>
        <w:drawing>
          <wp:inline distT="0" distB="0" distL="0" distR="0" wp14:anchorId="7A70DD42" wp14:editId="27AAB91C">
            <wp:extent cx="5743575" cy="3581400"/>
            <wp:effectExtent l="0" t="0" r="9525" b="0"/>
            <wp:docPr id="12860443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0900"/>
                    <a:stretch>
                      <a:fillRect/>
                    </a:stretch>
                  </pic:blipFill>
                  <pic:spPr bwMode="auto">
                    <a:xfrm>
                      <a:off x="0" y="0"/>
                      <a:ext cx="5743575" cy="3581400"/>
                    </a:xfrm>
                    <a:prstGeom prst="rect">
                      <a:avLst/>
                    </a:prstGeom>
                    <a:noFill/>
                    <a:ln>
                      <a:noFill/>
                    </a:ln>
                    <a:extLst>
                      <a:ext uri="{53640926-AAD7-44D8-BBD7-CCE9431645EC}">
                        <a14:shadowObscured xmlns:a14="http://schemas.microsoft.com/office/drawing/2010/main"/>
                      </a:ext>
                    </a:extLst>
                  </pic:spPr>
                </pic:pic>
              </a:graphicData>
            </a:graphic>
          </wp:inline>
        </w:drawing>
      </w:r>
    </w:p>
    <w:p w14:paraId="7031260F" w14:textId="14F1F29A" w:rsidR="00175A3B" w:rsidRPr="0083165A" w:rsidRDefault="00175A3B" w:rsidP="007C4955">
      <w:pPr>
        <w:contextualSpacing/>
        <w:rPr>
          <w:rFonts w:cs="Arial"/>
          <w:i/>
          <w:color w:val="000000" w:themeColor="text1"/>
          <w:sz w:val="20"/>
          <w:szCs w:val="20"/>
        </w:rPr>
      </w:pPr>
      <w:r w:rsidRPr="0083165A">
        <w:rPr>
          <w:rFonts w:cs="Arial"/>
          <w:i/>
          <w:color w:val="000000" w:themeColor="text1"/>
          <w:sz w:val="20"/>
          <w:szCs w:val="20"/>
        </w:rPr>
        <w:t>Pramen</w:t>
      </w:r>
      <w:r w:rsidR="003D5697" w:rsidRPr="0083165A">
        <w:rPr>
          <w:rFonts w:cs="Arial"/>
          <w:i/>
          <w:color w:val="000000" w:themeColor="text1"/>
          <w:sz w:val="20"/>
          <w:szCs w:val="20"/>
        </w:rPr>
        <w:t>:</w:t>
      </w:r>
      <w:r w:rsidRPr="0083165A">
        <w:rPr>
          <w:rFonts w:cs="Arial"/>
          <w:i/>
          <w:color w:val="000000" w:themeColor="text1"/>
          <w:sz w:val="20"/>
          <w:szCs w:val="20"/>
        </w:rPr>
        <w:t xml:space="preserve"> ČHMÚ</w:t>
      </w:r>
    </w:p>
    <w:p w14:paraId="288DEDCF" w14:textId="77777777" w:rsidR="00175A3B" w:rsidRPr="00104F7D" w:rsidRDefault="00175A3B" w:rsidP="007C4955">
      <w:pPr>
        <w:contextualSpacing/>
        <w:rPr>
          <w:rFonts w:ascii="Times New Roman" w:hAnsi="Times New Roman"/>
          <w:color w:val="FF0000"/>
          <w:sz w:val="24"/>
          <w:szCs w:val="24"/>
          <w:highlight w:val="yellow"/>
        </w:rPr>
      </w:pPr>
    </w:p>
    <w:p w14:paraId="4A690DBD" w14:textId="77777777" w:rsidR="002F0C54" w:rsidRPr="00104F7D" w:rsidRDefault="002F0C54" w:rsidP="007C4955">
      <w:pPr>
        <w:contextualSpacing/>
        <w:rPr>
          <w:b/>
          <w:i/>
          <w:color w:val="000000" w:themeColor="text1"/>
          <w:highlight w:val="yellow"/>
        </w:rPr>
      </w:pPr>
    </w:p>
    <w:p w14:paraId="131EA578" w14:textId="7BE990E8" w:rsidR="003F41F5" w:rsidRPr="00911AEC" w:rsidRDefault="00862B67" w:rsidP="007C4955">
      <w:pPr>
        <w:contextualSpacing/>
        <w:rPr>
          <w:b/>
          <w:i/>
          <w:color w:val="000000" w:themeColor="text1"/>
        </w:rPr>
      </w:pPr>
      <w:r w:rsidRPr="00911AEC">
        <w:rPr>
          <w:b/>
          <w:i/>
          <w:color w:val="000000" w:themeColor="text1"/>
        </w:rPr>
        <w:t>Tab</w:t>
      </w:r>
      <w:r w:rsidR="003F41F5" w:rsidRPr="00911AEC">
        <w:rPr>
          <w:b/>
          <w:i/>
          <w:color w:val="000000" w:themeColor="text1"/>
        </w:rPr>
        <w:t xml:space="preserve">ulka </w:t>
      </w:r>
      <w:r w:rsidRPr="00911AEC">
        <w:rPr>
          <w:b/>
          <w:i/>
          <w:color w:val="000000" w:themeColor="text1"/>
        </w:rPr>
        <w:t xml:space="preserve">1.3.1 </w:t>
      </w:r>
    </w:p>
    <w:p w14:paraId="19BEB9B3" w14:textId="1B4FD195" w:rsidR="00175A3B" w:rsidRPr="00911AEC" w:rsidRDefault="00680A90" w:rsidP="007C4955">
      <w:pPr>
        <w:contextualSpacing/>
        <w:rPr>
          <w:b/>
          <w:i/>
          <w:color w:val="000000" w:themeColor="text1"/>
        </w:rPr>
      </w:pPr>
      <w:r w:rsidRPr="00911AEC">
        <w:rPr>
          <w:b/>
          <w:i/>
          <w:color w:val="000000" w:themeColor="text1"/>
        </w:rPr>
        <w:t>Pravděpodobnost překročení průměrného stavu hladiny v roce 202</w:t>
      </w:r>
      <w:r w:rsidR="00CC49BC" w:rsidRPr="00911AEC">
        <w:rPr>
          <w:b/>
          <w:i/>
          <w:color w:val="000000" w:themeColor="text1"/>
        </w:rPr>
        <w:t>5</w:t>
      </w:r>
      <w:r w:rsidRPr="00911AEC">
        <w:rPr>
          <w:b/>
          <w:i/>
          <w:color w:val="000000" w:themeColor="text1"/>
        </w:rPr>
        <w:t xml:space="preserve"> v jednotlivých dílčích povodích v % </w:t>
      </w:r>
      <w:proofErr w:type="spellStart"/>
      <w:r w:rsidRPr="00911AEC">
        <w:rPr>
          <w:rFonts w:cs="Arial"/>
          <w:b/>
          <w:i/>
          <w:color w:val="000000" w:themeColor="text1"/>
        </w:rPr>
        <w:t>KP</w:t>
      </w:r>
      <w:r w:rsidRPr="00911AEC">
        <w:rPr>
          <w:rFonts w:cs="Arial"/>
          <w:b/>
          <w:i/>
          <w:color w:val="000000" w:themeColor="text1"/>
          <w:vertAlign w:val="subscript"/>
        </w:rPr>
        <w:t>m</w:t>
      </w:r>
      <w:proofErr w:type="spellEnd"/>
      <w:r w:rsidRPr="00911AEC">
        <w:rPr>
          <w:b/>
          <w:i/>
          <w:color w:val="000000" w:themeColor="text1"/>
        </w:rPr>
        <w:t xml:space="preserve"> (měsíční křivka překročení za </w:t>
      </w:r>
      <w:r w:rsidR="00F642B6" w:rsidRPr="00911AEC">
        <w:rPr>
          <w:b/>
          <w:i/>
          <w:color w:val="000000" w:themeColor="text1"/>
        </w:rPr>
        <w:t xml:space="preserve">referenční </w:t>
      </w:r>
      <w:r w:rsidRPr="00911AEC">
        <w:rPr>
          <w:b/>
          <w:i/>
          <w:color w:val="000000" w:themeColor="text1"/>
        </w:rPr>
        <w:t xml:space="preserve">období 1991–2020) </w:t>
      </w:r>
    </w:p>
    <w:tbl>
      <w:tblPr>
        <w:tblW w:w="9054" w:type="dxa"/>
        <w:tblInd w:w="-5" w:type="dxa"/>
        <w:tblCellMar>
          <w:left w:w="70" w:type="dxa"/>
          <w:right w:w="70" w:type="dxa"/>
        </w:tblCellMar>
        <w:tblLook w:val="04A0" w:firstRow="1" w:lastRow="0" w:firstColumn="1" w:lastColumn="0" w:noHBand="0" w:noVBand="1"/>
      </w:tblPr>
      <w:tblGrid>
        <w:gridCol w:w="1974"/>
        <w:gridCol w:w="543"/>
        <w:gridCol w:w="542"/>
        <w:gridCol w:w="542"/>
        <w:gridCol w:w="542"/>
        <w:gridCol w:w="542"/>
        <w:gridCol w:w="542"/>
        <w:gridCol w:w="542"/>
        <w:gridCol w:w="542"/>
        <w:gridCol w:w="542"/>
        <w:gridCol w:w="542"/>
        <w:gridCol w:w="542"/>
        <w:gridCol w:w="542"/>
        <w:gridCol w:w="575"/>
      </w:tblGrid>
      <w:tr w:rsidR="00911AEC" w:rsidRPr="009A6554" w14:paraId="74C1AE7D" w14:textId="77777777" w:rsidTr="004E5C01">
        <w:trPr>
          <w:trHeight w:val="300"/>
        </w:trPr>
        <w:tc>
          <w:tcPr>
            <w:tcW w:w="1974" w:type="dxa"/>
            <w:vMerge w:val="restart"/>
            <w:tcBorders>
              <w:top w:val="single" w:sz="24" w:space="0" w:color="002060"/>
              <w:left w:val="single" w:sz="4" w:space="0" w:color="002060"/>
              <w:right w:val="nil"/>
            </w:tcBorders>
            <w:noWrap/>
            <w:vAlign w:val="center"/>
          </w:tcPr>
          <w:p w14:paraId="31027FCA" w14:textId="77777777" w:rsidR="00911AEC" w:rsidRPr="009A6554" w:rsidRDefault="00911AEC" w:rsidP="004E5C01">
            <w:pPr>
              <w:jc w:val="left"/>
              <w:rPr>
                <w:rFonts w:cs="Arial"/>
                <w:sz w:val="18"/>
                <w:szCs w:val="18"/>
              </w:rPr>
            </w:pPr>
            <w:r>
              <w:rPr>
                <w:rFonts w:cs="Arial"/>
                <w:b/>
                <w:bCs/>
                <w:sz w:val="18"/>
                <w:szCs w:val="18"/>
              </w:rPr>
              <w:t>Dílčí p</w:t>
            </w:r>
            <w:r w:rsidRPr="009A6554">
              <w:rPr>
                <w:rFonts w:cs="Arial"/>
                <w:b/>
                <w:bCs/>
                <w:sz w:val="18"/>
                <w:szCs w:val="18"/>
              </w:rPr>
              <w:t>ovodí</w:t>
            </w:r>
          </w:p>
        </w:tc>
        <w:tc>
          <w:tcPr>
            <w:tcW w:w="7080" w:type="dxa"/>
            <w:gridSpan w:val="13"/>
            <w:tcBorders>
              <w:top w:val="single" w:sz="24" w:space="0" w:color="002060"/>
              <w:left w:val="single" w:sz="4" w:space="0" w:color="14387F"/>
              <w:bottom w:val="single" w:sz="4" w:space="0" w:color="14387F"/>
              <w:right w:val="single" w:sz="4" w:space="0" w:color="14387F"/>
            </w:tcBorders>
            <w:noWrap/>
            <w:vAlign w:val="center"/>
          </w:tcPr>
          <w:p w14:paraId="47ED46CB" w14:textId="77777777" w:rsidR="00911AEC" w:rsidRPr="009A6554" w:rsidRDefault="00911AEC" w:rsidP="004E5C01">
            <w:pPr>
              <w:jc w:val="center"/>
              <w:rPr>
                <w:rFonts w:cs="Arial"/>
                <w:sz w:val="18"/>
                <w:szCs w:val="18"/>
              </w:rPr>
            </w:pPr>
            <w:r w:rsidRPr="009A6554">
              <w:rPr>
                <w:rFonts w:cs="Arial"/>
                <w:b/>
                <w:bCs/>
                <w:sz w:val="18"/>
                <w:szCs w:val="18"/>
              </w:rPr>
              <w:t>Zařazení úrovně hladiny na KP v %</w:t>
            </w:r>
          </w:p>
        </w:tc>
      </w:tr>
      <w:tr w:rsidR="00911AEC" w:rsidRPr="009A6554" w14:paraId="01ACACF5" w14:textId="77777777" w:rsidTr="004E5C01">
        <w:trPr>
          <w:trHeight w:val="300"/>
        </w:trPr>
        <w:tc>
          <w:tcPr>
            <w:tcW w:w="1974" w:type="dxa"/>
            <w:vMerge/>
            <w:tcBorders>
              <w:left w:val="single" w:sz="4" w:space="0" w:color="002060"/>
              <w:bottom w:val="single" w:sz="4" w:space="0" w:color="002060"/>
              <w:right w:val="nil"/>
            </w:tcBorders>
            <w:noWrap/>
            <w:vAlign w:val="bottom"/>
          </w:tcPr>
          <w:p w14:paraId="454FDBF5" w14:textId="77777777" w:rsidR="00911AEC" w:rsidRPr="009A6554" w:rsidRDefault="00911AEC" w:rsidP="004E5C01">
            <w:pPr>
              <w:jc w:val="left"/>
              <w:rPr>
                <w:rFonts w:cs="Arial"/>
                <w:sz w:val="18"/>
                <w:szCs w:val="18"/>
              </w:rPr>
            </w:pPr>
          </w:p>
        </w:tc>
        <w:tc>
          <w:tcPr>
            <w:tcW w:w="543" w:type="dxa"/>
            <w:tcBorders>
              <w:top w:val="single" w:sz="4" w:space="0" w:color="14387F"/>
              <w:left w:val="single" w:sz="4" w:space="0" w:color="14387F"/>
              <w:bottom w:val="single" w:sz="4" w:space="0" w:color="14387F"/>
              <w:right w:val="single" w:sz="4" w:space="0" w:color="14387F"/>
            </w:tcBorders>
            <w:noWrap/>
            <w:vAlign w:val="center"/>
          </w:tcPr>
          <w:p w14:paraId="23B62B3C" w14:textId="77777777" w:rsidR="00911AEC" w:rsidRPr="009A6554" w:rsidRDefault="00911AEC" w:rsidP="004E5C01">
            <w:pPr>
              <w:jc w:val="center"/>
              <w:rPr>
                <w:rFonts w:cs="Arial"/>
                <w:b/>
                <w:bCs/>
                <w:sz w:val="18"/>
                <w:szCs w:val="18"/>
              </w:rPr>
            </w:pPr>
            <w:r w:rsidRPr="009A6554">
              <w:rPr>
                <w:rFonts w:cs="Arial"/>
                <w:b/>
                <w:bCs/>
                <w:sz w:val="18"/>
                <w:szCs w:val="18"/>
              </w:rPr>
              <w:t>I</w:t>
            </w:r>
          </w:p>
        </w:tc>
        <w:tc>
          <w:tcPr>
            <w:tcW w:w="542" w:type="dxa"/>
            <w:tcBorders>
              <w:top w:val="single" w:sz="4" w:space="0" w:color="14387F"/>
              <w:left w:val="nil"/>
              <w:bottom w:val="single" w:sz="4" w:space="0" w:color="14387F"/>
              <w:right w:val="single" w:sz="4" w:space="0" w:color="14387F"/>
            </w:tcBorders>
            <w:noWrap/>
            <w:vAlign w:val="center"/>
          </w:tcPr>
          <w:p w14:paraId="1EA55F7C" w14:textId="77777777" w:rsidR="00911AEC" w:rsidRPr="009A6554" w:rsidRDefault="00911AEC" w:rsidP="004E5C01">
            <w:pPr>
              <w:jc w:val="center"/>
              <w:rPr>
                <w:rFonts w:cs="Arial"/>
                <w:b/>
                <w:bCs/>
                <w:sz w:val="18"/>
                <w:szCs w:val="18"/>
              </w:rPr>
            </w:pPr>
            <w:r w:rsidRPr="009A6554">
              <w:rPr>
                <w:rFonts w:cs="Arial"/>
                <w:b/>
                <w:bCs/>
                <w:sz w:val="18"/>
                <w:szCs w:val="18"/>
              </w:rPr>
              <w:t>II</w:t>
            </w:r>
          </w:p>
        </w:tc>
        <w:tc>
          <w:tcPr>
            <w:tcW w:w="542" w:type="dxa"/>
            <w:tcBorders>
              <w:top w:val="single" w:sz="4" w:space="0" w:color="14387F"/>
              <w:left w:val="nil"/>
              <w:bottom w:val="single" w:sz="4" w:space="0" w:color="14387F"/>
              <w:right w:val="single" w:sz="4" w:space="0" w:color="14387F"/>
            </w:tcBorders>
            <w:noWrap/>
            <w:vAlign w:val="center"/>
          </w:tcPr>
          <w:p w14:paraId="494CE4D9" w14:textId="77777777" w:rsidR="00911AEC" w:rsidRPr="009A6554" w:rsidRDefault="00911AEC" w:rsidP="004E5C01">
            <w:pPr>
              <w:jc w:val="center"/>
              <w:rPr>
                <w:rFonts w:cs="Arial"/>
                <w:b/>
                <w:bCs/>
                <w:sz w:val="18"/>
                <w:szCs w:val="18"/>
              </w:rPr>
            </w:pPr>
            <w:r w:rsidRPr="009A6554">
              <w:rPr>
                <w:rFonts w:cs="Arial"/>
                <w:b/>
                <w:bCs/>
                <w:sz w:val="18"/>
                <w:szCs w:val="18"/>
              </w:rPr>
              <w:t>III</w:t>
            </w:r>
          </w:p>
        </w:tc>
        <w:tc>
          <w:tcPr>
            <w:tcW w:w="542" w:type="dxa"/>
            <w:tcBorders>
              <w:top w:val="single" w:sz="4" w:space="0" w:color="14387F"/>
              <w:left w:val="nil"/>
              <w:bottom w:val="single" w:sz="4" w:space="0" w:color="14387F"/>
              <w:right w:val="single" w:sz="4" w:space="0" w:color="14387F"/>
            </w:tcBorders>
            <w:noWrap/>
            <w:vAlign w:val="center"/>
          </w:tcPr>
          <w:p w14:paraId="25F439A4" w14:textId="77777777" w:rsidR="00911AEC" w:rsidRPr="009A6554" w:rsidRDefault="00911AEC" w:rsidP="004E5C01">
            <w:pPr>
              <w:jc w:val="center"/>
              <w:rPr>
                <w:rFonts w:cs="Arial"/>
                <w:b/>
                <w:bCs/>
                <w:sz w:val="18"/>
                <w:szCs w:val="18"/>
              </w:rPr>
            </w:pPr>
            <w:r w:rsidRPr="009A6554">
              <w:rPr>
                <w:rFonts w:cs="Arial"/>
                <w:b/>
                <w:bCs/>
                <w:sz w:val="18"/>
                <w:szCs w:val="18"/>
              </w:rPr>
              <w:t>IV</w:t>
            </w:r>
          </w:p>
        </w:tc>
        <w:tc>
          <w:tcPr>
            <w:tcW w:w="542" w:type="dxa"/>
            <w:tcBorders>
              <w:top w:val="single" w:sz="4" w:space="0" w:color="14387F"/>
              <w:left w:val="nil"/>
              <w:bottom w:val="single" w:sz="4" w:space="0" w:color="14387F"/>
              <w:right w:val="single" w:sz="4" w:space="0" w:color="14387F"/>
            </w:tcBorders>
            <w:noWrap/>
            <w:vAlign w:val="center"/>
          </w:tcPr>
          <w:p w14:paraId="25541622" w14:textId="77777777" w:rsidR="00911AEC" w:rsidRPr="009A6554" w:rsidRDefault="00911AEC" w:rsidP="004E5C01">
            <w:pPr>
              <w:jc w:val="center"/>
              <w:rPr>
                <w:rFonts w:cs="Arial"/>
                <w:b/>
                <w:bCs/>
                <w:sz w:val="18"/>
                <w:szCs w:val="18"/>
              </w:rPr>
            </w:pPr>
            <w:r w:rsidRPr="009A6554">
              <w:rPr>
                <w:rFonts w:cs="Arial"/>
                <w:b/>
                <w:bCs/>
                <w:sz w:val="18"/>
                <w:szCs w:val="18"/>
              </w:rPr>
              <w:t>V</w:t>
            </w:r>
          </w:p>
        </w:tc>
        <w:tc>
          <w:tcPr>
            <w:tcW w:w="542" w:type="dxa"/>
            <w:tcBorders>
              <w:top w:val="single" w:sz="4" w:space="0" w:color="14387F"/>
              <w:left w:val="nil"/>
              <w:bottom w:val="single" w:sz="4" w:space="0" w:color="14387F"/>
              <w:right w:val="single" w:sz="4" w:space="0" w:color="14387F"/>
            </w:tcBorders>
            <w:noWrap/>
            <w:vAlign w:val="center"/>
          </w:tcPr>
          <w:p w14:paraId="25E1C9C1" w14:textId="77777777" w:rsidR="00911AEC" w:rsidRPr="009A6554" w:rsidRDefault="00911AEC" w:rsidP="004E5C01">
            <w:pPr>
              <w:jc w:val="center"/>
              <w:rPr>
                <w:rFonts w:cs="Arial"/>
                <w:b/>
                <w:bCs/>
                <w:sz w:val="18"/>
                <w:szCs w:val="18"/>
              </w:rPr>
            </w:pPr>
            <w:r w:rsidRPr="009A6554">
              <w:rPr>
                <w:rFonts w:cs="Arial"/>
                <w:b/>
                <w:bCs/>
                <w:sz w:val="18"/>
                <w:szCs w:val="18"/>
              </w:rPr>
              <w:t>VI</w:t>
            </w:r>
          </w:p>
        </w:tc>
        <w:tc>
          <w:tcPr>
            <w:tcW w:w="542" w:type="dxa"/>
            <w:tcBorders>
              <w:top w:val="single" w:sz="4" w:space="0" w:color="14387F"/>
              <w:left w:val="nil"/>
              <w:bottom w:val="single" w:sz="4" w:space="0" w:color="14387F"/>
              <w:right w:val="single" w:sz="4" w:space="0" w:color="14387F"/>
            </w:tcBorders>
            <w:noWrap/>
            <w:vAlign w:val="center"/>
          </w:tcPr>
          <w:p w14:paraId="6205BBD1" w14:textId="77777777" w:rsidR="00911AEC" w:rsidRPr="009A6554" w:rsidRDefault="00911AEC" w:rsidP="004E5C01">
            <w:pPr>
              <w:jc w:val="center"/>
              <w:rPr>
                <w:rFonts w:cs="Arial"/>
                <w:b/>
                <w:bCs/>
                <w:sz w:val="18"/>
                <w:szCs w:val="18"/>
              </w:rPr>
            </w:pPr>
            <w:r w:rsidRPr="009A6554">
              <w:rPr>
                <w:rFonts w:cs="Arial"/>
                <w:b/>
                <w:bCs/>
                <w:sz w:val="18"/>
                <w:szCs w:val="18"/>
              </w:rPr>
              <w:t>VII</w:t>
            </w:r>
          </w:p>
        </w:tc>
        <w:tc>
          <w:tcPr>
            <w:tcW w:w="542" w:type="dxa"/>
            <w:tcBorders>
              <w:top w:val="single" w:sz="4" w:space="0" w:color="14387F"/>
              <w:left w:val="nil"/>
              <w:bottom w:val="single" w:sz="4" w:space="0" w:color="14387F"/>
              <w:right w:val="single" w:sz="4" w:space="0" w:color="14387F"/>
            </w:tcBorders>
            <w:noWrap/>
            <w:vAlign w:val="center"/>
          </w:tcPr>
          <w:p w14:paraId="11031E71" w14:textId="77777777" w:rsidR="00911AEC" w:rsidRPr="009A6554" w:rsidRDefault="00911AEC" w:rsidP="004E5C01">
            <w:pPr>
              <w:jc w:val="center"/>
              <w:rPr>
                <w:rFonts w:cs="Arial"/>
                <w:b/>
                <w:bCs/>
                <w:sz w:val="18"/>
                <w:szCs w:val="18"/>
              </w:rPr>
            </w:pPr>
            <w:r w:rsidRPr="009A6554">
              <w:rPr>
                <w:rFonts w:cs="Arial"/>
                <w:b/>
                <w:bCs/>
                <w:sz w:val="18"/>
                <w:szCs w:val="18"/>
              </w:rPr>
              <w:t>VIII</w:t>
            </w:r>
          </w:p>
        </w:tc>
        <w:tc>
          <w:tcPr>
            <w:tcW w:w="542" w:type="dxa"/>
            <w:tcBorders>
              <w:top w:val="single" w:sz="4" w:space="0" w:color="14387F"/>
              <w:left w:val="nil"/>
              <w:bottom w:val="single" w:sz="4" w:space="0" w:color="14387F"/>
              <w:right w:val="single" w:sz="4" w:space="0" w:color="14387F"/>
            </w:tcBorders>
            <w:noWrap/>
            <w:vAlign w:val="center"/>
          </w:tcPr>
          <w:p w14:paraId="3FB37C8A" w14:textId="77777777" w:rsidR="00911AEC" w:rsidRPr="009A6554" w:rsidRDefault="00911AEC" w:rsidP="004E5C01">
            <w:pPr>
              <w:jc w:val="center"/>
              <w:rPr>
                <w:rFonts w:cs="Arial"/>
                <w:b/>
                <w:bCs/>
                <w:sz w:val="18"/>
                <w:szCs w:val="18"/>
              </w:rPr>
            </w:pPr>
            <w:r w:rsidRPr="009A6554">
              <w:rPr>
                <w:rFonts w:cs="Arial"/>
                <w:b/>
                <w:bCs/>
                <w:sz w:val="18"/>
                <w:szCs w:val="18"/>
              </w:rPr>
              <w:t>IX</w:t>
            </w:r>
          </w:p>
        </w:tc>
        <w:tc>
          <w:tcPr>
            <w:tcW w:w="542" w:type="dxa"/>
            <w:tcBorders>
              <w:top w:val="single" w:sz="4" w:space="0" w:color="14387F"/>
              <w:left w:val="nil"/>
              <w:bottom w:val="single" w:sz="4" w:space="0" w:color="14387F"/>
              <w:right w:val="single" w:sz="4" w:space="0" w:color="14387F"/>
            </w:tcBorders>
            <w:noWrap/>
            <w:vAlign w:val="center"/>
          </w:tcPr>
          <w:p w14:paraId="63BD8968" w14:textId="77777777" w:rsidR="00911AEC" w:rsidRPr="009A6554" w:rsidRDefault="00911AEC" w:rsidP="004E5C01">
            <w:pPr>
              <w:jc w:val="center"/>
              <w:rPr>
                <w:rFonts w:cs="Arial"/>
                <w:b/>
                <w:bCs/>
                <w:sz w:val="18"/>
                <w:szCs w:val="18"/>
              </w:rPr>
            </w:pPr>
            <w:r w:rsidRPr="009A6554">
              <w:rPr>
                <w:rFonts w:cs="Arial"/>
                <w:b/>
                <w:bCs/>
                <w:sz w:val="18"/>
                <w:szCs w:val="18"/>
              </w:rPr>
              <w:t>X</w:t>
            </w:r>
          </w:p>
        </w:tc>
        <w:tc>
          <w:tcPr>
            <w:tcW w:w="542" w:type="dxa"/>
            <w:tcBorders>
              <w:top w:val="single" w:sz="4" w:space="0" w:color="14387F"/>
              <w:left w:val="nil"/>
              <w:bottom w:val="single" w:sz="4" w:space="0" w:color="14387F"/>
              <w:right w:val="single" w:sz="4" w:space="0" w:color="14387F"/>
            </w:tcBorders>
            <w:noWrap/>
            <w:vAlign w:val="center"/>
          </w:tcPr>
          <w:p w14:paraId="794D3B5C" w14:textId="77777777" w:rsidR="00911AEC" w:rsidRPr="009A6554" w:rsidRDefault="00911AEC" w:rsidP="004E5C01">
            <w:pPr>
              <w:jc w:val="center"/>
              <w:rPr>
                <w:rFonts w:cs="Arial"/>
                <w:b/>
                <w:bCs/>
                <w:sz w:val="18"/>
                <w:szCs w:val="18"/>
              </w:rPr>
            </w:pPr>
            <w:r w:rsidRPr="009A6554">
              <w:rPr>
                <w:rFonts w:cs="Arial"/>
                <w:b/>
                <w:bCs/>
                <w:sz w:val="18"/>
                <w:szCs w:val="18"/>
              </w:rPr>
              <w:t>XI</w:t>
            </w:r>
          </w:p>
        </w:tc>
        <w:tc>
          <w:tcPr>
            <w:tcW w:w="542" w:type="dxa"/>
            <w:tcBorders>
              <w:top w:val="single" w:sz="4" w:space="0" w:color="14387F"/>
              <w:left w:val="nil"/>
              <w:bottom w:val="single" w:sz="4" w:space="0" w:color="14387F"/>
              <w:right w:val="single" w:sz="4" w:space="0" w:color="14387F"/>
            </w:tcBorders>
            <w:noWrap/>
            <w:vAlign w:val="center"/>
          </w:tcPr>
          <w:p w14:paraId="22EB3DCC" w14:textId="77777777" w:rsidR="00911AEC" w:rsidRPr="009A6554" w:rsidRDefault="00911AEC" w:rsidP="004E5C01">
            <w:pPr>
              <w:jc w:val="center"/>
              <w:rPr>
                <w:rFonts w:cs="Arial"/>
                <w:b/>
                <w:bCs/>
                <w:sz w:val="18"/>
                <w:szCs w:val="18"/>
              </w:rPr>
            </w:pPr>
            <w:r w:rsidRPr="009A6554">
              <w:rPr>
                <w:rFonts w:cs="Arial"/>
                <w:b/>
                <w:bCs/>
                <w:sz w:val="18"/>
                <w:szCs w:val="18"/>
              </w:rPr>
              <w:t>XII</w:t>
            </w:r>
          </w:p>
        </w:tc>
        <w:tc>
          <w:tcPr>
            <w:tcW w:w="575" w:type="dxa"/>
            <w:tcBorders>
              <w:top w:val="single" w:sz="4" w:space="0" w:color="14387F"/>
              <w:left w:val="nil"/>
              <w:bottom w:val="single" w:sz="4" w:space="0" w:color="14387F"/>
              <w:right w:val="single" w:sz="4" w:space="0" w:color="14387F"/>
            </w:tcBorders>
            <w:noWrap/>
            <w:vAlign w:val="center"/>
          </w:tcPr>
          <w:p w14:paraId="35AE7AE0" w14:textId="77777777" w:rsidR="00911AEC" w:rsidRPr="009A6554" w:rsidRDefault="00911AEC" w:rsidP="004E5C01">
            <w:pPr>
              <w:jc w:val="center"/>
              <w:rPr>
                <w:rFonts w:cs="Arial"/>
                <w:b/>
                <w:bCs/>
                <w:sz w:val="18"/>
                <w:szCs w:val="18"/>
              </w:rPr>
            </w:pPr>
            <w:r w:rsidRPr="009A6554">
              <w:rPr>
                <w:rFonts w:cs="Arial"/>
                <w:b/>
                <w:bCs/>
                <w:sz w:val="18"/>
                <w:szCs w:val="18"/>
              </w:rPr>
              <w:t>2025</w:t>
            </w:r>
          </w:p>
        </w:tc>
      </w:tr>
      <w:tr w:rsidR="00911AEC" w:rsidRPr="009A6554" w14:paraId="6FEFB2D1" w14:textId="77777777" w:rsidTr="004E5C01">
        <w:trPr>
          <w:trHeight w:hRule="exact" w:val="301"/>
        </w:trPr>
        <w:tc>
          <w:tcPr>
            <w:tcW w:w="1974" w:type="dxa"/>
            <w:tcBorders>
              <w:top w:val="single" w:sz="4" w:space="0" w:color="002060"/>
              <w:left w:val="single" w:sz="4" w:space="0" w:color="002060"/>
              <w:bottom w:val="single" w:sz="4" w:space="0" w:color="002060"/>
              <w:right w:val="single" w:sz="4" w:space="0" w:color="14387F"/>
            </w:tcBorders>
            <w:noWrap/>
            <w:vAlign w:val="center"/>
            <w:hideMark/>
          </w:tcPr>
          <w:p w14:paraId="5873F4B7" w14:textId="77777777" w:rsidR="00911AEC" w:rsidRPr="009A6554" w:rsidRDefault="00911AEC" w:rsidP="004E5C01">
            <w:pPr>
              <w:jc w:val="left"/>
              <w:rPr>
                <w:rFonts w:cs="Arial"/>
                <w:sz w:val="18"/>
                <w:szCs w:val="18"/>
              </w:rPr>
            </w:pPr>
            <w:r w:rsidRPr="009A6554">
              <w:rPr>
                <w:rFonts w:cs="Arial"/>
                <w:sz w:val="18"/>
                <w:szCs w:val="18"/>
              </w:rPr>
              <w:t>Horní a střední Labe</w:t>
            </w:r>
          </w:p>
        </w:tc>
        <w:tc>
          <w:tcPr>
            <w:tcW w:w="543" w:type="dxa"/>
            <w:tcBorders>
              <w:top w:val="single" w:sz="4" w:space="0" w:color="14387F"/>
              <w:left w:val="single" w:sz="4" w:space="0" w:color="14387F"/>
              <w:bottom w:val="single" w:sz="4" w:space="0" w:color="14387F"/>
              <w:right w:val="single" w:sz="4" w:space="0" w:color="14387F"/>
            </w:tcBorders>
            <w:noWrap/>
            <w:vAlign w:val="center"/>
          </w:tcPr>
          <w:p w14:paraId="737FF5C8" w14:textId="77777777" w:rsidR="00911AEC" w:rsidRPr="009A6554" w:rsidRDefault="00911AEC" w:rsidP="004E5C01">
            <w:pPr>
              <w:pStyle w:val="tabulkatlo"/>
            </w:pPr>
            <w:r w:rsidRPr="009A6554">
              <w:t>29</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0F0500AE" w14:textId="77777777" w:rsidR="00911AEC" w:rsidRPr="009A6554" w:rsidRDefault="00911AEC" w:rsidP="004E5C01">
            <w:pPr>
              <w:pStyle w:val="tabulkatlo"/>
            </w:pPr>
            <w:r w:rsidRPr="009A6554">
              <w:t>59</w:t>
            </w:r>
          </w:p>
        </w:tc>
        <w:tc>
          <w:tcPr>
            <w:tcW w:w="542"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4DF7D2F9" w14:textId="77777777" w:rsidR="00911AEC" w:rsidRPr="009A6554" w:rsidRDefault="00911AEC" w:rsidP="004E5C01">
            <w:pPr>
              <w:pStyle w:val="tabulkatlo"/>
            </w:pPr>
            <w:r w:rsidRPr="009A6554">
              <w:t>89</w:t>
            </w:r>
          </w:p>
        </w:tc>
        <w:tc>
          <w:tcPr>
            <w:tcW w:w="542"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37658A67" w14:textId="77777777" w:rsidR="00911AEC" w:rsidRPr="009A6554" w:rsidRDefault="00911AEC" w:rsidP="004E5C01">
            <w:pPr>
              <w:pStyle w:val="tabulkatlo"/>
            </w:pPr>
            <w:r w:rsidRPr="009A6554">
              <w:t>94</w:t>
            </w:r>
          </w:p>
        </w:tc>
        <w:tc>
          <w:tcPr>
            <w:tcW w:w="542"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4D7B5321" w14:textId="77777777" w:rsidR="00911AEC" w:rsidRPr="009A6554" w:rsidRDefault="00911AEC" w:rsidP="004E5C01">
            <w:pPr>
              <w:pStyle w:val="tabulkatlo"/>
            </w:pPr>
            <w:r w:rsidRPr="009A6554">
              <w:t>95</w:t>
            </w:r>
          </w:p>
        </w:tc>
        <w:tc>
          <w:tcPr>
            <w:tcW w:w="542"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0F30FE4B" w14:textId="77777777" w:rsidR="00911AEC" w:rsidRPr="009A6554" w:rsidRDefault="00911AEC" w:rsidP="004E5C01">
            <w:pPr>
              <w:pStyle w:val="tabulkatlo"/>
            </w:pPr>
            <w:r w:rsidRPr="009A6554">
              <w:t>86</w:t>
            </w:r>
          </w:p>
        </w:tc>
        <w:tc>
          <w:tcPr>
            <w:tcW w:w="542"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65984CE6" w14:textId="77777777" w:rsidR="00911AEC" w:rsidRPr="009A6554" w:rsidRDefault="00911AEC" w:rsidP="004E5C01">
            <w:pPr>
              <w:pStyle w:val="tabulkatlo"/>
            </w:pPr>
            <w:r w:rsidRPr="009A6554">
              <w:t>93</w:t>
            </w:r>
          </w:p>
        </w:tc>
        <w:tc>
          <w:tcPr>
            <w:tcW w:w="542"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1ECB029A" w14:textId="77777777" w:rsidR="00911AEC" w:rsidRPr="009A6554" w:rsidRDefault="00911AEC" w:rsidP="004E5C01">
            <w:pPr>
              <w:pStyle w:val="tabulkatlo"/>
            </w:pPr>
            <w:r w:rsidRPr="009A6554">
              <w:t>86</w:t>
            </w:r>
          </w:p>
        </w:tc>
        <w:tc>
          <w:tcPr>
            <w:tcW w:w="542"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6D2F88C3" w14:textId="77777777" w:rsidR="00911AEC" w:rsidRPr="009A6554" w:rsidRDefault="00911AEC" w:rsidP="004E5C01">
            <w:pPr>
              <w:pStyle w:val="tabulkatlo"/>
            </w:pPr>
            <w:r w:rsidRPr="009A6554">
              <w:t>76</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539E913B" w14:textId="77777777" w:rsidR="00911AEC" w:rsidRPr="009A6554" w:rsidRDefault="00911AEC" w:rsidP="004E5C01">
            <w:pPr>
              <w:pStyle w:val="tabulkatlo"/>
            </w:pPr>
            <w:r w:rsidRPr="009A6554">
              <w:t>71</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05366FF6" w14:textId="77777777" w:rsidR="00911AEC" w:rsidRPr="009A6554" w:rsidRDefault="00911AEC" w:rsidP="004E5C01">
            <w:pPr>
              <w:pStyle w:val="tabulkatlo"/>
            </w:pPr>
            <w:r w:rsidRPr="009A6554">
              <w:t>53</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1471D695" w14:textId="77777777" w:rsidR="00911AEC" w:rsidRPr="009A6554" w:rsidRDefault="00911AEC" w:rsidP="004E5C01">
            <w:pPr>
              <w:pStyle w:val="tabulkatlo"/>
            </w:pPr>
            <w:r w:rsidRPr="009A6554">
              <w:t>69</w:t>
            </w:r>
          </w:p>
        </w:tc>
        <w:tc>
          <w:tcPr>
            <w:tcW w:w="575"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6E41DE07" w14:textId="77777777" w:rsidR="00911AEC" w:rsidRPr="009A6554" w:rsidRDefault="00911AEC" w:rsidP="004E5C01">
            <w:pPr>
              <w:pStyle w:val="tabulkatlo"/>
            </w:pPr>
            <w:r w:rsidRPr="009A6554">
              <w:t>86</w:t>
            </w:r>
          </w:p>
        </w:tc>
      </w:tr>
      <w:tr w:rsidR="00911AEC" w:rsidRPr="009A6554" w14:paraId="2A3EA4FC" w14:textId="77777777" w:rsidTr="004E5C01">
        <w:trPr>
          <w:trHeight w:hRule="exact" w:val="301"/>
        </w:trPr>
        <w:tc>
          <w:tcPr>
            <w:tcW w:w="1974" w:type="dxa"/>
            <w:tcBorders>
              <w:top w:val="nil"/>
              <w:left w:val="single" w:sz="4" w:space="0" w:color="002060"/>
              <w:bottom w:val="single" w:sz="4" w:space="0" w:color="002060"/>
              <w:right w:val="single" w:sz="4" w:space="0" w:color="14387F"/>
            </w:tcBorders>
            <w:noWrap/>
            <w:vAlign w:val="center"/>
            <w:hideMark/>
          </w:tcPr>
          <w:p w14:paraId="59ABFAEE" w14:textId="77777777" w:rsidR="00911AEC" w:rsidRPr="009A6554" w:rsidRDefault="00911AEC" w:rsidP="004E5C01">
            <w:pPr>
              <w:jc w:val="left"/>
              <w:rPr>
                <w:rFonts w:cs="Arial"/>
                <w:sz w:val="18"/>
                <w:szCs w:val="18"/>
              </w:rPr>
            </w:pPr>
            <w:r w:rsidRPr="009A6554">
              <w:rPr>
                <w:rFonts w:cs="Arial"/>
                <w:sz w:val="18"/>
                <w:szCs w:val="18"/>
              </w:rPr>
              <w:t xml:space="preserve">Horní Vltava </w:t>
            </w:r>
          </w:p>
        </w:tc>
        <w:tc>
          <w:tcPr>
            <w:tcW w:w="543" w:type="dxa"/>
            <w:tcBorders>
              <w:top w:val="single" w:sz="4" w:space="0" w:color="14387F"/>
              <w:left w:val="single" w:sz="4" w:space="0" w:color="14387F"/>
              <w:bottom w:val="single" w:sz="4" w:space="0" w:color="14387F"/>
              <w:right w:val="single" w:sz="4" w:space="0" w:color="14387F"/>
            </w:tcBorders>
            <w:noWrap/>
            <w:vAlign w:val="center"/>
          </w:tcPr>
          <w:p w14:paraId="35C651CE" w14:textId="77777777" w:rsidR="00911AEC" w:rsidRPr="009A6554" w:rsidRDefault="00911AEC" w:rsidP="004E5C01">
            <w:pPr>
              <w:pStyle w:val="tabulkatlo"/>
            </w:pPr>
            <w:r w:rsidRPr="009A6554">
              <w:t>28</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143D2168" w14:textId="77777777" w:rsidR="00911AEC" w:rsidRPr="009A6554" w:rsidRDefault="00911AEC" w:rsidP="004E5C01">
            <w:pPr>
              <w:pStyle w:val="tabulkatlo"/>
            </w:pPr>
            <w:r w:rsidRPr="009A6554">
              <w:t>57</w:t>
            </w:r>
          </w:p>
        </w:tc>
        <w:tc>
          <w:tcPr>
            <w:tcW w:w="542"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083756E5" w14:textId="77777777" w:rsidR="00911AEC" w:rsidRPr="009A6554" w:rsidRDefault="00911AEC" w:rsidP="004E5C01">
            <w:pPr>
              <w:pStyle w:val="tabulkatlo"/>
            </w:pPr>
            <w:r w:rsidRPr="009A6554">
              <w:t>83</w:t>
            </w:r>
          </w:p>
        </w:tc>
        <w:tc>
          <w:tcPr>
            <w:tcW w:w="542"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4E0D46F0" w14:textId="77777777" w:rsidR="00911AEC" w:rsidRPr="009A6554" w:rsidRDefault="00911AEC" w:rsidP="004E5C01">
            <w:pPr>
              <w:pStyle w:val="tabulkatlo"/>
            </w:pPr>
            <w:r w:rsidRPr="009A6554">
              <w:t>79</w:t>
            </w:r>
          </w:p>
        </w:tc>
        <w:tc>
          <w:tcPr>
            <w:tcW w:w="542"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6E67446B" w14:textId="77777777" w:rsidR="00911AEC" w:rsidRPr="009A6554" w:rsidRDefault="00911AEC" w:rsidP="004E5C01">
            <w:pPr>
              <w:pStyle w:val="tabulkatlo"/>
            </w:pPr>
            <w:r w:rsidRPr="009A6554">
              <w:t>80</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0AB8B7E8" w14:textId="77777777" w:rsidR="00911AEC" w:rsidRPr="009A6554" w:rsidRDefault="00911AEC" w:rsidP="004E5C01">
            <w:pPr>
              <w:pStyle w:val="tabulkatlo"/>
            </w:pPr>
            <w:r w:rsidRPr="009A6554">
              <w:t>73</w:t>
            </w:r>
          </w:p>
        </w:tc>
        <w:tc>
          <w:tcPr>
            <w:tcW w:w="542"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6B73FCA5" w14:textId="77777777" w:rsidR="00911AEC" w:rsidRPr="009A6554" w:rsidRDefault="00911AEC" w:rsidP="004E5C01">
            <w:pPr>
              <w:pStyle w:val="tabulkatlo"/>
            </w:pPr>
            <w:r w:rsidRPr="009A6554">
              <w:t>86</w:t>
            </w:r>
          </w:p>
        </w:tc>
        <w:tc>
          <w:tcPr>
            <w:tcW w:w="542"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5BB03D13" w14:textId="77777777" w:rsidR="00911AEC" w:rsidRPr="009A6554" w:rsidRDefault="00911AEC" w:rsidP="004E5C01">
            <w:pPr>
              <w:pStyle w:val="tabulkatlo"/>
            </w:pPr>
            <w:r w:rsidRPr="009A6554">
              <w:t>82</w:t>
            </w:r>
          </w:p>
        </w:tc>
        <w:tc>
          <w:tcPr>
            <w:tcW w:w="542"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1323FAEA" w14:textId="77777777" w:rsidR="00911AEC" w:rsidRPr="009A6554" w:rsidRDefault="00911AEC" w:rsidP="004E5C01">
            <w:pPr>
              <w:pStyle w:val="tabulkatlo"/>
            </w:pPr>
            <w:r w:rsidRPr="009A6554">
              <w:t>76</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665DA3E5" w14:textId="77777777" w:rsidR="00911AEC" w:rsidRPr="009A6554" w:rsidRDefault="00911AEC" w:rsidP="004E5C01">
            <w:pPr>
              <w:pStyle w:val="tabulkatlo"/>
            </w:pPr>
            <w:r w:rsidRPr="009A6554">
              <w:t>66</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31656D92" w14:textId="77777777" w:rsidR="00911AEC" w:rsidRPr="009A6554" w:rsidRDefault="00911AEC" w:rsidP="004E5C01">
            <w:pPr>
              <w:pStyle w:val="tabulkatlo"/>
            </w:pPr>
            <w:r w:rsidRPr="009A6554">
              <w:t>57</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1B294AAA" w14:textId="77777777" w:rsidR="00911AEC" w:rsidRPr="009A6554" w:rsidRDefault="00911AEC" w:rsidP="004E5C01">
            <w:pPr>
              <w:pStyle w:val="tabulkatlo"/>
            </w:pPr>
            <w:r w:rsidRPr="009A6554">
              <w:t>65</w:t>
            </w:r>
          </w:p>
        </w:tc>
        <w:tc>
          <w:tcPr>
            <w:tcW w:w="575"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1A222052" w14:textId="77777777" w:rsidR="00911AEC" w:rsidRPr="009A6554" w:rsidRDefault="00911AEC" w:rsidP="004E5C01">
            <w:pPr>
              <w:pStyle w:val="tabulkatlo"/>
            </w:pPr>
            <w:r w:rsidRPr="009A6554">
              <w:t>77</w:t>
            </w:r>
          </w:p>
        </w:tc>
      </w:tr>
      <w:tr w:rsidR="00911AEC" w:rsidRPr="009A6554" w14:paraId="028E0A1D" w14:textId="77777777" w:rsidTr="004E5C01">
        <w:trPr>
          <w:trHeight w:hRule="exact" w:val="301"/>
        </w:trPr>
        <w:tc>
          <w:tcPr>
            <w:tcW w:w="1974" w:type="dxa"/>
            <w:tcBorders>
              <w:top w:val="nil"/>
              <w:left w:val="single" w:sz="4" w:space="0" w:color="002060"/>
              <w:bottom w:val="single" w:sz="4" w:space="0" w:color="002060"/>
              <w:right w:val="single" w:sz="4" w:space="0" w:color="14387F"/>
            </w:tcBorders>
            <w:noWrap/>
            <w:vAlign w:val="center"/>
            <w:hideMark/>
          </w:tcPr>
          <w:p w14:paraId="404C1E0E" w14:textId="77777777" w:rsidR="00911AEC" w:rsidRPr="009A6554" w:rsidRDefault="00911AEC" w:rsidP="004E5C01">
            <w:pPr>
              <w:jc w:val="left"/>
              <w:rPr>
                <w:rFonts w:cs="Arial"/>
                <w:sz w:val="18"/>
                <w:szCs w:val="18"/>
              </w:rPr>
            </w:pPr>
            <w:r w:rsidRPr="009A6554">
              <w:rPr>
                <w:rFonts w:cs="Arial"/>
                <w:sz w:val="18"/>
                <w:szCs w:val="18"/>
              </w:rPr>
              <w:t xml:space="preserve">Berounka </w:t>
            </w:r>
          </w:p>
        </w:tc>
        <w:tc>
          <w:tcPr>
            <w:tcW w:w="543" w:type="dxa"/>
            <w:tcBorders>
              <w:top w:val="single" w:sz="4" w:space="0" w:color="14387F"/>
              <w:left w:val="single" w:sz="4" w:space="0" w:color="14387F"/>
              <w:bottom w:val="single" w:sz="4" w:space="0" w:color="14387F"/>
              <w:right w:val="single" w:sz="4" w:space="0" w:color="14387F"/>
            </w:tcBorders>
            <w:noWrap/>
            <w:vAlign w:val="center"/>
          </w:tcPr>
          <w:p w14:paraId="4329D601" w14:textId="77777777" w:rsidR="00911AEC" w:rsidRPr="009A6554" w:rsidRDefault="00911AEC" w:rsidP="004E5C01">
            <w:pPr>
              <w:pStyle w:val="tabulkatlo"/>
            </w:pPr>
            <w:r w:rsidRPr="009A6554">
              <w:t>37</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3703B2D0" w14:textId="77777777" w:rsidR="00911AEC" w:rsidRPr="009A6554" w:rsidRDefault="00911AEC" w:rsidP="004E5C01">
            <w:pPr>
              <w:pStyle w:val="tabulkatlo"/>
            </w:pPr>
            <w:r w:rsidRPr="009A6554">
              <w:t>49</w:t>
            </w:r>
          </w:p>
        </w:tc>
        <w:tc>
          <w:tcPr>
            <w:tcW w:w="542"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23EFB639" w14:textId="77777777" w:rsidR="00911AEC" w:rsidRPr="009A6554" w:rsidRDefault="00911AEC" w:rsidP="004E5C01">
            <w:pPr>
              <w:pStyle w:val="tabulkatlo"/>
            </w:pPr>
            <w:r w:rsidRPr="009A6554">
              <w:t>78</w:t>
            </w:r>
          </w:p>
        </w:tc>
        <w:tc>
          <w:tcPr>
            <w:tcW w:w="542"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3E2E6852" w14:textId="77777777" w:rsidR="00911AEC" w:rsidRPr="009A6554" w:rsidRDefault="00911AEC" w:rsidP="004E5C01">
            <w:pPr>
              <w:pStyle w:val="tabulkatlo"/>
            </w:pPr>
            <w:r w:rsidRPr="009A6554">
              <w:t>83</w:t>
            </w:r>
          </w:p>
        </w:tc>
        <w:tc>
          <w:tcPr>
            <w:tcW w:w="542"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1564F3CC" w14:textId="77777777" w:rsidR="00911AEC" w:rsidRPr="009A6554" w:rsidRDefault="00911AEC" w:rsidP="004E5C01">
            <w:pPr>
              <w:pStyle w:val="tabulkatlo"/>
            </w:pPr>
            <w:r w:rsidRPr="009A6554">
              <w:t>87</w:t>
            </w:r>
          </w:p>
        </w:tc>
        <w:tc>
          <w:tcPr>
            <w:tcW w:w="542"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5CE9A310" w14:textId="77777777" w:rsidR="00911AEC" w:rsidRPr="009A6554" w:rsidRDefault="00911AEC" w:rsidP="004E5C01">
            <w:pPr>
              <w:pStyle w:val="tabulkatlo"/>
            </w:pPr>
            <w:r w:rsidRPr="009A6554">
              <w:t>76</w:t>
            </w:r>
          </w:p>
        </w:tc>
        <w:tc>
          <w:tcPr>
            <w:tcW w:w="542"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0A21815F" w14:textId="77777777" w:rsidR="00911AEC" w:rsidRPr="009A6554" w:rsidRDefault="00911AEC" w:rsidP="004E5C01">
            <w:pPr>
              <w:pStyle w:val="tabulkatlo"/>
            </w:pPr>
            <w:r w:rsidRPr="009A6554">
              <w:t>92</w:t>
            </w:r>
          </w:p>
        </w:tc>
        <w:tc>
          <w:tcPr>
            <w:tcW w:w="542"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426CC3D9" w14:textId="77777777" w:rsidR="00911AEC" w:rsidRPr="009A6554" w:rsidRDefault="00911AEC" w:rsidP="004E5C01">
            <w:pPr>
              <w:pStyle w:val="tabulkatlo"/>
            </w:pPr>
            <w:r w:rsidRPr="009A6554">
              <w:t>85</w:t>
            </w:r>
          </w:p>
        </w:tc>
        <w:tc>
          <w:tcPr>
            <w:tcW w:w="542"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61A2275C" w14:textId="77777777" w:rsidR="00911AEC" w:rsidRPr="009A6554" w:rsidRDefault="00911AEC" w:rsidP="004E5C01">
            <w:pPr>
              <w:pStyle w:val="tabulkatlo"/>
            </w:pPr>
            <w:r w:rsidRPr="009A6554">
              <w:t>78</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24CCD1DC" w14:textId="77777777" w:rsidR="00911AEC" w:rsidRPr="009A6554" w:rsidRDefault="00911AEC" w:rsidP="004E5C01">
            <w:pPr>
              <w:pStyle w:val="tabulkatlo"/>
            </w:pPr>
            <w:r w:rsidRPr="009A6554">
              <w:t>71</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609BABCD" w14:textId="77777777" w:rsidR="00911AEC" w:rsidRPr="009A6554" w:rsidRDefault="00911AEC" w:rsidP="004E5C01">
            <w:pPr>
              <w:pStyle w:val="tabulkatlo"/>
            </w:pPr>
            <w:r w:rsidRPr="009A6554">
              <w:t>64</w:t>
            </w:r>
          </w:p>
        </w:tc>
        <w:tc>
          <w:tcPr>
            <w:tcW w:w="542"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4F1AD13B" w14:textId="77777777" w:rsidR="00911AEC" w:rsidRPr="009A6554" w:rsidRDefault="00911AEC" w:rsidP="004E5C01">
            <w:pPr>
              <w:pStyle w:val="tabulkatlo"/>
            </w:pPr>
            <w:r w:rsidRPr="009A6554">
              <w:t>80</w:t>
            </w:r>
          </w:p>
        </w:tc>
        <w:tc>
          <w:tcPr>
            <w:tcW w:w="575"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52D9A4A4" w14:textId="77777777" w:rsidR="00911AEC" w:rsidRPr="009A6554" w:rsidRDefault="00911AEC" w:rsidP="004E5C01">
            <w:pPr>
              <w:pStyle w:val="tabulkatlo"/>
            </w:pPr>
            <w:r w:rsidRPr="009A6554">
              <w:t>81</w:t>
            </w:r>
          </w:p>
        </w:tc>
      </w:tr>
      <w:tr w:rsidR="00911AEC" w:rsidRPr="009A6554" w14:paraId="7749C717" w14:textId="77777777" w:rsidTr="004E5C01">
        <w:trPr>
          <w:trHeight w:hRule="exact" w:val="301"/>
        </w:trPr>
        <w:tc>
          <w:tcPr>
            <w:tcW w:w="1974" w:type="dxa"/>
            <w:tcBorders>
              <w:top w:val="nil"/>
              <w:left w:val="single" w:sz="4" w:space="0" w:color="002060"/>
              <w:bottom w:val="single" w:sz="4" w:space="0" w:color="002060"/>
              <w:right w:val="single" w:sz="4" w:space="0" w:color="14387F"/>
            </w:tcBorders>
            <w:noWrap/>
            <w:vAlign w:val="center"/>
            <w:hideMark/>
          </w:tcPr>
          <w:p w14:paraId="1E26A88B" w14:textId="77777777" w:rsidR="00911AEC" w:rsidRPr="009A6554" w:rsidRDefault="00911AEC" w:rsidP="004E5C01">
            <w:pPr>
              <w:jc w:val="left"/>
              <w:rPr>
                <w:rFonts w:cs="Arial"/>
                <w:sz w:val="18"/>
                <w:szCs w:val="18"/>
              </w:rPr>
            </w:pPr>
            <w:r w:rsidRPr="009A6554">
              <w:rPr>
                <w:rFonts w:cs="Arial"/>
                <w:sz w:val="18"/>
                <w:szCs w:val="18"/>
              </w:rPr>
              <w:t xml:space="preserve">Dolní Vltava </w:t>
            </w:r>
          </w:p>
        </w:tc>
        <w:tc>
          <w:tcPr>
            <w:tcW w:w="543" w:type="dxa"/>
            <w:tcBorders>
              <w:top w:val="single" w:sz="4" w:space="0" w:color="14387F"/>
              <w:left w:val="single" w:sz="4" w:space="0" w:color="14387F"/>
              <w:bottom w:val="single" w:sz="4" w:space="0" w:color="14387F"/>
              <w:right w:val="single" w:sz="4" w:space="0" w:color="14387F"/>
            </w:tcBorders>
            <w:noWrap/>
            <w:vAlign w:val="center"/>
          </w:tcPr>
          <w:p w14:paraId="4C1CA434" w14:textId="77777777" w:rsidR="00911AEC" w:rsidRPr="009A6554" w:rsidRDefault="00911AEC" w:rsidP="004E5C01">
            <w:pPr>
              <w:pStyle w:val="tabulkatlo"/>
            </w:pPr>
            <w:r w:rsidRPr="009A6554">
              <w:t>31</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01D44938" w14:textId="77777777" w:rsidR="00911AEC" w:rsidRPr="009A6554" w:rsidRDefault="00911AEC" w:rsidP="004E5C01">
            <w:pPr>
              <w:pStyle w:val="tabulkatlo"/>
            </w:pPr>
            <w:r w:rsidRPr="009A6554">
              <w:t>66</w:t>
            </w:r>
          </w:p>
        </w:tc>
        <w:tc>
          <w:tcPr>
            <w:tcW w:w="542"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48099327" w14:textId="77777777" w:rsidR="00911AEC" w:rsidRPr="009A6554" w:rsidRDefault="00911AEC" w:rsidP="004E5C01">
            <w:pPr>
              <w:pStyle w:val="tabulkatlo"/>
            </w:pPr>
            <w:r w:rsidRPr="009A6554">
              <w:t>90</w:t>
            </w:r>
          </w:p>
        </w:tc>
        <w:tc>
          <w:tcPr>
            <w:tcW w:w="542"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325F26A6" w14:textId="77777777" w:rsidR="00911AEC" w:rsidRPr="009A6554" w:rsidRDefault="00911AEC" w:rsidP="004E5C01">
            <w:pPr>
              <w:pStyle w:val="tabulkatlo"/>
            </w:pPr>
            <w:r w:rsidRPr="009A6554">
              <w:t>89</w:t>
            </w:r>
          </w:p>
        </w:tc>
        <w:tc>
          <w:tcPr>
            <w:tcW w:w="542"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075A72DE" w14:textId="77777777" w:rsidR="00911AEC" w:rsidRPr="009A6554" w:rsidRDefault="00911AEC" w:rsidP="004E5C01">
            <w:pPr>
              <w:pStyle w:val="tabulkatlo"/>
            </w:pPr>
            <w:r w:rsidRPr="009A6554">
              <w:t>84</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33F569D8" w14:textId="77777777" w:rsidR="00911AEC" w:rsidRPr="009A6554" w:rsidRDefault="00911AEC" w:rsidP="004E5C01">
            <w:pPr>
              <w:pStyle w:val="tabulkatlo"/>
            </w:pPr>
            <w:r w:rsidRPr="009A6554">
              <w:t>72</w:t>
            </w:r>
          </w:p>
        </w:tc>
        <w:tc>
          <w:tcPr>
            <w:tcW w:w="542"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68EA49F9" w14:textId="77777777" w:rsidR="00911AEC" w:rsidRPr="009A6554" w:rsidRDefault="00911AEC" w:rsidP="004E5C01">
            <w:pPr>
              <w:pStyle w:val="tabulkatlo"/>
            </w:pPr>
            <w:r w:rsidRPr="009A6554">
              <w:t>91</w:t>
            </w:r>
          </w:p>
        </w:tc>
        <w:tc>
          <w:tcPr>
            <w:tcW w:w="542"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7F24D2BC" w14:textId="77777777" w:rsidR="00911AEC" w:rsidRPr="009A6554" w:rsidRDefault="00911AEC" w:rsidP="004E5C01">
            <w:pPr>
              <w:pStyle w:val="tabulkatlo"/>
            </w:pPr>
            <w:r w:rsidRPr="009A6554">
              <w:t>84</w:t>
            </w:r>
          </w:p>
        </w:tc>
        <w:tc>
          <w:tcPr>
            <w:tcW w:w="542"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42B56B1C" w14:textId="77777777" w:rsidR="00911AEC" w:rsidRPr="009A6554" w:rsidRDefault="00911AEC" w:rsidP="004E5C01">
            <w:pPr>
              <w:pStyle w:val="tabulkatlo"/>
            </w:pPr>
            <w:r w:rsidRPr="009A6554">
              <w:t>76</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44DAF1E8" w14:textId="77777777" w:rsidR="00911AEC" w:rsidRPr="009A6554" w:rsidRDefault="00911AEC" w:rsidP="004E5C01">
            <w:pPr>
              <w:pStyle w:val="tabulkatlo"/>
            </w:pPr>
            <w:r w:rsidRPr="009A6554">
              <w:t>60</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1E7F17DE" w14:textId="77777777" w:rsidR="00911AEC" w:rsidRPr="009A6554" w:rsidRDefault="00911AEC" w:rsidP="004E5C01">
            <w:pPr>
              <w:pStyle w:val="tabulkatlo"/>
            </w:pPr>
            <w:r w:rsidRPr="009A6554">
              <w:t>49</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0CC3572C" w14:textId="77777777" w:rsidR="00911AEC" w:rsidRPr="009A6554" w:rsidRDefault="00911AEC" w:rsidP="004E5C01">
            <w:pPr>
              <w:pStyle w:val="tabulkatlo"/>
            </w:pPr>
            <w:r w:rsidRPr="009A6554">
              <w:t>60</w:t>
            </w:r>
          </w:p>
        </w:tc>
        <w:tc>
          <w:tcPr>
            <w:tcW w:w="575"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3CF3FD50" w14:textId="77777777" w:rsidR="00911AEC" w:rsidRPr="009A6554" w:rsidRDefault="00911AEC" w:rsidP="004E5C01">
            <w:pPr>
              <w:pStyle w:val="tabulkatlo"/>
            </w:pPr>
            <w:r w:rsidRPr="009A6554">
              <w:t>85</w:t>
            </w:r>
          </w:p>
        </w:tc>
      </w:tr>
      <w:tr w:rsidR="00911AEC" w:rsidRPr="009A6554" w14:paraId="1E4F128A" w14:textId="77777777" w:rsidTr="004E5C01">
        <w:trPr>
          <w:trHeight w:hRule="exact" w:val="510"/>
        </w:trPr>
        <w:tc>
          <w:tcPr>
            <w:tcW w:w="1974" w:type="dxa"/>
            <w:tcBorders>
              <w:top w:val="nil"/>
              <w:left w:val="single" w:sz="4" w:space="0" w:color="002060"/>
              <w:bottom w:val="single" w:sz="4" w:space="0" w:color="002060"/>
              <w:right w:val="single" w:sz="4" w:space="0" w:color="14387F"/>
            </w:tcBorders>
            <w:noWrap/>
            <w:vAlign w:val="center"/>
            <w:hideMark/>
          </w:tcPr>
          <w:p w14:paraId="6467C62C" w14:textId="77777777" w:rsidR="00911AEC" w:rsidRPr="009A6554" w:rsidRDefault="00911AEC" w:rsidP="004E5C01">
            <w:pPr>
              <w:jc w:val="left"/>
              <w:rPr>
                <w:rFonts w:cs="Arial"/>
                <w:sz w:val="18"/>
                <w:szCs w:val="18"/>
              </w:rPr>
            </w:pPr>
            <w:r w:rsidRPr="009A6554">
              <w:rPr>
                <w:rFonts w:cs="Arial"/>
                <w:sz w:val="18"/>
                <w:szCs w:val="18"/>
              </w:rPr>
              <w:t>Ohře</w:t>
            </w:r>
            <w:r>
              <w:rPr>
                <w:rFonts w:cs="Arial"/>
                <w:sz w:val="18"/>
                <w:szCs w:val="18"/>
              </w:rPr>
              <w:t>,</w:t>
            </w:r>
            <w:r w:rsidRPr="009A6554">
              <w:rPr>
                <w:rFonts w:cs="Arial"/>
                <w:sz w:val="18"/>
                <w:szCs w:val="18"/>
              </w:rPr>
              <w:t xml:space="preserve"> Dolní Labe</w:t>
            </w:r>
            <w:r>
              <w:rPr>
                <w:rFonts w:cs="Arial"/>
                <w:sz w:val="18"/>
                <w:szCs w:val="18"/>
              </w:rPr>
              <w:t xml:space="preserve"> </w:t>
            </w:r>
            <w:r w:rsidRPr="002656C9">
              <w:rPr>
                <w:rFonts w:cs="Arial"/>
                <w:sz w:val="18"/>
                <w:szCs w:val="18"/>
              </w:rPr>
              <w:t>a</w:t>
            </w:r>
            <w:r>
              <w:rPr>
                <w:rFonts w:cs="Arial"/>
                <w:sz w:val="18"/>
                <w:szCs w:val="18"/>
              </w:rPr>
              <w:t> </w:t>
            </w:r>
            <w:r w:rsidRPr="002656C9">
              <w:rPr>
                <w:rFonts w:cs="Arial"/>
                <w:sz w:val="18"/>
                <w:szCs w:val="18"/>
              </w:rPr>
              <w:t>ostatní přítoky Labe</w:t>
            </w:r>
          </w:p>
        </w:tc>
        <w:tc>
          <w:tcPr>
            <w:tcW w:w="543" w:type="dxa"/>
            <w:tcBorders>
              <w:top w:val="single" w:sz="4" w:space="0" w:color="14387F"/>
              <w:left w:val="single" w:sz="4" w:space="0" w:color="14387F"/>
              <w:bottom w:val="single" w:sz="4" w:space="0" w:color="14387F"/>
              <w:right w:val="single" w:sz="4" w:space="0" w:color="14387F"/>
            </w:tcBorders>
            <w:noWrap/>
            <w:vAlign w:val="center"/>
          </w:tcPr>
          <w:p w14:paraId="7C2A79E5" w14:textId="77777777" w:rsidR="00911AEC" w:rsidRPr="009A6554" w:rsidRDefault="00911AEC" w:rsidP="004E5C01">
            <w:pPr>
              <w:pStyle w:val="tabulkatlo"/>
            </w:pPr>
            <w:r w:rsidRPr="009A6554">
              <w:t>50</w:t>
            </w:r>
          </w:p>
        </w:tc>
        <w:tc>
          <w:tcPr>
            <w:tcW w:w="542"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04934653" w14:textId="77777777" w:rsidR="00911AEC" w:rsidRPr="009A6554" w:rsidRDefault="00911AEC" w:rsidP="004E5C01">
            <w:pPr>
              <w:pStyle w:val="tabulkatlo"/>
            </w:pPr>
            <w:r w:rsidRPr="009A6554">
              <w:t>76</w:t>
            </w:r>
          </w:p>
        </w:tc>
        <w:tc>
          <w:tcPr>
            <w:tcW w:w="542"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20FD82A5" w14:textId="77777777" w:rsidR="00911AEC" w:rsidRPr="009A6554" w:rsidRDefault="00911AEC" w:rsidP="004E5C01">
            <w:pPr>
              <w:pStyle w:val="tabulkatlo"/>
              <w:rPr>
                <w:color w:val="FFFFFF" w:themeColor="background1"/>
              </w:rPr>
            </w:pPr>
            <w:r w:rsidRPr="009A6554">
              <w:rPr>
                <w:color w:val="FFFFFF" w:themeColor="background1"/>
              </w:rPr>
              <w:t>96</w:t>
            </w:r>
          </w:p>
        </w:tc>
        <w:tc>
          <w:tcPr>
            <w:tcW w:w="542"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3889B907" w14:textId="77777777" w:rsidR="00911AEC" w:rsidRPr="009A6554" w:rsidRDefault="00911AEC" w:rsidP="004E5C01">
            <w:pPr>
              <w:pStyle w:val="tabulkatlo"/>
              <w:rPr>
                <w:color w:val="FFFFFF" w:themeColor="background1"/>
              </w:rPr>
            </w:pPr>
            <w:r w:rsidRPr="009A6554">
              <w:rPr>
                <w:color w:val="FFFFFF" w:themeColor="background1"/>
              </w:rPr>
              <w:t>96</w:t>
            </w:r>
          </w:p>
        </w:tc>
        <w:tc>
          <w:tcPr>
            <w:tcW w:w="542"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168C0727" w14:textId="77777777" w:rsidR="00911AEC" w:rsidRPr="009A6554" w:rsidRDefault="00911AEC" w:rsidP="004E5C01">
            <w:pPr>
              <w:pStyle w:val="tabulkatlo"/>
              <w:rPr>
                <w:color w:val="FFFFFF" w:themeColor="background1"/>
              </w:rPr>
            </w:pPr>
            <w:r w:rsidRPr="009A6554">
              <w:rPr>
                <w:color w:val="FFFFFF" w:themeColor="background1"/>
              </w:rPr>
              <w:t>96</w:t>
            </w:r>
          </w:p>
        </w:tc>
        <w:tc>
          <w:tcPr>
            <w:tcW w:w="542"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14FB3332" w14:textId="77777777" w:rsidR="00911AEC" w:rsidRPr="009A6554" w:rsidRDefault="00911AEC" w:rsidP="004E5C01">
            <w:pPr>
              <w:pStyle w:val="tabulkatlo"/>
            </w:pPr>
            <w:r w:rsidRPr="009A6554">
              <w:t>95</w:t>
            </w:r>
          </w:p>
        </w:tc>
        <w:tc>
          <w:tcPr>
            <w:tcW w:w="542"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03E7B858" w14:textId="77777777" w:rsidR="00911AEC" w:rsidRPr="009A6554" w:rsidRDefault="00911AEC" w:rsidP="004E5C01">
            <w:pPr>
              <w:pStyle w:val="tabulkatlo"/>
            </w:pPr>
            <w:r w:rsidRPr="009A6554">
              <w:t>94</w:t>
            </w:r>
          </w:p>
        </w:tc>
        <w:tc>
          <w:tcPr>
            <w:tcW w:w="542"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6B97BDC4" w14:textId="77777777" w:rsidR="00911AEC" w:rsidRPr="009A6554" w:rsidRDefault="00911AEC" w:rsidP="004E5C01">
            <w:pPr>
              <w:pStyle w:val="tabulkatlo"/>
            </w:pPr>
            <w:r w:rsidRPr="009A6554">
              <w:t>92</w:t>
            </w:r>
          </w:p>
        </w:tc>
        <w:tc>
          <w:tcPr>
            <w:tcW w:w="542"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3757F214" w14:textId="77777777" w:rsidR="00911AEC" w:rsidRPr="009A6554" w:rsidRDefault="00911AEC" w:rsidP="004E5C01">
            <w:pPr>
              <w:pStyle w:val="tabulkatlo"/>
            </w:pPr>
            <w:r w:rsidRPr="009A6554">
              <w:t>89</w:t>
            </w:r>
          </w:p>
        </w:tc>
        <w:tc>
          <w:tcPr>
            <w:tcW w:w="542"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43EEB611" w14:textId="77777777" w:rsidR="00911AEC" w:rsidRPr="009A6554" w:rsidRDefault="00911AEC" w:rsidP="004E5C01">
            <w:pPr>
              <w:pStyle w:val="tabulkatlo"/>
            </w:pPr>
            <w:r w:rsidRPr="009A6554">
              <w:t>77</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37CB8AFC" w14:textId="77777777" w:rsidR="00911AEC" w:rsidRPr="009A6554" w:rsidRDefault="00911AEC" w:rsidP="004E5C01">
            <w:pPr>
              <w:pStyle w:val="tabulkatlo"/>
            </w:pPr>
            <w:r w:rsidRPr="009A6554">
              <w:t>73</w:t>
            </w:r>
          </w:p>
        </w:tc>
        <w:tc>
          <w:tcPr>
            <w:tcW w:w="542"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169FB31A" w14:textId="77777777" w:rsidR="00911AEC" w:rsidRPr="009A6554" w:rsidRDefault="00911AEC" w:rsidP="004E5C01">
            <w:pPr>
              <w:pStyle w:val="tabulkatlo"/>
            </w:pPr>
            <w:r w:rsidRPr="009A6554">
              <w:t>91</w:t>
            </w:r>
          </w:p>
        </w:tc>
        <w:tc>
          <w:tcPr>
            <w:tcW w:w="575"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07A69FDA" w14:textId="77777777" w:rsidR="00911AEC" w:rsidRPr="009A6554" w:rsidRDefault="00911AEC" w:rsidP="004E5C01">
            <w:pPr>
              <w:pStyle w:val="tabulkatlo"/>
            </w:pPr>
            <w:r w:rsidRPr="009A6554">
              <w:rPr>
                <w:color w:val="FFFFFF" w:themeColor="background1"/>
              </w:rPr>
              <w:t>97</w:t>
            </w:r>
          </w:p>
        </w:tc>
      </w:tr>
      <w:tr w:rsidR="00911AEC" w:rsidRPr="009A6554" w14:paraId="2C2EE2EB" w14:textId="77777777" w:rsidTr="004E5C01">
        <w:trPr>
          <w:trHeight w:hRule="exact" w:val="301"/>
        </w:trPr>
        <w:tc>
          <w:tcPr>
            <w:tcW w:w="1974" w:type="dxa"/>
            <w:tcBorders>
              <w:top w:val="nil"/>
              <w:left w:val="single" w:sz="4" w:space="0" w:color="002060"/>
              <w:bottom w:val="single" w:sz="4" w:space="0" w:color="002060"/>
              <w:right w:val="single" w:sz="4" w:space="0" w:color="14387F"/>
            </w:tcBorders>
            <w:noWrap/>
            <w:vAlign w:val="center"/>
            <w:hideMark/>
          </w:tcPr>
          <w:p w14:paraId="5A86EF47" w14:textId="77777777" w:rsidR="00911AEC" w:rsidRPr="009A6554" w:rsidRDefault="00911AEC" w:rsidP="004E5C01">
            <w:pPr>
              <w:jc w:val="left"/>
              <w:rPr>
                <w:rFonts w:cs="Arial"/>
                <w:sz w:val="18"/>
                <w:szCs w:val="18"/>
              </w:rPr>
            </w:pPr>
            <w:r w:rsidRPr="009A6554">
              <w:rPr>
                <w:rFonts w:cs="Arial"/>
                <w:sz w:val="18"/>
                <w:szCs w:val="18"/>
              </w:rPr>
              <w:t xml:space="preserve">Horní Odra </w:t>
            </w:r>
          </w:p>
        </w:tc>
        <w:tc>
          <w:tcPr>
            <w:tcW w:w="543" w:type="dxa"/>
            <w:tcBorders>
              <w:top w:val="single" w:sz="4" w:space="0" w:color="14387F"/>
              <w:left w:val="single" w:sz="4" w:space="0" w:color="14387F"/>
              <w:bottom w:val="single" w:sz="4" w:space="0" w:color="14387F"/>
              <w:right w:val="single" w:sz="4" w:space="0" w:color="14387F"/>
            </w:tcBorders>
            <w:noWrap/>
            <w:vAlign w:val="center"/>
          </w:tcPr>
          <w:p w14:paraId="05966B03" w14:textId="77777777" w:rsidR="00911AEC" w:rsidRPr="009A6554" w:rsidRDefault="00911AEC" w:rsidP="004E5C01">
            <w:pPr>
              <w:pStyle w:val="tabulkatlo"/>
            </w:pPr>
            <w:r w:rsidRPr="009A6554">
              <w:t>28</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7693FAFF" w14:textId="77777777" w:rsidR="00911AEC" w:rsidRPr="009A6554" w:rsidRDefault="00911AEC" w:rsidP="004E5C01">
            <w:pPr>
              <w:pStyle w:val="tabulkatlo"/>
            </w:pPr>
            <w:r w:rsidRPr="009A6554">
              <w:t>73</w:t>
            </w:r>
          </w:p>
        </w:tc>
        <w:tc>
          <w:tcPr>
            <w:tcW w:w="542"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26110F96" w14:textId="77777777" w:rsidR="00911AEC" w:rsidRPr="009A6554" w:rsidRDefault="00911AEC" w:rsidP="004E5C01">
            <w:pPr>
              <w:pStyle w:val="tabulkatlo"/>
            </w:pPr>
            <w:r w:rsidRPr="009A6554">
              <w:t>86</w:t>
            </w:r>
          </w:p>
        </w:tc>
        <w:tc>
          <w:tcPr>
            <w:tcW w:w="542"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778FA636" w14:textId="77777777" w:rsidR="00911AEC" w:rsidRPr="009A6554" w:rsidRDefault="00911AEC" w:rsidP="004E5C01">
            <w:pPr>
              <w:pStyle w:val="tabulkatlo"/>
            </w:pPr>
            <w:r w:rsidRPr="009A6554">
              <w:t>85</w:t>
            </w:r>
          </w:p>
        </w:tc>
        <w:tc>
          <w:tcPr>
            <w:tcW w:w="542"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5CE852B6" w14:textId="77777777" w:rsidR="00911AEC" w:rsidRPr="009A6554" w:rsidRDefault="00911AEC" w:rsidP="004E5C01">
            <w:pPr>
              <w:pStyle w:val="tabulkatlo"/>
            </w:pPr>
            <w:r w:rsidRPr="009A6554">
              <w:t>89</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57B9FBF0" w14:textId="77777777" w:rsidR="00911AEC" w:rsidRPr="009A6554" w:rsidRDefault="00911AEC" w:rsidP="004E5C01">
            <w:pPr>
              <w:pStyle w:val="tabulkatlo"/>
            </w:pPr>
            <w:r w:rsidRPr="009A6554">
              <w:t>64</w:t>
            </w:r>
          </w:p>
        </w:tc>
        <w:tc>
          <w:tcPr>
            <w:tcW w:w="542"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15030EA4" w14:textId="77777777" w:rsidR="00911AEC" w:rsidRPr="009A6554" w:rsidRDefault="00911AEC" w:rsidP="004E5C01">
            <w:pPr>
              <w:pStyle w:val="tabulkatlo"/>
            </w:pPr>
            <w:r w:rsidRPr="009A6554">
              <w:t>75</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315564FF" w14:textId="77777777" w:rsidR="00911AEC" w:rsidRPr="009A6554" w:rsidRDefault="00911AEC" w:rsidP="004E5C01">
            <w:pPr>
              <w:pStyle w:val="tabulkatlo"/>
            </w:pPr>
            <w:r w:rsidRPr="009A6554">
              <w:t>74</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3410660D" w14:textId="77777777" w:rsidR="00911AEC" w:rsidRPr="009A6554" w:rsidRDefault="00911AEC" w:rsidP="004E5C01">
            <w:pPr>
              <w:pStyle w:val="tabulkatlo"/>
            </w:pPr>
            <w:r w:rsidRPr="009A6554">
              <w:t>73</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7427CB46" w14:textId="77777777" w:rsidR="00911AEC" w:rsidRPr="009A6554" w:rsidRDefault="00911AEC" w:rsidP="004E5C01">
            <w:pPr>
              <w:pStyle w:val="tabulkatlo"/>
            </w:pPr>
            <w:r w:rsidRPr="009A6554">
              <w:t>55</w:t>
            </w:r>
          </w:p>
        </w:tc>
        <w:tc>
          <w:tcPr>
            <w:tcW w:w="542" w:type="dxa"/>
            <w:tcBorders>
              <w:top w:val="single" w:sz="4" w:space="0" w:color="14387F"/>
              <w:left w:val="single" w:sz="4" w:space="0" w:color="14387F"/>
              <w:bottom w:val="single" w:sz="4" w:space="0" w:color="14387F"/>
              <w:right w:val="single" w:sz="4" w:space="0" w:color="14387F"/>
            </w:tcBorders>
            <w:shd w:val="clear" w:color="auto" w:fill="C6DBEF"/>
            <w:noWrap/>
            <w:vAlign w:val="center"/>
          </w:tcPr>
          <w:p w14:paraId="35AE325E" w14:textId="77777777" w:rsidR="00911AEC" w:rsidRPr="009A6554" w:rsidRDefault="00911AEC" w:rsidP="004E5C01">
            <w:pPr>
              <w:pStyle w:val="tabulkatlo"/>
            </w:pPr>
            <w:r w:rsidRPr="009A6554">
              <w:t>2</w:t>
            </w:r>
            <w:r w:rsidRPr="009A6554">
              <w:rPr>
                <w:shd w:val="clear" w:color="auto" w:fill="C6DBEF"/>
              </w:rPr>
              <w:t>4</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76CF1663" w14:textId="77777777" w:rsidR="00911AEC" w:rsidRPr="009A6554" w:rsidRDefault="00911AEC" w:rsidP="004E5C01">
            <w:pPr>
              <w:pStyle w:val="tabulkatlo"/>
            </w:pPr>
            <w:r w:rsidRPr="009A6554">
              <w:t>36</w:t>
            </w:r>
          </w:p>
        </w:tc>
        <w:tc>
          <w:tcPr>
            <w:tcW w:w="575" w:type="dxa"/>
            <w:tcBorders>
              <w:top w:val="single" w:sz="4" w:space="0" w:color="14387F"/>
              <w:left w:val="single" w:sz="4" w:space="0" w:color="14387F"/>
              <w:bottom w:val="single" w:sz="4" w:space="0" w:color="14387F"/>
              <w:right w:val="single" w:sz="4" w:space="0" w:color="14387F"/>
            </w:tcBorders>
            <w:noWrap/>
            <w:vAlign w:val="center"/>
          </w:tcPr>
          <w:p w14:paraId="019AD6CB" w14:textId="77777777" w:rsidR="00911AEC" w:rsidRPr="009A6554" w:rsidRDefault="00911AEC" w:rsidP="004E5C01">
            <w:pPr>
              <w:pStyle w:val="tabulkatlo"/>
            </w:pPr>
            <w:r w:rsidRPr="009A6554">
              <w:t>75</w:t>
            </w:r>
          </w:p>
        </w:tc>
      </w:tr>
      <w:tr w:rsidR="00911AEC" w:rsidRPr="009A6554" w14:paraId="6A9B343B" w14:textId="77777777" w:rsidTr="004E5C01">
        <w:trPr>
          <w:trHeight w:hRule="exact" w:val="510"/>
        </w:trPr>
        <w:tc>
          <w:tcPr>
            <w:tcW w:w="1974" w:type="dxa"/>
            <w:tcBorders>
              <w:top w:val="nil"/>
              <w:left w:val="single" w:sz="4" w:space="0" w:color="002060"/>
              <w:bottom w:val="single" w:sz="4" w:space="0" w:color="002060"/>
              <w:right w:val="single" w:sz="4" w:space="0" w:color="14387F"/>
            </w:tcBorders>
            <w:noWrap/>
            <w:vAlign w:val="center"/>
            <w:hideMark/>
          </w:tcPr>
          <w:p w14:paraId="1DC41B8E" w14:textId="77777777" w:rsidR="00911AEC" w:rsidRPr="009A6554" w:rsidRDefault="00911AEC" w:rsidP="004E5C01">
            <w:pPr>
              <w:jc w:val="left"/>
              <w:rPr>
                <w:rFonts w:cs="Arial"/>
                <w:sz w:val="18"/>
                <w:szCs w:val="18"/>
              </w:rPr>
            </w:pPr>
            <w:r w:rsidRPr="009A6554">
              <w:rPr>
                <w:rFonts w:cs="Arial"/>
                <w:sz w:val="18"/>
                <w:szCs w:val="18"/>
              </w:rPr>
              <w:t>Lužická Nisa</w:t>
            </w:r>
            <w:r>
              <w:rPr>
                <w:rFonts w:cs="Arial"/>
                <w:sz w:val="18"/>
                <w:szCs w:val="18"/>
              </w:rPr>
              <w:t xml:space="preserve"> </w:t>
            </w:r>
            <w:r w:rsidRPr="002656C9">
              <w:rPr>
                <w:rFonts w:cs="Arial"/>
                <w:sz w:val="18"/>
                <w:szCs w:val="18"/>
              </w:rPr>
              <w:t>a ostatní přítoky Odry</w:t>
            </w:r>
          </w:p>
        </w:tc>
        <w:tc>
          <w:tcPr>
            <w:tcW w:w="543" w:type="dxa"/>
            <w:tcBorders>
              <w:top w:val="single" w:sz="4" w:space="0" w:color="14387F"/>
              <w:left w:val="single" w:sz="4" w:space="0" w:color="14387F"/>
              <w:bottom w:val="single" w:sz="4" w:space="0" w:color="14387F"/>
              <w:right w:val="single" w:sz="4" w:space="0" w:color="14387F"/>
            </w:tcBorders>
            <w:noWrap/>
            <w:vAlign w:val="center"/>
          </w:tcPr>
          <w:p w14:paraId="0761CED3" w14:textId="77777777" w:rsidR="00911AEC" w:rsidRPr="009A6554" w:rsidRDefault="00911AEC" w:rsidP="004E5C01">
            <w:pPr>
              <w:pStyle w:val="tabulkatlo"/>
            </w:pPr>
            <w:r w:rsidRPr="009A6554">
              <w:t>52</w:t>
            </w:r>
          </w:p>
        </w:tc>
        <w:tc>
          <w:tcPr>
            <w:tcW w:w="542"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4E482146" w14:textId="77777777" w:rsidR="00911AEC" w:rsidRPr="009A6554" w:rsidRDefault="00911AEC" w:rsidP="004E5C01">
            <w:pPr>
              <w:pStyle w:val="tabulkatlo"/>
            </w:pPr>
            <w:r w:rsidRPr="009A6554">
              <w:t>77</w:t>
            </w:r>
          </w:p>
        </w:tc>
        <w:tc>
          <w:tcPr>
            <w:tcW w:w="542"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4031477E" w14:textId="77777777" w:rsidR="00911AEC" w:rsidRPr="009A6554" w:rsidRDefault="00911AEC" w:rsidP="004E5C01">
            <w:pPr>
              <w:pStyle w:val="tabulkatlo"/>
            </w:pPr>
            <w:r w:rsidRPr="009A6554">
              <w:t>95</w:t>
            </w:r>
          </w:p>
        </w:tc>
        <w:tc>
          <w:tcPr>
            <w:tcW w:w="542"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3D9092D4" w14:textId="77777777" w:rsidR="00911AEC" w:rsidRPr="009A6554" w:rsidRDefault="00911AEC" w:rsidP="004E5C01">
            <w:pPr>
              <w:pStyle w:val="tabulkatlo"/>
              <w:rPr>
                <w:color w:val="FFFFFF" w:themeColor="background1"/>
              </w:rPr>
            </w:pPr>
            <w:r w:rsidRPr="009A6554">
              <w:rPr>
                <w:color w:val="FFFFFF" w:themeColor="background1"/>
              </w:rPr>
              <w:t>96</w:t>
            </w:r>
          </w:p>
        </w:tc>
        <w:tc>
          <w:tcPr>
            <w:tcW w:w="542"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6E5D91A0" w14:textId="77777777" w:rsidR="00911AEC" w:rsidRPr="009A6554" w:rsidRDefault="00911AEC" w:rsidP="004E5C01">
            <w:pPr>
              <w:pStyle w:val="tabulkatlo"/>
              <w:rPr>
                <w:color w:val="FFFFFF" w:themeColor="background1"/>
              </w:rPr>
            </w:pPr>
            <w:r w:rsidRPr="009A6554">
              <w:rPr>
                <w:color w:val="FFFFFF" w:themeColor="background1"/>
              </w:rPr>
              <w:t>97</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16A89353" w14:textId="77777777" w:rsidR="00911AEC" w:rsidRPr="009A6554" w:rsidRDefault="00911AEC" w:rsidP="004E5C01">
            <w:pPr>
              <w:pStyle w:val="tabulkatlo"/>
            </w:pPr>
            <w:r w:rsidRPr="009A6554">
              <w:t>69</w:t>
            </w:r>
          </w:p>
        </w:tc>
        <w:tc>
          <w:tcPr>
            <w:tcW w:w="542"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5C2895B7" w14:textId="77777777" w:rsidR="00911AEC" w:rsidRPr="009A6554" w:rsidRDefault="00911AEC" w:rsidP="004E5C01">
            <w:pPr>
              <w:pStyle w:val="tabulkatlo"/>
            </w:pPr>
            <w:r w:rsidRPr="009A6554">
              <w:t>92</w:t>
            </w:r>
          </w:p>
        </w:tc>
        <w:tc>
          <w:tcPr>
            <w:tcW w:w="542"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1C048106" w14:textId="77777777" w:rsidR="00911AEC" w:rsidRPr="009A6554" w:rsidRDefault="00911AEC" w:rsidP="004E5C01">
            <w:pPr>
              <w:pStyle w:val="tabulkatlo"/>
            </w:pPr>
            <w:r w:rsidRPr="009A6554">
              <w:t>78</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73D67A19" w14:textId="77777777" w:rsidR="00911AEC" w:rsidRPr="009A6554" w:rsidRDefault="00911AEC" w:rsidP="004E5C01">
            <w:pPr>
              <w:pStyle w:val="tabulkatlo"/>
            </w:pPr>
            <w:r w:rsidRPr="009A6554">
              <w:t>70</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061716C2" w14:textId="77777777" w:rsidR="00911AEC" w:rsidRPr="009A6554" w:rsidRDefault="00911AEC" w:rsidP="004E5C01">
            <w:pPr>
              <w:pStyle w:val="tabulkatlo"/>
            </w:pPr>
            <w:r w:rsidRPr="009A6554">
              <w:t>58</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3ED0C5C0" w14:textId="77777777" w:rsidR="00911AEC" w:rsidRPr="009A6554" w:rsidRDefault="00911AEC" w:rsidP="004E5C01">
            <w:pPr>
              <w:pStyle w:val="tabulkatlo"/>
            </w:pPr>
            <w:r w:rsidRPr="009A6554">
              <w:t>30</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6A3F3635" w14:textId="77777777" w:rsidR="00911AEC" w:rsidRPr="009A6554" w:rsidRDefault="00911AEC" w:rsidP="004E5C01">
            <w:pPr>
              <w:pStyle w:val="tabulkatlo"/>
            </w:pPr>
            <w:r w:rsidRPr="009A6554">
              <w:t>69</w:t>
            </w:r>
          </w:p>
        </w:tc>
        <w:tc>
          <w:tcPr>
            <w:tcW w:w="575"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160F78D5" w14:textId="77777777" w:rsidR="00911AEC" w:rsidRPr="009A6554" w:rsidRDefault="00911AEC" w:rsidP="004E5C01">
            <w:pPr>
              <w:pStyle w:val="tabulkatlo"/>
            </w:pPr>
            <w:r w:rsidRPr="009A6554">
              <w:t>85</w:t>
            </w:r>
          </w:p>
        </w:tc>
      </w:tr>
      <w:tr w:rsidR="00911AEC" w:rsidRPr="009A6554" w14:paraId="14DF72A5" w14:textId="77777777" w:rsidTr="004E5C01">
        <w:trPr>
          <w:trHeight w:hRule="exact" w:val="301"/>
        </w:trPr>
        <w:tc>
          <w:tcPr>
            <w:tcW w:w="1974" w:type="dxa"/>
            <w:tcBorders>
              <w:top w:val="nil"/>
              <w:left w:val="single" w:sz="4" w:space="0" w:color="002060"/>
              <w:bottom w:val="single" w:sz="4" w:space="0" w:color="002060"/>
              <w:right w:val="single" w:sz="4" w:space="0" w:color="14387F"/>
            </w:tcBorders>
            <w:noWrap/>
            <w:vAlign w:val="center"/>
            <w:hideMark/>
          </w:tcPr>
          <w:p w14:paraId="5F2FA5C1" w14:textId="77777777" w:rsidR="00911AEC" w:rsidRPr="009A6554" w:rsidRDefault="00911AEC" w:rsidP="004E5C01">
            <w:pPr>
              <w:jc w:val="left"/>
              <w:rPr>
                <w:rFonts w:cs="Arial"/>
                <w:sz w:val="18"/>
                <w:szCs w:val="18"/>
              </w:rPr>
            </w:pPr>
            <w:r w:rsidRPr="009A6554">
              <w:rPr>
                <w:rFonts w:cs="Arial"/>
                <w:sz w:val="18"/>
                <w:szCs w:val="18"/>
              </w:rPr>
              <w:t xml:space="preserve">Morava </w:t>
            </w:r>
            <w:r w:rsidRPr="002656C9">
              <w:rPr>
                <w:rFonts w:cs="Arial"/>
                <w:sz w:val="18"/>
                <w:szCs w:val="18"/>
              </w:rPr>
              <w:t>a přítoky Váhu</w:t>
            </w:r>
          </w:p>
        </w:tc>
        <w:tc>
          <w:tcPr>
            <w:tcW w:w="543" w:type="dxa"/>
            <w:tcBorders>
              <w:top w:val="single" w:sz="4" w:space="0" w:color="14387F"/>
              <w:left w:val="single" w:sz="4" w:space="0" w:color="14387F"/>
              <w:bottom w:val="single" w:sz="4" w:space="0" w:color="14387F"/>
              <w:right w:val="single" w:sz="4" w:space="0" w:color="14387F"/>
            </w:tcBorders>
            <w:shd w:val="clear" w:color="auto" w:fill="C6DBEF"/>
            <w:noWrap/>
            <w:vAlign w:val="center"/>
          </w:tcPr>
          <w:p w14:paraId="41F6D3A6" w14:textId="77777777" w:rsidR="00911AEC" w:rsidRPr="009A6554" w:rsidRDefault="00911AEC" w:rsidP="004E5C01">
            <w:pPr>
              <w:pStyle w:val="tabulkatlo"/>
            </w:pPr>
            <w:r w:rsidRPr="009A6554">
              <w:t>18</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35226EC8" w14:textId="77777777" w:rsidR="00911AEC" w:rsidRPr="009A6554" w:rsidRDefault="00911AEC" w:rsidP="004E5C01">
            <w:pPr>
              <w:pStyle w:val="tabulkatlo"/>
            </w:pPr>
            <w:r w:rsidRPr="009A6554">
              <w:t>55</w:t>
            </w:r>
          </w:p>
        </w:tc>
        <w:tc>
          <w:tcPr>
            <w:tcW w:w="542"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0500C294" w14:textId="77777777" w:rsidR="00911AEC" w:rsidRPr="009A6554" w:rsidRDefault="00911AEC" w:rsidP="004E5C01">
            <w:pPr>
              <w:pStyle w:val="tabulkatlo"/>
            </w:pPr>
            <w:r w:rsidRPr="009A6554">
              <w:t>81</w:t>
            </w:r>
          </w:p>
        </w:tc>
        <w:tc>
          <w:tcPr>
            <w:tcW w:w="542"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09356C07" w14:textId="77777777" w:rsidR="00911AEC" w:rsidRPr="009A6554" w:rsidRDefault="00911AEC" w:rsidP="004E5C01">
            <w:pPr>
              <w:pStyle w:val="tabulkatlo"/>
            </w:pPr>
            <w:r w:rsidRPr="009A6554">
              <w:t>78</w:t>
            </w:r>
          </w:p>
        </w:tc>
        <w:tc>
          <w:tcPr>
            <w:tcW w:w="542"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617E0E39" w14:textId="77777777" w:rsidR="00911AEC" w:rsidRPr="009A6554" w:rsidRDefault="00911AEC" w:rsidP="004E5C01">
            <w:pPr>
              <w:pStyle w:val="tabulkatlo"/>
            </w:pPr>
            <w:r w:rsidRPr="009A6554">
              <w:t>76</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3BF49E10" w14:textId="77777777" w:rsidR="00911AEC" w:rsidRPr="009A6554" w:rsidRDefault="00911AEC" w:rsidP="004E5C01">
            <w:pPr>
              <w:pStyle w:val="tabulkatlo"/>
            </w:pPr>
            <w:r w:rsidRPr="009A6554">
              <w:t>54</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3260A13B" w14:textId="77777777" w:rsidR="00911AEC" w:rsidRPr="009A6554" w:rsidRDefault="00911AEC" w:rsidP="004E5C01">
            <w:pPr>
              <w:pStyle w:val="tabulkatlo"/>
            </w:pPr>
            <w:r w:rsidRPr="009A6554">
              <w:t>64</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401630F8" w14:textId="77777777" w:rsidR="00911AEC" w:rsidRPr="009A6554" w:rsidRDefault="00911AEC" w:rsidP="004E5C01">
            <w:pPr>
              <w:pStyle w:val="tabulkatlo"/>
            </w:pPr>
            <w:r w:rsidRPr="009A6554">
              <w:t>60</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2E618072" w14:textId="77777777" w:rsidR="00911AEC" w:rsidRPr="009A6554" w:rsidRDefault="00911AEC" w:rsidP="004E5C01">
            <w:pPr>
              <w:pStyle w:val="tabulkatlo"/>
            </w:pPr>
            <w:r w:rsidRPr="009A6554">
              <w:t>61</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6D8973E5" w14:textId="77777777" w:rsidR="00911AEC" w:rsidRPr="009A6554" w:rsidRDefault="00911AEC" w:rsidP="004E5C01">
            <w:pPr>
              <w:pStyle w:val="tabulkatlo"/>
            </w:pPr>
            <w:r w:rsidRPr="009A6554">
              <w:t>48</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4D301A44" w14:textId="77777777" w:rsidR="00911AEC" w:rsidRPr="009A6554" w:rsidRDefault="00911AEC" w:rsidP="004E5C01">
            <w:pPr>
              <w:pStyle w:val="tabulkatlo"/>
            </w:pPr>
            <w:r w:rsidRPr="009A6554">
              <w:t>31</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496C8921" w14:textId="77777777" w:rsidR="00911AEC" w:rsidRPr="009A6554" w:rsidRDefault="00911AEC" w:rsidP="004E5C01">
            <w:pPr>
              <w:pStyle w:val="tabulkatlo"/>
            </w:pPr>
            <w:r w:rsidRPr="009A6554">
              <w:t>34</w:t>
            </w:r>
          </w:p>
        </w:tc>
        <w:tc>
          <w:tcPr>
            <w:tcW w:w="575" w:type="dxa"/>
            <w:tcBorders>
              <w:top w:val="single" w:sz="4" w:space="0" w:color="14387F"/>
              <w:left w:val="single" w:sz="4" w:space="0" w:color="14387F"/>
              <w:bottom w:val="single" w:sz="4" w:space="0" w:color="14387F"/>
              <w:right w:val="single" w:sz="4" w:space="0" w:color="14387F"/>
            </w:tcBorders>
            <w:noWrap/>
            <w:vAlign w:val="center"/>
          </w:tcPr>
          <w:p w14:paraId="63D59C70" w14:textId="77777777" w:rsidR="00911AEC" w:rsidRPr="009A6554" w:rsidRDefault="00911AEC" w:rsidP="004E5C01">
            <w:pPr>
              <w:pStyle w:val="tabulkatlo"/>
            </w:pPr>
            <w:r w:rsidRPr="009A6554">
              <w:t>65</w:t>
            </w:r>
          </w:p>
        </w:tc>
      </w:tr>
      <w:tr w:rsidR="00911AEC" w:rsidRPr="009A6554" w14:paraId="71D7FF5A" w14:textId="77777777" w:rsidTr="004E5C01">
        <w:trPr>
          <w:trHeight w:hRule="exact" w:val="301"/>
        </w:trPr>
        <w:tc>
          <w:tcPr>
            <w:tcW w:w="1974" w:type="dxa"/>
            <w:tcBorders>
              <w:top w:val="nil"/>
              <w:left w:val="single" w:sz="4" w:space="0" w:color="002060"/>
              <w:bottom w:val="single" w:sz="4" w:space="0" w:color="002060"/>
              <w:right w:val="single" w:sz="4" w:space="0" w:color="14387F"/>
            </w:tcBorders>
            <w:noWrap/>
            <w:vAlign w:val="center"/>
            <w:hideMark/>
          </w:tcPr>
          <w:p w14:paraId="5B3DE461" w14:textId="77777777" w:rsidR="00911AEC" w:rsidRPr="009A6554" w:rsidRDefault="00911AEC" w:rsidP="004E5C01">
            <w:pPr>
              <w:jc w:val="left"/>
              <w:rPr>
                <w:rFonts w:cs="Arial"/>
                <w:sz w:val="18"/>
                <w:szCs w:val="18"/>
              </w:rPr>
            </w:pPr>
            <w:r w:rsidRPr="009A6554">
              <w:rPr>
                <w:rFonts w:cs="Arial"/>
                <w:sz w:val="18"/>
                <w:szCs w:val="18"/>
              </w:rPr>
              <w:t xml:space="preserve">Dyje </w:t>
            </w:r>
          </w:p>
        </w:tc>
        <w:tc>
          <w:tcPr>
            <w:tcW w:w="543" w:type="dxa"/>
            <w:tcBorders>
              <w:top w:val="single" w:sz="4" w:space="0" w:color="14387F"/>
              <w:left w:val="single" w:sz="4" w:space="0" w:color="14387F"/>
              <w:bottom w:val="single" w:sz="4" w:space="0" w:color="14387F"/>
              <w:right w:val="single" w:sz="4" w:space="0" w:color="14387F"/>
            </w:tcBorders>
            <w:shd w:val="clear" w:color="auto" w:fill="C6DBEF"/>
            <w:noWrap/>
            <w:vAlign w:val="center"/>
          </w:tcPr>
          <w:p w14:paraId="706F3F2B" w14:textId="77777777" w:rsidR="00911AEC" w:rsidRPr="009A6554" w:rsidRDefault="00911AEC" w:rsidP="004E5C01">
            <w:pPr>
              <w:pStyle w:val="tabulkatlo"/>
            </w:pPr>
            <w:r w:rsidRPr="009A6554">
              <w:t>19</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76D73DF8" w14:textId="77777777" w:rsidR="00911AEC" w:rsidRPr="009A6554" w:rsidRDefault="00911AEC" w:rsidP="004E5C01">
            <w:pPr>
              <w:pStyle w:val="tabulkatlo"/>
            </w:pPr>
            <w:r w:rsidRPr="009A6554">
              <w:t>38</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3A713BEB" w14:textId="77777777" w:rsidR="00911AEC" w:rsidRPr="009A6554" w:rsidRDefault="00911AEC" w:rsidP="004E5C01">
            <w:pPr>
              <w:pStyle w:val="tabulkatlo"/>
            </w:pPr>
            <w:r w:rsidRPr="009A6554">
              <w:t>65</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251484B5" w14:textId="77777777" w:rsidR="00911AEC" w:rsidRPr="009A6554" w:rsidRDefault="00911AEC" w:rsidP="004E5C01">
            <w:pPr>
              <w:pStyle w:val="tabulkatlo"/>
            </w:pPr>
            <w:r w:rsidRPr="009A6554">
              <w:t>69</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1F33E188" w14:textId="77777777" w:rsidR="00911AEC" w:rsidRPr="009A6554" w:rsidRDefault="00911AEC" w:rsidP="004E5C01">
            <w:pPr>
              <w:pStyle w:val="tabulkatlo"/>
            </w:pPr>
            <w:r w:rsidRPr="009A6554">
              <w:t>68</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245FE6B7" w14:textId="77777777" w:rsidR="00911AEC" w:rsidRPr="009A6554" w:rsidRDefault="00911AEC" w:rsidP="004E5C01">
            <w:pPr>
              <w:pStyle w:val="tabulkatlo"/>
            </w:pPr>
            <w:r w:rsidRPr="009A6554">
              <w:t>58</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0E22B8D3" w14:textId="77777777" w:rsidR="00911AEC" w:rsidRPr="009A6554" w:rsidRDefault="00911AEC" w:rsidP="004E5C01">
            <w:pPr>
              <w:pStyle w:val="tabulkatlo"/>
            </w:pPr>
            <w:r w:rsidRPr="009A6554">
              <w:t>61</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65192EEC" w14:textId="77777777" w:rsidR="00911AEC" w:rsidRPr="009A6554" w:rsidRDefault="00911AEC" w:rsidP="004E5C01">
            <w:pPr>
              <w:pStyle w:val="tabulkatlo"/>
            </w:pPr>
            <w:r w:rsidRPr="009A6554">
              <w:t>55</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1229FD63" w14:textId="77777777" w:rsidR="00911AEC" w:rsidRPr="009A6554" w:rsidRDefault="00911AEC" w:rsidP="004E5C01">
            <w:pPr>
              <w:pStyle w:val="tabulkatlo"/>
            </w:pPr>
            <w:r w:rsidRPr="009A6554">
              <w:t>63</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6FEA76C9" w14:textId="77777777" w:rsidR="00911AEC" w:rsidRPr="009A6554" w:rsidRDefault="00911AEC" w:rsidP="004E5C01">
            <w:pPr>
              <w:pStyle w:val="tabulkatlo"/>
            </w:pPr>
            <w:r w:rsidRPr="009A6554">
              <w:t>55</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10DBE33A" w14:textId="77777777" w:rsidR="00911AEC" w:rsidRPr="009A6554" w:rsidRDefault="00911AEC" w:rsidP="004E5C01">
            <w:pPr>
              <w:pStyle w:val="tabulkatlo"/>
            </w:pPr>
            <w:r w:rsidRPr="009A6554">
              <w:t>48</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5EA8D241" w14:textId="77777777" w:rsidR="00911AEC" w:rsidRPr="009A6554" w:rsidRDefault="00911AEC" w:rsidP="004E5C01">
            <w:pPr>
              <w:pStyle w:val="tabulkatlo"/>
            </w:pPr>
            <w:r w:rsidRPr="009A6554">
              <w:t>42</w:t>
            </w:r>
          </w:p>
        </w:tc>
        <w:tc>
          <w:tcPr>
            <w:tcW w:w="575" w:type="dxa"/>
            <w:tcBorders>
              <w:top w:val="single" w:sz="4" w:space="0" w:color="14387F"/>
              <w:left w:val="single" w:sz="4" w:space="0" w:color="14387F"/>
              <w:bottom w:val="single" w:sz="4" w:space="0" w:color="14387F"/>
              <w:right w:val="single" w:sz="4" w:space="0" w:color="14387F"/>
            </w:tcBorders>
            <w:noWrap/>
            <w:vAlign w:val="center"/>
          </w:tcPr>
          <w:p w14:paraId="0D96EB92" w14:textId="77777777" w:rsidR="00911AEC" w:rsidRPr="009A6554" w:rsidRDefault="00911AEC" w:rsidP="004E5C01">
            <w:pPr>
              <w:pStyle w:val="tabulkatlo"/>
            </w:pPr>
            <w:r w:rsidRPr="009A6554">
              <w:t>61</w:t>
            </w:r>
          </w:p>
        </w:tc>
      </w:tr>
      <w:tr w:rsidR="00911AEC" w:rsidRPr="009A6554" w14:paraId="40922717" w14:textId="77777777" w:rsidTr="004E5C01">
        <w:trPr>
          <w:trHeight w:hRule="exact" w:val="301"/>
        </w:trPr>
        <w:tc>
          <w:tcPr>
            <w:tcW w:w="1974" w:type="dxa"/>
            <w:tcBorders>
              <w:top w:val="nil"/>
              <w:left w:val="single" w:sz="4" w:space="0" w:color="002060"/>
              <w:bottom w:val="single" w:sz="4" w:space="0" w:color="002060"/>
              <w:right w:val="single" w:sz="4" w:space="0" w:color="14387F"/>
            </w:tcBorders>
            <w:noWrap/>
            <w:vAlign w:val="center"/>
            <w:hideMark/>
          </w:tcPr>
          <w:p w14:paraId="066C0C32" w14:textId="77777777" w:rsidR="00911AEC" w:rsidRPr="009A6554" w:rsidRDefault="00911AEC" w:rsidP="004E5C01">
            <w:pPr>
              <w:jc w:val="left"/>
              <w:rPr>
                <w:rFonts w:cs="Arial"/>
                <w:sz w:val="18"/>
                <w:szCs w:val="18"/>
              </w:rPr>
            </w:pPr>
            <w:r w:rsidRPr="009A6554">
              <w:rPr>
                <w:rFonts w:cs="Arial"/>
                <w:sz w:val="18"/>
                <w:szCs w:val="18"/>
              </w:rPr>
              <w:t>ČR</w:t>
            </w:r>
          </w:p>
        </w:tc>
        <w:tc>
          <w:tcPr>
            <w:tcW w:w="543" w:type="dxa"/>
            <w:tcBorders>
              <w:top w:val="single" w:sz="4" w:space="0" w:color="14387F"/>
              <w:left w:val="single" w:sz="4" w:space="0" w:color="14387F"/>
              <w:bottom w:val="single" w:sz="4" w:space="0" w:color="14387F"/>
              <w:right w:val="single" w:sz="4" w:space="0" w:color="14387F"/>
            </w:tcBorders>
            <w:noWrap/>
            <w:vAlign w:val="center"/>
          </w:tcPr>
          <w:p w14:paraId="7A1C8E3C" w14:textId="77777777" w:rsidR="00911AEC" w:rsidRPr="009A6554" w:rsidRDefault="00911AEC" w:rsidP="004E5C01">
            <w:pPr>
              <w:pStyle w:val="tabulkatlo"/>
            </w:pPr>
            <w:r w:rsidRPr="009A6554">
              <w:t>26</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34899D37" w14:textId="77777777" w:rsidR="00911AEC" w:rsidRPr="009A6554" w:rsidRDefault="00911AEC" w:rsidP="004E5C01">
            <w:pPr>
              <w:pStyle w:val="tabulkatlo"/>
            </w:pPr>
            <w:r w:rsidRPr="009A6554">
              <w:t>60</w:t>
            </w:r>
          </w:p>
        </w:tc>
        <w:tc>
          <w:tcPr>
            <w:tcW w:w="542"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1E6125EB" w14:textId="77777777" w:rsidR="00911AEC" w:rsidRPr="009A6554" w:rsidRDefault="00911AEC" w:rsidP="004E5C01">
            <w:pPr>
              <w:pStyle w:val="tabulkatlo"/>
            </w:pPr>
            <w:r w:rsidRPr="009A6554">
              <w:t>89</w:t>
            </w:r>
          </w:p>
        </w:tc>
        <w:tc>
          <w:tcPr>
            <w:tcW w:w="542"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0FF8612C" w14:textId="77777777" w:rsidR="00911AEC" w:rsidRPr="009A6554" w:rsidRDefault="00911AEC" w:rsidP="004E5C01">
            <w:pPr>
              <w:pStyle w:val="tabulkatlo"/>
            </w:pPr>
            <w:r w:rsidRPr="009A6554">
              <w:t>89</w:t>
            </w:r>
          </w:p>
        </w:tc>
        <w:tc>
          <w:tcPr>
            <w:tcW w:w="542"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46B47C52" w14:textId="77777777" w:rsidR="00911AEC" w:rsidRPr="009A6554" w:rsidRDefault="00911AEC" w:rsidP="004E5C01">
            <w:pPr>
              <w:pStyle w:val="tabulkatlo"/>
            </w:pPr>
            <w:r w:rsidRPr="009A6554">
              <w:t>90</w:t>
            </w:r>
          </w:p>
        </w:tc>
        <w:tc>
          <w:tcPr>
            <w:tcW w:w="542"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15123D7E" w14:textId="77777777" w:rsidR="00911AEC" w:rsidRPr="009A6554" w:rsidRDefault="00911AEC" w:rsidP="004E5C01">
            <w:pPr>
              <w:pStyle w:val="tabulkatlo"/>
            </w:pPr>
            <w:r w:rsidRPr="009A6554">
              <w:t>76</w:t>
            </w:r>
          </w:p>
        </w:tc>
        <w:tc>
          <w:tcPr>
            <w:tcW w:w="542"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77CDCD3B" w14:textId="77777777" w:rsidR="00911AEC" w:rsidRPr="009A6554" w:rsidRDefault="00911AEC" w:rsidP="004E5C01">
            <w:pPr>
              <w:pStyle w:val="tabulkatlo"/>
            </w:pPr>
            <w:r w:rsidRPr="009A6554">
              <w:t>87</w:t>
            </w:r>
          </w:p>
        </w:tc>
        <w:tc>
          <w:tcPr>
            <w:tcW w:w="542"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2D47550F" w14:textId="77777777" w:rsidR="00911AEC" w:rsidRPr="009A6554" w:rsidRDefault="00911AEC" w:rsidP="004E5C01">
            <w:pPr>
              <w:pStyle w:val="tabulkatlo"/>
            </w:pPr>
            <w:r w:rsidRPr="009A6554">
              <w:t>81</w:t>
            </w:r>
          </w:p>
        </w:tc>
        <w:tc>
          <w:tcPr>
            <w:tcW w:w="542"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2496E769" w14:textId="77777777" w:rsidR="00911AEC" w:rsidRPr="009A6554" w:rsidRDefault="00911AEC" w:rsidP="004E5C01">
            <w:pPr>
              <w:pStyle w:val="tabulkatlo"/>
            </w:pPr>
            <w:r w:rsidRPr="009A6554">
              <w:t>77</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4C385B25" w14:textId="77777777" w:rsidR="00911AEC" w:rsidRPr="009A6554" w:rsidRDefault="00911AEC" w:rsidP="004E5C01">
            <w:pPr>
              <w:pStyle w:val="tabulkatlo"/>
            </w:pPr>
            <w:r w:rsidRPr="009A6554">
              <w:t>66</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290D7688" w14:textId="77777777" w:rsidR="00911AEC" w:rsidRPr="009A6554" w:rsidRDefault="00911AEC" w:rsidP="004E5C01">
            <w:pPr>
              <w:pStyle w:val="tabulkatlo"/>
            </w:pPr>
            <w:r w:rsidRPr="009A6554">
              <w:t>48</w:t>
            </w:r>
          </w:p>
        </w:tc>
        <w:tc>
          <w:tcPr>
            <w:tcW w:w="542" w:type="dxa"/>
            <w:tcBorders>
              <w:top w:val="single" w:sz="4" w:space="0" w:color="14387F"/>
              <w:left w:val="single" w:sz="4" w:space="0" w:color="14387F"/>
              <w:bottom w:val="single" w:sz="4" w:space="0" w:color="14387F"/>
              <w:right w:val="single" w:sz="4" w:space="0" w:color="14387F"/>
            </w:tcBorders>
            <w:noWrap/>
            <w:vAlign w:val="center"/>
          </w:tcPr>
          <w:p w14:paraId="0488FBF4" w14:textId="77777777" w:rsidR="00911AEC" w:rsidRPr="009A6554" w:rsidRDefault="00911AEC" w:rsidP="004E5C01">
            <w:pPr>
              <w:pStyle w:val="tabulkatlo"/>
            </w:pPr>
            <w:r w:rsidRPr="009A6554">
              <w:t>63</w:t>
            </w:r>
          </w:p>
        </w:tc>
        <w:tc>
          <w:tcPr>
            <w:tcW w:w="575"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16366A21" w14:textId="77777777" w:rsidR="00911AEC" w:rsidRPr="009A6554" w:rsidRDefault="00911AEC" w:rsidP="004E5C01">
            <w:pPr>
              <w:pStyle w:val="tabulkatlo"/>
            </w:pPr>
            <w:r w:rsidRPr="009A6554">
              <w:t>83</w:t>
            </w:r>
          </w:p>
        </w:tc>
      </w:tr>
    </w:tbl>
    <w:p w14:paraId="3FCDD19C" w14:textId="1A6AE45E" w:rsidR="002651C7" w:rsidRPr="00911AEC" w:rsidRDefault="002651C7" w:rsidP="0082323B">
      <w:pPr>
        <w:contextualSpacing/>
        <w:rPr>
          <w:i/>
          <w:color w:val="000000" w:themeColor="text1"/>
          <w:sz w:val="20"/>
          <w:szCs w:val="20"/>
        </w:rPr>
      </w:pPr>
      <w:r w:rsidRPr="00911AEC">
        <w:rPr>
          <w:i/>
          <w:color w:val="000000" w:themeColor="text1"/>
          <w:sz w:val="20"/>
          <w:szCs w:val="20"/>
        </w:rPr>
        <w:t xml:space="preserve">Pramen: ČHMÚ </w:t>
      </w:r>
    </w:p>
    <w:p w14:paraId="55EF2629" w14:textId="11F2C7B8" w:rsidR="00862B67" w:rsidRPr="00911AEC" w:rsidRDefault="00DD36C5" w:rsidP="00571170">
      <w:pPr>
        <w:ind w:left="709" w:hanging="709"/>
        <w:contextualSpacing/>
        <w:rPr>
          <w:i/>
          <w:color w:val="000000" w:themeColor="text1"/>
          <w:sz w:val="20"/>
          <w:szCs w:val="20"/>
        </w:rPr>
      </w:pPr>
      <w:r w:rsidRPr="00911AEC">
        <w:rPr>
          <w:i/>
          <w:color w:val="000000" w:themeColor="text1"/>
          <w:sz w:val="20"/>
          <w:szCs w:val="20"/>
        </w:rPr>
        <w:t xml:space="preserve">Pozn.: </w:t>
      </w:r>
      <w:r w:rsidR="008E06F1" w:rsidRPr="00911AEC">
        <w:rPr>
          <w:i/>
          <w:color w:val="000000" w:themeColor="text1"/>
          <w:sz w:val="20"/>
          <w:szCs w:val="20"/>
        </w:rPr>
        <w:t xml:space="preserve">Červená barevná škála odpovídá zatřídění do kategorií mírně (75–85 %), silně (85–95 %) </w:t>
      </w:r>
      <w:r w:rsidR="001C3444" w:rsidRPr="00911AEC">
        <w:rPr>
          <w:i/>
          <w:color w:val="000000" w:themeColor="text1"/>
          <w:sz w:val="20"/>
          <w:szCs w:val="20"/>
        </w:rPr>
        <w:t>a </w:t>
      </w:r>
      <w:r w:rsidR="008E06F1" w:rsidRPr="00911AEC">
        <w:rPr>
          <w:i/>
          <w:color w:val="000000" w:themeColor="text1"/>
          <w:sz w:val="20"/>
          <w:szCs w:val="20"/>
        </w:rPr>
        <w:t>mimořádně (95–100 %) podnormální stav hladiny. Modře je vyznačena vydatnost mírně (15–</w:t>
      </w:r>
      <w:r w:rsidR="00571170" w:rsidRPr="00911AEC">
        <w:rPr>
          <w:i/>
          <w:color w:val="000000" w:themeColor="text1"/>
          <w:sz w:val="20"/>
          <w:szCs w:val="20"/>
        </w:rPr>
        <w:t>25 </w:t>
      </w:r>
      <w:r w:rsidR="008E06F1" w:rsidRPr="00911AEC">
        <w:rPr>
          <w:i/>
          <w:color w:val="000000" w:themeColor="text1"/>
          <w:sz w:val="20"/>
          <w:szCs w:val="20"/>
        </w:rPr>
        <w:t xml:space="preserve">%), silně </w:t>
      </w:r>
      <w:r w:rsidR="0082323B" w:rsidRPr="00911AEC">
        <w:rPr>
          <w:i/>
          <w:color w:val="000000" w:themeColor="text1"/>
          <w:sz w:val="20"/>
          <w:szCs w:val="20"/>
        </w:rPr>
        <w:br/>
      </w:r>
      <w:r w:rsidR="008E06F1" w:rsidRPr="00911AEC">
        <w:rPr>
          <w:i/>
          <w:color w:val="000000" w:themeColor="text1"/>
          <w:sz w:val="20"/>
          <w:szCs w:val="20"/>
        </w:rPr>
        <w:t>(5–15 %) a mimořádně (0–5 %) nadnormální</w:t>
      </w:r>
    </w:p>
    <w:p w14:paraId="5297E097" w14:textId="77777777" w:rsidR="00862B67" w:rsidRPr="00104F7D" w:rsidRDefault="00862B67" w:rsidP="007C4955">
      <w:pPr>
        <w:contextualSpacing/>
        <w:rPr>
          <w:color w:val="FF0000"/>
          <w:highlight w:val="yellow"/>
        </w:rPr>
      </w:pPr>
    </w:p>
    <w:p w14:paraId="1F16FD70" w14:textId="77777777" w:rsidR="004461B3" w:rsidRPr="00104F7D" w:rsidRDefault="004461B3" w:rsidP="004F5FA7">
      <w:pPr>
        <w:contextualSpacing/>
        <w:rPr>
          <w:rFonts w:cs="Arial"/>
          <w:b/>
          <w:noProof/>
          <w:color w:val="000000" w:themeColor="text1"/>
          <w:highlight w:val="yellow"/>
          <w:lang w:eastAsia="cs-CZ"/>
        </w:rPr>
      </w:pPr>
    </w:p>
    <w:p w14:paraId="3396ACB6" w14:textId="77777777" w:rsidR="008D60CD" w:rsidRPr="00104F7D" w:rsidRDefault="008D60CD" w:rsidP="004F5FA7">
      <w:pPr>
        <w:contextualSpacing/>
        <w:rPr>
          <w:rFonts w:cs="Arial"/>
          <w:b/>
          <w:noProof/>
          <w:color w:val="000000" w:themeColor="text1"/>
          <w:highlight w:val="yellow"/>
          <w:lang w:eastAsia="cs-CZ"/>
        </w:rPr>
      </w:pPr>
    </w:p>
    <w:p w14:paraId="495019C0" w14:textId="77777777" w:rsidR="00DF272A" w:rsidRPr="00104F7D" w:rsidRDefault="00DF272A" w:rsidP="004F5FA7">
      <w:pPr>
        <w:contextualSpacing/>
        <w:rPr>
          <w:rFonts w:cs="Arial"/>
          <w:b/>
          <w:noProof/>
          <w:color w:val="000000" w:themeColor="text1"/>
          <w:highlight w:val="yellow"/>
          <w:lang w:eastAsia="cs-CZ"/>
        </w:rPr>
      </w:pPr>
    </w:p>
    <w:p w14:paraId="0AE6A082" w14:textId="77777777" w:rsidR="00116412" w:rsidRDefault="00116412" w:rsidP="004F5FA7">
      <w:pPr>
        <w:contextualSpacing/>
        <w:rPr>
          <w:rFonts w:cs="Arial"/>
          <w:b/>
          <w:noProof/>
          <w:color w:val="000000" w:themeColor="text1"/>
          <w:lang w:eastAsia="cs-CZ"/>
        </w:rPr>
      </w:pPr>
    </w:p>
    <w:p w14:paraId="158E527A" w14:textId="77777777" w:rsidR="00C412F4" w:rsidRDefault="00C412F4" w:rsidP="004F5FA7">
      <w:pPr>
        <w:contextualSpacing/>
        <w:rPr>
          <w:rFonts w:cs="Arial"/>
          <w:b/>
          <w:noProof/>
          <w:color w:val="000000" w:themeColor="text1"/>
          <w:lang w:eastAsia="cs-CZ"/>
        </w:rPr>
      </w:pPr>
    </w:p>
    <w:p w14:paraId="040A2102" w14:textId="07EC7698" w:rsidR="00062A75" w:rsidRPr="003E1694" w:rsidRDefault="00862B67" w:rsidP="004F5FA7">
      <w:pPr>
        <w:contextualSpacing/>
        <w:rPr>
          <w:rFonts w:cs="Arial"/>
          <w:b/>
          <w:noProof/>
          <w:color w:val="000000" w:themeColor="text1"/>
          <w:lang w:eastAsia="cs-CZ"/>
        </w:rPr>
      </w:pPr>
      <w:r w:rsidRPr="003E1694">
        <w:rPr>
          <w:rFonts w:cs="Arial"/>
          <w:b/>
          <w:noProof/>
          <w:color w:val="000000" w:themeColor="text1"/>
          <w:lang w:eastAsia="cs-CZ"/>
        </w:rPr>
        <w:lastRenderedPageBreak/>
        <w:t>Prameny</w:t>
      </w:r>
    </w:p>
    <w:p w14:paraId="1AB7C86F" w14:textId="77777777" w:rsidR="004F5FA7" w:rsidRPr="00104F7D" w:rsidRDefault="004F5FA7" w:rsidP="004F5FA7">
      <w:pPr>
        <w:contextualSpacing/>
        <w:rPr>
          <w:rFonts w:cs="Arial"/>
          <w:b/>
          <w:noProof/>
          <w:color w:val="000000" w:themeColor="text1"/>
          <w:highlight w:val="yellow"/>
          <w:lang w:eastAsia="cs-CZ"/>
        </w:rPr>
      </w:pPr>
    </w:p>
    <w:p w14:paraId="7663C71D" w14:textId="77777777" w:rsidR="003E1694" w:rsidRDefault="003E1694" w:rsidP="003E1694">
      <w:r w:rsidRPr="00737283">
        <w:t>V lednu nastalo normální roční maximum vydatnosti (43</w:t>
      </w:r>
      <w:r>
        <w:t> </w:t>
      </w:r>
      <w:r w:rsidRPr="00737283">
        <w:t>% KP). Regionálně se stav lišil: zatímco v dílčím povodí Horní Odry (11</w:t>
      </w:r>
      <w:r>
        <w:t> </w:t>
      </w:r>
      <w:r w:rsidRPr="00737283">
        <w:t>% KP) byla vydatnost silně nadnormální a v dílčích povodích Horní Vltavy a Dolní Vltavy</w:t>
      </w:r>
      <w:r>
        <w:t xml:space="preserve"> mírně nadnormální (18–23 </w:t>
      </w:r>
      <w:r w:rsidRPr="00737283">
        <w:t>% KP), v dílčím povodí Ohře, Dolního Labe a ostatních přítoků Labe byl stav již v lednu mimořádně podnormální (100</w:t>
      </w:r>
      <w:r>
        <w:t> </w:t>
      </w:r>
      <w:r w:rsidRPr="00737283">
        <w:t>% KP). V únoru se vydatnost celkově zmenšila, zůstala však převážně v mezích normálu, s výjimkou silně až mimořádně podnormální vydatnosti v</w:t>
      </w:r>
      <w:r>
        <w:t> </w:t>
      </w:r>
      <w:r w:rsidRPr="00737283">
        <w:t>dílčích povodích Lužické Nisy a ostatních přítoků Odry a Ohře, Dolního Labe a ostatních přítoků Labe (89–99</w:t>
      </w:r>
      <w:r>
        <w:t> </w:t>
      </w:r>
      <w:r w:rsidRPr="00737283">
        <w:t>% KP</w:t>
      </w:r>
      <w:r>
        <w:t xml:space="preserve">). </w:t>
      </w:r>
      <w:r w:rsidRPr="00737283">
        <w:t>Zmenšování vydatnosti pokračovalo i v březnu a celkový stav se zhoršil až na téměř mimořádně podnormální (95</w:t>
      </w:r>
      <w:r>
        <w:t> </w:t>
      </w:r>
      <w:r w:rsidRPr="00737283">
        <w:t>% KP). Od dubna se vydatnost celkově dále zmenšovala až do září, kdy nastalo silně podnormální roční minimum (92</w:t>
      </w:r>
      <w:r>
        <w:t> </w:t>
      </w:r>
      <w:r w:rsidRPr="00737283">
        <w:t>% KP)</w:t>
      </w:r>
      <w:r>
        <w:t>. N</w:t>
      </w:r>
      <w:r w:rsidRPr="00737283">
        <w:t>a většině území převládal silně až mimořádně podnormální stav, s výjimkou normální vydatnosti v dílčím povodí Dolní Vltavy. Ke zlepšení stavu až na normální došlo v září v dílčím povodí Horní Odry (74</w:t>
      </w:r>
      <w:r>
        <w:t> </w:t>
      </w:r>
      <w:r w:rsidRPr="00737283">
        <w:t>% KP). V říjnu a listopadu se vydatnost postupně zvětšovala, zatímco na části území přetrvával silně až mimořádně podno</w:t>
      </w:r>
      <w:r>
        <w:t>rmální stav (</w:t>
      </w:r>
      <w:r w:rsidRPr="00737283">
        <w:t xml:space="preserve">Horní </w:t>
      </w:r>
      <w:r>
        <w:t>Vltava, Berounka, Ohře, Dolní Labe a ostatní přítoky Labe, Lužická Nisa a ostatní přítoky</w:t>
      </w:r>
      <w:r w:rsidRPr="00737283">
        <w:t xml:space="preserve"> Odry), v dílčích povodích Dolní Vltavy a Moravy a přítoků Váhu byl stav normální a v dílčím povodí Horní Odry se zlepšil v listopadu z normálního až na mírně nadnormální (19</w:t>
      </w:r>
      <w:r>
        <w:t> </w:t>
      </w:r>
      <w:r w:rsidRPr="00737283">
        <w:t>% KP). V prosinci se vydatnost opět zmenšila a celkový stav se zhoršil na silně podnormální (88</w:t>
      </w:r>
      <w:r>
        <w:t> </w:t>
      </w:r>
      <w:r w:rsidRPr="00737283">
        <w:t>% KP), regionálně se však stav lišil, zatímco na Moravě a v dílčím povodí Dolní Vltavy byla vydatnost normální až mírně nadnormáln</w:t>
      </w:r>
      <w:r>
        <w:t>í (23 % KP, Horní Odra</w:t>
      </w:r>
      <w:r w:rsidRPr="00737283">
        <w:t>), v Čechách převládal silně až mimořádně podnormální stav.</w:t>
      </w:r>
    </w:p>
    <w:p w14:paraId="23E1D143" w14:textId="77777777" w:rsidR="00062A75" w:rsidRPr="00104F7D" w:rsidRDefault="00062A75" w:rsidP="007C4955">
      <w:pPr>
        <w:contextualSpacing/>
        <w:rPr>
          <w:b/>
          <w:i/>
          <w:color w:val="FF0000"/>
          <w:highlight w:val="yellow"/>
        </w:rPr>
      </w:pPr>
    </w:p>
    <w:p w14:paraId="3EEF39DB" w14:textId="6B75C24A" w:rsidR="003F41F5" w:rsidRPr="000155C8" w:rsidRDefault="00862B67" w:rsidP="007C4955">
      <w:pPr>
        <w:contextualSpacing/>
        <w:rPr>
          <w:b/>
          <w:i/>
          <w:color w:val="000000" w:themeColor="text1"/>
        </w:rPr>
      </w:pPr>
      <w:r w:rsidRPr="000155C8">
        <w:rPr>
          <w:b/>
          <w:i/>
          <w:color w:val="000000" w:themeColor="text1"/>
        </w:rPr>
        <w:t>Graf 1.3.</w:t>
      </w:r>
      <w:r w:rsidR="00C11928" w:rsidRPr="000155C8">
        <w:rPr>
          <w:b/>
          <w:i/>
          <w:color w:val="000000" w:themeColor="text1"/>
        </w:rPr>
        <w:t>3</w:t>
      </w:r>
    </w:p>
    <w:p w14:paraId="7A8B6503" w14:textId="053716C2" w:rsidR="004C505E" w:rsidRPr="000155C8" w:rsidRDefault="00062A75" w:rsidP="007C4955">
      <w:pPr>
        <w:contextualSpacing/>
        <w:rPr>
          <w:noProof/>
          <w:color w:val="FF0000"/>
          <w:lang w:eastAsia="cs-CZ"/>
        </w:rPr>
      </w:pPr>
      <w:r w:rsidRPr="000155C8">
        <w:rPr>
          <w:b/>
          <w:i/>
          <w:color w:val="000000" w:themeColor="text1"/>
        </w:rPr>
        <w:t xml:space="preserve">Průměrná standardizovaná vydatnost pramenů hlásné sítě pro celou Českou republiku </w:t>
      </w:r>
      <w:r w:rsidR="00571170" w:rsidRPr="000155C8">
        <w:rPr>
          <w:b/>
          <w:i/>
          <w:color w:val="000000" w:themeColor="text1"/>
        </w:rPr>
        <w:t>v</w:t>
      </w:r>
      <w:r w:rsidR="004F5FA7" w:rsidRPr="000155C8">
        <w:rPr>
          <w:b/>
          <w:i/>
          <w:color w:val="000000" w:themeColor="text1"/>
        </w:rPr>
        <w:t> </w:t>
      </w:r>
      <w:r w:rsidRPr="000155C8">
        <w:rPr>
          <w:b/>
          <w:i/>
          <w:color w:val="000000" w:themeColor="text1"/>
        </w:rPr>
        <w:t>roce</w:t>
      </w:r>
      <w:r w:rsidR="004F5FA7" w:rsidRPr="000155C8">
        <w:rPr>
          <w:b/>
          <w:i/>
          <w:color w:val="000000" w:themeColor="text1"/>
        </w:rPr>
        <w:t xml:space="preserve"> </w:t>
      </w:r>
      <w:r w:rsidRPr="000155C8">
        <w:rPr>
          <w:b/>
          <w:i/>
          <w:color w:val="000000" w:themeColor="text1"/>
        </w:rPr>
        <w:t>202</w:t>
      </w:r>
      <w:r w:rsidR="000155C8">
        <w:rPr>
          <w:b/>
          <w:i/>
          <w:color w:val="000000" w:themeColor="text1"/>
        </w:rPr>
        <w:t>5</w:t>
      </w:r>
      <w:r w:rsidRPr="000155C8">
        <w:rPr>
          <w:b/>
          <w:i/>
          <w:color w:val="000000" w:themeColor="text1"/>
        </w:rPr>
        <w:t xml:space="preserve"> </w:t>
      </w:r>
      <w:r w:rsidR="00F642B6" w:rsidRPr="000155C8">
        <w:rPr>
          <w:b/>
          <w:i/>
          <w:color w:val="000000" w:themeColor="text1"/>
        </w:rPr>
        <w:t xml:space="preserve">(modře) </w:t>
      </w:r>
      <w:r w:rsidRPr="000155C8">
        <w:rPr>
          <w:b/>
          <w:i/>
          <w:color w:val="000000" w:themeColor="text1"/>
        </w:rPr>
        <w:t xml:space="preserve">ve srovnání s dlouhodobými hodnotami za </w:t>
      </w:r>
      <w:r w:rsidR="00F642B6" w:rsidRPr="000155C8">
        <w:rPr>
          <w:b/>
          <w:i/>
          <w:color w:val="000000" w:themeColor="text1"/>
        </w:rPr>
        <w:t xml:space="preserve">referenční </w:t>
      </w:r>
      <w:r w:rsidRPr="000155C8">
        <w:rPr>
          <w:b/>
          <w:i/>
          <w:color w:val="000000" w:themeColor="text1"/>
        </w:rPr>
        <w:t>období 1991–2020</w:t>
      </w:r>
      <w:r w:rsidR="00434C7B" w:rsidRPr="000155C8" w:rsidDel="00434C7B">
        <w:rPr>
          <w:b/>
          <w:i/>
          <w:color w:val="000000" w:themeColor="text1"/>
        </w:rPr>
        <w:t xml:space="preserve"> </w:t>
      </w:r>
    </w:p>
    <w:p w14:paraId="05DD3E74" w14:textId="2D37322B" w:rsidR="004F5FA7" w:rsidRPr="00104F7D" w:rsidRDefault="000155C8" w:rsidP="007C4955">
      <w:pPr>
        <w:contextualSpacing/>
        <w:rPr>
          <w:rFonts w:cs="Arial"/>
          <w:noProof/>
          <w:color w:val="FF0000"/>
          <w:highlight w:val="yellow"/>
          <w:lang w:eastAsia="cs-CZ"/>
        </w:rPr>
      </w:pPr>
      <w:r>
        <w:rPr>
          <w:noProof/>
        </w:rPr>
        <w:drawing>
          <wp:inline distT="0" distB="0" distL="0" distR="0" wp14:anchorId="398C74DD" wp14:editId="5C6C0292">
            <wp:extent cx="4114800" cy="3200400"/>
            <wp:effectExtent l="0" t="0" r="0" b="0"/>
            <wp:docPr id="49378056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14800" cy="3200400"/>
                    </a:xfrm>
                    <a:prstGeom prst="rect">
                      <a:avLst/>
                    </a:prstGeom>
                    <a:noFill/>
                    <a:ln>
                      <a:noFill/>
                    </a:ln>
                  </pic:spPr>
                </pic:pic>
              </a:graphicData>
            </a:graphic>
          </wp:inline>
        </w:drawing>
      </w:r>
    </w:p>
    <w:p w14:paraId="50AF1EBF" w14:textId="77777777" w:rsidR="00862B67" w:rsidRPr="000155C8" w:rsidRDefault="00862B67" w:rsidP="007C4955">
      <w:pPr>
        <w:contextualSpacing/>
        <w:rPr>
          <w:i/>
          <w:color w:val="000000" w:themeColor="text1"/>
          <w:sz w:val="20"/>
          <w:szCs w:val="20"/>
        </w:rPr>
      </w:pPr>
      <w:r w:rsidRPr="000155C8">
        <w:rPr>
          <w:i/>
          <w:color w:val="000000" w:themeColor="text1"/>
          <w:sz w:val="20"/>
          <w:szCs w:val="20"/>
        </w:rPr>
        <w:t>Pramen: ČHMÚ</w:t>
      </w:r>
    </w:p>
    <w:p w14:paraId="693B6C90" w14:textId="77777777" w:rsidR="003702DC" w:rsidRPr="000155C8" w:rsidRDefault="00DD36C5" w:rsidP="00071DDA">
      <w:pPr>
        <w:ind w:left="567" w:hanging="567"/>
        <w:contextualSpacing/>
        <w:rPr>
          <w:rFonts w:cs="Arial"/>
          <w:i/>
          <w:color w:val="000000" w:themeColor="text1"/>
          <w:sz w:val="20"/>
          <w:szCs w:val="20"/>
        </w:rPr>
      </w:pPr>
      <w:r w:rsidRPr="000155C8">
        <w:rPr>
          <w:rFonts w:cs="Arial"/>
          <w:i/>
          <w:color w:val="000000" w:themeColor="text1"/>
          <w:sz w:val="20"/>
          <w:szCs w:val="20"/>
        </w:rPr>
        <w:t xml:space="preserve">Pozn.: </w:t>
      </w:r>
      <w:r w:rsidR="003702DC" w:rsidRPr="000155C8">
        <w:rPr>
          <w:rFonts w:cs="Arial"/>
          <w:i/>
          <w:color w:val="000000" w:themeColor="text1"/>
          <w:sz w:val="20"/>
          <w:szCs w:val="20"/>
        </w:rPr>
        <w:t>Uvedeny jsou také kvantily měsíčních křivek překročení (</w:t>
      </w:r>
      <w:proofErr w:type="spellStart"/>
      <w:r w:rsidR="003702DC" w:rsidRPr="000155C8">
        <w:rPr>
          <w:rFonts w:cs="Arial"/>
          <w:i/>
          <w:color w:val="000000" w:themeColor="text1"/>
          <w:sz w:val="20"/>
          <w:szCs w:val="20"/>
        </w:rPr>
        <w:t>KP</w:t>
      </w:r>
      <w:r w:rsidR="003702DC" w:rsidRPr="000155C8">
        <w:rPr>
          <w:rFonts w:cs="Arial"/>
          <w:i/>
          <w:color w:val="000000" w:themeColor="text1"/>
          <w:sz w:val="20"/>
          <w:szCs w:val="20"/>
          <w:vertAlign w:val="subscript"/>
        </w:rPr>
        <w:t>m</w:t>
      </w:r>
      <w:proofErr w:type="spellEnd"/>
      <w:r w:rsidR="003702DC" w:rsidRPr="000155C8">
        <w:rPr>
          <w:rFonts w:cs="Arial"/>
          <w:i/>
          <w:color w:val="000000" w:themeColor="text1"/>
          <w:sz w:val="20"/>
          <w:szCs w:val="20"/>
        </w:rPr>
        <w:t>).</w:t>
      </w:r>
    </w:p>
    <w:p w14:paraId="27C0AEB9" w14:textId="77777777" w:rsidR="00862B67" w:rsidRPr="000155C8" w:rsidRDefault="00862B67" w:rsidP="007C4955">
      <w:pPr>
        <w:ind w:left="567"/>
        <w:contextualSpacing/>
        <w:rPr>
          <w:rFonts w:cs="Arial"/>
          <w:i/>
          <w:color w:val="000000" w:themeColor="text1"/>
          <w:sz w:val="20"/>
          <w:szCs w:val="20"/>
        </w:rPr>
      </w:pPr>
      <w:r w:rsidRPr="000155C8">
        <w:rPr>
          <w:rFonts w:cs="Arial"/>
          <w:i/>
          <w:color w:val="000000" w:themeColor="text1"/>
          <w:sz w:val="20"/>
          <w:szCs w:val="20"/>
        </w:rPr>
        <w:t xml:space="preserve">Svislá osa vyjadřuje směrodatnou odchylku. </w:t>
      </w:r>
    </w:p>
    <w:p w14:paraId="25FBC3F4" w14:textId="77777777" w:rsidR="00A24049" w:rsidRPr="00104F7D" w:rsidRDefault="00A24049" w:rsidP="007C4955">
      <w:pPr>
        <w:contextualSpacing/>
        <w:rPr>
          <w:rFonts w:cs="Arial"/>
          <w:noProof/>
          <w:color w:val="FF0000"/>
          <w:sz w:val="24"/>
          <w:szCs w:val="24"/>
          <w:highlight w:val="yellow"/>
          <w:lang w:eastAsia="cs-CZ"/>
        </w:rPr>
      </w:pPr>
    </w:p>
    <w:p w14:paraId="60C2D27D" w14:textId="77777777" w:rsidR="004461B3" w:rsidRPr="00104F7D" w:rsidRDefault="004461B3" w:rsidP="007C4955">
      <w:pPr>
        <w:contextualSpacing/>
        <w:rPr>
          <w:rFonts w:cs="Arial"/>
          <w:noProof/>
          <w:color w:val="FF0000"/>
          <w:sz w:val="24"/>
          <w:szCs w:val="24"/>
          <w:highlight w:val="yellow"/>
          <w:lang w:eastAsia="cs-CZ"/>
        </w:rPr>
      </w:pPr>
    </w:p>
    <w:p w14:paraId="248B6AF2" w14:textId="77777777" w:rsidR="004461B3" w:rsidRPr="00104F7D" w:rsidRDefault="004461B3" w:rsidP="007C4955">
      <w:pPr>
        <w:contextualSpacing/>
        <w:rPr>
          <w:rFonts w:cs="Arial"/>
          <w:noProof/>
          <w:color w:val="FF0000"/>
          <w:sz w:val="24"/>
          <w:szCs w:val="24"/>
          <w:highlight w:val="yellow"/>
          <w:lang w:eastAsia="cs-CZ"/>
        </w:rPr>
      </w:pPr>
    </w:p>
    <w:p w14:paraId="67B86DF5" w14:textId="77777777" w:rsidR="00407BC4" w:rsidRPr="00104F7D" w:rsidRDefault="00407BC4" w:rsidP="00C11928">
      <w:pPr>
        <w:spacing w:before="120"/>
        <w:rPr>
          <w:rFonts w:cs="Arial"/>
          <w:b/>
          <w:bCs/>
          <w:i/>
          <w:sz w:val="20"/>
          <w:szCs w:val="20"/>
          <w:highlight w:val="yellow"/>
        </w:rPr>
      </w:pPr>
    </w:p>
    <w:p w14:paraId="4586F61A" w14:textId="77777777" w:rsidR="00407BC4" w:rsidRPr="00104F7D" w:rsidRDefault="00407BC4" w:rsidP="00C11928">
      <w:pPr>
        <w:spacing w:before="120"/>
        <w:rPr>
          <w:rFonts w:cs="Arial"/>
          <w:b/>
          <w:bCs/>
          <w:i/>
          <w:sz w:val="20"/>
          <w:szCs w:val="20"/>
          <w:highlight w:val="yellow"/>
        </w:rPr>
      </w:pPr>
    </w:p>
    <w:p w14:paraId="324CFD7C" w14:textId="77777777" w:rsidR="00407BC4" w:rsidRPr="00104F7D" w:rsidRDefault="00407BC4" w:rsidP="00C11928">
      <w:pPr>
        <w:spacing w:before="120"/>
        <w:rPr>
          <w:rFonts w:cs="Arial"/>
          <w:b/>
          <w:bCs/>
          <w:i/>
          <w:sz w:val="20"/>
          <w:szCs w:val="20"/>
          <w:highlight w:val="yellow"/>
        </w:rPr>
      </w:pPr>
    </w:p>
    <w:p w14:paraId="53D4D767" w14:textId="77777777" w:rsidR="008E5397" w:rsidRPr="00104F7D" w:rsidRDefault="008E5397" w:rsidP="00C11928">
      <w:pPr>
        <w:spacing w:before="120"/>
        <w:rPr>
          <w:rFonts w:cs="Arial"/>
          <w:b/>
          <w:bCs/>
          <w:iCs/>
          <w:highlight w:val="yellow"/>
        </w:rPr>
      </w:pPr>
    </w:p>
    <w:p w14:paraId="72C58554" w14:textId="7623BB49" w:rsidR="00C11928" w:rsidRPr="000155C8" w:rsidRDefault="00C11928" w:rsidP="00C11928">
      <w:pPr>
        <w:spacing w:before="120"/>
        <w:rPr>
          <w:rFonts w:cs="Arial"/>
          <w:b/>
          <w:bCs/>
          <w:iCs/>
        </w:rPr>
      </w:pPr>
      <w:r w:rsidRPr="000155C8">
        <w:rPr>
          <w:rFonts w:cs="Arial"/>
          <w:b/>
          <w:bCs/>
          <w:iCs/>
        </w:rPr>
        <w:lastRenderedPageBreak/>
        <w:t xml:space="preserve">Graf 1.3.4 </w:t>
      </w:r>
    </w:p>
    <w:p w14:paraId="1E98D404" w14:textId="5979408E" w:rsidR="00C11928" w:rsidRPr="000155C8" w:rsidRDefault="00C11928" w:rsidP="00C11928">
      <w:pPr>
        <w:rPr>
          <w:rFonts w:cs="Arial"/>
          <w:b/>
          <w:bCs/>
          <w:iCs/>
        </w:rPr>
      </w:pPr>
      <w:r w:rsidRPr="000155C8">
        <w:rPr>
          <w:rFonts w:cs="Arial"/>
          <w:b/>
          <w:bCs/>
          <w:iCs/>
        </w:rPr>
        <w:t>Průměrná standardizovaná vydatnost pramenů hlásné sítě v dílčích povodích v roce 202</w:t>
      </w:r>
      <w:r w:rsidR="000155C8">
        <w:rPr>
          <w:rFonts w:cs="Arial"/>
          <w:b/>
          <w:bCs/>
          <w:iCs/>
        </w:rPr>
        <w:t>5</w:t>
      </w:r>
      <w:r w:rsidRPr="000155C8">
        <w:rPr>
          <w:rFonts w:cs="Arial"/>
          <w:b/>
          <w:bCs/>
          <w:iCs/>
        </w:rPr>
        <w:t xml:space="preserve"> (modře) ve srovnání s dlouhodobými hodnotami za období </w:t>
      </w:r>
      <w:r w:rsidR="00F642B6" w:rsidRPr="000155C8">
        <w:rPr>
          <w:rFonts w:cs="Arial"/>
          <w:b/>
          <w:bCs/>
          <w:iCs/>
        </w:rPr>
        <w:t xml:space="preserve">referenční </w:t>
      </w:r>
      <w:r w:rsidRPr="000155C8">
        <w:rPr>
          <w:rFonts w:cs="Arial"/>
          <w:b/>
          <w:bCs/>
          <w:iCs/>
        </w:rPr>
        <w:t>1991–2020</w:t>
      </w:r>
    </w:p>
    <w:p w14:paraId="10C3ADBD" w14:textId="1C60132C" w:rsidR="00BA6441" w:rsidRPr="00104F7D" w:rsidRDefault="00153D51" w:rsidP="007C4955">
      <w:pPr>
        <w:contextualSpacing/>
        <w:rPr>
          <w:rFonts w:cs="Arial"/>
          <w:color w:val="FF0000"/>
          <w:highlight w:val="yellow"/>
        </w:rPr>
      </w:pPr>
      <w:r>
        <w:rPr>
          <w:noProof/>
        </w:rPr>
        <w:drawing>
          <wp:inline distT="0" distB="0" distL="0" distR="0" wp14:anchorId="2CCC2E1E" wp14:editId="3011F20B">
            <wp:extent cx="5486400" cy="7315200"/>
            <wp:effectExtent l="0" t="0" r="0" b="0"/>
            <wp:docPr id="922815412"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86400" cy="7315200"/>
                    </a:xfrm>
                    <a:prstGeom prst="rect">
                      <a:avLst/>
                    </a:prstGeom>
                    <a:noFill/>
                    <a:ln>
                      <a:noFill/>
                    </a:ln>
                  </pic:spPr>
                </pic:pic>
              </a:graphicData>
            </a:graphic>
          </wp:inline>
        </w:drawing>
      </w:r>
    </w:p>
    <w:p w14:paraId="4C4AF5D3" w14:textId="517B742B" w:rsidR="00C11928" w:rsidRPr="00153D51" w:rsidRDefault="00C11928" w:rsidP="007C4955">
      <w:pPr>
        <w:contextualSpacing/>
        <w:rPr>
          <w:rFonts w:cs="Arial"/>
          <w:i/>
          <w:iCs/>
          <w:color w:val="000000" w:themeColor="text1"/>
          <w:sz w:val="20"/>
          <w:szCs w:val="20"/>
        </w:rPr>
      </w:pPr>
      <w:r w:rsidRPr="00153D51">
        <w:rPr>
          <w:rFonts w:cs="Arial"/>
          <w:i/>
          <w:iCs/>
          <w:color w:val="000000" w:themeColor="text1"/>
          <w:sz w:val="20"/>
          <w:szCs w:val="20"/>
        </w:rPr>
        <w:t>Pramen: ČHMÚ</w:t>
      </w:r>
    </w:p>
    <w:p w14:paraId="483224FE" w14:textId="4D184F5F" w:rsidR="00EA75FE" w:rsidRPr="00153D51" w:rsidRDefault="00EA75FE" w:rsidP="00EA75FE">
      <w:pPr>
        <w:contextualSpacing/>
        <w:rPr>
          <w:rFonts w:cs="Arial"/>
          <w:i/>
          <w:iCs/>
          <w:color w:val="000000" w:themeColor="text1"/>
          <w:sz w:val="20"/>
          <w:szCs w:val="20"/>
        </w:rPr>
      </w:pPr>
      <w:r w:rsidRPr="00153D51">
        <w:rPr>
          <w:rFonts w:cs="Arial"/>
          <w:i/>
          <w:iCs/>
          <w:color w:val="000000" w:themeColor="text1"/>
          <w:sz w:val="20"/>
          <w:szCs w:val="20"/>
        </w:rPr>
        <w:t>Poz</w:t>
      </w:r>
      <w:r w:rsidR="00F642B6" w:rsidRPr="00153D51">
        <w:rPr>
          <w:rFonts w:cs="Arial"/>
          <w:i/>
          <w:iCs/>
          <w:color w:val="000000" w:themeColor="text1"/>
          <w:sz w:val="20"/>
          <w:szCs w:val="20"/>
        </w:rPr>
        <w:t>n</w:t>
      </w:r>
      <w:r w:rsidRPr="00153D51">
        <w:rPr>
          <w:rFonts w:cs="Arial"/>
          <w:i/>
          <w:iCs/>
          <w:color w:val="000000" w:themeColor="text1"/>
          <w:sz w:val="20"/>
          <w:szCs w:val="20"/>
        </w:rPr>
        <w:t>.: Uvedeny jsou také kvantily měsíčních křivek překročení (</w:t>
      </w:r>
      <w:proofErr w:type="spellStart"/>
      <w:r w:rsidRPr="00153D51">
        <w:rPr>
          <w:rFonts w:cs="Arial"/>
          <w:i/>
          <w:iCs/>
          <w:color w:val="000000" w:themeColor="text1"/>
          <w:sz w:val="20"/>
          <w:szCs w:val="20"/>
        </w:rPr>
        <w:t>KP</w:t>
      </w:r>
      <w:r w:rsidRPr="00153D51">
        <w:rPr>
          <w:rFonts w:cs="Arial"/>
          <w:i/>
          <w:iCs/>
          <w:color w:val="000000" w:themeColor="text1"/>
          <w:sz w:val="20"/>
          <w:szCs w:val="20"/>
          <w:vertAlign w:val="subscript"/>
        </w:rPr>
        <w:t>m</w:t>
      </w:r>
      <w:proofErr w:type="spellEnd"/>
      <w:r w:rsidRPr="00153D51">
        <w:rPr>
          <w:rFonts w:cs="Arial"/>
          <w:i/>
          <w:iCs/>
          <w:color w:val="000000" w:themeColor="text1"/>
          <w:sz w:val="20"/>
          <w:szCs w:val="20"/>
        </w:rPr>
        <w:t>).</w:t>
      </w:r>
    </w:p>
    <w:p w14:paraId="3CAFEA14" w14:textId="46C20049" w:rsidR="00C11928" w:rsidRPr="00104F7D" w:rsidRDefault="00C11928" w:rsidP="007C4955">
      <w:pPr>
        <w:contextualSpacing/>
        <w:rPr>
          <w:rFonts w:cs="Arial"/>
          <w:color w:val="FF0000"/>
          <w:highlight w:val="yellow"/>
        </w:rPr>
      </w:pPr>
    </w:p>
    <w:p w14:paraId="79BE751A" w14:textId="77777777" w:rsidR="00153D51" w:rsidRDefault="00153D51" w:rsidP="007C4955">
      <w:pPr>
        <w:contextualSpacing/>
        <w:rPr>
          <w:rFonts w:cs="Arial"/>
          <w:b/>
          <w:i/>
          <w:color w:val="000000" w:themeColor="text1"/>
        </w:rPr>
      </w:pPr>
    </w:p>
    <w:p w14:paraId="6F48EA99" w14:textId="77777777" w:rsidR="00153D51" w:rsidRDefault="00153D51" w:rsidP="007C4955">
      <w:pPr>
        <w:contextualSpacing/>
        <w:rPr>
          <w:rFonts w:cs="Arial"/>
          <w:b/>
          <w:i/>
          <w:color w:val="000000" w:themeColor="text1"/>
        </w:rPr>
      </w:pPr>
    </w:p>
    <w:p w14:paraId="17B5605A" w14:textId="77777777" w:rsidR="00153D51" w:rsidRDefault="00153D51" w:rsidP="007C4955">
      <w:pPr>
        <w:contextualSpacing/>
        <w:rPr>
          <w:rFonts w:cs="Arial"/>
          <w:b/>
          <w:i/>
          <w:color w:val="000000" w:themeColor="text1"/>
        </w:rPr>
      </w:pPr>
    </w:p>
    <w:p w14:paraId="7E973BC7" w14:textId="77777777" w:rsidR="00153D51" w:rsidRDefault="00153D51" w:rsidP="007C4955">
      <w:pPr>
        <w:contextualSpacing/>
        <w:rPr>
          <w:rFonts w:cs="Arial"/>
          <w:b/>
          <w:i/>
          <w:color w:val="000000" w:themeColor="text1"/>
        </w:rPr>
      </w:pPr>
    </w:p>
    <w:p w14:paraId="66264B4C" w14:textId="77777777" w:rsidR="00153D51" w:rsidRDefault="00153D51" w:rsidP="007C4955">
      <w:pPr>
        <w:contextualSpacing/>
        <w:rPr>
          <w:rFonts w:cs="Arial"/>
          <w:b/>
          <w:i/>
          <w:color w:val="000000" w:themeColor="text1"/>
        </w:rPr>
      </w:pPr>
    </w:p>
    <w:p w14:paraId="2DC83B0C" w14:textId="0ADD482B" w:rsidR="003702DC" w:rsidRPr="00FB1502" w:rsidRDefault="003702DC" w:rsidP="007C4955">
      <w:pPr>
        <w:contextualSpacing/>
        <w:rPr>
          <w:rFonts w:cs="Arial"/>
          <w:b/>
          <w:i/>
          <w:color w:val="000000" w:themeColor="text1"/>
        </w:rPr>
      </w:pPr>
      <w:r w:rsidRPr="00FB1502">
        <w:rPr>
          <w:rFonts w:cs="Arial"/>
          <w:b/>
          <w:i/>
          <w:color w:val="000000" w:themeColor="text1"/>
        </w:rPr>
        <w:lastRenderedPageBreak/>
        <w:t xml:space="preserve">Obrázek 1.3.2 </w:t>
      </w:r>
    </w:p>
    <w:p w14:paraId="758E1066" w14:textId="6CEBD46C" w:rsidR="003702DC" w:rsidRPr="00FB1502" w:rsidRDefault="00062A75" w:rsidP="007C4955">
      <w:pPr>
        <w:contextualSpacing/>
        <w:rPr>
          <w:rFonts w:cs="Arial"/>
          <w:b/>
          <w:i/>
          <w:color w:val="000000" w:themeColor="text1"/>
        </w:rPr>
      </w:pPr>
      <w:r w:rsidRPr="00FB1502">
        <w:rPr>
          <w:rFonts w:cs="Arial"/>
          <w:b/>
          <w:i/>
          <w:color w:val="000000" w:themeColor="text1"/>
        </w:rPr>
        <w:t>Stav vydatnosti pramenů v roce 202</w:t>
      </w:r>
      <w:r w:rsidR="00FB1502">
        <w:rPr>
          <w:rFonts w:cs="Arial"/>
          <w:b/>
          <w:i/>
          <w:color w:val="000000" w:themeColor="text1"/>
        </w:rPr>
        <w:t>5</w:t>
      </w:r>
      <w:r w:rsidRPr="00FB1502">
        <w:rPr>
          <w:rFonts w:cs="Arial"/>
          <w:b/>
          <w:i/>
          <w:color w:val="000000" w:themeColor="text1"/>
        </w:rPr>
        <w:t xml:space="preserve">, vztaženo k referenčnímu období 1991–2020 </w:t>
      </w:r>
    </w:p>
    <w:p w14:paraId="2DE737C0" w14:textId="7E37CEBE" w:rsidR="00867BD3" w:rsidRPr="00104F7D" w:rsidRDefault="00FB1502" w:rsidP="007C4955">
      <w:pPr>
        <w:contextualSpacing/>
        <w:rPr>
          <w:rFonts w:cs="Arial"/>
          <w:b/>
          <w:i/>
          <w:color w:val="000000" w:themeColor="text1"/>
          <w:highlight w:val="yellow"/>
        </w:rPr>
      </w:pPr>
      <w:r>
        <w:rPr>
          <w:noProof/>
          <w:color w:val="FF0000"/>
        </w:rPr>
        <w:drawing>
          <wp:inline distT="0" distB="0" distL="0" distR="0" wp14:anchorId="3E0342CA" wp14:editId="52E70FB5">
            <wp:extent cx="5162550" cy="3213395"/>
            <wp:effectExtent l="0" t="0" r="0" b="6350"/>
            <wp:docPr id="2052150731"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1059"/>
                    <a:stretch>
                      <a:fillRect/>
                    </a:stretch>
                  </pic:blipFill>
                  <pic:spPr bwMode="auto">
                    <a:xfrm>
                      <a:off x="0" y="0"/>
                      <a:ext cx="5197475" cy="3235134"/>
                    </a:xfrm>
                    <a:prstGeom prst="rect">
                      <a:avLst/>
                    </a:prstGeom>
                    <a:noFill/>
                    <a:ln>
                      <a:noFill/>
                    </a:ln>
                    <a:extLst>
                      <a:ext uri="{53640926-AAD7-44D8-BBD7-CCE9431645EC}">
                        <a14:shadowObscured xmlns:a14="http://schemas.microsoft.com/office/drawing/2010/main"/>
                      </a:ext>
                    </a:extLst>
                  </pic:spPr>
                </pic:pic>
              </a:graphicData>
            </a:graphic>
          </wp:inline>
        </w:drawing>
      </w:r>
    </w:p>
    <w:p w14:paraId="66181F79" w14:textId="4F3CA36C" w:rsidR="00062A75" w:rsidRPr="00104F7D" w:rsidRDefault="00062A75" w:rsidP="007C4955">
      <w:pPr>
        <w:contextualSpacing/>
        <w:rPr>
          <w:noProof/>
          <w:color w:val="FF0000"/>
          <w:highlight w:val="yellow"/>
          <w:lang w:eastAsia="cs-CZ"/>
        </w:rPr>
      </w:pPr>
    </w:p>
    <w:p w14:paraId="467C6010" w14:textId="79B59FB7" w:rsidR="003702DC" w:rsidRPr="00FB1502" w:rsidRDefault="003702DC" w:rsidP="007C4955">
      <w:pPr>
        <w:contextualSpacing/>
        <w:rPr>
          <w:rFonts w:cs="Arial"/>
          <w:i/>
          <w:color w:val="000000" w:themeColor="text1"/>
          <w:sz w:val="20"/>
          <w:szCs w:val="20"/>
        </w:rPr>
      </w:pPr>
      <w:r w:rsidRPr="00FB1502">
        <w:rPr>
          <w:rFonts w:cs="Arial"/>
          <w:i/>
          <w:color w:val="000000" w:themeColor="text1"/>
          <w:sz w:val="20"/>
          <w:szCs w:val="20"/>
        </w:rPr>
        <w:t>Pramen</w:t>
      </w:r>
      <w:r w:rsidR="0077061B" w:rsidRPr="00FB1502">
        <w:rPr>
          <w:rFonts w:cs="Arial"/>
          <w:i/>
          <w:color w:val="000000" w:themeColor="text1"/>
          <w:sz w:val="20"/>
          <w:szCs w:val="20"/>
        </w:rPr>
        <w:t>:</w:t>
      </w:r>
      <w:r w:rsidRPr="00FB1502">
        <w:rPr>
          <w:rFonts w:cs="Arial"/>
          <w:i/>
          <w:color w:val="000000" w:themeColor="text1"/>
          <w:sz w:val="20"/>
          <w:szCs w:val="20"/>
        </w:rPr>
        <w:t xml:space="preserve"> ČHMÚ</w:t>
      </w:r>
    </w:p>
    <w:p w14:paraId="2C7E305D" w14:textId="77777777" w:rsidR="003702DC" w:rsidRPr="00104F7D" w:rsidRDefault="003702DC" w:rsidP="007C4955">
      <w:pPr>
        <w:contextualSpacing/>
        <w:rPr>
          <w:rFonts w:cs="Arial"/>
          <w:color w:val="FF0000"/>
          <w:highlight w:val="yellow"/>
        </w:rPr>
      </w:pPr>
    </w:p>
    <w:p w14:paraId="00121E81" w14:textId="3F524A01" w:rsidR="000442FE" w:rsidRPr="006E1070" w:rsidRDefault="00862B67" w:rsidP="007C4955">
      <w:pPr>
        <w:contextualSpacing/>
        <w:rPr>
          <w:b/>
          <w:i/>
          <w:color w:val="000000" w:themeColor="text1"/>
        </w:rPr>
      </w:pPr>
      <w:r w:rsidRPr="006E1070">
        <w:rPr>
          <w:b/>
          <w:i/>
          <w:color w:val="000000" w:themeColor="text1"/>
        </w:rPr>
        <w:t>Tab</w:t>
      </w:r>
      <w:r w:rsidR="000442FE" w:rsidRPr="006E1070">
        <w:rPr>
          <w:b/>
          <w:i/>
          <w:color w:val="000000" w:themeColor="text1"/>
        </w:rPr>
        <w:t>ulka </w:t>
      </w:r>
      <w:r w:rsidRPr="006E1070">
        <w:rPr>
          <w:b/>
          <w:i/>
          <w:color w:val="000000" w:themeColor="text1"/>
        </w:rPr>
        <w:t xml:space="preserve">1.3.2 </w:t>
      </w:r>
    </w:p>
    <w:p w14:paraId="5228EF9D" w14:textId="0F8B4E86" w:rsidR="0069704D" w:rsidRPr="006E1070" w:rsidRDefault="00062A75" w:rsidP="007C4955">
      <w:pPr>
        <w:contextualSpacing/>
        <w:rPr>
          <w:b/>
          <w:i/>
          <w:color w:val="000000" w:themeColor="text1"/>
        </w:rPr>
      </w:pPr>
      <w:r w:rsidRPr="006E1070">
        <w:rPr>
          <w:b/>
          <w:i/>
          <w:color w:val="000000" w:themeColor="text1"/>
        </w:rPr>
        <w:t>Pravděpodobnost překročení vydatnosti pramenů v roce 202</w:t>
      </w:r>
      <w:r w:rsidR="00540344">
        <w:rPr>
          <w:b/>
          <w:i/>
          <w:color w:val="000000" w:themeColor="text1"/>
        </w:rPr>
        <w:t>5</w:t>
      </w:r>
      <w:r w:rsidRPr="006E1070">
        <w:rPr>
          <w:b/>
          <w:i/>
          <w:color w:val="000000" w:themeColor="text1"/>
        </w:rPr>
        <w:t xml:space="preserve"> v jednotlivých dílčích povodích v % </w:t>
      </w:r>
      <w:proofErr w:type="spellStart"/>
      <w:r w:rsidRPr="006E1070">
        <w:rPr>
          <w:b/>
          <w:i/>
          <w:color w:val="000000" w:themeColor="text1"/>
        </w:rPr>
        <w:t>KP</w:t>
      </w:r>
      <w:r w:rsidRPr="006E1070">
        <w:rPr>
          <w:b/>
          <w:i/>
          <w:color w:val="000000" w:themeColor="text1"/>
          <w:vertAlign w:val="subscript"/>
        </w:rPr>
        <w:t>m</w:t>
      </w:r>
      <w:proofErr w:type="spellEnd"/>
      <w:r w:rsidRPr="006E1070">
        <w:rPr>
          <w:b/>
          <w:i/>
          <w:color w:val="000000" w:themeColor="text1"/>
        </w:rPr>
        <w:t xml:space="preserve"> (měsíční křivka překročení za </w:t>
      </w:r>
      <w:r w:rsidR="00F642B6" w:rsidRPr="006E1070">
        <w:rPr>
          <w:b/>
          <w:i/>
          <w:color w:val="000000" w:themeColor="text1"/>
        </w:rPr>
        <w:t xml:space="preserve">referenční </w:t>
      </w:r>
      <w:r w:rsidRPr="006E1070">
        <w:rPr>
          <w:b/>
          <w:i/>
          <w:color w:val="000000" w:themeColor="text1"/>
        </w:rPr>
        <w:t xml:space="preserve">období 1991–2020) </w:t>
      </w:r>
    </w:p>
    <w:tbl>
      <w:tblPr>
        <w:tblW w:w="9040" w:type="dxa"/>
        <w:tblInd w:w="-5" w:type="dxa"/>
        <w:tblLayout w:type="fixed"/>
        <w:tblCellMar>
          <w:left w:w="70" w:type="dxa"/>
          <w:right w:w="70" w:type="dxa"/>
        </w:tblCellMar>
        <w:tblLook w:val="04A0" w:firstRow="1" w:lastRow="0" w:firstColumn="1" w:lastColumn="0" w:noHBand="0" w:noVBand="1"/>
      </w:tblPr>
      <w:tblGrid>
        <w:gridCol w:w="1843"/>
        <w:gridCol w:w="553"/>
        <w:gridCol w:w="554"/>
        <w:gridCol w:w="553"/>
        <w:gridCol w:w="554"/>
        <w:gridCol w:w="554"/>
        <w:gridCol w:w="553"/>
        <w:gridCol w:w="554"/>
        <w:gridCol w:w="553"/>
        <w:gridCol w:w="554"/>
        <w:gridCol w:w="554"/>
        <w:gridCol w:w="553"/>
        <w:gridCol w:w="554"/>
        <w:gridCol w:w="554"/>
      </w:tblGrid>
      <w:tr w:rsidR="00863673" w:rsidRPr="009A6554" w14:paraId="34220C9A" w14:textId="77777777" w:rsidTr="004E5C01">
        <w:trPr>
          <w:trHeight w:val="300"/>
        </w:trPr>
        <w:tc>
          <w:tcPr>
            <w:tcW w:w="1843" w:type="dxa"/>
            <w:vMerge w:val="restart"/>
            <w:tcBorders>
              <w:top w:val="single" w:sz="24" w:space="0" w:color="002060"/>
              <w:left w:val="single" w:sz="4" w:space="0" w:color="002060"/>
              <w:right w:val="single" w:sz="4" w:space="0" w:color="002060"/>
            </w:tcBorders>
            <w:noWrap/>
            <w:vAlign w:val="center"/>
          </w:tcPr>
          <w:p w14:paraId="6F1B45C8" w14:textId="77777777" w:rsidR="00863673" w:rsidRPr="009A6554" w:rsidRDefault="00863673" w:rsidP="004E5C01">
            <w:pPr>
              <w:jc w:val="left"/>
              <w:rPr>
                <w:rFonts w:cs="Arial"/>
                <w:sz w:val="18"/>
                <w:szCs w:val="18"/>
              </w:rPr>
            </w:pPr>
            <w:r>
              <w:rPr>
                <w:rFonts w:cs="Arial"/>
                <w:b/>
                <w:bCs/>
                <w:sz w:val="18"/>
                <w:szCs w:val="18"/>
              </w:rPr>
              <w:t>Dílčí p</w:t>
            </w:r>
            <w:r w:rsidRPr="009A6554">
              <w:rPr>
                <w:rFonts w:cs="Arial"/>
                <w:b/>
                <w:bCs/>
                <w:sz w:val="18"/>
                <w:szCs w:val="18"/>
              </w:rPr>
              <w:t>ovodí</w:t>
            </w:r>
          </w:p>
        </w:tc>
        <w:tc>
          <w:tcPr>
            <w:tcW w:w="7197" w:type="dxa"/>
            <w:gridSpan w:val="13"/>
            <w:tcBorders>
              <w:top w:val="single" w:sz="24" w:space="0" w:color="002060"/>
              <w:left w:val="nil"/>
              <w:bottom w:val="single" w:sz="4" w:space="0" w:color="14387F"/>
              <w:right w:val="single" w:sz="4" w:space="0" w:color="auto"/>
            </w:tcBorders>
            <w:noWrap/>
            <w:vAlign w:val="center"/>
          </w:tcPr>
          <w:p w14:paraId="04510B10" w14:textId="77777777" w:rsidR="00863673" w:rsidRPr="009A6554" w:rsidRDefault="00863673" w:rsidP="004E5C01">
            <w:pPr>
              <w:jc w:val="center"/>
              <w:rPr>
                <w:rFonts w:cs="Arial"/>
                <w:b/>
                <w:bCs/>
                <w:sz w:val="18"/>
                <w:szCs w:val="18"/>
              </w:rPr>
            </w:pPr>
            <w:r w:rsidRPr="009A6554">
              <w:rPr>
                <w:rFonts w:cs="Arial"/>
                <w:b/>
                <w:bCs/>
                <w:sz w:val="18"/>
                <w:szCs w:val="18"/>
              </w:rPr>
              <w:t>Zařazení hodnot vydatnosti na KP v %</w:t>
            </w:r>
          </w:p>
        </w:tc>
      </w:tr>
      <w:tr w:rsidR="00863673" w:rsidRPr="009A6554" w14:paraId="7A69DBF8" w14:textId="77777777" w:rsidTr="004E5C01">
        <w:trPr>
          <w:trHeight w:val="300"/>
        </w:trPr>
        <w:tc>
          <w:tcPr>
            <w:tcW w:w="1843" w:type="dxa"/>
            <w:vMerge/>
            <w:tcBorders>
              <w:left w:val="single" w:sz="4" w:space="0" w:color="002060"/>
              <w:bottom w:val="single" w:sz="4" w:space="0" w:color="002060"/>
              <w:right w:val="single" w:sz="4" w:space="0" w:color="002060"/>
            </w:tcBorders>
            <w:noWrap/>
            <w:vAlign w:val="center"/>
          </w:tcPr>
          <w:p w14:paraId="194A34BB" w14:textId="77777777" w:rsidR="00863673" w:rsidRPr="009A6554" w:rsidRDefault="00863673" w:rsidP="004E5C01">
            <w:pPr>
              <w:jc w:val="left"/>
              <w:rPr>
                <w:rFonts w:cs="Arial"/>
                <w:sz w:val="18"/>
                <w:szCs w:val="18"/>
              </w:rPr>
            </w:pPr>
          </w:p>
        </w:tc>
        <w:tc>
          <w:tcPr>
            <w:tcW w:w="553" w:type="dxa"/>
            <w:tcBorders>
              <w:top w:val="single" w:sz="4" w:space="0" w:color="14387F"/>
              <w:left w:val="nil"/>
              <w:bottom w:val="single" w:sz="4" w:space="0" w:color="14387F"/>
              <w:right w:val="single" w:sz="4" w:space="0" w:color="14387F"/>
            </w:tcBorders>
            <w:noWrap/>
            <w:vAlign w:val="center"/>
          </w:tcPr>
          <w:p w14:paraId="4ED5BA08" w14:textId="77777777" w:rsidR="00863673" w:rsidRPr="009A6554" w:rsidRDefault="00863673" w:rsidP="004E5C01">
            <w:pPr>
              <w:jc w:val="center"/>
              <w:rPr>
                <w:rFonts w:cs="Arial"/>
                <w:b/>
                <w:bCs/>
                <w:sz w:val="18"/>
                <w:szCs w:val="18"/>
              </w:rPr>
            </w:pPr>
            <w:r w:rsidRPr="009A6554">
              <w:rPr>
                <w:rFonts w:cs="Arial"/>
                <w:b/>
                <w:bCs/>
                <w:sz w:val="18"/>
                <w:szCs w:val="18"/>
              </w:rPr>
              <w:t>I</w:t>
            </w:r>
          </w:p>
        </w:tc>
        <w:tc>
          <w:tcPr>
            <w:tcW w:w="554" w:type="dxa"/>
            <w:tcBorders>
              <w:top w:val="single" w:sz="4" w:space="0" w:color="14387F"/>
              <w:left w:val="nil"/>
              <w:bottom w:val="single" w:sz="4" w:space="0" w:color="14387F"/>
              <w:right w:val="single" w:sz="4" w:space="0" w:color="14387F"/>
            </w:tcBorders>
            <w:noWrap/>
            <w:vAlign w:val="center"/>
          </w:tcPr>
          <w:p w14:paraId="784EA569" w14:textId="77777777" w:rsidR="00863673" w:rsidRPr="009A6554" w:rsidRDefault="00863673" w:rsidP="004E5C01">
            <w:pPr>
              <w:jc w:val="center"/>
              <w:rPr>
                <w:rFonts w:cs="Arial"/>
                <w:b/>
                <w:bCs/>
                <w:sz w:val="18"/>
                <w:szCs w:val="18"/>
              </w:rPr>
            </w:pPr>
            <w:r w:rsidRPr="009A6554">
              <w:rPr>
                <w:rFonts w:cs="Arial"/>
                <w:b/>
                <w:bCs/>
                <w:sz w:val="18"/>
                <w:szCs w:val="18"/>
              </w:rPr>
              <w:t>II</w:t>
            </w:r>
          </w:p>
        </w:tc>
        <w:tc>
          <w:tcPr>
            <w:tcW w:w="553" w:type="dxa"/>
            <w:tcBorders>
              <w:top w:val="single" w:sz="4" w:space="0" w:color="14387F"/>
              <w:left w:val="nil"/>
              <w:bottom w:val="single" w:sz="4" w:space="0" w:color="14387F"/>
              <w:right w:val="single" w:sz="4" w:space="0" w:color="14387F"/>
            </w:tcBorders>
            <w:noWrap/>
            <w:vAlign w:val="center"/>
          </w:tcPr>
          <w:p w14:paraId="7C2CAB8C" w14:textId="77777777" w:rsidR="00863673" w:rsidRPr="009A6554" w:rsidRDefault="00863673" w:rsidP="004E5C01">
            <w:pPr>
              <w:jc w:val="center"/>
              <w:rPr>
                <w:rFonts w:cs="Arial"/>
                <w:b/>
                <w:bCs/>
                <w:sz w:val="18"/>
                <w:szCs w:val="18"/>
              </w:rPr>
            </w:pPr>
            <w:r w:rsidRPr="009A6554">
              <w:rPr>
                <w:rFonts w:cs="Arial"/>
                <w:b/>
                <w:bCs/>
                <w:sz w:val="18"/>
                <w:szCs w:val="18"/>
              </w:rPr>
              <w:t>III</w:t>
            </w:r>
          </w:p>
        </w:tc>
        <w:tc>
          <w:tcPr>
            <w:tcW w:w="554" w:type="dxa"/>
            <w:tcBorders>
              <w:top w:val="single" w:sz="4" w:space="0" w:color="14387F"/>
              <w:left w:val="nil"/>
              <w:bottom w:val="single" w:sz="4" w:space="0" w:color="14387F"/>
              <w:right w:val="single" w:sz="4" w:space="0" w:color="14387F"/>
            </w:tcBorders>
            <w:noWrap/>
            <w:vAlign w:val="center"/>
          </w:tcPr>
          <w:p w14:paraId="58BE042E" w14:textId="77777777" w:rsidR="00863673" w:rsidRPr="009A6554" w:rsidRDefault="00863673" w:rsidP="004E5C01">
            <w:pPr>
              <w:jc w:val="center"/>
              <w:rPr>
                <w:rFonts w:cs="Arial"/>
                <w:b/>
                <w:bCs/>
                <w:sz w:val="18"/>
                <w:szCs w:val="18"/>
              </w:rPr>
            </w:pPr>
            <w:r w:rsidRPr="009A6554">
              <w:rPr>
                <w:rFonts w:cs="Arial"/>
                <w:b/>
                <w:bCs/>
                <w:sz w:val="18"/>
                <w:szCs w:val="18"/>
              </w:rPr>
              <w:t>IV</w:t>
            </w:r>
          </w:p>
        </w:tc>
        <w:tc>
          <w:tcPr>
            <w:tcW w:w="554" w:type="dxa"/>
            <w:tcBorders>
              <w:top w:val="single" w:sz="4" w:space="0" w:color="14387F"/>
              <w:left w:val="nil"/>
              <w:bottom w:val="single" w:sz="4" w:space="0" w:color="14387F"/>
              <w:right w:val="single" w:sz="4" w:space="0" w:color="14387F"/>
            </w:tcBorders>
            <w:noWrap/>
            <w:vAlign w:val="center"/>
          </w:tcPr>
          <w:p w14:paraId="0CB34F53" w14:textId="77777777" w:rsidR="00863673" w:rsidRPr="009A6554" w:rsidRDefault="00863673" w:rsidP="004E5C01">
            <w:pPr>
              <w:jc w:val="center"/>
              <w:rPr>
                <w:rFonts w:cs="Arial"/>
                <w:b/>
                <w:bCs/>
                <w:sz w:val="18"/>
                <w:szCs w:val="18"/>
              </w:rPr>
            </w:pPr>
            <w:r w:rsidRPr="009A6554">
              <w:rPr>
                <w:rFonts w:cs="Arial"/>
                <w:b/>
                <w:bCs/>
                <w:sz w:val="18"/>
                <w:szCs w:val="18"/>
              </w:rPr>
              <w:t>V</w:t>
            </w:r>
          </w:p>
        </w:tc>
        <w:tc>
          <w:tcPr>
            <w:tcW w:w="553" w:type="dxa"/>
            <w:tcBorders>
              <w:top w:val="single" w:sz="4" w:space="0" w:color="14387F"/>
              <w:left w:val="nil"/>
              <w:bottom w:val="single" w:sz="4" w:space="0" w:color="14387F"/>
              <w:right w:val="single" w:sz="4" w:space="0" w:color="14387F"/>
            </w:tcBorders>
            <w:noWrap/>
            <w:vAlign w:val="center"/>
          </w:tcPr>
          <w:p w14:paraId="55F6EB3B" w14:textId="77777777" w:rsidR="00863673" w:rsidRPr="009A6554" w:rsidRDefault="00863673" w:rsidP="004E5C01">
            <w:pPr>
              <w:jc w:val="center"/>
              <w:rPr>
                <w:rFonts w:cs="Arial"/>
                <w:b/>
                <w:bCs/>
                <w:sz w:val="18"/>
                <w:szCs w:val="18"/>
              </w:rPr>
            </w:pPr>
            <w:r w:rsidRPr="009A6554">
              <w:rPr>
                <w:rFonts w:cs="Arial"/>
                <w:b/>
                <w:bCs/>
                <w:sz w:val="18"/>
                <w:szCs w:val="18"/>
              </w:rPr>
              <w:t>VI</w:t>
            </w:r>
          </w:p>
        </w:tc>
        <w:tc>
          <w:tcPr>
            <w:tcW w:w="554" w:type="dxa"/>
            <w:tcBorders>
              <w:top w:val="single" w:sz="4" w:space="0" w:color="14387F"/>
              <w:left w:val="nil"/>
              <w:bottom w:val="single" w:sz="4" w:space="0" w:color="14387F"/>
              <w:right w:val="single" w:sz="4" w:space="0" w:color="14387F"/>
            </w:tcBorders>
            <w:noWrap/>
            <w:vAlign w:val="center"/>
          </w:tcPr>
          <w:p w14:paraId="7CAB2C98" w14:textId="77777777" w:rsidR="00863673" w:rsidRPr="009A6554" w:rsidRDefault="00863673" w:rsidP="004E5C01">
            <w:pPr>
              <w:jc w:val="center"/>
              <w:rPr>
                <w:rFonts w:cs="Arial"/>
                <w:b/>
                <w:bCs/>
                <w:sz w:val="18"/>
                <w:szCs w:val="18"/>
              </w:rPr>
            </w:pPr>
            <w:r w:rsidRPr="009A6554">
              <w:rPr>
                <w:rFonts w:cs="Arial"/>
                <w:b/>
                <w:bCs/>
                <w:sz w:val="18"/>
                <w:szCs w:val="18"/>
              </w:rPr>
              <w:t>VII</w:t>
            </w:r>
          </w:p>
        </w:tc>
        <w:tc>
          <w:tcPr>
            <w:tcW w:w="553" w:type="dxa"/>
            <w:tcBorders>
              <w:top w:val="single" w:sz="4" w:space="0" w:color="14387F"/>
              <w:left w:val="nil"/>
              <w:bottom w:val="single" w:sz="4" w:space="0" w:color="14387F"/>
              <w:right w:val="single" w:sz="4" w:space="0" w:color="14387F"/>
            </w:tcBorders>
            <w:noWrap/>
            <w:vAlign w:val="center"/>
          </w:tcPr>
          <w:p w14:paraId="4DDAAE37" w14:textId="77777777" w:rsidR="00863673" w:rsidRPr="009A6554" w:rsidRDefault="00863673" w:rsidP="004E5C01">
            <w:pPr>
              <w:jc w:val="center"/>
              <w:rPr>
                <w:rFonts w:cs="Arial"/>
                <w:b/>
                <w:bCs/>
                <w:sz w:val="18"/>
                <w:szCs w:val="18"/>
              </w:rPr>
            </w:pPr>
            <w:r w:rsidRPr="009A6554">
              <w:rPr>
                <w:rFonts w:cs="Arial"/>
                <w:b/>
                <w:bCs/>
                <w:sz w:val="18"/>
                <w:szCs w:val="18"/>
              </w:rPr>
              <w:t>VIII</w:t>
            </w:r>
          </w:p>
        </w:tc>
        <w:tc>
          <w:tcPr>
            <w:tcW w:w="554" w:type="dxa"/>
            <w:tcBorders>
              <w:top w:val="single" w:sz="4" w:space="0" w:color="14387F"/>
              <w:left w:val="nil"/>
              <w:bottom w:val="single" w:sz="4" w:space="0" w:color="14387F"/>
              <w:right w:val="single" w:sz="4" w:space="0" w:color="14387F"/>
            </w:tcBorders>
            <w:noWrap/>
            <w:vAlign w:val="center"/>
          </w:tcPr>
          <w:p w14:paraId="595A5C81" w14:textId="77777777" w:rsidR="00863673" w:rsidRPr="009A6554" w:rsidRDefault="00863673" w:rsidP="004E5C01">
            <w:pPr>
              <w:jc w:val="center"/>
              <w:rPr>
                <w:rFonts w:cs="Arial"/>
                <w:b/>
                <w:bCs/>
                <w:sz w:val="18"/>
                <w:szCs w:val="18"/>
              </w:rPr>
            </w:pPr>
            <w:r w:rsidRPr="009A6554">
              <w:rPr>
                <w:rFonts w:cs="Arial"/>
                <w:b/>
                <w:bCs/>
                <w:sz w:val="18"/>
                <w:szCs w:val="18"/>
              </w:rPr>
              <w:t>IX</w:t>
            </w:r>
          </w:p>
        </w:tc>
        <w:tc>
          <w:tcPr>
            <w:tcW w:w="554" w:type="dxa"/>
            <w:tcBorders>
              <w:top w:val="single" w:sz="4" w:space="0" w:color="14387F"/>
              <w:left w:val="nil"/>
              <w:bottom w:val="single" w:sz="4" w:space="0" w:color="14387F"/>
              <w:right w:val="single" w:sz="4" w:space="0" w:color="14387F"/>
            </w:tcBorders>
            <w:noWrap/>
            <w:vAlign w:val="center"/>
          </w:tcPr>
          <w:p w14:paraId="7A9BA99C" w14:textId="77777777" w:rsidR="00863673" w:rsidRPr="009A6554" w:rsidRDefault="00863673" w:rsidP="004E5C01">
            <w:pPr>
              <w:jc w:val="center"/>
              <w:rPr>
                <w:rFonts w:cs="Arial"/>
                <w:b/>
                <w:bCs/>
                <w:sz w:val="18"/>
                <w:szCs w:val="18"/>
              </w:rPr>
            </w:pPr>
            <w:r w:rsidRPr="009A6554">
              <w:rPr>
                <w:rFonts w:cs="Arial"/>
                <w:b/>
                <w:bCs/>
                <w:sz w:val="18"/>
                <w:szCs w:val="18"/>
              </w:rPr>
              <w:t>X</w:t>
            </w:r>
          </w:p>
        </w:tc>
        <w:tc>
          <w:tcPr>
            <w:tcW w:w="553" w:type="dxa"/>
            <w:tcBorders>
              <w:top w:val="single" w:sz="4" w:space="0" w:color="14387F"/>
              <w:left w:val="nil"/>
              <w:bottom w:val="single" w:sz="4" w:space="0" w:color="14387F"/>
              <w:right w:val="single" w:sz="4" w:space="0" w:color="14387F"/>
            </w:tcBorders>
            <w:noWrap/>
            <w:vAlign w:val="center"/>
          </w:tcPr>
          <w:p w14:paraId="40C6C354" w14:textId="77777777" w:rsidR="00863673" w:rsidRPr="009A6554" w:rsidRDefault="00863673" w:rsidP="004E5C01">
            <w:pPr>
              <w:jc w:val="center"/>
              <w:rPr>
                <w:rFonts w:cs="Arial"/>
                <w:b/>
                <w:bCs/>
                <w:sz w:val="18"/>
                <w:szCs w:val="18"/>
              </w:rPr>
            </w:pPr>
            <w:r w:rsidRPr="009A6554">
              <w:rPr>
                <w:rFonts w:cs="Arial"/>
                <w:b/>
                <w:bCs/>
                <w:sz w:val="18"/>
                <w:szCs w:val="18"/>
              </w:rPr>
              <w:t>XI</w:t>
            </w:r>
          </w:p>
        </w:tc>
        <w:tc>
          <w:tcPr>
            <w:tcW w:w="554" w:type="dxa"/>
            <w:tcBorders>
              <w:top w:val="single" w:sz="4" w:space="0" w:color="14387F"/>
              <w:left w:val="nil"/>
              <w:bottom w:val="single" w:sz="4" w:space="0" w:color="14387F"/>
              <w:right w:val="single" w:sz="4" w:space="0" w:color="14387F"/>
            </w:tcBorders>
            <w:noWrap/>
            <w:vAlign w:val="center"/>
          </w:tcPr>
          <w:p w14:paraId="24403885" w14:textId="77777777" w:rsidR="00863673" w:rsidRPr="009A6554" w:rsidRDefault="00863673" w:rsidP="004E5C01">
            <w:pPr>
              <w:jc w:val="center"/>
              <w:rPr>
                <w:rFonts w:cs="Arial"/>
                <w:b/>
                <w:bCs/>
                <w:sz w:val="18"/>
                <w:szCs w:val="18"/>
              </w:rPr>
            </w:pPr>
            <w:r w:rsidRPr="009A6554">
              <w:rPr>
                <w:rFonts w:cs="Arial"/>
                <w:b/>
                <w:bCs/>
                <w:sz w:val="18"/>
                <w:szCs w:val="18"/>
              </w:rPr>
              <w:t>XII</w:t>
            </w:r>
          </w:p>
        </w:tc>
        <w:tc>
          <w:tcPr>
            <w:tcW w:w="554" w:type="dxa"/>
            <w:tcBorders>
              <w:top w:val="single" w:sz="4" w:space="0" w:color="14387F"/>
              <w:left w:val="nil"/>
              <w:bottom w:val="single" w:sz="4" w:space="0" w:color="14387F"/>
              <w:right w:val="single" w:sz="4" w:space="0" w:color="auto"/>
            </w:tcBorders>
            <w:noWrap/>
            <w:vAlign w:val="center"/>
          </w:tcPr>
          <w:p w14:paraId="4EC51956" w14:textId="77777777" w:rsidR="00863673" w:rsidRPr="009A6554" w:rsidRDefault="00863673" w:rsidP="004E5C01">
            <w:pPr>
              <w:jc w:val="center"/>
              <w:rPr>
                <w:rFonts w:cs="Arial"/>
                <w:b/>
                <w:bCs/>
                <w:sz w:val="18"/>
                <w:szCs w:val="18"/>
              </w:rPr>
            </w:pPr>
            <w:r w:rsidRPr="009A6554">
              <w:rPr>
                <w:rFonts w:cs="Arial"/>
                <w:b/>
                <w:bCs/>
                <w:sz w:val="18"/>
                <w:szCs w:val="18"/>
              </w:rPr>
              <w:t>2025</w:t>
            </w:r>
          </w:p>
        </w:tc>
      </w:tr>
      <w:tr w:rsidR="00863673" w:rsidRPr="009A6554" w14:paraId="6501B365" w14:textId="77777777" w:rsidTr="004E5C01">
        <w:trPr>
          <w:trHeight w:val="300"/>
        </w:trPr>
        <w:tc>
          <w:tcPr>
            <w:tcW w:w="1843" w:type="dxa"/>
            <w:tcBorders>
              <w:top w:val="single" w:sz="4" w:space="0" w:color="002060"/>
              <w:left w:val="single" w:sz="4" w:space="0" w:color="002060"/>
              <w:bottom w:val="single" w:sz="4" w:space="0" w:color="002060"/>
              <w:right w:val="single" w:sz="4" w:space="0" w:color="14387F"/>
            </w:tcBorders>
            <w:noWrap/>
            <w:vAlign w:val="center"/>
            <w:hideMark/>
          </w:tcPr>
          <w:p w14:paraId="4A28B03B" w14:textId="77777777" w:rsidR="00863673" w:rsidRPr="009A6554" w:rsidRDefault="00863673" w:rsidP="004E5C01">
            <w:pPr>
              <w:jc w:val="left"/>
              <w:rPr>
                <w:rFonts w:cs="Arial"/>
                <w:sz w:val="18"/>
                <w:szCs w:val="18"/>
              </w:rPr>
            </w:pPr>
            <w:r w:rsidRPr="009A6554">
              <w:rPr>
                <w:rFonts w:cs="Arial"/>
                <w:sz w:val="18"/>
                <w:szCs w:val="18"/>
              </w:rPr>
              <w:t>Horní a střední Labe</w:t>
            </w:r>
          </w:p>
        </w:tc>
        <w:tc>
          <w:tcPr>
            <w:tcW w:w="553" w:type="dxa"/>
            <w:tcBorders>
              <w:top w:val="single" w:sz="4" w:space="0" w:color="14387F"/>
              <w:left w:val="single" w:sz="4" w:space="0" w:color="14387F"/>
              <w:bottom w:val="single" w:sz="4" w:space="0" w:color="14387F"/>
              <w:right w:val="single" w:sz="4" w:space="0" w:color="14387F"/>
            </w:tcBorders>
            <w:noWrap/>
            <w:vAlign w:val="center"/>
          </w:tcPr>
          <w:p w14:paraId="15FD9A15" w14:textId="77777777" w:rsidR="00863673" w:rsidRPr="009A6554" w:rsidRDefault="00863673" w:rsidP="004E5C01">
            <w:pPr>
              <w:pStyle w:val="tabulkatlo"/>
            </w:pPr>
            <w:r w:rsidRPr="009A6554">
              <w:t>49</w:t>
            </w:r>
          </w:p>
        </w:tc>
        <w:tc>
          <w:tcPr>
            <w:tcW w:w="554" w:type="dxa"/>
            <w:tcBorders>
              <w:top w:val="single" w:sz="4" w:space="0" w:color="14387F"/>
              <w:left w:val="single" w:sz="4" w:space="0" w:color="14387F"/>
              <w:bottom w:val="single" w:sz="4" w:space="0" w:color="14387F"/>
              <w:right w:val="single" w:sz="4" w:space="0" w:color="14387F"/>
            </w:tcBorders>
            <w:noWrap/>
            <w:vAlign w:val="center"/>
          </w:tcPr>
          <w:p w14:paraId="3D0CD884" w14:textId="77777777" w:rsidR="00863673" w:rsidRPr="009A6554" w:rsidRDefault="00863673" w:rsidP="004E5C01">
            <w:pPr>
              <w:pStyle w:val="tabulkatlo"/>
            </w:pPr>
            <w:r w:rsidRPr="009A6554">
              <w:t>64</w:t>
            </w:r>
          </w:p>
        </w:tc>
        <w:tc>
          <w:tcPr>
            <w:tcW w:w="553"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30DB2555" w14:textId="77777777" w:rsidR="00863673" w:rsidRPr="009A6554" w:rsidRDefault="00863673" w:rsidP="004E5C01">
            <w:pPr>
              <w:pStyle w:val="tabulkatlo"/>
            </w:pPr>
            <w:r w:rsidRPr="009A6554">
              <w:t>94</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6233FE80" w14:textId="77777777" w:rsidR="00863673" w:rsidRPr="009A6554" w:rsidRDefault="00863673" w:rsidP="004E5C01">
            <w:pPr>
              <w:pStyle w:val="tabulkatlo"/>
              <w:rPr>
                <w:color w:val="FFFFFF" w:themeColor="background1"/>
              </w:rPr>
            </w:pPr>
            <w:r w:rsidRPr="009A6554">
              <w:rPr>
                <w:color w:val="FFFFFF" w:themeColor="background1"/>
              </w:rPr>
              <w:t>96</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7FB75F6B" w14:textId="77777777" w:rsidR="00863673" w:rsidRPr="009A6554" w:rsidRDefault="00863673" w:rsidP="004E5C01">
            <w:pPr>
              <w:pStyle w:val="tabulkatlo"/>
              <w:rPr>
                <w:color w:val="FFFFFF" w:themeColor="background1"/>
              </w:rPr>
            </w:pPr>
            <w:r w:rsidRPr="009A6554">
              <w:rPr>
                <w:color w:val="FFFFFF" w:themeColor="background1"/>
              </w:rPr>
              <w:t>95</w:t>
            </w:r>
          </w:p>
        </w:tc>
        <w:tc>
          <w:tcPr>
            <w:tcW w:w="553"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38D493CB" w14:textId="77777777" w:rsidR="00863673" w:rsidRPr="009A6554" w:rsidRDefault="00863673" w:rsidP="004E5C01">
            <w:pPr>
              <w:pStyle w:val="tabulkatlo"/>
            </w:pPr>
            <w:r w:rsidRPr="009A6554">
              <w:t>94</w:t>
            </w:r>
          </w:p>
        </w:tc>
        <w:tc>
          <w:tcPr>
            <w:tcW w:w="554"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4E369967" w14:textId="77777777" w:rsidR="00863673" w:rsidRPr="009A6554" w:rsidRDefault="00863673" w:rsidP="004E5C01">
            <w:pPr>
              <w:pStyle w:val="tabulkatlo"/>
            </w:pPr>
            <w:r w:rsidRPr="009A6554">
              <w:t>94</w:t>
            </w:r>
          </w:p>
        </w:tc>
        <w:tc>
          <w:tcPr>
            <w:tcW w:w="553"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1FA7E946" w14:textId="77777777" w:rsidR="00863673" w:rsidRPr="009A6554" w:rsidRDefault="00863673" w:rsidP="004E5C01">
            <w:pPr>
              <w:pStyle w:val="tabulkatlo"/>
            </w:pPr>
            <w:r w:rsidRPr="009A6554">
              <w:t>90</w:t>
            </w:r>
          </w:p>
        </w:tc>
        <w:tc>
          <w:tcPr>
            <w:tcW w:w="554"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07ACE8A4" w14:textId="77777777" w:rsidR="00863673" w:rsidRPr="009A6554" w:rsidRDefault="00863673" w:rsidP="004E5C01">
            <w:pPr>
              <w:pStyle w:val="tabulkatlo"/>
            </w:pPr>
            <w:r w:rsidRPr="009A6554">
              <w:t>85</w:t>
            </w:r>
          </w:p>
        </w:tc>
        <w:tc>
          <w:tcPr>
            <w:tcW w:w="554"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0F6596A0" w14:textId="77777777" w:rsidR="00863673" w:rsidRPr="009A6554" w:rsidRDefault="00863673" w:rsidP="004E5C01">
            <w:pPr>
              <w:pStyle w:val="tabulkatlo"/>
            </w:pPr>
            <w:r w:rsidRPr="009A6554">
              <w:t>80</w:t>
            </w:r>
          </w:p>
        </w:tc>
        <w:tc>
          <w:tcPr>
            <w:tcW w:w="553" w:type="dxa"/>
            <w:tcBorders>
              <w:top w:val="single" w:sz="4" w:space="0" w:color="14387F"/>
              <w:left w:val="single" w:sz="4" w:space="0" w:color="14387F"/>
              <w:bottom w:val="single" w:sz="4" w:space="0" w:color="14387F"/>
              <w:right w:val="single" w:sz="4" w:space="0" w:color="14387F"/>
            </w:tcBorders>
            <w:noWrap/>
            <w:vAlign w:val="center"/>
          </w:tcPr>
          <w:p w14:paraId="475030B2" w14:textId="77777777" w:rsidR="00863673" w:rsidRPr="009A6554" w:rsidRDefault="00863673" w:rsidP="004E5C01">
            <w:pPr>
              <w:pStyle w:val="tabulkatlo"/>
            </w:pPr>
            <w:r w:rsidRPr="009A6554">
              <w:t>63</w:t>
            </w:r>
          </w:p>
        </w:tc>
        <w:tc>
          <w:tcPr>
            <w:tcW w:w="554"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6A68FBD2" w14:textId="77777777" w:rsidR="00863673" w:rsidRPr="009A6554" w:rsidRDefault="00863673" w:rsidP="004E5C01">
            <w:pPr>
              <w:pStyle w:val="tabulkatlo"/>
            </w:pPr>
            <w:r w:rsidRPr="009A6554">
              <w:t>80</w:t>
            </w:r>
          </w:p>
        </w:tc>
        <w:tc>
          <w:tcPr>
            <w:tcW w:w="554"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58919B5A" w14:textId="77777777" w:rsidR="00863673" w:rsidRPr="009A6554" w:rsidRDefault="00863673" w:rsidP="004E5C01">
            <w:pPr>
              <w:pStyle w:val="tabulkatlo"/>
            </w:pPr>
            <w:r w:rsidRPr="009A6554">
              <w:t>93</w:t>
            </w:r>
          </w:p>
        </w:tc>
      </w:tr>
      <w:tr w:rsidR="00863673" w:rsidRPr="009A6554" w14:paraId="6143B09C" w14:textId="77777777" w:rsidTr="004E5C01">
        <w:trPr>
          <w:trHeight w:val="300"/>
        </w:trPr>
        <w:tc>
          <w:tcPr>
            <w:tcW w:w="1843" w:type="dxa"/>
            <w:tcBorders>
              <w:top w:val="nil"/>
              <w:left w:val="single" w:sz="4" w:space="0" w:color="002060"/>
              <w:bottom w:val="single" w:sz="4" w:space="0" w:color="002060"/>
              <w:right w:val="single" w:sz="4" w:space="0" w:color="14387F"/>
            </w:tcBorders>
            <w:noWrap/>
            <w:vAlign w:val="center"/>
            <w:hideMark/>
          </w:tcPr>
          <w:p w14:paraId="0D4C1285" w14:textId="77777777" w:rsidR="00863673" w:rsidRPr="009A6554" w:rsidRDefault="00863673" w:rsidP="004E5C01">
            <w:pPr>
              <w:jc w:val="left"/>
              <w:rPr>
                <w:rFonts w:cs="Arial"/>
                <w:sz w:val="18"/>
                <w:szCs w:val="18"/>
              </w:rPr>
            </w:pPr>
            <w:r w:rsidRPr="009A6554">
              <w:rPr>
                <w:rFonts w:cs="Arial"/>
                <w:sz w:val="18"/>
                <w:szCs w:val="18"/>
              </w:rPr>
              <w:t xml:space="preserve">Horní Vltava </w:t>
            </w:r>
          </w:p>
        </w:tc>
        <w:tc>
          <w:tcPr>
            <w:tcW w:w="553" w:type="dxa"/>
            <w:tcBorders>
              <w:top w:val="single" w:sz="4" w:space="0" w:color="14387F"/>
              <w:left w:val="single" w:sz="4" w:space="0" w:color="14387F"/>
              <w:bottom w:val="single" w:sz="4" w:space="0" w:color="14387F"/>
              <w:right w:val="single" w:sz="4" w:space="0" w:color="14387F"/>
            </w:tcBorders>
            <w:shd w:val="clear" w:color="auto" w:fill="C6DBEF"/>
            <w:noWrap/>
            <w:vAlign w:val="center"/>
          </w:tcPr>
          <w:p w14:paraId="3A6F3037" w14:textId="77777777" w:rsidR="00863673" w:rsidRPr="009A6554" w:rsidRDefault="00863673" w:rsidP="004E5C01">
            <w:pPr>
              <w:pStyle w:val="tabulkatlo"/>
            </w:pPr>
            <w:r w:rsidRPr="009A6554">
              <w:t>18</w:t>
            </w:r>
          </w:p>
        </w:tc>
        <w:tc>
          <w:tcPr>
            <w:tcW w:w="554" w:type="dxa"/>
            <w:tcBorders>
              <w:top w:val="single" w:sz="4" w:space="0" w:color="14387F"/>
              <w:left w:val="single" w:sz="4" w:space="0" w:color="14387F"/>
              <w:bottom w:val="single" w:sz="4" w:space="0" w:color="14387F"/>
              <w:right w:val="single" w:sz="4" w:space="0" w:color="14387F"/>
            </w:tcBorders>
            <w:noWrap/>
            <w:vAlign w:val="center"/>
          </w:tcPr>
          <w:p w14:paraId="569974C9" w14:textId="77777777" w:rsidR="00863673" w:rsidRPr="009A6554" w:rsidRDefault="00863673" w:rsidP="004E5C01">
            <w:pPr>
              <w:pStyle w:val="tabulkatlo"/>
            </w:pPr>
            <w:r w:rsidRPr="009A6554">
              <w:t>41</w:t>
            </w:r>
          </w:p>
        </w:tc>
        <w:tc>
          <w:tcPr>
            <w:tcW w:w="553"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582235CF" w14:textId="77777777" w:rsidR="00863673" w:rsidRPr="009A6554" w:rsidRDefault="00863673" w:rsidP="004E5C01">
            <w:pPr>
              <w:pStyle w:val="tabulkatlo"/>
            </w:pPr>
            <w:r w:rsidRPr="009A6554">
              <w:t>86</w:t>
            </w:r>
          </w:p>
        </w:tc>
        <w:tc>
          <w:tcPr>
            <w:tcW w:w="554"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33772A87" w14:textId="77777777" w:rsidR="00863673" w:rsidRPr="009A6554" w:rsidRDefault="00863673" w:rsidP="004E5C01">
            <w:pPr>
              <w:pStyle w:val="tabulkatlo"/>
            </w:pPr>
            <w:r w:rsidRPr="009A6554">
              <w:t>88</w:t>
            </w:r>
          </w:p>
        </w:tc>
        <w:tc>
          <w:tcPr>
            <w:tcW w:w="554"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7DA75F32" w14:textId="77777777" w:rsidR="00863673" w:rsidRPr="009A6554" w:rsidRDefault="00863673" w:rsidP="004E5C01">
            <w:pPr>
              <w:pStyle w:val="tabulkatlo"/>
            </w:pPr>
            <w:r w:rsidRPr="009A6554">
              <w:t>88</w:t>
            </w:r>
          </w:p>
        </w:tc>
        <w:tc>
          <w:tcPr>
            <w:tcW w:w="553"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18FBFF6C" w14:textId="77777777" w:rsidR="00863673" w:rsidRPr="009A6554" w:rsidRDefault="00863673" w:rsidP="004E5C01">
            <w:pPr>
              <w:pStyle w:val="tabulkatlo"/>
              <w:rPr>
                <w:color w:val="FFFFFF" w:themeColor="background1"/>
              </w:rPr>
            </w:pPr>
            <w:r w:rsidRPr="009A6554">
              <w:rPr>
                <w:color w:val="FFFFFF" w:themeColor="background1"/>
              </w:rPr>
              <w:t>100</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16828843" w14:textId="77777777" w:rsidR="00863673" w:rsidRPr="009A6554" w:rsidRDefault="00863673" w:rsidP="004E5C01">
            <w:pPr>
              <w:pStyle w:val="tabulkatlo"/>
              <w:rPr>
                <w:color w:val="FFFFFF" w:themeColor="background1"/>
              </w:rPr>
            </w:pPr>
            <w:r w:rsidRPr="009A6554">
              <w:rPr>
                <w:color w:val="FFFFFF" w:themeColor="background1"/>
              </w:rPr>
              <w:t>100</w:t>
            </w:r>
          </w:p>
        </w:tc>
        <w:tc>
          <w:tcPr>
            <w:tcW w:w="553"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28B22465" w14:textId="77777777" w:rsidR="00863673" w:rsidRPr="009A6554" w:rsidRDefault="00863673" w:rsidP="004E5C01">
            <w:pPr>
              <w:pStyle w:val="tabulkatlo"/>
              <w:rPr>
                <w:color w:val="FFFFFF" w:themeColor="background1"/>
              </w:rPr>
            </w:pPr>
            <w:r w:rsidRPr="009A6554">
              <w:rPr>
                <w:color w:val="FFFFFF" w:themeColor="background1"/>
              </w:rPr>
              <w:t>96</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552AF70E" w14:textId="77777777" w:rsidR="00863673" w:rsidRPr="009A6554" w:rsidRDefault="00863673" w:rsidP="004E5C01">
            <w:pPr>
              <w:pStyle w:val="tabulkatlo"/>
              <w:rPr>
                <w:color w:val="FFFFFF" w:themeColor="background1"/>
              </w:rPr>
            </w:pPr>
            <w:r w:rsidRPr="009A6554">
              <w:rPr>
                <w:color w:val="FFFFFF" w:themeColor="background1"/>
              </w:rPr>
              <w:t>96</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6C54AF0C" w14:textId="77777777" w:rsidR="00863673" w:rsidRPr="009A6554" w:rsidRDefault="00863673" w:rsidP="004E5C01">
            <w:pPr>
              <w:pStyle w:val="tabulkatlo"/>
              <w:rPr>
                <w:color w:val="FFFFFF" w:themeColor="background1"/>
              </w:rPr>
            </w:pPr>
            <w:r w:rsidRPr="009A6554">
              <w:rPr>
                <w:color w:val="FFFFFF" w:themeColor="background1"/>
              </w:rPr>
              <w:t>96</w:t>
            </w:r>
          </w:p>
        </w:tc>
        <w:tc>
          <w:tcPr>
            <w:tcW w:w="553"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07CC4CD5" w14:textId="77777777" w:rsidR="00863673" w:rsidRPr="009A6554" w:rsidRDefault="00863673" w:rsidP="004E5C01">
            <w:pPr>
              <w:pStyle w:val="tabulkatlo"/>
            </w:pPr>
            <w:r w:rsidRPr="009A6554">
              <w:t>95</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43AC4964" w14:textId="77777777" w:rsidR="00863673" w:rsidRPr="009A6554" w:rsidRDefault="00863673" w:rsidP="004E5C01">
            <w:pPr>
              <w:pStyle w:val="tabulkatlo"/>
              <w:rPr>
                <w:color w:val="FFFFFF" w:themeColor="background1"/>
              </w:rPr>
            </w:pPr>
            <w:r w:rsidRPr="009A6554">
              <w:rPr>
                <w:color w:val="FFFFFF" w:themeColor="background1"/>
              </w:rPr>
              <w:t>97</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43885C24" w14:textId="77777777" w:rsidR="00863673" w:rsidRPr="009A6554" w:rsidRDefault="00863673" w:rsidP="004E5C01">
            <w:pPr>
              <w:pStyle w:val="tabulkatlo"/>
            </w:pPr>
            <w:r w:rsidRPr="009A6554">
              <w:rPr>
                <w:color w:val="FFFFFF" w:themeColor="background1"/>
              </w:rPr>
              <w:t>99</w:t>
            </w:r>
          </w:p>
        </w:tc>
      </w:tr>
      <w:tr w:rsidR="00863673" w:rsidRPr="009A6554" w14:paraId="27F5CC8D" w14:textId="77777777" w:rsidTr="004E5C01">
        <w:trPr>
          <w:trHeight w:val="300"/>
        </w:trPr>
        <w:tc>
          <w:tcPr>
            <w:tcW w:w="1843" w:type="dxa"/>
            <w:tcBorders>
              <w:top w:val="nil"/>
              <w:left w:val="single" w:sz="4" w:space="0" w:color="002060"/>
              <w:bottom w:val="single" w:sz="4" w:space="0" w:color="002060"/>
              <w:right w:val="single" w:sz="4" w:space="0" w:color="14387F"/>
            </w:tcBorders>
            <w:noWrap/>
            <w:vAlign w:val="center"/>
            <w:hideMark/>
          </w:tcPr>
          <w:p w14:paraId="7CDB4136" w14:textId="77777777" w:rsidR="00863673" w:rsidRPr="009A6554" w:rsidRDefault="00863673" w:rsidP="004E5C01">
            <w:pPr>
              <w:jc w:val="left"/>
              <w:rPr>
                <w:rFonts w:cs="Arial"/>
                <w:sz w:val="18"/>
                <w:szCs w:val="18"/>
              </w:rPr>
            </w:pPr>
            <w:r w:rsidRPr="009A6554">
              <w:rPr>
                <w:rFonts w:cs="Arial"/>
                <w:sz w:val="18"/>
                <w:szCs w:val="18"/>
              </w:rPr>
              <w:t xml:space="preserve">Berounka </w:t>
            </w:r>
          </w:p>
        </w:tc>
        <w:tc>
          <w:tcPr>
            <w:tcW w:w="553" w:type="dxa"/>
            <w:tcBorders>
              <w:top w:val="single" w:sz="4" w:space="0" w:color="14387F"/>
              <w:left w:val="single" w:sz="4" w:space="0" w:color="14387F"/>
              <w:bottom w:val="single" w:sz="4" w:space="0" w:color="14387F"/>
              <w:right w:val="single" w:sz="4" w:space="0" w:color="14387F"/>
            </w:tcBorders>
            <w:noWrap/>
            <w:vAlign w:val="center"/>
          </w:tcPr>
          <w:p w14:paraId="0261AE14" w14:textId="77777777" w:rsidR="00863673" w:rsidRPr="009A6554" w:rsidRDefault="00863673" w:rsidP="004E5C01">
            <w:pPr>
              <w:pStyle w:val="tabulkatlo"/>
            </w:pPr>
            <w:r w:rsidRPr="009A6554">
              <w:t>40</w:t>
            </w:r>
          </w:p>
        </w:tc>
        <w:tc>
          <w:tcPr>
            <w:tcW w:w="554" w:type="dxa"/>
            <w:tcBorders>
              <w:top w:val="single" w:sz="4" w:space="0" w:color="14387F"/>
              <w:left w:val="single" w:sz="4" w:space="0" w:color="14387F"/>
              <w:bottom w:val="single" w:sz="4" w:space="0" w:color="14387F"/>
              <w:right w:val="single" w:sz="4" w:space="0" w:color="14387F"/>
            </w:tcBorders>
            <w:noWrap/>
            <w:vAlign w:val="center"/>
          </w:tcPr>
          <w:p w14:paraId="785FF9AC" w14:textId="77777777" w:rsidR="00863673" w:rsidRPr="009A6554" w:rsidRDefault="00863673" w:rsidP="004E5C01">
            <w:pPr>
              <w:pStyle w:val="tabulkatlo"/>
            </w:pPr>
            <w:r w:rsidRPr="009A6554">
              <w:t>58</w:t>
            </w:r>
          </w:p>
        </w:tc>
        <w:tc>
          <w:tcPr>
            <w:tcW w:w="553"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14FA3579" w14:textId="77777777" w:rsidR="00863673" w:rsidRPr="009A6554" w:rsidRDefault="00863673" w:rsidP="004E5C01">
            <w:pPr>
              <w:pStyle w:val="tabulkatlo"/>
            </w:pPr>
            <w:r w:rsidRPr="009A6554">
              <w:t>87</w:t>
            </w:r>
          </w:p>
        </w:tc>
        <w:tc>
          <w:tcPr>
            <w:tcW w:w="554"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5DE2226B" w14:textId="77777777" w:rsidR="00863673" w:rsidRPr="009A6554" w:rsidRDefault="00863673" w:rsidP="004E5C01">
            <w:pPr>
              <w:pStyle w:val="tabulkatlo"/>
            </w:pPr>
            <w:r w:rsidRPr="009A6554">
              <w:t>90</w:t>
            </w:r>
          </w:p>
        </w:tc>
        <w:tc>
          <w:tcPr>
            <w:tcW w:w="554"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474F5D4E" w14:textId="77777777" w:rsidR="00863673" w:rsidRPr="009A6554" w:rsidRDefault="00863673" w:rsidP="004E5C01">
            <w:pPr>
              <w:pStyle w:val="tabulkatlo"/>
            </w:pPr>
            <w:r w:rsidRPr="009A6554">
              <w:t>91</w:t>
            </w:r>
          </w:p>
        </w:tc>
        <w:tc>
          <w:tcPr>
            <w:tcW w:w="553"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4ABB4B88" w14:textId="77777777" w:rsidR="00863673" w:rsidRPr="009A6554" w:rsidRDefault="00863673" w:rsidP="004E5C01">
            <w:pPr>
              <w:pStyle w:val="tabulkatlo"/>
            </w:pPr>
            <w:r w:rsidRPr="009A6554">
              <w:t>92</w:t>
            </w:r>
          </w:p>
        </w:tc>
        <w:tc>
          <w:tcPr>
            <w:tcW w:w="554"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0E4D8437" w14:textId="77777777" w:rsidR="00863673" w:rsidRPr="009A6554" w:rsidRDefault="00863673" w:rsidP="004E5C01">
            <w:pPr>
              <w:pStyle w:val="tabulkatlo"/>
            </w:pPr>
            <w:r w:rsidRPr="009A6554">
              <w:t>95</w:t>
            </w:r>
          </w:p>
        </w:tc>
        <w:tc>
          <w:tcPr>
            <w:tcW w:w="553"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4ED5E35C" w14:textId="77777777" w:rsidR="00863673" w:rsidRPr="009A6554" w:rsidRDefault="00863673" w:rsidP="004E5C01">
            <w:pPr>
              <w:pStyle w:val="tabulkatlo"/>
            </w:pPr>
            <w:r w:rsidRPr="009A6554">
              <w:rPr>
                <w:color w:val="FFFFFF" w:themeColor="background1"/>
              </w:rPr>
              <w:t>97</w:t>
            </w:r>
          </w:p>
        </w:tc>
        <w:tc>
          <w:tcPr>
            <w:tcW w:w="554"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7E800ECB" w14:textId="77777777" w:rsidR="00863673" w:rsidRPr="009A6554" w:rsidRDefault="00863673" w:rsidP="004E5C01">
            <w:pPr>
              <w:pStyle w:val="tabulkatlo"/>
            </w:pPr>
            <w:r w:rsidRPr="009A6554">
              <w:t>90</w:t>
            </w:r>
          </w:p>
        </w:tc>
        <w:tc>
          <w:tcPr>
            <w:tcW w:w="554"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11C481CD" w14:textId="77777777" w:rsidR="00863673" w:rsidRPr="009A6554" w:rsidRDefault="00863673" w:rsidP="004E5C01">
            <w:pPr>
              <w:pStyle w:val="tabulkatlo"/>
            </w:pPr>
            <w:r w:rsidRPr="009A6554">
              <w:t>91</w:t>
            </w:r>
          </w:p>
        </w:tc>
        <w:tc>
          <w:tcPr>
            <w:tcW w:w="553"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3AB45949" w14:textId="77777777" w:rsidR="00863673" w:rsidRPr="009A6554" w:rsidRDefault="00863673" w:rsidP="004E5C01">
            <w:pPr>
              <w:pStyle w:val="tabulkatlo"/>
            </w:pPr>
            <w:r w:rsidRPr="009A6554">
              <w:t>92</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33D207C2" w14:textId="77777777" w:rsidR="00863673" w:rsidRPr="009A6554" w:rsidRDefault="00863673" w:rsidP="004E5C01">
            <w:pPr>
              <w:pStyle w:val="tabulkatlo"/>
              <w:rPr>
                <w:color w:val="FFFFFF" w:themeColor="background1"/>
              </w:rPr>
            </w:pPr>
            <w:r w:rsidRPr="009A6554">
              <w:rPr>
                <w:color w:val="FFFFFF" w:themeColor="background1"/>
              </w:rPr>
              <w:t>95</w:t>
            </w:r>
          </w:p>
        </w:tc>
        <w:tc>
          <w:tcPr>
            <w:tcW w:w="554"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1B8066D5" w14:textId="77777777" w:rsidR="00863673" w:rsidRPr="009A6554" w:rsidRDefault="00863673" w:rsidP="004E5C01">
            <w:pPr>
              <w:pStyle w:val="tabulkatlo"/>
            </w:pPr>
            <w:r w:rsidRPr="009A6554">
              <w:t>95</w:t>
            </w:r>
          </w:p>
        </w:tc>
      </w:tr>
      <w:tr w:rsidR="00863673" w:rsidRPr="009A6554" w14:paraId="4F7F7E1D" w14:textId="77777777" w:rsidTr="004E5C01">
        <w:trPr>
          <w:trHeight w:val="300"/>
        </w:trPr>
        <w:tc>
          <w:tcPr>
            <w:tcW w:w="1843" w:type="dxa"/>
            <w:tcBorders>
              <w:top w:val="nil"/>
              <w:left w:val="single" w:sz="4" w:space="0" w:color="002060"/>
              <w:bottom w:val="single" w:sz="4" w:space="0" w:color="002060"/>
              <w:right w:val="single" w:sz="4" w:space="0" w:color="14387F"/>
            </w:tcBorders>
            <w:noWrap/>
            <w:vAlign w:val="center"/>
            <w:hideMark/>
          </w:tcPr>
          <w:p w14:paraId="1BB50887" w14:textId="77777777" w:rsidR="00863673" w:rsidRPr="009A6554" w:rsidRDefault="00863673" w:rsidP="004E5C01">
            <w:pPr>
              <w:jc w:val="left"/>
              <w:rPr>
                <w:rFonts w:cs="Arial"/>
                <w:sz w:val="18"/>
                <w:szCs w:val="18"/>
              </w:rPr>
            </w:pPr>
            <w:r w:rsidRPr="009A6554">
              <w:rPr>
                <w:rFonts w:cs="Arial"/>
                <w:sz w:val="18"/>
                <w:szCs w:val="18"/>
              </w:rPr>
              <w:t xml:space="preserve">Dolní Vltava </w:t>
            </w:r>
          </w:p>
        </w:tc>
        <w:tc>
          <w:tcPr>
            <w:tcW w:w="553" w:type="dxa"/>
            <w:tcBorders>
              <w:top w:val="single" w:sz="4" w:space="0" w:color="14387F"/>
              <w:left w:val="single" w:sz="4" w:space="0" w:color="14387F"/>
              <w:bottom w:val="single" w:sz="4" w:space="0" w:color="14387F"/>
              <w:right w:val="single" w:sz="4" w:space="0" w:color="14387F"/>
            </w:tcBorders>
            <w:shd w:val="clear" w:color="auto" w:fill="C6DBEF"/>
            <w:noWrap/>
            <w:vAlign w:val="center"/>
          </w:tcPr>
          <w:p w14:paraId="0B14EB94" w14:textId="77777777" w:rsidR="00863673" w:rsidRPr="009A6554" w:rsidRDefault="00863673" w:rsidP="004E5C01">
            <w:pPr>
              <w:pStyle w:val="tabulkatlo"/>
            </w:pPr>
            <w:r w:rsidRPr="009A6554">
              <w:t>23</w:t>
            </w:r>
          </w:p>
        </w:tc>
        <w:tc>
          <w:tcPr>
            <w:tcW w:w="554" w:type="dxa"/>
            <w:tcBorders>
              <w:top w:val="single" w:sz="4" w:space="0" w:color="14387F"/>
              <w:left w:val="single" w:sz="4" w:space="0" w:color="14387F"/>
              <w:bottom w:val="single" w:sz="4" w:space="0" w:color="14387F"/>
              <w:right w:val="single" w:sz="4" w:space="0" w:color="14387F"/>
            </w:tcBorders>
            <w:noWrap/>
            <w:vAlign w:val="center"/>
          </w:tcPr>
          <w:p w14:paraId="3C9E39A6" w14:textId="77777777" w:rsidR="00863673" w:rsidRPr="009A6554" w:rsidRDefault="00863673" w:rsidP="004E5C01">
            <w:pPr>
              <w:pStyle w:val="tabulkatlo"/>
            </w:pPr>
            <w:r w:rsidRPr="009A6554">
              <w:t>31</w:t>
            </w:r>
          </w:p>
        </w:tc>
        <w:tc>
          <w:tcPr>
            <w:tcW w:w="553" w:type="dxa"/>
            <w:tcBorders>
              <w:top w:val="single" w:sz="4" w:space="0" w:color="14387F"/>
              <w:left w:val="single" w:sz="4" w:space="0" w:color="14387F"/>
              <w:bottom w:val="single" w:sz="4" w:space="0" w:color="14387F"/>
              <w:right w:val="single" w:sz="4" w:space="0" w:color="14387F"/>
            </w:tcBorders>
            <w:noWrap/>
            <w:vAlign w:val="center"/>
          </w:tcPr>
          <w:p w14:paraId="1D166794" w14:textId="77777777" w:rsidR="00863673" w:rsidRPr="009A6554" w:rsidRDefault="00863673" w:rsidP="004E5C01">
            <w:pPr>
              <w:pStyle w:val="tabulkatlo"/>
            </w:pPr>
            <w:r w:rsidRPr="009A6554">
              <w:t>68</w:t>
            </w:r>
          </w:p>
        </w:tc>
        <w:tc>
          <w:tcPr>
            <w:tcW w:w="554"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7F905D2C" w14:textId="77777777" w:rsidR="00863673" w:rsidRPr="009A6554" w:rsidRDefault="00863673" w:rsidP="004E5C01">
            <w:pPr>
              <w:pStyle w:val="tabulkatlo"/>
            </w:pPr>
            <w:r w:rsidRPr="009A6554">
              <w:t>79</w:t>
            </w:r>
          </w:p>
        </w:tc>
        <w:tc>
          <w:tcPr>
            <w:tcW w:w="554" w:type="dxa"/>
            <w:tcBorders>
              <w:top w:val="single" w:sz="4" w:space="0" w:color="14387F"/>
              <w:left w:val="single" w:sz="4" w:space="0" w:color="14387F"/>
              <w:bottom w:val="single" w:sz="4" w:space="0" w:color="14387F"/>
              <w:right w:val="single" w:sz="4" w:space="0" w:color="14387F"/>
            </w:tcBorders>
            <w:noWrap/>
            <w:vAlign w:val="center"/>
          </w:tcPr>
          <w:p w14:paraId="60535AF7" w14:textId="77777777" w:rsidR="00863673" w:rsidRPr="009A6554" w:rsidRDefault="00863673" w:rsidP="004E5C01">
            <w:pPr>
              <w:pStyle w:val="tabulkatlo"/>
            </w:pPr>
            <w:r w:rsidRPr="009A6554">
              <w:t>73</w:t>
            </w:r>
          </w:p>
        </w:tc>
        <w:tc>
          <w:tcPr>
            <w:tcW w:w="553" w:type="dxa"/>
            <w:tcBorders>
              <w:top w:val="single" w:sz="4" w:space="0" w:color="14387F"/>
              <w:left w:val="single" w:sz="4" w:space="0" w:color="14387F"/>
              <w:bottom w:val="single" w:sz="4" w:space="0" w:color="14387F"/>
              <w:right w:val="single" w:sz="4" w:space="0" w:color="14387F"/>
            </w:tcBorders>
            <w:noWrap/>
            <w:vAlign w:val="center"/>
          </w:tcPr>
          <w:p w14:paraId="78D5AAD7" w14:textId="77777777" w:rsidR="00863673" w:rsidRPr="009A6554" w:rsidRDefault="00863673" w:rsidP="004E5C01">
            <w:pPr>
              <w:pStyle w:val="tabulkatlo"/>
            </w:pPr>
            <w:r w:rsidRPr="009A6554">
              <w:t>68</w:t>
            </w:r>
          </w:p>
        </w:tc>
        <w:tc>
          <w:tcPr>
            <w:tcW w:w="554" w:type="dxa"/>
            <w:tcBorders>
              <w:top w:val="single" w:sz="4" w:space="0" w:color="14387F"/>
              <w:left w:val="single" w:sz="4" w:space="0" w:color="14387F"/>
              <w:bottom w:val="single" w:sz="4" w:space="0" w:color="14387F"/>
              <w:right w:val="single" w:sz="4" w:space="0" w:color="14387F"/>
            </w:tcBorders>
            <w:noWrap/>
            <w:vAlign w:val="center"/>
          </w:tcPr>
          <w:p w14:paraId="3807F6A3" w14:textId="77777777" w:rsidR="00863673" w:rsidRPr="009A6554" w:rsidRDefault="00863673" w:rsidP="004E5C01">
            <w:pPr>
              <w:pStyle w:val="tabulkatlo"/>
            </w:pPr>
            <w:r w:rsidRPr="009A6554">
              <w:t>70</w:t>
            </w:r>
          </w:p>
        </w:tc>
        <w:tc>
          <w:tcPr>
            <w:tcW w:w="553" w:type="dxa"/>
            <w:tcBorders>
              <w:top w:val="single" w:sz="4" w:space="0" w:color="14387F"/>
              <w:left w:val="single" w:sz="4" w:space="0" w:color="14387F"/>
              <w:bottom w:val="single" w:sz="4" w:space="0" w:color="14387F"/>
              <w:right w:val="single" w:sz="4" w:space="0" w:color="14387F"/>
            </w:tcBorders>
            <w:noWrap/>
            <w:vAlign w:val="center"/>
          </w:tcPr>
          <w:p w14:paraId="248DA0DC" w14:textId="77777777" w:rsidR="00863673" w:rsidRPr="009A6554" w:rsidRDefault="00863673" w:rsidP="004E5C01">
            <w:pPr>
              <w:pStyle w:val="tabulkatlo"/>
            </w:pPr>
            <w:r w:rsidRPr="009A6554">
              <w:t>73</w:t>
            </w:r>
          </w:p>
        </w:tc>
        <w:tc>
          <w:tcPr>
            <w:tcW w:w="554" w:type="dxa"/>
            <w:tcBorders>
              <w:top w:val="single" w:sz="4" w:space="0" w:color="14387F"/>
              <w:left w:val="single" w:sz="4" w:space="0" w:color="14387F"/>
              <w:bottom w:val="single" w:sz="4" w:space="0" w:color="14387F"/>
              <w:right w:val="single" w:sz="4" w:space="0" w:color="14387F"/>
            </w:tcBorders>
            <w:noWrap/>
            <w:vAlign w:val="center"/>
          </w:tcPr>
          <w:p w14:paraId="6860E2FF" w14:textId="77777777" w:rsidR="00863673" w:rsidRPr="009A6554" w:rsidRDefault="00863673" w:rsidP="004E5C01">
            <w:pPr>
              <w:pStyle w:val="tabulkatlo"/>
            </w:pPr>
            <w:r w:rsidRPr="009A6554">
              <w:t>71</w:t>
            </w:r>
          </w:p>
        </w:tc>
        <w:tc>
          <w:tcPr>
            <w:tcW w:w="554" w:type="dxa"/>
            <w:tcBorders>
              <w:top w:val="single" w:sz="4" w:space="0" w:color="14387F"/>
              <w:left w:val="single" w:sz="4" w:space="0" w:color="14387F"/>
              <w:bottom w:val="single" w:sz="4" w:space="0" w:color="14387F"/>
              <w:right w:val="single" w:sz="4" w:space="0" w:color="14387F"/>
            </w:tcBorders>
            <w:noWrap/>
            <w:vAlign w:val="center"/>
          </w:tcPr>
          <w:p w14:paraId="67F150FD" w14:textId="77777777" w:rsidR="00863673" w:rsidRPr="009A6554" w:rsidRDefault="00863673" w:rsidP="004E5C01">
            <w:pPr>
              <w:pStyle w:val="tabulkatlo"/>
            </w:pPr>
            <w:r w:rsidRPr="009A6554">
              <w:t>71</w:t>
            </w:r>
          </w:p>
        </w:tc>
        <w:tc>
          <w:tcPr>
            <w:tcW w:w="553" w:type="dxa"/>
            <w:tcBorders>
              <w:top w:val="single" w:sz="4" w:space="0" w:color="14387F"/>
              <w:left w:val="single" w:sz="4" w:space="0" w:color="14387F"/>
              <w:bottom w:val="single" w:sz="4" w:space="0" w:color="14387F"/>
              <w:right w:val="single" w:sz="4" w:space="0" w:color="14387F"/>
            </w:tcBorders>
            <w:noWrap/>
            <w:vAlign w:val="center"/>
          </w:tcPr>
          <w:p w14:paraId="2FBCD985" w14:textId="77777777" w:rsidR="00863673" w:rsidRPr="009A6554" w:rsidRDefault="00863673" w:rsidP="004E5C01">
            <w:pPr>
              <w:pStyle w:val="tabulkatlo"/>
            </w:pPr>
            <w:r w:rsidRPr="009A6554">
              <w:t>64</w:t>
            </w:r>
          </w:p>
        </w:tc>
        <w:tc>
          <w:tcPr>
            <w:tcW w:w="554" w:type="dxa"/>
            <w:tcBorders>
              <w:top w:val="single" w:sz="4" w:space="0" w:color="14387F"/>
              <w:left w:val="single" w:sz="4" w:space="0" w:color="14387F"/>
              <w:bottom w:val="single" w:sz="4" w:space="0" w:color="14387F"/>
              <w:right w:val="single" w:sz="4" w:space="0" w:color="14387F"/>
            </w:tcBorders>
            <w:noWrap/>
            <w:vAlign w:val="center"/>
          </w:tcPr>
          <w:p w14:paraId="7AF19476" w14:textId="77777777" w:rsidR="00863673" w:rsidRPr="009A6554" w:rsidRDefault="00863673" w:rsidP="004E5C01">
            <w:pPr>
              <w:pStyle w:val="tabulkatlo"/>
            </w:pPr>
            <w:r w:rsidRPr="009A6554">
              <w:t>69</w:t>
            </w:r>
          </w:p>
        </w:tc>
        <w:tc>
          <w:tcPr>
            <w:tcW w:w="554" w:type="dxa"/>
            <w:tcBorders>
              <w:top w:val="single" w:sz="4" w:space="0" w:color="14387F"/>
              <w:left w:val="single" w:sz="4" w:space="0" w:color="14387F"/>
              <w:bottom w:val="single" w:sz="4" w:space="0" w:color="14387F"/>
              <w:right w:val="single" w:sz="4" w:space="0" w:color="14387F"/>
            </w:tcBorders>
            <w:noWrap/>
            <w:vAlign w:val="center"/>
          </w:tcPr>
          <w:p w14:paraId="20D96835" w14:textId="77777777" w:rsidR="00863673" w:rsidRPr="009A6554" w:rsidRDefault="00863673" w:rsidP="004E5C01">
            <w:pPr>
              <w:pStyle w:val="tabulkatlo"/>
            </w:pPr>
            <w:r w:rsidRPr="009A6554">
              <w:t>73</w:t>
            </w:r>
          </w:p>
        </w:tc>
      </w:tr>
      <w:tr w:rsidR="00863673" w:rsidRPr="009A6554" w14:paraId="57CEC450" w14:textId="77777777" w:rsidTr="004E5C01">
        <w:trPr>
          <w:trHeight w:val="510"/>
        </w:trPr>
        <w:tc>
          <w:tcPr>
            <w:tcW w:w="1843" w:type="dxa"/>
            <w:tcBorders>
              <w:top w:val="nil"/>
              <w:left w:val="single" w:sz="4" w:space="0" w:color="002060"/>
              <w:bottom w:val="single" w:sz="4" w:space="0" w:color="002060"/>
              <w:right w:val="single" w:sz="4" w:space="0" w:color="14387F"/>
            </w:tcBorders>
            <w:noWrap/>
            <w:vAlign w:val="center"/>
            <w:hideMark/>
          </w:tcPr>
          <w:p w14:paraId="6915F59A" w14:textId="77777777" w:rsidR="00863673" w:rsidRPr="009A6554" w:rsidRDefault="00863673" w:rsidP="004E5C01">
            <w:pPr>
              <w:jc w:val="left"/>
              <w:rPr>
                <w:rFonts w:cs="Arial"/>
                <w:sz w:val="18"/>
                <w:szCs w:val="18"/>
              </w:rPr>
            </w:pPr>
            <w:r w:rsidRPr="009A6554">
              <w:rPr>
                <w:rFonts w:cs="Arial"/>
                <w:sz w:val="18"/>
                <w:szCs w:val="18"/>
              </w:rPr>
              <w:t>Ohře</w:t>
            </w:r>
            <w:r>
              <w:rPr>
                <w:rFonts w:cs="Arial"/>
                <w:sz w:val="18"/>
                <w:szCs w:val="18"/>
              </w:rPr>
              <w:t>,</w:t>
            </w:r>
            <w:r w:rsidRPr="009A6554">
              <w:rPr>
                <w:rFonts w:cs="Arial"/>
                <w:sz w:val="18"/>
                <w:szCs w:val="18"/>
              </w:rPr>
              <w:t xml:space="preserve"> Dolní Labe</w:t>
            </w:r>
            <w:r>
              <w:rPr>
                <w:rFonts w:cs="Arial"/>
                <w:sz w:val="18"/>
                <w:szCs w:val="18"/>
              </w:rPr>
              <w:t xml:space="preserve"> </w:t>
            </w:r>
            <w:r w:rsidRPr="002656C9">
              <w:rPr>
                <w:rFonts w:cs="Arial"/>
                <w:sz w:val="18"/>
                <w:szCs w:val="18"/>
              </w:rPr>
              <w:t>a</w:t>
            </w:r>
            <w:r>
              <w:rPr>
                <w:rFonts w:cs="Arial"/>
                <w:sz w:val="18"/>
                <w:szCs w:val="18"/>
              </w:rPr>
              <w:t xml:space="preserve"> </w:t>
            </w:r>
            <w:r w:rsidRPr="002656C9">
              <w:rPr>
                <w:rFonts w:cs="Arial"/>
                <w:sz w:val="18"/>
                <w:szCs w:val="18"/>
              </w:rPr>
              <w:t xml:space="preserve">ostatní přítoky </w:t>
            </w:r>
            <w:r>
              <w:rPr>
                <w:rFonts w:cs="Arial"/>
                <w:sz w:val="18"/>
                <w:szCs w:val="18"/>
              </w:rPr>
              <w:t>L</w:t>
            </w:r>
            <w:r w:rsidRPr="002656C9">
              <w:rPr>
                <w:rFonts w:cs="Arial"/>
                <w:sz w:val="18"/>
                <w:szCs w:val="18"/>
              </w:rPr>
              <w:t>abe</w:t>
            </w:r>
          </w:p>
        </w:tc>
        <w:tc>
          <w:tcPr>
            <w:tcW w:w="553"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0A7BF156" w14:textId="77777777" w:rsidR="00863673" w:rsidRPr="009A6554" w:rsidRDefault="00863673" w:rsidP="004E5C01">
            <w:pPr>
              <w:pStyle w:val="tabulkatlo"/>
              <w:rPr>
                <w:color w:val="FFFFFF" w:themeColor="background1"/>
              </w:rPr>
            </w:pPr>
            <w:r w:rsidRPr="009A6554">
              <w:rPr>
                <w:color w:val="FFFFFF" w:themeColor="background1"/>
              </w:rPr>
              <w:t>100</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4FE6224B" w14:textId="77777777" w:rsidR="00863673" w:rsidRPr="009A6554" w:rsidRDefault="00863673" w:rsidP="004E5C01">
            <w:pPr>
              <w:pStyle w:val="tabulkatlo"/>
              <w:rPr>
                <w:color w:val="FFFFFF" w:themeColor="background1"/>
              </w:rPr>
            </w:pPr>
            <w:r w:rsidRPr="009A6554">
              <w:rPr>
                <w:color w:val="FFFFFF" w:themeColor="background1"/>
              </w:rPr>
              <w:t>99</w:t>
            </w:r>
          </w:p>
        </w:tc>
        <w:tc>
          <w:tcPr>
            <w:tcW w:w="553"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4ABE7DF9" w14:textId="77777777" w:rsidR="00863673" w:rsidRPr="009A6554" w:rsidRDefault="00863673" w:rsidP="004E5C01">
            <w:pPr>
              <w:pStyle w:val="tabulkatlo"/>
              <w:rPr>
                <w:color w:val="FFFFFF" w:themeColor="background1"/>
              </w:rPr>
            </w:pPr>
            <w:r w:rsidRPr="009A6554">
              <w:rPr>
                <w:color w:val="FFFFFF" w:themeColor="background1"/>
              </w:rPr>
              <w:t>100</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08F3946C" w14:textId="77777777" w:rsidR="00863673" w:rsidRPr="009A6554" w:rsidRDefault="00863673" w:rsidP="004E5C01">
            <w:pPr>
              <w:pStyle w:val="tabulkatlo"/>
              <w:rPr>
                <w:color w:val="FFFFFF" w:themeColor="background1"/>
              </w:rPr>
            </w:pPr>
            <w:r w:rsidRPr="009A6554">
              <w:rPr>
                <w:color w:val="FFFFFF" w:themeColor="background1"/>
              </w:rPr>
              <w:t>99</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0391BA58" w14:textId="77777777" w:rsidR="00863673" w:rsidRPr="009A6554" w:rsidRDefault="00863673" w:rsidP="004E5C01">
            <w:pPr>
              <w:pStyle w:val="tabulkatlo"/>
              <w:rPr>
                <w:color w:val="FFFFFF" w:themeColor="background1"/>
              </w:rPr>
            </w:pPr>
            <w:r w:rsidRPr="009A6554">
              <w:rPr>
                <w:color w:val="FFFFFF" w:themeColor="background1"/>
              </w:rPr>
              <w:t>99</w:t>
            </w:r>
          </w:p>
        </w:tc>
        <w:tc>
          <w:tcPr>
            <w:tcW w:w="553"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08A683E9" w14:textId="77777777" w:rsidR="00863673" w:rsidRPr="009A6554" w:rsidRDefault="00863673" w:rsidP="004E5C01">
            <w:pPr>
              <w:pStyle w:val="tabulkatlo"/>
              <w:rPr>
                <w:color w:val="FFFFFF" w:themeColor="background1"/>
              </w:rPr>
            </w:pPr>
            <w:r w:rsidRPr="009A6554">
              <w:rPr>
                <w:color w:val="FFFFFF" w:themeColor="background1"/>
              </w:rPr>
              <w:t>100</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771F2F1F" w14:textId="77777777" w:rsidR="00863673" w:rsidRPr="009A6554" w:rsidRDefault="00863673" w:rsidP="004E5C01">
            <w:pPr>
              <w:pStyle w:val="tabulkatlo"/>
              <w:rPr>
                <w:color w:val="FFFFFF" w:themeColor="background1"/>
              </w:rPr>
            </w:pPr>
            <w:r w:rsidRPr="009A6554">
              <w:rPr>
                <w:color w:val="FFFFFF" w:themeColor="background1"/>
              </w:rPr>
              <w:t>99</w:t>
            </w:r>
          </w:p>
        </w:tc>
        <w:tc>
          <w:tcPr>
            <w:tcW w:w="553"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025FC249" w14:textId="77777777" w:rsidR="00863673" w:rsidRPr="009A6554" w:rsidRDefault="00863673" w:rsidP="004E5C01">
            <w:pPr>
              <w:pStyle w:val="tabulkatlo"/>
              <w:rPr>
                <w:color w:val="FFFFFF" w:themeColor="background1"/>
              </w:rPr>
            </w:pPr>
            <w:r w:rsidRPr="009A6554">
              <w:rPr>
                <w:color w:val="FFFFFF" w:themeColor="background1"/>
              </w:rPr>
              <w:t>99</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2EAD0E1D" w14:textId="77777777" w:rsidR="00863673" w:rsidRPr="009A6554" w:rsidRDefault="00863673" w:rsidP="004E5C01">
            <w:pPr>
              <w:pStyle w:val="tabulkatlo"/>
              <w:rPr>
                <w:color w:val="FFFFFF" w:themeColor="background1"/>
              </w:rPr>
            </w:pPr>
            <w:r w:rsidRPr="009A6554">
              <w:rPr>
                <w:color w:val="FFFFFF" w:themeColor="background1"/>
              </w:rPr>
              <w:t>99</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40032CBA" w14:textId="77777777" w:rsidR="00863673" w:rsidRPr="009A6554" w:rsidRDefault="00863673" w:rsidP="004E5C01">
            <w:pPr>
              <w:pStyle w:val="tabulkatlo"/>
              <w:rPr>
                <w:color w:val="FFFFFF" w:themeColor="background1"/>
              </w:rPr>
            </w:pPr>
            <w:r w:rsidRPr="009A6554">
              <w:rPr>
                <w:color w:val="FFFFFF" w:themeColor="background1"/>
              </w:rPr>
              <w:t>100</w:t>
            </w:r>
          </w:p>
        </w:tc>
        <w:tc>
          <w:tcPr>
            <w:tcW w:w="553"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54D7C345" w14:textId="77777777" w:rsidR="00863673" w:rsidRPr="009A6554" w:rsidRDefault="00863673" w:rsidP="004E5C01">
            <w:pPr>
              <w:pStyle w:val="tabulkatlo"/>
              <w:rPr>
                <w:color w:val="FFFFFF" w:themeColor="background1"/>
              </w:rPr>
            </w:pPr>
            <w:r w:rsidRPr="009A6554">
              <w:rPr>
                <w:color w:val="FFFFFF" w:themeColor="background1"/>
              </w:rPr>
              <w:t>100</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746B16E3" w14:textId="77777777" w:rsidR="00863673" w:rsidRPr="009A6554" w:rsidRDefault="00863673" w:rsidP="004E5C01">
            <w:pPr>
              <w:pStyle w:val="tabulkatlo"/>
              <w:rPr>
                <w:color w:val="FFFFFF" w:themeColor="background1"/>
              </w:rPr>
            </w:pPr>
            <w:r w:rsidRPr="009A6554">
              <w:rPr>
                <w:color w:val="FFFFFF" w:themeColor="background1"/>
              </w:rPr>
              <w:t>99</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4B5A0716" w14:textId="77777777" w:rsidR="00863673" w:rsidRPr="009A6554" w:rsidRDefault="00863673" w:rsidP="004E5C01">
            <w:pPr>
              <w:pStyle w:val="tabulkatlo"/>
              <w:rPr>
                <w:color w:val="FFFFFF" w:themeColor="background1"/>
              </w:rPr>
            </w:pPr>
            <w:r w:rsidRPr="009A6554">
              <w:rPr>
                <w:color w:val="FFFFFF" w:themeColor="background1"/>
              </w:rPr>
              <w:t>99</w:t>
            </w:r>
          </w:p>
        </w:tc>
      </w:tr>
      <w:tr w:rsidR="00863673" w:rsidRPr="009A6554" w14:paraId="091C8EA6" w14:textId="77777777" w:rsidTr="004E5C01">
        <w:trPr>
          <w:trHeight w:val="300"/>
        </w:trPr>
        <w:tc>
          <w:tcPr>
            <w:tcW w:w="1843" w:type="dxa"/>
            <w:tcBorders>
              <w:top w:val="nil"/>
              <w:left w:val="single" w:sz="4" w:space="0" w:color="002060"/>
              <w:bottom w:val="single" w:sz="4" w:space="0" w:color="002060"/>
              <w:right w:val="single" w:sz="4" w:space="0" w:color="14387F"/>
            </w:tcBorders>
            <w:noWrap/>
            <w:vAlign w:val="center"/>
            <w:hideMark/>
          </w:tcPr>
          <w:p w14:paraId="324E0B6D" w14:textId="77777777" w:rsidR="00863673" w:rsidRPr="009A6554" w:rsidRDefault="00863673" w:rsidP="004E5C01">
            <w:pPr>
              <w:jc w:val="left"/>
              <w:rPr>
                <w:rFonts w:cs="Arial"/>
                <w:sz w:val="18"/>
                <w:szCs w:val="18"/>
              </w:rPr>
            </w:pPr>
            <w:r w:rsidRPr="009A6554">
              <w:rPr>
                <w:rFonts w:cs="Arial"/>
                <w:sz w:val="18"/>
                <w:szCs w:val="18"/>
              </w:rPr>
              <w:t xml:space="preserve">Horní Odra </w:t>
            </w:r>
          </w:p>
        </w:tc>
        <w:tc>
          <w:tcPr>
            <w:tcW w:w="553" w:type="dxa"/>
            <w:tcBorders>
              <w:top w:val="single" w:sz="4" w:space="0" w:color="14387F"/>
              <w:left w:val="single" w:sz="4" w:space="0" w:color="14387F"/>
              <w:bottom w:val="single" w:sz="4" w:space="0" w:color="14387F"/>
              <w:right w:val="single" w:sz="4" w:space="0" w:color="14387F"/>
            </w:tcBorders>
            <w:shd w:val="clear" w:color="auto" w:fill="6BAED6"/>
            <w:noWrap/>
            <w:vAlign w:val="center"/>
          </w:tcPr>
          <w:p w14:paraId="771930AE" w14:textId="77777777" w:rsidR="00863673" w:rsidRPr="009A6554" w:rsidRDefault="00863673" w:rsidP="004E5C01">
            <w:pPr>
              <w:pStyle w:val="tabulkatlo"/>
            </w:pPr>
            <w:r w:rsidRPr="009A6554">
              <w:t>11</w:t>
            </w:r>
          </w:p>
        </w:tc>
        <w:tc>
          <w:tcPr>
            <w:tcW w:w="554" w:type="dxa"/>
            <w:tcBorders>
              <w:top w:val="single" w:sz="4" w:space="0" w:color="14387F"/>
              <w:left w:val="single" w:sz="4" w:space="0" w:color="14387F"/>
              <w:bottom w:val="single" w:sz="4" w:space="0" w:color="14387F"/>
              <w:right w:val="single" w:sz="4" w:space="0" w:color="14387F"/>
            </w:tcBorders>
            <w:noWrap/>
            <w:vAlign w:val="center"/>
          </w:tcPr>
          <w:p w14:paraId="1C6D8C7B" w14:textId="77777777" w:rsidR="00863673" w:rsidRPr="009A6554" w:rsidRDefault="00863673" w:rsidP="004E5C01">
            <w:pPr>
              <w:pStyle w:val="tabulkatlo"/>
            </w:pPr>
            <w:r w:rsidRPr="009A6554">
              <w:t>43</w:t>
            </w:r>
          </w:p>
        </w:tc>
        <w:tc>
          <w:tcPr>
            <w:tcW w:w="553"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31B31B88" w14:textId="77777777" w:rsidR="00863673" w:rsidRPr="009A6554" w:rsidRDefault="00863673" w:rsidP="004E5C01">
            <w:pPr>
              <w:pStyle w:val="tabulkatlo"/>
            </w:pPr>
            <w:r w:rsidRPr="009A6554">
              <w:t>88</w:t>
            </w:r>
          </w:p>
        </w:tc>
        <w:tc>
          <w:tcPr>
            <w:tcW w:w="554"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3F3409DF" w14:textId="77777777" w:rsidR="00863673" w:rsidRPr="009A6554" w:rsidRDefault="00863673" w:rsidP="004E5C01">
            <w:pPr>
              <w:pStyle w:val="tabulkatlo"/>
            </w:pPr>
            <w:r w:rsidRPr="009A6554">
              <w:t>92</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4A6B8534" w14:textId="77777777" w:rsidR="00863673" w:rsidRPr="009A6554" w:rsidRDefault="00863673" w:rsidP="004E5C01">
            <w:pPr>
              <w:pStyle w:val="tabulkatlo"/>
              <w:rPr>
                <w:color w:val="FFFFFF" w:themeColor="background1"/>
              </w:rPr>
            </w:pPr>
            <w:r w:rsidRPr="009A6554">
              <w:rPr>
                <w:color w:val="FFFFFF" w:themeColor="background1"/>
              </w:rPr>
              <w:t>97</w:t>
            </w:r>
          </w:p>
        </w:tc>
        <w:tc>
          <w:tcPr>
            <w:tcW w:w="553"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19E209E3" w14:textId="77777777" w:rsidR="00863673" w:rsidRPr="009A6554" w:rsidRDefault="00863673" w:rsidP="004E5C01">
            <w:pPr>
              <w:pStyle w:val="tabulkatlo"/>
            </w:pPr>
            <w:r w:rsidRPr="009A6554">
              <w:t>89</w:t>
            </w:r>
          </w:p>
        </w:tc>
        <w:tc>
          <w:tcPr>
            <w:tcW w:w="554"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0FA215D2" w14:textId="77777777" w:rsidR="00863673" w:rsidRPr="009A6554" w:rsidRDefault="00863673" w:rsidP="004E5C01">
            <w:pPr>
              <w:pStyle w:val="tabulkatlo"/>
            </w:pPr>
            <w:r w:rsidRPr="009A6554">
              <w:t>83</w:t>
            </w:r>
          </w:p>
        </w:tc>
        <w:tc>
          <w:tcPr>
            <w:tcW w:w="553"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582BD049" w14:textId="77777777" w:rsidR="00863673" w:rsidRPr="009A6554" w:rsidRDefault="00863673" w:rsidP="004E5C01">
            <w:pPr>
              <w:pStyle w:val="tabulkatlo"/>
            </w:pPr>
            <w:r w:rsidRPr="009A6554">
              <w:t>75</w:t>
            </w:r>
          </w:p>
        </w:tc>
        <w:tc>
          <w:tcPr>
            <w:tcW w:w="554" w:type="dxa"/>
            <w:tcBorders>
              <w:top w:val="single" w:sz="4" w:space="0" w:color="14387F"/>
              <w:left w:val="single" w:sz="4" w:space="0" w:color="14387F"/>
              <w:bottom w:val="single" w:sz="4" w:space="0" w:color="14387F"/>
              <w:right w:val="single" w:sz="4" w:space="0" w:color="14387F"/>
            </w:tcBorders>
            <w:noWrap/>
            <w:vAlign w:val="center"/>
          </w:tcPr>
          <w:p w14:paraId="23E266CC" w14:textId="77777777" w:rsidR="00863673" w:rsidRPr="009A6554" w:rsidRDefault="00863673" w:rsidP="004E5C01">
            <w:pPr>
              <w:pStyle w:val="tabulkatlo"/>
            </w:pPr>
            <w:r w:rsidRPr="009A6554">
              <w:t>74</w:t>
            </w:r>
          </w:p>
        </w:tc>
        <w:tc>
          <w:tcPr>
            <w:tcW w:w="554" w:type="dxa"/>
            <w:tcBorders>
              <w:top w:val="single" w:sz="4" w:space="0" w:color="14387F"/>
              <w:left w:val="single" w:sz="4" w:space="0" w:color="14387F"/>
              <w:bottom w:val="single" w:sz="4" w:space="0" w:color="14387F"/>
              <w:right w:val="single" w:sz="4" w:space="0" w:color="14387F"/>
            </w:tcBorders>
            <w:noWrap/>
            <w:vAlign w:val="center"/>
          </w:tcPr>
          <w:p w14:paraId="3F8E77A0" w14:textId="77777777" w:rsidR="00863673" w:rsidRPr="009A6554" w:rsidRDefault="00863673" w:rsidP="004E5C01">
            <w:pPr>
              <w:pStyle w:val="tabulkatlo"/>
            </w:pPr>
            <w:r w:rsidRPr="009A6554">
              <w:t>36</w:t>
            </w:r>
          </w:p>
        </w:tc>
        <w:tc>
          <w:tcPr>
            <w:tcW w:w="553" w:type="dxa"/>
            <w:tcBorders>
              <w:top w:val="single" w:sz="4" w:space="0" w:color="14387F"/>
              <w:left w:val="single" w:sz="4" w:space="0" w:color="14387F"/>
              <w:bottom w:val="single" w:sz="4" w:space="0" w:color="14387F"/>
              <w:right w:val="single" w:sz="4" w:space="0" w:color="14387F"/>
            </w:tcBorders>
            <w:shd w:val="clear" w:color="auto" w:fill="C6DBEF"/>
            <w:noWrap/>
            <w:vAlign w:val="center"/>
          </w:tcPr>
          <w:p w14:paraId="579014F5" w14:textId="77777777" w:rsidR="00863673" w:rsidRPr="009A6554" w:rsidRDefault="00863673" w:rsidP="004E5C01">
            <w:pPr>
              <w:pStyle w:val="tabulkatlo"/>
            </w:pPr>
            <w:r w:rsidRPr="009A6554">
              <w:t>19</w:t>
            </w:r>
          </w:p>
        </w:tc>
        <w:tc>
          <w:tcPr>
            <w:tcW w:w="554" w:type="dxa"/>
            <w:tcBorders>
              <w:top w:val="single" w:sz="4" w:space="0" w:color="14387F"/>
              <w:left w:val="single" w:sz="4" w:space="0" w:color="14387F"/>
              <w:bottom w:val="single" w:sz="4" w:space="0" w:color="14387F"/>
              <w:right w:val="single" w:sz="4" w:space="0" w:color="14387F"/>
            </w:tcBorders>
            <w:shd w:val="clear" w:color="auto" w:fill="C6DBEF"/>
            <w:noWrap/>
            <w:vAlign w:val="center"/>
          </w:tcPr>
          <w:p w14:paraId="4D80E10E" w14:textId="77777777" w:rsidR="00863673" w:rsidRPr="009A6554" w:rsidRDefault="00863673" w:rsidP="004E5C01">
            <w:pPr>
              <w:pStyle w:val="tabulkatlo"/>
            </w:pPr>
            <w:r w:rsidRPr="009A6554">
              <w:t>23</w:t>
            </w:r>
          </w:p>
        </w:tc>
        <w:tc>
          <w:tcPr>
            <w:tcW w:w="554"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6446BF0F" w14:textId="77777777" w:rsidR="00863673" w:rsidRPr="009A6554" w:rsidRDefault="00863673" w:rsidP="004E5C01">
            <w:pPr>
              <w:pStyle w:val="tabulkatlo"/>
            </w:pPr>
            <w:r w:rsidRPr="009A6554">
              <w:t>84</w:t>
            </w:r>
          </w:p>
        </w:tc>
      </w:tr>
      <w:tr w:rsidR="00863673" w:rsidRPr="009A6554" w14:paraId="025D0EBA" w14:textId="77777777" w:rsidTr="004E5C01">
        <w:trPr>
          <w:trHeight w:val="510"/>
        </w:trPr>
        <w:tc>
          <w:tcPr>
            <w:tcW w:w="1843" w:type="dxa"/>
            <w:tcBorders>
              <w:top w:val="nil"/>
              <w:left w:val="single" w:sz="4" w:space="0" w:color="002060"/>
              <w:bottom w:val="single" w:sz="4" w:space="0" w:color="002060"/>
              <w:right w:val="single" w:sz="4" w:space="0" w:color="14387F"/>
            </w:tcBorders>
            <w:noWrap/>
            <w:vAlign w:val="center"/>
            <w:hideMark/>
          </w:tcPr>
          <w:p w14:paraId="279934DF" w14:textId="77777777" w:rsidR="00863673" w:rsidRPr="009A6554" w:rsidRDefault="00863673" w:rsidP="004E5C01">
            <w:pPr>
              <w:jc w:val="left"/>
              <w:rPr>
                <w:rFonts w:cs="Arial"/>
                <w:sz w:val="18"/>
                <w:szCs w:val="18"/>
              </w:rPr>
            </w:pPr>
            <w:r w:rsidRPr="009A6554">
              <w:rPr>
                <w:rFonts w:cs="Arial"/>
                <w:sz w:val="18"/>
                <w:szCs w:val="18"/>
              </w:rPr>
              <w:t>Lužická Nisa</w:t>
            </w:r>
            <w:r>
              <w:rPr>
                <w:rFonts w:cs="Arial"/>
                <w:sz w:val="18"/>
                <w:szCs w:val="18"/>
              </w:rPr>
              <w:t xml:space="preserve"> </w:t>
            </w:r>
            <w:r w:rsidRPr="002656C9">
              <w:rPr>
                <w:rFonts w:cs="Arial"/>
                <w:sz w:val="18"/>
                <w:szCs w:val="18"/>
              </w:rPr>
              <w:t>a ostatní přítoky Odry</w:t>
            </w:r>
          </w:p>
        </w:tc>
        <w:tc>
          <w:tcPr>
            <w:tcW w:w="553" w:type="dxa"/>
            <w:tcBorders>
              <w:top w:val="single" w:sz="4" w:space="0" w:color="14387F"/>
              <w:left w:val="single" w:sz="4" w:space="0" w:color="14387F"/>
              <w:bottom w:val="single" w:sz="4" w:space="0" w:color="14387F"/>
              <w:right w:val="single" w:sz="4" w:space="0" w:color="14387F"/>
            </w:tcBorders>
            <w:noWrap/>
            <w:vAlign w:val="center"/>
          </w:tcPr>
          <w:p w14:paraId="3B8E1C30" w14:textId="77777777" w:rsidR="00863673" w:rsidRPr="009A6554" w:rsidRDefault="00863673" w:rsidP="004E5C01">
            <w:pPr>
              <w:pStyle w:val="tabulkatlo"/>
            </w:pPr>
            <w:r w:rsidRPr="009A6554">
              <w:t>67</w:t>
            </w:r>
          </w:p>
        </w:tc>
        <w:tc>
          <w:tcPr>
            <w:tcW w:w="554"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55DC3AB9" w14:textId="77777777" w:rsidR="00863673" w:rsidRPr="009A6554" w:rsidRDefault="00863673" w:rsidP="004E5C01">
            <w:pPr>
              <w:pStyle w:val="tabulkatlo"/>
            </w:pPr>
            <w:r w:rsidRPr="009A6554">
              <w:t>89</w:t>
            </w:r>
          </w:p>
        </w:tc>
        <w:tc>
          <w:tcPr>
            <w:tcW w:w="553"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7CC5AA83" w14:textId="77777777" w:rsidR="00863673" w:rsidRPr="009A6554" w:rsidRDefault="00863673" w:rsidP="004E5C01">
            <w:pPr>
              <w:pStyle w:val="tabulkatlo"/>
              <w:rPr>
                <w:color w:val="FFFFFF" w:themeColor="background1"/>
              </w:rPr>
            </w:pPr>
            <w:r w:rsidRPr="009A6554">
              <w:rPr>
                <w:color w:val="FFFFFF" w:themeColor="background1"/>
              </w:rPr>
              <w:t>98</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462B6597" w14:textId="77777777" w:rsidR="00863673" w:rsidRPr="009A6554" w:rsidRDefault="00863673" w:rsidP="004E5C01">
            <w:pPr>
              <w:pStyle w:val="tabulkatlo"/>
              <w:rPr>
                <w:color w:val="FFFFFF" w:themeColor="background1"/>
              </w:rPr>
            </w:pPr>
            <w:r w:rsidRPr="009A6554">
              <w:rPr>
                <w:color w:val="FFFFFF" w:themeColor="background1"/>
              </w:rPr>
              <w:t>98</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09E53165" w14:textId="77777777" w:rsidR="00863673" w:rsidRPr="009A6554" w:rsidRDefault="00863673" w:rsidP="004E5C01">
            <w:pPr>
              <w:pStyle w:val="tabulkatlo"/>
              <w:rPr>
                <w:color w:val="FFFFFF" w:themeColor="background1"/>
              </w:rPr>
            </w:pPr>
            <w:r w:rsidRPr="009A6554">
              <w:rPr>
                <w:color w:val="FFFFFF" w:themeColor="background1"/>
              </w:rPr>
              <w:t>98</w:t>
            </w:r>
          </w:p>
        </w:tc>
        <w:tc>
          <w:tcPr>
            <w:tcW w:w="553"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38A49382" w14:textId="77777777" w:rsidR="00863673" w:rsidRPr="009A6554" w:rsidRDefault="00863673" w:rsidP="004E5C01">
            <w:pPr>
              <w:pStyle w:val="tabulkatlo"/>
              <w:rPr>
                <w:color w:val="FFFFFF" w:themeColor="background1"/>
              </w:rPr>
            </w:pPr>
            <w:r w:rsidRPr="009A6554">
              <w:rPr>
                <w:color w:val="FFFFFF" w:themeColor="background1"/>
              </w:rPr>
              <w:t>97</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1CBBB553" w14:textId="77777777" w:rsidR="00863673" w:rsidRPr="009A6554" w:rsidRDefault="00863673" w:rsidP="004E5C01">
            <w:pPr>
              <w:pStyle w:val="tabulkatlo"/>
              <w:rPr>
                <w:color w:val="FFFFFF" w:themeColor="background1"/>
              </w:rPr>
            </w:pPr>
            <w:r w:rsidRPr="009A6554">
              <w:rPr>
                <w:color w:val="FFFFFF" w:themeColor="background1"/>
              </w:rPr>
              <w:t>98</w:t>
            </w:r>
          </w:p>
        </w:tc>
        <w:tc>
          <w:tcPr>
            <w:tcW w:w="553"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6827F57C" w14:textId="77777777" w:rsidR="00863673" w:rsidRPr="009A6554" w:rsidRDefault="00863673" w:rsidP="004E5C01">
            <w:pPr>
              <w:pStyle w:val="tabulkatlo"/>
              <w:rPr>
                <w:color w:val="FFFFFF" w:themeColor="background1"/>
              </w:rPr>
            </w:pPr>
            <w:r w:rsidRPr="009A6554">
              <w:rPr>
                <w:color w:val="FFFFFF" w:themeColor="background1"/>
              </w:rPr>
              <w:t>98</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6001890F" w14:textId="77777777" w:rsidR="00863673" w:rsidRPr="009A6554" w:rsidRDefault="00863673" w:rsidP="004E5C01">
            <w:pPr>
              <w:pStyle w:val="tabulkatlo"/>
              <w:rPr>
                <w:color w:val="FFFFFF" w:themeColor="background1"/>
              </w:rPr>
            </w:pPr>
            <w:r w:rsidRPr="009A6554">
              <w:rPr>
                <w:color w:val="FFFFFF" w:themeColor="background1"/>
              </w:rPr>
              <w:t>98</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35F3FDAF" w14:textId="77777777" w:rsidR="00863673" w:rsidRPr="009A6554" w:rsidRDefault="00863673" w:rsidP="004E5C01">
            <w:pPr>
              <w:pStyle w:val="tabulkatlo"/>
              <w:rPr>
                <w:color w:val="FFFFFF" w:themeColor="background1"/>
              </w:rPr>
            </w:pPr>
            <w:r w:rsidRPr="009A6554">
              <w:rPr>
                <w:color w:val="FFFFFF" w:themeColor="background1"/>
              </w:rPr>
              <w:t>99</w:t>
            </w:r>
          </w:p>
        </w:tc>
        <w:tc>
          <w:tcPr>
            <w:tcW w:w="553"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6C57F85D" w14:textId="77777777" w:rsidR="00863673" w:rsidRPr="009A6554" w:rsidRDefault="00863673" w:rsidP="004E5C01">
            <w:pPr>
              <w:pStyle w:val="tabulkatlo"/>
              <w:rPr>
                <w:color w:val="FFFFFF" w:themeColor="background1"/>
              </w:rPr>
            </w:pPr>
            <w:r w:rsidRPr="009A6554">
              <w:rPr>
                <w:color w:val="FFFFFF" w:themeColor="background1"/>
              </w:rPr>
              <w:t>99</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05E0072B" w14:textId="77777777" w:rsidR="00863673" w:rsidRPr="009A6554" w:rsidRDefault="00863673" w:rsidP="004E5C01">
            <w:pPr>
              <w:pStyle w:val="tabulkatlo"/>
              <w:rPr>
                <w:color w:val="FFFFFF" w:themeColor="background1"/>
              </w:rPr>
            </w:pPr>
            <w:r w:rsidRPr="009A6554">
              <w:rPr>
                <w:color w:val="FFFFFF" w:themeColor="background1"/>
              </w:rPr>
              <w:t>98</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7E7FA800" w14:textId="77777777" w:rsidR="00863673" w:rsidRPr="009A6554" w:rsidRDefault="00863673" w:rsidP="004E5C01">
            <w:pPr>
              <w:pStyle w:val="tabulkatlo"/>
              <w:rPr>
                <w:color w:val="FFFFFF" w:themeColor="background1"/>
              </w:rPr>
            </w:pPr>
            <w:r w:rsidRPr="009A6554">
              <w:rPr>
                <w:color w:val="FFFFFF" w:themeColor="background1"/>
              </w:rPr>
              <w:t>98</w:t>
            </w:r>
          </w:p>
        </w:tc>
      </w:tr>
      <w:tr w:rsidR="00863673" w:rsidRPr="009A6554" w14:paraId="6DD219AD" w14:textId="77777777" w:rsidTr="004E5C01">
        <w:trPr>
          <w:trHeight w:hRule="exact" w:val="510"/>
        </w:trPr>
        <w:tc>
          <w:tcPr>
            <w:tcW w:w="1843" w:type="dxa"/>
            <w:tcBorders>
              <w:top w:val="nil"/>
              <w:left w:val="single" w:sz="4" w:space="0" w:color="002060"/>
              <w:bottom w:val="single" w:sz="4" w:space="0" w:color="002060"/>
              <w:right w:val="single" w:sz="4" w:space="0" w:color="14387F"/>
            </w:tcBorders>
            <w:noWrap/>
            <w:vAlign w:val="center"/>
            <w:hideMark/>
          </w:tcPr>
          <w:p w14:paraId="470A9976" w14:textId="77777777" w:rsidR="00863673" w:rsidRPr="009A6554" w:rsidRDefault="00863673" w:rsidP="004E5C01">
            <w:pPr>
              <w:jc w:val="left"/>
              <w:rPr>
                <w:rFonts w:cs="Arial"/>
                <w:sz w:val="18"/>
                <w:szCs w:val="18"/>
              </w:rPr>
            </w:pPr>
            <w:r w:rsidRPr="009A6554">
              <w:rPr>
                <w:rFonts w:cs="Arial"/>
                <w:sz w:val="18"/>
                <w:szCs w:val="18"/>
              </w:rPr>
              <w:t xml:space="preserve">Morava </w:t>
            </w:r>
            <w:r w:rsidRPr="002656C9">
              <w:rPr>
                <w:rFonts w:cs="Arial"/>
                <w:sz w:val="18"/>
                <w:szCs w:val="18"/>
              </w:rPr>
              <w:t>a přítoky Váhu</w:t>
            </w:r>
            <w:r w:rsidRPr="009A6554">
              <w:rPr>
                <w:rFonts w:cs="Arial"/>
                <w:sz w:val="18"/>
                <w:szCs w:val="18"/>
              </w:rPr>
              <w:t xml:space="preserve"> </w:t>
            </w:r>
          </w:p>
        </w:tc>
        <w:tc>
          <w:tcPr>
            <w:tcW w:w="553" w:type="dxa"/>
            <w:tcBorders>
              <w:top w:val="single" w:sz="4" w:space="0" w:color="14387F"/>
              <w:left w:val="single" w:sz="4" w:space="0" w:color="14387F"/>
              <w:bottom w:val="single" w:sz="4" w:space="0" w:color="14387F"/>
              <w:right w:val="single" w:sz="4" w:space="0" w:color="14387F"/>
            </w:tcBorders>
            <w:noWrap/>
            <w:vAlign w:val="center"/>
          </w:tcPr>
          <w:p w14:paraId="7CAE1DEE" w14:textId="77777777" w:rsidR="00863673" w:rsidRPr="009A6554" w:rsidRDefault="00863673" w:rsidP="004E5C01">
            <w:pPr>
              <w:pStyle w:val="tabulkatlo"/>
            </w:pPr>
            <w:r w:rsidRPr="009A6554">
              <w:t>32</w:t>
            </w:r>
          </w:p>
        </w:tc>
        <w:tc>
          <w:tcPr>
            <w:tcW w:w="554" w:type="dxa"/>
            <w:tcBorders>
              <w:top w:val="single" w:sz="4" w:space="0" w:color="14387F"/>
              <w:left w:val="single" w:sz="4" w:space="0" w:color="14387F"/>
              <w:bottom w:val="single" w:sz="4" w:space="0" w:color="14387F"/>
              <w:right w:val="single" w:sz="4" w:space="0" w:color="14387F"/>
            </w:tcBorders>
            <w:noWrap/>
            <w:vAlign w:val="center"/>
          </w:tcPr>
          <w:p w14:paraId="3EBF310B" w14:textId="77777777" w:rsidR="00863673" w:rsidRPr="009A6554" w:rsidRDefault="00863673" w:rsidP="004E5C01">
            <w:pPr>
              <w:pStyle w:val="tabulkatlo"/>
            </w:pPr>
            <w:r w:rsidRPr="009A6554">
              <w:t>56</w:t>
            </w:r>
          </w:p>
        </w:tc>
        <w:tc>
          <w:tcPr>
            <w:tcW w:w="553"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47C936F5" w14:textId="77777777" w:rsidR="00863673" w:rsidRPr="009A6554" w:rsidRDefault="00863673" w:rsidP="004E5C01">
            <w:pPr>
              <w:pStyle w:val="tabulkatlo"/>
            </w:pPr>
            <w:r w:rsidRPr="009A6554">
              <w:t>91</w:t>
            </w:r>
          </w:p>
        </w:tc>
        <w:tc>
          <w:tcPr>
            <w:tcW w:w="554"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0D4E252E" w14:textId="77777777" w:rsidR="00863673" w:rsidRPr="009A6554" w:rsidRDefault="00863673" w:rsidP="004E5C01">
            <w:pPr>
              <w:pStyle w:val="tabulkatlo"/>
            </w:pPr>
            <w:r w:rsidRPr="009A6554">
              <w:t>93</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09F516D4" w14:textId="77777777" w:rsidR="00863673" w:rsidRPr="009A6554" w:rsidRDefault="00863673" w:rsidP="004E5C01">
            <w:pPr>
              <w:pStyle w:val="tabulkatlo"/>
              <w:rPr>
                <w:color w:val="FFFFFF" w:themeColor="background1"/>
              </w:rPr>
            </w:pPr>
            <w:r w:rsidRPr="009A6554">
              <w:rPr>
                <w:color w:val="FFFFFF" w:themeColor="background1"/>
              </w:rPr>
              <w:t>97</w:t>
            </w:r>
          </w:p>
        </w:tc>
        <w:tc>
          <w:tcPr>
            <w:tcW w:w="553"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1A797093" w14:textId="77777777" w:rsidR="00863673" w:rsidRPr="009A6554" w:rsidRDefault="00863673" w:rsidP="004E5C01">
            <w:pPr>
              <w:pStyle w:val="tabulkatlo"/>
            </w:pPr>
            <w:r w:rsidRPr="009A6554">
              <w:t>91</w:t>
            </w:r>
          </w:p>
        </w:tc>
        <w:tc>
          <w:tcPr>
            <w:tcW w:w="554"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3FE07BAA" w14:textId="77777777" w:rsidR="00863673" w:rsidRPr="009A6554" w:rsidRDefault="00863673" w:rsidP="004E5C01">
            <w:pPr>
              <w:pStyle w:val="tabulkatlo"/>
            </w:pPr>
            <w:r w:rsidRPr="009A6554">
              <w:t>87</w:t>
            </w:r>
          </w:p>
        </w:tc>
        <w:tc>
          <w:tcPr>
            <w:tcW w:w="553"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21F4EE71" w14:textId="77777777" w:rsidR="00863673" w:rsidRPr="009A6554" w:rsidRDefault="00863673" w:rsidP="004E5C01">
            <w:pPr>
              <w:pStyle w:val="tabulkatlo"/>
            </w:pPr>
            <w:r w:rsidRPr="009A6554">
              <w:t>86</w:t>
            </w:r>
          </w:p>
        </w:tc>
        <w:tc>
          <w:tcPr>
            <w:tcW w:w="554"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4C6C3C0B" w14:textId="77777777" w:rsidR="00863673" w:rsidRPr="009A6554" w:rsidRDefault="00863673" w:rsidP="004E5C01">
            <w:pPr>
              <w:pStyle w:val="tabulkatlo"/>
            </w:pPr>
            <w:r w:rsidRPr="009A6554">
              <w:t>88</w:t>
            </w:r>
          </w:p>
        </w:tc>
        <w:tc>
          <w:tcPr>
            <w:tcW w:w="554" w:type="dxa"/>
            <w:tcBorders>
              <w:top w:val="single" w:sz="4" w:space="0" w:color="14387F"/>
              <w:left w:val="single" w:sz="4" w:space="0" w:color="14387F"/>
              <w:bottom w:val="single" w:sz="4" w:space="0" w:color="14387F"/>
              <w:right w:val="single" w:sz="4" w:space="0" w:color="14387F"/>
            </w:tcBorders>
            <w:noWrap/>
            <w:vAlign w:val="center"/>
          </w:tcPr>
          <w:p w14:paraId="6F484769" w14:textId="77777777" w:rsidR="00863673" w:rsidRPr="009A6554" w:rsidRDefault="00863673" w:rsidP="004E5C01">
            <w:pPr>
              <w:pStyle w:val="tabulkatlo"/>
            </w:pPr>
            <w:r w:rsidRPr="009A6554">
              <w:t>73</w:t>
            </w:r>
          </w:p>
        </w:tc>
        <w:tc>
          <w:tcPr>
            <w:tcW w:w="553" w:type="dxa"/>
            <w:tcBorders>
              <w:top w:val="single" w:sz="4" w:space="0" w:color="14387F"/>
              <w:left w:val="single" w:sz="4" w:space="0" w:color="14387F"/>
              <w:bottom w:val="single" w:sz="4" w:space="0" w:color="14387F"/>
              <w:right w:val="single" w:sz="4" w:space="0" w:color="14387F"/>
            </w:tcBorders>
            <w:noWrap/>
            <w:vAlign w:val="center"/>
          </w:tcPr>
          <w:p w14:paraId="42E88A0B" w14:textId="77777777" w:rsidR="00863673" w:rsidRPr="009A6554" w:rsidRDefault="00863673" w:rsidP="004E5C01">
            <w:pPr>
              <w:pStyle w:val="tabulkatlo"/>
            </w:pPr>
            <w:r w:rsidRPr="009A6554">
              <w:t>54</w:t>
            </w:r>
          </w:p>
        </w:tc>
        <w:tc>
          <w:tcPr>
            <w:tcW w:w="554" w:type="dxa"/>
            <w:tcBorders>
              <w:top w:val="single" w:sz="4" w:space="0" w:color="14387F"/>
              <w:left w:val="single" w:sz="4" w:space="0" w:color="14387F"/>
              <w:bottom w:val="single" w:sz="4" w:space="0" w:color="14387F"/>
              <w:right w:val="single" w:sz="4" w:space="0" w:color="14387F"/>
            </w:tcBorders>
            <w:noWrap/>
            <w:vAlign w:val="center"/>
          </w:tcPr>
          <w:p w14:paraId="6E04AE6C" w14:textId="77777777" w:rsidR="00863673" w:rsidRPr="009A6554" w:rsidRDefault="00863673" w:rsidP="004E5C01">
            <w:pPr>
              <w:pStyle w:val="tabulkatlo"/>
            </w:pPr>
            <w:r w:rsidRPr="009A6554">
              <w:t>68</w:t>
            </w:r>
          </w:p>
        </w:tc>
        <w:tc>
          <w:tcPr>
            <w:tcW w:w="554"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44A44AB0" w14:textId="77777777" w:rsidR="00863673" w:rsidRPr="009A6554" w:rsidRDefault="00863673" w:rsidP="004E5C01">
            <w:pPr>
              <w:pStyle w:val="tabulkatlo"/>
            </w:pPr>
            <w:r w:rsidRPr="009A6554">
              <w:t>91</w:t>
            </w:r>
          </w:p>
        </w:tc>
      </w:tr>
      <w:tr w:rsidR="00863673" w:rsidRPr="009A6554" w14:paraId="6738C23D" w14:textId="77777777" w:rsidTr="004E5C01">
        <w:trPr>
          <w:trHeight w:val="289"/>
        </w:trPr>
        <w:tc>
          <w:tcPr>
            <w:tcW w:w="1843" w:type="dxa"/>
            <w:tcBorders>
              <w:top w:val="nil"/>
              <w:left w:val="single" w:sz="4" w:space="0" w:color="002060"/>
              <w:bottom w:val="single" w:sz="4" w:space="0" w:color="002060"/>
              <w:right w:val="single" w:sz="4" w:space="0" w:color="14387F"/>
            </w:tcBorders>
            <w:noWrap/>
            <w:vAlign w:val="center"/>
            <w:hideMark/>
          </w:tcPr>
          <w:p w14:paraId="302FF696" w14:textId="77777777" w:rsidR="00863673" w:rsidRPr="009A6554" w:rsidRDefault="00863673" w:rsidP="004E5C01">
            <w:pPr>
              <w:jc w:val="left"/>
              <w:rPr>
                <w:rFonts w:cs="Arial"/>
                <w:sz w:val="18"/>
                <w:szCs w:val="18"/>
              </w:rPr>
            </w:pPr>
            <w:r w:rsidRPr="009A6554">
              <w:rPr>
                <w:rFonts w:cs="Arial"/>
                <w:sz w:val="18"/>
                <w:szCs w:val="18"/>
              </w:rPr>
              <w:t xml:space="preserve">Dyje </w:t>
            </w:r>
          </w:p>
        </w:tc>
        <w:tc>
          <w:tcPr>
            <w:tcW w:w="553" w:type="dxa"/>
            <w:tcBorders>
              <w:top w:val="single" w:sz="4" w:space="0" w:color="14387F"/>
              <w:left w:val="single" w:sz="4" w:space="0" w:color="14387F"/>
              <w:bottom w:val="single" w:sz="4" w:space="0" w:color="14387F"/>
              <w:right w:val="single" w:sz="4" w:space="0" w:color="14387F"/>
            </w:tcBorders>
            <w:noWrap/>
            <w:vAlign w:val="center"/>
          </w:tcPr>
          <w:p w14:paraId="3B13B255" w14:textId="77777777" w:rsidR="00863673" w:rsidRPr="009A6554" w:rsidRDefault="00863673" w:rsidP="004E5C01">
            <w:pPr>
              <w:pStyle w:val="tabulkatlo"/>
            </w:pPr>
            <w:r w:rsidRPr="009A6554">
              <w:t>37</w:t>
            </w:r>
          </w:p>
        </w:tc>
        <w:tc>
          <w:tcPr>
            <w:tcW w:w="554" w:type="dxa"/>
            <w:tcBorders>
              <w:top w:val="single" w:sz="4" w:space="0" w:color="14387F"/>
              <w:left w:val="single" w:sz="4" w:space="0" w:color="14387F"/>
              <w:bottom w:val="single" w:sz="4" w:space="0" w:color="14387F"/>
              <w:right w:val="single" w:sz="4" w:space="0" w:color="14387F"/>
            </w:tcBorders>
            <w:noWrap/>
            <w:vAlign w:val="center"/>
          </w:tcPr>
          <w:p w14:paraId="7DAD388C" w14:textId="77777777" w:rsidR="00863673" w:rsidRPr="009A6554" w:rsidRDefault="00863673" w:rsidP="004E5C01">
            <w:pPr>
              <w:pStyle w:val="tabulkatlo"/>
            </w:pPr>
            <w:r w:rsidRPr="009A6554">
              <w:t>67</w:t>
            </w:r>
          </w:p>
        </w:tc>
        <w:tc>
          <w:tcPr>
            <w:tcW w:w="553"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795F529C" w14:textId="77777777" w:rsidR="00863673" w:rsidRPr="009A6554" w:rsidRDefault="00863673" w:rsidP="004E5C01">
            <w:pPr>
              <w:pStyle w:val="tabulkatlo"/>
            </w:pPr>
            <w:r w:rsidRPr="009A6554">
              <w:t>91</w:t>
            </w:r>
          </w:p>
        </w:tc>
        <w:tc>
          <w:tcPr>
            <w:tcW w:w="554"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58F11F56" w14:textId="77777777" w:rsidR="00863673" w:rsidRPr="009A6554" w:rsidRDefault="00863673" w:rsidP="004E5C01">
            <w:pPr>
              <w:pStyle w:val="tabulkatlo"/>
            </w:pPr>
            <w:r w:rsidRPr="009A6554">
              <w:t>91</w:t>
            </w:r>
          </w:p>
        </w:tc>
        <w:tc>
          <w:tcPr>
            <w:tcW w:w="554"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354BF90A" w14:textId="77777777" w:rsidR="00863673" w:rsidRPr="009A6554" w:rsidRDefault="00863673" w:rsidP="004E5C01">
            <w:pPr>
              <w:pStyle w:val="tabulkatlo"/>
            </w:pPr>
            <w:r w:rsidRPr="009A6554">
              <w:t>89</w:t>
            </w:r>
          </w:p>
        </w:tc>
        <w:tc>
          <w:tcPr>
            <w:tcW w:w="553"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3E9DC375" w14:textId="77777777" w:rsidR="00863673" w:rsidRPr="009A6554" w:rsidRDefault="00863673" w:rsidP="004E5C01">
            <w:pPr>
              <w:pStyle w:val="tabulkatlo"/>
            </w:pPr>
            <w:r w:rsidRPr="009A6554">
              <w:t>91</w:t>
            </w:r>
          </w:p>
        </w:tc>
        <w:tc>
          <w:tcPr>
            <w:tcW w:w="554"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45603CA4" w14:textId="77777777" w:rsidR="00863673" w:rsidRPr="009A6554" w:rsidRDefault="00863673" w:rsidP="004E5C01">
            <w:pPr>
              <w:pStyle w:val="tabulkatlo"/>
            </w:pPr>
            <w:r w:rsidRPr="009A6554">
              <w:t>85</w:t>
            </w:r>
          </w:p>
        </w:tc>
        <w:tc>
          <w:tcPr>
            <w:tcW w:w="553"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180330F4" w14:textId="77777777" w:rsidR="00863673" w:rsidRPr="009A6554" w:rsidRDefault="00863673" w:rsidP="004E5C01">
            <w:pPr>
              <w:pStyle w:val="tabulkatlo"/>
            </w:pPr>
            <w:r w:rsidRPr="009A6554">
              <w:t>84</w:t>
            </w:r>
          </w:p>
        </w:tc>
        <w:tc>
          <w:tcPr>
            <w:tcW w:w="554"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4D79BE28" w14:textId="77777777" w:rsidR="00863673" w:rsidRPr="009A6554" w:rsidRDefault="00863673" w:rsidP="004E5C01">
            <w:pPr>
              <w:pStyle w:val="tabulkatlo"/>
            </w:pPr>
            <w:r w:rsidRPr="009A6554">
              <w:t>83</w:t>
            </w:r>
          </w:p>
        </w:tc>
        <w:tc>
          <w:tcPr>
            <w:tcW w:w="554"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5280E33D" w14:textId="77777777" w:rsidR="00863673" w:rsidRPr="009A6554" w:rsidRDefault="00863673" w:rsidP="004E5C01">
            <w:pPr>
              <w:pStyle w:val="tabulkatlo"/>
            </w:pPr>
            <w:r w:rsidRPr="009A6554">
              <w:t>82</w:t>
            </w:r>
          </w:p>
        </w:tc>
        <w:tc>
          <w:tcPr>
            <w:tcW w:w="553"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359A8BC7" w14:textId="77777777" w:rsidR="00863673" w:rsidRPr="009A6554" w:rsidRDefault="00863673" w:rsidP="004E5C01">
            <w:pPr>
              <w:pStyle w:val="tabulkatlo"/>
            </w:pPr>
            <w:r w:rsidRPr="009A6554">
              <w:t>76</w:t>
            </w:r>
          </w:p>
        </w:tc>
        <w:tc>
          <w:tcPr>
            <w:tcW w:w="554" w:type="dxa"/>
            <w:tcBorders>
              <w:top w:val="single" w:sz="4" w:space="0" w:color="14387F"/>
              <w:left w:val="single" w:sz="4" w:space="0" w:color="14387F"/>
              <w:bottom w:val="single" w:sz="4" w:space="0" w:color="14387F"/>
              <w:right w:val="single" w:sz="4" w:space="0" w:color="14387F"/>
            </w:tcBorders>
            <w:noWrap/>
            <w:vAlign w:val="center"/>
          </w:tcPr>
          <w:p w14:paraId="04F12B5C" w14:textId="77777777" w:rsidR="00863673" w:rsidRPr="009A6554" w:rsidRDefault="00863673" w:rsidP="004E5C01">
            <w:pPr>
              <w:pStyle w:val="tabulkatlo"/>
            </w:pPr>
            <w:r w:rsidRPr="009A6554">
              <w:t>68</w:t>
            </w:r>
          </w:p>
        </w:tc>
        <w:tc>
          <w:tcPr>
            <w:tcW w:w="554"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331928A3" w14:textId="77777777" w:rsidR="00863673" w:rsidRPr="009A6554" w:rsidRDefault="00863673" w:rsidP="004E5C01">
            <w:pPr>
              <w:pStyle w:val="tabulkatlo"/>
            </w:pPr>
            <w:r w:rsidRPr="009A6554">
              <w:t>90</w:t>
            </w:r>
          </w:p>
        </w:tc>
      </w:tr>
      <w:tr w:rsidR="00863673" w:rsidRPr="009A6554" w14:paraId="119E07A4" w14:textId="77777777" w:rsidTr="004E5C01">
        <w:trPr>
          <w:trHeight w:val="289"/>
        </w:trPr>
        <w:tc>
          <w:tcPr>
            <w:tcW w:w="1843" w:type="dxa"/>
            <w:tcBorders>
              <w:top w:val="nil"/>
              <w:left w:val="single" w:sz="4" w:space="0" w:color="002060"/>
              <w:bottom w:val="single" w:sz="4" w:space="0" w:color="002060"/>
              <w:right w:val="single" w:sz="4" w:space="0" w:color="14387F"/>
            </w:tcBorders>
            <w:noWrap/>
            <w:vAlign w:val="center"/>
            <w:hideMark/>
          </w:tcPr>
          <w:p w14:paraId="078093E0" w14:textId="77777777" w:rsidR="00863673" w:rsidRPr="009A6554" w:rsidRDefault="00863673" w:rsidP="004E5C01">
            <w:pPr>
              <w:jc w:val="left"/>
              <w:rPr>
                <w:rFonts w:cs="Arial"/>
                <w:sz w:val="18"/>
                <w:szCs w:val="18"/>
              </w:rPr>
            </w:pPr>
            <w:r w:rsidRPr="009A6554">
              <w:rPr>
                <w:rFonts w:cs="Arial"/>
                <w:sz w:val="18"/>
                <w:szCs w:val="18"/>
              </w:rPr>
              <w:t>ČR</w:t>
            </w:r>
          </w:p>
        </w:tc>
        <w:tc>
          <w:tcPr>
            <w:tcW w:w="553" w:type="dxa"/>
            <w:tcBorders>
              <w:top w:val="single" w:sz="4" w:space="0" w:color="14387F"/>
              <w:left w:val="single" w:sz="4" w:space="0" w:color="14387F"/>
              <w:bottom w:val="single" w:sz="4" w:space="0" w:color="14387F"/>
              <w:right w:val="single" w:sz="4" w:space="0" w:color="14387F"/>
            </w:tcBorders>
            <w:noWrap/>
            <w:vAlign w:val="center"/>
          </w:tcPr>
          <w:p w14:paraId="6AB5B98F" w14:textId="77777777" w:rsidR="00863673" w:rsidRPr="009A6554" w:rsidRDefault="00863673" w:rsidP="004E5C01">
            <w:pPr>
              <w:pStyle w:val="tabulkatlo"/>
            </w:pPr>
            <w:r w:rsidRPr="009A6554">
              <w:t>43</w:t>
            </w:r>
          </w:p>
        </w:tc>
        <w:tc>
          <w:tcPr>
            <w:tcW w:w="554" w:type="dxa"/>
            <w:tcBorders>
              <w:top w:val="single" w:sz="4" w:space="0" w:color="14387F"/>
              <w:left w:val="single" w:sz="4" w:space="0" w:color="14387F"/>
              <w:bottom w:val="single" w:sz="4" w:space="0" w:color="14387F"/>
              <w:right w:val="single" w:sz="4" w:space="0" w:color="14387F"/>
            </w:tcBorders>
            <w:noWrap/>
            <w:vAlign w:val="center"/>
          </w:tcPr>
          <w:p w14:paraId="589CA433" w14:textId="77777777" w:rsidR="00863673" w:rsidRPr="009A6554" w:rsidRDefault="00863673" w:rsidP="004E5C01">
            <w:pPr>
              <w:pStyle w:val="tabulkatlo"/>
            </w:pPr>
            <w:r w:rsidRPr="009A6554">
              <w:t>67</w:t>
            </w:r>
          </w:p>
        </w:tc>
        <w:tc>
          <w:tcPr>
            <w:tcW w:w="553"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0C541F08" w14:textId="77777777" w:rsidR="00863673" w:rsidRPr="009A6554" w:rsidRDefault="00863673" w:rsidP="004E5C01">
            <w:pPr>
              <w:pStyle w:val="tabulkatlo"/>
            </w:pPr>
            <w:r w:rsidRPr="009A6554">
              <w:t>95</w:t>
            </w:r>
          </w:p>
        </w:tc>
        <w:tc>
          <w:tcPr>
            <w:tcW w:w="554"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12373BF8" w14:textId="77777777" w:rsidR="00863673" w:rsidRPr="009A6554" w:rsidRDefault="00863673" w:rsidP="004E5C01">
            <w:pPr>
              <w:pStyle w:val="tabulkatlo"/>
            </w:pPr>
            <w:r w:rsidRPr="009A6554">
              <w:t>95</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6C044633" w14:textId="77777777" w:rsidR="00863673" w:rsidRPr="009A6554" w:rsidRDefault="00863673" w:rsidP="004E5C01">
            <w:pPr>
              <w:pStyle w:val="tabulkatlo"/>
              <w:rPr>
                <w:color w:val="FFFFFF" w:themeColor="background1"/>
              </w:rPr>
            </w:pPr>
            <w:r w:rsidRPr="009A6554">
              <w:rPr>
                <w:color w:val="FFFFFF" w:themeColor="background1"/>
              </w:rPr>
              <w:t>96</w:t>
            </w:r>
          </w:p>
        </w:tc>
        <w:tc>
          <w:tcPr>
            <w:tcW w:w="553"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7B05F9B3" w14:textId="77777777" w:rsidR="00863673" w:rsidRPr="009A6554" w:rsidRDefault="00863673" w:rsidP="004E5C01">
            <w:pPr>
              <w:pStyle w:val="tabulkatlo"/>
              <w:rPr>
                <w:color w:val="FFFFFF" w:themeColor="background1"/>
              </w:rPr>
            </w:pPr>
            <w:r w:rsidRPr="009A6554">
              <w:rPr>
                <w:color w:val="FFFFFF" w:themeColor="background1"/>
              </w:rPr>
              <w:t>99</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2F494CE0" w14:textId="77777777" w:rsidR="00863673" w:rsidRPr="009A6554" w:rsidRDefault="00863673" w:rsidP="004E5C01">
            <w:pPr>
              <w:pStyle w:val="tabulkatlo"/>
              <w:rPr>
                <w:color w:val="FFFFFF" w:themeColor="background1"/>
              </w:rPr>
            </w:pPr>
            <w:r w:rsidRPr="009A6554">
              <w:rPr>
                <w:color w:val="FFFFFF" w:themeColor="background1"/>
              </w:rPr>
              <w:t>97</w:t>
            </w:r>
          </w:p>
        </w:tc>
        <w:tc>
          <w:tcPr>
            <w:tcW w:w="553"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2A17092A" w14:textId="77777777" w:rsidR="00863673" w:rsidRPr="009A6554" w:rsidRDefault="00863673" w:rsidP="004E5C01">
            <w:pPr>
              <w:pStyle w:val="tabulkatlo"/>
            </w:pPr>
            <w:r w:rsidRPr="009A6554">
              <w:t>94</w:t>
            </w:r>
          </w:p>
        </w:tc>
        <w:tc>
          <w:tcPr>
            <w:tcW w:w="554"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50C7574A" w14:textId="77777777" w:rsidR="00863673" w:rsidRPr="009A6554" w:rsidRDefault="00863673" w:rsidP="004E5C01">
            <w:pPr>
              <w:pStyle w:val="tabulkatlo"/>
            </w:pPr>
            <w:r w:rsidRPr="009A6554">
              <w:t>92</w:t>
            </w:r>
          </w:p>
        </w:tc>
        <w:tc>
          <w:tcPr>
            <w:tcW w:w="554"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0A6C9338" w14:textId="77777777" w:rsidR="00863673" w:rsidRPr="009A6554" w:rsidRDefault="00863673" w:rsidP="004E5C01">
            <w:pPr>
              <w:pStyle w:val="tabulkatlo"/>
            </w:pPr>
            <w:r w:rsidRPr="009A6554">
              <w:t>88</w:t>
            </w:r>
          </w:p>
        </w:tc>
        <w:tc>
          <w:tcPr>
            <w:tcW w:w="553" w:type="dxa"/>
            <w:tcBorders>
              <w:top w:val="single" w:sz="4" w:space="0" w:color="14387F"/>
              <w:left w:val="single" w:sz="4" w:space="0" w:color="14387F"/>
              <w:bottom w:val="single" w:sz="4" w:space="0" w:color="14387F"/>
              <w:right w:val="single" w:sz="4" w:space="0" w:color="14387F"/>
            </w:tcBorders>
            <w:shd w:val="clear" w:color="auto" w:fill="FCBBA1"/>
            <w:noWrap/>
            <w:vAlign w:val="center"/>
          </w:tcPr>
          <w:p w14:paraId="02587CF3" w14:textId="77777777" w:rsidR="00863673" w:rsidRPr="009A6554" w:rsidRDefault="00863673" w:rsidP="004E5C01">
            <w:pPr>
              <w:pStyle w:val="tabulkatlo"/>
            </w:pPr>
            <w:r w:rsidRPr="009A6554">
              <w:t>80</w:t>
            </w:r>
          </w:p>
        </w:tc>
        <w:tc>
          <w:tcPr>
            <w:tcW w:w="554" w:type="dxa"/>
            <w:tcBorders>
              <w:top w:val="single" w:sz="4" w:space="0" w:color="14387F"/>
              <w:left w:val="single" w:sz="4" w:space="0" w:color="14387F"/>
              <w:bottom w:val="single" w:sz="4" w:space="0" w:color="14387F"/>
              <w:right w:val="single" w:sz="4" w:space="0" w:color="14387F"/>
            </w:tcBorders>
            <w:shd w:val="clear" w:color="auto" w:fill="FB6A4A"/>
            <w:noWrap/>
            <w:vAlign w:val="center"/>
          </w:tcPr>
          <w:p w14:paraId="17BE3332" w14:textId="77777777" w:rsidR="00863673" w:rsidRPr="009A6554" w:rsidRDefault="00863673" w:rsidP="004E5C01">
            <w:pPr>
              <w:pStyle w:val="tabulkatlo"/>
            </w:pPr>
            <w:r w:rsidRPr="009A6554">
              <w:t>88</w:t>
            </w:r>
          </w:p>
        </w:tc>
        <w:tc>
          <w:tcPr>
            <w:tcW w:w="554" w:type="dxa"/>
            <w:tcBorders>
              <w:top w:val="single" w:sz="4" w:space="0" w:color="14387F"/>
              <w:left w:val="single" w:sz="4" w:space="0" w:color="14387F"/>
              <w:bottom w:val="single" w:sz="4" w:space="0" w:color="14387F"/>
              <w:right w:val="single" w:sz="4" w:space="0" w:color="14387F"/>
            </w:tcBorders>
            <w:shd w:val="clear" w:color="auto" w:fill="CB181D"/>
            <w:noWrap/>
            <w:vAlign w:val="center"/>
          </w:tcPr>
          <w:p w14:paraId="76BED27D" w14:textId="77777777" w:rsidR="00863673" w:rsidRPr="009A6554" w:rsidRDefault="00863673" w:rsidP="004E5C01">
            <w:pPr>
              <w:pStyle w:val="tabulkatlo"/>
            </w:pPr>
            <w:r w:rsidRPr="009A6554">
              <w:rPr>
                <w:color w:val="FFFFFF" w:themeColor="background1"/>
              </w:rPr>
              <w:t>96</w:t>
            </w:r>
          </w:p>
        </w:tc>
      </w:tr>
    </w:tbl>
    <w:p w14:paraId="6629DD4A" w14:textId="77777777" w:rsidR="00863673" w:rsidRDefault="00863673" w:rsidP="007C4955">
      <w:pPr>
        <w:contextualSpacing/>
        <w:rPr>
          <w:i/>
          <w:color w:val="000000" w:themeColor="text1"/>
          <w:sz w:val="20"/>
          <w:szCs w:val="20"/>
          <w:highlight w:val="yellow"/>
          <w:lang w:val="en-US"/>
        </w:rPr>
      </w:pPr>
    </w:p>
    <w:p w14:paraId="4F679FA9" w14:textId="560DB01B" w:rsidR="00862B67" w:rsidRPr="00863673" w:rsidRDefault="00862B67" w:rsidP="007C4955">
      <w:pPr>
        <w:contextualSpacing/>
        <w:rPr>
          <w:i/>
          <w:color w:val="000000" w:themeColor="text1"/>
          <w:sz w:val="20"/>
          <w:szCs w:val="20"/>
          <w:lang w:val="en-US"/>
        </w:rPr>
      </w:pPr>
      <w:proofErr w:type="spellStart"/>
      <w:r w:rsidRPr="00863673">
        <w:rPr>
          <w:i/>
          <w:color w:val="000000" w:themeColor="text1"/>
          <w:sz w:val="20"/>
          <w:szCs w:val="20"/>
          <w:lang w:val="en-US"/>
        </w:rPr>
        <w:t>Pramen</w:t>
      </w:r>
      <w:proofErr w:type="spellEnd"/>
      <w:r w:rsidRPr="00863673">
        <w:rPr>
          <w:i/>
          <w:color w:val="000000" w:themeColor="text1"/>
          <w:sz w:val="20"/>
          <w:szCs w:val="20"/>
          <w:lang w:val="en-US"/>
        </w:rPr>
        <w:t>: ČHMÚ</w:t>
      </w:r>
    </w:p>
    <w:p w14:paraId="5564EAFD" w14:textId="77777777" w:rsidR="00862B67" w:rsidRPr="00863673" w:rsidRDefault="00C46A9D" w:rsidP="007C4955">
      <w:pPr>
        <w:ind w:left="709" w:hanging="709"/>
        <w:contextualSpacing/>
        <w:rPr>
          <w:i/>
          <w:color w:val="000000" w:themeColor="text1"/>
          <w:sz w:val="20"/>
          <w:szCs w:val="20"/>
        </w:rPr>
      </w:pPr>
      <w:r w:rsidRPr="00863673">
        <w:rPr>
          <w:i/>
          <w:color w:val="000000" w:themeColor="text1"/>
          <w:sz w:val="20"/>
          <w:szCs w:val="20"/>
        </w:rPr>
        <w:t xml:space="preserve">Pozn.: </w:t>
      </w:r>
      <w:r w:rsidR="008E06F1" w:rsidRPr="00863673">
        <w:rPr>
          <w:i/>
          <w:color w:val="000000" w:themeColor="text1"/>
          <w:sz w:val="20"/>
          <w:szCs w:val="20"/>
        </w:rPr>
        <w:t xml:space="preserve">Červená barevná škála odpovídá zatřídění do kategorií mírně (75–85 %), silně (85–95 %) </w:t>
      </w:r>
      <w:r w:rsidR="00434C7B" w:rsidRPr="00863673">
        <w:rPr>
          <w:i/>
          <w:color w:val="000000" w:themeColor="text1"/>
          <w:sz w:val="20"/>
          <w:szCs w:val="20"/>
        </w:rPr>
        <w:t>a </w:t>
      </w:r>
      <w:r w:rsidR="008E06F1" w:rsidRPr="00863673">
        <w:rPr>
          <w:i/>
          <w:color w:val="000000" w:themeColor="text1"/>
          <w:sz w:val="20"/>
          <w:szCs w:val="20"/>
        </w:rPr>
        <w:t>mimořádně (95–100 %) podnormální vydatnost. Modře je vyznačena vydatnost mírně (15–25 %), silně (5–15 %) a mimořádně (0–5 %) nadnormální.</w:t>
      </w:r>
    </w:p>
    <w:p w14:paraId="4BA0E3B9" w14:textId="77777777" w:rsidR="00A87E99" w:rsidRPr="00104F7D" w:rsidRDefault="00A87E99" w:rsidP="0082323B">
      <w:pPr>
        <w:contextualSpacing/>
        <w:rPr>
          <w:rFonts w:cs="Arial"/>
          <w:b/>
          <w:color w:val="000000" w:themeColor="text1"/>
          <w:highlight w:val="yellow"/>
        </w:rPr>
      </w:pPr>
    </w:p>
    <w:p w14:paraId="665379F4" w14:textId="02031748" w:rsidR="002440CD" w:rsidRPr="00E90C05" w:rsidRDefault="00A64D6C" w:rsidP="0082323B">
      <w:pPr>
        <w:contextualSpacing/>
        <w:rPr>
          <w:rFonts w:cs="Arial"/>
          <w:b/>
          <w:color w:val="000000" w:themeColor="text1"/>
        </w:rPr>
      </w:pPr>
      <w:r w:rsidRPr="00E90C05">
        <w:rPr>
          <w:rFonts w:cs="Arial"/>
          <w:b/>
          <w:color w:val="000000" w:themeColor="text1"/>
        </w:rPr>
        <w:t>Hluboké vrty</w:t>
      </w:r>
    </w:p>
    <w:p w14:paraId="530272DA" w14:textId="77777777" w:rsidR="0082323B" w:rsidRPr="00104F7D" w:rsidRDefault="0082323B" w:rsidP="0082323B">
      <w:pPr>
        <w:rPr>
          <w:highlight w:val="yellow"/>
        </w:rPr>
      </w:pPr>
    </w:p>
    <w:p w14:paraId="083356B8" w14:textId="77777777" w:rsidR="00E90C05" w:rsidRDefault="00E90C05" w:rsidP="00E90C05">
      <w:r w:rsidRPr="009A6554">
        <w:t xml:space="preserve">Stav hladiny hlubokých zvodní se celkově zhoršil. Mimořádně podnormální hladina byla během celého roku </w:t>
      </w:r>
      <w:r w:rsidRPr="00EA27E8">
        <w:t>v</w:t>
      </w:r>
      <w:r>
        <w:t> </w:t>
      </w:r>
      <w:r w:rsidRPr="009A6554">
        <w:t xml:space="preserve">části severočeské křídy (skupina </w:t>
      </w:r>
      <w:r w:rsidRPr="00EA27E8">
        <w:t>hydrogeologických</w:t>
      </w:r>
      <w:r w:rsidRPr="00223E61">
        <w:rPr>
          <w:bCs/>
          <w:i/>
        </w:rPr>
        <w:t xml:space="preserve"> </w:t>
      </w:r>
      <w:r w:rsidRPr="009A6554">
        <w:t xml:space="preserve">rajonů </w:t>
      </w:r>
      <w:r>
        <w:t>dále jen „HGR“</w:t>
      </w:r>
      <w:r w:rsidRPr="006028A9">
        <w:t xml:space="preserve"> </w:t>
      </w:r>
      <w:proofErr w:type="gramStart"/>
      <w:r w:rsidRPr="009A6554">
        <w:t>4B</w:t>
      </w:r>
      <w:proofErr w:type="gramEnd"/>
      <w:r w:rsidRPr="009A6554">
        <w:t xml:space="preserve">, </w:t>
      </w:r>
      <w:proofErr w:type="gramStart"/>
      <w:r w:rsidRPr="009A6554">
        <w:t>4C</w:t>
      </w:r>
      <w:proofErr w:type="gramEnd"/>
      <w:r w:rsidRPr="009A6554">
        <w:t xml:space="preserve">), také v části </w:t>
      </w:r>
      <w:proofErr w:type="gramStart"/>
      <w:r w:rsidRPr="009A6554">
        <w:t>4D</w:t>
      </w:r>
      <w:proofErr w:type="gramEnd"/>
      <w:r w:rsidRPr="009A6554">
        <w:t xml:space="preserve"> trval po celý rok pouze silně nebo mimořádně podnormální stav. Naproti tomu hladina v části severočeské křídy </w:t>
      </w:r>
      <w:proofErr w:type="gramStart"/>
      <w:r w:rsidRPr="009A6554">
        <w:t>4A</w:t>
      </w:r>
      <w:proofErr w:type="gramEnd"/>
      <w:r w:rsidRPr="009A6554">
        <w:t xml:space="preserve"> byla od ledna do srpna silně, příp. mimořádně nadnormální, a i na konci </w:t>
      </w:r>
      <w:r w:rsidRPr="009A6554">
        <w:lastRenderedPageBreak/>
        <w:t xml:space="preserve">roku zůstala normální. </w:t>
      </w:r>
      <w:r>
        <w:t>V</w:t>
      </w:r>
      <w:r w:rsidRPr="009A6554">
        <w:t xml:space="preserve"> části </w:t>
      </w:r>
      <w:proofErr w:type="spellStart"/>
      <w:r w:rsidRPr="009A6554">
        <w:t>permokarbonu</w:t>
      </w:r>
      <w:proofErr w:type="spellEnd"/>
      <w:r w:rsidRPr="009A6554">
        <w:t xml:space="preserve"> středních a západních Čech (</w:t>
      </w:r>
      <w:proofErr w:type="gramStart"/>
      <w:r w:rsidRPr="009A6554">
        <w:t>8A</w:t>
      </w:r>
      <w:proofErr w:type="gramEnd"/>
      <w:r w:rsidRPr="009A6554">
        <w:t xml:space="preserve">, </w:t>
      </w:r>
      <w:proofErr w:type="gramStart"/>
      <w:r w:rsidRPr="009A6554">
        <w:t>8B</w:t>
      </w:r>
      <w:proofErr w:type="gramEnd"/>
      <w:r w:rsidRPr="009A6554">
        <w:t xml:space="preserve">) trval po celý rok pouze mimořádně podnormální stav hladiny. Ve zbývající části </w:t>
      </w:r>
      <w:proofErr w:type="spellStart"/>
      <w:r w:rsidRPr="009A6554">
        <w:t>permokarbonu</w:t>
      </w:r>
      <w:proofErr w:type="spellEnd"/>
      <w:r w:rsidRPr="009A6554">
        <w:t xml:space="preserve"> středních a západních Čech (</w:t>
      </w:r>
      <w:proofErr w:type="gramStart"/>
      <w:r w:rsidRPr="009A6554">
        <w:t>8C</w:t>
      </w:r>
      <w:proofErr w:type="gramEnd"/>
      <w:r w:rsidRPr="009A6554">
        <w:t xml:space="preserve">) byla hladina celoročně normální nebo mírně podnormální. V části </w:t>
      </w:r>
      <w:proofErr w:type="spellStart"/>
      <w:r w:rsidRPr="009A6554">
        <w:t>permokarbonu</w:t>
      </w:r>
      <w:proofErr w:type="spellEnd"/>
      <w:r w:rsidRPr="009A6554">
        <w:t xml:space="preserve"> východních Čech </w:t>
      </w:r>
      <w:proofErr w:type="gramStart"/>
      <w:r w:rsidRPr="009A6554">
        <w:t>9A</w:t>
      </w:r>
      <w:proofErr w:type="gramEnd"/>
      <w:r w:rsidRPr="009A6554">
        <w:t xml:space="preserve"> byl na začátku roku stav normální, ale již v březnu </w:t>
      </w:r>
      <w:r>
        <w:t>se zhoršil na</w:t>
      </w:r>
      <w:r w:rsidRPr="009A6554">
        <w:t xml:space="preserve"> silně podnormální a od dubna do července trval mimořádně podnormální stav. Poté se stav zvolna zlepšoval až na normální v listopadu a prosinci. V části </w:t>
      </w:r>
      <w:proofErr w:type="spellStart"/>
      <w:r w:rsidRPr="009A6554">
        <w:t>permokarbonu</w:t>
      </w:r>
      <w:proofErr w:type="spellEnd"/>
      <w:r w:rsidRPr="009A6554">
        <w:t xml:space="preserve"> východních Čech </w:t>
      </w:r>
      <w:proofErr w:type="gramStart"/>
      <w:r w:rsidRPr="009A6554">
        <w:t>9B</w:t>
      </w:r>
      <w:proofErr w:type="gramEnd"/>
      <w:r w:rsidRPr="009A6554">
        <w:t xml:space="preserve"> byl na začátku roku stav převážně normální, </w:t>
      </w:r>
      <w:r>
        <w:t>ale od dubna</w:t>
      </w:r>
      <w:r w:rsidRPr="009A6554">
        <w:t xml:space="preserve"> až do konce roku byl většinou mírně nebo silně podnormální. V jihočeských pánvích byla na začátku roku hladina normální, poté se její stav zhoršoval, takže v části </w:t>
      </w:r>
      <w:proofErr w:type="gramStart"/>
      <w:r w:rsidRPr="009A6554">
        <w:t>2A</w:t>
      </w:r>
      <w:proofErr w:type="gramEnd"/>
      <w:r w:rsidRPr="009A6554">
        <w:t xml:space="preserve"> a </w:t>
      </w:r>
      <w:proofErr w:type="gramStart"/>
      <w:r w:rsidRPr="009A6554">
        <w:t>2D</w:t>
      </w:r>
      <w:proofErr w:type="gramEnd"/>
      <w:r w:rsidRPr="009A6554">
        <w:t xml:space="preserve"> trval silně podnormální stav od června do prosince. V části jihočeských pánví </w:t>
      </w:r>
      <w:proofErr w:type="gramStart"/>
      <w:r w:rsidRPr="009A6554">
        <w:t>2C</w:t>
      </w:r>
      <w:proofErr w:type="gramEnd"/>
      <w:r w:rsidRPr="009A6554">
        <w:t xml:space="preserve"> byl stav převážně no</w:t>
      </w:r>
      <w:r>
        <w:t>rmální, příp. mírně podnormální</w:t>
      </w:r>
      <w:r w:rsidRPr="009A6554">
        <w:t>, v</w:t>
      </w:r>
      <w:r>
        <w:t> </w:t>
      </w:r>
      <w:r w:rsidRPr="009A6554">
        <w:t xml:space="preserve">části </w:t>
      </w:r>
      <w:proofErr w:type="gramStart"/>
      <w:r w:rsidRPr="009A6554">
        <w:t>2B</w:t>
      </w:r>
      <w:proofErr w:type="gramEnd"/>
      <w:r w:rsidRPr="009A6554">
        <w:t xml:space="preserve"> </w:t>
      </w:r>
      <w:r>
        <w:t xml:space="preserve">byl </w:t>
      </w:r>
      <w:r w:rsidRPr="009A6554">
        <w:t xml:space="preserve">převážně normální. V části podkrušnohorských pánví </w:t>
      </w:r>
      <w:proofErr w:type="gramStart"/>
      <w:r w:rsidRPr="009A6554">
        <w:t>1A</w:t>
      </w:r>
      <w:proofErr w:type="gramEnd"/>
      <w:r w:rsidRPr="009A6554">
        <w:t xml:space="preserve"> byl stav hladiny celoročně převážně normální, pouze od února do května </w:t>
      </w:r>
      <w:r>
        <w:t xml:space="preserve">byl </w:t>
      </w:r>
      <w:r w:rsidRPr="009A6554">
        <w:t xml:space="preserve">mírně nebo silně podnormální. </w:t>
      </w:r>
      <w:r>
        <w:t>Naopak v</w:t>
      </w:r>
      <w:r w:rsidRPr="009A6554">
        <w:t xml:space="preserve"> části </w:t>
      </w:r>
      <w:proofErr w:type="gramStart"/>
      <w:r w:rsidRPr="009A6554">
        <w:t>1B</w:t>
      </w:r>
      <w:proofErr w:type="gramEnd"/>
      <w:r w:rsidRPr="009A6554">
        <w:t xml:space="preserve"> byl stav </w:t>
      </w:r>
      <w:r>
        <w:t xml:space="preserve">normální pouze </w:t>
      </w:r>
      <w:r w:rsidRPr="009A6554">
        <w:t>v lednu</w:t>
      </w:r>
      <w:r>
        <w:t xml:space="preserve"> a do konce roku převládal silně, příp. silně podnormální stav</w:t>
      </w:r>
      <w:r w:rsidRPr="009A6554">
        <w:t xml:space="preserve">. Ve východočeské křídě byla hladina v lednu převážně mírně nadnormální, ale poté rychle poklesla, takže od dubna do července byla </w:t>
      </w:r>
      <w:r>
        <w:t>většinou</w:t>
      </w:r>
      <w:r w:rsidRPr="009A6554">
        <w:t xml:space="preserve"> silně podnormální. Do konce roku se stav zlepšil na normální, pouze </w:t>
      </w:r>
      <w:r>
        <w:t>v</w:t>
      </w:r>
      <w:r w:rsidRPr="009A6554">
        <w:t xml:space="preserve"> části </w:t>
      </w:r>
      <w:proofErr w:type="gramStart"/>
      <w:r w:rsidRPr="009A6554">
        <w:t>5A</w:t>
      </w:r>
      <w:proofErr w:type="gramEnd"/>
      <w:r w:rsidRPr="009A6554">
        <w:t xml:space="preserve"> zůstal mírně podnormální. V </w:t>
      </w:r>
      <w:r>
        <w:t xml:space="preserve">části </w:t>
      </w:r>
      <w:proofErr w:type="spellStart"/>
      <w:r w:rsidRPr="009A6554">
        <w:t>cenomanu</w:t>
      </w:r>
      <w:proofErr w:type="spellEnd"/>
      <w:r w:rsidRPr="009A6554">
        <w:t xml:space="preserve"> východočeské křídy (</w:t>
      </w:r>
      <w:proofErr w:type="gramStart"/>
      <w:r w:rsidRPr="009A6554">
        <w:t>7B</w:t>
      </w:r>
      <w:proofErr w:type="gramEnd"/>
      <w:r w:rsidRPr="009A6554">
        <w:t xml:space="preserve">, </w:t>
      </w:r>
      <w:proofErr w:type="gramStart"/>
      <w:r w:rsidRPr="009A6554">
        <w:t>7C</w:t>
      </w:r>
      <w:proofErr w:type="gramEnd"/>
      <w:r w:rsidRPr="009A6554">
        <w:t>) trval do února převážně normální stav, pak došlo k poklesu hladiny</w:t>
      </w:r>
      <w:r>
        <w:t xml:space="preserve"> a </w:t>
      </w:r>
      <w:r w:rsidRPr="009A6554">
        <w:t xml:space="preserve">silně podnormální </w:t>
      </w:r>
      <w:r>
        <w:t xml:space="preserve">stav převládal </w:t>
      </w:r>
      <w:r w:rsidRPr="009A6554">
        <w:t xml:space="preserve">až do konce roku. </w:t>
      </w:r>
      <w:r>
        <w:t>Naopak v</w:t>
      </w:r>
      <w:r w:rsidRPr="009A6554">
        <w:t xml:space="preserve"> části </w:t>
      </w:r>
      <w:proofErr w:type="gramStart"/>
      <w:r w:rsidRPr="009A6554">
        <w:t>7A</w:t>
      </w:r>
      <w:proofErr w:type="gramEnd"/>
      <w:r w:rsidRPr="009A6554">
        <w:t xml:space="preserve"> </w:t>
      </w:r>
      <w:r>
        <w:t>byla hladina</w:t>
      </w:r>
      <w:r w:rsidRPr="009A6554">
        <w:t xml:space="preserve"> až do dubna silně nadnormální, od července až do konce roku byl</w:t>
      </w:r>
      <w:r>
        <w:t>a</w:t>
      </w:r>
      <w:r w:rsidRPr="009A6554">
        <w:t xml:space="preserve"> normální. V </w:t>
      </w:r>
      <w:proofErr w:type="spellStart"/>
      <w:r w:rsidRPr="009A6554">
        <w:t>cenomanu</w:t>
      </w:r>
      <w:proofErr w:type="spellEnd"/>
      <w:r w:rsidRPr="009A6554">
        <w:t xml:space="preserve"> severočeské křídy v části </w:t>
      </w:r>
      <w:proofErr w:type="gramStart"/>
      <w:r w:rsidRPr="009A6554">
        <w:t>6A</w:t>
      </w:r>
      <w:proofErr w:type="gramEnd"/>
      <w:r w:rsidRPr="009A6554">
        <w:t xml:space="preserve"> byla hladina celoročně převážně normální, příp. mírně podnormální, jen v listopadu a prosinci byl</w:t>
      </w:r>
      <w:r>
        <w:t>a</w:t>
      </w:r>
      <w:r w:rsidRPr="009A6554">
        <w:t xml:space="preserve"> silně podnormální. V části 6D a 6E byl stav téměř výhradně normální. Silně a mimořádně nadnormální byla po celý rok hladina v částech </w:t>
      </w:r>
      <w:proofErr w:type="gramStart"/>
      <w:r w:rsidRPr="009A6554">
        <w:t>6B</w:t>
      </w:r>
      <w:proofErr w:type="gramEnd"/>
      <w:r w:rsidRPr="009A6554">
        <w:t xml:space="preserve"> a </w:t>
      </w:r>
      <w:proofErr w:type="gramStart"/>
      <w:r w:rsidRPr="009A6554">
        <w:t>6C</w:t>
      </w:r>
      <w:proofErr w:type="gramEnd"/>
      <w:r w:rsidRPr="009A6554">
        <w:t>, které mají výrazně víceletý režim.</w:t>
      </w:r>
    </w:p>
    <w:p w14:paraId="014B9512" w14:textId="77777777" w:rsidR="00E90C05" w:rsidRDefault="00E90C05" w:rsidP="00E90C05"/>
    <w:p w14:paraId="34927EA0" w14:textId="4BA29420" w:rsidR="00E90C05" w:rsidRDefault="00E90C05" w:rsidP="00E90C05">
      <w:r w:rsidRPr="009A6554">
        <w:t xml:space="preserve">Vzhledem k obvyklému ročnímu režimu hladin byl stav hlubokých zvodní nejhorší v květnu a červenci, kdy hladina 45 %, resp. 40 % </w:t>
      </w:r>
      <w:r>
        <w:t>vrtů</w:t>
      </w:r>
      <w:r w:rsidRPr="009A6554">
        <w:t xml:space="preserve"> byla silně nebo mimořádně podnormální, a </w:t>
      </w:r>
      <w:r>
        <w:t>vrtů</w:t>
      </w:r>
      <w:r w:rsidRPr="009A6554">
        <w:t xml:space="preserve"> se silně nebo mimořádně nadnormální hladinou bylo 9 %, resp. 8 %. Naproti tomu nejlepší stav byl zaznamenán v lednu, kdy podíl </w:t>
      </w:r>
      <w:r>
        <w:t>vrtů</w:t>
      </w:r>
      <w:r w:rsidRPr="009A6554">
        <w:t xml:space="preserve"> se silně nebo mimořádně podnormální hladinou představoval 18 % a </w:t>
      </w:r>
      <w:r>
        <w:t>vrtů</w:t>
      </w:r>
      <w:r w:rsidRPr="009A6554">
        <w:t xml:space="preserve"> se silně nebo mimořádně nadnormální hladinou bylo 29 %. Ve srovnání s předcházejícím rokem došlo u 3</w:t>
      </w:r>
      <w:r>
        <w:t>2 % vrtů k velkému poklesu a </w:t>
      </w:r>
      <w:r w:rsidRPr="009A6554">
        <w:t>u</w:t>
      </w:r>
      <w:r>
        <w:t> </w:t>
      </w:r>
      <w:r w:rsidRPr="009A6554">
        <w:t>29 % k poklesu hladiny. Naopak u žádného vrtu nebyl zaznamenán vzestup nebo velký vzestup hladiny.</w:t>
      </w:r>
    </w:p>
    <w:p w14:paraId="3D6F9803" w14:textId="77777777" w:rsidR="0076755A" w:rsidRPr="00104F7D" w:rsidRDefault="0076755A" w:rsidP="007C4955">
      <w:pPr>
        <w:contextualSpacing/>
        <w:rPr>
          <w:rFonts w:cs="Arial"/>
          <w:b/>
          <w:i/>
          <w:color w:val="000000" w:themeColor="text1"/>
          <w:highlight w:val="yellow"/>
        </w:rPr>
      </w:pPr>
    </w:p>
    <w:p w14:paraId="450C211A" w14:textId="6C16B01F" w:rsidR="003F41F5" w:rsidRPr="0042490A" w:rsidRDefault="00062A75" w:rsidP="007C4955">
      <w:pPr>
        <w:contextualSpacing/>
        <w:rPr>
          <w:rFonts w:cs="Arial"/>
          <w:color w:val="FF0000"/>
        </w:rPr>
      </w:pPr>
      <w:r w:rsidRPr="0042490A">
        <w:rPr>
          <w:rFonts w:cs="Arial"/>
          <w:b/>
          <w:i/>
          <w:color w:val="000000" w:themeColor="text1"/>
        </w:rPr>
        <w:t>Graf </w:t>
      </w:r>
      <w:r w:rsidR="00A64D6C" w:rsidRPr="0042490A">
        <w:rPr>
          <w:rFonts w:cs="Arial"/>
          <w:b/>
          <w:i/>
          <w:color w:val="000000" w:themeColor="text1"/>
        </w:rPr>
        <w:t>1.3.</w:t>
      </w:r>
      <w:r w:rsidR="00E55F02" w:rsidRPr="0042490A">
        <w:rPr>
          <w:rFonts w:cs="Arial"/>
          <w:b/>
          <w:i/>
          <w:color w:val="000000" w:themeColor="text1"/>
        </w:rPr>
        <w:t>5</w:t>
      </w:r>
    </w:p>
    <w:p w14:paraId="35111DB6" w14:textId="7259DB7E" w:rsidR="00765FA0" w:rsidRPr="0042490A" w:rsidRDefault="00E55F02" w:rsidP="007C4955">
      <w:pPr>
        <w:contextualSpacing/>
        <w:rPr>
          <w:rFonts w:cs="Arial"/>
          <w:b/>
          <w:i/>
          <w:color w:val="000000" w:themeColor="text1"/>
        </w:rPr>
      </w:pPr>
      <w:r w:rsidRPr="0042490A">
        <w:rPr>
          <w:rFonts w:cs="Arial"/>
          <w:b/>
          <w:i/>
          <w:color w:val="000000" w:themeColor="text1"/>
        </w:rPr>
        <w:t>Průměrná standardizovaná úroveň hladiny hlubokých vrtů hlásné sítě pro celou Č</w:t>
      </w:r>
      <w:r w:rsidR="00F642B6" w:rsidRPr="0042490A">
        <w:rPr>
          <w:rFonts w:cs="Arial"/>
          <w:b/>
          <w:i/>
          <w:color w:val="000000" w:themeColor="text1"/>
        </w:rPr>
        <w:t>eskou republiku</w:t>
      </w:r>
      <w:r w:rsidRPr="0042490A">
        <w:rPr>
          <w:rFonts w:cs="Arial"/>
          <w:b/>
          <w:i/>
          <w:color w:val="000000" w:themeColor="text1"/>
        </w:rPr>
        <w:t xml:space="preserve"> v roce 202</w:t>
      </w:r>
      <w:r w:rsidR="0042490A">
        <w:rPr>
          <w:rFonts w:cs="Arial"/>
          <w:b/>
          <w:i/>
          <w:color w:val="000000" w:themeColor="text1"/>
        </w:rPr>
        <w:t>5</w:t>
      </w:r>
      <w:r w:rsidRPr="0042490A">
        <w:rPr>
          <w:rFonts w:cs="Arial"/>
          <w:b/>
          <w:i/>
          <w:color w:val="000000" w:themeColor="text1"/>
        </w:rPr>
        <w:t xml:space="preserve"> </w:t>
      </w:r>
      <w:r w:rsidR="00F642B6" w:rsidRPr="0042490A">
        <w:rPr>
          <w:rFonts w:cs="Arial"/>
          <w:b/>
          <w:i/>
          <w:color w:val="000000" w:themeColor="text1"/>
        </w:rPr>
        <w:t xml:space="preserve">(modře) </w:t>
      </w:r>
      <w:r w:rsidRPr="0042490A">
        <w:rPr>
          <w:rFonts w:cs="Arial"/>
          <w:b/>
          <w:i/>
          <w:color w:val="000000" w:themeColor="text1"/>
        </w:rPr>
        <w:t xml:space="preserve">ve srovnání s dlouhodobými hodnotami za </w:t>
      </w:r>
      <w:r w:rsidR="00F642B6" w:rsidRPr="0042490A">
        <w:rPr>
          <w:rFonts w:cs="Arial"/>
          <w:b/>
          <w:i/>
          <w:color w:val="000000" w:themeColor="text1"/>
        </w:rPr>
        <w:t xml:space="preserve">referenční </w:t>
      </w:r>
      <w:r w:rsidRPr="0042490A">
        <w:rPr>
          <w:rFonts w:cs="Arial"/>
          <w:b/>
          <w:i/>
          <w:color w:val="000000" w:themeColor="text1"/>
        </w:rPr>
        <w:t>období 1991–2020</w:t>
      </w:r>
    </w:p>
    <w:p w14:paraId="7705B751" w14:textId="30325AB4" w:rsidR="005A6CE3" w:rsidRPr="00104F7D" w:rsidRDefault="0042490A" w:rsidP="007C4955">
      <w:pPr>
        <w:contextualSpacing/>
        <w:rPr>
          <w:rFonts w:cs="Arial"/>
          <w:b/>
          <w:i/>
          <w:color w:val="FF0000"/>
          <w:highlight w:val="yellow"/>
        </w:rPr>
      </w:pPr>
      <w:r>
        <w:rPr>
          <w:noProof/>
        </w:rPr>
        <w:drawing>
          <wp:inline distT="0" distB="0" distL="0" distR="0" wp14:anchorId="16CE85FB" wp14:editId="19BC40DE">
            <wp:extent cx="3886200" cy="3022600"/>
            <wp:effectExtent l="0" t="0" r="0" b="6350"/>
            <wp:docPr id="1976625444"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87889" cy="3023914"/>
                    </a:xfrm>
                    <a:prstGeom prst="rect">
                      <a:avLst/>
                    </a:prstGeom>
                    <a:noFill/>
                    <a:ln>
                      <a:noFill/>
                    </a:ln>
                  </pic:spPr>
                </pic:pic>
              </a:graphicData>
            </a:graphic>
          </wp:inline>
        </w:drawing>
      </w:r>
    </w:p>
    <w:p w14:paraId="5F3544F2" w14:textId="3D1E2B84" w:rsidR="00A64D6C" w:rsidRPr="0034533C" w:rsidRDefault="00A64D6C" w:rsidP="007C4955">
      <w:pPr>
        <w:contextualSpacing/>
        <w:rPr>
          <w:i/>
          <w:color w:val="000000" w:themeColor="text1"/>
          <w:sz w:val="20"/>
          <w:szCs w:val="20"/>
        </w:rPr>
      </w:pPr>
      <w:r w:rsidRPr="0034533C">
        <w:rPr>
          <w:i/>
          <w:color w:val="000000" w:themeColor="text1"/>
          <w:sz w:val="20"/>
          <w:szCs w:val="20"/>
        </w:rPr>
        <w:t>Pramen: ČHMÚ</w:t>
      </w:r>
    </w:p>
    <w:p w14:paraId="4B38B455" w14:textId="77777777" w:rsidR="00A87E99" w:rsidRPr="0034533C" w:rsidRDefault="008727C0" w:rsidP="00E55F02">
      <w:pPr>
        <w:contextualSpacing/>
        <w:rPr>
          <w:i/>
          <w:color w:val="000000" w:themeColor="text1"/>
          <w:sz w:val="20"/>
          <w:szCs w:val="20"/>
        </w:rPr>
      </w:pPr>
      <w:r w:rsidRPr="0034533C">
        <w:rPr>
          <w:i/>
          <w:color w:val="000000" w:themeColor="text1"/>
          <w:sz w:val="20"/>
          <w:szCs w:val="20"/>
        </w:rPr>
        <w:t>Pozn.: Uvedeny jsou také kvantily měsíčních křivek překročení (</w:t>
      </w:r>
      <w:proofErr w:type="spellStart"/>
      <w:r w:rsidRPr="0034533C">
        <w:rPr>
          <w:i/>
          <w:color w:val="000000" w:themeColor="text1"/>
          <w:sz w:val="20"/>
          <w:szCs w:val="20"/>
        </w:rPr>
        <w:t>KP</w:t>
      </w:r>
      <w:r w:rsidRPr="0034533C">
        <w:rPr>
          <w:i/>
          <w:color w:val="000000" w:themeColor="text1"/>
          <w:sz w:val="20"/>
          <w:szCs w:val="20"/>
          <w:vertAlign w:val="subscript"/>
        </w:rPr>
        <w:t>m</w:t>
      </w:r>
      <w:proofErr w:type="spellEnd"/>
      <w:r w:rsidRPr="0034533C">
        <w:rPr>
          <w:i/>
          <w:color w:val="000000" w:themeColor="text1"/>
          <w:sz w:val="20"/>
          <w:szCs w:val="20"/>
        </w:rPr>
        <w:t>).</w:t>
      </w:r>
    </w:p>
    <w:p w14:paraId="5DA398F1" w14:textId="77777777" w:rsidR="00071826" w:rsidRDefault="00F642B6" w:rsidP="00E55F02">
      <w:pPr>
        <w:contextualSpacing/>
        <w:rPr>
          <w:rFonts w:cs="Arial"/>
          <w:b/>
          <w:i/>
          <w:color w:val="000000" w:themeColor="text1"/>
        </w:rPr>
      </w:pPr>
      <w:r w:rsidRPr="0034533C">
        <w:rPr>
          <w:i/>
          <w:sz w:val="20"/>
          <w:szCs w:val="20"/>
        </w:rPr>
        <w:t xml:space="preserve">           Svislá osa vyjadřuje směrodatnou odchylku.</w:t>
      </w:r>
    </w:p>
    <w:p w14:paraId="4C4E1E26" w14:textId="05E2820B" w:rsidR="00E55F02" w:rsidRPr="00071826" w:rsidRDefault="00E55F02" w:rsidP="00E55F02">
      <w:pPr>
        <w:contextualSpacing/>
        <w:rPr>
          <w:rFonts w:cs="Arial"/>
          <w:b/>
          <w:i/>
          <w:color w:val="000000" w:themeColor="text1"/>
        </w:rPr>
      </w:pPr>
      <w:r w:rsidRPr="00071826">
        <w:rPr>
          <w:rFonts w:cs="Arial"/>
          <w:b/>
          <w:i/>
          <w:color w:val="000000" w:themeColor="text1"/>
        </w:rPr>
        <w:lastRenderedPageBreak/>
        <w:t xml:space="preserve">Graf 1.3.6 </w:t>
      </w:r>
    </w:p>
    <w:p w14:paraId="6BE78845" w14:textId="54722BB7" w:rsidR="00E55F02" w:rsidRPr="00071826" w:rsidRDefault="00E55F02" w:rsidP="00E55F02">
      <w:pPr>
        <w:contextualSpacing/>
        <w:rPr>
          <w:rFonts w:cs="Arial"/>
          <w:b/>
          <w:i/>
          <w:color w:val="000000" w:themeColor="text1"/>
        </w:rPr>
      </w:pPr>
      <w:r w:rsidRPr="00071826">
        <w:rPr>
          <w:rFonts w:cs="Arial"/>
          <w:b/>
          <w:i/>
          <w:color w:val="000000" w:themeColor="text1"/>
        </w:rPr>
        <w:t>Průměrná standardizovaná úroveň hladiny hlubokých vrtů hlásné sítě ve skupinách hydrogeologických rajonů v roce 202</w:t>
      </w:r>
      <w:r w:rsidR="00071826">
        <w:rPr>
          <w:rFonts w:cs="Arial"/>
          <w:b/>
          <w:i/>
          <w:color w:val="000000" w:themeColor="text1"/>
        </w:rPr>
        <w:t>5</w:t>
      </w:r>
      <w:r w:rsidRPr="00071826">
        <w:rPr>
          <w:rFonts w:cs="Arial"/>
          <w:b/>
          <w:i/>
          <w:color w:val="000000" w:themeColor="text1"/>
        </w:rPr>
        <w:t xml:space="preserve"> (modře) ve srovnání s dlouhodobými hodnotami za </w:t>
      </w:r>
      <w:r w:rsidR="00F642B6" w:rsidRPr="00071826">
        <w:rPr>
          <w:rFonts w:cs="Arial"/>
          <w:b/>
          <w:i/>
          <w:color w:val="000000" w:themeColor="text1"/>
        </w:rPr>
        <w:t xml:space="preserve">referenční </w:t>
      </w:r>
      <w:r w:rsidRPr="00071826">
        <w:rPr>
          <w:rFonts w:cs="Arial"/>
          <w:b/>
          <w:i/>
          <w:color w:val="000000" w:themeColor="text1"/>
        </w:rPr>
        <w:t>období 1991–2020</w:t>
      </w:r>
    </w:p>
    <w:p w14:paraId="140C108E" w14:textId="757EDDE5" w:rsidR="00E55F02" w:rsidRPr="00104F7D" w:rsidRDefault="00071826" w:rsidP="00B77E2F">
      <w:pPr>
        <w:contextualSpacing/>
        <w:rPr>
          <w:rFonts w:cs="Arial"/>
          <w:b/>
          <w:i/>
          <w:color w:val="000000" w:themeColor="text1"/>
          <w:highlight w:val="yellow"/>
        </w:rPr>
      </w:pPr>
      <w:r>
        <w:rPr>
          <w:noProof/>
        </w:rPr>
        <w:drawing>
          <wp:inline distT="0" distB="0" distL="0" distR="0" wp14:anchorId="1F1383C5" wp14:editId="20D80172">
            <wp:extent cx="5486400" cy="7315200"/>
            <wp:effectExtent l="0" t="0" r="0" b="0"/>
            <wp:docPr id="280148488"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86400" cy="7315200"/>
                    </a:xfrm>
                    <a:prstGeom prst="rect">
                      <a:avLst/>
                    </a:prstGeom>
                    <a:noFill/>
                    <a:ln>
                      <a:noFill/>
                    </a:ln>
                  </pic:spPr>
                </pic:pic>
              </a:graphicData>
            </a:graphic>
          </wp:inline>
        </w:drawing>
      </w:r>
    </w:p>
    <w:p w14:paraId="492EA97E" w14:textId="2A78FCD9" w:rsidR="004709DA" w:rsidRPr="00071826" w:rsidRDefault="00E55F02" w:rsidP="004709DA">
      <w:pPr>
        <w:pStyle w:val="Zkladntextodsazen"/>
        <w:spacing w:after="0"/>
        <w:ind w:left="0"/>
        <w:rPr>
          <w:i/>
          <w:iCs/>
          <w:color w:val="000000" w:themeColor="text1"/>
          <w:sz w:val="20"/>
          <w:szCs w:val="20"/>
        </w:rPr>
      </w:pPr>
      <w:r w:rsidRPr="00071826">
        <w:rPr>
          <w:i/>
          <w:iCs/>
          <w:color w:val="000000" w:themeColor="text1"/>
          <w:sz w:val="20"/>
          <w:szCs w:val="20"/>
        </w:rPr>
        <w:t>Pramen: ČHMÚ</w:t>
      </w:r>
    </w:p>
    <w:p w14:paraId="7E88D4A3" w14:textId="0F7127A6" w:rsidR="004709DA" w:rsidRPr="00071826" w:rsidRDefault="004709DA" w:rsidP="004709DA">
      <w:pPr>
        <w:pStyle w:val="Zkladntextodsazen"/>
        <w:spacing w:after="0"/>
        <w:ind w:left="0"/>
        <w:rPr>
          <w:i/>
          <w:iCs/>
          <w:color w:val="000000" w:themeColor="text1"/>
          <w:sz w:val="20"/>
          <w:szCs w:val="20"/>
        </w:rPr>
      </w:pPr>
      <w:r w:rsidRPr="00071826">
        <w:rPr>
          <w:i/>
          <w:iCs/>
          <w:color w:val="000000" w:themeColor="text1"/>
          <w:sz w:val="20"/>
          <w:szCs w:val="20"/>
        </w:rPr>
        <w:t>Pozn.: Uvedeny jsou také kvantily měsíčních křivek překročení (</w:t>
      </w:r>
      <w:proofErr w:type="spellStart"/>
      <w:r w:rsidRPr="00071826">
        <w:rPr>
          <w:i/>
          <w:iCs/>
          <w:color w:val="000000" w:themeColor="text1"/>
          <w:sz w:val="20"/>
          <w:szCs w:val="20"/>
        </w:rPr>
        <w:t>KPm</w:t>
      </w:r>
      <w:proofErr w:type="spellEnd"/>
      <w:r w:rsidRPr="00071826">
        <w:rPr>
          <w:i/>
          <w:iCs/>
          <w:color w:val="000000" w:themeColor="text1"/>
          <w:sz w:val="20"/>
          <w:szCs w:val="20"/>
        </w:rPr>
        <w:t>).</w:t>
      </w:r>
    </w:p>
    <w:p w14:paraId="7A8954F9" w14:textId="5B45216E" w:rsidR="00E55F02" w:rsidRPr="00104F7D" w:rsidRDefault="00E55F02" w:rsidP="00062A75">
      <w:pPr>
        <w:pStyle w:val="Zkladntextodsazen"/>
        <w:ind w:left="0"/>
        <w:rPr>
          <w:color w:val="FF0000"/>
          <w:highlight w:val="yellow"/>
        </w:rPr>
      </w:pPr>
    </w:p>
    <w:p w14:paraId="1D8AD94C" w14:textId="77777777" w:rsidR="00865BAD" w:rsidRPr="00104F7D" w:rsidRDefault="00865BAD" w:rsidP="00062A75">
      <w:pPr>
        <w:rPr>
          <w:rFonts w:cs="Arial"/>
          <w:b/>
          <w:i/>
          <w:color w:val="000000" w:themeColor="text1"/>
          <w:highlight w:val="yellow"/>
        </w:rPr>
      </w:pPr>
    </w:p>
    <w:p w14:paraId="277008BB" w14:textId="77777777" w:rsidR="0082323B" w:rsidRPr="00104F7D" w:rsidRDefault="0082323B" w:rsidP="00062A75">
      <w:pPr>
        <w:rPr>
          <w:rFonts w:cs="Arial"/>
          <w:b/>
          <w:i/>
          <w:color w:val="000000" w:themeColor="text1"/>
          <w:highlight w:val="yellow"/>
        </w:rPr>
      </w:pPr>
    </w:p>
    <w:p w14:paraId="2250AA01" w14:textId="77777777" w:rsidR="00A87E99" w:rsidRPr="00104F7D" w:rsidRDefault="00A87E99" w:rsidP="00062A75">
      <w:pPr>
        <w:rPr>
          <w:rFonts w:cs="Arial"/>
          <w:b/>
          <w:i/>
          <w:color w:val="000000" w:themeColor="text1"/>
          <w:highlight w:val="yellow"/>
        </w:rPr>
      </w:pPr>
    </w:p>
    <w:p w14:paraId="2A17DAC2" w14:textId="77777777" w:rsidR="00F73746" w:rsidRPr="00104F7D" w:rsidRDefault="00F73746" w:rsidP="00062A75">
      <w:pPr>
        <w:rPr>
          <w:rFonts w:cs="Arial"/>
          <w:b/>
          <w:i/>
          <w:color w:val="000000" w:themeColor="text1"/>
          <w:highlight w:val="yellow"/>
        </w:rPr>
      </w:pPr>
    </w:p>
    <w:p w14:paraId="19102B5D" w14:textId="0C4765C4" w:rsidR="00062A75" w:rsidRPr="00B0682F" w:rsidRDefault="00062A75" w:rsidP="00062A75">
      <w:pPr>
        <w:rPr>
          <w:rFonts w:cs="Arial"/>
          <w:b/>
          <w:i/>
          <w:color w:val="000000" w:themeColor="text1"/>
        </w:rPr>
      </w:pPr>
      <w:r w:rsidRPr="00B0682F">
        <w:rPr>
          <w:rFonts w:cs="Arial"/>
          <w:b/>
          <w:i/>
          <w:color w:val="000000" w:themeColor="text1"/>
        </w:rPr>
        <w:lastRenderedPageBreak/>
        <w:t xml:space="preserve">Obrázek 1.3.3 </w:t>
      </w:r>
    </w:p>
    <w:p w14:paraId="19BD3DA5" w14:textId="6FB7CDC0" w:rsidR="00062A75" w:rsidRPr="00B0682F" w:rsidRDefault="00062A75" w:rsidP="00062A75">
      <w:pPr>
        <w:rPr>
          <w:rFonts w:cs="Arial"/>
          <w:b/>
          <w:i/>
          <w:color w:val="000000" w:themeColor="text1"/>
        </w:rPr>
      </w:pPr>
      <w:r w:rsidRPr="00B0682F">
        <w:rPr>
          <w:rFonts w:cs="Arial"/>
          <w:b/>
          <w:i/>
          <w:iCs/>
          <w:color w:val="000000" w:themeColor="text1"/>
        </w:rPr>
        <w:t>Stav hladiny podzemní vody v hlubokých vrtech v roce 202</w:t>
      </w:r>
      <w:r w:rsidR="00F61A4B">
        <w:rPr>
          <w:rFonts w:cs="Arial"/>
          <w:b/>
          <w:i/>
          <w:iCs/>
          <w:color w:val="000000" w:themeColor="text1"/>
        </w:rPr>
        <w:t>5</w:t>
      </w:r>
      <w:r w:rsidRPr="00B0682F">
        <w:rPr>
          <w:rFonts w:cs="Arial"/>
          <w:b/>
          <w:i/>
          <w:iCs/>
          <w:color w:val="000000" w:themeColor="text1"/>
        </w:rPr>
        <w:t xml:space="preserve">, </w:t>
      </w:r>
      <w:r w:rsidRPr="00B0682F">
        <w:rPr>
          <w:rFonts w:cs="Arial"/>
          <w:b/>
          <w:i/>
          <w:color w:val="000000" w:themeColor="text1"/>
        </w:rPr>
        <w:t xml:space="preserve">vztaženo k referenčnímu období 1991–2020 </w:t>
      </w:r>
    </w:p>
    <w:p w14:paraId="287134B2" w14:textId="523C2864" w:rsidR="007068FD" w:rsidRPr="00104F7D" w:rsidRDefault="00B0682F" w:rsidP="00062A75">
      <w:pPr>
        <w:rPr>
          <w:rFonts w:cs="Arial"/>
          <w:b/>
          <w:i/>
          <w:color w:val="000000" w:themeColor="text1"/>
          <w:highlight w:val="yellow"/>
        </w:rPr>
      </w:pPr>
      <w:r>
        <w:rPr>
          <w:rFonts w:cs="Arial"/>
          <w:i/>
          <w:iCs/>
          <w:noProof/>
          <w:color w:val="14387F"/>
          <w:sz w:val="18"/>
          <w:szCs w:val="18"/>
        </w:rPr>
        <w:drawing>
          <wp:inline distT="0" distB="0" distL="0" distR="0" wp14:anchorId="68E66CDA" wp14:editId="14CD3E34">
            <wp:extent cx="5207000" cy="4331971"/>
            <wp:effectExtent l="0" t="0" r="0" b="0"/>
            <wp:docPr id="1159280038"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9610"/>
                    <a:stretch>
                      <a:fillRect/>
                    </a:stretch>
                  </pic:blipFill>
                  <pic:spPr bwMode="auto">
                    <a:xfrm>
                      <a:off x="0" y="0"/>
                      <a:ext cx="5216157" cy="4339589"/>
                    </a:xfrm>
                    <a:prstGeom prst="rect">
                      <a:avLst/>
                    </a:prstGeom>
                    <a:noFill/>
                    <a:ln>
                      <a:noFill/>
                    </a:ln>
                    <a:extLst>
                      <a:ext uri="{53640926-AAD7-44D8-BBD7-CCE9431645EC}">
                        <a14:shadowObscured xmlns:a14="http://schemas.microsoft.com/office/drawing/2010/main"/>
                      </a:ext>
                    </a:extLst>
                  </pic:spPr>
                </pic:pic>
              </a:graphicData>
            </a:graphic>
          </wp:inline>
        </w:drawing>
      </w:r>
    </w:p>
    <w:p w14:paraId="0BF2A2EF" w14:textId="77777777" w:rsidR="00062A75" w:rsidRPr="00F61A4B" w:rsidRDefault="00062A75" w:rsidP="00062A75">
      <w:pPr>
        <w:rPr>
          <w:rFonts w:cs="Arial"/>
          <w:i/>
          <w:color w:val="000000" w:themeColor="text1"/>
          <w:sz w:val="20"/>
          <w:szCs w:val="20"/>
        </w:rPr>
      </w:pPr>
      <w:r w:rsidRPr="00F61A4B">
        <w:rPr>
          <w:rFonts w:cs="Arial"/>
          <w:i/>
          <w:color w:val="000000" w:themeColor="text1"/>
          <w:sz w:val="20"/>
          <w:szCs w:val="20"/>
        </w:rPr>
        <w:t>Pramen: ČHMÚ</w:t>
      </w:r>
    </w:p>
    <w:p w14:paraId="4B1AFEC5" w14:textId="77777777" w:rsidR="0017220C" w:rsidRPr="00104F7D" w:rsidRDefault="0017220C" w:rsidP="008C743C">
      <w:pPr>
        <w:spacing w:before="120"/>
        <w:rPr>
          <w:rFonts w:cs="Arial"/>
          <w:b/>
          <w:bCs/>
          <w:i/>
          <w:color w:val="000000" w:themeColor="text1"/>
          <w:highlight w:val="yellow"/>
        </w:rPr>
      </w:pPr>
    </w:p>
    <w:p w14:paraId="4C2A6D15" w14:textId="7B461831" w:rsidR="008C743C" w:rsidRPr="00BB239B" w:rsidRDefault="008C743C" w:rsidP="008C743C">
      <w:pPr>
        <w:spacing w:before="120"/>
        <w:rPr>
          <w:rFonts w:cs="Arial"/>
          <w:b/>
          <w:bCs/>
          <w:i/>
          <w:color w:val="000000" w:themeColor="text1"/>
        </w:rPr>
      </w:pPr>
      <w:r w:rsidRPr="00BB239B">
        <w:rPr>
          <w:rFonts w:cs="Arial"/>
          <w:b/>
          <w:bCs/>
          <w:i/>
          <w:color w:val="000000" w:themeColor="text1"/>
        </w:rPr>
        <w:t xml:space="preserve">Tabulka 1.3.3 </w:t>
      </w:r>
    </w:p>
    <w:p w14:paraId="7623F99E" w14:textId="6F3C6950" w:rsidR="008C743C" w:rsidRPr="00BB239B" w:rsidRDefault="008C743C" w:rsidP="008C743C">
      <w:pPr>
        <w:rPr>
          <w:rFonts w:cs="Arial"/>
          <w:b/>
          <w:bCs/>
          <w:i/>
          <w:color w:val="000000" w:themeColor="text1"/>
        </w:rPr>
      </w:pPr>
      <w:r w:rsidRPr="00BB239B">
        <w:rPr>
          <w:rFonts w:cs="Arial"/>
          <w:b/>
          <w:bCs/>
          <w:i/>
          <w:color w:val="000000" w:themeColor="text1"/>
        </w:rPr>
        <w:t>Pravděpodobnost překročení úrovně hladiny v hlubokých vrtech ve skupinách hydrogeologických rajonů (HGR) v roce 202</w:t>
      </w:r>
      <w:r w:rsidR="00BB239B">
        <w:rPr>
          <w:rFonts w:cs="Arial"/>
          <w:b/>
          <w:bCs/>
          <w:i/>
          <w:color w:val="000000" w:themeColor="text1"/>
        </w:rPr>
        <w:t>5</w:t>
      </w:r>
      <w:r w:rsidRPr="00BB239B">
        <w:rPr>
          <w:rFonts w:cs="Arial"/>
          <w:b/>
          <w:bCs/>
          <w:i/>
          <w:color w:val="000000" w:themeColor="text1"/>
        </w:rPr>
        <w:t xml:space="preserve"> v % </w:t>
      </w:r>
      <w:proofErr w:type="spellStart"/>
      <w:r w:rsidRPr="00BB239B">
        <w:rPr>
          <w:rFonts w:cs="Arial"/>
          <w:b/>
          <w:bCs/>
          <w:i/>
          <w:color w:val="000000" w:themeColor="text1"/>
        </w:rPr>
        <w:t>KP</w:t>
      </w:r>
      <w:r w:rsidRPr="00BB239B">
        <w:rPr>
          <w:rFonts w:cs="Arial"/>
          <w:b/>
          <w:bCs/>
          <w:i/>
          <w:color w:val="000000" w:themeColor="text1"/>
          <w:vertAlign w:val="subscript"/>
        </w:rPr>
        <w:t>m</w:t>
      </w:r>
      <w:proofErr w:type="spellEnd"/>
      <w:r w:rsidRPr="00BB239B">
        <w:rPr>
          <w:rFonts w:cs="Arial"/>
          <w:b/>
          <w:bCs/>
          <w:i/>
          <w:color w:val="000000" w:themeColor="text1"/>
        </w:rPr>
        <w:t xml:space="preserve"> (měsíční křivka překročení za </w:t>
      </w:r>
      <w:r w:rsidR="00F642B6" w:rsidRPr="00BB239B">
        <w:rPr>
          <w:rFonts w:cs="Arial"/>
          <w:b/>
          <w:bCs/>
          <w:i/>
          <w:color w:val="000000" w:themeColor="text1"/>
        </w:rPr>
        <w:t xml:space="preserve">referenční </w:t>
      </w:r>
      <w:r w:rsidRPr="00BB239B">
        <w:rPr>
          <w:rFonts w:cs="Arial"/>
          <w:b/>
          <w:bCs/>
          <w:i/>
          <w:color w:val="000000" w:themeColor="text1"/>
        </w:rPr>
        <w:t>období 1991–2020)</w:t>
      </w:r>
    </w:p>
    <w:tbl>
      <w:tblPr>
        <w:tblW w:w="8512" w:type="dxa"/>
        <w:tblCellMar>
          <w:left w:w="70" w:type="dxa"/>
          <w:right w:w="70" w:type="dxa"/>
        </w:tblCellMar>
        <w:tblLook w:val="04A0" w:firstRow="1" w:lastRow="0" w:firstColumn="1" w:lastColumn="0" w:noHBand="0" w:noVBand="1"/>
      </w:tblPr>
      <w:tblGrid>
        <w:gridCol w:w="1656"/>
        <w:gridCol w:w="419"/>
        <w:gridCol w:w="419"/>
        <w:gridCol w:w="601"/>
        <w:gridCol w:w="419"/>
        <w:gridCol w:w="419"/>
        <w:gridCol w:w="601"/>
        <w:gridCol w:w="601"/>
        <w:gridCol w:w="546"/>
        <w:gridCol w:w="419"/>
        <w:gridCol w:w="601"/>
        <w:gridCol w:w="419"/>
        <w:gridCol w:w="601"/>
        <w:gridCol w:w="791"/>
      </w:tblGrid>
      <w:tr w:rsidR="00BB239B" w:rsidRPr="009A6554" w14:paraId="00C27750" w14:textId="77777777" w:rsidTr="00AD2344">
        <w:trPr>
          <w:trHeight w:val="221"/>
        </w:trPr>
        <w:tc>
          <w:tcPr>
            <w:tcW w:w="1656" w:type="dxa"/>
            <w:vMerge w:val="restart"/>
            <w:tcBorders>
              <w:top w:val="single" w:sz="12" w:space="0" w:color="14387F"/>
              <w:left w:val="single" w:sz="4" w:space="0" w:color="14387F"/>
              <w:bottom w:val="single" w:sz="4" w:space="0" w:color="14387F"/>
              <w:right w:val="single" w:sz="4" w:space="0" w:color="14387F"/>
            </w:tcBorders>
            <w:noWrap/>
            <w:vAlign w:val="center"/>
            <w:hideMark/>
          </w:tcPr>
          <w:p w14:paraId="63904116" w14:textId="77777777" w:rsidR="00BB239B" w:rsidRPr="009A6554" w:rsidRDefault="00BB239B" w:rsidP="004E5C01">
            <w:pPr>
              <w:jc w:val="left"/>
              <w:rPr>
                <w:rFonts w:cs="Arial"/>
                <w:b/>
                <w:bCs/>
                <w:sz w:val="18"/>
                <w:szCs w:val="18"/>
              </w:rPr>
            </w:pPr>
            <w:r>
              <w:rPr>
                <w:rFonts w:cs="Arial"/>
                <w:b/>
                <w:bCs/>
                <w:sz w:val="18"/>
                <w:szCs w:val="18"/>
              </w:rPr>
              <w:t>Hydrogeolog. skupina</w:t>
            </w:r>
          </w:p>
        </w:tc>
        <w:tc>
          <w:tcPr>
            <w:tcW w:w="6856" w:type="dxa"/>
            <w:gridSpan w:val="13"/>
            <w:tcBorders>
              <w:top w:val="single" w:sz="12" w:space="0" w:color="14387F"/>
              <w:left w:val="nil"/>
              <w:bottom w:val="single" w:sz="4" w:space="0" w:color="14387F"/>
              <w:right w:val="single" w:sz="4" w:space="0" w:color="14387F"/>
            </w:tcBorders>
            <w:noWrap/>
            <w:vAlign w:val="center"/>
            <w:hideMark/>
          </w:tcPr>
          <w:p w14:paraId="301DC2AF" w14:textId="77777777" w:rsidR="00BB239B" w:rsidRPr="009A6554" w:rsidRDefault="00BB239B" w:rsidP="004E5C01">
            <w:pPr>
              <w:jc w:val="center"/>
              <w:rPr>
                <w:rFonts w:cs="Arial"/>
                <w:b/>
                <w:bCs/>
                <w:sz w:val="18"/>
                <w:szCs w:val="18"/>
              </w:rPr>
            </w:pPr>
            <w:r w:rsidRPr="009A6554">
              <w:rPr>
                <w:rFonts w:cs="Arial"/>
                <w:b/>
                <w:bCs/>
                <w:sz w:val="18"/>
                <w:szCs w:val="18"/>
              </w:rPr>
              <w:t>Zařazení úrovně hladiny na KP v %</w:t>
            </w:r>
          </w:p>
        </w:tc>
      </w:tr>
      <w:tr w:rsidR="00BB239B" w:rsidRPr="009A6554" w14:paraId="608F21D5" w14:textId="77777777" w:rsidTr="00AD2344">
        <w:trPr>
          <w:trHeight w:val="211"/>
        </w:trPr>
        <w:tc>
          <w:tcPr>
            <w:tcW w:w="1656" w:type="dxa"/>
            <w:vMerge/>
            <w:tcBorders>
              <w:top w:val="single" w:sz="12" w:space="0" w:color="14387F"/>
              <w:left w:val="single" w:sz="4" w:space="0" w:color="14387F"/>
              <w:bottom w:val="single" w:sz="4" w:space="0" w:color="14387F"/>
              <w:right w:val="single" w:sz="4" w:space="0" w:color="14387F"/>
            </w:tcBorders>
            <w:vAlign w:val="center"/>
            <w:hideMark/>
          </w:tcPr>
          <w:p w14:paraId="3F67F355" w14:textId="77777777" w:rsidR="00BB239B" w:rsidRPr="009A6554" w:rsidRDefault="00BB239B" w:rsidP="004E5C01">
            <w:pPr>
              <w:jc w:val="left"/>
              <w:rPr>
                <w:rFonts w:cs="Arial"/>
                <w:b/>
                <w:bCs/>
                <w:sz w:val="18"/>
                <w:szCs w:val="18"/>
              </w:rPr>
            </w:pPr>
          </w:p>
        </w:tc>
        <w:tc>
          <w:tcPr>
            <w:tcW w:w="419" w:type="dxa"/>
            <w:tcBorders>
              <w:top w:val="nil"/>
              <w:left w:val="nil"/>
              <w:bottom w:val="single" w:sz="4" w:space="0" w:color="14387F"/>
              <w:right w:val="single" w:sz="4" w:space="0" w:color="14387F"/>
            </w:tcBorders>
            <w:noWrap/>
            <w:vAlign w:val="center"/>
            <w:hideMark/>
          </w:tcPr>
          <w:p w14:paraId="11EED15C" w14:textId="77777777" w:rsidR="00BB239B" w:rsidRPr="009A6554" w:rsidRDefault="00BB239B" w:rsidP="004E5C01">
            <w:pPr>
              <w:jc w:val="center"/>
              <w:rPr>
                <w:rFonts w:cs="Arial"/>
                <w:b/>
                <w:bCs/>
                <w:sz w:val="18"/>
                <w:szCs w:val="18"/>
              </w:rPr>
            </w:pPr>
            <w:r w:rsidRPr="009A6554">
              <w:rPr>
                <w:rFonts w:cs="Arial"/>
                <w:b/>
                <w:bCs/>
                <w:sz w:val="18"/>
                <w:szCs w:val="18"/>
              </w:rPr>
              <w:t>I</w:t>
            </w:r>
          </w:p>
        </w:tc>
        <w:tc>
          <w:tcPr>
            <w:tcW w:w="419" w:type="dxa"/>
            <w:tcBorders>
              <w:top w:val="nil"/>
              <w:left w:val="nil"/>
              <w:bottom w:val="single" w:sz="4" w:space="0" w:color="14387F"/>
              <w:right w:val="single" w:sz="4" w:space="0" w:color="14387F"/>
            </w:tcBorders>
            <w:noWrap/>
            <w:vAlign w:val="center"/>
            <w:hideMark/>
          </w:tcPr>
          <w:p w14:paraId="11E26E52" w14:textId="77777777" w:rsidR="00BB239B" w:rsidRPr="009A6554" w:rsidRDefault="00BB239B" w:rsidP="004E5C01">
            <w:pPr>
              <w:jc w:val="center"/>
              <w:rPr>
                <w:rFonts w:cs="Arial"/>
                <w:b/>
                <w:bCs/>
                <w:sz w:val="18"/>
                <w:szCs w:val="18"/>
              </w:rPr>
            </w:pPr>
            <w:r w:rsidRPr="009A6554">
              <w:rPr>
                <w:rFonts w:cs="Arial"/>
                <w:b/>
                <w:bCs/>
                <w:sz w:val="18"/>
                <w:szCs w:val="18"/>
              </w:rPr>
              <w:t>II</w:t>
            </w:r>
          </w:p>
        </w:tc>
        <w:tc>
          <w:tcPr>
            <w:tcW w:w="601" w:type="dxa"/>
            <w:tcBorders>
              <w:top w:val="nil"/>
              <w:left w:val="nil"/>
              <w:bottom w:val="single" w:sz="4" w:space="0" w:color="14387F"/>
              <w:right w:val="single" w:sz="4" w:space="0" w:color="14387F"/>
            </w:tcBorders>
            <w:noWrap/>
            <w:vAlign w:val="center"/>
            <w:hideMark/>
          </w:tcPr>
          <w:p w14:paraId="36AF0699" w14:textId="77777777" w:rsidR="00BB239B" w:rsidRPr="009A6554" w:rsidRDefault="00BB239B" w:rsidP="004E5C01">
            <w:pPr>
              <w:jc w:val="center"/>
              <w:rPr>
                <w:rFonts w:cs="Arial"/>
                <w:b/>
                <w:bCs/>
                <w:sz w:val="18"/>
                <w:szCs w:val="18"/>
              </w:rPr>
            </w:pPr>
            <w:r w:rsidRPr="009A6554">
              <w:rPr>
                <w:rFonts w:cs="Arial"/>
                <w:b/>
                <w:bCs/>
                <w:sz w:val="18"/>
                <w:szCs w:val="18"/>
              </w:rPr>
              <w:t>III</w:t>
            </w:r>
          </w:p>
        </w:tc>
        <w:tc>
          <w:tcPr>
            <w:tcW w:w="419" w:type="dxa"/>
            <w:tcBorders>
              <w:top w:val="nil"/>
              <w:left w:val="nil"/>
              <w:bottom w:val="single" w:sz="4" w:space="0" w:color="14387F"/>
              <w:right w:val="single" w:sz="4" w:space="0" w:color="14387F"/>
            </w:tcBorders>
            <w:noWrap/>
            <w:vAlign w:val="center"/>
            <w:hideMark/>
          </w:tcPr>
          <w:p w14:paraId="739CE802" w14:textId="77777777" w:rsidR="00BB239B" w:rsidRPr="009A6554" w:rsidRDefault="00BB239B" w:rsidP="004E5C01">
            <w:pPr>
              <w:jc w:val="center"/>
              <w:rPr>
                <w:rFonts w:cs="Arial"/>
                <w:b/>
                <w:bCs/>
                <w:sz w:val="18"/>
                <w:szCs w:val="18"/>
              </w:rPr>
            </w:pPr>
            <w:r w:rsidRPr="009A6554">
              <w:rPr>
                <w:rFonts w:cs="Arial"/>
                <w:b/>
                <w:bCs/>
                <w:sz w:val="18"/>
                <w:szCs w:val="18"/>
              </w:rPr>
              <w:t>IV</w:t>
            </w:r>
          </w:p>
        </w:tc>
        <w:tc>
          <w:tcPr>
            <w:tcW w:w="419" w:type="dxa"/>
            <w:tcBorders>
              <w:top w:val="nil"/>
              <w:left w:val="nil"/>
              <w:bottom w:val="single" w:sz="4" w:space="0" w:color="14387F"/>
              <w:right w:val="single" w:sz="4" w:space="0" w:color="14387F"/>
            </w:tcBorders>
            <w:noWrap/>
            <w:vAlign w:val="center"/>
            <w:hideMark/>
          </w:tcPr>
          <w:p w14:paraId="657D790E" w14:textId="77777777" w:rsidR="00BB239B" w:rsidRPr="009A6554" w:rsidRDefault="00BB239B" w:rsidP="004E5C01">
            <w:pPr>
              <w:jc w:val="center"/>
              <w:rPr>
                <w:rFonts w:cs="Arial"/>
                <w:b/>
                <w:bCs/>
                <w:sz w:val="18"/>
                <w:szCs w:val="18"/>
              </w:rPr>
            </w:pPr>
            <w:r w:rsidRPr="009A6554">
              <w:rPr>
                <w:rFonts w:cs="Arial"/>
                <w:b/>
                <w:bCs/>
                <w:sz w:val="18"/>
                <w:szCs w:val="18"/>
              </w:rPr>
              <w:t>V</w:t>
            </w:r>
          </w:p>
        </w:tc>
        <w:tc>
          <w:tcPr>
            <w:tcW w:w="601" w:type="dxa"/>
            <w:tcBorders>
              <w:top w:val="nil"/>
              <w:left w:val="nil"/>
              <w:bottom w:val="single" w:sz="4" w:space="0" w:color="14387F"/>
              <w:right w:val="single" w:sz="4" w:space="0" w:color="14387F"/>
            </w:tcBorders>
            <w:noWrap/>
            <w:vAlign w:val="center"/>
            <w:hideMark/>
          </w:tcPr>
          <w:p w14:paraId="1999F052" w14:textId="77777777" w:rsidR="00BB239B" w:rsidRPr="009A6554" w:rsidRDefault="00BB239B" w:rsidP="004E5C01">
            <w:pPr>
              <w:jc w:val="center"/>
              <w:rPr>
                <w:rFonts w:cs="Arial"/>
                <w:b/>
                <w:bCs/>
                <w:sz w:val="18"/>
                <w:szCs w:val="18"/>
              </w:rPr>
            </w:pPr>
            <w:r w:rsidRPr="009A6554">
              <w:rPr>
                <w:rFonts w:cs="Arial"/>
                <w:b/>
                <w:bCs/>
                <w:sz w:val="18"/>
                <w:szCs w:val="18"/>
              </w:rPr>
              <w:t>VI</w:t>
            </w:r>
          </w:p>
        </w:tc>
        <w:tc>
          <w:tcPr>
            <w:tcW w:w="601" w:type="dxa"/>
            <w:tcBorders>
              <w:top w:val="nil"/>
              <w:left w:val="nil"/>
              <w:bottom w:val="single" w:sz="4" w:space="0" w:color="14387F"/>
              <w:right w:val="single" w:sz="4" w:space="0" w:color="14387F"/>
            </w:tcBorders>
            <w:noWrap/>
            <w:vAlign w:val="center"/>
            <w:hideMark/>
          </w:tcPr>
          <w:p w14:paraId="41A53249" w14:textId="77777777" w:rsidR="00BB239B" w:rsidRPr="009A6554" w:rsidRDefault="00BB239B" w:rsidP="004E5C01">
            <w:pPr>
              <w:jc w:val="center"/>
              <w:rPr>
                <w:rFonts w:cs="Arial"/>
                <w:b/>
                <w:bCs/>
                <w:sz w:val="18"/>
                <w:szCs w:val="18"/>
              </w:rPr>
            </w:pPr>
            <w:r w:rsidRPr="009A6554">
              <w:rPr>
                <w:rFonts w:cs="Arial"/>
                <w:b/>
                <w:bCs/>
                <w:sz w:val="18"/>
                <w:szCs w:val="18"/>
              </w:rPr>
              <w:t>VII</w:t>
            </w:r>
          </w:p>
        </w:tc>
        <w:tc>
          <w:tcPr>
            <w:tcW w:w="546" w:type="dxa"/>
            <w:tcBorders>
              <w:top w:val="nil"/>
              <w:left w:val="nil"/>
              <w:bottom w:val="single" w:sz="4" w:space="0" w:color="14387F"/>
              <w:right w:val="single" w:sz="4" w:space="0" w:color="14387F"/>
            </w:tcBorders>
            <w:noWrap/>
            <w:vAlign w:val="center"/>
            <w:hideMark/>
          </w:tcPr>
          <w:p w14:paraId="7986F2B5" w14:textId="77777777" w:rsidR="00BB239B" w:rsidRPr="009A6554" w:rsidRDefault="00BB239B" w:rsidP="004E5C01">
            <w:pPr>
              <w:jc w:val="center"/>
              <w:rPr>
                <w:rFonts w:cs="Arial"/>
                <w:b/>
                <w:bCs/>
                <w:sz w:val="18"/>
                <w:szCs w:val="18"/>
              </w:rPr>
            </w:pPr>
            <w:r w:rsidRPr="009A6554">
              <w:rPr>
                <w:rFonts w:cs="Arial"/>
                <w:b/>
                <w:bCs/>
                <w:sz w:val="18"/>
                <w:szCs w:val="18"/>
              </w:rPr>
              <w:t>VIII</w:t>
            </w:r>
          </w:p>
        </w:tc>
        <w:tc>
          <w:tcPr>
            <w:tcW w:w="419" w:type="dxa"/>
            <w:tcBorders>
              <w:top w:val="nil"/>
              <w:left w:val="nil"/>
              <w:bottom w:val="single" w:sz="4" w:space="0" w:color="14387F"/>
              <w:right w:val="single" w:sz="4" w:space="0" w:color="14387F"/>
            </w:tcBorders>
            <w:noWrap/>
            <w:vAlign w:val="center"/>
            <w:hideMark/>
          </w:tcPr>
          <w:p w14:paraId="491A01F0" w14:textId="77777777" w:rsidR="00BB239B" w:rsidRPr="009A6554" w:rsidRDefault="00BB239B" w:rsidP="004E5C01">
            <w:pPr>
              <w:jc w:val="center"/>
              <w:rPr>
                <w:rFonts w:cs="Arial"/>
                <w:b/>
                <w:bCs/>
                <w:sz w:val="18"/>
                <w:szCs w:val="18"/>
              </w:rPr>
            </w:pPr>
            <w:r w:rsidRPr="009A6554">
              <w:rPr>
                <w:rFonts w:cs="Arial"/>
                <w:b/>
                <w:bCs/>
                <w:sz w:val="18"/>
                <w:szCs w:val="18"/>
              </w:rPr>
              <w:t>IX</w:t>
            </w:r>
          </w:p>
        </w:tc>
        <w:tc>
          <w:tcPr>
            <w:tcW w:w="601" w:type="dxa"/>
            <w:tcBorders>
              <w:top w:val="nil"/>
              <w:left w:val="nil"/>
              <w:bottom w:val="single" w:sz="4" w:space="0" w:color="14387F"/>
              <w:right w:val="single" w:sz="4" w:space="0" w:color="14387F"/>
            </w:tcBorders>
            <w:noWrap/>
            <w:vAlign w:val="center"/>
            <w:hideMark/>
          </w:tcPr>
          <w:p w14:paraId="05C93B84" w14:textId="77777777" w:rsidR="00BB239B" w:rsidRPr="009A6554" w:rsidRDefault="00BB239B" w:rsidP="004E5C01">
            <w:pPr>
              <w:jc w:val="center"/>
              <w:rPr>
                <w:rFonts w:cs="Arial"/>
                <w:b/>
                <w:bCs/>
                <w:sz w:val="18"/>
                <w:szCs w:val="18"/>
              </w:rPr>
            </w:pPr>
            <w:r w:rsidRPr="009A6554">
              <w:rPr>
                <w:rFonts w:cs="Arial"/>
                <w:b/>
                <w:bCs/>
                <w:sz w:val="18"/>
                <w:szCs w:val="18"/>
              </w:rPr>
              <w:t>X</w:t>
            </w:r>
          </w:p>
        </w:tc>
        <w:tc>
          <w:tcPr>
            <w:tcW w:w="419" w:type="dxa"/>
            <w:tcBorders>
              <w:top w:val="nil"/>
              <w:left w:val="nil"/>
              <w:bottom w:val="single" w:sz="4" w:space="0" w:color="14387F"/>
              <w:right w:val="single" w:sz="4" w:space="0" w:color="14387F"/>
            </w:tcBorders>
            <w:noWrap/>
            <w:vAlign w:val="center"/>
            <w:hideMark/>
          </w:tcPr>
          <w:p w14:paraId="13FCFCF0" w14:textId="77777777" w:rsidR="00BB239B" w:rsidRPr="009A6554" w:rsidRDefault="00BB239B" w:rsidP="004E5C01">
            <w:pPr>
              <w:jc w:val="center"/>
              <w:rPr>
                <w:rFonts w:cs="Arial"/>
                <w:b/>
                <w:bCs/>
                <w:sz w:val="18"/>
                <w:szCs w:val="18"/>
              </w:rPr>
            </w:pPr>
            <w:r w:rsidRPr="009A6554">
              <w:rPr>
                <w:rFonts w:cs="Arial"/>
                <w:b/>
                <w:bCs/>
                <w:sz w:val="18"/>
                <w:szCs w:val="18"/>
              </w:rPr>
              <w:t>XI</w:t>
            </w:r>
          </w:p>
        </w:tc>
        <w:tc>
          <w:tcPr>
            <w:tcW w:w="601" w:type="dxa"/>
            <w:tcBorders>
              <w:top w:val="nil"/>
              <w:left w:val="nil"/>
              <w:bottom w:val="single" w:sz="4" w:space="0" w:color="14387F"/>
              <w:right w:val="single" w:sz="4" w:space="0" w:color="14387F"/>
            </w:tcBorders>
            <w:noWrap/>
            <w:vAlign w:val="center"/>
            <w:hideMark/>
          </w:tcPr>
          <w:p w14:paraId="6B804FB0" w14:textId="77777777" w:rsidR="00BB239B" w:rsidRPr="009A6554" w:rsidRDefault="00BB239B" w:rsidP="004E5C01">
            <w:pPr>
              <w:jc w:val="center"/>
              <w:rPr>
                <w:rFonts w:cs="Arial"/>
                <w:b/>
                <w:bCs/>
                <w:sz w:val="18"/>
                <w:szCs w:val="18"/>
              </w:rPr>
            </w:pPr>
            <w:r w:rsidRPr="009A6554">
              <w:rPr>
                <w:rFonts w:cs="Arial"/>
                <w:b/>
                <w:bCs/>
                <w:sz w:val="18"/>
                <w:szCs w:val="18"/>
              </w:rPr>
              <w:t>XII</w:t>
            </w:r>
          </w:p>
        </w:tc>
        <w:tc>
          <w:tcPr>
            <w:tcW w:w="786" w:type="dxa"/>
            <w:tcBorders>
              <w:top w:val="nil"/>
              <w:left w:val="nil"/>
              <w:bottom w:val="single" w:sz="4" w:space="0" w:color="14387F"/>
              <w:right w:val="single" w:sz="4" w:space="0" w:color="14387F"/>
            </w:tcBorders>
            <w:noWrap/>
            <w:vAlign w:val="center"/>
            <w:hideMark/>
          </w:tcPr>
          <w:p w14:paraId="347DFE3C" w14:textId="77777777" w:rsidR="00BB239B" w:rsidRPr="009A6554" w:rsidRDefault="00BB239B" w:rsidP="004E5C01">
            <w:pPr>
              <w:jc w:val="center"/>
              <w:rPr>
                <w:rFonts w:cs="Arial"/>
                <w:b/>
                <w:bCs/>
                <w:sz w:val="18"/>
                <w:szCs w:val="18"/>
              </w:rPr>
            </w:pPr>
            <w:r w:rsidRPr="009A6554">
              <w:rPr>
                <w:rFonts w:cs="Arial"/>
                <w:b/>
                <w:bCs/>
                <w:sz w:val="18"/>
                <w:szCs w:val="18"/>
              </w:rPr>
              <w:t>2025</w:t>
            </w:r>
          </w:p>
        </w:tc>
      </w:tr>
      <w:tr w:rsidR="00BB239B" w:rsidRPr="009A6554" w14:paraId="6DAC8053" w14:textId="77777777" w:rsidTr="00AD2344">
        <w:trPr>
          <w:trHeight w:val="338"/>
        </w:trPr>
        <w:tc>
          <w:tcPr>
            <w:tcW w:w="1656" w:type="dxa"/>
            <w:tcBorders>
              <w:top w:val="nil"/>
              <w:left w:val="single" w:sz="4" w:space="0" w:color="14387F"/>
              <w:bottom w:val="single" w:sz="4" w:space="0" w:color="14387F"/>
              <w:right w:val="single" w:sz="4" w:space="0" w:color="14387F"/>
            </w:tcBorders>
            <w:vAlign w:val="center"/>
            <w:hideMark/>
          </w:tcPr>
          <w:p w14:paraId="6E11C0A4" w14:textId="77777777" w:rsidR="00BB239B" w:rsidRPr="009A6554" w:rsidRDefault="00BB239B" w:rsidP="004E5C01">
            <w:pPr>
              <w:jc w:val="left"/>
              <w:rPr>
                <w:rFonts w:cs="Arial"/>
                <w:sz w:val="18"/>
                <w:szCs w:val="18"/>
              </w:rPr>
            </w:pPr>
            <w:r w:rsidRPr="009A6554">
              <w:rPr>
                <w:rFonts w:cs="Arial"/>
                <w:sz w:val="18"/>
                <w:szCs w:val="18"/>
              </w:rPr>
              <w:t>Podkrušnohorské pánve</w:t>
            </w:r>
          </w:p>
        </w:tc>
        <w:tc>
          <w:tcPr>
            <w:tcW w:w="419" w:type="dxa"/>
            <w:tcBorders>
              <w:top w:val="single" w:sz="4" w:space="0" w:color="14387F"/>
              <w:left w:val="single" w:sz="4" w:space="0" w:color="14387F"/>
              <w:bottom w:val="single" w:sz="4" w:space="0" w:color="14387F"/>
              <w:right w:val="single" w:sz="4" w:space="0" w:color="14387F"/>
            </w:tcBorders>
            <w:shd w:val="clear" w:color="C6DBEF" w:fill="FCBBA1"/>
            <w:noWrap/>
            <w:vAlign w:val="center"/>
            <w:hideMark/>
          </w:tcPr>
          <w:p w14:paraId="3A1852BB" w14:textId="77777777" w:rsidR="00BB239B" w:rsidRPr="009A6554" w:rsidRDefault="00BB239B" w:rsidP="004E5C01">
            <w:pPr>
              <w:jc w:val="center"/>
              <w:rPr>
                <w:rFonts w:cs="Arial"/>
                <w:sz w:val="18"/>
                <w:szCs w:val="18"/>
              </w:rPr>
            </w:pPr>
            <w:r w:rsidRPr="009A6554">
              <w:rPr>
                <w:rFonts w:cs="Arial"/>
                <w:sz w:val="18"/>
                <w:szCs w:val="18"/>
              </w:rPr>
              <w:t>82</w:t>
            </w:r>
          </w:p>
        </w:tc>
        <w:tc>
          <w:tcPr>
            <w:tcW w:w="419"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522AB336" w14:textId="77777777" w:rsidR="00BB239B" w:rsidRPr="009A6554" w:rsidRDefault="00BB239B" w:rsidP="004E5C01">
            <w:pPr>
              <w:jc w:val="center"/>
              <w:rPr>
                <w:rFonts w:cs="Arial"/>
                <w:sz w:val="18"/>
                <w:szCs w:val="18"/>
              </w:rPr>
            </w:pPr>
            <w:r w:rsidRPr="009A6554">
              <w:rPr>
                <w:rFonts w:cs="Arial"/>
                <w:sz w:val="18"/>
                <w:szCs w:val="18"/>
              </w:rPr>
              <w:t>88</w:t>
            </w:r>
          </w:p>
        </w:tc>
        <w:tc>
          <w:tcPr>
            <w:tcW w:w="601"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4B2A124E" w14:textId="77777777" w:rsidR="00BB239B" w:rsidRPr="009A6554" w:rsidRDefault="00BB239B" w:rsidP="004E5C01">
            <w:pPr>
              <w:jc w:val="center"/>
              <w:rPr>
                <w:rFonts w:cs="Arial"/>
                <w:sz w:val="18"/>
                <w:szCs w:val="18"/>
              </w:rPr>
            </w:pPr>
            <w:r w:rsidRPr="009A6554">
              <w:rPr>
                <w:rFonts w:cs="Arial"/>
                <w:sz w:val="18"/>
                <w:szCs w:val="18"/>
              </w:rPr>
              <w:t>91</w:t>
            </w:r>
          </w:p>
        </w:tc>
        <w:tc>
          <w:tcPr>
            <w:tcW w:w="419"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280D258F" w14:textId="77777777" w:rsidR="00BB239B" w:rsidRPr="009A6554" w:rsidRDefault="00BB239B" w:rsidP="004E5C01">
            <w:pPr>
              <w:jc w:val="center"/>
              <w:rPr>
                <w:rFonts w:cs="Arial"/>
                <w:sz w:val="18"/>
                <w:szCs w:val="18"/>
              </w:rPr>
            </w:pPr>
            <w:r w:rsidRPr="009A6554">
              <w:rPr>
                <w:rFonts w:cs="Arial"/>
                <w:sz w:val="18"/>
                <w:szCs w:val="18"/>
              </w:rPr>
              <w:t>93</w:t>
            </w:r>
          </w:p>
        </w:tc>
        <w:tc>
          <w:tcPr>
            <w:tcW w:w="419"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1B66B605" w14:textId="77777777" w:rsidR="00BB239B" w:rsidRPr="009A6554" w:rsidRDefault="00BB239B" w:rsidP="004E5C01">
            <w:pPr>
              <w:jc w:val="center"/>
              <w:rPr>
                <w:rFonts w:cs="Arial"/>
                <w:sz w:val="18"/>
                <w:szCs w:val="18"/>
              </w:rPr>
            </w:pPr>
            <w:r w:rsidRPr="009A6554">
              <w:rPr>
                <w:rFonts w:cs="Arial"/>
                <w:sz w:val="18"/>
                <w:szCs w:val="18"/>
              </w:rPr>
              <w:t>89</w:t>
            </w:r>
          </w:p>
        </w:tc>
        <w:tc>
          <w:tcPr>
            <w:tcW w:w="601" w:type="dxa"/>
            <w:tcBorders>
              <w:top w:val="single" w:sz="4" w:space="0" w:color="14387F"/>
              <w:left w:val="single" w:sz="4" w:space="0" w:color="14387F"/>
              <w:bottom w:val="single" w:sz="4" w:space="0" w:color="14387F"/>
              <w:right w:val="single" w:sz="4" w:space="0" w:color="14387F"/>
            </w:tcBorders>
            <w:shd w:val="clear" w:color="C6DBEF" w:fill="FCBBA1"/>
            <w:noWrap/>
            <w:vAlign w:val="center"/>
            <w:hideMark/>
          </w:tcPr>
          <w:p w14:paraId="4E6193D7" w14:textId="77777777" w:rsidR="00BB239B" w:rsidRPr="009A6554" w:rsidRDefault="00BB239B" w:rsidP="004E5C01">
            <w:pPr>
              <w:jc w:val="center"/>
              <w:rPr>
                <w:rFonts w:cs="Arial"/>
                <w:sz w:val="18"/>
                <w:szCs w:val="18"/>
              </w:rPr>
            </w:pPr>
            <w:r w:rsidRPr="009A6554">
              <w:rPr>
                <w:rFonts w:cs="Arial"/>
                <w:sz w:val="18"/>
                <w:szCs w:val="18"/>
              </w:rPr>
              <w:t>83</w:t>
            </w:r>
          </w:p>
        </w:tc>
        <w:tc>
          <w:tcPr>
            <w:tcW w:w="601" w:type="dxa"/>
            <w:tcBorders>
              <w:top w:val="single" w:sz="4" w:space="0" w:color="14387F"/>
              <w:left w:val="single" w:sz="4" w:space="0" w:color="14387F"/>
              <w:bottom w:val="single" w:sz="4" w:space="0" w:color="14387F"/>
              <w:right w:val="single" w:sz="4" w:space="0" w:color="14387F"/>
            </w:tcBorders>
            <w:shd w:val="clear" w:color="C6DBEF" w:fill="FCBBA1"/>
            <w:noWrap/>
            <w:vAlign w:val="center"/>
            <w:hideMark/>
          </w:tcPr>
          <w:p w14:paraId="10717786" w14:textId="77777777" w:rsidR="00BB239B" w:rsidRPr="009A6554" w:rsidRDefault="00BB239B" w:rsidP="004E5C01">
            <w:pPr>
              <w:jc w:val="center"/>
              <w:rPr>
                <w:rFonts w:cs="Arial"/>
                <w:sz w:val="18"/>
                <w:szCs w:val="18"/>
              </w:rPr>
            </w:pPr>
            <w:r w:rsidRPr="009A6554">
              <w:rPr>
                <w:rFonts w:cs="Arial"/>
                <w:sz w:val="18"/>
                <w:szCs w:val="18"/>
              </w:rPr>
              <w:t>77</w:t>
            </w:r>
          </w:p>
        </w:tc>
        <w:tc>
          <w:tcPr>
            <w:tcW w:w="546" w:type="dxa"/>
            <w:tcBorders>
              <w:top w:val="single" w:sz="4" w:space="0" w:color="14387F"/>
              <w:left w:val="single" w:sz="4" w:space="0" w:color="14387F"/>
              <w:bottom w:val="single" w:sz="4" w:space="0" w:color="14387F"/>
              <w:right w:val="single" w:sz="4" w:space="0" w:color="14387F"/>
            </w:tcBorders>
            <w:shd w:val="clear" w:color="C6DBEF" w:fill="FCBBA1"/>
            <w:noWrap/>
            <w:vAlign w:val="center"/>
            <w:hideMark/>
          </w:tcPr>
          <w:p w14:paraId="6C03100A" w14:textId="77777777" w:rsidR="00BB239B" w:rsidRPr="009A6554" w:rsidRDefault="00BB239B" w:rsidP="004E5C01">
            <w:pPr>
              <w:jc w:val="center"/>
              <w:rPr>
                <w:rFonts w:cs="Arial"/>
                <w:sz w:val="18"/>
                <w:szCs w:val="18"/>
              </w:rPr>
            </w:pPr>
            <w:r w:rsidRPr="009A6554">
              <w:rPr>
                <w:rFonts w:cs="Arial"/>
                <w:sz w:val="18"/>
                <w:szCs w:val="18"/>
              </w:rPr>
              <w:t>77</w:t>
            </w:r>
          </w:p>
        </w:tc>
        <w:tc>
          <w:tcPr>
            <w:tcW w:w="419" w:type="dxa"/>
            <w:tcBorders>
              <w:top w:val="nil"/>
              <w:left w:val="nil"/>
              <w:bottom w:val="single" w:sz="4" w:space="0" w:color="14387F"/>
              <w:right w:val="single" w:sz="4" w:space="0" w:color="14387F"/>
            </w:tcBorders>
            <w:shd w:val="clear" w:color="C6DBEF" w:fill="FFFFFF"/>
            <w:noWrap/>
            <w:vAlign w:val="center"/>
            <w:hideMark/>
          </w:tcPr>
          <w:p w14:paraId="4C8B50F5" w14:textId="77777777" w:rsidR="00BB239B" w:rsidRPr="009A6554" w:rsidRDefault="00BB239B" w:rsidP="004E5C01">
            <w:pPr>
              <w:jc w:val="center"/>
              <w:rPr>
                <w:rFonts w:cs="Arial"/>
                <w:sz w:val="18"/>
                <w:szCs w:val="18"/>
              </w:rPr>
            </w:pPr>
            <w:r w:rsidRPr="009A6554">
              <w:rPr>
                <w:rFonts w:cs="Arial"/>
                <w:sz w:val="18"/>
                <w:szCs w:val="18"/>
              </w:rPr>
              <w:t>75</w:t>
            </w:r>
          </w:p>
        </w:tc>
        <w:tc>
          <w:tcPr>
            <w:tcW w:w="601" w:type="dxa"/>
            <w:tcBorders>
              <w:top w:val="nil"/>
              <w:left w:val="nil"/>
              <w:bottom w:val="single" w:sz="4" w:space="0" w:color="14387F"/>
              <w:right w:val="single" w:sz="4" w:space="0" w:color="14387F"/>
            </w:tcBorders>
            <w:shd w:val="clear" w:color="C6DBEF" w:fill="FFFFFF"/>
            <w:noWrap/>
            <w:vAlign w:val="center"/>
            <w:hideMark/>
          </w:tcPr>
          <w:p w14:paraId="17ADB4A0" w14:textId="77777777" w:rsidR="00BB239B" w:rsidRPr="009A6554" w:rsidRDefault="00BB239B" w:rsidP="004E5C01">
            <w:pPr>
              <w:jc w:val="center"/>
              <w:rPr>
                <w:rFonts w:cs="Arial"/>
                <w:sz w:val="18"/>
                <w:szCs w:val="18"/>
              </w:rPr>
            </w:pPr>
            <w:r w:rsidRPr="009A6554">
              <w:rPr>
                <w:rFonts w:cs="Arial"/>
                <w:sz w:val="18"/>
                <w:szCs w:val="18"/>
              </w:rPr>
              <w:t>67</w:t>
            </w:r>
          </w:p>
        </w:tc>
        <w:tc>
          <w:tcPr>
            <w:tcW w:w="419" w:type="dxa"/>
            <w:tcBorders>
              <w:top w:val="nil"/>
              <w:left w:val="nil"/>
              <w:bottom w:val="single" w:sz="4" w:space="0" w:color="14387F"/>
              <w:right w:val="single" w:sz="4" w:space="0" w:color="14387F"/>
            </w:tcBorders>
            <w:shd w:val="clear" w:color="C6DBEF" w:fill="FFFFFF"/>
            <w:noWrap/>
            <w:vAlign w:val="center"/>
            <w:hideMark/>
          </w:tcPr>
          <w:p w14:paraId="7DF72DFF" w14:textId="77777777" w:rsidR="00BB239B" w:rsidRPr="009A6554" w:rsidRDefault="00BB239B" w:rsidP="004E5C01">
            <w:pPr>
              <w:jc w:val="center"/>
              <w:rPr>
                <w:rFonts w:cs="Arial"/>
                <w:sz w:val="18"/>
                <w:szCs w:val="18"/>
              </w:rPr>
            </w:pPr>
            <w:r w:rsidRPr="009A6554">
              <w:rPr>
                <w:rFonts w:cs="Arial"/>
                <w:sz w:val="18"/>
                <w:szCs w:val="18"/>
              </w:rPr>
              <w:t>63</w:t>
            </w:r>
          </w:p>
        </w:tc>
        <w:tc>
          <w:tcPr>
            <w:tcW w:w="601" w:type="dxa"/>
            <w:tcBorders>
              <w:top w:val="single" w:sz="4" w:space="0" w:color="14387F"/>
              <w:left w:val="single" w:sz="4" w:space="0" w:color="14387F"/>
              <w:bottom w:val="single" w:sz="4" w:space="0" w:color="14387F"/>
              <w:right w:val="single" w:sz="4" w:space="0" w:color="14387F"/>
            </w:tcBorders>
            <w:shd w:val="clear" w:color="C6DBEF" w:fill="FCBBA1"/>
            <w:noWrap/>
            <w:vAlign w:val="center"/>
            <w:hideMark/>
          </w:tcPr>
          <w:p w14:paraId="0EAC819B" w14:textId="77777777" w:rsidR="00BB239B" w:rsidRPr="009A6554" w:rsidRDefault="00BB239B" w:rsidP="004E5C01">
            <w:pPr>
              <w:jc w:val="center"/>
              <w:rPr>
                <w:rFonts w:cs="Arial"/>
                <w:sz w:val="18"/>
                <w:szCs w:val="18"/>
              </w:rPr>
            </w:pPr>
            <w:r w:rsidRPr="009A6554">
              <w:rPr>
                <w:rFonts w:cs="Arial"/>
                <w:sz w:val="18"/>
                <w:szCs w:val="18"/>
              </w:rPr>
              <w:t>80</w:t>
            </w:r>
          </w:p>
        </w:tc>
        <w:tc>
          <w:tcPr>
            <w:tcW w:w="786"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0AF4D56D" w14:textId="77777777" w:rsidR="00BB239B" w:rsidRPr="009A6554" w:rsidRDefault="00BB239B" w:rsidP="004E5C01">
            <w:pPr>
              <w:jc w:val="center"/>
              <w:rPr>
                <w:rFonts w:cs="Arial"/>
                <w:sz w:val="18"/>
                <w:szCs w:val="18"/>
              </w:rPr>
            </w:pPr>
            <w:r w:rsidRPr="009A6554">
              <w:rPr>
                <w:rFonts w:cs="Arial"/>
                <w:sz w:val="18"/>
                <w:szCs w:val="18"/>
              </w:rPr>
              <w:t>85</w:t>
            </w:r>
          </w:p>
        </w:tc>
      </w:tr>
      <w:tr w:rsidR="00BB239B" w:rsidRPr="009A6554" w14:paraId="12A76443" w14:textId="77777777" w:rsidTr="00AD2344">
        <w:trPr>
          <w:trHeight w:val="211"/>
        </w:trPr>
        <w:tc>
          <w:tcPr>
            <w:tcW w:w="1656" w:type="dxa"/>
            <w:tcBorders>
              <w:top w:val="nil"/>
              <w:left w:val="single" w:sz="4" w:space="0" w:color="14387F"/>
              <w:bottom w:val="single" w:sz="4" w:space="0" w:color="14387F"/>
              <w:right w:val="single" w:sz="4" w:space="0" w:color="14387F"/>
            </w:tcBorders>
            <w:vAlign w:val="center"/>
            <w:hideMark/>
          </w:tcPr>
          <w:p w14:paraId="0DC3E62B" w14:textId="77777777" w:rsidR="00BB239B" w:rsidRPr="009A6554" w:rsidRDefault="00BB239B" w:rsidP="004E5C01">
            <w:pPr>
              <w:jc w:val="left"/>
              <w:rPr>
                <w:rFonts w:cs="Arial"/>
                <w:sz w:val="18"/>
                <w:szCs w:val="18"/>
              </w:rPr>
            </w:pPr>
            <w:r w:rsidRPr="009A6554">
              <w:rPr>
                <w:rFonts w:cs="Arial"/>
                <w:sz w:val="18"/>
                <w:szCs w:val="18"/>
              </w:rPr>
              <w:t>Jihočeské pánve</w:t>
            </w:r>
          </w:p>
        </w:tc>
        <w:tc>
          <w:tcPr>
            <w:tcW w:w="419" w:type="dxa"/>
            <w:tcBorders>
              <w:top w:val="nil"/>
              <w:left w:val="nil"/>
              <w:bottom w:val="single" w:sz="4" w:space="0" w:color="14387F"/>
              <w:right w:val="single" w:sz="4" w:space="0" w:color="14387F"/>
            </w:tcBorders>
            <w:shd w:val="clear" w:color="C6DBEF" w:fill="FFFFFF"/>
            <w:noWrap/>
            <w:vAlign w:val="center"/>
            <w:hideMark/>
          </w:tcPr>
          <w:p w14:paraId="2F61B665" w14:textId="77777777" w:rsidR="00BB239B" w:rsidRPr="009A6554" w:rsidRDefault="00BB239B" w:rsidP="004E5C01">
            <w:pPr>
              <w:jc w:val="center"/>
              <w:rPr>
                <w:rFonts w:cs="Arial"/>
                <w:sz w:val="18"/>
                <w:szCs w:val="18"/>
              </w:rPr>
            </w:pPr>
            <w:r w:rsidRPr="009A6554">
              <w:rPr>
                <w:rFonts w:cs="Arial"/>
                <w:sz w:val="18"/>
                <w:szCs w:val="18"/>
              </w:rPr>
              <w:t>60</w:t>
            </w:r>
          </w:p>
        </w:tc>
        <w:tc>
          <w:tcPr>
            <w:tcW w:w="419" w:type="dxa"/>
            <w:tcBorders>
              <w:top w:val="nil"/>
              <w:left w:val="nil"/>
              <w:bottom w:val="single" w:sz="4" w:space="0" w:color="14387F"/>
              <w:right w:val="single" w:sz="4" w:space="0" w:color="14387F"/>
            </w:tcBorders>
            <w:shd w:val="clear" w:color="C6DBEF" w:fill="FFFFFF"/>
            <w:noWrap/>
            <w:vAlign w:val="center"/>
            <w:hideMark/>
          </w:tcPr>
          <w:p w14:paraId="529F1210" w14:textId="77777777" w:rsidR="00BB239B" w:rsidRPr="009A6554" w:rsidRDefault="00BB239B" w:rsidP="004E5C01">
            <w:pPr>
              <w:jc w:val="center"/>
              <w:rPr>
                <w:rFonts w:cs="Arial"/>
                <w:sz w:val="18"/>
                <w:szCs w:val="18"/>
              </w:rPr>
            </w:pPr>
            <w:r w:rsidRPr="009A6554">
              <w:rPr>
                <w:rFonts w:cs="Arial"/>
                <w:sz w:val="18"/>
                <w:szCs w:val="18"/>
              </w:rPr>
              <w:t>74</w:t>
            </w:r>
          </w:p>
        </w:tc>
        <w:tc>
          <w:tcPr>
            <w:tcW w:w="601" w:type="dxa"/>
            <w:tcBorders>
              <w:top w:val="single" w:sz="4" w:space="0" w:color="14387F"/>
              <w:left w:val="single" w:sz="4" w:space="0" w:color="14387F"/>
              <w:bottom w:val="single" w:sz="4" w:space="0" w:color="14387F"/>
              <w:right w:val="single" w:sz="4" w:space="0" w:color="14387F"/>
            </w:tcBorders>
            <w:shd w:val="clear" w:color="C6DBEF" w:fill="FCBBA1"/>
            <w:noWrap/>
            <w:vAlign w:val="center"/>
            <w:hideMark/>
          </w:tcPr>
          <w:p w14:paraId="3B84D3B1" w14:textId="77777777" w:rsidR="00BB239B" w:rsidRPr="009A6554" w:rsidRDefault="00BB239B" w:rsidP="004E5C01">
            <w:pPr>
              <w:jc w:val="center"/>
              <w:rPr>
                <w:rFonts w:cs="Arial"/>
                <w:sz w:val="18"/>
                <w:szCs w:val="18"/>
              </w:rPr>
            </w:pPr>
            <w:r w:rsidRPr="009A6554">
              <w:rPr>
                <w:rFonts w:cs="Arial"/>
                <w:sz w:val="18"/>
                <w:szCs w:val="18"/>
              </w:rPr>
              <w:t>76</w:t>
            </w:r>
          </w:p>
        </w:tc>
        <w:tc>
          <w:tcPr>
            <w:tcW w:w="419" w:type="dxa"/>
            <w:tcBorders>
              <w:top w:val="single" w:sz="4" w:space="0" w:color="14387F"/>
              <w:left w:val="single" w:sz="4" w:space="0" w:color="14387F"/>
              <w:bottom w:val="single" w:sz="4" w:space="0" w:color="14387F"/>
              <w:right w:val="single" w:sz="4" w:space="0" w:color="14387F"/>
            </w:tcBorders>
            <w:shd w:val="clear" w:color="C6DBEF" w:fill="FCBBA1"/>
            <w:noWrap/>
            <w:vAlign w:val="center"/>
            <w:hideMark/>
          </w:tcPr>
          <w:p w14:paraId="71BA0C02" w14:textId="77777777" w:rsidR="00BB239B" w:rsidRPr="009A6554" w:rsidRDefault="00BB239B" w:rsidP="004E5C01">
            <w:pPr>
              <w:jc w:val="center"/>
              <w:rPr>
                <w:rFonts w:cs="Arial"/>
                <w:sz w:val="18"/>
                <w:szCs w:val="18"/>
              </w:rPr>
            </w:pPr>
            <w:r w:rsidRPr="009A6554">
              <w:rPr>
                <w:rFonts w:cs="Arial"/>
                <w:sz w:val="18"/>
                <w:szCs w:val="18"/>
              </w:rPr>
              <w:t>80</w:t>
            </w:r>
          </w:p>
        </w:tc>
        <w:tc>
          <w:tcPr>
            <w:tcW w:w="419" w:type="dxa"/>
            <w:tcBorders>
              <w:top w:val="single" w:sz="4" w:space="0" w:color="14387F"/>
              <w:left w:val="single" w:sz="4" w:space="0" w:color="14387F"/>
              <w:bottom w:val="single" w:sz="4" w:space="0" w:color="14387F"/>
              <w:right w:val="single" w:sz="4" w:space="0" w:color="14387F"/>
            </w:tcBorders>
            <w:shd w:val="clear" w:color="C6DBEF" w:fill="FCBBA1"/>
            <w:noWrap/>
            <w:vAlign w:val="center"/>
            <w:hideMark/>
          </w:tcPr>
          <w:p w14:paraId="096B9959" w14:textId="77777777" w:rsidR="00BB239B" w:rsidRPr="009A6554" w:rsidRDefault="00BB239B" w:rsidP="004E5C01">
            <w:pPr>
              <w:jc w:val="center"/>
              <w:rPr>
                <w:rFonts w:cs="Arial"/>
                <w:sz w:val="18"/>
                <w:szCs w:val="18"/>
              </w:rPr>
            </w:pPr>
            <w:r w:rsidRPr="009A6554">
              <w:rPr>
                <w:rFonts w:cs="Arial"/>
                <w:sz w:val="18"/>
                <w:szCs w:val="18"/>
              </w:rPr>
              <w:t>84</w:t>
            </w:r>
          </w:p>
        </w:tc>
        <w:tc>
          <w:tcPr>
            <w:tcW w:w="601"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7FE69F1B" w14:textId="77777777" w:rsidR="00BB239B" w:rsidRPr="009A6554" w:rsidRDefault="00BB239B" w:rsidP="004E5C01">
            <w:pPr>
              <w:jc w:val="center"/>
              <w:rPr>
                <w:rFonts w:cs="Arial"/>
                <w:sz w:val="18"/>
                <w:szCs w:val="18"/>
              </w:rPr>
            </w:pPr>
            <w:r w:rsidRPr="009A6554">
              <w:rPr>
                <w:rFonts w:cs="Arial"/>
                <w:sz w:val="18"/>
                <w:szCs w:val="18"/>
              </w:rPr>
              <w:t>90</w:t>
            </w:r>
          </w:p>
        </w:tc>
        <w:tc>
          <w:tcPr>
            <w:tcW w:w="601"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4D72BC5A" w14:textId="77777777" w:rsidR="00BB239B" w:rsidRPr="009A6554" w:rsidRDefault="00BB239B" w:rsidP="004E5C01">
            <w:pPr>
              <w:jc w:val="center"/>
              <w:rPr>
                <w:rFonts w:cs="Arial"/>
                <w:sz w:val="18"/>
                <w:szCs w:val="18"/>
              </w:rPr>
            </w:pPr>
            <w:r w:rsidRPr="009A6554">
              <w:rPr>
                <w:rFonts w:cs="Arial"/>
                <w:sz w:val="18"/>
                <w:szCs w:val="18"/>
              </w:rPr>
              <w:t>91</w:t>
            </w:r>
          </w:p>
        </w:tc>
        <w:tc>
          <w:tcPr>
            <w:tcW w:w="546"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45B0B81D" w14:textId="77777777" w:rsidR="00BB239B" w:rsidRPr="009A6554" w:rsidRDefault="00BB239B" w:rsidP="004E5C01">
            <w:pPr>
              <w:jc w:val="center"/>
              <w:rPr>
                <w:rFonts w:cs="Arial"/>
                <w:sz w:val="18"/>
                <w:szCs w:val="18"/>
              </w:rPr>
            </w:pPr>
            <w:r w:rsidRPr="009A6554">
              <w:rPr>
                <w:rFonts w:cs="Arial"/>
                <w:sz w:val="18"/>
                <w:szCs w:val="18"/>
              </w:rPr>
              <w:t>92</w:t>
            </w:r>
          </w:p>
        </w:tc>
        <w:tc>
          <w:tcPr>
            <w:tcW w:w="419"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27940E33" w14:textId="77777777" w:rsidR="00BB239B" w:rsidRPr="009A6554" w:rsidRDefault="00BB239B" w:rsidP="004E5C01">
            <w:pPr>
              <w:jc w:val="center"/>
              <w:rPr>
                <w:rFonts w:cs="Arial"/>
                <w:sz w:val="18"/>
                <w:szCs w:val="18"/>
              </w:rPr>
            </w:pPr>
            <w:r w:rsidRPr="009A6554">
              <w:rPr>
                <w:rFonts w:cs="Arial"/>
                <w:sz w:val="18"/>
                <w:szCs w:val="18"/>
              </w:rPr>
              <w:t>94</w:t>
            </w:r>
          </w:p>
        </w:tc>
        <w:tc>
          <w:tcPr>
            <w:tcW w:w="601"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75F16FF3" w14:textId="77777777" w:rsidR="00BB239B" w:rsidRPr="009A6554" w:rsidRDefault="00BB239B" w:rsidP="004E5C01">
            <w:pPr>
              <w:jc w:val="center"/>
              <w:rPr>
                <w:rFonts w:cs="Arial"/>
                <w:sz w:val="18"/>
                <w:szCs w:val="18"/>
              </w:rPr>
            </w:pPr>
            <w:r w:rsidRPr="009A6554">
              <w:rPr>
                <w:rFonts w:cs="Arial"/>
                <w:sz w:val="18"/>
                <w:szCs w:val="18"/>
              </w:rPr>
              <w:t>91</w:t>
            </w:r>
          </w:p>
        </w:tc>
        <w:tc>
          <w:tcPr>
            <w:tcW w:w="419"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4A60AAAC" w14:textId="77777777" w:rsidR="00BB239B" w:rsidRPr="009A6554" w:rsidRDefault="00BB239B" w:rsidP="004E5C01">
            <w:pPr>
              <w:jc w:val="center"/>
              <w:rPr>
                <w:rFonts w:cs="Arial"/>
                <w:sz w:val="18"/>
                <w:szCs w:val="18"/>
              </w:rPr>
            </w:pPr>
            <w:r w:rsidRPr="009A6554">
              <w:rPr>
                <w:rFonts w:cs="Arial"/>
                <w:sz w:val="18"/>
                <w:szCs w:val="18"/>
              </w:rPr>
              <w:t>88</w:t>
            </w:r>
          </w:p>
        </w:tc>
        <w:tc>
          <w:tcPr>
            <w:tcW w:w="601"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798069D0" w14:textId="77777777" w:rsidR="00BB239B" w:rsidRPr="009A6554" w:rsidRDefault="00BB239B" w:rsidP="004E5C01">
            <w:pPr>
              <w:jc w:val="center"/>
              <w:rPr>
                <w:rFonts w:cs="Arial"/>
                <w:sz w:val="18"/>
                <w:szCs w:val="18"/>
              </w:rPr>
            </w:pPr>
            <w:r w:rsidRPr="009A6554">
              <w:rPr>
                <w:rFonts w:cs="Arial"/>
                <w:sz w:val="18"/>
                <w:szCs w:val="18"/>
              </w:rPr>
              <w:t>89</w:t>
            </w:r>
          </w:p>
        </w:tc>
        <w:tc>
          <w:tcPr>
            <w:tcW w:w="786"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4E684EE4" w14:textId="77777777" w:rsidR="00BB239B" w:rsidRPr="009A6554" w:rsidRDefault="00BB239B" w:rsidP="004E5C01">
            <w:pPr>
              <w:jc w:val="center"/>
              <w:rPr>
                <w:rFonts w:cs="Arial"/>
                <w:sz w:val="18"/>
                <w:szCs w:val="18"/>
              </w:rPr>
            </w:pPr>
            <w:r w:rsidRPr="009A6554">
              <w:rPr>
                <w:rFonts w:cs="Arial"/>
                <w:sz w:val="18"/>
                <w:szCs w:val="18"/>
              </w:rPr>
              <w:t>88</w:t>
            </w:r>
          </w:p>
        </w:tc>
      </w:tr>
      <w:tr w:rsidR="00BB239B" w:rsidRPr="009A6554" w14:paraId="38C1A679" w14:textId="77777777" w:rsidTr="00AD2344">
        <w:trPr>
          <w:trHeight w:val="211"/>
        </w:trPr>
        <w:tc>
          <w:tcPr>
            <w:tcW w:w="1656" w:type="dxa"/>
            <w:tcBorders>
              <w:top w:val="nil"/>
              <w:left w:val="single" w:sz="4" w:space="0" w:color="14387F"/>
              <w:bottom w:val="single" w:sz="4" w:space="0" w:color="14387F"/>
              <w:right w:val="single" w:sz="4" w:space="0" w:color="14387F"/>
            </w:tcBorders>
            <w:vAlign w:val="center"/>
            <w:hideMark/>
          </w:tcPr>
          <w:p w14:paraId="3ABE133D" w14:textId="77777777" w:rsidR="00BB239B" w:rsidRPr="009A6554" w:rsidRDefault="00BB239B" w:rsidP="004E5C01">
            <w:pPr>
              <w:jc w:val="left"/>
              <w:rPr>
                <w:rFonts w:cs="Arial"/>
                <w:sz w:val="18"/>
                <w:szCs w:val="18"/>
              </w:rPr>
            </w:pPr>
            <w:proofErr w:type="gramStart"/>
            <w:r w:rsidRPr="009A6554">
              <w:rPr>
                <w:rFonts w:cs="Arial"/>
                <w:sz w:val="18"/>
                <w:szCs w:val="18"/>
              </w:rPr>
              <w:t>Morava</w:t>
            </w:r>
            <w:r>
              <w:rPr>
                <w:rFonts w:cs="Arial"/>
                <w:sz w:val="18"/>
                <w:szCs w:val="18"/>
              </w:rPr>
              <w:t xml:space="preserve"> -</w:t>
            </w:r>
            <w:r w:rsidRPr="009A6554">
              <w:rPr>
                <w:rFonts w:cs="Arial"/>
                <w:sz w:val="18"/>
                <w:szCs w:val="18"/>
              </w:rPr>
              <w:t xml:space="preserve"> terciér</w:t>
            </w:r>
            <w:proofErr w:type="gramEnd"/>
          </w:p>
        </w:tc>
        <w:tc>
          <w:tcPr>
            <w:tcW w:w="419" w:type="dxa"/>
            <w:tcBorders>
              <w:top w:val="single" w:sz="4" w:space="0" w:color="14387F"/>
              <w:left w:val="single" w:sz="4" w:space="0" w:color="14387F"/>
              <w:bottom w:val="single" w:sz="4" w:space="0" w:color="14387F"/>
              <w:right w:val="single" w:sz="4" w:space="0" w:color="14387F"/>
            </w:tcBorders>
            <w:shd w:val="clear" w:color="C6DBEF" w:fill="6BAED6"/>
            <w:noWrap/>
            <w:vAlign w:val="center"/>
            <w:hideMark/>
          </w:tcPr>
          <w:p w14:paraId="28F4EE24" w14:textId="77777777" w:rsidR="00BB239B" w:rsidRPr="009A6554" w:rsidRDefault="00BB239B" w:rsidP="004E5C01">
            <w:pPr>
              <w:jc w:val="center"/>
              <w:rPr>
                <w:rFonts w:cs="Arial"/>
                <w:sz w:val="18"/>
                <w:szCs w:val="18"/>
              </w:rPr>
            </w:pPr>
            <w:r w:rsidRPr="009A6554">
              <w:rPr>
                <w:rFonts w:cs="Arial"/>
                <w:sz w:val="18"/>
                <w:szCs w:val="18"/>
              </w:rPr>
              <w:t>7</w:t>
            </w:r>
          </w:p>
        </w:tc>
        <w:tc>
          <w:tcPr>
            <w:tcW w:w="419" w:type="dxa"/>
            <w:tcBorders>
              <w:top w:val="single" w:sz="4" w:space="0" w:color="14387F"/>
              <w:left w:val="single" w:sz="4" w:space="0" w:color="14387F"/>
              <w:bottom w:val="single" w:sz="4" w:space="0" w:color="14387F"/>
              <w:right w:val="single" w:sz="4" w:space="0" w:color="14387F"/>
            </w:tcBorders>
            <w:shd w:val="clear" w:color="C6DBEF" w:fill="6BAED6"/>
            <w:noWrap/>
            <w:vAlign w:val="center"/>
            <w:hideMark/>
          </w:tcPr>
          <w:p w14:paraId="5760B2E5" w14:textId="77777777" w:rsidR="00BB239B" w:rsidRPr="009A6554" w:rsidRDefault="00BB239B" w:rsidP="004E5C01">
            <w:pPr>
              <w:jc w:val="center"/>
              <w:rPr>
                <w:rFonts w:cs="Arial"/>
                <w:sz w:val="18"/>
                <w:szCs w:val="18"/>
              </w:rPr>
            </w:pPr>
            <w:r w:rsidRPr="009A6554">
              <w:rPr>
                <w:rFonts w:cs="Arial"/>
                <w:sz w:val="18"/>
                <w:szCs w:val="18"/>
              </w:rPr>
              <w:t>10</w:t>
            </w:r>
          </w:p>
        </w:tc>
        <w:tc>
          <w:tcPr>
            <w:tcW w:w="601" w:type="dxa"/>
            <w:tcBorders>
              <w:top w:val="single" w:sz="4" w:space="0" w:color="14387F"/>
              <w:left w:val="single" w:sz="4" w:space="0" w:color="14387F"/>
              <w:bottom w:val="single" w:sz="4" w:space="0" w:color="14387F"/>
              <w:right w:val="single" w:sz="4" w:space="0" w:color="14387F"/>
            </w:tcBorders>
            <w:shd w:val="clear" w:color="C6DBEF" w:fill="6BAED6"/>
            <w:noWrap/>
            <w:vAlign w:val="center"/>
            <w:hideMark/>
          </w:tcPr>
          <w:p w14:paraId="33BBD089" w14:textId="77777777" w:rsidR="00BB239B" w:rsidRPr="009A6554" w:rsidRDefault="00BB239B" w:rsidP="004E5C01">
            <w:pPr>
              <w:jc w:val="center"/>
              <w:rPr>
                <w:rFonts w:cs="Arial"/>
                <w:sz w:val="18"/>
                <w:szCs w:val="18"/>
              </w:rPr>
            </w:pPr>
            <w:r w:rsidRPr="009A6554">
              <w:rPr>
                <w:rFonts w:cs="Arial"/>
                <w:sz w:val="18"/>
                <w:szCs w:val="18"/>
              </w:rPr>
              <w:t>14</w:t>
            </w:r>
          </w:p>
        </w:tc>
        <w:tc>
          <w:tcPr>
            <w:tcW w:w="419" w:type="dxa"/>
            <w:tcBorders>
              <w:top w:val="nil"/>
              <w:left w:val="nil"/>
              <w:bottom w:val="single" w:sz="4" w:space="0" w:color="14387F"/>
              <w:right w:val="single" w:sz="4" w:space="0" w:color="14387F"/>
            </w:tcBorders>
            <w:shd w:val="clear" w:color="C6DBEF" w:fill="FFFFFF"/>
            <w:noWrap/>
            <w:vAlign w:val="center"/>
            <w:hideMark/>
          </w:tcPr>
          <w:p w14:paraId="473BED56" w14:textId="77777777" w:rsidR="00BB239B" w:rsidRPr="009A6554" w:rsidRDefault="00BB239B" w:rsidP="004E5C01">
            <w:pPr>
              <w:jc w:val="center"/>
              <w:rPr>
                <w:rFonts w:cs="Arial"/>
                <w:sz w:val="18"/>
                <w:szCs w:val="18"/>
              </w:rPr>
            </w:pPr>
            <w:r w:rsidRPr="009A6554">
              <w:rPr>
                <w:rFonts w:cs="Arial"/>
                <w:sz w:val="18"/>
                <w:szCs w:val="18"/>
              </w:rPr>
              <w:t>27</w:t>
            </w:r>
          </w:p>
        </w:tc>
        <w:tc>
          <w:tcPr>
            <w:tcW w:w="419" w:type="dxa"/>
            <w:tcBorders>
              <w:top w:val="nil"/>
              <w:left w:val="nil"/>
              <w:bottom w:val="single" w:sz="4" w:space="0" w:color="14387F"/>
              <w:right w:val="single" w:sz="4" w:space="0" w:color="14387F"/>
            </w:tcBorders>
            <w:shd w:val="clear" w:color="C6DBEF" w:fill="FFFFFF"/>
            <w:noWrap/>
            <w:vAlign w:val="center"/>
            <w:hideMark/>
          </w:tcPr>
          <w:p w14:paraId="610CE6B7" w14:textId="77777777" w:rsidR="00BB239B" w:rsidRPr="009A6554" w:rsidRDefault="00BB239B" w:rsidP="004E5C01">
            <w:pPr>
              <w:jc w:val="center"/>
              <w:rPr>
                <w:rFonts w:cs="Arial"/>
                <w:sz w:val="18"/>
                <w:szCs w:val="18"/>
              </w:rPr>
            </w:pPr>
            <w:r w:rsidRPr="009A6554">
              <w:rPr>
                <w:rFonts w:cs="Arial"/>
                <w:sz w:val="18"/>
                <w:szCs w:val="18"/>
              </w:rPr>
              <w:t>35</w:t>
            </w:r>
          </w:p>
        </w:tc>
        <w:tc>
          <w:tcPr>
            <w:tcW w:w="601" w:type="dxa"/>
            <w:tcBorders>
              <w:top w:val="nil"/>
              <w:left w:val="nil"/>
              <w:bottom w:val="single" w:sz="4" w:space="0" w:color="14387F"/>
              <w:right w:val="single" w:sz="4" w:space="0" w:color="14387F"/>
            </w:tcBorders>
            <w:shd w:val="clear" w:color="C6DBEF" w:fill="FFFFFF"/>
            <w:noWrap/>
            <w:vAlign w:val="center"/>
            <w:hideMark/>
          </w:tcPr>
          <w:p w14:paraId="46FBD897" w14:textId="77777777" w:rsidR="00BB239B" w:rsidRPr="009A6554" w:rsidRDefault="00BB239B" w:rsidP="004E5C01">
            <w:pPr>
              <w:jc w:val="center"/>
              <w:rPr>
                <w:rFonts w:cs="Arial"/>
                <w:sz w:val="18"/>
                <w:szCs w:val="18"/>
              </w:rPr>
            </w:pPr>
            <w:r w:rsidRPr="009A6554">
              <w:rPr>
                <w:rFonts w:cs="Arial"/>
                <w:sz w:val="18"/>
                <w:szCs w:val="18"/>
              </w:rPr>
              <w:t>29</w:t>
            </w:r>
          </w:p>
        </w:tc>
        <w:tc>
          <w:tcPr>
            <w:tcW w:w="601" w:type="dxa"/>
            <w:tcBorders>
              <w:top w:val="nil"/>
              <w:left w:val="nil"/>
              <w:bottom w:val="single" w:sz="4" w:space="0" w:color="14387F"/>
              <w:right w:val="single" w:sz="4" w:space="0" w:color="14387F"/>
            </w:tcBorders>
            <w:shd w:val="clear" w:color="C6DBEF" w:fill="FFFFFF"/>
            <w:noWrap/>
            <w:vAlign w:val="center"/>
            <w:hideMark/>
          </w:tcPr>
          <w:p w14:paraId="46B0F817" w14:textId="77777777" w:rsidR="00BB239B" w:rsidRPr="009A6554" w:rsidRDefault="00BB239B" w:rsidP="004E5C01">
            <w:pPr>
              <w:jc w:val="center"/>
              <w:rPr>
                <w:rFonts w:cs="Arial"/>
                <w:sz w:val="18"/>
                <w:szCs w:val="18"/>
              </w:rPr>
            </w:pPr>
            <w:r w:rsidRPr="009A6554">
              <w:rPr>
                <w:rFonts w:cs="Arial"/>
                <w:sz w:val="18"/>
                <w:szCs w:val="18"/>
              </w:rPr>
              <w:t>35</w:t>
            </w:r>
          </w:p>
        </w:tc>
        <w:tc>
          <w:tcPr>
            <w:tcW w:w="546" w:type="dxa"/>
            <w:tcBorders>
              <w:top w:val="nil"/>
              <w:left w:val="nil"/>
              <w:bottom w:val="single" w:sz="4" w:space="0" w:color="14387F"/>
              <w:right w:val="single" w:sz="4" w:space="0" w:color="14387F"/>
            </w:tcBorders>
            <w:shd w:val="clear" w:color="C6DBEF" w:fill="FFFFFF"/>
            <w:noWrap/>
            <w:vAlign w:val="center"/>
            <w:hideMark/>
          </w:tcPr>
          <w:p w14:paraId="0E2A5F07" w14:textId="77777777" w:rsidR="00BB239B" w:rsidRPr="009A6554" w:rsidRDefault="00BB239B" w:rsidP="004E5C01">
            <w:pPr>
              <w:jc w:val="center"/>
              <w:rPr>
                <w:rFonts w:cs="Arial"/>
                <w:sz w:val="18"/>
                <w:szCs w:val="18"/>
              </w:rPr>
            </w:pPr>
            <w:r w:rsidRPr="009A6554">
              <w:rPr>
                <w:rFonts w:cs="Arial"/>
                <w:sz w:val="18"/>
                <w:szCs w:val="18"/>
              </w:rPr>
              <w:t>34</w:t>
            </w:r>
          </w:p>
        </w:tc>
        <w:tc>
          <w:tcPr>
            <w:tcW w:w="419" w:type="dxa"/>
            <w:tcBorders>
              <w:top w:val="nil"/>
              <w:left w:val="nil"/>
              <w:bottom w:val="single" w:sz="4" w:space="0" w:color="14387F"/>
              <w:right w:val="single" w:sz="4" w:space="0" w:color="14387F"/>
            </w:tcBorders>
            <w:shd w:val="clear" w:color="C6DBEF" w:fill="FFFFFF"/>
            <w:noWrap/>
            <w:vAlign w:val="center"/>
            <w:hideMark/>
          </w:tcPr>
          <w:p w14:paraId="0A8C4CC3" w14:textId="77777777" w:rsidR="00BB239B" w:rsidRPr="009A6554" w:rsidRDefault="00BB239B" w:rsidP="004E5C01">
            <w:pPr>
              <w:jc w:val="center"/>
              <w:rPr>
                <w:rFonts w:cs="Arial"/>
                <w:sz w:val="18"/>
                <w:szCs w:val="18"/>
              </w:rPr>
            </w:pPr>
            <w:r w:rsidRPr="009A6554">
              <w:rPr>
                <w:rFonts w:cs="Arial"/>
                <w:sz w:val="18"/>
                <w:szCs w:val="18"/>
              </w:rPr>
              <w:t>37</w:t>
            </w:r>
          </w:p>
        </w:tc>
        <w:tc>
          <w:tcPr>
            <w:tcW w:w="601" w:type="dxa"/>
            <w:tcBorders>
              <w:top w:val="nil"/>
              <w:left w:val="nil"/>
              <w:bottom w:val="single" w:sz="4" w:space="0" w:color="14387F"/>
              <w:right w:val="single" w:sz="4" w:space="0" w:color="14387F"/>
            </w:tcBorders>
            <w:shd w:val="clear" w:color="C6DBEF" w:fill="FFFFFF"/>
            <w:noWrap/>
            <w:vAlign w:val="center"/>
            <w:hideMark/>
          </w:tcPr>
          <w:p w14:paraId="436997AD" w14:textId="77777777" w:rsidR="00BB239B" w:rsidRPr="009A6554" w:rsidRDefault="00BB239B" w:rsidP="004E5C01">
            <w:pPr>
              <w:jc w:val="center"/>
              <w:rPr>
                <w:rFonts w:cs="Arial"/>
                <w:sz w:val="18"/>
                <w:szCs w:val="18"/>
              </w:rPr>
            </w:pPr>
            <w:r w:rsidRPr="009A6554">
              <w:rPr>
                <w:rFonts w:cs="Arial"/>
                <w:sz w:val="18"/>
                <w:szCs w:val="18"/>
              </w:rPr>
              <w:t>36</w:t>
            </w:r>
          </w:p>
        </w:tc>
        <w:tc>
          <w:tcPr>
            <w:tcW w:w="419" w:type="dxa"/>
            <w:tcBorders>
              <w:top w:val="nil"/>
              <w:left w:val="nil"/>
              <w:bottom w:val="single" w:sz="4" w:space="0" w:color="14387F"/>
              <w:right w:val="single" w:sz="4" w:space="0" w:color="14387F"/>
            </w:tcBorders>
            <w:shd w:val="clear" w:color="C6DBEF" w:fill="FFFFFF"/>
            <w:noWrap/>
            <w:vAlign w:val="center"/>
            <w:hideMark/>
          </w:tcPr>
          <w:p w14:paraId="44ECA296" w14:textId="77777777" w:rsidR="00BB239B" w:rsidRPr="009A6554" w:rsidRDefault="00BB239B" w:rsidP="004E5C01">
            <w:pPr>
              <w:jc w:val="center"/>
              <w:rPr>
                <w:rFonts w:cs="Arial"/>
                <w:sz w:val="18"/>
                <w:szCs w:val="18"/>
              </w:rPr>
            </w:pPr>
            <w:r w:rsidRPr="009A6554">
              <w:rPr>
                <w:rFonts w:cs="Arial"/>
                <w:sz w:val="18"/>
                <w:szCs w:val="18"/>
              </w:rPr>
              <w:t>32</w:t>
            </w:r>
          </w:p>
        </w:tc>
        <w:tc>
          <w:tcPr>
            <w:tcW w:w="601" w:type="dxa"/>
            <w:tcBorders>
              <w:top w:val="nil"/>
              <w:left w:val="nil"/>
              <w:bottom w:val="single" w:sz="4" w:space="0" w:color="14387F"/>
              <w:right w:val="single" w:sz="4" w:space="0" w:color="14387F"/>
            </w:tcBorders>
            <w:shd w:val="clear" w:color="C6DBEF" w:fill="FFFFFF"/>
            <w:noWrap/>
            <w:vAlign w:val="center"/>
            <w:hideMark/>
          </w:tcPr>
          <w:p w14:paraId="45262D0F" w14:textId="77777777" w:rsidR="00BB239B" w:rsidRPr="009A6554" w:rsidRDefault="00BB239B" w:rsidP="004E5C01">
            <w:pPr>
              <w:jc w:val="center"/>
              <w:rPr>
                <w:rFonts w:cs="Arial"/>
                <w:sz w:val="18"/>
                <w:szCs w:val="18"/>
              </w:rPr>
            </w:pPr>
            <w:r w:rsidRPr="009A6554">
              <w:rPr>
                <w:rFonts w:cs="Arial"/>
                <w:sz w:val="18"/>
                <w:szCs w:val="18"/>
              </w:rPr>
              <w:t>28</w:t>
            </w:r>
          </w:p>
        </w:tc>
        <w:tc>
          <w:tcPr>
            <w:tcW w:w="786" w:type="dxa"/>
            <w:tcBorders>
              <w:top w:val="single" w:sz="4" w:space="0" w:color="14387F"/>
              <w:left w:val="single" w:sz="4" w:space="0" w:color="14387F"/>
              <w:bottom w:val="single" w:sz="4" w:space="0" w:color="14387F"/>
              <w:right w:val="single" w:sz="4" w:space="0" w:color="14387F"/>
            </w:tcBorders>
            <w:shd w:val="clear" w:color="C6DBEF" w:fill="C6DBEF"/>
            <w:noWrap/>
            <w:vAlign w:val="center"/>
            <w:hideMark/>
          </w:tcPr>
          <w:p w14:paraId="649B66BF" w14:textId="77777777" w:rsidR="00BB239B" w:rsidRPr="009A6554" w:rsidRDefault="00BB239B" w:rsidP="004E5C01">
            <w:pPr>
              <w:jc w:val="center"/>
              <w:rPr>
                <w:rFonts w:cs="Arial"/>
                <w:sz w:val="18"/>
                <w:szCs w:val="18"/>
              </w:rPr>
            </w:pPr>
            <w:r w:rsidRPr="009A6554">
              <w:rPr>
                <w:rFonts w:cs="Arial"/>
                <w:sz w:val="18"/>
                <w:szCs w:val="18"/>
              </w:rPr>
              <w:t>24</w:t>
            </w:r>
          </w:p>
        </w:tc>
      </w:tr>
      <w:tr w:rsidR="00BB239B" w:rsidRPr="009A6554" w14:paraId="551FA1F9" w14:textId="77777777" w:rsidTr="00AD2344">
        <w:trPr>
          <w:trHeight w:val="338"/>
        </w:trPr>
        <w:tc>
          <w:tcPr>
            <w:tcW w:w="1656" w:type="dxa"/>
            <w:tcBorders>
              <w:top w:val="nil"/>
              <w:left w:val="single" w:sz="4" w:space="0" w:color="14387F"/>
              <w:bottom w:val="single" w:sz="4" w:space="0" w:color="14387F"/>
              <w:right w:val="single" w:sz="4" w:space="0" w:color="14387F"/>
            </w:tcBorders>
            <w:vAlign w:val="center"/>
            <w:hideMark/>
          </w:tcPr>
          <w:p w14:paraId="781C37CF" w14:textId="77777777" w:rsidR="00BB239B" w:rsidRPr="009A6554" w:rsidRDefault="00BB239B" w:rsidP="004E5C01">
            <w:pPr>
              <w:jc w:val="left"/>
              <w:rPr>
                <w:rFonts w:cs="Arial"/>
                <w:sz w:val="18"/>
                <w:szCs w:val="18"/>
              </w:rPr>
            </w:pPr>
            <w:r w:rsidRPr="009A6554">
              <w:rPr>
                <w:rFonts w:cs="Arial"/>
                <w:sz w:val="18"/>
                <w:szCs w:val="18"/>
              </w:rPr>
              <w:t>Severočeská křída</w:t>
            </w:r>
          </w:p>
        </w:tc>
        <w:tc>
          <w:tcPr>
            <w:tcW w:w="419" w:type="dxa"/>
            <w:tcBorders>
              <w:top w:val="single" w:sz="4" w:space="0" w:color="14387F"/>
              <w:left w:val="single" w:sz="4" w:space="0" w:color="14387F"/>
              <w:bottom w:val="single" w:sz="4" w:space="0" w:color="14387F"/>
              <w:right w:val="single" w:sz="4" w:space="0" w:color="14387F"/>
            </w:tcBorders>
            <w:shd w:val="clear" w:color="C6DBEF" w:fill="CB181D"/>
            <w:noWrap/>
            <w:vAlign w:val="center"/>
            <w:hideMark/>
          </w:tcPr>
          <w:p w14:paraId="6D9607D1" w14:textId="77777777" w:rsidR="00BB239B" w:rsidRPr="009A6554" w:rsidRDefault="00BB239B" w:rsidP="004E5C01">
            <w:pPr>
              <w:jc w:val="center"/>
              <w:rPr>
                <w:rFonts w:cs="Arial"/>
                <w:color w:val="FFFFFF" w:themeColor="background1"/>
                <w:sz w:val="18"/>
                <w:szCs w:val="18"/>
              </w:rPr>
            </w:pPr>
            <w:r w:rsidRPr="009A6554">
              <w:rPr>
                <w:rFonts w:cs="Arial"/>
                <w:color w:val="FFFFFF" w:themeColor="background1"/>
                <w:sz w:val="18"/>
                <w:szCs w:val="18"/>
              </w:rPr>
              <w:t>99</w:t>
            </w:r>
          </w:p>
        </w:tc>
        <w:tc>
          <w:tcPr>
            <w:tcW w:w="419" w:type="dxa"/>
            <w:tcBorders>
              <w:top w:val="single" w:sz="4" w:space="0" w:color="14387F"/>
              <w:left w:val="single" w:sz="4" w:space="0" w:color="14387F"/>
              <w:bottom w:val="single" w:sz="4" w:space="0" w:color="14387F"/>
              <w:right w:val="single" w:sz="4" w:space="0" w:color="14387F"/>
            </w:tcBorders>
            <w:shd w:val="clear" w:color="C6DBEF" w:fill="CB181D"/>
            <w:noWrap/>
            <w:vAlign w:val="center"/>
            <w:hideMark/>
          </w:tcPr>
          <w:p w14:paraId="2FB6D470" w14:textId="77777777" w:rsidR="00BB239B" w:rsidRPr="009A6554" w:rsidRDefault="00BB239B" w:rsidP="004E5C01">
            <w:pPr>
              <w:jc w:val="center"/>
              <w:rPr>
                <w:rFonts w:cs="Arial"/>
                <w:color w:val="FFFFFF" w:themeColor="background1"/>
                <w:sz w:val="18"/>
                <w:szCs w:val="18"/>
              </w:rPr>
            </w:pPr>
            <w:r w:rsidRPr="009A6554">
              <w:rPr>
                <w:rFonts w:cs="Arial"/>
                <w:color w:val="FFFFFF" w:themeColor="background1"/>
                <w:sz w:val="18"/>
                <w:szCs w:val="18"/>
              </w:rPr>
              <w:t>99</w:t>
            </w:r>
          </w:p>
        </w:tc>
        <w:tc>
          <w:tcPr>
            <w:tcW w:w="601" w:type="dxa"/>
            <w:tcBorders>
              <w:top w:val="single" w:sz="4" w:space="0" w:color="14387F"/>
              <w:left w:val="single" w:sz="4" w:space="0" w:color="14387F"/>
              <w:bottom w:val="single" w:sz="4" w:space="0" w:color="14387F"/>
              <w:right w:val="single" w:sz="4" w:space="0" w:color="14387F"/>
            </w:tcBorders>
            <w:shd w:val="clear" w:color="C6DBEF" w:fill="CB181D"/>
            <w:noWrap/>
            <w:vAlign w:val="center"/>
            <w:hideMark/>
          </w:tcPr>
          <w:p w14:paraId="14009BBD" w14:textId="77777777" w:rsidR="00BB239B" w:rsidRPr="009A6554" w:rsidRDefault="00BB239B" w:rsidP="004E5C01">
            <w:pPr>
              <w:jc w:val="center"/>
              <w:rPr>
                <w:rFonts w:cs="Arial"/>
                <w:color w:val="FFFFFF" w:themeColor="background1"/>
                <w:sz w:val="18"/>
                <w:szCs w:val="18"/>
              </w:rPr>
            </w:pPr>
            <w:r w:rsidRPr="009A6554">
              <w:rPr>
                <w:rFonts w:cs="Arial"/>
                <w:color w:val="FFFFFF" w:themeColor="background1"/>
                <w:sz w:val="18"/>
                <w:szCs w:val="18"/>
              </w:rPr>
              <w:t>100</w:t>
            </w:r>
          </w:p>
        </w:tc>
        <w:tc>
          <w:tcPr>
            <w:tcW w:w="419" w:type="dxa"/>
            <w:tcBorders>
              <w:top w:val="single" w:sz="4" w:space="0" w:color="14387F"/>
              <w:left w:val="single" w:sz="4" w:space="0" w:color="14387F"/>
              <w:bottom w:val="single" w:sz="4" w:space="0" w:color="14387F"/>
              <w:right w:val="single" w:sz="4" w:space="0" w:color="14387F"/>
            </w:tcBorders>
            <w:shd w:val="clear" w:color="C6DBEF" w:fill="CB181D"/>
            <w:noWrap/>
            <w:vAlign w:val="center"/>
            <w:hideMark/>
          </w:tcPr>
          <w:p w14:paraId="76636D56" w14:textId="77777777" w:rsidR="00BB239B" w:rsidRPr="009A6554" w:rsidRDefault="00BB239B" w:rsidP="004E5C01">
            <w:pPr>
              <w:jc w:val="center"/>
              <w:rPr>
                <w:rFonts w:cs="Arial"/>
                <w:color w:val="FFFFFF" w:themeColor="background1"/>
                <w:sz w:val="18"/>
                <w:szCs w:val="18"/>
              </w:rPr>
            </w:pPr>
            <w:r w:rsidRPr="009A6554">
              <w:rPr>
                <w:rFonts w:cs="Arial"/>
                <w:color w:val="FFFFFF" w:themeColor="background1"/>
                <w:sz w:val="18"/>
                <w:szCs w:val="18"/>
              </w:rPr>
              <w:t>99</w:t>
            </w:r>
          </w:p>
        </w:tc>
        <w:tc>
          <w:tcPr>
            <w:tcW w:w="419" w:type="dxa"/>
            <w:tcBorders>
              <w:top w:val="single" w:sz="4" w:space="0" w:color="14387F"/>
              <w:left w:val="single" w:sz="4" w:space="0" w:color="14387F"/>
              <w:bottom w:val="single" w:sz="4" w:space="0" w:color="14387F"/>
              <w:right w:val="single" w:sz="4" w:space="0" w:color="14387F"/>
            </w:tcBorders>
            <w:shd w:val="clear" w:color="C6DBEF" w:fill="CB181D"/>
            <w:noWrap/>
            <w:vAlign w:val="center"/>
            <w:hideMark/>
          </w:tcPr>
          <w:p w14:paraId="5F66679D" w14:textId="77777777" w:rsidR="00BB239B" w:rsidRPr="009A6554" w:rsidRDefault="00BB239B" w:rsidP="004E5C01">
            <w:pPr>
              <w:jc w:val="center"/>
              <w:rPr>
                <w:rFonts w:cs="Arial"/>
                <w:color w:val="FFFFFF" w:themeColor="background1"/>
                <w:sz w:val="18"/>
                <w:szCs w:val="18"/>
              </w:rPr>
            </w:pPr>
            <w:r w:rsidRPr="009A6554">
              <w:rPr>
                <w:rFonts w:cs="Arial"/>
                <w:color w:val="FFFFFF" w:themeColor="background1"/>
                <w:sz w:val="18"/>
                <w:szCs w:val="18"/>
              </w:rPr>
              <w:t>99</w:t>
            </w:r>
          </w:p>
        </w:tc>
        <w:tc>
          <w:tcPr>
            <w:tcW w:w="601" w:type="dxa"/>
            <w:tcBorders>
              <w:top w:val="single" w:sz="4" w:space="0" w:color="14387F"/>
              <w:left w:val="single" w:sz="4" w:space="0" w:color="14387F"/>
              <w:bottom w:val="single" w:sz="4" w:space="0" w:color="14387F"/>
              <w:right w:val="single" w:sz="4" w:space="0" w:color="14387F"/>
            </w:tcBorders>
            <w:shd w:val="clear" w:color="C6DBEF" w:fill="CB181D"/>
            <w:noWrap/>
            <w:vAlign w:val="center"/>
            <w:hideMark/>
          </w:tcPr>
          <w:p w14:paraId="76A1D71C" w14:textId="77777777" w:rsidR="00BB239B" w:rsidRPr="009A6554" w:rsidRDefault="00BB239B" w:rsidP="004E5C01">
            <w:pPr>
              <w:jc w:val="center"/>
              <w:rPr>
                <w:rFonts w:cs="Arial"/>
                <w:color w:val="FFFFFF" w:themeColor="background1"/>
                <w:sz w:val="18"/>
                <w:szCs w:val="18"/>
              </w:rPr>
            </w:pPr>
            <w:r w:rsidRPr="009A6554">
              <w:rPr>
                <w:rFonts w:cs="Arial"/>
                <w:color w:val="FFFFFF" w:themeColor="background1"/>
                <w:sz w:val="18"/>
                <w:szCs w:val="18"/>
              </w:rPr>
              <w:t>100</w:t>
            </w:r>
          </w:p>
        </w:tc>
        <w:tc>
          <w:tcPr>
            <w:tcW w:w="601" w:type="dxa"/>
            <w:tcBorders>
              <w:top w:val="single" w:sz="4" w:space="0" w:color="14387F"/>
              <w:left w:val="single" w:sz="4" w:space="0" w:color="14387F"/>
              <w:bottom w:val="single" w:sz="4" w:space="0" w:color="14387F"/>
              <w:right w:val="single" w:sz="4" w:space="0" w:color="14387F"/>
            </w:tcBorders>
            <w:shd w:val="clear" w:color="C6DBEF" w:fill="CB181D"/>
            <w:noWrap/>
            <w:vAlign w:val="center"/>
            <w:hideMark/>
          </w:tcPr>
          <w:p w14:paraId="39C64EA6" w14:textId="77777777" w:rsidR="00BB239B" w:rsidRPr="009A6554" w:rsidRDefault="00BB239B" w:rsidP="004E5C01">
            <w:pPr>
              <w:jc w:val="center"/>
              <w:rPr>
                <w:rFonts w:cs="Arial"/>
                <w:color w:val="FFFFFF" w:themeColor="background1"/>
                <w:sz w:val="18"/>
                <w:szCs w:val="18"/>
              </w:rPr>
            </w:pPr>
            <w:r w:rsidRPr="009A6554">
              <w:rPr>
                <w:rFonts w:cs="Arial"/>
                <w:color w:val="FFFFFF" w:themeColor="background1"/>
                <w:sz w:val="18"/>
                <w:szCs w:val="18"/>
              </w:rPr>
              <w:t>100</w:t>
            </w:r>
          </w:p>
        </w:tc>
        <w:tc>
          <w:tcPr>
            <w:tcW w:w="546" w:type="dxa"/>
            <w:tcBorders>
              <w:top w:val="single" w:sz="4" w:space="0" w:color="14387F"/>
              <w:left w:val="single" w:sz="4" w:space="0" w:color="14387F"/>
              <w:bottom w:val="single" w:sz="4" w:space="0" w:color="14387F"/>
              <w:right w:val="single" w:sz="4" w:space="0" w:color="14387F"/>
            </w:tcBorders>
            <w:shd w:val="clear" w:color="C6DBEF" w:fill="CB181D"/>
            <w:noWrap/>
            <w:vAlign w:val="center"/>
            <w:hideMark/>
          </w:tcPr>
          <w:p w14:paraId="07C40B5A" w14:textId="77777777" w:rsidR="00BB239B" w:rsidRPr="009A6554" w:rsidRDefault="00BB239B" w:rsidP="004E5C01">
            <w:pPr>
              <w:jc w:val="center"/>
              <w:rPr>
                <w:rFonts w:cs="Arial"/>
                <w:color w:val="FFFFFF" w:themeColor="background1"/>
                <w:sz w:val="18"/>
                <w:szCs w:val="18"/>
              </w:rPr>
            </w:pPr>
            <w:r w:rsidRPr="009A6554">
              <w:rPr>
                <w:rFonts w:cs="Arial"/>
                <w:color w:val="FFFFFF" w:themeColor="background1"/>
                <w:sz w:val="18"/>
                <w:szCs w:val="18"/>
              </w:rPr>
              <w:t>99</w:t>
            </w:r>
          </w:p>
        </w:tc>
        <w:tc>
          <w:tcPr>
            <w:tcW w:w="419" w:type="dxa"/>
            <w:tcBorders>
              <w:top w:val="single" w:sz="4" w:space="0" w:color="14387F"/>
              <w:left w:val="single" w:sz="4" w:space="0" w:color="14387F"/>
              <w:bottom w:val="single" w:sz="4" w:space="0" w:color="14387F"/>
              <w:right w:val="single" w:sz="4" w:space="0" w:color="14387F"/>
            </w:tcBorders>
            <w:shd w:val="clear" w:color="C6DBEF" w:fill="CB181D"/>
            <w:noWrap/>
            <w:vAlign w:val="center"/>
            <w:hideMark/>
          </w:tcPr>
          <w:p w14:paraId="06F43565" w14:textId="77777777" w:rsidR="00BB239B" w:rsidRPr="009A6554" w:rsidRDefault="00BB239B" w:rsidP="004E5C01">
            <w:pPr>
              <w:jc w:val="center"/>
              <w:rPr>
                <w:rFonts w:cs="Arial"/>
                <w:color w:val="FFFFFF" w:themeColor="background1"/>
                <w:sz w:val="18"/>
                <w:szCs w:val="18"/>
              </w:rPr>
            </w:pPr>
            <w:r w:rsidRPr="009A6554">
              <w:rPr>
                <w:rFonts w:cs="Arial"/>
                <w:color w:val="FFFFFF" w:themeColor="background1"/>
                <w:sz w:val="18"/>
                <w:szCs w:val="18"/>
              </w:rPr>
              <w:t>99</w:t>
            </w:r>
          </w:p>
        </w:tc>
        <w:tc>
          <w:tcPr>
            <w:tcW w:w="601" w:type="dxa"/>
            <w:tcBorders>
              <w:top w:val="single" w:sz="4" w:space="0" w:color="14387F"/>
              <w:left w:val="single" w:sz="4" w:space="0" w:color="14387F"/>
              <w:bottom w:val="single" w:sz="4" w:space="0" w:color="14387F"/>
              <w:right w:val="single" w:sz="4" w:space="0" w:color="14387F"/>
            </w:tcBorders>
            <w:shd w:val="clear" w:color="C6DBEF" w:fill="CB181D"/>
            <w:noWrap/>
            <w:vAlign w:val="center"/>
            <w:hideMark/>
          </w:tcPr>
          <w:p w14:paraId="61B111EC" w14:textId="77777777" w:rsidR="00BB239B" w:rsidRPr="009A6554" w:rsidRDefault="00BB239B" w:rsidP="004E5C01">
            <w:pPr>
              <w:jc w:val="center"/>
              <w:rPr>
                <w:rFonts w:cs="Arial"/>
                <w:color w:val="FFFFFF" w:themeColor="background1"/>
                <w:sz w:val="18"/>
                <w:szCs w:val="18"/>
              </w:rPr>
            </w:pPr>
            <w:r w:rsidRPr="009A6554">
              <w:rPr>
                <w:rFonts w:cs="Arial"/>
                <w:color w:val="FFFFFF" w:themeColor="background1"/>
                <w:sz w:val="18"/>
                <w:szCs w:val="18"/>
              </w:rPr>
              <w:t>100</w:t>
            </w:r>
          </w:p>
        </w:tc>
        <w:tc>
          <w:tcPr>
            <w:tcW w:w="419" w:type="dxa"/>
            <w:tcBorders>
              <w:top w:val="single" w:sz="4" w:space="0" w:color="14387F"/>
              <w:left w:val="single" w:sz="4" w:space="0" w:color="14387F"/>
              <w:bottom w:val="single" w:sz="4" w:space="0" w:color="14387F"/>
              <w:right w:val="single" w:sz="4" w:space="0" w:color="14387F"/>
            </w:tcBorders>
            <w:shd w:val="clear" w:color="C6DBEF" w:fill="CB181D"/>
            <w:noWrap/>
            <w:vAlign w:val="center"/>
            <w:hideMark/>
          </w:tcPr>
          <w:p w14:paraId="61096758" w14:textId="77777777" w:rsidR="00BB239B" w:rsidRPr="009A6554" w:rsidRDefault="00BB239B" w:rsidP="004E5C01">
            <w:pPr>
              <w:jc w:val="center"/>
              <w:rPr>
                <w:rFonts w:cs="Arial"/>
                <w:color w:val="FFFFFF" w:themeColor="background1"/>
                <w:sz w:val="18"/>
                <w:szCs w:val="18"/>
              </w:rPr>
            </w:pPr>
            <w:r w:rsidRPr="009A6554">
              <w:rPr>
                <w:rFonts w:cs="Arial"/>
                <w:color w:val="FFFFFF" w:themeColor="background1"/>
                <w:sz w:val="18"/>
                <w:szCs w:val="18"/>
              </w:rPr>
              <w:t>99</w:t>
            </w:r>
          </w:p>
        </w:tc>
        <w:tc>
          <w:tcPr>
            <w:tcW w:w="601" w:type="dxa"/>
            <w:tcBorders>
              <w:top w:val="single" w:sz="4" w:space="0" w:color="14387F"/>
              <w:left w:val="single" w:sz="4" w:space="0" w:color="14387F"/>
              <w:bottom w:val="single" w:sz="4" w:space="0" w:color="14387F"/>
              <w:right w:val="single" w:sz="4" w:space="0" w:color="14387F"/>
            </w:tcBorders>
            <w:shd w:val="clear" w:color="C6DBEF" w:fill="CB181D"/>
            <w:noWrap/>
            <w:vAlign w:val="center"/>
            <w:hideMark/>
          </w:tcPr>
          <w:p w14:paraId="40CE884A" w14:textId="77777777" w:rsidR="00BB239B" w:rsidRPr="009A6554" w:rsidRDefault="00BB239B" w:rsidP="004E5C01">
            <w:pPr>
              <w:jc w:val="center"/>
              <w:rPr>
                <w:rFonts w:cs="Arial"/>
                <w:color w:val="FFFFFF" w:themeColor="background1"/>
                <w:sz w:val="18"/>
                <w:szCs w:val="18"/>
              </w:rPr>
            </w:pPr>
            <w:r w:rsidRPr="009A6554">
              <w:rPr>
                <w:rFonts w:cs="Arial"/>
                <w:color w:val="FFFFFF" w:themeColor="background1"/>
                <w:sz w:val="18"/>
                <w:szCs w:val="18"/>
              </w:rPr>
              <w:t>100</w:t>
            </w:r>
          </w:p>
        </w:tc>
        <w:tc>
          <w:tcPr>
            <w:tcW w:w="786" w:type="dxa"/>
            <w:tcBorders>
              <w:top w:val="single" w:sz="4" w:space="0" w:color="14387F"/>
              <w:left w:val="single" w:sz="4" w:space="0" w:color="14387F"/>
              <w:bottom w:val="single" w:sz="4" w:space="0" w:color="14387F"/>
              <w:right w:val="single" w:sz="4" w:space="0" w:color="14387F"/>
            </w:tcBorders>
            <w:shd w:val="clear" w:color="C6DBEF" w:fill="CB181D"/>
            <w:noWrap/>
            <w:vAlign w:val="center"/>
            <w:hideMark/>
          </w:tcPr>
          <w:p w14:paraId="4E4F593F" w14:textId="77777777" w:rsidR="00BB239B" w:rsidRPr="009A6554" w:rsidRDefault="00BB239B" w:rsidP="004E5C01">
            <w:pPr>
              <w:jc w:val="center"/>
              <w:rPr>
                <w:rFonts w:cs="Arial"/>
                <w:color w:val="FFFFFF" w:themeColor="background1"/>
                <w:sz w:val="18"/>
                <w:szCs w:val="18"/>
              </w:rPr>
            </w:pPr>
            <w:r w:rsidRPr="009A6554">
              <w:rPr>
                <w:rFonts w:cs="Arial"/>
                <w:color w:val="FFFFFF" w:themeColor="background1"/>
                <w:sz w:val="18"/>
                <w:szCs w:val="18"/>
              </w:rPr>
              <w:t>99</w:t>
            </w:r>
          </w:p>
        </w:tc>
      </w:tr>
      <w:tr w:rsidR="00BB239B" w:rsidRPr="009A6554" w14:paraId="5E124206" w14:textId="77777777" w:rsidTr="00AD2344">
        <w:trPr>
          <w:trHeight w:val="338"/>
        </w:trPr>
        <w:tc>
          <w:tcPr>
            <w:tcW w:w="1656" w:type="dxa"/>
            <w:tcBorders>
              <w:top w:val="nil"/>
              <w:left w:val="single" w:sz="4" w:space="0" w:color="14387F"/>
              <w:bottom w:val="single" w:sz="4" w:space="0" w:color="14387F"/>
              <w:right w:val="single" w:sz="4" w:space="0" w:color="14387F"/>
            </w:tcBorders>
            <w:vAlign w:val="center"/>
            <w:hideMark/>
          </w:tcPr>
          <w:p w14:paraId="3995B05D" w14:textId="77777777" w:rsidR="00BB239B" w:rsidRPr="009A6554" w:rsidRDefault="00BB239B" w:rsidP="004E5C01">
            <w:pPr>
              <w:jc w:val="left"/>
              <w:rPr>
                <w:rFonts w:cs="Arial"/>
                <w:color w:val="FFFFFF" w:themeColor="background1"/>
                <w:sz w:val="18"/>
                <w:szCs w:val="18"/>
              </w:rPr>
            </w:pPr>
            <w:r w:rsidRPr="009A6554">
              <w:rPr>
                <w:rFonts w:cs="Arial"/>
                <w:sz w:val="18"/>
                <w:szCs w:val="18"/>
              </w:rPr>
              <w:t>Východočeská křída</w:t>
            </w:r>
          </w:p>
        </w:tc>
        <w:tc>
          <w:tcPr>
            <w:tcW w:w="419" w:type="dxa"/>
            <w:tcBorders>
              <w:top w:val="single" w:sz="4" w:space="0" w:color="14387F"/>
              <w:left w:val="single" w:sz="4" w:space="0" w:color="14387F"/>
              <w:bottom w:val="single" w:sz="4" w:space="0" w:color="14387F"/>
              <w:right w:val="single" w:sz="4" w:space="0" w:color="14387F"/>
            </w:tcBorders>
            <w:shd w:val="clear" w:color="C6DBEF" w:fill="C6DBEF"/>
            <w:noWrap/>
            <w:vAlign w:val="center"/>
            <w:hideMark/>
          </w:tcPr>
          <w:p w14:paraId="3E9BB0A2" w14:textId="77777777" w:rsidR="00BB239B" w:rsidRPr="009A6554" w:rsidRDefault="00BB239B" w:rsidP="004E5C01">
            <w:pPr>
              <w:jc w:val="center"/>
              <w:rPr>
                <w:rFonts w:cs="Arial"/>
                <w:sz w:val="18"/>
                <w:szCs w:val="18"/>
              </w:rPr>
            </w:pPr>
            <w:r w:rsidRPr="009A6554">
              <w:rPr>
                <w:rFonts w:cs="Arial"/>
                <w:sz w:val="18"/>
                <w:szCs w:val="18"/>
              </w:rPr>
              <w:t>20</w:t>
            </w:r>
          </w:p>
        </w:tc>
        <w:tc>
          <w:tcPr>
            <w:tcW w:w="419" w:type="dxa"/>
            <w:tcBorders>
              <w:top w:val="nil"/>
              <w:left w:val="nil"/>
              <w:bottom w:val="single" w:sz="4" w:space="0" w:color="14387F"/>
              <w:right w:val="single" w:sz="4" w:space="0" w:color="14387F"/>
            </w:tcBorders>
            <w:shd w:val="clear" w:color="C6DBEF" w:fill="FFFFFF"/>
            <w:noWrap/>
            <w:vAlign w:val="center"/>
            <w:hideMark/>
          </w:tcPr>
          <w:p w14:paraId="75D41050" w14:textId="77777777" w:rsidR="00BB239B" w:rsidRPr="009A6554" w:rsidRDefault="00BB239B" w:rsidP="004E5C01">
            <w:pPr>
              <w:jc w:val="center"/>
              <w:rPr>
                <w:rFonts w:cs="Arial"/>
                <w:sz w:val="18"/>
                <w:szCs w:val="18"/>
              </w:rPr>
            </w:pPr>
            <w:r w:rsidRPr="009A6554">
              <w:rPr>
                <w:rFonts w:cs="Arial"/>
                <w:sz w:val="18"/>
                <w:szCs w:val="18"/>
              </w:rPr>
              <w:t>33</w:t>
            </w:r>
          </w:p>
        </w:tc>
        <w:tc>
          <w:tcPr>
            <w:tcW w:w="601" w:type="dxa"/>
            <w:tcBorders>
              <w:top w:val="nil"/>
              <w:left w:val="nil"/>
              <w:bottom w:val="single" w:sz="4" w:space="0" w:color="14387F"/>
              <w:right w:val="single" w:sz="4" w:space="0" w:color="14387F"/>
            </w:tcBorders>
            <w:shd w:val="clear" w:color="C6DBEF" w:fill="FFFFFF"/>
            <w:noWrap/>
            <w:vAlign w:val="center"/>
            <w:hideMark/>
          </w:tcPr>
          <w:p w14:paraId="6382C89E" w14:textId="77777777" w:rsidR="00BB239B" w:rsidRPr="009A6554" w:rsidRDefault="00BB239B" w:rsidP="004E5C01">
            <w:pPr>
              <w:jc w:val="center"/>
              <w:rPr>
                <w:rFonts w:cs="Arial"/>
                <w:sz w:val="18"/>
                <w:szCs w:val="18"/>
              </w:rPr>
            </w:pPr>
            <w:r w:rsidRPr="009A6554">
              <w:rPr>
                <w:rFonts w:cs="Arial"/>
                <w:sz w:val="18"/>
                <w:szCs w:val="18"/>
              </w:rPr>
              <w:t>65</w:t>
            </w:r>
          </w:p>
        </w:tc>
        <w:tc>
          <w:tcPr>
            <w:tcW w:w="419"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2B574378" w14:textId="77777777" w:rsidR="00BB239B" w:rsidRPr="009A6554" w:rsidRDefault="00BB239B" w:rsidP="004E5C01">
            <w:pPr>
              <w:jc w:val="center"/>
              <w:rPr>
                <w:rFonts w:cs="Arial"/>
                <w:sz w:val="18"/>
                <w:szCs w:val="18"/>
              </w:rPr>
            </w:pPr>
            <w:r w:rsidRPr="009A6554">
              <w:rPr>
                <w:rFonts w:cs="Arial"/>
                <w:sz w:val="18"/>
                <w:szCs w:val="18"/>
              </w:rPr>
              <w:t>90</w:t>
            </w:r>
          </w:p>
        </w:tc>
        <w:tc>
          <w:tcPr>
            <w:tcW w:w="419"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4DC425EA" w14:textId="77777777" w:rsidR="00BB239B" w:rsidRPr="009A6554" w:rsidRDefault="00BB239B" w:rsidP="004E5C01">
            <w:pPr>
              <w:jc w:val="center"/>
              <w:rPr>
                <w:rFonts w:cs="Arial"/>
                <w:sz w:val="18"/>
                <w:szCs w:val="18"/>
              </w:rPr>
            </w:pPr>
            <w:r w:rsidRPr="009A6554">
              <w:rPr>
                <w:rFonts w:cs="Arial"/>
                <w:sz w:val="18"/>
                <w:szCs w:val="18"/>
              </w:rPr>
              <w:t>92</w:t>
            </w:r>
          </w:p>
        </w:tc>
        <w:tc>
          <w:tcPr>
            <w:tcW w:w="601"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78EF5B3F" w14:textId="77777777" w:rsidR="00BB239B" w:rsidRPr="009A6554" w:rsidRDefault="00BB239B" w:rsidP="004E5C01">
            <w:pPr>
              <w:jc w:val="center"/>
              <w:rPr>
                <w:rFonts w:cs="Arial"/>
                <w:sz w:val="18"/>
                <w:szCs w:val="18"/>
              </w:rPr>
            </w:pPr>
            <w:r w:rsidRPr="009A6554">
              <w:rPr>
                <w:rFonts w:cs="Arial"/>
                <w:sz w:val="18"/>
                <w:szCs w:val="18"/>
              </w:rPr>
              <w:t>92</w:t>
            </w:r>
          </w:p>
        </w:tc>
        <w:tc>
          <w:tcPr>
            <w:tcW w:w="601"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118C668B" w14:textId="77777777" w:rsidR="00BB239B" w:rsidRPr="009A6554" w:rsidRDefault="00BB239B" w:rsidP="004E5C01">
            <w:pPr>
              <w:jc w:val="center"/>
              <w:rPr>
                <w:rFonts w:cs="Arial"/>
                <w:sz w:val="18"/>
                <w:szCs w:val="18"/>
              </w:rPr>
            </w:pPr>
            <w:r w:rsidRPr="009A6554">
              <w:rPr>
                <w:rFonts w:cs="Arial"/>
                <w:sz w:val="18"/>
                <w:szCs w:val="18"/>
              </w:rPr>
              <w:t>89</w:t>
            </w:r>
          </w:p>
        </w:tc>
        <w:tc>
          <w:tcPr>
            <w:tcW w:w="546"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52469047" w14:textId="77777777" w:rsidR="00BB239B" w:rsidRPr="009A6554" w:rsidRDefault="00BB239B" w:rsidP="004E5C01">
            <w:pPr>
              <w:jc w:val="center"/>
              <w:rPr>
                <w:rFonts w:cs="Arial"/>
                <w:sz w:val="18"/>
                <w:szCs w:val="18"/>
              </w:rPr>
            </w:pPr>
            <w:r w:rsidRPr="009A6554">
              <w:rPr>
                <w:rFonts w:cs="Arial"/>
                <w:sz w:val="18"/>
                <w:szCs w:val="18"/>
              </w:rPr>
              <w:t>86</w:t>
            </w:r>
          </w:p>
        </w:tc>
        <w:tc>
          <w:tcPr>
            <w:tcW w:w="419" w:type="dxa"/>
            <w:tcBorders>
              <w:top w:val="single" w:sz="4" w:space="0" w:color="14387F"/>
              <w:left w:val="single" w:sz="4" w:space="0" w:color="14387F"/>
              <w:bottom w:val="single" w:sz="4" w:space="0" w:color="14387F"/>
              <w:right w:val="single" w:sz="4" w:space="0" w:color="14387F"/>
            </w:tcBorders>
            <w:shd w:val="clear" w:color="C6DBEF" w:fill="FCBBA1"/>
            <w:noWrap/>
            <w:vAlign w:val="center"/>
            <w:hideMark/>
          </w:tcPr>
          <w:p w14:paraId="7819CCF4" w14:textId="77777777" w:rsidR="00BB239B" w:rsidRPr="009A6554" w:rsidRDefault="00BB239B" w:rsidP="004E5C01">
            <w:pPr>
              <w:jc w:val="center"/>
              <w:rPr>
                <w:rFonts w:cs="Arial"/>
                <w:sz w:val="18"/>
                <w:szCs w:val="18"/>
              </w:rPr>
            </w:pPr>
            <w:r w:rsidRPr="009A6554">
              <w:rPr>
                <w:rFonts w:cs="Arial"/>
                <w:sz w:val="18"/>
                <w:szCs w:val="18"/>
              </w:rPr>
              <w:t>83</w:t>
            </w:r>
          </w:p>
        </w:tc>
        <w:tc>
          <w:tcPr>
            <w:tcW w:w="601" w:type="dxa"/>
            <w:tcBorders>
              <w:top w:val="single" w:sz="4" w:space="0" w:color="14387F"/>
              <w:left w:val="single" w:sz="4" w:space="0" w:color="14387F"/>
              <w:bottom w:val="single" w:sz="4" w:space="0" w:color="14387F"/>
              <w:right w:val="single" w:sz="4" w:space="0" w:color="14387F"/>
            </w:tcBorders>
            <w:shd w:val="clear" w:color="C6DBEF" w:fill="FCBBA1"/>
            <w:noWrap/>
            <w:vAlign w:val="center"/>
            <w:hideMark/>
          </w:tcPr>
          <w:p w14:paraId="10D8B2B1" w14:textId="77777777" w:rsidR="00BB239B" w:rsidRPr="009A6554" w:rsidRDefault="00BB239B" w:rsidP="004E5C01">
            <w:pPr>
              <w:jc w:val="center"/>
              <w:rPr>
                <w:rFonts w:cs="Arial"/>
                <w:sz w:val="18"/>
                <w:szCs w:val="18"/>
              </w:rPr>
            </w:pPr>
            <w:r w:rsidRPr="009A6554">
              <w:rPr>
                <w:rFonts w:cs="Arial"/>
                <w:sz w:val="18"/>
                <w:szCs w:val="18"/>
              </w:rPr>
              <w:t>79</w:t>
            </w:r>
          </w:p>
        </w:tc>
        <w:tc>
          <w:tcPr>
            <w:tcW w:w="419" w:type="dxa"/>
            <w:tcBorders>
              <w:top w:val="nil"/>
              <w:left w:val="nil"/>
              <w:bottom w:val="single" w:sz="4" w:space="0" w:color="14387F"/>
              <w:right w:val="single" w:sz="4" w:space="0" w:color="14387F"/>
            </w:tcBorders>
            <w:shd w:val="clear" w:color="C6DBEF" w:fill="FFFFFF"/>
            <w:noWrap/>
            <w:vAlign w:val="center"/>
            <w:hideMark/>
          </w:tcPr>
          <w:p w14:paraId="644BE220" w14:textId="77777777" w:rsidR="00BB239B" w:rsidRPr="009A6554" w:rsidRDefault="00BB239B" w:rsidP="004E5C01">
            <w:pPr>
              <w:jc w:val="center"/>
              <w:rPr>
                <w:rFonts w:cs="Arial"/>
                <w:sz w:val="18"/>
                <w:szCs w:val="18"/>
              </w:rPr>
            </w:pPr>
            <w:r w:rsidRPr="009A6554">
              <w:rPr>
                <w:rFonts w:cs="Arial"/>
                <w:sz w:val="18"/>
                <w:szCs w:val="18"/>
              </w:rPr>
              <w:t>64</w:t>
            </w:r>
          </w:p>
        </w:tc>
        <w:tc>
          <w:tcPr>
            <w:tcW w:w="601" w:type="dxa"/>
            <w:tcBorders>
              <w:top w:val="nil"/>
              <w:left w:val="nil"/>
              <w:bottom w:val="single" w:sz="4" w:space="0" w:color="14387F"/>
              <w:right w:val="single" w:sz="4" w:space="0" w:color="14387F"/>
            </w:tcBorders>
            <w:shd w:val="clear" w:color="C6DBEF" w:fill="FFFFFF"/>
            <w:noWrap/>
            <w:vAlign w:val="center"/>
            <w:hideMark/>
          </w:tcPr>
          <w:p w14:paraId="4E2EDDCF" w14:textId="77777777" w:rsidR="00BB239B" w:rsidRPr="009A6554" w:rsidRDefault="00BB239B" w:rsidP="004E5C01">
            <w:pPr>
              <w:jc w:val="center"/>
              <w:rPr>
                <w:rFonts w:cs="Arial"/>
                <w:sz w:val="18"/>
                <w:szCs w:val="18"/>
              </w:rPr>
            </w:pPr>
            <w:r w:rsidRPr="009A6554">
              <w:rPr>
                <w:rFonts w:cs="Arial"/>
                <w:sz w:val="18"/>
                <w:szCs w:val="18"/>
              </w:rPr>
              <w:t>61</w:t>
            </w:r>
          </w:p>
        </w:tc>
        <w:tc>
          <w:tcPr>
            <w:tcW w:w="786" w:type="dxa"/>
            <w:tcBorders>
              <w:top w:val="single" w:sz="4" w:space="0" w:color="14387F"/>
              <w:left w:val="single" w:sz="4" w:space="0" w:color="14387F"/>
              <w:bottom w:val="single" w:sz="4" w:space="0" w:color="14387F"/>
              <w:right w:val="single" w:sz="4" w:space="0" w:color="14387F"/>
            </w:tcBorders>
            <w:shd w:val="clear" w:color="C6DBEF" w:fill="FCBBA1"/>
            <w:noWrap/>
            <w:vAlign w:val="center"/>
            <w:hideMark/>
          </w:tcPr>
          <w:p w14:paraId="77003586" w14:textId="77777777" w:rsidR="00BB239B" w:rsidRPr="009A6554" w:rsidRDefault="00BB239B" w:rsidP="004E5C01">
            <w:pPr>
              <w:jc w:val="center"/>
              <w:rPr>
                <w:rFonts w:cs="Arial"/>
                <w:sz w:val="18"/>
                <w:szCs w:val="18"/>
              </w:rPr>
            </w:pPr>
            <w:r w:rsidRPr="009A6554">
              <w:rPr>
                <w:rFonts w:cs="Arial"/>
                <w:sz w:val="18"/>
                <w:szCs w:val="18"/>
              </w:rPr>
              <w:t>79</w:t>
            </w:r>
          </w:p>
        </w:tc>
      </w:tr>
      <w:tr w:rsidR="00BB239B" w:rsidRPr="009A6554" w14:paraId="7D659990" w14:textId="77777777" w:rsidTr="00AD2344">
        <w:trPr>
          <w:trHeight w:val="338"/>
        </w:trPr>
        <w:tc>
          <w:tcPr>
            <w:tcW w:w="1656" w:type="dxa"/>
            <w:tcBorders>
              <w:top w:val="nil"/>
              <w:left w:val="single" w:sz="4" w:space="0" w:color="14387F"/>
              <w:bottom w:val="single" w:sz="4" w:space="0" w:color="14387F"/>
              <w:right w:val="single" w:sz="4" w:space="0" w:color="14387F"/>
            </w:tcBorders>
            <w:vAlign w:val="center"/>
            <w:hideMark/>
          </w:tcPr>
          <w:p w14:paraId="7D7BD331" w14:textId="77777777" w:rsidR="00BB239B" w:rsidRPr="009A6554" w:rsidRDefault="00BB239B" w:rsidP="004E5C01">
            <w:pPr>
              <w:jc w:val="left"/>
              <w:rPr>
                <w:rFonts w:cs="Arial"/>
                <w:sz w:val="18"/>
                <w:szCs w:val="18"/>
              </w:rPr>
            </w:pPr>
            <w:r w:rsidRPr="009A6554">
              <w:rPr>
                <w:rFonts w:cs="Arial"/>
                <w:sz w:val="18"/>
                <w:szCs w:val="18"/>
              </w:rPr>
              <w:t xml:space="preserve">Severočeská </w:t>
            </w:r>
            <w:proofErr w:type="gramStart"/>
            <w:r w:rsidRPr="009A6554">
              <w:rPr>
                <w:rFonts w:cs="Arial"/>
                <w:sz w:val="18"/>
                <w:szCs w:val="18"/>
              </w:rPr>
              <w:t>křída - </w:t>
            </w:r>
            <w:proofErr w:type="spellStart"/>
            <w:r w:rsidRPr="009A6554">
              <w:rPr>
                <w:rFonts w:cs="Arial"/>
                <w:sz w:val="18"/>
                <w:szCs w:val="18"/>
              </w:rPr>
              <w:t>cenoman</w:t>
            </w:r>
            <w:proofErr w:type="spellEnd"/>
            <w:proofErr w:type="gramEnd"/>
          </w:p>
        </w:tc>
        <w:tc>
          <w:tcPr>
            <w:tcW w:w="419" w:type="dxa"/>
            <w:tcBorders>
              <w:top w:val="nil"/>
              <w:left w:val="nil"/>
              <w:bottom w:val="single" w:sz="4" w:space="0" w:color="14387F"/>
              <w:right w:val="single" w:sz="4" w:space="0" w:color="14387F"/>
            </w:tcBorders>
            <w:shd w:val="clear" w:color="C6DBEF" w:fill="FFFFFF"/>
            <w:noWrap/>
            <w:vAlign w:val="center"/>
            <w:hideMark/>
          </w:tcPr>
          <w:p w14:paraId="1261F80A" w14:textId="77777777" w:rsidR="00BB239B" w:rsidRPr="009A6554" w:rsidRDefault="00BB239B" w:rsidP="004E5C01">
            <w:pPr>
              <w:jc w:val="center"/>
              <w:rPr>
                <w:rFonts w:cs="Arial"/>
                <w:sz w:val="18"/>
                <w:szCs w:val="18"/>
              </w:rPr>
            </w:pPr>
            <w:r w:rsidRPr="009A6554">
              <w:rPr>
                <w:rFonts w:cs="Arial"/>
                <w:sz w:val="18"/>
                <w:szCs w:val="18"/>
              </w:rPr>
              <w:t>31</w:t>
            </w:r>
          </w:p>
        </w:tc>
        <w:tc>
          <w:tcPr>
            <w:tcW w:w="419" w:type="dxa"/>
            <w:tcBorders>
              <w:top w:val="nil"/>
              <w:left w:val="nil"/>
              <w:bottom w:val="single" w:sz="4" w:space="0" w:color="14387F"/>
              <w:right w:val="single" w:sz="4" w:space="0" w:color="14387F"/>
            </w:tcBorders>
            <w:shd w:val="clear" w:color="C6DBEF" w:fill="FFFFFF"/>
            <w:noWrap/>
            <w:vAlign w:val="center"/>
            <w:hideMark/>
          </w:tcPr>
          <w:p w14:paraId="53754736" w14:textId="77777777" w:rsidR="00BB239B" w:rsidRPr="009A6554" w:rsidRDefault="00BB239B" w:rsidP="004E5C01">
            <w:pPr>
              <w:jc w:val="center"/>
              <w:rPr>
                <w:rFonts w:cs="Arial"/>
                <w:sz w:val="18"/>
                <w:szCs w:val="18"/>
              </w:rPr>
            </w:pPr>
            <w:r w:rsidRPr="009A6554">
              <w:rPr>
                <w:rFonts w:cs="Arial"/>
                <w:sz w:val="18"/>
                <w:szCs w:val="18"/>
              </w:rPr>
              <w:t>39</w:t>
            </w:r>
          </w:p>
        </w:tc>
        <w:tc>
          <w:tcPr>
            <w:tcW w:w="601" w:type="dxa"/>
            <w:tcBorders>
              <w:top w:val="nil"/>
              <w:left w:val="nil"/>
              <w:bottom w:val="single" w:sz="4" w:space="0" w:color="14387F"/>
              <w:right w:val="single" w:sz="4" w:space="0" w:color="14387F"/>
            </w:tcBorders>
            <w:shd w:val="clear" w:color="C6DBEF" w:fill="FFFFFF"/>
            <w:noWrap/>
            <w:vAlign w:val="center"/>
            <w:hideMark/>
          </w:tcPr>
          <w:p w14:paraId="5539C991" w14:textId="77777777" w:rsidR="00BB239B" w:rsidRPr="009A6554" w:rsidRDefault="00BB239B" w:rsidP="004E5C01">
            <w:pPr>
              <w:jc w:val="center"/>
              <w:rPr>
                <w:rFonts w:cs="Arial"/>
                <w:sz w:val="18"/>
                <w:szCs w:val="18"/>
              </w:rPr>
            </w:pPr>
            <w:r w:rsidRPr="009A6554">
              <w:rPr>
                <w:rFonts w:cs="Arial"/>
                <w:sz w:val="18"/>
                <w:szCs w:val="18"/>
              </w:rPr>
              <w:t>36</w:t>
            </w:r>
          </w:p>
        </w:tc>
        <w:tc>
          <w:tcPr>
            <w:tcW w:w="419" w:type="dxa"/>
            <w:tcBorders>
              <w:top w:val="nil"/>
              <w:left w:val="nil"/>
              <w:bottom w:val="single" w:sz="4" w:space="0" w:color="14387F"/>
              <w:right w:val="single" w:sz="4" w:space="0" w:color="14387F"/>
            </w:tcBorders>
            <w:shd w:val="clear" w:color="C6DBEF" w:fill="FFFFFF"/>
            <w:noWrap/>
            <w:vAlign w:val="center"/>
            <w:hideMark/>
          </w:tcPr>
          <w:p w14:paraId="24F6AF8C" w14:textId="77777777" w:rsidR="00BB239B" w:rsidRPr="009A6554" w:rsidRDefault="00BB239B" w:rsidP="004E5C01">
            <w:pPr>
              <w:jc w:val="center"/>
              <w:rPr>
                <w:rFonts w:cs="Arial"/>
                <w:sz w:val="18"/>
                <w:szCs w:val="18"/>
              </w:rPr>
            </w:pPr>
            <w:r w:rsidRPr="009A6554">
              <w:rPr>
                <w:rFonts w:cs="Arial"/>
                <w:sz w:val="18"/>
                <w:szCs w:val="18"/>
              </w:rPr>
              <w:t>39</w:t>
            </w:r>
          </w:p>
        </w:tc>
        <w:tc>
          <w:tcPr>
            <w:tcW w:w="419" w:type="dxa"/>
            <w:tcBorders>
              <w:top w:val="nil"/>
              <w:left w:val="nil"/>
              <w:bottom w:val="single" w:sz="4" w:space="0" w:color="14387F"/>
              <w:right w:val="single" w:sz="4" w:space="0" w:color="14387F"/>
            </w:tcBorders>
            <w:shd w:val="clear" w:color="C6DBEF" w:fill="FFFFFF"/>
            <w:noWrap/>
            <w:vAlign w:val="center"/>
            <w:hideMark/>
          </w:tcPr>
          <w:p w14:paraId="26B9489B" w14:textId="77777777" w:rsidR="00BB239B" w:rsidRPr="009A6554" w:rsidRDefault="00BB239B" w:rsidP="004E5C01">
            <w:pPr>
              <w:jc w:val="center"/>
              <w:rPr>
                <w:rFonts w:cs="Arial"/>
                <w:sz w:val="18"/>
                <w:szCs w:val="18"/>
              </w:rPr>
            </w:pPr>
            <w:r w:rsidRPr="009A6554">
              <w:rPr>
                <w:rFonts w:cs="Arial"/>
                <w:sz w:val="18"/>
                <w:szCs w:val="18"/>
              </w:rPr>
              <w:t>43</w:t>
            </w:r>
          </w:p>
        </w:tc>
        <w:tc>
          <w:tcPr>
            <w:tcW w:w="601" w:type="dxa"/>
            <w:tcBorders>
              <w:top w:val="nil"/>
              <w:left w:val="nil"/>
              <w:bottom w:val="single" w:sz="4" w:space="0" w:color="14387F"/>
              <w:right w:val="single" w:sz="4" w:space="0" w:color="14387F"/>
            </w:tcBorders>
            <w:shd w:val="clear" w:color="C6DBEF" w:fill="FFFFFF"/>
            <w:noWrap/>
            <w:vAlign w:val="center"/>
            <w:hideMark/>
          </w:tcPr>
          <w:p w14:paraId="2D23255F" w14:textId="77777777" w:rsidR="00BB239B" w:rsidRPr="009A6554" w:rsidRDefault="00BB239B" w:rsidP="004E5C01">
            <w:pPr>
              <w:jc w:val="center"/>
              <w:rPr>
                <w:rFonts w:cs="Arial"/>
                <w:sz w:val="18"/>
                <w:szCs w:val="18"/>
              </w:rPr>
            </w:pPr>
            <w:r w:rsidRPr="009A6554">
              <w:rPr>
                <w:rFonts w:cs="Arial"/>
                <w:sz w:val="18"/>
                <w:szCs w:val="18"/>
              </w:rPr>
              <w:t>46</w:t>
            </w:r>
          </w:p>
        </w:tc>
        <w:tc>
          <w:tcPr>
            <w:tcW w:w="601" w:type="dxa"/>
            <w:tcBorders>
              <w:top w:val="nil"/>
              <w:left w:val="nil"/>
              <w:bottom w:val="single" w:sz="4" w:space="0" w:color="14387F"/>
              <w:right w:val="single" w:sz="4" w:space="0" w:color="14387F"/>
            </w:tcBorders>
            <w:shd w:val="clear" w:color="C6DBEF" w:fill="FFFFFF"/>
            <w:noWrap/>
            <w:vAlign w:val="center"/>
            <w:hideMark/>
          </w:tcPr>
          <w:p w14:paraId="385D76CB" w14:textId="77777777" w:rsidR="00BB239B" w:rsidRPr="009A6554" w:rsidRDefault="00BB239B" w:rsidP="004E5C01">
            <w:pPr>
              <w:jc w:val="center"/>
              <w:rPr>
                <w:rFonts w:cs="Arial"/>
                <w:sz w:val="18"/>
                <w:szCs w:val="18"/>
              </w:rPr>
            </w:pPr>
            <w:r w:rsidRPr="009A6554">
              <w:rPr>
                <w:rFonts w:cs="Arial"/>
                <w:sz w:val="18"/>
                <w:szCs w:val="18"/>
              </w:rPr>
              <w:t>46</w:t>
            </w:r>
          </w:p>
        </w:tc>
        <w:tc>
          <w:tcPr>
            <w:tcW w:w="546" w:type="dxa"/>
            <w:tcBorders>
              <w:top w:val="nil"/>
              <w:left w:val="nil"/>
              <w:bottom w:val="single" w:sz="4" w:space="0" w:color="14387F"/>
              <w:right w:val="single" w:sz="4" w:space="0" w:color="14387F"/>
            </w:tcBorders>
            <w:shd w:val="clear" w:color="C6DBEF" w:fill="FFFFFF"/>
            <w:noWrap/>
            <w:vAlign w:val="center"/>
            <w:hideMark/>
          </w:tcPr>
          <w:p w14:paraId="74A315F2" w14:textId="77777777" w:rsidR="00BB239B" w:rsidRPr="009A6554" w:rsidRDefault="00BB239B" w:rsidP="004E5C01">
            <w:pPr>
              <w:jc w:val="center"/>
              <w:rPr>
                <w:rFonts w:cs="Arial"/>
                <w:sz w:val="18"/>
                <w:szCs w:val="18"/>
              </w:rPr>
            </w:pPr>
            <w:r w:rsidRPr="009A6554">
              <w:rPr>
                <w:rFonts w:cs="Arial"/>
                <w:sz w:val="18"/>
                <w:szCs w:val="18"/>
              </w:rPr>
              <w:t>56</w:t>
            </w:r>
          </w:p>
        </w:tc>
        <w:tc>
          <w:tcPr>
            <w:tcW w:w="419" w:type="dxa"/>
            <w:tcBorders>
              <w:top w:val="nil"/>
              <w:left w:val="nil"/>
              <w:bottom w:val="single" w:sz="4" w:space="0" w:color="14387F"/>
              <w:right w:val="single" w:sz="4" w:space="0" w:color="14387F"/>
            </w:tcBorders>
            <w:shd w:val="clear" w:color="C6DBEF" w:fill="FFFFFF"/>
            <w:noWrap/>
            <w:vAlign w:val="center"/>
            <w:hideMark/>
          </w:tcPr>
          <w:p w14:paraId="2F8DDAB4" w14:textId="77777777" w:rsidR="00BB239B" w:rsidRPr="009A6554" w:rsidRDefault="00BB239B" w:rsidP="004E5C01">
            <w:pPr>
              <w:jc w:val="center"/>
              <w:rPr>
                <w:rFonts w:cs="Arial"/>
                <w:sz w:val="18"/>
                <w:szCs w:val="18"/>
              </w:rPr>
            </w:pPr>
            <w:r w:rsidRPr="009A6554">
              <w:rPr>
                <w:rFonts w:cs="Arial"/>
                <w:sz w:val="18"/>
                <w:szCs w:val="18"/>
              </w:rPr>
              <w:t>60</w:t>
            </w:r>
          </w:p>
        </w:tc>
        <w:tc>
          <w:tcPr>
            <w:tcW w:w="601" w:type="dxa"/>
            <w:tcBorders>
              <w:top w:val="nil"/>
              <w:left w:val="nil"/>
              <w:bottom w:val="single" w:sz="4" w:space="0" w:color="14387F"/>
              <w:right w:val="single" w:sz="4" w:space="0" w:color="14387F"/>
            </w:tcBorders>
            <w:shd w:val="clear" w:color="C6DBEF" w:fill="FFFFFF"/>
            <w:noWrap/>
            <w:vAlign w:val="center"/>
            <w:hideMark/>
          </w:tcPr>
          <w:p w14:paraId="700BF38B" w14:textId="77777777" w:rsidR="00BB239B" w:rsidRPr="009A6554" w:rsidRDefault="00BB239B" w:rsidP="004E5C01">
            <w:pPr>
              <w:jc w:val="center"/>
              <w:rPr>
                <w:rFonts w:cs="Arial"/>
                <w:sz w:val="18"/>
                <w:szCs w:val="18"/>
              </w:rPr>
            </w:pPr>
            <w:r w:rsidRPr="009A6554">
              <w:rPr>
                <w:rFonts w:cs="Arial"/>
                <w:sz w:val="18"/>
                <w:szCs w:val="18"/>
              </w:rPr>
              <w:t>58</w:t>
            </w:r>
          </w:p>
        </w:tc>
        <w:tc>
          <w:tcPr>
            <w:tcW w:w="419" w:type="dxa"/>
            <w:tcBorders>
              <w:top w:val="nil"/>
              <w:left w:val="nil"/>
              <w:bottom w:val="single" w:sz="4" w:space="0" w:color="14387F"/>
              <w:right w:val="single" w:sz="4" w:space="0" w:color="14387F"/>
            </w:tcBorders>
            <w:shd w:val="clear" w:color="C6DBEF" w:fill="FFFFFF"/>
            <w:noWrap/>
            <w:vAlign w:val="center"/>
            <w:hideMark/>
          </w:tcPr>
          <w:p w14:paraId="158B18A1" w14:textId="77777777" w:rsidR="00BB239B" w:rsidRPr="009A6554" w:rsidRDefault="00BB239B" w:rsidP="004E5C01">
            <w:pPr>
              <w:jc w:val="center"/>
              <w:rPr>
                <w:rFonts w:cs="Arial"/>
                <w:sz w:val="18"/>
                <w:szCs w:val="18"/>
              </w:rPr>
            </w:pPr>
            <w:r w:rsidRPr="009A6554">
              <w:rPr>
                <w:rFonts w:cs="Arial"/>
                <w:sz w:val="18"/>
                <w:szCs w:val="18"/>
              </w:rPr>
              <w:t>57</w:t>
            </w:r>
          </w:p>
        </w:tc>
        <w:tc>
          <w:tcPr>
            <w:tcW w:w="601" w:type="dxa"/>
            <w:tcBorders>
              <w:top w:val="nil"/>
              <w:left w:val="nil"/>
              <w:bottom w:val="single" w:sz="4" w:space="0" w:color="14387F"/>
              <w:right w:val="single" w:sz="4" w:space="0" w:color="14387F"/>
            </w:tcBorders>
            <w:shd w:val="clear" w:color="C6DBEF" w:fill="FFFFFF"/>
            <w:noWrap/>
            <w:vAlign w:val="center"/>
            <w:hideMark/>
          </w:tcPr>
          <w:p w14:paraId="143C9928" w14:textId="77777777" w:rsidR="00BB239B" w:rsidRPr="009A6554" w:rsidRDefault="00BB239B" w:rsidP="004E5C01">
            <w:pPr>
              <w:jc w:val="center"/>
              <w:rPr>
                <w:rFonts w:cs="Arial"/>
                <w:sz w:val="18"/>
                <w:szCs w:val="18"/>
              </w:rPr>
            </w:pPr>
            <w:r w:rsidRPr="009A6554">
              <w:rPr>
                <w:rFonts w:cs="Arial"/>
                <w:sz w:val="18"/>
                <w:szCs w:val="18"/>
              </w:rPr>
              <w:t>59</w:t>
            </w:r>
          </w:p>
        </w:tc>
        <w:tc>
          <w:tcPr>
            <w:tcW w:w="786" w:type="dxa"/>
            <w:tcBorders>
              <w:top w:val="nil"/>
              <w:left w:val="nil"/>
              <w:bottom w:val="single" w:sz="4" w:space="0" w:color="14387F"/>
              <w:right w:val="single" w:sz="4" w:space="0" w:color="14387F"/>
            </w:tcBorders>
            <w:shd w:val="clear" w:color="C6DBEF" w:fill="FFFFFF"/>
            <w:noWrap/>
            <w:vAlign w:val="center"/>
            <w:hideMark/>
          </w:tcPr>
          <w:p w14:paraId="73CC3DA3" w14:textId="77777777" w:rsidR="00BB239B" w:rsidRPr="009A6554" w:rsidRDefault="00BB239B" w:rsidP="004E5C01">
            <w:pPr>
              <w:jc w:val="center"/>
              <w:rPr>
                <w:rFonts w:cs="Arial"/>
                <w:sz w:val="18"/>
                <w:szCs w:val="18"/>
              </w:rPr>
            </w:pPr>
            <w:r w:rsidRPr="009A6554">
              <w:rPr>
                <w:rFonts w:cs="Arial"/>
                <w:sz w:val="18"/>
                <w:szCs w:val="18"/>
              </w:rPr>
              <w:t>48</w:t>
            </w:r>
          </w:p>
        </w:tc>
      </w:tr>
      <w:tr w:rsidR="00BB239B" w:rsidRPr="009A6554" w14:paraId="604317D0" w14:textId="77777777" w:rsidTr="00AD2344">
        <w:trPr>
          <w:trHeight w:val="349"/>
        </w:trPr>
        <w:tc>
          <w:tcPr>
            <w:tcW w:w="1656" w:type="dxa"/>
            <w:tcBorders>
              <w:top w:val="nil"/>
              <w:left w:val="single" w:sz="4" w:space="0" w:color="14387F"/>
              <w:bottom w:val="single" w:sz="4" w:space="0" w:color="14387F"/>
              <w:right w:val="single" w:sz="4" w:space="0" w:color="14387F"/>
            </w:tcBorders>
            <w:vAlign w:val="center"/>
            <w:hideMark/>
          </w:tcPr>
          <w:p w14:paraId="3DC11330" w14:textId="77777777" w:rsidR="00BB239B" w:rsidRPr="009A6554" w:rsidRDefault="00BB239B" w:rsidP="004E5C01">
            <w:pPr>
              <w:jc w:val="left"/>
              <w:rPr>
                <w:rFonts w:cs="Arial"/>
                <w:sz w:val="18"/>
                <w:szCs w:val="18"/>
              </w:rPr>
            </w:pPr>
            <w:r w:rsidRPr="009A6554">
              <w:rPr>
                <w:rFonts w:cs="Arial"/>
                <w:sz w:val="18"/>
                <w:szCs w:val="18"/>
              </w:rPr>
              <w:t xml:space="preserve">Východočeská </w:t>
            </w:r>
            <w:proofErr w:type="gramStart"/>
            <w:r w:rsidRPr="009A6554">
              <w:rPr>
                <w:rFonts w:cs="Arial"/>
                <w:sz w:val="18"/>
                <w:szCs w:val="18"/>
              </w:rPr>
              <w:t xml:space="preserve">křída - </w:t>
            </w:r>
            <w:proofErr w:type="spellStart"/>
            <w:r w:rsidRPr="009A6554">
              <w:rPr>
                <w:rFonts w:cs="Arial"/>
                <w:sz w:val="18"/>
                <w:szCs w:val="18"/>
              </w:rPr>
              <w:t>cenoman</w:t>
            </w:r>
            <w:proofErr w:type="spellEnd"/>
            <w:proofErr w:type="gramEnd"/>
          </w:p>
        </w:tc>
        <w:tc>
          <w:tcPr>
            <w:tcW w:w="419" w:type="dxa"/>
            <w:tcBorders>
              <w:top w:val="single" w:sz="4" w:space="0" w:color="14387F"/>
              <w:left w:val="single" w:sz="4" w:space="0" w:color="14387F"/>
              <w:bottom w:val="single" w:sz="4" w:space="0" w:color="14387F"/>
              <w:right w:val="single" w:sz="4" w:space="0" w:color="14387F"/>
            </w:tcBorders>
            <w:shd w:val="clear" w:color="C6DBEF" w:fill="6BAED6"/>
            <w:noWrap/>
            <w:vAlign w:val="center"/>
            <w:hideMark/>
          </w:tcPr>
          <w:p w14:paraId="3309E53D" w14:textId="77777777" w:rsidR="00BB239B" w:rsidRPr="009A6554" w:rsidRDefault="00BB239B" w:rsidP="004E5C01">
            <w:pPr>
              <w:jc w:val="center"/>
              <w:rPr>
                <w:rFonts w:cs="Arial"/>
                <w:sz w:val="18"/>
                <w:szCs w:val="18"/>
              </w:rPr>
            </w:pPr>
            <w:r w:rsidRPr="009A6554">
              <w:rPr>
                <w:rFonts w:cs="Arial"/>
                <w:sz w:val="18"/>
                <w:szCs w:val="18"/>
              </w:rPr>
              <w:t>13</w:t>
            </w:r>
          </w:p>
        </w:tc>
        <w:tc>
          <w:tcPr>
            <w:tcW w:w="419" w:type="dxa"/>
            <w:tcBorders>
              <w:top w:val="single" w:sz="4" w:space="0" w:color="14387F"/>
              <w:left w:val="single" w:sz="4" w:space="0" w:color="14387F"/>
              <w:bottom w:val="single" w:sz="4" w:space="0" w:color="14387F"/>
              <w:right w:val="single" w:sz="4" w:space="0" w:color="14387F"/>
            </w:tcBorders>
            <w:shd w:val="clear" w:color="C6DBEF" w:fill="C6DBEF"/>
            <w:noWrap/>
            <w:vAlign w:val="center"/>
            <w:hideMark/>
          </w:tcPr>
          <w:p w14:paraId="1DAC35F8" w14:textId="77777777" w:rsidR="00BB239B" w:rsidRPr="009A6554" w:rsidRDefault="00BB239B" w:rsidP="004E5C01">
            <w:pPr>
              <w:jc w:val="center"/>
              <w:rPr>
                <w:rFonts w:cs="Arial"/>
                <w:sz w:val="18"/>
                <w:szCs w:val="18"/>
              </w:rPr>
            </w:pPr>
            <w:r w:rsidRPr="009A6554">
              <w:rPr>
                <w:rFonts w:cs="Arial"/>
                <w:sz w:val="18"/>
                <w:szCs w:val="18"/>
              </w:rPr>
              <w:t>24</w:t>
            </w:r>
          </w:p>
        </w:tc>
        <w:tc>
          <w:tcPr>
            <w:tcW w:w="601" w:type="dxa"/>
            <w:tcBorders>
              <w:top w:val="nil"/>
              <w:left w:val="nil"/>
              <w:bottom w:val="single" w:sz="4" w:space="0" w:color="14387F"/>
              <w:right w:val="single" w:sz="4" w:space="0" w:color="14387F"/>
            </w:tcBorders>
            <w:shd w:val="clear" w:color="C6DBEF" w:fill="FFFFFF"/>
            <w:noWrap/>
            <w:vAlign w:val="center"/>
            <w:hideMark/>
          </w:tcPr>
          <w:p w14:paraId="729F38A4" w14:textId="77777777" w:rsidR="00BB239B" w:rsidRPr="009A6554" w:rsidRDefault="00BB239B" w:rsidP="004E5C01">
            <w:pPr>
              <w:jc w:val="center"/>
              <w:rPr>
                <w:rFonts w:cs="Arial"/>
                <w:sz w:val="18"/>
                <w:szCs w:val="18"/>
              </w:rPr>
            </w:pPr>
            <w:r w:rsidRPr="009A6554">
              <w:rPr>
                <w:rFonts w:cs="Arial"/>
                <w:sz w:val="18"/>
                <w:szCs w:val="18"/>
              </w:rPr>
              <w:t>39</w:t>
            </w:r>
          </w:p>
        </w:tc>
        <w:tc>
          <w:tcPr>
            <w:tcW w:w="419" w:type="dxa"/>
            <w:tcBorders>
              <w:top w:val="nil"/>
              <w:left w:val="nil"/>
              <w:bottom w:val="single" w:sz="4" w:space="0" w:color="14387F"/>
              <w:right w:val="single" w:sz="4" w:space="0" w:color="14387F"/>
            </w:tcBorders>
            <w:shd w:val="clear" w:color="C6DBEF" w:fill="FFFFFF"/>
            <w:noWrap/>
            <w:vAlign w:val="center"/>
            <w:hideMark/>
          </w:tcPr>
          <w:p w14:paraId="614CEBB4" w14:textId="77777777" w:rsidR="00BB239B" w:rsidRPr="009A6554" w:rsidRDefault="00BB239B" w:rsidP="004E5C01">
            <w:pPr>
              <w:jc w:val="center"/>
              <w:rPr>
                <w:rFonts w:cs="Arial"/>
                <w:sz w:val="18"/>
                <w:szCs w:val="18"/>
              </w:rPr>
            </w:pPr>
            <w:r w:rsidRPr="009A6554">
              <w:rPr>
                <w:rFonts w:cs="Arial"/>
                <w:sz w:val="18"/>
                <w:szCs w:val="18"/>
              </w:rPr>
              <w:t>55</w:t>
            </w:r>
          </w:p>
        </w:tc>
        <w:tc>
          <w:tcPr>
            <w:tcW w:w="419" w:type="dxa"/>
            <w:tcBorders>
              <w:top w:val="nil"/>
              <w:left w:val="nil"/>
              <w:bottom w:val="single" w:sz="4" w:space="0" w:color="14387F"/>
              <w:right w:val="single" w:sz="4" w:space="0" w:color="14387F"/>
            </w:tcBorders>
            <w:shd w:val="clear" w:color="C6DBEF" w:fill="FFFFFF"/>
            <w:noWrap/>
            <w:vAlign w:val="center"/>
            <w:hideMark/>
          </w:tcPr>
          <w:p w14:paraId="5EFB499B" w14:textId="77777777" w:rsidR="00BB239B" w:rsidRPr="009A6554" w:rsidRDefault="00BB239B" w:rsidP="004E5C01">
            <w:pPr>
              <w:jc w:val="center"/>
              <w:rPr>
                <w:rFonts w:cs="Arial"/>
                <w:sz w:val="18"/>
                <w:szCs w:val="18"/>
              </w:rPr>
            </w:pPr>
            <w:r w:rsidRPr="009A6554">
              <w:rPr>
                <w:rFonts w:cs="Arial"/>
                <w:sz w:val="18"/>
                <w:szCs w:val="18"/>
              </w:rPr>
              <w:t>57</w:t>
            </w:r>
          </w:p>
        </w:tc>
        <w:tc>
          <w:tcPr>
            <w:tcW w:w="601" w:type="dxa"/>
            <w:tcBorders>
              <w:top w:val="nil"/>
              <w:left w:val="nil"/>
              <w:bottom w:val="single" w:sz="4" w:space="0" w:color="14387F"/>
              <w:right w:val="single" w:sz="4" w:space="0" w:color="14387F"/>
            </w:tcBorders>
            <w:shd w:val="clear" w:color="C6DBEF" w:fill="FFFFFF"/>
            <w:noWrap/>
            <w:vAlign w:val="center"/>
            <w:hideMark/>
          </w:tcPr>
          <w:p w14:paraId="6943AAC1" w14:textId="77777777" w:rsidR="00BB239B" w:rsidRPr="009A6554" w:rsidRDefault="00BB239B" w:rsidP="004E5C01">
            <w:pPr>
              <w:jc w:val="center"/>
              <w:rPr>
                <w:rFonts w:cs="Arial"/>
                <w:sz w:val="18"/>
                <w:szCs w:val="18"/>
              </w:rPr>
            </w:pPr>
            <w:r w:rsidRPr="009A6554">
              <w:rPr>
                <w:rFonts w:cs="Arial"/>
                <w:sz w:val="18"/>
                <w:szCs w:val="18"/>
              </w:rPr>
              <w:t>56</w:t>
            </w:r>
          </w:p>
        </w:tc>
        <w:tc>
          <w:tcPr>
            <w:tcW w:w="601" w:type="dxa"/>
            <w:tcBorders>
              <w:top w:val="nil"/>
              <w:left w:val="nil"/>
              <w:bottom w:val="single" w:sz="4" w:space="0" w:color="14387F"/>
              <w:right w:val="single" w:sz="4" w:space="0" w:color="14387F"/>
            </w:tcBorders>
            <w:shd w:val="clear" w:color="C6DBEF" w:fill="FFFFFF"/>
            <w:noWrap/>
            <w:vAlign w:val="center"/>
            <w:hideMark/>
          </w:tcPr>
          <w:p w14:paraId="63FA9A15" w14:textId="77777777" w:rsidR="00BB239B" w:rsidRPr="009A6554" w:rsidRDefault="00BB239B" w:rsidP="004E5C01">
            <w:pPr>
              <w:jc w:val="center"/>
              <w:rPr>
                <w:rFonts w:cs="Arial"/>
                <w:sz w:val="18"/>
                <w:szCs w:val="18"/>
              </w:rPr>
            </w:pPr>
            <w:r w:rsidRPr="009A6554">
              <w:rPr>
                <w:rFonts w:cs="Arial"/>
                <w:sz w:val="18"/>
                <w:szCs w:val="18"/>
              </w:rPr>
              <w:t>63</w:t>
            </w:r>
          </w:p>
        </w:tc>
        <w:tc>
          <w:tcPr>
            <w:tcW w:w="546" w:type="dxa"/>
            <w:tcBorders>
              <w:top w:val="nil"/>
              <w:left w:val="nil"/>
              <w:bottom w:val="single" w:sz="4" w:space="0" w:color="14387F"/>
              <w:right w:val="single" w:sz="4" w:space="0" w:color="14387F"/>
            </w:tcBorders>
            <w:shd w:val="clear" w:color="C6DBEF" w:fill="FFFFFF"/>
            <w:noWrap/>
            <w:vAlign w:val="center"/>
            <w:hideMark/>
          </w:tcPr>
          <w:p w14:paraId="1FF60E05" w14:textId="77777777" w:rsidR="00BB239B" w:rsidRPr="009A6554" w:rsidRDefault="00BB239B" w:rsidP="004E5C01">
            <w:pPr>
              <w:jc w:val="center"/>
              <w:rPr>
                <w:rFonts w:cs="Arial"/>
                <w:sz w:val="18"/>
                <w:szCs w:val="18"/>
              </w:rPr>
            </w:pPr>
            <w:r w:rsidRPr="009A6554">
              <w:rPr>
                <w:rFonts w:cs="Arial"/>
                <w:sz w:val="18"/>
                <w:szCs w:val="18"/>
              </w:rPr>
              <w:t>72</w:t>
            </w:r>
          </w:p>
        </w:tc>
        <w:tc>
          <w:tcPr>
            <w:tcW w:w="419" w:type="dxa"/>
            <w:tcBorders>
              <w:top w:val="nil"/>
              <w:left w:val="nil"/>
              <w:bottom w:val="single" w:sz="4" w:space="0" w:color="14387F"/>
              <w:right w:val="single" w:sz="4" w:space="0" w:color="14387F"/>
            </w:tcBorders>
            <w:shd w:val="clear" w:color="C6DBEF" w:fill="FFFFFF"/>
            <w:noWrap/>
            <w:vAlign w:val="center"/>
            <w:hideMark/>
          </w:tcPr>
          <w:p w14:paraId="3D8488FE" w14:textId="77777777" w:rsidR="00BB239B" w:rsidRPr="009A6554" w:rsidRDefault="00BB239B" w:rsidP="004E5C01">
            <w:pPr>
              <w:jc w:val="center"/>
              <w:rPr>
                <w:rFonts w:cs="Arial"/>
                <w:sz w:val="18"/>
                <w:szCs w:val="18"/>
              </w:rPr>
            </w:pPr>
            <w:r w:rsidRPr="009A6554">
              <w:rPr>
                <w:rFonts w:cs="Arial"/>
                <w:sz w:val="18"/>
                <w:szCs w:val="18"/>
              </w:rPr>
              <w:t>71</w:t>
            </w:r>
          </w:p>
        </w:tc>
        <w:tc>
          <w:tcPr>
            <w:tcW w:w="601" w:type="dxa"/>
            <w:tcBorders>
              <w:top w:val="nil"/>
              <w:left w:val="nil"/>
              <w:bottom w:val="single" w:sz="4" w:space="0" w:color="14387F"/>
              <w:right w:val="single" w:sz="4" w:space="0" w:color="14387F"/>
            </w:tcBorders>
            <w:shd w:val="clear" w:color="C6DBEF" w:fill="FFFFFF"/>
            <w:noWrap/>
            <w:vAlign w:val="center"/>
            <w:hideMark/>
          </w:tcPr>
          <w:p w14:paraId="20885470" w14:textId="77777777" w:rsidR="00BB239B" w:rsidRPr="009A6554" w:rsidRDefault="00BB239B" w:rsidP="004E5C01">
            <w:pPr>
              <w:jc w:val="center"/>
              <w:rPr>
                <w:rFonts w:cs="Arial"/>
                <w:sz w:val="18"/>
                <w:szCs w:val="18"/>
              </w:rPr>
            </w:pPr>
            <w:r w:rsidRPr="009A6554">
              <w:rPr>
                <w:rFonts w:cs="Arial"/>
                <w:sz w:val="18"/>
                <w:szCs w:val="18"/>
              </w:rPr>
              <w:t>67</w:t>
            </w:r>
          </w:p>
        </w:tc>
        <w:tc>
          <w:tcPr>
            <w:tcW w:w="419" w:type="dxa"/>
            <w:tcBorders>
              <w:top w:val="nil"/>
              <w:left w:val="nil"/>
              <w:bottom w:val="single" w:sz="4" w:space="0" w:color="14387F"/>
              <w:right w:val="single" w:sz="4" w:space="0" w:color="14387F"/>
            </w:tcBorders>
            <w:shd w:val="clear" w:color="C6DBEF" w:fill="FFFFFF"/>
            <w:noWrap/>
            <w:vAlign w:val="center"/>
            <w:hideMark/>
          </w:tcPr>
          <w:p w14:paraId="291C1033" w14:textId="77777777" w:rsidR="00BB239B" w:rsidRPr="009A6554" w:rsidRDefault="00BB239B" w:rsidP="004E5C01">
            <w:pPr>
              <w:jc w:val="center"/>
              <w:rPr>
                <w:rFonts w:cs="Arial"/>
                <w:sz w:val="18"/>
                <w:szCs w:val="18"/>
              </w:rPr>
            </w:pPr>
            <w:r w:rsidRPr="009A6554">
              <w:rPr>
                <w:rFonts w:cs="Arial"/>
                <w:sz w:val="18"/>
                <w:szCs w:val="18"/>
              </w:rPr>
              <w:t>65</w:t>
            </w:r>
          </w:p>
        </w:tc>
        <w:tc>
          <w:tcPr>
            <w:tcW w:w="601" w:type="dxa"/>
            <w:tcBorders>
              <w:top w:val="nil"/>
              <w:left w:val="nil"/>
              <w:bottom w:val="single" w:sz="4" w:space="0" w:color="14387F"/>
              <w:right w:val="single" w:sz="4" w:space="0" w:color="14387F"/>
            </w:tcBorders>
            <w:shd w:val="clear" w:color="C6DBEF" w:fill="FFFFFF"/>
            <w:noWrap/>
            <w:vAlign w:val="center"/>
            <w:hideMark/>
          </w:tcPr>
          <w:p w14:paraId="34A64141" w14:textId="77777777" w:rsidR="00BB239B" w:rsidRPr="009A6554" w:rsidRDefault="00BB239B" w:rsidP="004E5C01">
            <w:pPr>
              <w:jc w:val="center"/>
              <w:rPr>
                <w:rFonts w:cs="Arial"/>
                <w:sz w:val="18"/>
                <w:szCs w:val="18"/>
              </w:rPr>
            </w:pPr>
            <w:r w:rsidRPr="009A6554">
              <w:rPr>
                <w:rFonts w:cs="Arial"/>
                <w:sz w:val="18"/>
                <w:szCs w:val="18"/>
              </w:rPr>
              <w:t>70</w:t>
            </w:r>
          </w:p>
        </w:tc>
        <w:tc>
          <w:tcPr>
            <w:tcW w:w="786" w:type="dxa"/>
            <w:tcBorders>
              <w:top w:val="nil"/>
              <w:left w:val="nil"/>
              <w:bottom w:val="single" w:sz="4" w:space="0" w:color="14387F"/>
              <w:right w:val="single" w:sz="4" w:space="0" w:color="14387F"/>
            </w:tcBorders>
            <w:shd w:val="clear" w:color="C6DBEF" w:fill="FFFFFF"/>
            <w:noWrap/>
            <w:vAlign w:val="center"/>
            <w:hideMark/>
          </w:tcPr>
          <w:p w14:paraId="69223473" w14:textId="77777777" w:rsidR="00BB239B" w:rsidRPr="009A6554" w:rsidRDefault="00BB239B" w:rsidP="004E5C01">
            <w:pPr>
              <w:jc w:val="center"/>
              <w:rPr>
                <w:rFonts w:cs="Arial"/>
                <w:sz w:val="18"/>
                <w:szCs w:val="18"/>
              </w:rPr>
            </w:pPr>
            <w:r w:rsidRPr="009A6554">
              <w:rPr>
                <w:rFonts w:cs="Arial"/>
                <w:sz w:val="18"/>
                <w:szCs w:val="18"/>
              </w:rPr>
              <w:t>52</w:t>
            </w:r>
          </w:p>
        </w:tc>
      </w:tr>
      <w:tr w:rsidR="00BB239B" w:rsidRPr="009A6554" w14:paraId="3B6D0A35" w14:textId="77777777" w:rsidTr="00AD2344">
        <w:trPr>
          <w:trHeight w:val="508"/>
        </w:trPr>
        <w:tc>
          <w:tcPr>
            <w:tcW w:w="1656" w:type="dxa"/>
            <w:tcBorders>
              <w:top w:val="nil"/>
              <w:left w:val="single" w:sz="4" w:space="0" w:color="14387F"/>
              <w:bottom w:val="single" w:sz="4" w:space="0" w:color="14387F"/>
              <w:right w:val="single" w:sz="4" w:space="0" w:color="14387F"/>
            </w:tcBorders>
            <w:vAlign w:val="center"/>
            <w:hideMark/>
          </w:tcPr>
          <w:p w14:paraId="08F55FF5" w14:textId="77777777" w:rsidR="00BB239B" w:rsidRPr="009A6554" w:rsidRDefault="00BB239B" w:rsidP="004E5C01">
            <w:pPr>
              <w:jc w:val="left"/>
              <w:rPr>
                <w:rFonts w:cs="Arial"/>
                <w:sz w:val="18"/>
                <w:szCs w:val="18"/>
              </w:rPr>
            </w:pPr>
            <w:proofErr w:type="spellStart"/>
            <w:r w:rsidRPr="009A6554">
              <w:rPr>
                <w:rFonts w:cs="Arial"/>
                <w:sz w:val="18"/>
                <w:szCs w:val="18"/>
              </w:rPr>
              <w:t>Permokarbon</w:t>
            </w:r>
            <w:proofErr w:type="spellEnd"/>
            <w:r w:rsidRPr="009A6554">
              <w:rPr>
                <w:rFonts w:cs="Arial"/>
                <w:sz w:val="18"/>
                <w:szCs w:val="18"/>
              </w:rPr>
              <w:t xml:space="preserve"> středních a západních Čech</w:t>
            </w:r>
          </w:p>
        </w:tc>
        <w:tc>
          <w:tcPr>
            <w:tcW w:w="419"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486EE1DE" w14:textId="77777777" w:rsidR="00BB239B" w:rsidRPr="009A6554" w:rsidRDefault="00BB239B" w:rsidP="004E5C01">
            <w:pPr>
              <w:jc w:val="center"/>
              <w:rPr>
                <w:rFonts w:cs="Arial"/>
                <w:sz w:val="18"/>
                <w:szCs w:val="18"/>
              </w:rPr>
            </w:pPr>
            <w:r w:rsidRPr="009A6554">
              <w:rPr>
                <w:rFonts w:cs="Arial"/>
                <w:sz w:val="18"/>
                <w:szCs w:val="18"/>
              </w:rPr>
              <w:t>94</w:t>
            </w:r>
          </w:p>
        </w:tc>
        <w:tc>
          <w:tcPr>
            <w:tcW w:w="419"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60DBCD66" w14:textId="77777777" w:rsidR="00BB239B" w:rsidRPr="009A6554" w:rsidRDefault="00BB239B" w:rsidP="004E5C01">
            <w:pPr>
              <w:jc w:val="center"/>
              <w:rPr>
                <w:rFonts w:cs="Arial"/>
                <w:sz w:val="18"/>
                <w:szCs w:val="18"/>
              </w:rPr>
            </w:pPr>
            <w:r w:rsidRPr="009A6554">
              <w:rPr>
                <w:rFonts w:cs="Arial"/>
                <w:sz w:val="18"/>
                <w:szCs w:val="18"/>
              </w:rPr>
              <w:t>95</w:t>
            </w:r>
          </w:p>
        </w:tc>
        <w:tc>
          <w:tcPr>
            <w:tcW w:w="601" w:type="dxa"/>
            <w:tcBorders>
              <w:top w:val="single" w:sz="4" w:space="0" w:color="14387F"/>
              <w:left w:val="single" w:sz="4" w:space="0" w:color="14387F"/>
              <w:bottom w:val="single" w:sz="4" w:space="0" w:color="14387F"/>
              <w:right w:val="single" w:sz="4" w:space="0" w:color="14387F"/>
            </w:tcBorders>
            <w:shd w:val="clear" w:color="C6DBEF" w:fill="CB181D"/>
            <w:noWrap/>
            <w:vAlign w:val="center"/>
            <w:hideMark/>
          </w:tcPr>
          <w:p w14:paraId="6B63B465" w14:textId="77777777" w:rsidR="00BB239B" w:rsidRPr="009A6554" w:rsidRDefault="00BB239B" w:rsidP="004E5C01">
            <w:pPr>
              <w:jc w:val="center"/>
              <w:rPr>
                <w:rFonts w:cs="Arial"/>
                <w:color w:val="FFFFFF" w:themeColor="background1"/>
                <w:sz w:val="18"/>
                <w:szCs w:val="18"/>
              </w:rPr>
            </w:pPr>
            <w:r w:rsidRPr="009A6554">
              <w:rPr>
                <w:rFonts w:cs="Arial"/>
                <w:color w:val="FFFFFF" w:themeColor="background1"/>
                <w:sz w:val="18"/>
                <w:szCs w:val="18"/>
              </w:rPr>
              <w:t>96</w:t>
            </w:r>
          </w:p>
        </w:tc>
        <w:tc>
          <w:tcPr>
            <w:tcW w:w="419" w:type="dxa"/>
            <w:tcBorders>
              <w:top w:val="single" w:sz="4" w:space="0" w:color="14387F"/>
              <w:left w:val="single" w:sz="4" w:space="0" w:color="14387F"/>
              <w:bottom w:val="single" w:sz="4" w:space="0" w:color="14387F"/>
              <w:right w:val="single" w:sz="4" w:space="0" w:color="14387F"/>
            </w:tcBorders>
            <w:shd w:val="clear" w:color="C6DBEF" w:fill="CB181D"/>
            <w:noWrap/>
            <w:vAlign w:val="center"/>
            <w:hideMark/>
          </w:tcPr>
          <w:p w14:paraId="6B0C6792" w14:textId="77777777" w:rsidR="00BB239B" w:rsidRPr="009A6554" w:rsidRDefault="00BB239B" w:rsidP="004E5C01">
            <w:pPr>
              <w:jc w:val="center"/>
              <w:rPr>
                <w:rFonts w:cs="Arial"/>
                <w:color w:val="FFFFFF" w:themeColor="background1"/>
                <w:sz w:val="18"/>
                <w:szCs w:val="18"/>
              </w:rPr>
            </w:pPr>
            <w:r w:rsidRPr="009A6554">
              <w:rPr>
                <w:rFonts w:cs="Arial"/>
                <w:color w:val="FFFFFF" w:themeColor="background1"/>
                <w:sz w:val="18"/>
                <w:szCs w:val="18"/>
              </w:rPr>
              <w:t>96</w:t>
            </w:r>
          </w:p>
        </w:tc>
        <w:tc>
          <w:tcPr>
            <w:tcW w:w="419" w:type="dxa"/>
            <w:tcBorders>
              <w:top w:val="single" w:sz="4" w:space="0" w:color="14387F"/>
              <w:left w:val="single" w:sz="4" w:space="0" w:color="14387F"/>
              <w:bottom w:val="single" w:sz="4" w:space="0" w:color="14387F"/>
              <w:right w:val="single" w:sz="4" w:space="0" w:color="14387F"/>
            </w:tcBorders>
            <w:shd w:val="clear" w:color="C6DBEF" w:fill="CB181D"/>
            <w:noWrap/>
            <w:vAlign w:val="center"/>
            <w:hideMark/>
          </w:tcPr>
          <w:p w14:paraId="55EE46FF" w14:textId="77777777" w:rsidR="00BB239B" w:rsidRPr="009A6554" w:rsidRDefault="00BB239B" w:rsidP="004E5C01">
            <w:pPr>
              <w:jc w:val="center"/>
              <w:rPr>
                <w:rFonts w:cs="Arial"/>
                <w:color w:val="FFFFFF" w:themeColor="background1"/>
                <w:sz w:val="18"/>
                <w:szCs w:val="18"/>
              </w:rPr>
            </w:pPr>
            <w:r w:rsidRPr="009A6554">
              <w:rPr>
                <w:rFonts w:cs="Arial"/>
                <w:color w:val="FFFFFF" w:themeColor="background1"/>
                <w:sz w:val="18"/>
                <w:szCs w:val="18"/>
              </w:rPr>
              <w:t>96</w:t>
            </w:r>
          </w:p>
        </w:tc>
        <w:tc>
          <w:tcPr>
            <w:tcW w:w="601" w:type="dxa"/>
            <w:tcBorders>
              <w:top w:val="single" w:sz="4" w:space="0" w:color="14387F"/>
              <w:left w:val="single" w:sz="4" w:space="0" w:color="14387F"/>
              <w:bottom w:val="single" w:sz="4" w:space="0" w:color="14387F"/>
              <w:right w:val="single" w:sz="4" w:space="0" w:color="14387F"/>
            </w:tcBorders>
            <w:shd w:val="clear" w:color="C6DBEF" w:fill="CB181D"/>
            <w:noWrap/>
            <w:vAlign w:val="center"/>
            <w:hideMark/>
          </w:tcPr>
          <w:p w14:paraId="31268153" w14:textId="77777777" w:rsidR="00BB239B" w:rsidRPr="009A6554" w:rsidRDefault="00BB239B" w:rsidP="004E5C01">
            <w:pPr>
              <w:jc w:val="center"/>
              <w:rPr>
                <w:rFonts w:cs="Arial"/>
                <w:color w:val="FFFFFF" w:themeColor="background1"/>
                <w:sz w:val="18"/>
                <w:szCs w:val="18"/>
              </w:rPr>
            </w:pPr>
            <w:r w:rsidRPr="009A6554">
              <w:rPr>
                <w:rFonts w:cs="Arial"/>
                <w:color w:val="FFFFFF" w:themeColor="background1"/>
                <w:sz w:val="18"/>
                <w:szCs w:val="18"/>
              </w:rPr>
              <w:t>96</w:t>
            </w:r>
          </w:p>
        </w:tc>
        <w:tc>
          <w:tcPr>
            <w:tcW w:w="601" w:type="dxa"/>
            <w:tcBorders>
              <w:top w:val="single" w:sz="4" w:space="0" w:color="14387F"/>
              <w:left w:val="single" w:sz="4" w:space="0" w:color="14387F"/>
              <w:bottom w:val="single" w:sz="4" w:space="0" w:color="14387F"/>
              <w:right w:val="single" w:sz="4" w:space="0" w:color="14387F"/>
            </w:tcBorders>
            <w:shd w:val="clear" w:color="C6DBEF" w:fill="CB181D"/>
            <w:noWrap/>
            <w:vAlign w:val="center"/>
            <w:hideMark/>
          </w:tcPr>
          <w:p w14:paraId="2D3C1B14" w14:textId="77777777" w:rsidR="00BB239B" w:rsidRPr="009A6554" w:rsidRDefault="00BB239B" w:rsidP="004E5C01">
            <w:pPr>
              <w:jc w:val="center"/>
              <w:rPr>
                <w:rFonts w:cs="Arial"/>
                <w:color w:val="FFFFFF" w:themeColor="background1"/>
                <w:sz w:val="18"/>
                <w:szCs w:val="18"/>
              </w:rPr>
            </w:pPr>
            <w:r w:rsidRPr="009A6554">
              <w:rPr>
                <w:rFonts w:cs="Arial"/>
                <w:color w:val="FFFFFF" w:themeColor="background1"/>
                <w:sz w:val="18"/>
                <w:szCs w:val="18"/>
              </w:rPr>
              <w:t>97</w:t>
            </w:r>
          </w:p>
        </w:tc>
        <w:tc>
          <w:tcPr>
            <w:tcW w:w="546" w:type="dxa"/>
            <w:tcBorders>
              <w:top w:val="single" w:sz="4" w:space="0" w:color="14387F"/>
              <w:left w:val="single" w:sz="4" w:space="0" w:color="14387F"/>
              <w:bottom w:val="single" w:sz="4" w:space="0" w:color="14387F"/>
              <w:right w:val="single" w:sz="4" w:space="0" w:color="14387F"/>
            </w:tcBorders>
            <w:shd w:val="clear" w:color="C6DBEF" w:fill="CB181D"/>
            <w:noWrap/>
            <w:vAlign w:val="center"/>
            <w:hideMark/>
          </w:tcPr>
          <w:p w14:paraId="75E7A481" w14:textId="77777777" w:rsidR="00BB239B" w:rsidRPr="009A6554" w:rsidRDefault="00BB239B" w:rsidP="004E5C01">
            <w:pPr>
              <w:jc w:val="center"/>
              <w:rPr>
                <w:rFonts w:cs="Arial"/>
                <w:color w:val="FFFFFF" w:themeColor="background1"/>
                <w:sz w:val="18"/>
                <w:szCs w:val="18"/>
              </w:rPr>
            </w:pPr>
            <w:r w:rsidRPr="009A6554">
              <w:rPr>
                <w:rFonts w:cs="Arial"/>
                <w:color w:val="FFFFFF" w:themeColor="background1"/>
                <w:sz w:val="18"/>
                <w:szCs w:val="18"/>
              </w:rPr>
              <w:t>97</w:t>
            </w:r>
          </w:p>
        </w:tc>
        <w:tc>
          <w:tcPr>
            <w:tcW w:w="419"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529EEBB0" w14:textId="77777777" w:rsidR="00BB239B" w:rsidRPr="009A6554" w:rsidRDefault="00BB239B" w:rsidP="004E5C01">
            <w:pPr>
              <w:jc w:val="center"/>
              <w:rPr>
                <w:rFonts w:cs="Arial"/>
                <w:sz w:val="18"/>
                <w:szCs w:val="18"/>
              </w:rPr>
            </w:pPr>
            <w:r w:rsidRPr="009A6554">
              <w:rPr>
                <w:rFonts w:cs="Arial"/>
                <w:sz w:val="18"/>
                <w:szCs w:val="18"/>
              </w:rPr>
              <w:t>95</w:t>
            </w:r>
          </w:p>
        </w:tc>
        <w:tc>
          <w:tcPr>
            <w:tcW w:w="601"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35C49E79" w14:textId="77777777" w:rsidR="00BB239B" w:rsidRPr="009A6554" w:rsidRDefault="00BB239B" w:rsidP="004E5C01">
            <w:pPr>
              <w:jc w:val="center"/>
              <w:rPr>
                <w:rFonts w:cs="Arial"/>
                <w:sz w:val="18"/>
                <w:szCs w:val="18"/>
              </w:rPr>
            </w:pPr>
            <w:r w:rsidRPr="009A6554">
              <w:rPr>
                <w:rFonts w:cs="Arial"/>
                <w:sz w:val="18"/>
                <w:szCs w:val="18"/>
              </w:rPr>
              <w:t>94</w:t>
            </w:r>
          </w:p>
        </w:tc>
        <w:tc>
          <w:tcPr>
            <w:tcW w:w="419" w:type="dxa"/>
            <w:tcBorders>
              <w:top w:val="single" w:sz="4" w:space="0" w:color="14387F"/>
              <w:left w:val="single" w:sz="4" w:space="0" w:color="14387F"/>
              <w:bottom w:val="single" w:sz="4" w:space="0" w:color="14387F"/>
              <w:right w:val="single" w:sz="4" w:space="0" w:color="14387F"/>
            </w:tcBorders>
            <w:shd w:val="clear" w:color="C6DBEF" w:fill="CB181D"/>
            <w:noWrap/>
            <w:vAlign w:val="center"/>
            <w:hideMark/>
          </w:tcPr>
          <w:p w14:paraId="53005223" w14:textId="77777777" w:rsidR="00BB239B" w:rsidRPr="009A6554" w:rsidRDefault="00BB239B" w:rsidP="004E5C01">
            <w:pPr>
              <w:jc w:val="center"/>
              <w:rPr>
                <w:rFonts w:cs="Arial"/>
                <w:color w:val="FFFFFF" w:themeColor="background1"/>
                <w:sz w:val="18"/>
                <w:szCs w:val="18"/>
              </w:rPr>
            </w:pPr>
            <w:r w:rsidRPr="009A6554">
              <w:rPr>
                <w:rFonts w:cs="Arial"/>
                <w:color w:val="FFFFFF" w:themeColor="background1"/>
                <w:sz w:val="18"/>
                <w:szCs w:val="18"/>
              </w:rPr>
              <w:t>95</w:t>
            </w:r>
          </w:p>
        </w:tc>
        <w:tc>
          <w:tcPr>
            <w:tcW w:w="601" w:type="dxa"/>
            <w:tcBorders>
              <w:top w:val="single" w:sz="4" w:space="0" w:color="14387F"/>
              <w:left w:val="single" w:sz="4" w:space="0" w:color="14387F"/>
              <w:bottom w:val="single" w:sz="4" w:space="0" w:color="14387F"/>
              <w:right w:val="single" w:sz="4" w:space="0" w:color="14387F"/>
            </w:tcBorders>
            <w:shd w:val="clear" w:color="C6DBEF" w:fill="CB181D"/>
            <w:noWrap/>
            <w:vAlign w:val="center"/>
            <w:hideMark/>
          </w:tcPr>
          <w:p w14:paraId="4E5BDBCF" w14:textId="77777777" w:rsidR="00BB239B" w:rsidRPr="009A6554" w:rsidRDefault="00BB239B" w:rsidP="004E5C01">
            <w:pPr>
              <w:jc w:val="center"/>
              <w:rPr>
                <w:rFonts w:cs="Arial"/>
                <w:color w:val="FFFFFF" w:themeColor="background1"/>
                <w:sz w:val="18"/>
                <w:szCs w:val="18"/>
              </w:rPr>
            </w:pPr>
            <w:r w:rsidRPr="009A6554">
              <w:rPr>
                <w:rFonts w:cs="Arial"/>
                <w:color w:val="FFFFFF" w:themeColor="background1"/>
                <w:sz w:val="18"/>
                <w:szCs w:val="18"/>
              </w:rPr>
              <w:t>97</w:t>
            </w:r>
          </w:p>
        </w:tc>
        <w:tc>
          <w:tcPr>
            <w:tcW w:w="786" w:type="dxa"/>
            <w:tcBorders>
              <w:top w:val="single" w:sz="4" w:space="0" w:color="14387F"/>
              <w:left w:val="single" w:sz="4" w:space="0" w:color="14387F"/>
              <w:bottom w:val="single" w:sz="4" w:space="0" w:color="14387F"/>
              <w:right w:val="single" w:sz="4" w:space="0" w:color="14387F"/>
            </w:tcBorders>
            <w:shd w:val="clear" w:color="C6DBEF" w:fill="CB181D"/>
            <w:noWrap/>
            <w:vAlign w:val="center"/>
            <w:hideMark/>
          </w:tcPr>
          <w:p w14:paraId="350C7EE6" w14:textId="77777777" w:rsidR="00BB239B" w:rsidRPr="009A6554" w:rsidRDefault="00BB239B" w:rsidP="004E5C01">
            <w:pPr>
              <w:jc w:val="center"/>
              <w:rPr>
                <w:rFonts w:cs="Arial"/>
                <w:color w:val="FFFFFF" w:themeColor="background1"/>
                <w:sz w:val="18"/>
                <w:szCs w:val="18"/>
              </w:rPr>
            </w:pPr>
            <w:r w:rsidRPr="009A6554">
              <w:rPr>
                <w:rFonts w:cs="Arial"/>
                <w:color w:val="FFFFFF" w:themeColor="background1"/>
                <w:sz w:val="18"/>
                <w:szCs w:val="18"/>
              </w:rPr>
              <w:t>96</w:t>
            </w:r>
          </w:p>
        </w:tc>
      </w:tr>
      <w:tr w:rsidR="00BB239B" w:rsidRPr="009A6554" w14:paraId="0355B872" w14:textId="77777777" w:rsidTr="00AD2344">
        <w:trPr>
          <w:trHeight w:val="349"/>
        </w:trPr>
        <w:tc>
          <w:tcPr>
            <w:tcW w:w="1656" w:type="dxa"/>
            <w:tcBorders>
              <w:top w:val="nil"/>
              <w:left w:val="single" w:sz="4" w:space="0" w:color="14387F"/>
              <w:bottom w:val="single" w:sz="4" w:space="0" w:color="14387F"/>
              <w:right w:val="single" w:sz="4" w:space="0" w:color="14387F"/>
            </w:tcBorders>
            <w:vAlign w:val="center"/>
            <w:hideMark/>
          </w:tcPr>
          <w:p w14:paraId="612D661F" w14:textId="77777777" w:rsidR="00BB239B" w:rsidRPr="009A6554" w:rsidRDefault="00BB239B" w:rsidP="004E5C01">
            <w:pPr>
              <w:jc w:val="left"/>
              <w:rPr>
                <w:rFonts w:cs="Arial"/>
                <w:sz w:val="18"/>
                <w:szCs w:val="18"/>
              </w:rPr>
            </w:pPr>
            <w:proofErr w:type="spellStart"/>
            <w:r w:rsidRPr="009A6554">
              <w:rPr>
                <w:rFonts w:cs="Arial"/>
                <w:sz w:val="18"/>
                <w:szCs w:val="18"/>
              </w:rPr>
              <w:t>Permokarbon</w:t>
            </w:r>
            <w:proofErr w:type="spellEnd"/>
            <w:r w:rsidRPr="009A6554">
              <w:rPr>
                <w:rFonts w:cs="Arial"/>
                <w:sz w:val="18"/>
                <w:szCs w:val="18"/>
              </w:rPr>
              <w:t xml:space="preserve"> východních Čech</w:t>
            </w:r>
          </w:p>
        </w:tc>
        <w:tc>
          <w:tcPr>
            <w:tcW w:w="419" w:type="dxa"/>
            <w:tcBorders>
              <w:top w:val="nil"/>
              <w:left w:val="nil"/>
              <w:bottom w:val="single" w:sz="4" w:space="0" w:color="14387F"/>
              <w:right w:val="single" w:sz="4" w:space="0" w:color="14387F"/>
            </w:tcBorders>
            <w:shd w:val="clear" w:color="C6DBEF" w:fill="FFFFFF"/>
            <w:noWrap/>
            <w:vAlign w:val="center"/>
            <w:hideMark/>
          </w:tcPr>
          <w:p w14:paraId="25B3AF6B" w14:textId="77777777" w:rsidR="00BB239B" w:rsidRPr="009A6554" w:rsidRDefault="00BB239B" w:rsidP="004E5C01">
            <w:pPr>
              <w:jc w:val="center"/>
              <w:rPr>
                <w:rFonts w:cs="Arial"/>
                <w:sz w:val="18"/>
                <w:szCs w:val="18"/>
              </w:rPr>
            </w:pPr>
            <w:r w:rsidRPr="009A6554">
              <w:rPr>
                <w:rFonts w:cs="Arial"/>
                <w:sz w:val="18"/>
                <w:szCs w:val="18"/>
              </w:rPr>
              <w:t>49</w:t>
            </w:r>
          </w:p>
        </w:tc>
        <w:tc>
          <w:tcPr>
            <w:tcW w:w="419" w:type="dxa"/>
            <w:tcBorders>
              <w:top w:val="nil"/>
              <w:left w:val="nil"/>
              <w:bottom w:val="single" w:sz="4" w:space="0" w:color="14387F"/>
              <w:right w:val="single" w:sz="4" w:space="0" w:color="14387F"/>
            </w:tcBorders>
            <w:shd w:val="clear" w:color="C6DBEF" w:fill="FFFFFF"/>
            <w:noWrap/>
            <w:vAlign w:val="center"/>
            <w:hideMark/>
          </w:tcPr>
          <w:p w14:paraId="795D74E2" w14:textId="77777777" w:rsidR="00BB239B" w:rsidRPr="009A6554" w:rsidRDefault="00BB239B" w:rsidP="004E5C01">
            <w:pPr>
              <w:jc w:val="center"/>
              <w:rPr>
                <w:rFonts w:cs="Arial"/>
                <w:sz w:val="18"/>
                <w:szCs w:val="18"/>
              </w:rPr>
            </w:pPr>
            <w:r w:rsidRPr="009A6554">
              <w:rPr>
                <w:rFonts w:cs="Arial"/>
                <w:sz w:val="18"/>
                <w:szCs w:val="18"/>
              </w:rPr>
              <w:t>51</w:t>
            </w:r>
          </w:p>
        </w:tc>
        <w:tc>
          <w:tcPr>
            <w:tcW w:w="601" w:type="dxa"/>
            <w:tcBorders>
              <w:top w:val="single" w:sz="4" w:space="0" w:color="14387F"/>
              <w:left w:val="single" w:sz="4" w:space="0" w:color="14387F"/>
              <w:bottom w:val="single" w:sz="4" w:space="0" w:color="14387F"/>
              <w:right w:val="single" w:sz="4" w:space="0" w:color="14387F"/>
            </w:tcBorders>
            <w:shd w:val="clear" w:color="C6DBEF" w:fill="FCBBA1"/>
            <w:noWrap/>
            <w:vAlign w:val="center"/>
            <w:hideMark/>
          </w:tcPr>
          <w:p w14:paraId="1159FA37" w14:textId="77777777" w:rsidR="00BB239B" w:rsidRPr="009A6554" w:rsidRDefault="00BB239B" w:rsidP="004E5C01">
            <w:pPr>
              <w:jc w:val="center"/>
              <w:rPr>
                <w:rFonts w:cs="Arial"/>
                <w:sz w:val="18"/>
                <w:szCs w:val="18"/>
              </w:rPr>
            </w:pPr>
            <w:r w:rsidRPr="009A6554">
              <w:rPr>
                <w:rFonts w:cs="Arial"/>
                <w:sz w:val="18"/>
                <w:szCs w:val="18"/>
              </w:rPr>
              <w:t>85</w:t>
            </w:r>
          </w:p>
        </w:tc>
        <w:tc>
          <w:tcPr>
            <w:tcW w:w="419"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43E0CA0D" w14:textId="77777777" w:rsidR="00BB239B" w:rsidRPr="009A6554" w:rsidRDefault="00BB239B" w:rsidP="004E5C01">
            <w:pPr>
              <w:jc w:val="center"/>
              <w:rPr>
                <w:rFonts w:cs="Arial"/>
                <w:sz w:val="18"/>
                <w:szCs w:val="18"/>
              </w:rPr>
            </w:pPr>
            <w:r w:rsidRPr="009A6554">
              <w:rPr>
                <w:rFonts w:cs="Arial"/>
                <w:sz w:val="18"/>
                <w:szCs w:val="18"/>
              </w:rPr>
              <w:t>93</w:t>
            </w:r>
          </w:p>
        </w:tc>
        <w:tc>
          <w:tcPr>
            <w:tcW w:w="419" w:type="dxa"/>
            <w:tcBorders>
              <w:top w:val="single" w:sz="4" w:space="0" w:color="14387F"/>
              <w:left w:val="single" w:sz="4" w:space="0" w:color="14387F"/>
              <w:bottom w:val="single" w:sz="4" w:space="0" w:color="14387F"/>
              <w:right w:val="single" w:sz="4" w:space="0" w:color="14387F"/>
            </w:tcBorders>
            <w:shd w:val="clear" w:color="C6DBEF" w:fill="CB181D"/>
            <w:noWrap/>
            <w:vAlign w:val="center"/>
            <w:hideMark/>
          </w:tcPr>
          <w:p w14:paraId="21B425CC" w14:textId="77777777" w:rsidR="00BB239B" w:rsidRPr="009A6554" w:rsidRDefault="00BB239B" w:rsidP="004E5C01">
            <w:pPr>
              <w:jc w:val="center"/>
              <w:rPr>
                <w:rFonts w:cs="Arial"/>
                <w:color w:val="FFFFFF" w:themeColor="background1"/>
                <w:sz w:val="18"/>
                <w:szCs w:val="18"/>
              </w:rPr>
            </w:pPr>
            <w:r w:rsidRPr="009A6554">
              <w:rPr>
                <w:rFonts w:cs="Arial"/>
                <w:color w:val="FFFFFF" w:themeColor="background1"/>
                <w:sz w:val="18"/>
                <w:szCs w:val="18"/>
              </w:rPr>
              <w:t>95</w:t>
            </w:r>
          </w:p>
        </w:tc>
        <w:tc>
          <w:tcPr>
            <w:tcW w:w="601" w:type="dxa"/>
            <w:tcBorders>
              <w:top w:val="single" w:sz="4" w:space="0" w:color="14387F"/>
              <w:left w:val="single" w:sz="4" w:space="0" w:color="14387F"/>
              <w:bottom w:val="single" w:sz="4" w:space="0" w:color="14387F"/>
              <w:right w:val="single" w:sz="4" w:space="0" w:color="14387F"/>
            </w:tcBorders>
            <w:shd w:val="clear" w:color="C6DBEF" w:fill="CB181D"/>
            <w:noWrap/>
            <w:vAlign w:val="center"/>
            <w:hideMark/>
          </w:tcPr>
          <w:p w14:paraId="171ACB1E" w14:textId="77777777" w:rsidR="00BB239B" w:rsidRPr="009A6554" w:rsidRDefault="00BB239B" w:rsidP="004E5C01">
            <w:pPr>
              <w:jc w:val="center"/>
              <w:rPr>
                <w:rFonts w:cs="Arial"/>
                <w:color w:val="FFFFFF" w:themeColor="background1"/>
                <w:sz w:val="18"/>
                <w:szCs w:val="18"/>
              </w:rPr>
            </w:pPr>
            <w:r w:rsidRPr="009A6554">
              <w:rPr>
                <w:rFonts w:cs="Arial"/>
                <w:color w:val="FFFFFF" w:themeColor="background1"/>
                <w:sz w:val="18"/>
                <w:szCs w:val="18"/>
              </w:rPr>
              <w:t>96</w:t>
            </w:r>
          </w:p>
        </w:tc>
        <w:tc>
          <w:tcPr>
            <w:tcW w:w="601" w:type="dxa"/>
            <w:tcBorders>
              <w:top w:val="single" w:sz="4" w:space="0" w:color="14387F"/>
              <w:left w:val="single" w:sz="4" w:space="0" w:color="14387F"/>
              <w:bottom w:val="single" w:sz="4" w:space="0" w:color="14387F"/>
              <w:right w:val="single" w:sz="4" w:space="0" w:color="14387F"/>
            </w:tcBorders>
            <w:shd w:val="clear" w:color="C6DBEF" w:fill="CB181D"/>
            <w:noWrap/>
            <w:vAlign w:val="center"/>
            <w:hideMark/>
          </w:tcPr>
          <w:p w14:paraId="79EF06BA" w14:textId="77777777" w:rsidR="00BB239B" w:rsidRPr="009A6554" w:rsidRDefault="00BB239B" w:rsidP="004E5C01">
            <w:pPr>
              <w:jc w:val="center"/>
              <w:rPr>
                <w:rFonts w:cs="Arial"/>
                <w:color w:val="FFFFFF" w:themeColor="background1"/>
                <w:sz w:val="18"/>
                <w:szCs w:val="18"/>
              </w:rPr>
            </w:pPr>
            <w:r w:rsidRPr="009A6554">
              <w:rPr>
                <w:rFonts w:cs="Arial"/>
                <w:color w:val="FFFFFF" w:themeColor="background1"/>
                <w:sz w:val="18"/>
                <w:szCs w:val="18"/>
              </w:rPr>
              <w:t>97</w:t>
            </w:r>
          </w:p>
        </w:tc>
        <w:tc>
          <w:tcPr>
            <w:tcW w:w="546"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61E1FCB0" w14:textId="77777777" w:rsidR="00BB239B" w:rsidRPr="009A6554" w:rsidRDefault="00BB239B" w:rsidP="004E5C01">
            <w:pPr>
              <w:jc w:val="center"/>
              <w:rPr>
                <w:rFonts w:cs="Arial"/>
                <w:sz w:val="18"/>
                <w:szCs w:val="18"/>
              </w:rPr>
            </w:pPr>
            <w:r w:rsidRPr="009A6554">
              <w:rPr>
                <w:rFonts w:cs="Arial"/>
                <w:sz w:val="18"/>
                <w:szCs w:val="18"/>
              </w:rPr>
              <w:t>95</w:t>
            </w:r>
          </w:p>
        </w:tc>
        <w:tc>
          <w:tcPr>
            <w:tcW w:w="419"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35A7D42A" w14:textId="77777777" w:rsidR="00BB239B" w:rsidRPr="009A6554" w:rsidRDefault="00BB239B" w:rsidP="004E5C01">
            <w:pPr>
              <w:jc w:val="center"/>
              <w:rPr>
                <w:rFonts w:cs="Arial"/>
                <w:sz w:val="18"/>
                <w:szCs w:val="18"/>
              </w:rPr>
            </w:pPr>
            <w:r w:rsidRPr="009A6554">
              <w:rPr>
                <w:rFonts w:cs="Arial"/>
                <w:sz w:val="18"/>
                <w:szCs w:val="18"/>
              </w:rPr>
              <w:t>94</w:t>
            </w:r>
          </w:p>
        </w:tc>
        <w:tc>
          <w:tcPr>
            <w:tcW w:w="601"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02831C23" w14:textId="77777777" w:rsidR="00BB239B" w:rsidRPr="009A6554" w:rsidRDefault="00BB239B" w:rsidP="004E5C01">
            <w:pPr>
              <w:jc w:val="center"/>
              <w:rPr>
                <w:rFonts w:cs="Arial"/>
                <w:sz w:val="18"/>
                <w:szCs w:val="18"/>
              </w:rPr>
            </w:pPr>
            <w:r w:rsidRPr="009A6554">
              <w:rPr>
                <w:rFonts w:cs="Arial"/>
                <w:sz w:val="18"/>
                <w:szCs w:val="18"/>
              </w:rPr>
              <w:t>90</w:t>
            </w:r>
          </w:p>
        </w:tc>
        <w:tc>
          <w:tcPr>
            <w:tcW w:w="419" w:type="dxa"/>
            <w:tcBorders>
              <w:top w:val="single" w:sz="4" w:space="0" w:color="14387F"/>
              <w:left w:val="single" w:sz="4" w:space="0" w:color="14387F"/>
              <w:bottom w:val="single" w:sz="4" w:space="0" w:color="14387F"/>
              <w:right w:val="single" w:sz="4" w:space="0" w:color="14387F"/>
            </w:tcBorders>
            <w:shd w:val="clear" w:color="C6DBEF" w:fill="FCBBA1"/>
            <w:noWrap/>
            <w:vAlign w:val="center"/>
            <w:hideMark/>
          </w:tcPr>
          <w:p w14:paraId="7ADB2C20" w14:textId="77777777" w:rsidR="00BB239B" w:rsidRPr="009A6554" w:rsidRDefault="00BB239B" w:rsidP="004E5C01">
            <w:pPr>
              <w:jc w:val="center"/>
              <w:rPr>
                <w:rFonts w:cs="Arial"/>
                <w:sz w:val="18"/>
                <w:szCs w:val="18"/>
              </w:rPr>
            </w:pPr>
            <w:r w:rsidRPr="009A6554">
              <w:rPr>
                <w:rFonts w:cs="Arial"/>
                <w:sz w:val="18"/>
                <w:szCs w:val="18"/>
              </w:rPr>
              <w:t>81</w:t>
            </w:r>
          </w:p>
        </w:tc>
        <w:tc>
          <w:tcPr>
            <w:tcW w:w="601" w:type="dxa"/>
            <w:tcBorders>
              <w:top w:val="nil"/>
              <w:left w:val="nil"/>
              <w:bottom w:val="single" w:sz="4" w:space="0" w:color="14387F"/>
              <w:right w:val="single" w:sz="4" w:space="0" w:color="14387F"/>
            </w:tcBorders>
            <w:shd w:val="clear" w:color="C6DBEF" w:fill="FFFFFF"/>
            <w:noWrap/>
            <w:vAlign w:val="center"/>
            <w:hideMark/>
          </w:tcPr>
          <w:p w14:paraId="4538B76C" w14:textId="77777777" w:rsidR="00BB239B" w:rsidRPr="009A6554" w:rsidRDefault="00BB239B" w:rsidP="004E5C01">
            <w:pPr>
              <w:jc w:val="center"/>
              <w:rPr>
                <w:rFonts w:cs="Arial"/>
                <w:sz w:val="18"/>
                <w:szCs w:val="18"/>
              </w:rPr>
            </w:pPr>
            <w:r w:rsidRPr="009A6554">
              <w:rPr>
                <w:rFonts w:cs="Arial"/>
                <w:sz w:val="18"/>
                <w:szCs w:val="18"/>
              </w:rPr>
              <w:t>68</w:t>
            </w:r>
          </w:p>
        </w:tc>
        <w:tc>
          <w:tcPr>
            <w:tcW w:w="786"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2BE17517" w14:textId="77777777" w:rsidR="00BB239B" w:rsidRPr="009A6554" w:rsidRDefault="00BB239B" w:rsidP="004E5C01">
            <w:pPr>
              <w:jc w:val="center"/>
              <w:rPr>
                <w:rFonts w:cs="Arial"/>
                <w:sz w:val="18"/>
                <w:szCs w:val="18"/>
              </w:rPr>
            </w:pPr>
            <w:r w:rsidRPr="009A6554">
              <w:rPr>
                <w:rFonts w:cs="Arial"/>
                <w:sz w:val="18"/>
                <w:szCs w:val="18"/>
              </w:rPr>
              <w:t>90</w:t>
            </w:r>
          </w:p>
        </w:tc>
      </w:tr>
      <w:tr w:rsidR="00BB239B" w:rsidRPr="009A6554" w14:paraId="34667298" w14:textId="77777777" w:rsidTr="00AD2344">
        <w:trPr>
          <w:trHeight w:val="211"/>
        </w:trPr>
        <w:tc>
          <w:tcPr>
            <w:tcW w:w="1656" w:type="dxa"/>
            <w:tcBorders>
              <w:top w:val="nil"/>
              <w:left w:val="single" w:sz="4" w:space="0" w:color="14387F"/>
              <w:bottom w:val="single" w:sz="4" w:space="0" w:color="14387F"/>
              <w:right w:val="single" w:sz="4" w:space="0" w:color="14387F"/>
            </w:tcBorders>
            <w:vAlign w:val="center"/>
            <w:hideMark/>
          </w:tcPr>
          <w:p w14:paraId="0A918CAA" w14:textId="77777777" w:rsidR="00BB239B" w:rsidRPr="009A6554" w:rsidRDefault="00BB239B" w:rsidP="004E5C01">
            <w:pPr>
              <w:jc w:val="left"/>
              <w:rPr>
                <w:rFonts w:cs="Arial"/>
                <w:sz w:val="18"/>
                <w:szCs w:val="18"/>
              </w:rPr>
            </w:pPr>
            <w:r w:rsidRPr="009A6554">
              <w:rPr>
                <w:rFonts w:cs="Arial"/>
                <w:sz w:val="18"/>
                <w:szCs w:val="18"/>
              </w:rPr>
              <w:t>ČR</w:t>
            </w:r>
          </w:p>
        </w:tc>
        <w:tc>
          <w:tcPr>
            <w:tcW w:w="419" w:type="dxa"/>
            <w:tcBorders>
              <w:top w:val="nil"/>
              <w:left w:val="nil"/>
              <w:bottom w:val="single" w:sz="4" w:space="0" w:color="14387F"/>
              <w:right w:val="single" w:sz="4" w:space="0" w:color="14387F"/>
            </w:tcBorders>
            <w:shd w:val="clear" w:color="C6DBEF" w:fill="FFFFFF"/>
            <w:noWrap/>
            <w:vAlign w:val="center"/>
            <w:hideMark/>
          </w:tcPr>
          <w:p w14:paraId="0CCDFF6C" w14:textId="77777777" w:rsidR="00BB239B" w:rsidRPr="009A6554" w:rsidRDefault="00BB239B" w:rsidP="004E5C01">
            <w:pPr>
              <w:jc w:val="center"/>
              <w:rPr>
                <w:rFonts w:cs="Arial"/>
                <w:sz w:val="18"/>
                <w:szCs w:val="18"/>
              </w:rPr>
            </w:pPr>
            <w:r w:rsidRPr="009A6554">
              <w:rPr>
                <w:rFonts w:cs="Arial"/>
                <w:sz w:val="18"/>
                <w:szCs w:val="18"/>
              </w:rPr>
              <w:t>41</w:t>
            </w:r>
          </w:p>
        </w:tc>
        <w:tc>
          <w:tcPr>
            <w:tcW w:w="419" w:type="dxa"/>
            <w:tcBorders>
              <w:top w:val="nil"/>
              <w:left w:val="nil"/>
              <w:bottom w:val="single" w:sz="4" w:space="0" w:color="14387F"/>
              <w:right w:val="single" w:sz="4" w:space="0" w:color="14387F"/>
            </w:tcBorders>
            <w:shd w:val="clear" w:color="C6DBEF" w:fill="FFFFFF"/>
            <w:noWrap/>
            <w:vAlign w:val="center"/>
            <w:hideMark/>
          </w:tcPr>
          <w:p w14:paraId="55CC8569" w14:textId="77777777" w:rsidR="00BB239B" w:rsidRPr="009A6554" w:rsidRDefault="00BB239B" w:rsidP="004E5C01">
            <w:pPr>
              <w:jc w:val="center"/>
              <w:rPr>
                <w:rFonts w:cs="Arial"/>
                <w:sz w:val="18"/>
                <w:szCs w:val="18"/>
              </w:rPr>
            </w:pPr>
            <w:r w:rsidRPr="009A6554">
              <w:rPr>
                <w:rFonts w:cs="Arial"/>
                <w:sz w:val="18"/>
                <w:szCs w:val="18"/>
              </w:rPr>
              <w:t>58</w:t>
            </w:r>
          </w:p>
        </w:tc>
        <w:tc>
          <w:tcPr>
            <w:tcW w:w="601" w:type="dxa"/>
            <w:tcBorders>
              <w:top w:val="single" w:sz="4" w:space="0" w:color="14387F"/>
              <w:left w:val="single" w:sz="4" w:space="0" w:color="14387F"/>
              <w:bottom w:val="single" w:sz="4" w:space="0" w:color="14387F"/>
              <w:right w:val="single" w:sz="4" w:space="0" w:color="14387F"/>
            </w:tcBorders>
            <w:shd w:val="clear" w:color="C6DBEF" w:fill="FCBBA1"/>
            <w:noWrap/>
            <w:vAlign w:val="center"/>
            <w:hideMark/>
          </w:tcPr>
          <w:p w14:paraId="2226E94F" w14:textId="77777777" w:rsidR="00BB239B" w:rsidRPr="009A6554" w:rsidRDefault="00BB239B" w:rsidP="004E5C01">
            <w:pPr>
              <w:jc w:val="center"/>
              <w:rPr>
                <w:rFonts w:cs="Arial"/>
                <w:sz w:val="18"/>
                <w:szCs w:val="18"/>
              </w:rPr>
            </w:pPr>
            <w:r w:rsidRPr="009A6554">
              <w:rPr>
                <w:rFonts w:cs="Arial"/>
                <w:sz w:val="18"/>
                <w:szCs w:val="18"/>
              </w:rPr>
              <w:t>80</w:t>
            </w:r>
          </w:p>
        </w:tc>
        <w:tc>
          <w:tcPr>
            <w:tcW w:w="419"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49D13F36" w14:textId="77777777" w:rsidR="00BB239B" w:rsidRPr="009A6554" w:rsidRDefault="00BB239B" w:rsidP="004E5C01">
            <w:pPr>
              <w:jc w:val="center"/>
              <w:rPr>
                <w:rFonts w:cs="Arial"/>
                <w:sz w:val="18"/>
                <w:szCs w:val="18"/>
              </w:rPr>
            </w:pPr>
            <w:r w:rsidRPr="009A6554">
              <w:rPr>
                <w:rFonts w:cs="Arial"/>
                <w:sz w:val="18"/>
                <w:szCs w:val="18"/>
              </w:rPr>
              <w:t>93</w:t>
            </w:r>
          </w:p>
        </w:tc>
        <w:tc>
          <w:tcPr>
            <w:tcW w:w="419"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7B72C757" w14:textId="77777777" w:rsidR="00BB239B" w:rsidRPr="009A6554" w:rsidRDefault="00BB239B" w:rsidP="004E5C01">
            <w:pPr>
              <w:jc w:val="center"/>
              <w:rPr>
                <w:rFonts w:cs="Arial"/>
                <w:sz w:val="18"/>
                <w:szCs w:val="18"/>
              </w:rPr>
            </w:pPr>
            <w:r w:rsidRPr="009A6554">
              <w:rPr>
                <w:rFonts w:cs="Arial"/>
                <w:sz w:val="18"/>
                <w:szCs w:val="18"/>
              </w:rPr>
              <w:t>94</w:t>
            </w:r>
          </w:p>
        </w:tc>
        <w:tc>
          <w:tcPr>
            <w:tcW w:w="601"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7D5654CE" w14:textId="77777777" w:rsidR="00BB239B" w:rsidRPr="009A6554" w:rsidRDefault="00BB239B" w:rsidP="004E5C01">
            <w:pPr>
              <w:jc w:val="center"/>
              <w:rPr>
                <w:rFonts w:cs="Arial"/>
                <w:sz w:val="18"/>
                <w:szCs w:val="18"/>
              </w:rPr>
            </w:pPr>
            <w:r w:rsidRPr="009A6554">
              <w:rPr>
                <w:rFonts w:cs="Arial"/>
                <w:sz w:val="18"/>
                <w:szCs w:val="18"/>
              </w:rPr>
              <w:t>93</w:t>
            </w:r>
          </w:p>
        </w:tc>
        <w:tc>
          <w:tcPr>
            <w:tcW w:w="601"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74005AF1" w14:textId="77777777" w:rsidR="00BB239B" w:rsidRPr="009A6554" w:rsidRDefault="00BB239B" w:rsidP="004E5C01">
            <w:pPr>
              <w:jc w:val="center"/>
              <w:rPr>
                <w:rFonts w:cs="Arial"/>
                <w:sz w:val="18"/>
                <w:szCs w:val="18"/>
              </w:rPr>
            </w:pPr>
            <w:r w:rsidRPr="009A6554">
              <w:rPr>
                <w:rFonts w:cs="Arial"/>
                <w:sz w:val="18"/>
                <w:szCs w:val="18"/>
              </w:rPr>
              <w:t>94</w:t>
            </w:r>
          </w:p>
        </w:tc>
        <w:tc>
          <w:tcPr>
            <w:tcW w:w="546"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4CADD659" w14:textId="77777777" w:rsidR="00BB239B" w:rsidRPr="009A6554" w:rsidRDefault="00BB239B" w:rsidP="004E5C01">
            <w:pPr>
              <w:jc w:val="center"/>
              <w:rPr>
                <w:rFonts w:cs="Arial"/>
                <w:sz w:val="18"/>
                <w:szCs w:val="18"/>
              </w:rPr>
            </w:pPr>
            <w:r w:rsidRPr="009A6554">
              <w:rPr>
                <w:rFonts w:cs="Arial"/>
                <w:sz w:val="18"/>
                <w:szCs w:val="18"/>
              </w:rPr>
              <w:t>92</w:t>
            </w:r>
          </w:p>
        </w:tc>
        <w:tc>
          <w:tcPr>
            <w:tcW w:w="419"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4404E57B" w14:textId="77777777" w:rsidR="00BB239B" w:rsidRPr="009A6554" w:rsidRDefault="00BB239B" w:rsidP="004E5C01">
            <w:pPr>
              <w:jc w:val="center"/>
              <w:rPr>
                <w:rFonts w:cs="Arial"/>
                <w:sz w:val="18"/>
                <w:szCs w:val="18"/>
              </w:rPr>
            </w:pPr>
            <w:r w:rsidRPr="009A6554">
              <w:rPr>
                <w:rFonts w:cs="Arial"/>
                <w:sz w:val="18"/>
                <w:szCs w:val="18"/>
              </w:rPr>
              <w:t>91</w:t>
            </w:r>
          </w:p>
        </w:tc>
        <w:tc>
          <w:tcPr>
            <w:tcW w:w="601"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0AE46EA9" w14:textId="77777777" w:rsidR="00BB239B" w:rsidRPr="009A6554" w:rsidRDefault="00BB239B" w:rsidP="004E5C01">
            <w:pPr>
              <w:jc w:val="center"/>
              <w:rPr>
                <w:rFonts w:cs="Arial"/>
                <w:sz w:val="18"/>
                <w:szCs w:val="18"/>
              </w:rPr>
            </w:pPr>
            <w:r w:rsidRPr="009A6554">
              <w:rPr>
                <w:rFonts w:cs="Arial"/>
                <w:sz w:val="18"/>
                <w:szCs w:val="18"/>
              </w:rPr>
              <w:t>89</w:t>
            </w:r>
          </w:p>
        </w:tc>
        <w:tc>
          <w:tcPr>
            <w:tcW w:w="419" w:type="dxa"/>
            <w:tcBorders>
              <w:top w:val="single" w:sz="4" w:space="0" w:color="14387F"/>
              <w:left w:val="single" w:sz="4" w:space="0" w:color="14387F"/>
              <w:bottom w:val="single" w:sz="4" w:space="0" w:color="14387F"/>
              <w:right w:val="single" w:sz="4" w:space="0" w:color="14387F"/>
            </w:tcBorders>
            <w:shd w:val="clear" w:color="C6DBEF" w:fill="FCBBA1"/>
            <w:noWrap/>
            <w:vAlign w:val="center"/>
            <w:hideMark/>
          </w:tcPr>
          <w:p w14:paraId="78760E1A" w14:textId="77777777" w:rsidR="00BB239B" w:rsidRPr="009A6554" w:rsidRDefault="00BB239B" w:rsidP="004E5C01">
            <w:pPr>
              <w:jc w:val="center"/>
              <w:rPr>
                <w:rFonts w:cs="Arial"/>
                <w:sz w:val="18"/>
                <w:szCs w:val="18"/>
              </w:rPr>
            </w:pPr>
            <w:r w:rsidRPr="009A6554">
              <w:rPr>
                <w:rFonts w:cs="Arial"/>
                <w:sz w:val="18"/>
                <w:szCs w:val="18"/>
              </w:rPr>
              <w:t>85</w:t>
            </w:r>
          </w:p>
        </w:tc>
        <w:tc>
          <w:tcPr>
            <w:tcW w:w="601" w:type="dxa"/>
            <w:tcBorders>
              <w:top w:val="single" w:sz="4" w:space="0" w:color="14387F"/>
              <w:left w:val="single" w:sz="4" w:space="0" w:color="14387F"/>
              <w:bottom w:val="single" w:sz="4" w:space="0" w:color="14387F"/>
              <w:right w:val="single" w:sz="4" w:space="0" w:color="14387F"/>
            </w:tcBorders>
            <w:shd w:val="clear" w:color="C6DBEF" w:fill="FCBBA1"/>
            <w:noWrap/>
            <w:vAlign w:val="center"/>
            <w:hideMark/>
          </w:tcPr>
          <w:p w14:paraId="6407EAF0" w14:textId="77777777" w:rsidR="00BB239B" w:rsidRPr="009A6554" w:rsidRDefault="00BB239B" w:rsidP="004E5C01">
            <w:pPr>
              <w:jc w:val="center"/>
              <w:rPr>
                <w:rFonts w:cs="Arial"/>
                <w:sz w:val="18"/>
                <w:szCs w:val="18"/>
              </w:rPr>
            </w:pPr>
            <w:r w:rsidRPr="009A6554">
              <w:rPr>
                <w:rFonts w:cs="Arial"/>
                <w:sz w:val="18"/>
                <w:szCs w:val="18"/>
              </w:rPr>
              <w:t>85</w:t>
            </w:r>
          </w:p>
        </w:tc>
        <w:tc>
          <w:tcPr>
            <w:tcW w:w="786" w:type="dxa"/>
            <w:tcBorders>
              <w:top w:val="single" w:sz="4" w:space="0" w:color="14387F"/>
              <w:left w:val="single" w:sz="4" w:space="0" w:color="14387F"/>
              <w:bottom w:val="single" w:sz="4" w:space="0" w:color="14387F"/>
              <w:right w:val="single" w:sz="4" w:space="0" w:color="14387F"/>
            </w:tcBorders>
            <w:shd w:val="clear" w:color="C6DBEF" w:fill="FB6A4A"/>
            <w:noWrap/>
            <w:vAlign w:val="center"/>
            <w:hideMark/>
          </w:tcPr>
          <w:p w14:paraId="1ECCDDD2" w14:textId="77777777" w:rsidR="00BB239B" w:rsidRPr="009A6554" w:rsidRDefault="00BB239B" w:rsidP="004E5C01">
            <w:pPr>
              <w:jc w:val="center"/>
              <w:rPr>
                <w:rFonts w:cs="Arial"/>
                <w:sz w:val="18"/>
                <w:szCs w:val="18"/>
              </w:rPr>
            </w:pPr>
            <w:r w:rsidRPr="009A6554">
              <w:rPr>
                <w:rFonts w:cs="Arial"/>
                <w:sz w:val="18"/>
                <w:szCs w:val="18"/>
              </w:rPr>
              <w:t>87</w:t>
            </w:r>
          </w:p>
        </w:tc>
      </w:tr>
    </w:tbl>
    <w:p w14:paraId="111DB9A1" w14:textId="62D5812F" w:rsidR="00062A75" w:rsidRPr="00C970AD" w:rsidRDefault="00407BC4" w:rsidP="007C4955">
      <w:pPr>
        <w:contextualSpacing/>
        <w:rPr>
          <w:rFonts w:cs="Arial"/>
          <w:i/>
          <w:sz w:val="20"/>
          <w:szCs w:val="20"/>
        </w:rPr>
      </w:pPr>
      <w:r w:rsidRPr="00C970AD">
        <w:rPr>
          <w:rFonts w:cs="Arial"/>
          <w:i/>
          <w:sz w:val="20"/>
          <w:szCs w:val="20"/>
        </w:rPr>
        <w:t>Pramen: ČHMÚ</w:t>
      </w:r>
    </w:p>
    <w:p w14:paraId="7595A0EC" w14:textId="04C94E5F" w:rsidR="00CA04C9" w:rsidRPr="00C970AD" w:rsidRDefault="00CA04C9" w:rsidP="007C4955">
      <w:pPr>
        <w:contextualSpacing/>
        <w:rPr>
          <w:rFonts w:cs="Arial"/>
          <w:i/>
          <w:sz w:val="20"/>
          <w:szCs w:val="20"/>
        </w:rPr>
      </w:pPr>
      <w:r w:rsidRPr="00C970AD">
        <w:rPr>
          <w:rFonts w:cs="Arial"/>
          <w:i/>
          <w:sz w:val="20"/>
          <w:szCs w:val="20"/>
        </w:rPr>
        <w:lastRenderedPageBreak/>
        <w:t>Pozn.</w:t>
      </w:r>
      <w:r w:rsidR="0017220C" w:rsidRPr="00C970AD">
        <w:rPr>
          <w:rFonts w:cs="Arial"/>
          <w:i/>
          <w:sz w:val="20"/>
          <w:szCs w:val="20"/>
        </w:rPr>
        <w:t>1):</w:t>
      </w:r>
      <w:r w:rsidRPr="00C970AD">
        <w:rPr>
          <w:rFonts w:cs="Arial"/>
          <w:i/>
          <w:sz w:val="20"/>
          <w:szCs w:val="20"/>
        </w:rPr>
        <w:t xml:space="preserve"> Červená barevná škála odpovídá zatřídění do kategorií mírně (75–85 %), silně (85–95 %) a</w:t>
      </w:r>
      <w:r w:rsidR="0017220C" w:rsidRPr="00C970AD">
        <w:rPr>
          <w:rFonts w:cs="Arial"/>
          <w:i/>
          <w:sz w:val="20"/>
          <w:szCs w:val="20"/>
        </w:rPr>
        <w:t> </w:t>
      </w:r>
      <w:r w:rsidRPr="00C970AD">
        <w:rPr>
          <w:rFonts w:cs="Arial"/>
          <w:i/>
          <w:sz w:val="20"/>
          <w:szCs w:val="20"/>
        </w:rPr>
        <w:t>mimořádně (95–100 %) podnormální vydatnost. Modře je vyznačena vydatnost mírně (15–25 %), silně (5–15 %) a mimořádně (0–5 %) nadnormální.</w:t>
      </w:r>
    </w:p>
    <w:p w14:paraId="76F6FE1D" w14:textId="77777777" w:rsidR="004F307F" w:rsidRPr="00104F7D" w:rsidRDefault="004F307F" w:rsidP="007C4955">
      <w:pPr>
        <w:contextualSpacing/>
        <w:rPr>
          <w:rFonts w:cs="Arial"/>
          <w:i/>
          <w:sz w:val="20"/>
          <w:szCs w:val="20"/>
          <w:highlight w:val="yellow"/>
        </w:rPr>
      </w:pPr>
    </w:p>
    <w:p w14:paraId="43B8ADED" w14:textId="77777777" w:rsidR="004F307F" w:rsidRPr="00AE53A9" w:rsidRDefault="004F307F" w:rsidP="004F307F">
      <w:pPr>
        <w:pStyle w:val="Bezmezer"/>
        <w:keepNext/>
        <w:rPr>
          <w:rFonts w:ascii="Arial" w:eastAsia="Calibri" w:hAnsi="Arial" w:cs="Arial"/>
          <w:b/>
          <w:bCs/>
          <w:i/>
          <w:color w:val="000000" w:themeColor="text1"/>
          <w:sz w:val="22"/>
          <w:szCs w:val="22"/>
          <w:lang w:eastAsia="en-US"/>
        </w:rPr>
      </w:pPr>
      <w:r w:rsidRPr="00AE53A9">
        <w:rPr>
          <w:rFonts w:ascii="Arial" w:eastAsia="Calibri" w:hAnsi="Arial" w:cs="Arial"/>
          <w:b/>
          <w:bCs/>
          <w:i/>
          <w:color w:val="000000" w:themeColor="text1"/>
          <w:sz w:val="22"/>
          <w:szCs w:val="22"/>
          <w:lang w:eastAsia="en-US"/>
        </w:rPr>
        <w:t xml:space="preserve">Obrázek 1.3.4 </w:t>
      </w:r>
    </w:p>
    <w:p w14:paraId="1EF53B0F" w14:textId="1749FCC2" w:rsidR="004F307F" w:rsidRPr="00AE53A9" w:rsidRDefault="004F307F" w:rsidP="004F307F">
      <w:pPr>
        <w:pStyle w:val="Bezmezer"/>
        <w:keepNext/>
        <w:rPr>
          <w:rFonts w:ascii="Arial" w:eastAsia="Calibri" w:hAnsi="Arial" w:cs="Arial"/>
          <w:b/>
          <w:bCs/>
          <w:i/>
          <w:color w:val="000000" w:themeColor="text1"/>
          <w:sz w:val="22"/>
          <w:szCs w:val="22"/>
          <w:lang w:eastAsia="en-US"/>
        </w:rPr>
      </w:pPr>
      <w:r w:rsidRPr="00AE53A9">
        <w:rPr>
          <w:rFonts w:ascii="Arial" w:eastAsia="Calibri" w:hAnsi="Arial" w:cs="Arial"/>
          <w:b/>
          <w:bCs/>
          <w:i/>
          <w:color w:val="000000" w:themeColor="text1"/>
          <w:sz w:val="22"/>
          <w:szCs w:val="22"/>
          <w:lang w:eastAsia="en-US"/>
        </w:rPr>
        <w:t>Stav hladiny podzemní vody v hlubokých vrtech během roku 202</w:t>
      </w:r>
      <w:r w:rsidR="00AE53A9">
        <w:rPr>
          <w:rFonts w:ascii="Arial" w:eastAsia="Calibri" w:hAnsi="Arial" w:cs="Arial"/>
          <w:b/>
          <w:bCs/>
          <w:i/>
          <w:color w:val="000000" w:themeColor="text1"/>
          <w:sz w:val="22"/>
          <w:szCs w:val="22"/>
          <w:lang w:eastAsia="en-US"/>
        </w:rPr>
        <w:t>5</w:t>
      </w:r>
    </w:p>
    <w:p w14:paraId="3712005F" w14:textId="180C9755" w:rsidR="001F2F6E" w:rsidRPr="00104F7D" w:rsidRDefault="00AE53A9" w:rsidP="004F307F">
      <w:pPr>
        <w:pStyle w:val="Bezmezer"/>
        <w:keepNext/>
        <w:rPr>
          <w:rFonts w:ascii="Arial" w:eastAsia="Calibri" w:hAnsi="Arial" w:cs="Arial"/>
          <w:b/>
          <w:bCs/>
          <w:i/>
          <w:color w:val="000000" w:themeColor="text1"/>
          <w:sz w:val="22"/>
          <w:szCs w:val="22"/>
          <w:highlight w:val="yellow"/>
          <w:lang w:eastAsia="en-US"/>
        </w:rPr>
      </w:pPr>
      <w:r>
        <w:rPr>
          <w:noProof/>
        </w:rPr>
        <w:drawing>
          <wp:inline distT="0" distB="0" distL="0" distR="0" wp14:anchorId="3616643B" wp14:editId="141008CC">
            <wp:extent cx="5743575" cy="4724400"/>
            <wp:effectExtent l="0" t="0" r="9525" b="0"/>
            <wp:docPr id="905113078"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43575" cy="4724400"/>
                    </a:xfrm>
                    <a:prstGeom prst="rect">
                      <a:avLst/>
                    </a:prstGeom>
                    <a:noFill/>
                    <a:ln>
                      <a:noFill/>
                    </a:ln>
                  </pic:spPr>
                </pic:pic>
              </a:graphicData>
            </a:graphic>
          </wp:inline>
        </w:drawing>
      </w:r>
    </w:p>
    <w:p w14:paraId="40E77FBF" w14:textId="523E4E85" w:rsidR="004F307F" w:rsidRPr="00104F7D" w:rsidRDefault="004F307F" w:rsidP="004F307F">
      <w:pPr>
        <w:pStyle w:val="Bezmezer"/>
        <w:rPr>
          <w:sz w:val="26"/>
          <w:szCs w:val="26"/>
          <w:highlight w:val="yellow"/>
        </w:rPr>
      </w:pPr>
    </w:p>
    <w:p w14:paraId="35463759" w14:textId="77777777" w:rsidR="004F307F" w:rsidRPr="00104F7D" w:rsidRDefault="004F307F" w:rsidP="004F307F">
      <w:pPr>
        <w:pStyle w:val="Bezmezer"/>
        <w:rPr>
          <w:sz w:val="26"/>
          <w:szCs w:val="26"/>
          <w:highlight w:val="yellow"/>
        </w:rPr>
      </w:pPr>
    </w:p>
    <w:p w14:paraId="0C1C9F4D" w14:textId="23C43B43" w:rsidR="004F307F" w:rsidRPr="00656E84" w:rsidRDefault="004F307F" w:rsidP="004F307F">
      <w:pPr>
        <w:contextualSpacing/>
        <w:rPr>
          <w:rFonts w:cs="Arial"/>
          <w:i/>
          <w:sz w:val="20"/>
          <w:szCs w:val="20"/>
        </w:rPr>
      </w:pPr>
      <w:r w:rsidRPr="00656E84">
        <w:rPr>
          <w:rFonts w:cs="Arial"/>
          <w:i/>
          <w:sz w:val="20"/>
          <w:szCs w:val="20"/>
        </w:rPr>
        <w:t>Pramen: ČHMÚ</w:t>
      </w:r>
    </w:p>
    <w:p w14:paraId="41180971" w14:textId="77777777" w:rsidR="004F307F" w:rsidRPr="00656E84" w:rsidRDefault="004F307F" w:rsidP="004F307F">
      <w:pPr>
        <w:pStyle w:val="Titulek"/>
        <w:spacing w:after="0"/>
        <w:rPr>
          <w:rFonts w:cs="Arial"/>
          <w:i/>
          <w:iCs/>
          <w:color w:val="auto"/>
          <w:sz w:val="16"/>
          <w:szCs w:val="16"/>
        </w:rPr>
      </w:pPr>
      <w:r w:rsidRPr="00656E84">
        <w:rPr>
          <w:rFonts w:cs="Arial"/>
          <w:b w:val="0"/>
          <w:bCs w:val="0"/>
          <w:i/>
          <w:color w:val="auto"/>
          <w:sz w:val="20"/>
          <w:szCs w:val="20"/>
        </w:rPr>
        <w:t>Pozn.: Při interpretaci výsledků je třeba brát v úvahu, že hodnocení hlubokých zvodní je prováděno na menším počtu objektů a často na kratších pozorovaných řadách, než vyhodnocování mělkých vrtů a pramenů. Většina hlubokých vrtů má sice pozorování od roku 1991, část z nich však jen od roku 2008.</w:t>
      </w:r>
    </w:p>
    <w:p w14:paraId="7685D34B" w14:textId="77777777" w:rsidR="004F307F" w:rsidRPr="00104F7D" w:rsidRDefault="004F307F" w:rsidP="007C4955">
      <w:pPr>
        <w:contextualSpacing/>
        <w:rPr>
          <w:rFonts w:cs="Arial"/>
          <w:i/>
          <w:sz w:val="20"/>
          <w:szCs w:val="20"/>
          <w:highlight w:val="yellow"/>
        </w:rPr>
      </w:pPr>
    </w:p>
    <w:p w14:paraId="3C67158D" w14:textId="77777777" w:rsidR="00DB248A" w:rsidRPr="00EE390B" w:rsidRDefault="00357588">
      <w:pPr>
        <w:pStyle w:val="Nadpis1"/>
        <w:numPr>
          <w:ilvl w:val="0"/>
          <w:numId w:val="13"/>
        </w:numPr>
        <w:spacing w:before="0"/>
        <w:contextualSpacing/>
        <w:rPr>
          <w:color w:val="FF0000"/>
        </w:rPr>
      </w:pPr>
      <w:r w:rsidRPr="00104F7D">
        <w:rPr>
          <w:color w:val="FF0000"/>
          <w:highlight w:val="yellow"/>
        </w:rPr>
        <w:br w:type="page"/>
      </w:r>
      <w:bookmarkStart w:id="9" w:name="_Toc10183401"/>
      <w:bookmarkStart w:id="10" w:name="_Toc236991606"/>
      <w:r w:rsidR="00DB248A" w:rsidRPr="00EE390B">
        <w:lastRenderedPageBreak/>
        <w:t>HYDROLOGICKÉ EXTRÉMY</w:t>
      </w:r>
      <w:bookmarkEnd w:id="9"/>
      <w:bookmarkEnd w:id="10"/>
    </w:p>
    <w:p w14:paraId="59B2A7AD" w14:textId="77777777" w:rsidR="009B1091" w:rsidRPr="00EE390B" w:rsidRDefault="009B1091" w:rsidP="009B1091">
      <w:pPr>
        <w:ind w:left="720"/>
        <w:rPr>
          <w:color w:val="FF0000"/>
        </w:rPr>
      </w:pPr>
    </w:p>
    <w:p w14:paraId="35D76F71" w14:textId="77777777" w:rsidR="009B1091" w:rsidRPr="00EE390B" w:rsidRDefault="00DB248A">
      <w:pPr>
        <w:pStyle w:val="Nadpis2"/>
        <w:numPr>
          <w:ilvl w:val="1"/>
          <w:numId w:val="13"/>
        </w:numPr>
        <w:spacing w:before="0"/>
        <w:contextualSpacing/>
      </w:pPr>
      <w:bookmarkStart w:id="11" w:name="_Toc10183402"/>
      <w:bookmarkStart w:id="12" w:name="_Toc236991607"/>
      <w:r w:rsidRPr="00EE390B">
        <w:t>Průběh povodní</w:t>
      </w:r>
      <w:bookmarkEnd w:id="11"/>
      <w:bookmarkEnd w:id="12"/>
    </w:p>
    <w:p w14:paraId="131AD7C8" w14:textId="07D4CD5B" w:rsidR="003D55B5" w:rsidRPr="00104F7D" w:rsidRDefault="003D55B5" w:rsidP="007C4955">
      <w:pPr>
        <w:pStyle w:val="TZKika"/>
        <w:spacing w:before="0" w:after="0" w:line="240" w:lineRule="auto"/>
        <w:contextualSpacing/>
        <w:rPr>
          <w:rFonts w:ascii="Arial" w:hAnsi="Arial" w:cs="Arial"/>
          <w:b/>
          <w:color w:val="FF0000"/>
          <w:sz w:val="22"/>
          <w:szCs w:val="22"/>
          <w:highlight w:val="yellow"/>
        </w:rPr>
      </w:pPr>
    </w:p>
    <w:p w14:paraId="71BE9D9B" w14:textId="77777777" w:rsidR="00EE390B" w:rsidRDefault="00EE390B" w:rsidP="00EE390B">
      <w:pPr>
        <w:rPr>
          <w:b/>
          <w:bCs/>
        </w:rPr>
      </w:pPr>
      <w:bookmarkStart w:id="13" w:name="_Toc10183403"/>
      <w:r w:rsidRPr="00635FFC">
        <w:rPr>
          <w:b/>
          <w:bCs/>
        </w:rPr>
        <w:t xml:space="preserve">Rok 2025 byl ve srovnání s předchozím rokem z hydrologického hlediska výrazně klidnější. V zimním období se překročení stupňů povodňové aktivity (SPA) vyskytovalo jen výjimečně. Během letních měsíců byl 3. SPA zaznamenán ve dvou případech, v červenci na Černém potoce ve Velké Kraši a v říjnu na Labi ve </w:t>
      </w:r>
      <w:proofErr w:type="spellStart"/>
      <w:r w:rsidRPr="00635FFC">
        <w:rPr>
          <w:b/>
          <w:bCs/>
        </w:rPr>
        <w:t>Vestřevi</w:t>
      </w:r>
      <w:proofErr w:type="spellEnd"/>
      <w:r w:rsidRPr="00635FFC">
        <w:rPr>
          <w:b/>
          <w:bCs/>
        </w:rPr>
        <w:t>. Nejvyšší počet překročení SPA připadl na červenec, kdy byly současně dosaženy i nejvyšší vodnosti odpovídající hodnotě Q</w:t>
      </w:r>
      <w:r w:rsidRPr="00635FFC">
        <w:rPr>
          <w:b/>
          <w:bCs/>
          <w:vertAlign w:val="subscript"/>
        </w:rPr>
        <w:t>5</w:t>
      </w:r>
      <w:r w:rsidRPr="00635FFC">
        <w:rPr>
          <w:b/>
          <w:bCs/>
        </w:rPr>
        <w:t>. K opakovanému překročení SPA došlo také na Pitkovickém potoce v Kuří, kde však byly zaznamenané průtoky ovlivněny stavební činností, a proto plně neodrážely skutečný hydrologický stav toku.</w:t>
      </w:r>
    </w:p>
    <w:p w14:paraId="2E8FDB4A" w14:textId="77777777" w:rsidR="0076796A" w:rsidRPr="00104F7D" w:rsidRDefault="0076796A" w:rsidP="00057B17">
      <w:pPr>
        <w:rPr>
          <w:b/>
          <w:bCs/>
          <w:highlight w:val="yellow"/>
        </w:rPr>
      </w:pPr>
    </w:p>
    <w:p w14:paraId="1DDA6376" w14:textId="77777777" w:rsidR="00EC30D6" w:rsidRDefault="00EC30D6" w:rsidP="00EC30D6">
      <w:pPr>
        <w:rPr>
          <w:b/>
          <w:bCs/>
        </w:rPr>
      </w:pPr>
      <w:r w:rsidRPr="00635FFC">
        <w:rPr>
          <w:b/>
          <w:bCs/>
        </w:rPr>
        <w:t>Zimní období</w:t>
      </w:r>
    </w:p>
    <w:p w14:paraId="583C2FF1" w14:textId="77777777" w:rsidR="00EC30D6" w:rsidRPr="00635FFC" w:rsidRDefault="00EC30D6" w:rsidP="00EC30D6">
      <w:pPr>
        <w:rPr>
          <w:b/>
          <w:bCs/>
        </w:rPr>
      </w:pPr>
    </w:p>
    <w:p w14:paraId="5E265F09" w14:textId="77777777" w:rsidR="00EC30D6" w:rsidRPr="00635FFC" w:rsidRDefault="00EC30D6" w:rsidP="00EC30D6">
      <w:r w:rsidRPr="00635FFC">
        <w:t>V zimním období (leden–duben a listopad–prosinec) roku 2025 docházelo k překročení SPA pouze na menších tocích, vesměs se jednalo o ovlivnění ledovými jevy a v případě Pitkovického potoka v Kuří o ovlivnění stavebními pracemi. Z hlediska povodní byl zajímavější pouze duben, kdy byl překročen 1. SPA na několika menších tocích, Obr. 2.1.1. </w:t>
      </w:r>
    </w:p>
    <w:p w14:paraId="49A3E9B7" w14:textId="77777777" w:rsidR="00352535" w:rsidRPr="00104F7D" w:rsidRDefault="00352535" w:rsidP="00FF1A5D">
      <w:pPr>
        <w:pStyle w:val="NORMLN1"/>
        <w:spacing w:before="0" w:after="0"/>
        <w:ind w:firstLine="0"/>
        <w:contextualSpacing/>
        <w:rPr>
          <w:rFonts w:ascii="Arial" w:hAnsi="Arial" w:cs="Arial"/>
          <w:b/>
          <w:i/>
          <w:sz w:val="22"/>
          <w:szCs w:val="22"/>
          <w:highlight w:val="yellow"/>
        </w:rPr>
      </w:pPr>
    </w:p>
    <w:p w14:paraId="6D3C8CCD" w14:textId="3A32CB09" w:rsidR="00FF1A5D" w:rsidRPr="00F46482" w:rsidRDefault="009431B1" w:rsidP="00FF1A5D">
      <w:pPr>
        <w:pStyle w:val="NORMLN1"/>
        <w:spacing w:before="0" w:after="0"/>
        <w:ind w:firstLine="0"/>
        <w:contextualSpacing/>
        <w:rPr>
          <w:rFonts w:ascii="Arial" w:hAnsi="Arial" w:cs="Arial"/>
          <w:b/>
          <w:i/>
          <w:sz w:val="22"/>
          <w:szCs w:val="22"/>
        </w:rPr>
      </w:pPr>
      <w:r w:rsidRPr="00F46482">
        <w:rPr>
          <w:rFonts w:ascii="Arial" w:hAnsi="Arial" w:cs="Arial"/>
          <w:b/>
          <w:i/>
          <w:sz w:val="22"/>
          <w:szCs w:val="22"/>
        </w:rPr>
        <w:t xml:space="preserve">Obrázek </w:t>
      </w:r>
      <w:r w:rsidR="00FF1A5D" w:rsidRPr="00F46482">
        <w:rPr>
          <w:rFonts w:ascii="Arial" w:hAnsi="Arial" w:cs="Arial"/>
          <w:b/>
          <w:i/>
          <w:sz w:val="22"/>
          <w:szCs w:val="22"/>
        </w:rPr>
        <w:t>2.1.</w:t>
      </w:r>
      <w:r w:rsidRPr="00F46482">
        <w:rPr>
          <w:rFonts w:ascii="Arial" w:hAnsi="Arial" w:cs="Arial"/>
          <w:b/>
          <w:i/>
          <w:sz w:val="22"/>
          <w:szCs w:val="22"/>
        </w:rPr>
        <w:t xml:space="preserve">1 </w:t>
      </w:r>
    </w:p>
    <w:p w14:paraId="46F28F21" w14:textId="1ABAC1C3" w:rsidR="009431B1" w:rsidRDefault="009431B1" w:rsidP="00FF1A5D">
      <w:pPr>
        <w:pStyle w:val="NORMLN1"/>
        <w:spacing w:before="0" w:after="0"/>
        <w:ind w:firstLine="0"/>
        <w:contextualSpacing/>
        <w:rPr>
          <w:rFonts w:ascii="Arial" w:hAnsi="Arial" w:cs="Arial"/>
          <w:b/>
          <w:i/>
          <w:sz w:val="22"/>
          <w:szCs w:val="22"/>
        </w:rPr>
      </w:pPr>
      <w:r w:rsidRPr="00F46482">
        <w:rPr>
          <w:rFonts w:ascii="Arial" w:hAnsi="Arial" w:cs="Arial"/>
          <w:b/>
          <w:i/>
          <w:sz w:val="22"/>
          <w:szCs w:val="22"/>
        </w:rPr>
        <w:t>Nejvyšší dosažené stupně povodňové aktivity v zimním období v roce 202</w:t>
      </w:r>
      <w:r w:rsidR="0083769E">
        <w:rPr>
          <w:rFonts w:ascii="Arial" w:hAnsi="Arial" w:cs="Arial"/>
          <w:b/>
          <w:i/>
          <w:sz w:val="22"/>
          <w:szCs w:val="22"/>
        </w:rPr>
        <w:t>5</w:t>
      </w:r>
    </w:p>
    <w:p w14:paraId="5AEE68B8" w14:textId="77777777" w:rsidR="0083769E" w:rsidRPr="00F46482" w:rsidRDefault="0083769E" w:rsidP="00FF1A5D">
      <w:pPr>
        <w:pStyle w:val="NORMLN1"/>
        <w:spacing w:before="0" w:after="0"/>
        <w:ind w:firstLine="0"/>
        <w:contextualSpacing/>
        <w:rPr>
          <w:rFonts w:ascii="Arial" w:hAnsi="Arial" w:cs="Arial"/>
          <w:b/>
          <w:i/>
          <w:sz w:val="22"/>
          <w:szCs w:val="22"/>
        </w:rPr>
      </w:pPr>
    </w:p>
    <w:p w14:paraId="367444C6" w14:textId="3DCF03BD" w:rsidR="000A6F66" w:rsidRPr="00104F7D" w:rsidRDefault="00F46482" w:rsidP="00FF1A5D">
      <w:pPr>
        <w:pStyle w:val="NORMLN1"/>
        <w:spacing w:before="0" w:after="0"/>
        <w:ind w:firstLine="0"/>
        <w:contextualSpacing/>
        <w:rPr>
          <w:rFonts w:ascii="Arial" w:hAnsi="Arial" w:cs="Arial"/>
          <w:b/>
          <w:i/>
          <w:sz w:val="22"/>
          <w:szCs w:val="22"/>
          <w:highlight w:val="yellow"/>
        </w:rPr>
      </w:pPr>
      <w:r>
        <w:rPr>
          <w:rStyle w:val="docdata"/>
          <w:rFonts w:ascii="Arial" w:hAnsi="Arial" w:cs="Arial"/>
          <w:noProof/>
          <w:color w:val="000000"/>
        </w:rPr>
        <w:drawing>
          <wp:inline distT="0" distB="0" distL="0" distR="0" wp14:anchorId="49CF4CB7" wp14:editId="58A06BA3">
            <wp:extent cx="4800600" cy="2976033"/>
            <wp:effectExtent l="0" t="0" r="0" b="0"/>
            <wp:docPr id="199380968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2725"/>
                    <a:stretch>
                      <a:fillRect/>
                    </a:stretch>
                  </pic:blipFill>
                  <pic:spPr bwMode="auto">
                    <a:xfrm>
                      <a:off x="0" y="0"/>
                      <a:ext cx="4805930" cy="2979337"/>
                    </a:xfrm>
                    <a:prstGeom prst="rect">
                      <a:avLst/>
                    </a:prstGeom>
                    <a:noFill/>
                    <a:ln>
                      <a:noFill/>
                    </a:ln>
                    <a:extLst>
                      <a:ext uri="{53640926-AAD7-44D8-BBD7-CCE9431645EC}">
                        <a14:shadowObscured xmlns:a14="http://schemas.microsoft.com/office/drawing/2010/main"/>
                      </a:ext>
                    </a:extLst>
                  </pic:spPr>
                </pic:pic>
              </a:graphicData>
            </a:graphic>
          </wp:inline>
        </w:drawing>
      </w:r>
    </w:p>
    <w:p w14:paraId="0FCA45AC" w14:textId="75AD1C34" w:rsidR="009431B1" w:rsidRPr="0083769E" w:rsidRDefault="00FF1A5D" w:rsidP="00FF1A5D">
      <w:pPr>
        <w:pStyle w:val="NORMLN1"/>
        <w:spacing w:before="0" w:after="0"/>
        <w:ind w:firstLine="0"/>
        <w:contextualSpacing/>
        <w:rPr>
          <w:rFonts w:ascii="Arial" w:hAnsi="Arial" w:cs="Arial"/>
          <w:i/>
          <w:color w:val="000000" w:themeColor="text1"/>
          <w:sz w:val="20"/>
        </w:rPr>
      </w:pPr>
      <w:r w:rsidRPr="0083769E">
        <w:rPr>
          <w:rFonts w:ascii="Arial" w:hAnsi="Arial" w:cs="Arial"/>
          <w:i/>
          <w:color w:val="000000" w:themeColor="text1"/>
          <w:sz w:val="20"/>
        </w:rPr>
        <w:t>Pramen: ČHMÚ</w:t>
      </w:r>
    </w:p>
    <w:p w14:paraId="6E749490" w14:textId="77777777" w:rsidR="000A6F66" w:rsidRPr="00104F7D" w:rsidRDefault="000A6F66" w:rsidP="000A6F66">
      <w:pPr>
        <w:pStyle w:val="NORMLN1"/>
        <w:ind w:firstLine="0"/>
        <w:contextualSpacing/>
        <w:rPr>
          <w:rFonts w:ascii="Arial" w:hAnsi="Arial" w:cs="Arial"/>
          <w:sz w:val="22"/>
          <w:szCs w:val="22"/>
          <w:highlight w:val="yellow"/>
        </w:rPr>
      </w:pPr>
    </w:p>
    <w:p w14:paraId="72300199" w14:textId="1FCCC7E7" w:rsidR="00057B17" w:rsidRPr="006D5F1B" w:rsidRDefault="00057B17" w:rsidP="000A6F66">
      <w:pPr>
        <w:pStyle w:val="NORMLN1"/>
        <w:ind w:firstLine="0"/>
        <w:contextualSpacing/>
        <w:rPr>
          <w:rFonts w:ascii="Arial" w:hAnsi="Arial" w:cs="Arial"/>
          <w:b/>
          <w:bCs/>
          <w:sz w:val="22"/>
          <w:szCs w:val="22"/>
        </w:rPr>
      </w:pPr>
      <w:r w:rsidRPr="006D5F1B">
        <w:rPr>
          <w:rFonts w:ascii="Arial" w:hAnsi="Arial" w:cs="Arial"/>
          <w:b/>
          <w:bCs/>
          <w:sz w:val="22"/>
          <w:szCs w:val="22"/>
        </w:rPr>
        <w:t>Letní období</w:t>
      </w:r>
    </w:p>
    <w:p w14:paraId="3250D94D" w14:textId="77777777" w:rsidR="006D5F1B" w:rsidRPr="00635FFC" w:rsidRDefault="006D5F1B" w:rsidP="006D5F1B">
      <w:r w:rsidRPr="00635FFC">
        <w:t>Také letní období (květen až říjen) roku 2025 bylo z hydrologického hlediska převážně klidné. Povodňové situace se objevovaly jen výjimečně, výraznější epizoda nastala pouze ve druhé polovině července, Obr. 2.1.2.</w:t>
      </w:r>
    </w:p>
    <w:p w14:paraId="72F17AF1" w14:textId="77777777" w:rsidR="002074D8" w:rsidRPr="00104F7D" w:rsidRDefault="002074D8" w:rsidP="007C4955">
      <w:pPr>
        <w:pStyle w:val="NORMLN1"/>
        <w:spacing w:before="0" w:after="0"/>
        <w:ind w:firstLine="0"/>
        <w:contextualSpacing/>
        <w:rPr>
          <w:rFonts w:ascii="Arial" w:hAnsi="Arial" w:cs="Arial"/>
          <w:b/>
          <w:i/>
          <w:sz w:val="22"/>
          <w:szCs w:val="22"/>
          <w:highlight w:val="yellow"/>
        </w:rPr>
      </w:pPr>
    </w:p>
    <w:p w14:paraId="69C2C774" w14:textId="77777777" w:rsidR="006D5F1B" w:rsidRDefault="006D5F1B" w:rsidP="007C4955">
      <w:pPr>
        <w:pStyle w:val="NORMLN1"/>
        <w:spacing w:before="0" w:after="0"/>
        <w:ind w:firstLine="0"/>
        <w:contextualSpacing/>
        <w:rPr>
          <w:rFonts w:ascii="Arial" w:hAnsi="Arial" w:cs="Arial"/>
          <w:b/>
          <w:i/>
          <w:sz w:val="22"/>
          <w:szCs w:val="22"/>
          <w:highlight w:val="yellow"/>
        </w:rPr>
      </w:pPr>
    </w:p>
    <w:p w14:paraId="44B47B3B" w14:textId="77777777" w:rsidR="006D5F1B" w:rsidRDefault="006D5F1B" w:rsidP="007C4955">
      <w:pPr>
        <w:pStyle w:val="NORMLN1"/>
        <w:spacing w:before="0" w:after="0"/>
        <w:ind w:firstLine="0"/>
        <w:contextualSpacing/>
        <w:rPr>
          <w:rFonts w:ascii="Arial" w:hAnsi="Arial" w:cs="Arial"/>
          <w:b/>
          <w:i/>
          <w:sz w:val="22"/>
          <w:szCs w:val="22"/>
          <w:highlight w:val="yellow"/>
        </w:rPr>
      </w:pPr>
    </w:p>
    <w:p w14:paraId="201E2AF7" w14:textId="77777777" w:rsidR="006D5F1B" w:rsidRDefault="006D5F1B" w:rsidP="007C4955">
      <w:pPr>
        <w:pStyle w:val="NORMLN1"/>
        <w:spacing w:before="0" w:after="0"/>
        <w:ind w:firstLine="0"/>
        <w:contextualSpacing/>
        <w:rPr>
          <w:rFonts w:ascii="Arial" w:hAnsi="Arial" w:cs="Arial"/>
          <w:b/>
          <w:i/>
          <w:sz w:val="22"/>
          <w:szCs w:val="22"/>
          <w:highlight w:val="yellow"/>
        </w:rPr>
      </w:pPr>
    </w:p>
    <w:p w14:paraId="3329D375" w14:textId="77777777" w:rsidR="006D5F1B" w:rsidRDefault="006D5F1B" w:rsidP="007C4955">
      <w:pPr>
        <w:pStyle w:val="NORMLN1"/>
        <w:spacing w:before="0" w:after="0"/>
        <w:ind w:firstLine="0"/>
        <w:contextualSpacing/>
        <w:rPr>
          <w:rFonts w:ascii="Arial" w:hAnsi="Arial" w:cs="Arial"/>
          <w:b/>
          <w:i/>
          <w:sz w:val="22"/>
          <w:szCs w:val="22"/>
          <w:highlight w:val="yellow"/>
        </w:rPr>
      </w:pPr>
    </w:p>
    <w:p w14:paraId="36EEA8C5" w14:textId="77777777" w:rsidR="006A4091" w:rsidRDefault="006A4091" w:rsidP="007C4955">
      <w:pPr>
        <w:pStyle w:val="NORMLN1"/>
        <w:spacing w:before="0" w:after="0"/>
        <w:ind w:firstLine="0"/>
        <w:contextualSpacing/>
        <w:rPr>
          <w:rFonts w:ascii="Arial" w:hAnsi="Arial" w:cs="Arial"/>
          <w:b/>
          <w:i/>
          <w:sz w:val="22"/>
          <w:szCs w:val="22"/>
        </w:rPr>
      </w:pPr>
    </w:p>
    <w:p w14:paraId="6E35DBC3" w14:textId="77777777" w:rsidR="006A4091" w:rsidRDefault="006A4091" w:rsidP="007C4955">
      <w:pPr>
        <w:pStyle w:val="NORMLN1"/>
        <w:spacing w:before="0" w:after="0"/>
        <w:ind w:firstLine="0"/>
        <w:contextualSpacing/>
        <w:rPr>
          <w:rFonts w:ascii="Arial" w:hAnsi="Arial" w:cs="Arial"/>
          <w:b/>
          <w:i/>
          <w:sz w:val="22"/>
          <w:szCs w:val="22"/>
        </w:rPr>
      </w:pPr>
    </w:p>
    <w:p w14:paraId="6C40B1D9" w14:textId="77777777" w:rsidR="006A4091" w:rsidRDefault="006A4091" w:rsidP="007C4955">
      <w:pPr>
        <w:pStyle w:val="NORMLN1"/>
        <w:spacing w:before="0" w:after="0"/>
        <w:ind w:firstLine="0"/>
        <w:contextualSpacing/>
        <w:rPr>
          <w:rFonts w:ascii="Arial" w:hAnsi="Arial" w:cs="Arial"/>
          <w:b/>
          <w:i/>
          <w:sz w:val="22"/>
          <w:szCs w:val="22"/>
        </w:rPr>
      </w:pPr>
    </w:p>
    <w:p w14:paraId="148F32C9" w14:textId="233CBD8E" w:rsidR="007C4955" w:rsidRPr="006D5F1B" w:rsidRDefault="007C4955" w:rsidP="007C4955">
      <w:pPr>
        <w:pStyle w:val="NORMLN1"/>
        <w:spacing w:before="0" w:after="0"/>
        <w:ind w:firstLine="0"/>
        <w:contextualSpacing/>
        <w:rPr>
          <w:rFonts w:ascii="Arial" w:hAnsi="Arial" w:cs="Arial"/>
          <w:b/>
          <w:i/>
          <w:sz w:val="22"/>
          <w:szCs w:val="22"/>
        </w:rPr>
      </w:pPr>
      <w:r w:rsidRPr="006D5F1B">
        <w:rPr>
          <w:rFonts w:ascii="Arial" w:hAnsi="Arial" w:cs="Arial"/>
          <w:b/>
          <w:i/>
          <w:sz w:val="22"/>
          <w:szCs w:val="22"/>
        </w:rPr>
        <w:lastRenderedPageBreak/>
        <w:t>O</w:t>
      </w:r>
      <w:r w:rsidR="009431B1" w:rsidRPr="006D5F1B">
        <w:rPr>
          <w:rFonts w:ascii="Arial" w:hAnsi="Arial" w:cs="Arial"/>
          <w:b/>
          <w:i/>
          <w:sz w:val="22"/>
          <w:szCs w:val="22"/>
        </w:rPr>
        <w:t>brázek 2</w:t>
      </w:r>
      <w:r w:rsidRPr="006D5F1B">
        <w:rPr>
          <w:rFonts w:ascii="Arial" w:hAnsi="Arial" w:cs="Arial"/>
          <w:b/>
          <w:i/>
          <w:sz w:val="22"/>
          <w:szCs w:val="22"/>
        </w:rPr>
        <w:t>.1.2</w:t>
      </w:r>
    </w:p>
    <w:p w14:paraId="549C14EC" w14:textId="6F8CDAD0" w:rsidR="009431B1" w:rsidRPr="006D5F1B" w:rsidRDefault="009431B1" w:rsidP="007C4955">
      <w:pPr>
        <w:pStyle w:val="NORMLN1"/>
        <w:spacing w:before="0" w:after="0"/>
        <w:ind w:firstLine="0"/>
        <w:contextualSpacing/>
        <w:rPr>
          <w:rFonts w:ascii="Arial" w:hAnsi="Arial" w:cs="Arial"/>
          <w:b/>
          <w:bCs/>
          <w:sz w:val="22"/>
          <w:szCs w:val="22"/>
        </w:rPr>
      </w:pPr>
      <w:r w:rsidRPr="006D5F1B">
        <w:rPr>
          <w:rFonts w:ascii="Arial" w:hAnsi="Arial" w:cs="Arial"/>
          <w:b/>
          <w:i/>
          <w:sz w:val="22"/>
          <w:szCs w:val="22"/>
        </w:rPr>
        <w:t>Nejvyšší dosažené stupně povodňové aktivity v letním období v roce 202</w:t>
      </w:r>
      <w:r w:rsidR="006D5F1B">
        <w:rPr>
          <w:rFonts w:ascii="Arial" w:hAnsi="Arial" w:cs="Arial"/>
          <w:b/>
          <w:i/>
          <w:sz w:val="22"/>
          <w:szCs w:val="22"/>
        </w:rPr>
        <w:t>5</w:t>
      </w:r>
    </w:p>
    <w:p w14:paraId="1BA1F9D0" w14:textId="26E138A0" w:rsidR="007D6573" w:rsidRPr="00104F7D" w:rsidRDefault="001951E9" w:rsidP="00FF1A5D">
      <w:pPr>
        <w:pStyle w:val="NORMLN1"/>
        <w:spacing w:before="0" w:after="0"/>
        <w:ind w:firstLine="0"/>
        <w:contextualSpacing/>
        <w:rPr>
          <w:rFonts w:ascii="Arial" w:hAnsi="Arial" w:cs="Arial"/>
          <w:i/>
          <w:color w:val="FF0000"/>
          <w:sz w:val="22"/>
          <w:szCs w:val="22"/>
          <w:highlight w:val="yellow"/>
        </w:rPr>
      </w:pPr>
      <w:r>
        <w:rPr>
          <w:rStyle w:val="docdata"/>
          <w:rFonts w:ascii="Arial" w:hAnsi="Arial" w:cs="Arial"/>
          <w:noProof/>
          <w:color w:val="000000"/>
        </w:rPr>
        <w:drawing>
          <wp:inline distT="0" distB="0" distL="0" distR="0" wp14:anchorId="294608E6" wp14:editId="0A4D7579">
            <wp:extent cx="4997450" cy="3109635"/>
            <wp:effectExtent l="0" t="0" r="0" b="0"/>
            <wp:docPr id="123185146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12003"/>
                    <a:stretch>
                      <a:fillRect/>
                    </a:stretch>
                  </pic:blipFill>
                  <pic:spPr bwMode="auto">
                    <a:xfrm>
                      <a:off x="0" y="0"/>
                      <a:ext cx="5002475" cy="3112762"/>
                    </a:xfrm>
                    <a:prstGeom prst="rect">
                      <a:avLst/>
                    </a:prstGeom>
                    <a:noFill/>
                    <a:ln>
                      <a:noFill/>
                    </a:ln>
                    <a:extLst>
                      <a:ext uri="{53640926-AAD7-44D8-BBD7-CCE9431645EC}">
                        <a14:shadowObscured xmlns:a14="http://schemas.microsoft.com/office/drawing/2010/main"/>
                      </a:ext>
                    </a:extLst>
                  </pic:spPr>
                </pic:pic>
              </a:graphicData>
            </a:graphic>
          </wp:inline>
        </w:drawing>
      </w:r>
    </w:p>
    <w:p w14:paraId="392367F2" w14:textId="191B28B9" w:rsidR="00FF1A5D" w:rsidRPr="001951E9" w:rsidRDefault="00FF1A5D" w:rsidP="00FF1A5D">
      <w:pPr>
        <w:pStyle w:val="NORMLN1"/>
        <w:spacing w:before="0" w:after="0"/>
        <w:ind w:firstLine="0"/>
        <w:contextualSpacing/>
        <w:rPr>
          <w:rFonts w:ascii="Arial" w:hAnsi="Arial" w:cs="Arial"/>
          <w:i/>
          <w:color w:val="000000" w:themeColor="text1"/>
          <w:sz w:val="20"/>
        </w:rPr>
      </w:pPr>
      <w:r w:rsidRPr="001951E9">
        <w:rPr>
          <w:rFonts w:ascii="Arial" w:hAnsi="Arial" w:cs="Arial"/>
          <w:i/>
          <w:color w:val="000000" w:themeColor="text1"/>
          <w:sz w:val="20"/>
        </w:rPr>
        <w:t>Pramen: ČHMÚ</w:t>
      </w:r>
    </w:p>
    <w:p w14:paraId="2472423D" w14:textId="77777777" w:rsidR="00033B97" w:rsidRPr="00104F7D" w:rsidRDefault="00033B97" w:rsidP="00FF1A5D">
      <w:pPr>
        <w:pStyle w:val="NORMLN1"/>
        <w:spacing w:before="0" w:after="0"/>
        <w:ind w:firstLine="0"/>
        <w:contextualSpacing/>
        <w:rPr>
          <w:rFonts w:ascii="Arial" w:hAnsi="Arial" w:cs="Arial"/>
          <w:i/>
          <w:color w:val="FF0000"/>
          <w:sz w:val="22"/>
          <w:szCs w:val="22"/>
          <w:highlight w:val="yellow"/>
        </w:rPr>
      </w:pPr>
    </w:p>
    <w:p w14:paraId="7B14E99C" w14:textId="73EF106A" w:rsidR="00905FE7" w:rsidRPr="00635FFC" w:rsidRDefault="00905FE7" w:rsidP="00905FE7">
      <w:r w:rsidRPr="00635FFC">
        <w:t xml:space="preserve">Hodnocení povodní v roce 2025 je podrobněji popsáno v </w:t>
      </w:r>
      <w:bookmarkStart w:id="14" w:name="_Hlk198733606"/>
      <w:r w:rsidRPr="00635FFC">
        <w:rPr>
          <w:i/>
          <w:iCs/>
        </w:rPr>
        <w:t>Roční zprávě o hydrometeorologické situaci v ČR</w:t>
      </w:r>
      <w:r w:rsidRPr="00635FFC">
        <w:t xml:space="preserve">, </w:t>
      </w:r>
      <w:bookmarkEnd w:id="14"/>
      <w:r w:rsidRPr="00635FFC">
        <w:t>kterou každoročně zpracovává Český hydrometeorologický ústav (</w:t>
      </w:r>
      <w:hyperlink r:id="rId32" w:history="1">
        <w:r w:rsidRPr="005909B5">
          <w:rPr>
            <w:rStyle w:val="Hypertextovodkaz"/>
          </w:rPr>
          <w:t>https://www.chmi.cz/documents/d/chmi.cz/rz_2025</w:t>
        </w:r>
      </w:hyperlink>
      <w:r w:rsidRPr="00635FFC">
        <w:t xml:space="preserve">). </w:t>
      </w:r>
    </w:p>
    <w:p w14:paraId="4F8862A8" w14:textId="77777777" w:rsidR="00905FE7" w:rsidRDefault="00905FE7" w:rsidP="00905FE7"/>
    <w:p w14:paraId="6C52FDC8" w14:textId="72C92D37" w:rsidR="00905FE7" w:rsidRDefault="00905FE7" w:rsidP="00905FE7">
      <w:r w:rsidRPr="00635FFC">
        <w:t>V souladu s usnesením vlády České republiky ze dne 2. 4. 2025 č. 226 byla vládě dne 17. 9. 2025 předložena Závěrečná zpráva projektu Vyhodnocení povodně v září 2024 (</w:t>
      </w:r>
      <w:hyperlink r:id="rId33" w:history="1">
        <w:r w:rsidRPr="005909B5">
          <w:rPr>
            <w:rStyle w:val="Hypertextovodkaz"/>
          </w:rPr>
          <w:t>https://info.chmi.cz/povodne/zprava2024.pdf</w:t>
        </w:r>
      </w:hyperlink>
      <w:r w:rsidRPr="00635FFC">
        <w:t>). Jsou</w:t>
      </w:r>
      <w:r w:rsidR="00B30861">
        <w:t xml:space="preserve"> </w:t>
      </w:r>
      <w:r w:rsidRPr="00635FFC">
        <w:t xml:space="preserve">v ní obsažena jednak fakta z oblasti meteorologie, hydrologie a hydrometeorologické služby, jednak vyhodnocení funkce a bezpečnosti vodních děl, funkčnosti liniových protipovodňových opatření, činnosti povodňových komisí, složek integrovaného záchranného systému i ostatních účastníků ochrany před povodněmi. Zpráva také uvádí vyhodnocení možného ovlivnění povodně budoucím vodním dílem Nové Heřminovy, vymezení postižených území, dopady povodní a srovnání této povodně s povodněmi v letech 1903 a 1997, které dané území také velmi významně a ničivě zasáhly. </w:t>
      </w:r>
    </w:p>
    <w:p w14:paraId="00C23BCE" w14:textId="77777777" w:rsidR="006A2FD5" w:rsidRPr="00104F7D" w:rsidRDefault="006A2FD5" w:rsidP="00FF1A5D">
      <w:pPr>
        <w:pStyle w:val="NORMLN1"/>
        <w:spacing w:before="0" w:after="0"/>
        <w:ind w:firstLine="0"/>
        <w:contextualSpacing/>
        <w:rPr>
          <w:rFonts w:ascii="Arial" w:hAnsi="Arial" w:cs="Arial"/>
          <w:i/>
          <w:color w:val="FF0000"/>
          <w:sz w:val="22"/>
          <w:szCs w:val="22"/>
          <w:highlight w:val="yellow"/>
        </w:rPr>
      </w:pPr>
    </w:p>
    <w:p w14:paraId="6F62B83A" w14:textId="77777777" w:rsidR="00D4171F" w:rsidRPr="00104F7D" w:rsidRDefault="00D4171F" w:rsidP="00FF1A5D">
      <w:pPr>
        <w:pStyle w:val="NORMLN1"/>
        <w:spacing w:before="0" w:after="0"/>
        <w:ind w:firstLine="0"/>
        <w:contextualSpacing/>
        <w:rPr>
          <w:rFonts w:ascii="Arial" w:hAnsi="Arial" w:cs="Arial"/>
          <w:i/>
          <w:color w:val="FF0000"/>
          <w:sz w:val="22"/>
          <w:szCs w:val="22"/>
          <w:highlight w:val="yellow"/>
        </w:rPr>
      </w:pPr>
    </w:p>
    <w:p w14:paraId="1E578430" w14:textId="77777777" w:rsidR="00FF1A5D" w:rsidRPr="00905FE7" w:rsidRDefault="00FF1A5D" w:rsidP="007C4955">
      <w:pPr>
        <w:pStyle w:val="NORMLN1"/>
        <w:spacing w:before="0" w:after="0"/>
        <w:contextualSpacing/>
        <w:rPr>
          <w:rFonts w:ascii="Arial" w:hAnsi="Arial" w:cs="Arial"/>
          <w:color w:val="FF0000"/>
          <w:sz w:val="22"/>
          <w:szCs w:val="22"/>
        </w:rPr>
      </w:pPr>
    </w:p>
    <w:p w14:paraId="1E76E4AE" w14:textId="77777777" w:rsidR="004F3115" w:rsidRPr="00B91D04" w:rsidRDefault="00DB248A">
      <w:pPr>
        <w:pStyle w:val="Nadpis2"/>
        <w:numPr>
          <w:ilvl w:val="1"/>
          <w:numId w:val="13"/>
        </w:numPr>
        <w:spacing w:before="0"/>
        <w:contextualSpacing/>
      </w:pPr>
      <w:bookmarkStart w:id="15" w:name="_Toc236991608"/>
      <w:r w:rsidRPr="00B91D04">
        <w:t>Odstraňování povodňových škod</w:t>
      </w:r>
      <w:bookmarkEnd w:id="13"/>
      <w:bookmarkEnd w:id="15"/>
    </w:p>
    <w:p w14:paraId="2540F11C" w14:textId="77777777" w:rsidR="00FA6708" w:rsidRPr="00104F7D" w:rsidRDefault="00FA6708" w:rsidP="007C4955">
      <w:pPr>
        <w:rPr>
          <w:rFonts w:cs="Arial"/>
          <w:b/>
          <w:highlight w:val="yellow"/>
        </w:rPr>
      </w:pPr>
    </w:p>
    <w:p w14:paraId="20935AE4" w14:textId="77777777" w:rsidR="002C04E4" w:rsidRDefault="00A94FFE" w:rsidP="00A94FFE">
      <w:pPr>
        <w:rPr>
          <w:rFonts w:cs="Arial"/>
          <w:b/>
        </w:rPr>
      </w:pPr>
      <w:r>
        <w:rPr>
          <w:rFonts w:cs="Arial"/>
          <w:b/>
        </w:rPr>
        <w:t>V roce</w:t>
      </w:r>
      <w:r w:rsidRPr="00DF0DC8">
        <w:rPr>
          <w:rFonts w:cs="Arial"/>
          <w:b/>
        </w:rPr>
        <w:t xml:space="preserve"> 20</w:t>
      </w:r>
      <w:r>
        <w:rPr>
          <w:rFonts w:cs="Arial"/>
          <w:b/>
        </w:rPr>
        <w:t>25</w:t>
      </w:r>
      <w:r w:rsidRPr="00DF0DC8">
        <w:rPr>
          <w:rFonts w:cs="Arial"/>
          <w:b/>
        </w:rPr>
        <w:t xml:space="preserve"> </w:t>
      </w:r>
      <w:r>
        <w:rPr>
          <w:rFonts w:cs="Arial"/>
          <w:b/>
        </w:rPr>
        <w:t>byl spuštěn</w:t>
      </w:r>
      <w:r w:rsidRPr="00DF0DC8">
        <w:rPr>
          <w:rFonts w:cs="Arial"/>
          <w:b/>
        </w:rPr>
        <w:t xml:space="preserve"> nový program 129 320 „Podpora odstraňování povodňových škod na infrastruktuře vodovodů a kanalizací II“, který nav</w:t>
      </w:r>
      <w:r>
        <w:rPr>
          <w:rFonts w:cs="Arial"/>
          <w:b/>
        </w:rPr>
        <w:t>ázal</w:t>
      </w:r>
      <w:r w:rsidRPr="00DF0DC8">
        <w:rPr>
          <w:rFonts w:cs="Arial"/>
          <w:b/>
        </w:rPr>
        <w:t xml:space="preserve"> na již ukončený program 129</w:t>
      </w:r>
      <w:r w:rsidR="002C04E4">
        <w:rPr>
          <w:rFonts w:cs="Arial"/>
          <w:b/>
        </w:rPr>
        <w:t> </w:t>
      </w:r>
      <w:r w:rsidRPr="00DF0DC8">
        <w:rPr>
          <w:rFonts w:cs="Arial"/>
          <w:b/>
        </w:rPr>
        <w:t>140.</w:t>
      </w:r>
    </w:p>
    <w:p w14:paraId="744505D9" w14:textId="77777777" w:rsidR="002C04E4" w:rsidRDefault="002C04E4" w:rsidP="00A94FFE">
      <w:pPr>
        <w:rPr>
          <w:rFonts w:cs="Arial"/>
          <w:b/>
        </w:rPr>
      </w:pPr>
    </w:p>
    <w:p w14:paraId="16FE51D7" w14:textId="77777777" w:rsidR="002C04E4" w:rsidRPr="008C0D98" w:rsidRDefault="002C04E4" w:rsidP="002C04E4">
      <w:pPr>
        <w:rPr>
          <w:rFonts w:cs="Arial"/>
        </w:rPr>
      </w:pPr>
      <w:r w:rsidRPr="008C0D98">
        <w:rPr>
          <w:rFonts w:cs="Arial"/>
        </w:rPr>
        <w:t>Tento program je připraven reagovat na případnou nutnost rychlého řešení následků poškození, případně i zničení vodohospodářské infrastruktury vodovodů a kanalizací v důsledku živelné události.</w:t>
      </w:r>
    </w:p>
    <w:p w14:paraId="299A3C7C" w14:textId="68535E95" w:rsidR="006C5599" w:rsidRPr="002C04E4" w:rsidRDefault="00A94FFE" w:rsidP="006C5599">
      <w:pPr>
        <w:rPr>
          <w:rFonts w:cs="Arial"/>
          <w:b/>
        </w:rPr>
      </w:pPr>
      <w:r w:rsidRPr="00DF0DC8">
        <w:rPr>
          <w:rFonts w:cs="Arial"/>
          <w:b/>
        </w:rPr>
        <w:t xml:space="preserve"> </w:t>
      </w:r>
    </w:p>
    <w:p w14:paraId="54262594" w14:textId="1F293DEE" w:rsidR="00BE1844" w:rsidRDefault="00596964" w:rsidP="00BE1844">
      <w:pPr>
        <w:rPr>
          <w:rFonts w:cs="Arial"/>
        </w:rPr>
      </w:pPr>
      <w:r>
        <w:rPr>
          <w:rFonts w:cs="Arial"/>
        </w:rPr>
        <w:t>P</w:t>
      </w:r>
      <w:r w:rsidR="00BE1844" w:rsidRPr="00DF0DC8">
        <w:rPr>
          <w:rFonts w:cs="Arial"/>
        </w:rPr>
        <w:t>rogram</w:t>
      </w:r>
      <w:r w:rsidR="00BE1844" w:rsidRPr="00DF0DC8" w:rsidDel="00B06488">
        <w:rPr>
          <w:rFonts w:cs="Arial"/>
        </w:rPr>
        <w:t xml:space="preserve"> </w:t>
      </w:r>
      <w:r w:rsidR="00BE1844" w:rsidRPr="00DF0DC8">
        <w:rPr>
          <w:rFonts w:cs="Arial"/>
        </w:rPr>
        <w:t>reagova</w:t>
      </w:r>
      <w:r w:rsidR="00BE1844">
        <w:rPr>
          <w:rFonts w:cs="Arial"/>
        </w:rPr>
        <w:t>l</w:t>
      </w:r>
      <w:r w:rsidR="00BE1844" w:rsidRPr="00DF0DC8">
        <w:rPr>
          <w:rFonts w:cs="Arial"/>
        </w:rPr>
        <w:t xml:space="preserve"> na nutnost řešení následků poškození, případně i zničení vodohospodářské infrastruktury vodovodů a kanalizací v důsledku živelné události. V roce 20</w:t>
      </w:r>
      <w:r w:rsidR="00BE1844">
        <w:rPr>
          <w:rFonts w:cs="Arial"/>
        </w:rPr>
        <w:t xml:space="preserve">24 byly zaznamenány významné škody na uvedené infrastruktuře způsobené povodní ze září 2024. </w:t>
      </w:r>
      <w:r w:rsidR="00BE1844" w:rsidRPr="000A6138">
        <w:rPr>
          <w:rFonts w:cs="Arial"/>
        </w:rPr>
        <w:t>Po dohodě mezi resorty MŽP a MZe bylo rozdělení podpory nastaveno tak, že MŽP zajišťuje okamžitá, převážně neinvestiční opatření, zatímco MZe podporuje investiční obnovu infrastruktury</w:t>
      </w:r>
      <w:r w:rsidR="00BE1844">
        <w:rPr>
          <w:rFonts w:cs="Arial"/>
        </w:rPr>
        <w:t>. Žadateli o podporu mohou být</w:t>
      </w:r>
      <w:r w:rsidR="00BE1844" w:rsidRPr="00167DC7">
        <w:t xml:space="preserve"> </w:t>
      </w:r>
      <w:r w:rsidR="00BE1844" w:rsidRPr="00167DC7">
        <w:rPr>
          <w:rFonts w:cs="Arial"/>
        </w:rPr>
        <w:t>obce a vodohospodářské akciové společnosti s</w:t>
      </w:r>
      <w:r w:rsidR="00BE1844">
        <w:rPr>
          <w:rFonts w:cs="Arial"/>
        </w:rPr>
        <w:t> </w:t>
      </w:r>
      <w:r w:rsidR="00BE1844" w:rsidRPr="00167DC7">
        <w:rPr>
          <w:rFonts w:cs="Arial"/>
        </w:rPr>
        <w:t>majoritní kapitálovou účastí měst a obcí.</w:t>
      </w:r>
      <w:r w:rsidR="00BE1844" w:rsidRPr="00F4155B">
        <w:t xml:space="preserve"> </w:t>
      </w:r>
      <w:r w:rsidR="00BE1844">
        <w:t xml:space="preserve">Proto vznikl podprogram </w:t>
      </w:r>
      <w:r w:rsidR="00BE1844" w:rsidRPr="00F4155B">
        <w:rPr>
          <w:rFonts w:cs="Arial"/>
        </w:rPr>
        <w:t xml:space="preserve">129 </w:t>
      </w:r>
      <w:r w:rsidR="00BE1844">
        <w:rPr>
          <w:rFonts w:cs="Arial"/>
        </w:rPr>
        <w:t>322</w:t>
      </w:r>
      <w:r w:rsidR="00BE1844" w:rsidRPr="00F4155B">
        <w:rPr>
          <w:rFonts w:cs="Arial"/>
        </w:rPr>
        <w:t xml:space="preserve"> „Podpora odstraňování povodňových škod způsobených povodněmi 20</w:t>
      </w:r>
      <w:r w:rsidR="00BE1844">
        <w:rPr>
          <w:rFonts w:cs="Arial"/>
        </w:rPr>
        <w:t>24</w:t>
      </w:r>
      <w:r w:rsidR="00BE1844" w:rsidRPr="00F4155B">
        <w:rPr>
          <w:rFonts w:cs="Arial"/>
        </w:rPr>
        <w:t>“</w:t>
      </w:r>
      <w:r w:rsidR="00BE1844">
        <w:rPr>
          <w:rFonts w:cs="Arial"/>
        </w:rPr>
        <w:t xml:space="preserve">, který </w:t>
      </w:r>
      <w:r w:rsidR="00BE1844" w:rsidRPr="00F4155B">
        <w:rPr>
          <w:rFonts w:cs="Arial"/>
        </w:rPr>
        <w:t>byl vyhlášen 1</w:t>
      </w:r>
      <w:r w:rsidR="00BE1844">
        <w:rPr>
          <w:rFonts w:cs="Arial"/>
        </w:rPr>
        <w:t>6</w:t>
      </w:r>
      <w:r w:rsidR="00BE1844" w:rsidRPr="00F4155B">
        <w:rPr>
          <w:rFonts w:cs="Arial"/>
        </w:rPr>
        <w:t>. 9. 20</w:t>
      </w:r>
      <w:r w:rsidR="00BE1844">
        <w:rPr>
          <w:rFonts w:cs="Arial"/>
        </w:rPr>
        <w:t>25.</w:t>
      </w:r>
    </w:p>
    <w:p w14:paraId="7206AA90" w14:textId="77777777" w:rsidR="001B16E7" w:rsidRPr="00D07C3C" w:rsidRDefault="001B16E7" w:rsidP="001B16E7">
      <w:pPr>
        <w:rPr>
          <w:rFonts w:cs="Arial"/>
          <w:highlight w:val="cyan"/>
        </w:rPr>
      </w:pPr>
    </w:p>
    <w:p w14:paraId="0E78DB52" w14:textId="0A30179D" w:rsidR="001B16E7" w:rsidRPr="001B16E7" w:rsidRDefault="001B16E7" w:rsidP="001B16E7">
      <w:pPr>
        <w:rPr>
          <w:rFonts w:cs="Arial"/>
          <w:b/>
          <w:bCs/>
        </w:rPr>
      </w:pPr>
      <w:r w:rsidRPr="008C0D98">
        <w:rPr>
          <w:rFonts w:cs="Arial"/>
        </w:rPr>
        <w:t>V roce 2025 pokračovalo odstraňování škod způsobených mimořádnými povodněmi ze září 2024, které nejvíce zasáhly Jesenicko, Šumpersko a další oblasti povodí Moravy. Po dokončení zabezpečovacích prací zaměřených na obnovení průtočnosti toků a stabilizaci poškozené infrastruktury se správci povodí soustředili na přípravu a realizaci trvalých oprav. Státní podnik Povodí Moravy měl v průběhu roku v přípravě nebo realizaci celkem 108 akcí zaměřených na odstranění povodňových škod, jejichž celková hodnota se odhaduje na téměř 3 miliardy korun. Součástí obnovy jsou opravy vodních toků, břehových opevnění, protipovodňových opatření i související infrastruktury, přičemž práce probíhají v úzké spolupráci s obcemi, kraji a dalšími správci infrastruktury. Vzhledem k rozsahu poškození se předpokládá, že některé rekonstrukce a modernizace budou pokračovat ještě několik dalších let.</w:t>
      </w:r>
    </w:p>
    <w:p w14:paraId="4DC909FB" w14:textId="77777777" w:rsidR="001E531C" w:rsidRPr="00104F7D" w:rsidRDefault="001E531C" w:rsidP="007C4955">
      <w:pPr>
        <w:contextualSpacing/>
        <w:rPr>
          <w:rFonts w:cs="Arial"/>
          <w:color w:val="FF0000"/>
          <w:highlight w:val="yellow"/>
        </w:rPr>
      </w:pPr>
    </w:p>
    <w:p w14:paraId="3490CC48" w14:textId="77777777" w:rsidR="004F3115" w:rsidRPr="00116412" w:rsidRDefault="004F69B3">
      <w:pPr>
        <w:pStyle w:val="Nadpis2"/>
        <w:numPr>
          <w:ilvl w:val="1"/>
          <w:numId w:val="13"/>
        </w:numPr>
        <w:spacing w:before="0"/>
        <w:contextualSpacing/>
        <w:rPr>
          <w:color w:val="000000" w:themeColor="text1"/>
        </w:rPr>
      </w:pPr>
      <w:bookmarkStart w:id="16" w:name="_Toc10183404"/>
      <w:bookmarkStart w:id="17" w:name="_Toc236991609"/>
      <w:r w:rsidRPr="00116412">
        <w:rPr>
          <w:color w:val="000000" w:themeColor="text1"/>
        </w:rPr>
        <w:t>Průběh sucha</w:t>
      </w:r>
      <w:bookmarkEnd w:id="16"/>
      <w:bookmarkEnd w:id="17"/>
    </w:p>
    <w:p w14:paraId="015425B3" w14:textId="46FACF46" w:rsidR="00D0712F" w:rsidRPr="00104F7D" w:rsidRDefault="00D0712F" w:rsidP="00D0712F">
      <w:pPr>
        <w:rPr>
          <w:highlight w:val="yellow"/>
        </w:rPr>
      </w:pPr>
    </w:p>
    <w:p w14:paraId="45B1A8E4" w14:textId="77777777" w:rsidR="00E51AA2" w:rsidRPr="00CD1AF7" w:rsidRDefault="00E51AA2" w:rsidP="00CD1AF7">
      <w:pPr>
        <w:pStyle w:val="TZKikapopisek"/>
        <w:spacing w:after="0"/>
        <w:contextualSpacing/>
        <w:jc w:val="both"/>
        <w:rPr>
          <w:b/>
          <w:bCs/>
          <w:i w:val="0"/>
          <w:iCs w:val="0"/>
          <w:color w:val="auto"/>
          <w:sz w:val="22"/>
          <w:szCs w:val="22"/>
        </w:rPr>
      </w:pPr>
      <w:r w:rsidRPr="00CD1AF7">
        <w:rPr>
          <w:b/>
          <w:bCs/>
          <w:i w:val="0"/>
          <w:iCs w:val="0"/>
          <w:color w:val="auto"/>
          <w:sz w:val="22"/>
          <w:szCs w:val="22"/>
        </w:rPr>
        <w:t>Hydrologické sucho se definuje jako nedostatek zdrojů povrchových a podzemních vod. Tato kapitola je věnována suchu týkajícího se povrchových vod, které je hodnoceno dle následujících charakteristik: počtu hlásných profilů kategorie A+B s průměrnými týdenními hodnotami průtoků menšími než 25 % měsíčního průměru a počtu hlásných profilů kategorie A+B s průměrnými týdenními hodnotami průtoků menšími než Q</w:t>
      </w:r>
      <w:r w:rsidRPr="00CD1AF7">
        <w:rPr>
          <w:b/>
          <w:bCs/>
          <w:i w:val="0"/>
          <w:iCs w:val="0"/>
          <w:color w:val="auto"/>
          <w:sz w:val="22"/>
          <w:szCs w:val="22"/>
          <w:vertAlign w:val="subscript"/>
        </w:rPr>
        <w:t>355d</w:t>
      </w:r>
      <w:r w:rsidRPr="00CD1AF7">
        <w:rPr>
          <w:b/>
          <w:bCs/>
          <w:i w:val="0"/>
          <w:iCs w:val="0"/>
          <w:color w:val="auto"/>
          <w:sz w:val="22"/>
          <w:szCs w:val="22"/>
        </w:rPr>
        <w:t xml:space="preserve"> (tj. průtok, který byl v daném profilu dosažen nebo překročen průměrně 355 dní v roce a jehož podkročení je indikací hydrologického sucha), případně Q</w:t>
      </w:r>
      <w:r w:rsidRPr="00CD1AF7">
        <w:rPr>
          <w:b/>
          <w:bCs/>
          <w:i w:val="0"/>
          <w:iCs w:val="0"/>
          <w:color w:val="auto"/>
          <w:sz w:val="22"/>
          <w:szCs w:val="22"/>
          <w:vertAlign w:val="subscript"/>
        </w:rPr>
        <w:t>364d</w:t>
      </w:r>
      <w:r w:rsidRPr="00CD1AF7">
        <w:rPr>
          <w:b/>
          <w:bCs/>
          <w:i w:val="0"/>
          <w:iCs w:val="0"/>
          <w:color w:val="auto"/>
          <w:sz w:val="22"/>
          <w:szCs w:val="22"/>
        </w:rPr>
        <w:t xml:space="preserve"> (průtok, který byl v daném profilu dosažen nebo překročen po celý rok).</w:t>
      </w:r>
    </w:p>
    <w:p w14:paraId="64B40195" w14:textId="77777777" w:rsidR="00CD1AF7" w:rsidRDefault="00CD1AF7" w:rsidP="00CD1AF7">
      <w:pPr>
        <w:pStyle w:val="TZKikapopisek"/>
        <w:spacing w:after="0"/>
        <w:contextualSpacing/>
        <w:jc w:val="both"/>
        <w:rPr>
          <w:i w:val="0"/>
          <w:iCs w:val="0"/>
          <w:color w:val="auto"/>
          <w:sz w:val="22"/>
          <w:szCs w:val="22"/>
        </w:rPr>
      </w:pPr>
    </w:p>
    <w:p w14:paraId="4BA9186E" w14:textId="43FD3A57" w:rsidR="00E51AA2" w:rsidRPr="00CD1AF7" w:rsidRDefault="00E51AA2" w:rsidP="00CD1AF7">
      <w:pPr>
        <w:pStyle w:val="TZKikapopisek"/>
        <w:spacing w:after="0"/>
        <w:contextualSpacing/>
        <w:jc w:val="both"/>
        <w:rPr>
          <w:i w:val="0"/>
          <w:iCs w:val="0"/>
          <w:color w:val="auto"/>
          <w:sz w:val="22"/>
          <w:szCs w:val="22"/>
        </w:rPr>
      </w:pPr>
      <w:r w:rsidRPr="00CD1AF7">
        <w:rPr>
          <w:i w:val="0"/>
          <w:iCs w:val="0"/>
          <w:color w:val="auto"/>
          <w:sz w:val="22"/>
          <w:szCs w:val="22"/>
        </w:rPr>
        <w:t xml:space="preserve">Rok 2025 byl v porovnání s předchozím rokem 2024 z pohledu hydrologického sucha výrazně sušší. Nejvýraznější rozdíl z hlediska počtu profilů s indikací hydrologického sucha je patrný v letních měsících, což je nejlépe viditelné u porovnání všech operativních profilů v denním kroku v letošním a loňském roce. </w:t>
      </w:r>
    </w:p>
    <w:p w14:paraId="65F26FAB" w14:textId="77777777" w:rsidR="00CD1AF7" w:rsidRDefault="00CD1AF7" w:rsidP="00CD1AF7">
      <w:pPr>
        <w:pStyle w:val="TZKikapopisek"/>
        <w:spacing w:after="0"/>
        <w:contextualSpacing/>
        <w:jc w:val="both"/>
        <w:rPr>
          <w:i w:val="0"/>
          <w:iCs w:val="0"/>
          <w:color w:val="auto"/>
          <w:sz w:val="22"/>
          <w:szCs w:val="22"/>
        </w:rPr>
      </w:pPr>
    </w:p>
    <w:p w14:paraId="311B197D" w14:textId="68AD9322" w:rsidR="00E51AA2" w:rsidRPr="00CD1AF7" w:rsidRDefault="00E51AA2" w:rsidP="00CD1AF7">
      <w:pPr>
        <w:pStyle w:val="TZKikapopisek"/>
        <w:spacing w:after="0"/>
        <w:contextualSpacing/>
        <w:jc w:val="both"/>
        <w:rPr>
          <w:i w:val="0"/>
          <w:iCs w:val="0"/>
          <w:color w:val="auto"/>
          <w:sz w:val="22"/>
          <w:szCs w:val="22"/>
        </w:rPr>
      </w:pPr>
      <w:r w:rsidRPr="00CD1AF7">
        <w:rPr>
          <w:i w:val="0"/>
          <w:iCs w:val="0"/>
          <w:color w:val="auto"/>
          <w:sz w:val="22"/>
          <w:szCs w:val="22"/>
        </w:rPr>
        <w:t>Podle výskytu počtu profilů kategorie A+B s průměrnou týdenní vodností na úrovni Q</w:t>
      </w:r>
      <w:r w:rsidRPr="00CD1AF7">
        <w:rPr>
          <w:i w:val="0"/>
          <w:iCs w:val="0"/>
          <w:color w:val="auto"/>
          <w:sz w:val="22"/>
          <w:szCs w:val="22"/>
          <w:vertAlign w:val="subscript"/>
        </w:rPr>
        <w:t>355d</w:t>
      </w:r>
      <w:r w:rsidRPr="00CD1AF7">
        <w:rPr>
          <w:i w:val="0"/>
          <w:iCs w:val="0"/>
          <w:color w:val="auto"/>
          <w:sz w:val="22"/>
          <w:szCs w:val="22"/>
        </w:rPr>
        <w:t xml:space="preserve"> nebo nižší lze uplynulý rok rozdělit na tří období. V prvním období, od začátku ledna do poloviny června, se sucho na území Česka téměř nevyskytovalo, resp. se vyskytovalo na necelém 1 % profilů. Od poloviny června se začal postupně zvyšovat počet tzv. „suchých“ profilů. Počet profilů s indikací hydrologického sucha postupně narůstal a udržel se až do poloviny září, kdy se jejich výskyt výrazně snížil. Poté následovalo období až do konce roku, kdy se sucho vyskytovalo u zhruba 4 % profilů. V porovnání s předchozími lety se rok 2025 celkově řadí spíše k méně suchým rokům od roku 2020.</w:t>
      </w:r>
    </w:p>
    <w:p w14:paraId="3B40E77B" w14:textId="77777777" w:rsidR="00CD1AF7" w:rsidRDefault="00CD1AF7" w:rsidP="00E51AA2">
      <w:pPr>
        <w:pStyle w:val="TZKikapopisek"/>
        <w:spacing w:before="0" w:after="0"/>
        <w:contextualSpacing/>
        <w:rPr>
          <w:i w:val="0"/>
          <w:iCs w:val="0"/>
          <w:color w:val="auto"/>
          <w:sz w:val="22"/>
          <w:szCs w:val="22"/>
        </w:rPr>
      </w:pPr>
    </w:p>
    <w:p w14:paraId="4D26A6D5" w14:textId="637FDCA7" w:rsidR="00D0712F" w:rsidRPr="00CD1AF7" w:rsidRDefault="00E51AA2" w:rsidP="00E51AA2">
      <w:pPr>
        <w:pStyle w:val="TZKikapopisek"/>
        <w:spacing w:before="0" w:after="0"/>
        <w:contextualSpacing/>
        <w:rPr>
          <w:i w:val="0"/>
          <w:iCs w:val="0"/>
          <w:color w:val="auto"/>
          <w:sz w:val="22"/>
          <w:szCs w:val="22"/>
        </w:rPr>
      </w:pPr>
      <w:r w:rsidRPr="00CD1AF7">
        <w:rPr>
          <w:i w:val="0"/>
          <w:iCs w:val="0"/>
          <w:color w:val="auto"/>
          <w:sz w:val="22"/>
          <w:szCs w:val="22"/>
        </w:rPr>
        <w:t xml:space="preserve">U profilů, které měly hodnoty průměrných týdenních průtoků menší než 25 % </w:t>
      </w:r>
      <w:proofErr w:type="spellStart"/>
      <w:r w:rsidRPr="00CD1AF7">
        <w:rPr>
          <w:i w:val="0"/>
          <w:iCs w:val="0"/>
          <w:color w:val="auto"/>
          <w:sz w:val="22"/>
          <w:szCs w:val="22"/>
        </w:rPr>
        <w:t>Q</w:t>
      </w:r>
      <w:r w:rsidRPr="00CD1AF7">
        <w:rPr>
          <w:i w:val="0"/>
          <w:iCs w:val="0"/>
          <w:color w:val="auto"/>
          <w:sz w:val="22"/>
          <w:szCs w:val="22"/>
          <w:vertAlign w:val="subscript"/>
        </w:rPr>
        <w:t>m</w:t>
      </w:r>
      <w:proofErr w:type="spellEnd"/>
      <w:r w:rsidRPr="00CD1AF7">
        <w:rPr>
          <w:i w:val="0"/>
          <w:iCs w:val="0"/>
          <w:color w:val="auto"/>
          <w:sz w:val="22"/>
          <w:szCs w:val="22"/>
        </w:rPr>
        <w:t xml:space="preserve"> byla situace v porovnání s předchozím rokem také výrazně jiná. Počet těchto profilů byl vyšší a trend sucha byl více rozkolísaný.</w:t>
      </w:r>
    </w:p>
    <w:p w14:paraId="4F14E05A" w14:textId="77777777" w:rsidR="00CD1AF7" w:rsidRPr="00104F7D" w:rsidRDefault="00CD1AF7" w:rsidP="00E51AA2">
      <w:pPr>
        <w:pStyle w:val="TZKikapopisek"/>
        <w:spacing w:before="0" w:after="0"/>
        <w:contextualSpacing/>
        <w:rPr>
          <w:b/>
          <w:color w:val="auto"/>
          <w:sz w:val="22"/>
          <w:szCs w:val="22"/>
          <w:highlight w:val="yellow"/>
        </w:rPr>
      </w:pPr>
    </w:p>
    <w:p w14:paraId="03AD1776" w14:textId="66512E7D" w:rsidR="00D0712F" w:rsidRPr="00434605" w:rsidRDefault="00D0712F" w:rsidP="00D0712F">
      <w:pPr>
        <w:pStyle w:val="TZKikapopisek"/>
        <w:spacing w:before="0" w:after="0"/>
        <w:contextualSpacing/>
        <w:rPr>
          <w:b/>
          <w:color w:val="auto"/>
          <w:sz w:val="22"/>
          <w:szCs w:val="22"/>
        </w:rPr>
      </w:pPr>
      <w:r w:rsidRPr="00434605">
        <w:rPr>
          <w:b/>
          <w:color w:val="auto"/>
          <w:sz w:val="22"/>
          <w:szCs w:val="22"/>
        </w:rPr>
        <w:t>Graf 2.3.1</w:t>
      </w:r>
    </w:p>
    <w:p w14:paraId="7B2F5DE9" w14:textId="6AD2EA07" w:rsidR="00553E8E" w:rsidRPr="00434605" w:rsidRDefault="00553E8E" w:rsidP="00D0712F">
      <w:pPr>
        <w:pStyle w:val="TZKikapopisek"/>
        <w:spacing w:before="0" w:after="0"/>
        <w:contextualSpacing/>
        <w:rPr>
          <w:b/>
          <w:color w:val="auto"/>
          <w:sz w:val="22"/>
          <w:szCs w:val="22"/>
        </w:rPr>
      </w:pPr>
      <w:r w:rsidRPr="00434605">
        <w:rPr>
          <w:b/>
          <w:color w:val="auto"/>
          <w:sz w:val="22"/>
          <w:szCs w:val="22"/>
        </w:rPr>
        <w:t>Vývoj sucha v České republice v roce 202</w:t>
      </w:r>
      <w:r w:rsidR="00434605" w:rsidRPr="00434605">
        <w:rPr>
          <w:b/>
          <w:color w:val="auto"/>
          <w:sz w:val="22"/>
          <w:szCs w:val="22"/>
        </w:rPr>
        <w:t>4</w:t>
      </w:r>
      <w:r w:rsidRPr="00434605">
        <w:rPr>
          <w:b/>
          <w:color w:val="auto"/>
          <w:sz w:val="22"/>
          <w:szCs w:val="22"/>
        </w:rPr>
        <w:t xml:space="preserve"> a 202</w:t>
      </w:r>
      <w:r w:rsidR="00434605" w:rsidRPr="00434605">
        <w:rPr>
          <w:b/>
          <w:color w:val="auto"/>
          <w:sz w:val="22"/>
          <w:szCs w:val="22"/>
        </w:rPr>
        <w:t>5</w:t>
      </w:r>
    </w:p>
    <w:p w14:paraId="4883D3D9" w14:textId="35BE0ECB" w:rsidR="00D0712F" w:rsidRPr="00434605" w:rsidRDefault="00434605" w:rsidP="00553E8E">
      <w:pPr>
        <w:pStyle w:val="TZKikapopisek"/>
        <w:spacing w:before="0" w:after="0"/>
        <w:contextualSpacing/>
        <w:rPr>
          <w:i w:val="0"/>
          <w:color w:val="FF0000"/>
        </w:rPr>
      </w:pPr>
      <w:r w:rsidRPr="00434605">
        <w:rPr>
          <w:noProof/>
        </w:rPr>
        <w:drawing>
          <wp:inline distT="0" distB="0" distL="0" distR="0" wp14:anchorId="574A3F30" wp14:editId="4F986F87">
            <wp:extent cx="4318000" cy="1965757"/>
            <wp:effectExtent l="0" t="0" r="6350" b="0"/>
            <wp:docPr id="47280981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809818" name="Obrázek 1"/>
                    <pic:cNvPicPr>
                      <a:picLocks noChangeAspect="1"/>
                    </pic:cNvPicPr>
                  </pic:nvPicPr>
                  <pic:blipFill rotWithShape="1">
                    <a:blip r:embed="rId34"/>
                    <a:srcRect t="1" b="2502"/>
                    <a:stretch>
                      <a:fillRect/>
                    </a:stretch>
                  </pic:blipFill>
                  <pic:spPr bwMode="auto">
                    <a:xfrm>
                      <a:off x="0" y="0"/>
                      <a:ext cx="4345850" cy="1978436"/>
                    </a:xfrm>
                    <a:prstGeom prst="rect">
                      <a:avLst/>
                    </a:prstGeom>
                    <a:ln>
                      <a:noFill/>
                    </a:ln>
                    <a:extLst>
                      <a:ext uri="{53640926-AAD7-44D8-BBD7-CCE9431645EC}">
                        <a14:shadowObscured xmlns:a14="http://schemas.microsoft.com/office/drawing/2010/main"/>
                      </a:ext>
                    </a:extLst>
                  </pic:spPr>
                </pic:pic>
              </a:graphicData>
            </a:graphic>
          </wp:inline>
        </w:drawing>
      </w:r>
    </w:p>
    <w:p w14:paraId="3FDF623C" w14:textId="240081D5" w:rsidR="006C6C02" w:rsidRPr="005503A2" w:rsidRDefault="002A3922" w:rsidP="00BC0446">
      <w:pPr>
        <w:pStyle w:val="Modrzprva-anotace"/>
        <w:contextualSpacing/>
        <w:rPr>
          <w:rFonts w:cs="Arial"/>
          <w:b w:val="0"/>
          <w:i/>
          <w:noProof/>
          <w:sz w:val="20"/>
          <w:szCs w:val="20"/>
          <w:lang w:val="cs-CZ" w:eastAsia="cs-CZ"/>
        </w:rPr>
      </w:pPr>
      <w:r w:rsidRPr="00434605">
        <w:rPr>
          <w:rFonts w:cs="Arial"/>
          <w:b w:val="0"/>
          <w:i/>
          <w:noProof/>
          <w:sz w:val="20"/>
          <w:szCs w:val="20"/>
          <w:lang w:val="cs-CZ" w:eastAsia="cs-CZ"/>
        </w:rPr>
        <w:t>Pramen: ČHMÚ</w:t>
      </w:r>
    </w:p>
    <w:p w14:paraId="3F0A6DB3" w14:textId="77777777" w:rsidR="00BA4688" w:rsidRDefault="00BA4688" w:rsidP="00BC0446">
      <w:pPr>
        <w:pStyle w:val="Modrzprva-anotace"/>
        <w:contextualSpacing/>
      </w:pPr>
    </w:p>
    <w:p w14:paraId="65441C71" w14:textId="0804E679" w:rsidR="0017220C" w:rsidRPr="00434605" w:rsidRDefault="0017220C" w:rsidP="00BC0446">
      <w:pPr>
        <w:pStyle w:val="Modrzprva-anotace"/>
        <w:contextualSpacing/>
        <w:rPr>
          <w:rFonts w:cs="Arial"/>
          <w:b w:val="0"/>
          <w:i/>
          <w:noProof/>
          <w:sz w:val="20"/>
          <w:szCs w:val="20"/>
          <w:lang w:val="cs-CZ" w:eastAsia="cs-CZ"/>
        </w:rPr>
      </w:pPr>
      <w:r w:rsidRPr="00434605">
        <w:lastRenderedPageBreak/>
        <w:t>Graf 2.3.</w:t>
      </w:r>
      <w:r w:rsidR="00B504C9" w:rsidRPr="00434605">
        <w:t>2</w:t>
      </w:r>
    </w:p>
    <w:p w14:paraId="01040EBF" w14:textId="27765311" w:rsidR="0017220C" w:rsidRPr="00434605" w:rsidRDefault="00B504C9" w:rsidP="0017220C">
      <w:pPr>
        <w:pStyle w:val="TZKikapopisek"/>
        <w:spacing w:before="0" w:after="0"/>
        <w:contextualSpacing/>
        <w:rPr>
          <w:b/>
          <w:color w:val="auto"/>
          <w:sz w:val="22"/>
          <w:szCs w:val="22"/>
        </w:rPr>
      </w:pPr>
      <w:r w:rsidRPr="00434605">
        <w:rPr>
          <w:b/>
          <w:color w:val="auto"/>
          <w:sz w:val="22"/>
          <w:szCs w:val="22"/>
        </w:rPr>
        <w:t>Vývoj sucha</w:t>
      </w:r>
      <w:r w:rsidR="0017220C" w:rsidRPr="00434605">
        <w:rPr>
          <w:b/>
          <w:color w:val="auto"/>
          <w:sz w:val="22"/>
          <w:szCs w:val="22"/>
        </w:rPr>
        <w:t xml:space="preserve"> v České republice v </w:t>
      </w:r>
      <w:r w:rsidRPr="00434605">
        <w:rPr>
          <w:b/>
          <w:color w:val="auto"/>
          <w:sz w:val="22"/>
          <w:szCs w:val="22"/>
        </w:rPr>
        <w:t>letech</w:t>
      </w:r>
      <w:r w:rsidR="0017220C" w:rsidRPr="00434605">
        <w:rPr>
          <w:b/>
          <w:color w:val="auto"/>
          <w:sz w:val="22"/>
          <w:szCs w:val="22"/>
        </w:rPr>
        <w:t xml:space="preserve"> 202</w:t>
      </w:r>
      <w:r w:rsidRPr="00434605">
        <w:rPr>
          <w:b/>
          <w:color w:val="auto"/>
          <w:sz w:val="22"/>
          <w:szCs w:val="22"/>
        </w:rPr>
        <w:t>0</w:t>
      </w:r>
      <w:r w:rsidR="0017220C" w:rsidRPr="00434605">
        <w:rPr>
          <w:b/>
          <w:color w:val="auto"/>
          <w:sz w:val="22"/>
          <w:szCs w:val="22"/>
        </w:rPr>
        <w:t xml:space="preserve"> a</w:t>
      </w:r>
      <w:r w:rsidRPr="00434605">
        <w:rPr>
          <w:b/>
          <w:color w:val="auto"/>
          <w:sz w:val="22"/>
          <w:szCs w:val="22"/>
        </w:rPr>
        <w:t>ž</w:t>
      </w:r>
      <w:r w:rsidR="0017220C" w:rsidRPr="00434605">
        <w:rPr>
          <w:b/>
          <w:color w:val="auto"/>
          <w:sz w:val="22"/>
          <w:szCs w:val="22"/>
        </w:rPr>
        <w:t xml:space="preserve"> 202</w:t>
      </w:r>
      <w:r w:rsidR="00FE7789">
        <w:rPr>
          <w:b/>
          <w:color w:val="auto"/>
          <w:sz w:val="22"/>
          <w:szCs w:val="22"/>
        </w:rPr>
        <w:t>5</w:t>
      </w:r>
    </w:p>
    <w:p w14:paraId="501903A2" w14:textId="6D18DCA6" w:rsidR="006A2FD5" w:rsidRPr="00434605" w:rsidRDefault="00FE7789" w:rsidP="00D0712F">
      <w:r>
        <w:rPr>
          <w:noProof/>
        </w:rPr>
        <w:drawing>
          <wp:inline distT="0" distB="0" distL="0" distR="0" wp14:anchorId="6DD5B1C1" wp14:editId="3DFC318D">
            <wp:extent cx="4204003" cy="2159000"/>
            <wp:effectExtent l="0" t="0" r="6350" b="0"/>
            <wp:docPr id="208391597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915972" name="Obrázek 1"/>
                    <pic:cNvPicPr>
                      <a:picLocks noChangeAspect="1"/>
                    </pic:cNvPicPr>
                  </pic:nvPicPr>
                  <pic:blipFill>
                    <a:blip r:embed="rId35"/>
                    <a:stretch>
                      <a:fillRect/>
                    </a:stretch>
                  </pic:blipFill>
                  <pic:spPr>
                    <a:xfrm>
                      <a:off x="0" y="0"/>
                      <a:ext cx="4223498" cy="2169012"/>
                    </a:xfrm>
                    <a:prstGeom prst="rect">
                      <a:avLst/>
                    </a:prstGeom>
                  </pic:spPr>
                </pic:pic>
              </a:graphicData>
            </a:graphic>
          </wp:inline>
        </w:drawing>
      </w:r>
    </w:p>
    <w:p w14:paraId="7BAFA8BA" w14:textId="77777777" w:rsidR="002A3922" w:rsidRPr="00104F7D" w:rsidRDefault="002A3922" w:rsidP="002A3922">
      <w:pPr>
        <w:pStyle w:val="Modrzprva-anotace"/>
        <w:contextualSpacing/>
        <w:rPr>
          <w:rFonts w:cs="Arial"/>
          <w:b w:val="0"/>
          <w:bCs/>
          <w:i/>
          <w:sz w:val="20"/>
          <w:szCs w:val="20"/>
          <w:highlight w:val="yellow"/>
          <w:lang w:val="cs-CZ"/>
        </w:rPr>
      </w:pPr>
      <w:r w:rsidRPr="00434605">
        <w:rPr>
          <w:rFonts w:cs="Arial"/>
          <w:b w:val="0"/>
          <w:bCs/>
          <w:i/>
          <w:sz w:val="20"/>
          <w:szCs w:val="20"/>
          <w:lang w:val="cs-CZ"/>
        </w:rPr>
        <w:t>Pramen: ČHMÚ</w:t>
      </w:r>
    </w:p>
    <w:p w14:paraId="1CE8E899" w14:textId="77777777" w:rsidR="002A3922" w:rsidRPr="00104F7D" w:rsidRDefault="002A3922" w:rsidP="002A3922">
      <w:pPr>
        <w:ind w:left="360"/>
        <w:rPr>
          <w:highlight w:val="yellow"/>
        </w:rPr>
      </w:pPr>
    </w:p>
    <w:p w14:paraId="063BFDFE" w14:textId="77777777" w:rsidR="00A43775" w:rsidRPr="00A43775" w:rsidRDefault="00A43775" w:rsidP="00A43775">
      <w:pPr>
        <w:rPr>
          <w:rFonts w:cs="Arial"/>
        </w:rPr>
      </w:pPr>
      <w:r w:rsidRPr="00A43775">
        <w:rPr>
          <w:rFonts w:cs="Arial"/>
        </w:rPr>
        <w:t xml:space="preserve">První období bylo od začátku ledna do poloviny června a navázalo na výskyt profilů z konce předchozího roku 2024, kdy se profily kategorie A+B s průměrnou týdenní vodností pod </w:t>
      </w:r>
      <w:r w:rsidRPr="00A43775">
        <w:rPr>
          <w:rFonts w:cs="Arial"/>
          <w:i/>
          <w:iCs/>
        </w:rPr>
        <w:t>Q</w:t>
      </w:r>
      <w:r w:rsidRPr="00A43775">
        <w:rPr>
          <w:rFonts w:cs="Arial"/>
          <w:vertAlign w:val="subscript"/>
        </w:rPr>
        <w:t>355</w:t>
      </w:r>
      <w:r w:rsidRPr="00A43775">
        <w:rPr>
          <w:rFonts w:cs="Arial"/>
          <w:i/>
          <w:iCs/>
          <w:vertAlign w:val="subscript"/>
        </w:rPr>
        <w:t>d</w:t>
      </w:r>
      <w:r w:rsidRPr="00A43775">
        <w:rPr>
          <w:rFonts w:cs="Arial"/>
          <w:i/>
          <w:iCs/>
        </w:rPr>
        <w:t xml:space="preserve"> </w:t>
      </w:r>
      <w:r w:rsidRPr="00A43775">
        <w:rPr>
          <w:rFonts w:cs="Arial"/>
        </w:rPr>
        <w:t xml:space="preserve">téměř nevyskytovaly. Velmi mírný nárůst byl patrný v polovině května, kdy suchých profilů mírně přibylo. Na začátku roku byly ve všech povodích průtoky průměrné až nadprůměrné v porovnání s dlouhodobými měsíčními hodnotami. Od března do poloviny června se průtoky začaly postupně snižovat, avšak nedosahovaly hodnot indikujících stav sucha (pod </w:t>
      </w:r>
      <w:r w:rsidRPr="00A43775">
        <w:rPr>
          <w:rFonts w:cs="Arial"/>
          <w:i/>
          <w:iCs/>
        </w:rPr>
        <w:t>Q</w:t>
      </w:r>
      <w:r w:rsidRPr="00A43775">
        <w:rPr>
          <w:rFonts w:cs="Arial"/>
          <w:vertAlign w:val="subscript"/>
        </w:rPr>
        <w:t>355</w:t>
      </w:r>
      <w:r w:rsidRPr="00A43775">
        <w:rPr>
          <w:rFonts w:cs="Arial"/>
          <w:i/>
          <w:iCs/>
          <w:vertAlign w:val="subscript"/>
        </w:rPr>
        <w:t>d</w:t>
      </w:r>
      <w:r w:rsidRPr="00A43775">
        <w:rPr>
          <w:rFonts w:cs="Arial"/>
        </w:rPr>
        <w:t xml:space="preserve">). Podíl profilů s průměrnými týdenními průtoky menšími než 25 % </w:t>
      </w:r>
      <w:proofErr w:type="spellStart"/>
      <w:r w:rsidRPr="00A43775">
        <w:rPr>
          <w:rFonts w:cs="Arial"/>
          <w:i/>
          <w:iCs/>
        </w:rPr>
        <w:t>Q</w:t>
      </w:r>
      <w:r w:rsidRPr="00A43775">
        <w:rPr>
          <w:rFonts w:cs="Arial"/>
          <w:vertAlign w:val="subscript"/>
        </w:rPr>
        <w:t>m</w:t>
      </w:r>
      <w:proofErr w:type="spellEnd"/>
      <w:r w:rsidRPr="00A43775">
        <w:rPr>
          <w:rFonts w:cs="Arial"/>
        </w:rPr>
        <w:t xml:space="preserve"> se na začátku tohoto období (leden–únor) pohyboval do 10 % profilů. Poté se podíl navýšil a kolísal mezi 10 a 35 % v závislosti na výskytu významnějších srážek. V porovnání s předchozím rokem je však podíl profilů s průměrnými týdenními průtoky menšími než 25 % </w:t>
      </w:r>
      <w:proofErr w:type="spellStart"/>
      <w:r w:rsidRPr="00A43775">
        <w:rPr>
          <w:rFonts w:cs="Arial"/>
          <w:i/>
          <w:iCs/>
        </w:rPr>
        <w:t>Q</w:t>
      </w:r>
      <w:r w:rsidRPr="00A43775">
        <w:rPr>
          <w:rFonts w:cs="Arial"/>
          <w:vertAlign w:val="subscript"/>
        </w:rPr>
        <w:t>m</w:t>
      </w:r>
      <w:proofErr w:type="spellEnd"/>
      <w:r w:rsidRPr="00A43775">
        <w:rPr>
          <w:rFonts w:cs="Arial"/>
          <w:vertAlign w:val="subscript"/>
        </w:rPr>
        <w:t xml:space="preserve"> </w:t>
      </w:r>
      <w:r w:rsidRPr="00A43775">
        <w:rPr>
          <w:rFonts w:cs="Arial"/>
        </w:rPr>
        <w:t>výrazně vyšší.</w:t>
      </w:r>
    </w:p>
    <w:p w14:paraId="5348204A" w14:textId="77777777" w:rsidR="00A43775" w:rsidRDefault="00A43775" w:rsidP="00A43775">
      <w:pPr>
        <w:rPr>
          <w:rFonts w:cs="Arial"/>
        </w:rPr>
      </w:pPr>
    </w:p>
    <w:p w14:paraId="468BBA03" w14:textId="72B2DFFF" w:rsidR="00A43775" w:rsidRPr="00A43775" w:rsidRDefault="00A43775" w:rsidP="00A43775">
      <w:pPr>
        <w:rPr>
          <w:rFonts w:cs="Arial"/>
        </w:rPr>
      </w:pPr>
      <w:r w:rsidRPr="00A43775">
        <w:rPr>
          <w:rFonts w:cs="Arial"/>
        </w:rPr>
        <w:t xml:space="preserve">Od poloviny června se začal výskyt profilů s průměrnými týdenními vodnostmi pod </w:t>
      </w:r>
      <w:r w:rsidRPr="00A43775">
        <w:rPr>
          <w:rFonts w:cs="Arial"/>
          <w:i/>
          <w:iCs/>
        </w:rPr>
        <w:t>Q</w:t>
      </w:r>
      <w:r w:rsidRPr="00042733">
        <w:rPr>
          <w:rFonts w:cs="Arial"/>
          <w:vertAlign w:val="subscript"/>
        </w:rPr>
        <w:t>355</w:t>
      </w:r>
      <w:r w:rsidRPr="00042733">
        <w:rPr>
          <w:rFonts w:cs="Arial"/>
          <w:i/>
          <w:iCs/>
          <w:vertAlign w:val="subscript"/>
        </w:rPr>
        <w:t>d</w:t>
      </w:r>
      <w:r w:rsidRPr="00A43775">
        <w:rPr>
          <w:rFonts w:cs="Arial"/>
          <w:i/>
          <w:iCs/>
        </w:rPr>
        <w:t xml:space="preserve"> </w:t>
      </w:r>
      <w:r w:rsidRPr="00A43775">
        <w:rPr>
          <w:rFonts w:cs="Arial"/>
        </w:rPr>
        <w:t xml:space="preserve">výrazně navyšovat a stav sucha se vyskytoval u téměř 30 % profilů kategorie A+B. Toto období vysokého počtu suchých profilů narušila významná srážková epizoda na konci července. Po odeznění krátkého </w:t>
      </w:r>
      <w:proofErr w:type="spellStart"/>
      <w:r w:rsidRPr="00A43775">
        <w:rPr>
          <w:rFonts w:cs="Arial"/>
        </w:rPr>
        <w:t>vodnějšího</w:t>
      </w:r>
      <w:proofErr w:type="spellEnd"/>
      <w:r w:rsidRPr="00A43775">
        <w:rPr>
          <w:rFonts w:cs="Arial"/>
        </w:rPr>
        <w:t xml:space="preserve"> období došlo opět k rychlému nárůstu suchých profilů a v polovině srpna se jejich počet pohyboval na úrovni kolem 35 %, což bylo úplné maximum z hlediska sucha v tomto roce. Na konci srpna se opět vyskytla významnější srážková činnost, která vyvolala odtokovou odezvu s dosažením stupňů povodňové aktivity, vodnosti na tocích se zvýšily a počet profilů s vodnostmi pod </w:t>
      </w:r>
      <w:r w:rsidRPr="00A43775">
        <w:rPr>
          <w:rFonts w:cs="Arial"/>
          <w:i/>
          <w:iCs/>
        </w:rPr>
        <w:t>Q</w:t>
      </w:r>
      <w:r w:rsidRPr="00A43775">
        <w:rPr>
          <w:rFonts w:cs="Arial"/>
          <w:vertAlign w:val="subscript"/>
        </w:rPr>
        <w:t>355</w:t>
      </w:r>
      <w:r w:rsidRPr="00A43775">
        <w:rPr>
          <w:rFonts w:cs="Arial"/>
          <w:i/>
          <w:iCs/>
          <w:vertAlign w:val="subscript"/>
        </w:rPr>
        <w:t>d</w:t>
      </w:r>
      <w:r w:rsidRPr="00A43775">
        <w:rPr>
          <w:rFonts w:cs="Arial"/>
          <w:i/>
          <w:iCs/>
        </w:rPr>
        <w:t xml:space="preserve"> </w:t>
      </w:r>
      <w:r w:rsidRPr="00A43775">
        <w:rPr>
          <w:rFonts w:cs="Arial"/>
        </w:rPr>
        <w:t xml:space="preserve">se začal postupně snižovat. Téměř identický trend je patrný u profilů s hodnotami průměrných týdenních průtoků menšími než 25 % </w:t>
      </w:r>
      <w:proofErr w:type="spellStart"/>
      <w:r w:rsidRPr="00A43775">
        <w:rPr>
          <w:rFonts w:cs="Arial"/>
          <w:i/>
          <w:iCs/>
        </w:rPr>
        <w:t>Q</w:t>
      </w:r>
      <w:r w:rsidRPr="00A43775">
        <w:rPr>
          <w:rFonts w:cs="Arial"/>
          <w:vertAlign w:val="subscript"/>
        </w:rPr>
        <w:t>m</w:t>
      </w:r>
      <w:proofErr w:type="spellEnd"/>
      <w:r w:rsidRPr="00A43775">
        <w:rPr>
          <w:rFonts w:cs="Arial"/>
        </w:rPr>
        <w:t xml:space="preserve">. V období od poloviny června do poloviny září se počet těchto profilů zvýšil na 40 %, poté se na konci července snížil na 5–10 %, a v průběhu srpna opět vzrostl na téměř 40 %. V porovnání s předchozím rokem je viditelný výraznější nárůst profilů s hodnotami průměrných týdenních průtoků menšími než 25 % </w:t>
      </w:r>
      <w:proofErr w:type="spellStart"/>
      <w:r w:rsidRPr="00A43775">
        <w:rPr>
          <w:rFonts w:cs="Arial"/>
          <w:i/>
          <w:iCs/>
        </w:rPr>
        <w:t>Q</w:t>
      </w:r>
      <w:r w:rsidRPr="00A43775">
        <w:rPr>
          <w:rFonts w:cs="Arial"/>
          <w:vertAlign w:val="subscript"/>
        </w:rPr>
        <w:t>m</w:t>
      </w:r>
      <w:proofErr w:type="spellEnd"/>
      <w:r w:rsidRPr="00A43775">
        <w:rPr>
          <w:rFonts w:cs="Arial"/>
        </w:rPr>
        <w:t xml:space="preserve"> během června a shodný nárůst těchto profilů i během srpna.</w:t>
      </w:r>
    </w:p>
    <w:p w14:paraId="02E164B6" w14:textId="77777777" w:rsidR="00A43775" w:rsidRDefault="00A43775" w:rsidP="00A43775">
      <w:pPr>
        <w:rPr>
          <w:rFonts w:cs="Arial"/>
        </w:rPr>
      </w:pPr>
    </w:p>
    <w:p w14:paraId="796BDC87" w14:textId="110B8B08" w:rsidR="00A43775" w:rsidRPr="00A43775" w:rsidRDefault="00A43775" w:rsidP="00A43775">
      <w:pPr>
        <w:rPr>
          <w:rFonts w:cs="Arial"/>
        </w:rPr>
      </w:pPr>
      <w:r w:rsidRPr="00A43775">
        <w:rPr>
          <w:rFonts w:cs="Arial"/>
        </w:rPr>
        <w:t xml:space="preserve">Třetí období lze vymezit od poloviny září až do konce roku, kdy se výskyt profilů s indikací sucha pohyboval většinou do necelých 2 % hlásných profilů ve všech povodích. Obdobně je tomu i u profilů s průměrnými týdenními průtoky menšími než 25 % </w:t>
      </w:r>
      <w:proofErr w:type="spellStart"/>
      <w:r w:rsidRPr="00A43775">
        <w:rPr>
          <w:rFonts w:cs="Arial"/>
          <w:i/>
          <w:iCs/>
        </w:rPr>
        <w:t>Q</w:t>
      </w:r>
      <w:r w:rsidRPr="00A43775">
        <w:rPr>
          <w:rFonts w:cs="Arial"/>
          <w:vertAlign w:val="subscript"/>
        </w:rPr>
        <w:t>m</w:t>
      </w:r>
      <w:proofErr w:type="spellEnd"/>
      <w:r w:rsidRPr="00A43775">
        <w:rPr>
          <w:rFonts w:cs="Arial"/>
        </w:rPr>
        <w:t>, kde došlo k výraznému poklesu na začátku tohoto období a do konce roku se hodnoty pohybovaly do 10 % profilů.</w:t>
      </w:r>
    </w:p>
    <w:p w14:paraId="7FF7CA1D" w14:textId="77777777" w:rsidR="005722E5" w:rsidRPr="005722E5" w:rsidRDefault="005722E5" w:rsidP="00EC4075">
      <w:pPr>
        <w:pStyle w:val="Nadpis2"/>
        <w:spacing w:before="0"/>
        <w:contextualSpacing/>
      </w:pPr>
      <w:bookmarkStart w:id="18" w:name="_Toc10183405"/>
    </w:p>
    <w:p w14:paraId="05CA689E" w14:textId="54B35CB1" w:rsidR="00A67E5F" w:rsidRPr="005722E5" w:rsidRDefault="00EC4075" w:rsidP="00EC4075">
      <w:pPr>
        <w:pStyle w:val="Nadpis2"/>
        <w:spacing w:before="0"/>
        <w:contextualSpacing/>
      </w:pPr>
      <w:bookmarkStart w:id="19" w:name="_Toc236991610"/>
      <w:r w:rsidRPr="005722E5">
        <w:t xml:space="preserve">2.4 </w:t>
      </w:r>
      <w:r w:rsidR="004F69B3" w:rsidRPr="005722E5">
        <w:t>Meziresortní komise VODA-SUCHO</w:t>
      </w:r>
      <w:bookmarkEnd w:id="18"/>
      <w:bookmarkEnd w:id="19"/>
    </w:p>
    <w:p w14:paraId="2D95EE93" w14:textId="77777777" w:rsidR="00CB1AB8" w:rsidRPr="00104F7D" w:rsidRDefault="00CB1AB8" w:rsidP="00597E80">
      <w:pPr>
        <w:pStyle w:val="TZKikapopisek"/>
        <w:spacing w:before="0" w:after="0"/>
        <w:jc w:val="both"/>
        <w:rPr>
          <w:b/>
          <w:bCs/>
          <w:i w:val="0"/>
          <w:color w:val="auto"/>
          <w:sz w:val="22"/>
          <w:szCs w:val="22"/>
          <w:highlight w:val="yellow"/>
        </w:rPr>
      </w:pPr>
    </w:p>
    <w:p w14:paraId="3F5FA82B" w14:textId="6EF29593" w:rsidR="0035527F" w:rsidRPr="0035527F" w:rsidRDefault="0035527F" w:rsidP="0035527F">
      <w:r w:rsidRPr="0035527F">
        <w:t xml:space="preserve">Jelikož byla hydrologická situace v Česku v roce 2025 z hlediska hodnot blízká dlouhodobému normálu bez výraznějšího nadregionálního hydrologického sucha, bez výraznějších dopadů na dostupnost vody, spolehlivost vodních zdrojů i hospodářství Česka, nebylo v roce 2025 nutné svolávat zasedání Výkonného výboru Komise ani Poradního orgánu. V říjnu 2025 došlo z podnětu MZe k aktualizaci Jednacího řádu Komise, aby formulačně reagoval na technické a legislativní změny od poslední aktualizace v roce 2019 v souvislosti s prodloužením platnosti Koncepce i mandátu Komise. Nový Jednací řád Komise vstoupil v platnost po podpisu ministrů dotčených </w:t>
      </w:r>
      <w:r w:rsidRPr="0035527F">
        <w:lastRenderedPageBreak/>
        <w:t xml:space="preserve">resortů MŽP a MZe dne 15. prosince 2025. Naplňování jednotlivých opatření obsažených v Koncepci ochrany před následky sucha na území České republiky na období 2023–2027 se </w:t>
      </w:r>
      <w:r w:rsidR="00211C09">
        <w:t>uskutečňuje</w:t>
      </w:r>
      <w:r w:rsidRPr="0035527F">
        <w:t xml:space="preserve"> a standardně se jednotliví gestoři na rozhodujících ministerstvech věnovali jejich realizaci i přípravě podkladů pro Poziční zprávu za rok 2025</w:t>
      </w:r>
    </w:p>
    <w:p w14:paraId="2F993653" w14:textId="77777777" w:rsidR="00E95C28" w:rsidRPr="00104F7D" w:rsidRDefault="00E95C28" w:rsidP="00CB1AB8">
      <w:pPr>
        <w:rPr>
          <w:highlight w:val="yellow"/>
        </w:rPr>
      </w:pPr>
    </w:p>
    <w:p w14:paraId="6B391615" w14:textId="77777777" w:rsidR="004F69B3" w:rsidRPr="00D2205A" w:rsidRDefault="00357588">
      <w:pPr>
        <w:pStyle w:val="Nadpis1"/>
        <w:numPr>
          <w:ilvl w:val="0"/>
          <w:numId w:val="13"/>
        </w:numPr>
        <w:spacing w:before="0"/>
        <w:contextualSpacing/>
      </w:pPr>
      <w:r w:rsidRPr="00104F7D">
        <w:rPr>
          <w:color w:val="FF0000"/>
          <w:highlight w:val="yellow"/>
        </w:rPr>
        <w:br w:type="page"/>
      </w:r>
      <w:bookmarkStart w:id="20" w:name="_Toc10183406"/>
      <w:bookmarkStart w:id="21" w:name="_Toc236991611"/>
      <w:r w:rsidR="004F69B3" w:rsidRPr="00D2205A">
        <w:lastRenderedPageBreak/>
        <w:t>JAKOST POVRCHOVÝCH A PODZEMNÍCH VOD</w:t>
      </w:r>
      <w:bookmarkEnd w:id="20"/>
      <w:bookmarkEnd w:id="21"/>
    </w:p>
    <w:p w14:paraId="08111526" w14:textId="77777777" w:rsidR="004F3115" w:rsidRPr="00D2205A" w:rsidRDefault="004F3115" w:rsidP="004F3115">
      <w:pPr>
        <w:ind w:left="720"/>
      </w:pPr>
    </w:p>
    <w:p w14:paraId="49C2BD6A" w14:textId="42BCC701" w:rsidR="004F3115" w:rsidRPr="00D2205A" w:rsidRDefault="004F69B3">
      <w:pPr>
        <w:pStyle w:val="Nadpis2"/>
        <w:numPr>
          <w:ilvl w:val="1"/>
          <w:numId w:val="13"/>
        </w:numPr>
        <w:spacing w:before="0"/>
        <w:contextualSpacing/>
      </w:pPr>
      <w:bookmarkStart w:id="22" w:name="_Toc10183407"/>
      <w:bookmarkStart w:id="23" w:name="_Toc236991612"/>
      <w:r w:rsidRPr="00D2205A">
        <w:t>Jakost povrchových vod</w:t>
      </w:r>
      <w:bookmarkEnd w:id="22"/>
      <w:bookmarkEnd w:id="23"/>
    </w:p>
    <w:p w14:paraId="3BDC538B" w14:textId="77777777" w:rsidR="00D2205A" w:rsidRPr="00D2205A" w:rsidRDefault="00D2205A" w:rsidP="00C21FEF">
      <w:pPr>
        <w:pStyle w:val="tun-vod"/>
        <w:spacing w:before="0" w:after="0"/>
        <w:rPr>
          <w:rFonts w:ascii="Arial" w:hAnsi="Arial" w:cs="Arial"/>
          <w:b w:val="0"/>
          <w:sz w:val="22"/>
          <w:szCs w:val="22"/>
        </w:rPr>
      </w:pPr>
    </w:p>
    <w:p w14:paraId="72D33C5F" w14:textId="77777777" w:rsidR="00D2205A" w:rsidRPr="00D2205A" w:rsidRDefault="00D2205A" w:rsidP="00D2205A">
      <w:pPr>
        <w:pStyle w:val="tun-vod"/>
        <w:spacing w:before="0" w:after="0"/>
        <w:rPr>
          <w:rFonts w:ascii="Arial" w:hAnsi="Arial" w:cs="Arial"/>
          <w:i/>
          <w:sz w:val="22"/>
          <w:szCs w:val="22"/>
        </w:rPr>
      </w:pPr>
      <w:r w:rsidRPr="00D2205A">
        <w:rPr>
          <w:rFonts w:ascii="Arial" w:hAnsi="Arial" w:cs="Arial"/>
          <w:i/>
          <w:sz w:val="22"/>
          <w:szCs w:val="22"/>
        </w:rPr>
        <w:t>Současná jakost povrchových vod dle ČSN 75 7221 ve srovnání s dvouletím 1991–1992</w:t>
      </w:r>
    </w:p>
    <w:p w14:paraId="7DB03C13" w14:textId="77777777" w:rsidR="00D2205A" w:rsidRPr="00D2205A" w:rsidRDefault="00D2205A" w:rsidP="00D2205A">
      <w:pPr>
        <w:pStyle w:val="tun-vod"/>
        <w:spacing w:before="0" w:after="0"/>
        <w:rPr>
          <w:rFonts w:ascii="Arial" w:hAnsi="Arial" w:cs="Arial"/>
          <w:sz w:val="22"/>
          <w:szCs w:val="22"/>
        </w:rPr>
      </w:pPr>
    </w:p>
    <w:p w14:paraId="2CBFEA72" w14:textId="774A6FCE" w:rsidR="00D2205A" w:rsidRPr="00D2205A" w:rsidRDefault="00D2205A" w:rsidP="00D2205A">
      <w:pPr>
        <w:pStyle w:val="tun-vod"/>
        <w:spacing w:before="0" w:after="0"/>
        <w:rPr>
          <w:rFonts w:ascii="Arial" w:hAnsi="Arial" w:cs="Arial"/>
          <w:sz w:val="22"/>
          <w:szCs w:val="22"/>
        </w:rPr>
      </w:pPr>
      <w:r w:rsidRPr="00D2205A">
        <w:rPr>
          <w:rFonts w:ascii="Arial" w:hAnsi="Arial" w:cs="Arial"/>
          <w:sz w:val="22"/>
          <w:szCs w:val="22"/>
        </w:rPr>
        <w:t xml:space="preserve">Mapa jakosti povrchových vod na vybraných tocích České republiky byla poprvé zpracována k časové úrovni dvouletí 1991–1992 podle ČSN 75 7221 Jakost vod – Klasifikace jakosti povrchových vod. Od tohoto dvouletí se každoročně zpracovávaly stejné mapy tak, aby bylo možné je vždy porovnat s aktuálním stavem jakosti vod. Vzhledem k rozsahu sledovaných ukazatelů v 90. letech se zpracovává pouze porovnání podle základní klasifikace. Od 1. 12. 2017 začala platit novelizovaná norma ČSN 75 7221 Kvalita vod – Klasifikace kvality povrchových vod, která nahrazuje předchozí 19 let platnou normu ČSN 75 7221 Jakost vod – Klasifikace jakosti povrchových vod. </w:t>
      </w:r>
    </w:p>
    <w:p w14:paraId="5A718605" w14:textId="77777777" w:rsidR="00D2205A" w:rsidRPr="00D2205A" w:rsidRDefault="00D2205A" w:rsidP="00D2205A">
      <w:pPr>
        <w:pStyle w:val="tun-vod"/>
        <w:spacing w:before="0" w:after="0"/>
        <w:rPr>
          <w:rFonts w:ascii="Arial" w:hAnsi="Arial" w:cs="Arial"/>
          <w:sz w:val="22"/>
          <w:szCs w:val="22"/>
          <w:highlight w:val="yellow"/>
        </w:rPr>
      </w:pPr>
    </w:p>
    <w:p w14:paraId="09D613CB" w14:textId="04D16620" w:rsidR="00D2205A" w:rsidRPr="00D2205A" w:rsidRDefault="00D2205A" w:rsidP="00C21FEF">
      <w:pPr>
        <w:pStyle w:val="tun-vod"/>
        <w:spacing w:before="0" w:after="0"/>
        <w:rPr>
          <w:rFonts w:ascii="Arial" w:hAnsi="Arial" w:cs="Arial"/>
          <w:b w:val="0"/>
          <w:bCs/>
          <w:sz w:val="22"/>
          <w:szCs w:val="22"/>
        </w:rPr>
      </w:pPr>
      <w:r w:rsidRPr="00D2205A">
        <w:rPr>
          <w:rFonts w:ascii="Arial" w:hAnsi="Arial" w:cs="Arial"/>
          <w:b w:val="0"/>
          <w:bCs/>
          <w:sz w:val="22"/>
          <w:szCs w:val="22"/>
        </w:rPr>
        <w:t>Předmětem novely bylo zohlednit požadavky na současnou úroveň ochrany povrchových vod, a to jak z hlediska ukazatelů znečištění, tak i úrovně přípustného znečištění. Revizí prošel jak rozsah ukazatelů, tak mezní hodnoty tříd kvality. Proto byla pro objektivní porovnání znovu zpracována i mapa jakosti povrchových vod pro dvouletí 1991</w:t>
      </w:r>
      <w:r w:rsidR="00AD46CA" w:rsidRPr="00AD46CA">
        <w:rPr>
          <w:rFonts w:ascii="Arial" w:hAnsi="Arial" w:cs="Arial"/>
          <w:b w:val="0"/>
          <w:bCs/>
          <w:sz w:val="22"/>
          <w:szCs w:val="22"/>
        </w:rPr>
        <w:t>–</w:t>
      </w:r>
      <w:r w:rsidRPr="00D2205A">
        <w:rPr>
          <w:rFonts w:ascii="Arial" w:hAnsi="Arial" w:cs="Arial"/>
          <w:b w:val="0"/>
          <w:bCs/>
          <w:sz w:val="22"/>
          <w:szCs w:val="22"/>
        </w:rPr>
        <w:t>1992 (Obrázek 3.1.1) dle novelizované ČSN 75 7221.</w:t>
      </w:r>
    </w:p>
    <w:p w14:paraId="5B1081AC" w14:textId="77777777" w:rsidR="00FB4658" w:rsidRPr="00104F7D" w:rsidRDefault="00FB4658" w:rsidP="007C4955">
      <w:pPr>
        <w:pStyle w:val="Nadpisobrzku"/>
        <w:spacing w:before="0" w:after="0"/>
        <w:ind w:left="0" w:firstLine="0"/>
        <w:contextualSpacing/>
        <w:rPr>
          <w:rFonts w:ascii="Arial" w:hAnsi="Arial" w:cs="Arial"/>
          <w:b w:val="0"/>
          <w:color w:val="FF0000"/>
          <w:spacing w:val="4"/>
          <w:sz w:val="22"/>
          <w:szCs w:val="22"/>
          <w:highlight w:val="yellow"/>
          <w:shd w:val="clear" w:color="auto" w:fill="FFFFFF"/>
        </w:rPr>
      </w:pPr>
    </w:p>
    <w:p w14:paraId="234B7815" w14:textId="77777777" w:rsidR="001A5652" w:rsidRPr="00D2205A" w:rsidRDefault="008409C0" w:rsidP="007C4955">
      <w:pPr>
        <w:pStyle w:val="Nadpisobrzku"/>
        <w:spacing w:before="0" w:after="0"/>
        <w:ind w:left="0" w:firstLine="0"/>
        <w:contextualSpacing/>
        <w:rPr>
          <w:rFonts w:ascii="Arial" w:hAnsi="Arial"/>
          <w:i/>
          <w:sz w:val="22"/>
          <w:szCs w:val="22"/>
          <w:lang w:val="cs-CZ"/>
        </w:rPr>
      </w:pPr>
      <w:r w:rsidRPr="00D2205A">
        <w:rPr>
          <w:rFonts w:ascii="Arial" w:hAnsi="Arial"/>
          <w:i/>
          <w:sz w:val="22"/>
          <w:szCs w:val="22"/>
        </w:rPr>
        <w:t>Obrázek 3.1.1</w:t>
      </w:r>
      <w:r w:rsidRPr="00D2205A">
        <w:rPr>
          <w:rFonts w:ascii="Arial" w:hAnsi="Arial"/>
          <w:i/>
          <w:sz w:val="22"/>
          <w:szCs w:val="22"/>
        </w:rPr>
        <w:tab/>
      </w:r>
    </w:p>
    <w:p w14:paraId="214A73E1" w14:textId="4AC40766" w:rsidR="008409C0" w:rsidRPr="00D2205A" w:rsidRDefault="00D51F4E" w:rsidP="007C4955">
      <w:pPr>
        <w:pStyle w:val="Nadpisobrzku"/>
        <w:spacing w:before="0" w:after="0"/>
        <w:ind w:left="0" w:firstLine="0"/>
        <w:contextualSpacing/>
        <w:rPr>
          <w:rFonts w:ascii="Arial" w:hAnsi="Arial"/>
          <w:i/>
          <w:sz w:val="22"/>
          <w:szCs w:val="22"/>
          <w:lang w:val="cs-CZ"/>
        </w:rPr>
      </w:pPr>
      <w:r w:rsidRPr="00D2205A">
        <w:rPr>
          <w:rFonts w:ascii="Arial" w:hAnsi="Arial"/>
          <w:i/>
          <w:sz w:val="22"/>
          <w:szCs w:val="22"/>
          <w:lang w:val="cs-CZ"/>
        </w:rPr>
        <w:t>Kvalita povrchových vod v</w:t>
      </w:r>
      <w:r w:rsidR="001A1995" w:rsidRPr="00D2205A">
        <w:rPr>
          <w:rFonts w:ascii="Arial" w:hAnsi="Arial"/>
          <w:i/>
          <w:sz w:val="22"/>
          <w:szCs w:val="22"/>
          <w:lang w:val="cs-CZ"/>
        </w:rPr>
        <w:t xml:space="preserve"> </w:t>
      </w:r>
      <w:r w:rsidR="008409C0" w:rsidRPr="00D2205A">
        <w:rPr>
          <w:rFonts w:ascii="Arial" w:hAnsi="Arial"/>
          <w:i/>
          <w:sz w:val="22"/>
          <w:szCs w:val="22"/>
        </w:rPr>
        <w:t>České republi</w:t>
      </w:r>
      <w:r w:rsidRPr="00D2205A">
        <w:rPr>
          <w:rFonts w:ascii="Arial" w:hAnsi="Arial"/>
          <w:i/>
          <w:sz w:val="22"/>
          <w:szCs w:val="22"/>
          <w:lang w:val="cs-CZ"/>
        </w:rPr>
        <w:t>ce</w:t>
      </w:r>
      <w:r w:rsidR="008409C0" w:rsidRPr="00D2205A">
        <w:rPr>
          <w:rFonts w:ascii="Arial" w:hAnsi="Arial"/>
          <w:i/>
          <w:sz w:val="22"/>
          <w:szCs w:val="22"/>
        </w:rPr>
        <w:t xml:space="preserve"> </w:t>
      </w:r>
      <w:r w:rsidR="00A46B07" w:rsidRPr="00D2205A">
        <w:rPr>
          <w:rFonts w:ascii="Arial" w:hAnsi="Arial"/>
          <w:i/>
          <w:sz w:val="22"/>
          <w:szCs w:val="22"/>
          <w:lang w:val="cs-CZ"/>
        </w:rPr>
        <w:t xml:space="preserve">v letech </w:t>
      </w:r>
      <w:r w:rsidR="008409C0" w:rsidRPr="00D2205A">
        <w:rPr>
          <w:rFonts w:ascii="Arial" w:hAnsi="Arial"/>
          <w:i/>
          <w:sz w:val="22"/>
          <w:szCs w:val="22"/>
        </w:rPr>
        <w:t>1991–1992</w:t>
      </w:r>
    </w:p>
    <w:p w14:paraId="404C45B2" w14:textId="09F3C085" w:rsidR="001B6DB3" w:rsidRPr="00104F7D" w:rsidRDefault="00D967EB" w:rsidP="007C4955">
      <w:pPr>
        <w:pStyle w:val="Nadpisobrzku"/>
        <w:spacing w:before="0" w:after="0"/>
        <w:ind w:left="0" w:firstLine="0"/>
        <w:contextualSpacing/>
        <w:rPr>
          <w:rFonts w:ascii="Arial" w:hAnsi="Arial"/>
          <w:i/>
          <w:color w:val="FF0000"/>
          <w:sz w:val="20"/>
          <w:highlight w:val="yellow"/>
          <w:lang w:val="cs-CZ"/>
        </w:rPr>
      </w:pPr>
      <w:r>
        <w:rPr>
          <w:noProof/>
        </w:rPr>
        <w:drawing>
          <wp:inline distT="0" distB="0" distL="0" distR="0" wp14:anchorId="672D56A0" wp14:editId="42175965">
            <wp:extent cx="5388428" cy="3308684"/>
            <wp:effectExtent l="0" t="0" r="3175" b="6350"/>
            <wp:docPr id="56413534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135348" name="Obrázek 564135348"/>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397897" cy="3314499"/>
                    </a:xfrm>
                    <a:prstGeom prst="rect">
                      <a:avLst/>
                    </a:prstGeom>
                  </pic:spPr>
                </pic:pic>
              </a:graphicData>
            </a:graphic>
          </wp:inline>
        </w:drawing>
      </w:r>
    </w:p>
    <w:p w14:paraId="491A9807" w14:textId="77777777" w:rsidR="008409C0" w:rsidRPr="00D967EB" w:rsidRDefault="008409C0" w:rsidP="007C4955">
      <w:pPr>
        <w:contextualSpacing/>
        <w:rPr>
          <w:i/>
          <w:sz w:val="20"/>
          <w:szCs w:val="20"/>
        </w:rPr>
      </w:pPr>
      <w:r w:rsidRPr="00D967EB">
        <w:rPr>
          <w:i/>
          <w:sz w:val="20"/>
          <w:szCs w:val="20"/>
        </w:rPr>
        <w:t>Pramen: VÚV TGM, z podkladů ČHMÚ</w:t>
      </w:r>
    </w:p>
    <w:p w14:paraId="1C4720A2" w14:textId="77777777" w:rsidR="008409C0" w:rsidRPr="00104F7D" w:rsidRDefault="008409C0" w:rsidP="007C4955">
      <w:pPr>
        <w:contextualSpacing/>
        <w:rPr>
          <w:color w:val="FF0000"/>
          <w:sz w:val="20"/>
          <w:szCs w:val="20"/>
          <w:highlight w:val="yellow"/>
        </w:rPr>
      </w:pPr>
    </w:p>
    <w:p w14:paraId="0F8B8F45" w14:textId="27867DAD" w:rsidR="00B267AA" w:rsidRPr="00104F7D" w:rsidRDefault="00357588" w:rsidP="00B267AA">
      <w:pPr>
        <w:pStyle w:val="bn-text"/>
        <w:spacing w:before="0" w:after="0"/>
        <w:ind w:firstLine="0"/>
        <w:contextualSpacing/>
        <w:rPr>
          <w:rFonts w:ascii="Arial" w:hAnsi="Arial"/>
          <w:b/>
          <w:i/>
          <w:color w:val="FF0000"/>
          <w:sz w:val="22"/>
          <w:szCs w:val="22"/>
          <w:highlight w:val="yellow"/>
        </w:rPr>
      </w:pPr>
      <w:r w:rsidRPr="00104F7D">
        <w:rPr>
          <w:rFonts w:ascii="Arial" w:hAnsi="Arial"/>
          <w:b/>
          <w:i/>
          <w:color w:val="FF0000"/>
          <w:sz w:val="22"/>
          <w:szCs w:val="22"/>
          <w:highlight w:val="yellow"/>
        </w:rPr>
        <w:br w:type="page"/>
      </w:r>
    </w:p>
    <w:p w14:paraId="7FCEC548" w14:textId="69664C49" w:rsidR="0087667A" w:rsidRDefault="00BB36A2" w:rsidP="007C4955">
      <w:pPr>
        <w:pStyle w:val="bn-text"/>
        <w:spacing w:before="0" w:after="0"/>
        <w:ind w:firstLine="0"/>
        <w:contextualSpacing/>
        <w:rPr>
          <w:rFonts w:ascii="Arial" w:hAnsi="Arial" w:cs="Arial"/>
          <w:sz w:val="22"/>
          <w:szCs w:val="22"/>
        </w:rPr>
      </w:pPr>
      <w:r w:rsidRPr="00BB36A2">
        <w:rPr>
          <w:rFonts w:ascii="Arial" w:hAnsi="Arial" w:cs="Arial"/>
          <w:sz w:val="22"/>
          <w:szCs w:val="22"/>
        </w:rPr>
        <w:lastRenderedPageBreak/>
        <w:t xml:space="preserve">Pro hodnocení jakosti povrchových vod byly použity ukazatele – </w:t>
      </w:r>
      <w:proofErr w:type="spellStart"/>
      <w:r w:rsidRPr="00BB36A2">
        <w:rPr>
          <w:rFonts w:ascii="Arial" w:hAnsi="Arial" w:cs="Arial"/>
          <w:sz w:val="22"/>
          <w:szCs w:val="22"/>
        </w:rPr>
        <w:t>CHSK</w:t>
      </w:r>
      <w:r w:rsidRPr="00860CAA">
        <w:rPr>
          <w:rFonts w:ascii="Arial" w:hAnsi="Arial" w:cs="Arial"/>
          <w:sz w:val="22"/>
          <w:szCs w:val="22"/>
          <w:vertAlign w:val="subscript"/>
        </w:rPr>
        <w:t>Cr</w:t>
      </w:r>
      <w:proofErr w:type="spellEnd"/>
      <w:r w:rsidRPr="00BB36A2">
        <w:rPr>
          <w:rFonts w:ascii="Arial" w:hAnsi="Arial" w:cs="Arial"/>
          <w:sz w:val="22"/>
          <w:szCs w:val="22"/>
        </w:rPr>
        <w:t>, BSK</w:t>
      </w:r>
      <w:r w:rsidRPr="00860CAA">
        <w:rPr>
          <w:rFonts w:ascii="Arial" w:hAnsi="Arial" w:cs="Arial"/>
          <w:sz w:val="22"/>
          <w:szCs w:val="22"/>
          <w:vertAlign w:val="subscript"/>
        </w:rPr>
        <w:t>5</w:t>
      </w:r>
      <w:r w:rsidRPr="00BB36A2">
        <w:rPr>
          <w:rFonts w:ascii="Arial" w:hAnsi="Arial" w:cs="Arial"/>
          <w:sz w:val="22"/>
          <w:szCs w:val="22"/>
        </w:rPr>
        <w:t>, N-NH</w:t>
      </w:r>
      <w:r w:rsidRPr="00860CAA">
        <w:rPr>
          <w:rFonts w:ascii="Arial" w:hAnsi="Arial" w:cs="Arial"/>
          <w:sz w:val="22"/>
          <w:szCs w:val="22"/>
          <w:vertAlign w:val="subscript"/>
        </w:rPr>
        <w:t>4</w:t>
      </w:r>
      <w:r w:rsidRPr="00BB36A2">
        <w:rPr>
          <w:rFonts w:ascii="Arial" w:hAnsi="Arial" w:cs="Arial"/>
          <w:sz w:val="22"/>
          <w:szCs w:val="22"/>
        </w:rPr>
        <w:t>, N-NO</w:t>
      </w:r>
      <w:r w:rsidRPr="00860CAA">
        <w:rPr>
          <w:rFonts w:ascii="Arial" w:hAnsi="Arial" w:cs="Arial"/>
          <w:sz w:val="22"/>
          <w:szCs w:val="22"/>
          <w:vertAlign w:val="subscript"/>
        </w:rPr>
        <w:t>3</w:t>
      </w:r>
      <w:r w:rsidRPr="00BB36A2">
        <w:rPr>
          <w:rFonts w:ascii="Arial" w:hAnsi="Arial" w:cs="Arial"/>
          <w:sz w:val="22"/>
          <w:szCs w:val="22"/>
        </w:rPr>
        <w:t xml:space="preserve"> </w:t>
      </w:r>
      <w:r w:rsidR="00860CAA">
        <w:rPr>
          <w:rFonts w:ascii="Arial" w:hAnsi="Arial" w:cs="Arial"/>
          <w:sz w:val="22"/>
          <w:szCs w:val="22"/>
        </w:rPr>
        <w:br/>
      </w:r>
      <w:r w:rsidRPr="00BB36A2">
        <w:rPr>
          <w:rFonts w:ascii="Arial" w:hAnsi="Arial" w:cs="Arial"/>
          <w:sz w:val="22"/>
          <w:szCs w:val="22"/>
        </w:rPr>
        <w:t xml:space="preserve">a </w:t>
      </w:r>
      <w:proofErr w:type="spellStart"/>
      <w:r w:rsidRPr="00BB36A2">
        <w:rPr>
          <w:rFonts w:ascii="Arial" w:hAnsi="Arial" w:cs="Arial"/>
          <w:sz w:val="22"/>
          <w:szCs w:val="22"/>
        </w:rPr>
        <w:t>P</w:t>
      </w:r>
      <w:r w:rsidRPr="00860CAA">
        <w:rPr>
          <w:rFonts w:ascii="Arial" w:hAnsi="Arial" w:cs="Arial"/>
          <w:sz w:val="22"/>
          <w:szCs w:val="22"/>
          <w:vertAlign w:val="subscript"/>
        </w:rPr>
        <w:t>celk</w:t>
      </w:r>
      <w:proofErr w:type="spellEnd"/>
      <w:r w:rsidRPr="00BB36A2">
        <w:rPr>
          <w:rFonts w:ascii="Arial" w:hAnsi="Arial" w:cs="Arial"/>
          <w:sz w:val="22"/>
          <w:szCs w:val="22"/>
        </w:rPr>
        <w:t>. Z obrázku 3.1.2 je patrné, že během posledních 33 let došlo ke zlepšení jakosti vod, nicméně i v současnosti se stále vyskytují úseky vodních toků zařazené do V. třídy jakosti povrchové vody. Nejvíce vodních toků spadá podle základní klasifikace do III. třídy – znečištěná voda. Postupně také přibývá více úseků toků spadajících do I. a II. třídy.</w:t>
      </w:r>
    </w:p>
    <w:p w14:paraId="447A7C37" w14:textId="77777777" w:rsidR="00BB36A2" w:rsidRPr="00104F7D" w:rsidRDefault="00BB36A2" w:rsidP="007C4955">
      <w:pPr>
        <w:pStyle w:val="bn-text"/>
        <w:spacing w:before="0" w:after="0"/>
        <w:ind w:firstLine="0"/>
        <w:contextualSpacing/>
        <w:rPr>
          <w:rFonts w:ascii="Arial" w:hAnsi="Arial"/>
          <w:b/>
          <w:i/>
          <w:sz w:val="22"/>
          <w:szCs w:val="22"/>
          <w:highlight w:val="yellow"/>
        </w:rPr>
      </w:pPr>
    </w:p>
    <w:p w14:paraId="6FBBA364" w14:textId="5E33AF09" w:rsidR="00C80030" w:rsidRPr="00442CCE" w:rsidRDefault="008409C0" w:rsidP="007C4955">
      <w:pPr>
        <w:pStyle w:val="bn-text"/>
        <w:spacing w:before="0" w:after="0"/>
        <w:ind w:firstLine="0"/>
        <w:contextualSpacing/>
        <w:rPr>
          <w:rFonts w:ascii="Arial" w:hAnsi="Arial"/>
          <w:b/>
          <w:i/>
          <w:sz w:val="22"/>
          <w:szCs w:val="22"/>
        </w:rPr>
      </w:pPr>
      <w:r w:rsidRPr="00442CCE">
        <w:rPr>
          <w:rFonts w:ascii="Arial" w:hAnsi="Arial"/>
          <w:b/>
          <w:i/>
          <w:sz w:val="22"/>
          <w:szCs w:val="22"/>
        </w:rPr>
        <w:t>Obrázek 3.1.2</w:t>
      </w:r>
      <w:r w:rsidRPr="00442CCE">
        <w:rPr>
          <w:rFonts w:ascii="Arial" w:hAnsi="Arial"/>
          <w:b/>
          <w:i/>
          <w:sz w:val="22"/>
          <w:szCs w:val="22"/>
        </w:rPr>
        <w:tab/>
      </w:r>
    </w:p>
    <w:p w14:paraId="0C782A8B" w14:textId="0AE10FD7" w:rsidR="008409C0" w:rsidRPr="00442CCE" w:rsidRDefault="00D51F4E" w:rsidP="007C4955">
      <w:pPr>
        <w:pStyle w:val="bn-text"/>
        <w:spacing w:before="0" w:after="0"/>
        <w:ind w:firstLine="0"/>
        <w:contextualSpacing/>
        <w:rPr>
          <w:rFonts w:ascii="Arial" w:hAnsi="Arial"/>
          <w:b/>
          <w:i/>
          <w:sz w:val="22"/>
          <w:szCs w:val="22"/>
        </w:rPr>
      </w:pPr>
      <w:r w:rsidRPr="00442CCE">
        <w:rPr>
          <w:rFonts w:ascii="Arial" w:hAnsi="Arial"/>
          <w:b/>
          <w:i/>
          <w:sz w:val="22"/>
          <w:szCs w:val="22"/>
        </w:rPr>
        <w:t>Kvalita povrchových vod v</w:t>
      </w:r>
      <w:r w:rsidRPr="00442CCE" w:rsidDel="00D51F4E">
        <w:rPr>
          <w:rFonts w:ascii="Arial" w:hAnsi="Arial"/>
          <w:b/>
          <w:i/>
          <w:sz w:val="22"/>
          <w:szCs w:val="22"/>
        </w:rPr>
        <w:t xml:space="preserve"> </w:t>
      </w:r>
      <w:r w:rsidR="008409C0" w:rsidRPr="00442CCE">
        <w:rPr>
          <w:rFonts w:ascii="Arial" w:hAnsi="Arial"/>
          <w:b/>
          <w:i/>
          <w:sz w:val="22"/>
          <w:szCs w:val="22"/>
        </w:rPr>
        <w:t>České republi</w:t>
      </w:r>
      <w:r w:rsidRPr="00442CCE">
        <w:rPr>
          <w:rFonts w:ascii="Arial" w:hAnsi="Arial"/>
          <w:b/>
          <w:i/>
          <w:sz w:val="22"/>
          <w:szCs w:val="22"/>
        </w:rPr>
        <w:t>ce</w:t>
      </w:r>
      <w:r w:rsidR="008409C0" w:rsidRPr="00442CCE">
        <w:rPr>
          <w:rFonts w:ascii="Arial" w:hAnsi="Arial"/>
          <w:b/>
          <w:i/>
          <w:sz w:val="22"/>
          <w:szCs w:val="22"/>
        </w:rPr>
        <w:t xml:space="preserve"> </w:t>
      </w:r>
      <w:r w:rsidR="00A46B07" w:rsidRPr="00442CCE">
        <w:rPr>
          <w:rFonts w:ascii="Arial" w:hAnsi="Arial"/>
          <w:b/>
          <w:i/>
          <w:sz w:val="22"/>
          <w:szCs w:val="22"/>
        </w:rPr>
        <w:t xml:space="preserve">v letech </w:t>
      </w:r>
      <w:r w:rsidR="008409C0" w:rsidRPr="00442CCE">
        <w:rPr>
          <w:rFonts w:ascii="Arial" w:hAnsi="Arial"/>
          <w:b/>
          <w:i/>
          <w:sz w:val="22"/>
          <w:szCs w:val="22"/>
        </w:rPr>
        <w:t>20</w:t>
      </w:r>
      <w:r w:rsidR="00610226" w:rsidRPr="00442CCE">
        <w:rPr>
          <w:rFonts w:ascii="Arial" w:hAnsi="Arial"/>
          <w:b/>
          <w:i/>
          <w:sz w:val="22"/>
          <w:szCs w:val="22"/>
        </w:rPr>
        <w:t>2</w:t>
      </w:r>
      <w:r w:rsidR="00442CCE" w:rsidRPr="00442CCE">
        <w:rPr>
          <w:rFonts w:ascii="Arial" w:hAnsi="Arial"/>
          <w:b/>
          <w:i/>
          <w:sz w:val="22"/>
          <w:szCs w:val="22"/>
        </w:rPr>
        <w:t>4</w:t>
      </w:r>
      <w:r w:rsidR="008409C0" w:rsidRPr="00442CCE">
        <w:rPr>
          <w:rFonts w:ascii="Arial" w:hAnsi="Arial"/>
          <w:b/>
          <w:i/>
          <w:sz w:val="22"/>
          <w:szCs w:val="22"/>
        </w:rPr>
        <w:t>–20</w:t>
      </w:r>
      <w:r w:rsidR="00FB4658" w:rsidRPr="00442CCE">
        <w:rPr>
          <w:rFonts w:ascii="Arial" w:hAnsi="Arial"/>
          <w:b/>
          <w:i/>
          <w:sz w:val="22"/>
          <w:szCs w:val="22"/>
        </w:rPr>
        <w:t>2</w:t>
      </w:r>
      <w:r w:rsidR="00442CCE" w:rsidRPr="00442CCE">
        <w:rPr>
          <w:rFonts w:ascii="Arial" w:hAnsi="Arial"/>
          <w:b/>
          <w:i/>
          <w:sz w:val="22"/>
          <w:szCs w:val="22"/>
        </w:rPr>
        <w:t>5</w:t>
      </w:r>
    </w:p>
    <w:p w14:paraId="7904C9AB" w14:textId="736E8843" w:rsidR="00FB4658" w:rsidRPr="00442CCE" w:rsidRDefault="0008670F" w:rsidP="007C4955">
      <w:pPr>
        <w:contextualSpacing/>
        <w:rPr>
          <w:noProof/>
          <w:color w:val="FF0000"/>
          <w:lang w:eastAsia="cs-CZ"/>
        </w:rPr>
      </w:pPr>
      <w:r w:rsidRPr="00442CCE">
        <w:rPr>
          <w:noProof/>
        </w:rPr>
        <w:drawing>
          <wp:inline distT="0" distB="0" distL="0" distR="0" wp14:anchorId="726E62E1" wp14:editId="1B8E6DCF">
            <wp:extent cx="4782552" cy="3381842"/>
            <wp:effectExtent l="0" t="0" r="0" b="9525"/>
            <wp:docPr id="13412929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29293" name="Obrázek 134129293"/>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793064" cy="3389275"/>
                    </a:xfrm>
                    <a:prstGeom prst="rect">
                      <a:avLst/>
                    </a:prstGeom>
                  </pic:spPr>
                </pic:pic>
              </a:graphicData>
            </a:graphic>
          </wp:inline>
        </w:drawing>
      </w:r>
    </w:p>
    <w:p w14:paraId="4CA712AD" w14:textId="77777777" w:rsidR="00AC38E2" w:rsidRDefault="008409C0" w:rsidP="00AC38E2">
      <w:pPr>
        <w:contextualSpacing/>
        <w:rPr>
          <w:i/>
          <w:sz w:val="20"/>
          <w:szCs w:val="20"/>
        </w:rPr>
      </w:pPr>
      <w:r w:rsidRPr="00442CCE">
        <w:rPr>
          <w:i/>
          <w:sz w:val="20"/>
          <w:szCs w:val="20"/>
        </w:rPr>
        <w:t>Pramen: VÚV TGM, z podkladů s. p. Povodí a ČHMÚ</w:t>
      </w:r>
    </w:p>
    <w:p w14:paraId="2EF8A309" w14:textId="77777777" w:rsidR="00AC38E2" w:rsidRDefault="00AC38E2" w:rsidP="00AC38E2">
      <w:pPr>
        <w:contextualSpacing/>
        <w:rPr>
          <w:i/>
          <w:sz w:val="20"/>
          <w:szCs w:val="20"/>
        </w:rPr>
      </w:pPr>
    </w:p>
    <w:p w14:paraId="50E033EC" w14:textId="340722EE" w:rsidR="00E076F0" w:rsidRDefault="00AC38E2" w:rsidP="00AC38E2">
      <w:pPr>
        <w:contextualSpacing/>
        <w:rPr>
          <w:rFonts w:cs="Arial"/>
        </w:rPr>
      </w:pPr>
      <w:r w:rsidRPr="00AC38E2">
        <w:rPr>
          <w:rFonts w:cs="Arial"/>
        </w:rPr>
        <w:t xml:space="preserve">Pro zpracování výše uvedené mapy jakosti vody v tocích České republiky za období </w:t>
      </w:r>
      <w:r w:rsidR="002F048D" w:rsidRPr="00AC38E2">
        <w:rPr>
          <w:rFonts w:cs="Arial"/>
        </w:rPr>
        <w:t>2024–2025</w:t>
      </w:r>
      <w:r w:rsidRPr="00AC38E2">
        <w:rPr>
          <w:rFonts w:cs="Arial"/>
        </w:rPr>
        <w:t xml:space="preserve"> bylo použito výsledné zhodnocení z vybraných profilů sítě sledování jakosti vod v tocích, které poskytlo ČHMÚ (z primárních dat zaslaných jednotlivými s. p. Povodí). Zařazení sledovaných profilů do tříd čistoty podle novelizované ČSN 75 7221 je následující:</w:t>
      </w:r>
    </w:p>
    <w:p w14:paraId="292F76BA" w14:textId="77777777" w:rsidR="002F048D" w:rsidRPr="00AC38E2" w:rsidRDefault="002F048D" w:rsidP="00AC38E2">
      <w:pPr>
        <w:contextualSpacing/>
        <w:rPr>
          <w:i/>
          <w:sz w:val="20"/>
          <w:szCs w:val="20"/>
        </w:rPr>
      </w:pPr>
    </w:p>
    <w:p w14:paraId="4434D188" w14:textId="77777777" w:rsidR="00E076F0" w:rsidRPr="00B56612" w:rsidRDefault="00E076F0" w:rsidP="00E076F0">
      <w:pPr>
        <w:pStyle w:val="Tdy"/>
        <w:rPr>
          <w:rFonts w:ascii="Arial" w:hAnsi="Arial" w:cs="Arial"/>
          <w:sz w:val="22"/>
          <w:szCs w:val="22"/>
        </w:rPr>
      </w:pPr>
      <w:r w:rsidRPr="00B56612">
        <w:rPr>
          <w:rFonts w:ascii="Arial" w:hAnsi="Arial" w:cs="Arial"/>
          <w:sz w:val="22"/>
          <w:szCs w:val="22"/>
        </w:rPr>
        <w:t xml:space="preserve">I. třída </w:t>
      </w:r>
      <w:r w:rsidRPr="00B56612">
        <w:rPr>
          <w:rFonts w:ascii="Arial" w:hAnsi="Arial" w:cs="Arial"/>
          <w:sz w:val="22"/>
          <w:szCs w:val="22"/>
        </w:rPr>
        <w:tab/>
        <w:t>neznečištěná voda – stav povrchové vody, který nebyl významně ovlivněn lidskou činností, a při kterém ukazatele jakosti vody nepřesahují hodnoty odpovídající běžnému přirozenému pozadí v toku,</w:t>
      </w:r>
    </w:p>
    <w:p w14:paraId="39571E5B" w14:textId="77777777" w:rsidR="00E076F0" w:rsidRPr="00B56612" w:rsidRDefault="00E076F0" w:rsidP="00E076F0">
      <w:pPr>
        <w:pStyle w:val="Tdy"/>
        <w:rPr>
          <w:rFonts w:ascii="Arial" w:hAnsi="Arial" w:cs="Arial"/>
          <w:sz w:val="22"/>
          <w:szCs w:val="22"/>
        </w:rPr>
      </w:pPr>
      <w:r w:rsidRPr="00B56612">
        <w:rPr>
          <w:rFonts w:ascii="Arial" w:hAnsi="Arial" w:cs="Arial"/>
          <w:sz w:val="22"/>
          <w:szCs w:val="22"/>
        </w:rPr>
        <w:t>II. třída</w:t>
      </w:r>
      <w:r w:rsidRPr="00B56612">
        <w:rPr>
          <w:rFonts w:ascii="Arial" w:hAnsi="Arial" w:cs="Arial"/>
          <w:sz w:val="22"/>
          <w:szCs w:val="22"/>
        </w:rPr>
        <w:tab/>
        <w:t>mírně znečištěná voda – stav povrchové vody, který byl ovlivněn lidskou činností tak, že ukazatele jakosti vody dosahují hodnot, které umožňují existenci bohatého, vyváženého a udržitelného ekosystému,</w:t>
      </w:r>
    </w:p>
    <w:p w14:paraId="5E345BA1" w14:textId="77777777" w:rsidR="00E076F0" w:rsidRPr="00B56612" w:rsidRDefault="00E076F0" w:rsidP="00E076F0">
      <w:pPr>
        <w:pStyle w:val="Tdy"/>
        <w:rPr>
          <w:rFonts w:ascii="Arial" w:hAnsi="Arial" w:cs="Arial"/>
          <w:sz w:val="22"/>
          <w:szCs w:val="22"/>
        </w:rPr>
      </w:pPr>
      <w:r w:rsidRPr="00B56612">
        <w:rPr>
          <w:rFonts w:ascii="Arial" w:hAnsi="Arial" w:cs="Arial"/>
          <w:sz w:val="22"/>
          <w:szCs w:val="22"/>
        </w:rPr>
        <w:t>III. třída</w:t>
      </w:r>
      <w:r w:rsidRPr="00B56612">
        <w:rPr>
          <w:rFonts w:ascii="Arial" w:hAnsi="Arial" w:cs="Arial"/>
          <w:sz w:val="22"/>
          <w:szCs w:val="22"/>
        </w:rPr>
        <w:tab/>
        <w:t>znečištěná voda – stav povrchové vody, který byl ovlivněn lidskou činností tak, že ukazatele jakosti vody dosahují hodnot, které nemusí vytvořit podmínky pro existenci bohatého, vyváženého a udržitelného ekosystému,</w:t>
      </w:r>
    </w:p>
    <w:p w14:paraId="19AC0FC6" w14:textId="77777777" w:rsidR="00E076F0" w:rsidRPr="00B56612" w:rsidRDefault="00E076F0" w:rsidP="00E076F0">
      <w:pPr>
        <w:pStyle w:val="Tdy"/>
        <w:rPr>
          <w:rFonts w:ascii="Arial" w:hAnsi="Arial" w:cs="Arial"/>
          <w:sz w:val="22"/>
          <w:szCs w:val="22"/>
        </w:rPr>
      </w:pPr>
      <w:r w:rsidRPr="00B56612">
        <w:rPr>
          <w:rFonts w:ascii="Arial" w:hAnsi="Arial" w:cs="Arial"/>
          <w:sz w:val="22"/>
          <w:szCs w:val="22"/>
        </w:rPr>
        <w:t>IV. třída</w:t>
      </w:r>
      <w:r w:rsidRPr="00B56612">
        <w:rPr>
          <w:rFonts w:ascii="Arial" w:hAnsi="Arial" w:cs="Arial"/>
          <w:sz w:val="22"/>
          <w:szCs w:val="22"/>
        </w:rPr>
        <w:tab/>
        <w:t>silně znečištěná voda – stav povrchové vody, který byl ovlivněn lidskou činností tak, že ukazatele jakosti vody dosahují hodnot, které vytvářejí podmínky umožňující existenci pouze nevyváženého ekosystému,</w:t>
      </w:r>
    </w:p>
    <w:p w14:paraId="78E5E210" w14:textId="77777777" w:rsidR="00E076F0" w:rsidRPr="00B56612" w:rsidRDefault="00E076F0" w:rsidP="00E076F0">
      <w:pPr>
        <w:pStyle w:val="Tdy"/>
        <w:rPr>
          <w:rFonts w:ascii="Arial" w:hAnsi="Arial" w:cs="Arial"/>
          <w:sz w:val="22"/>
          <w:szCs w:val="22"/>
        </w:rPr>
      </w:pPr>
      <w:r w:rsidRPr="00B56612">
        <w:rPr>
          <w:rFonts w:ascii="Arial" w:hAnsi="Arial" w:cs="Arial"/>
          <w:sz w:val="22"/>
          <w:szCs w:val="22"/>
        </w:rPr>
        <w:t>V. třída</w:t>
      </w:r>
      <w:r w:rsidRPr="00B56612">
        <w:rPr>
          <w:rFonts w:ascii="Arial" w:hAnsi="Arial" w:cs="Arial"/>
          <w:sz w:val="22"/>
          <w:szCs w:val="22"/>
        </w:rPr>
        <w:tab/>
        <w:t>velmi silně znečištěná voda – stav povrchové vody, který byl ovlivněn lidskou činností tak, že ukazatele jakosti vody dosahují hodnot, které vytvářejí podmínky umožňující existenci pouze silně nevyváženého ekosystému.</w:t>
      </w:r>
    </w:p>
    <w:p w14:paraId="3A05E856" w14:textId="7CDAB942" w:rsidR="0087667A" w:rsidRDefault="00B56612" w:rsidP="006D0F46">
      <w:pPr>
        <w:pStyle w:val="mezikapitolamivtmi"/>
        <w:spacing w:before="0" w:after="0"/>
        <w:rPr>
          <w:rFonts w:ascii="Arial" w:hAnsi="Arial" w:cs="Arial"/>
          <w:b w:val="0"/>
          <w:i w:val="0"/>
          <w:sz w:val="22"/>
          <w:szCs w:val="22"/>
        </w:rPr>
      </w:pPr>
      <w:r w:rsidRPr="00B56612">
        <w:rPr>
          <w:rFonts w:ascii="Arial" w:hAnsi="Arial" w:cs="Arial"/>
          <w:b w:val="0"/>
          <w:i w:val="0"/>
          <w:sz w:val="22"/>
          <w:szCs w:val="22"/>
        </w:rPr>
        <w:lastRenderedPageBreak/>
        <w:t>U vybraných profilů sítě sledování jakosti vod v tocích bylo 20 % zařazeno do I. a II. třídy s neznečištěnou nebo mírně znečištěnou vodou, 47 % profilů do III. třídy se znečištěnou vodou, do IV. třídy se silně znečištěnou vodou bylo zařazeno 25 % profilů a do V. třídy s velmi silně znečištěnou vodou spadalo 8 % profilů.</w:t>
      </w:r>
    </w:p>
    <w:p w14:paraId="37134E92" w14:textId="77777777" w:rsidR="00307A42" w:rsidRDefault="00307A42" w:rsidP="006D0F46">
      <w:pPr>
        <w:pStyle w:val="mezikapitolamivtmi"/>
        <w:spacing w:before="0" w:after="0"/>
        <w:rPr>
          <w:rFonts w:ascii="Arial" w:hAnsi="Arial" w:cs="Arial"/>
          <w:b w:val="0"/>
          <w:i w:val="0"/>
          <w:sz w:val="22"/>
          <w:szCs w:val="22"/>
        </w:rPr>
      </w:pPr>
    </w:p>
    <w:p w14:paraId="67475E88" w14:textId="2BD134D8" w:rsidR="00307A42" w:rsidRPr="00307A42" w:rsidRDefault="00307A42" w:rsidP="006D0F46">
      <w:pPr>
        <w:pStyle w:val="mezikapitolamivtmi"/>
        <w:spacing w:before="0" w:after="0"/>
        <w:rPr>
          <w:rFonts w:ascii="Arial" w:hAnsi="Arial" w:cs="Arial"/>
          <w:b w:val="0"/>
          <w:bCs/>
          <w:i w:val="0"/>
          <w:iCs/>
          <w:sz w:val="22"/>
          <w:szCs w:val="22"/>
          <w:highlight w:val="yellow"/>
        </w:rPr>
      </w:pPr>
      <w:r w:rsidRPr="00307A42">
        <w:rPr>
          <w:rFonts w:ascii="Arial" w:hAnsi="Arial" w:cs="Arial"/>
          <w:b w:val="0"/>
          <w:bCs/>
          <w:i w:val="0"/>
          <w:iCs/>
          <w:sz w:val="22"/>
          <w:szCs w:val="22"/>
        </w:rPr>
        <w:t>Zjištěné hodnoty ukazatelů se vztahují k hodnocení jakosti povrchových a podzemních vod. Pro zásobování obyvatelstva pitnou vodou je rozhodující splnění požadavků na jakost vody určené k lidské spotřebě podle právních předpisů v oblasti ochrany veřejného zdraví.</w:t>
      </w:r>
    </w:p>
    <w:p w14:paraId="4540F0DB" w14:textId="77777777" w:rsidR="00B56612" w:rsidRDefault="00B56612" w:rsidP="002D3109">
      <w:pPr>
        <w:pStyle w:val="mezikapitolamivtmi"/>
        <w:spacing w:before="0" w:after="0"/>
        <w:rPr>
          <w:rFonts w:ascii="Arial" w:hAnsi="Arial" w:cs="Arial"/>
          <w:sz w:val="22"/>
          <w:szCs w:val="22"/>
        </w:rPr>
      </w:pPr>
    </w:p>
    <w:p w14:paraId="5C727B09" w14:textId="4BA2F294" w:rsidR="00F674D8" w:rsidRPr="00B573E0" w:rsidRDefault="00CC16CB" w:rsidP="002D3109">
      <w:pPr>
        <w:pStyle w:val="mezikapitolamivtmi"/>
        <w:spacing w:before="0" w:after="0"/>
        <w:rPr>
          <w:rFonts w:ascii="Arial" w:hAnsi="Arial" w:cs="Arial"/>
          <w:sz w:val="22"/>
          <w:szCs w:val="22"/>
        </w:rPr>
      </w:pPr>
      <w:r w:rsidRPr="00B573E0">
        <w:rPr>
          <w:rFonts w:ascii="Arial" w:hAnsi="Arial" w:cs="Arial"/>
          <w:sz w:val="22"/>
          <w:szCs w:val="22"/>
        </w:rPr>
        <w:t>Radioaktivita</w:t>
      </w:r>
    </w:p>
    <w:p w14:paraId="61388EEB" w14:textId="77777777" w:rsidR="002D3109" w:rsidRPr="00104F7D" w:rsidRDefault="002D3109" w:rsidP="002D3109">
      <w:pPr>
        <w:pStyle w:val="mezikapitolamivtmi"/>
        <w:spacing w:before="0" w:after="0"/>
        <w:rPr>
          <w:rFonts w:ascii="Arial" w:hAnsi="Arial" w:cs="Arial"/>
          <w:sz w:val="22"/>
          <w:szCs w:val="22"/>
          <w:highlight w:val="yellow"/>
        </w:rPr>
      </w:pPr>
    </w:p>
    <w:p w14:paraId="6307E2F6" w14:textId="77777777" w:rsidR="00C07AE2" w:rsidRDefault="00C07AE2" w:rsidP="00C07AE2">
      <w:pPr>
        <w:rPr>
          <w:rFonts w:cstheme="minorHAnsi"/>
          <w:b/>
        </w:rPr>
      </w:pPr>
      <w:r w:rsidRPr="00C718C3">
        <w:rPr>
          <w:rFonts w:cstheme="minorHAnsi"/>
          <w:b/>
        </w:rPr>
        <w:t>Ve vybraných profilech státní monitorovací sítě jsou v povrchových vodách dlouhodobě sledovány radiologické ukazatele. Odběrové profily jsou situovány v místech stávajících jaderných zařízení a v úsecích toků ovlivněných výpustěmi důlních vod a průsaky z odvalů hlušiny z těžby nebo úpravy uranových rud.</w:t>
      </w:r>
    </w:p>
    <w:p w14:paraId="4B75123E" w14:textId="77777777" w:rsidR="00C07AE2" w:rsidRDefault="00C07AE2" w:rsidP="00C07AE2"/>
    <w:p w14:paraId="409AE8F5" w14:textId="0354134D" w:rsidR="00C07AE2" w:rsidRPr="00C718C3" w:rsidRDefault="00C07AE2" w:rsidP="00C07AE2">
      <w:pPr>
        <w:rPr>
          <w:rFonts w:cstheme="minorHAnsi"/>
          <w:b/>
        </w:rPr>
      </w:pPr>
      <w:r w:rsidRPr="00C718C3">
        <w:t>Na Vltavě byla nejvyšší hodnota objemové aktivity tritia 63 Bq·l</w:t>
      </w:r>
      <w:r w:rsidRPr="008A042A">
        <w:rPr>
          <w:vertAlign w:val="superscript"/>
        </w:rPr>
        <w:t>-1</w:t>
      </w:r>
      <w:r w:rsidRPr="00C718C3">
        <w:t xml:space="preserve"> v povrchových vodách naměřena na profilu Solenice. Nejvyšší přípustná hodnota normy environmentální kvality (dále jen „NEK“) pro tritium v povrchových tocích uvedenou v nařízení vlády č. 401/2015 Sb. nebyla překročena. Profily Solenice a Štěchovice na Vltavě spadají do třídy II (mírně znečištěná voda, ČSN 75 7221).</w:t>
      </w:r>
    </w:p>
    <w:p w14:paraId="54ADA5BD" w14:textId="77777777" w:rsidR="00C07AE2" w:rsidRDefault="00C07AE2" w:rsidP="00C07AE2"/>
    <w:p w14:paraId="11E7E6EF" w14:textId="361FB0B7" w:rsidR="00C07AE2" w:rsidRPr="00C718C3" w:rsidRDefault="00C07AE2" w:rsidP="00C07AE2">
      <w:r w:rsidRPr="00C718C3">
        <w:t>V povrchových vodách řeky Jihlavy v profilu Mohelno pod zaústěním odpadních vod z jaderné elektrárny Dukovany byla zaznamenána hodnota objemové aktivity tritia v rozsahu 69,5–183 Bq·l</w:t>
      </w:r>
      <w:r w:rsidRPr="0003035F">
        <w:rPr>
          <w:vertAlign w:val="superscript"/>
        </w:rPr>
        <w:t>-1</w:t>
      </w:r>
      <w:r w:rsidRPr="00C718C3">
        <w:t xml:space="preserve">, hodnoty byly vyšší než v roce 2024 a jsou zařazeny do třídy III (znečištěná voda). </w:t>
      </w:r>
    </w:p>
    <w:p w14:paraId="6045E35A" w14:textId="77777777" w:rsidR="00C07AE2" w:rsidRDefault="00C07AE2" w:rsidP="00C07AE2"/>
    <w:p w14:paraId="08930FD5" w14:textId="24BC20DF" w:rsidR="00C07AE2" w:rsidRPr="00C718C3" w:rsidRDefault="00C07AE2" w:rsidP="00C07AE2">
      <w:r w:rsidRPr="00C718C3">
        <w:t>Obsahy uranu 231 µg·l</w:t>
      </w:r>
      <w:r w:rsidRPr="0003035F">
        <w:rPr>
          <w:vertAlign w:val="superscript"/>
        </w:rPr>
        <w:t>-1</w:t>
      </w:r>
      <w:r w:rsidRPr="00C718C3">
        <w:t xml:space="preserve"> byly zjištěny v povrchových vodách v okolí Dolní Rožínky na Českomoravské vrchovině, kvalita povrchových vod v profilu Skryje na řece </w:t>
      </w:r>
      <w:proofErr w:type="spellStart"/>
      <w:r w:rsidRPr="00C718C3">
        <w:t>Hadůvka</w:t>
      </w:r>
      <w:proofErr w:type="spellEnd"/>
      <w:r w:rsidRPr="00C718C3">
        <w:t xml:space="preserve"> odpovídá třídě kvality V (velmi silně znečištěná voda). Zvýšené obsahy uranu v povrchových vodách jsou zdrojem zvýšené celkové objemové aktivity alfa dosahující hodnoty 9 210 mBq·l</w:t>
      </w:r>
      <w:r w:rsidRPr="0003035F">
        <w:rPr>
          <w:vertAlign w:val="superscript"/>
        </w:rPr>
        <w:t>-1</w:t>
      </w:r>
      <w:r w:rsidRPr="00C718C3">
        <w:t xml:space="preserve">. Maximální hodnota ukazatele objemové aktivity alfa převyšující limitní hodnotu (NEK) byla zjištěna na tomto profilu a profilu Boudy na toku Loučka, v Nedvědicích na Nedvědičce a ve Veverské Bítýšce na Svratce. </w:t>
      </w:r>
    </w:p>
    <w:p w14:paraId="69CFE839" w14:textId="77777777" w:rsidR="00C07AE2" w:rsidRDefault="00C07AE2" w:rsidP="00C07AE2"/>
    <w:p w14:paraId="0CD309EA" w14:textId="2196DFE0" w:rsidR="00C07AE2" w:rsidRPr="00C718C3" w:rsidRDefault="00C07AE2" w:rsidP="00C07AE2">
      <w:r w:rsidRPr="00C718C3">
        <w:t>Významné znečištění uranem a radioaktivními ukazateli přetrvává na řadě profilů také v okolí příbramských ložisek</w:t>
      </w:r>
      <w:r w:rsidR="00B21C9B">
        <w:t>.</w:t>
      </w:r>
      <w:r w:rsidRPr="00C718C3">
        <w:t xml:space="preserve"> Maximální obsahy uranu až 310 µg·l</w:t>
      </w:r>
      <w:r w:rsidRPr="00A04498">
        <w:rPr>
          <w:vertAlign w:val="superscript"/>
        </w:rPr>
        <w:t>-1</w:t>
      </w:r>
      <w:r w:rsidRPr="00C718C3">
        <w:t xml:space="preserve"> byly zjištěny v povrchových vodách </w:t>
      </w:r>
      <w:proofErr w:type="spellStart"/>
      <w:r w:rsidRPr="00C718C3">
        <w:t>Drásovského</w:t>
      </w:r>
      <w:proofErr w:type="spellEnd"/>
      <w:r w:rsidRPr="00C718C3">
        <w:t xml:space="preserve"> potoka v profilu Drásov, a Příbramského potoka v profilu Brod</w:t>
      </w:r>
      <w:r w:rsidR="00E56468">
        <w:t>. K</w:t>
      </w:r>
      <w:r w:rsidRPr="00C718C3">
        <w:t xml:space="preserve">valita vod na obou tocích spadá do třídy V. </w:t>
      </w:r>
    </w:p>
    <w:p w14:paraId="4C29E72A" w14:textId="77777777" w:rsidR="00C07AE2" w:rsidRDefault="00C07AE2" w:rsidP="00C07AE2"/>
    <w:p w14:paraId="17301DF1" w14:textId="680CBFE0" w:rsidR="00C07AE2" w:rsidRPr="00C718C3" w:rsidRDefault="00C07AE2" w:rsidP="00C07AE2">
      <w:r w:rsidRPr="00C718C3">
        <w:t xml:space="preserve">Profil na Kocábě ve Štěchovicích je pro charakteristické hodnoty obsahu uranu řazen do třídy IV (silně znečištěná voda), shodné zařazení přetrvává od roku 2023. </w:t>
      </w:r>
    </w:p>
    <w:p w14:paraId="5F86CEA6" w14:textId="77777777" w:rsidR="00C07AE2" w:rsidRDefault="00C07AE2" w:rsidP="00C07AE2"/>
    <w:p w14:paraId="2BF9686A" w14:textId="73AEDBF7" w:rsidR="00C07AE2" w:rsidRPr="00C718C3" w:rsidRDefault="00C07AE2" w:rsidP="00C07AE2">
      <w:r w:rsidRPr="00C718C3">
        <w:t xml:space="preserve">Zařazení sledovaných profilů dle ukazatele celkové objemové aktivity alfa přetrvává ve třídě V. Průměrné roční hodnoty i maximální hodnoty celkové objemové aktivity alfa v povrchových vodách řeky Ploučnice na profilech (Stráž pod Ralskem, Noviny pod Ralskem, Mimoň, Horka, </w:t>
      </w:r>
      <w:proofErr w:type="spellStart"/>
      <w:r w:rsidRPr="00C718C3">
        <w:t>Brenná</w:t>
      </w:r>
      <w:proofErr w:type="spellEnd"/>
      <w:r w:rsidRPr="00C718C3">
        <w:t xml:space="preserve">) v oblasti ložiska Stráž pod Ralskem převyšují limitní hodnotu NEK, kvalita těchto vod </w:t>
      </w:r>
      <w:r w:rsidR="007313AB">
        <w:t xml:space="preserve">je </w:t>
      </w:r>
      <w:r w:rsidRPr="00C718C3">
        <w:t xml:space="preserve">řazena do třídy V a třídy IV. </w:t>
      </w:r>
    </w:p>
    <w:p w14:paraId="4A0BB037" w14:textId="77777777" w:rsidR="00C07AE2" w:rsidRDefault="00C07AE2" w:rsidP="00C07AE2"/>
    <w:p w14:paraId="1A277763" w14:textId="2ED6BE2C" w:rsidR="00C07AE2" w:rsidRPr="00C718C3" w:rsidRDefault="00C07AE2" w:rsidP="00C07AE2">
      <w:r w:rsidRPr="00C718C3">
        <w:t xml:space="preserve">V roce 2025 byly v nově sledovaném profilu pod Lahoští mezi Teplicemi a Duchcovem na toku Bouřlivec </w:t>
      </w:r>
      <w:r w:rsidR="0099397E" w:rsidRPr="00C718C3">
        <w:t>protékající</w:t>
      </w:r>
      <w:r w:rsidR="0099397E">
        <w:t>ch oblastí</w:t>
      </w:r>
      <w:r w:rsidRPr="00C718C3">
        <w:t xml:space="preserve"> ovlivněné těžbou hnědého uhlí a jeho spalováním zjištěny nejvyšší hodnoty celkové objemové aktivity alfa (19 100 mBq·l</w:t>
      </w:r>
      <w:r w:rsidRPr="00E03D4B">
        <w:rPr>
          <w:vertAlign w:val="superscript"/>
        </w:rPr>
        <w:t>-1</w:t>
      </w:r>
      <w:r w:rsidRPr="00C718C3">
        <w:t>) a obsahy uranu (498 µg·l</w:t>
      </w:r>
      <w:r w:rsidRPr="00E03D4B">
        <w:rPr>
          <w:vertAlign w:val="superscript"/>
        </w:rPr>
        <w:t>-1</w:t>
      </w:r>
      <w:r w:rsidRPr="00C718C3">
        <w:t>), které při srovnání s dlouhodobě sledovanými profily vykazují výrazně vyšší hodnoty. Nejvyšší aktivita izotopu radia 226 byla zjištěna v okolí uranového ložiska u Horního Slavkova na profilu Havraní potok – Krásný jez (353 Bq·l</w:t>
      </w:r>
      <w:r w:rsidRPr="00E03D4B">
        <w:rPr>
          <w:vertAlign w:val="superscript"/>
        </w:rPr>
        <w:t>-1</w:t>
      </w:r>
      <w:r w:rsidRPr="00C718C3">
        <w:t xml:space="preserve">). </w:t>
      </w:r>
    </w:p>
    <w:p w14:paraId="2A9E6F75" w14:textId="77777777" w:rsidR="00C07AE2" w:rsidRDefault="00C07AE2" w:rsidP="00C07AE2"/>
    <w:p w14:paraId="771BD260" w14:textId="319BC77C" w:rsidR="00C07AE2" w:rsidRDefault="00C07AE2" w:rsidP="00C07AE2">
      <w:r w:rsidRPr="00C718C3">
        <w:t xml:space="preserve">Na Tachovsku, na profilech Hamerského potoka (Brod nad Tichou, Broumov), je kvalita povrchových vod ovlivněna aktivitou izotopu radia 226 a celkové objemové aktivity alfa. Na základě </w:t>
      </w:r>
      <w:r w:rsidRPr="00C718C3">
        <w:lastRenderedPageBreak/>
        <w:t>nižších aktivit izotopu radia 226 dosahujících nejvýše 20 Bq·l</w:t>
      </w:r>
      <w:r w:rsidRPr="00E03D4B">
        <w:rPr>
          <w:vertAlign w:val="superscript"/>
        </w:rPr>
        <w:t>-1</w:t>
      </w:r>
      <w:r w:rsidR="00AD35FA">
        <w:t>,</w:t>
      </w:r>
      <w:r w:rsidRPr="00C718C3">
        <w:t xml:space="preserve"> je povrchová voda řazena do třídy kvality II (mírně znečištěná voda). </w:t>
      </w:r>
    </w:p>
    <w:p w14:paraId="60058E5B" w14:textId="77777777" w:rsidR="00E03D4B" w:rsidRPr="00C718C3" w:rsidRDefault="00E03D4B" w:rsidP="00C07AE2"/>
    <w:p w14:paraId="01629CAC" w14:textId="77777777" w:rsidR="00C07AE2" w:rsidRPr="00C718C3" w:rsidRDefault="00C07AE2" w:rsidP="00C07AE2">
      <w:r w:rsidRPr="00C718C3">
        <w:t xml:space="preserve">Na Jáchymovsku v Ostrově nad Ohří na vodním toku Bystřice i na jeho přítoku, Jáchymovském potoce, přetrvává znečištění radioaktivními látkami z původní těžby a zpracování radioaktivních surovin, jakost vody odpovídá třídě V. </w:t>
      </w:r>
    </w:p>
    <w:p w14:paraId="36164D81" w14:textId="77777777" w:rsidR="00C07AE2" w:rsidRDefault="00C07AE2" w:rsidP="00C07AE2"/>
    <w:p w14:paraId="3F212643" w14:textId="2FCEC06C" w:rsidR="00C07AE2" w:rsidRPr="00C718C3" w:rsidRDefault="00C07AE2" w:rsidP="00C07AE2">
      <w:r w:rsidRPr="00C718C3">
        <w:t>V místech původní těžby uranu na </w:t>
      </w:r>
      <w:proofErr w:type="spellStart"/>
      <w:r w:rsidRPr="00C718C3">
        <w:t>Jindřichohradecku</w:t>
      </w:r>
      <w:proofErr w:type="spellEnd"/>
      <w:r w:rsidRPr="00C718C3">
        <w:t xml:space="preserve"> přetrvává na profilu </w:t>
      </w:r>
      <w:proofErr w:type="spellStart"/>
      <w:r w:rsidRPr="00C718C3">
        <w:t>Nekrasín</w:t>
      </w:r>
      <w:proofErr w:type="spellEnd"/>
      <w:r w:rsidRPr="00C718C3">
        <w:t xml:space="preserve"> na Račím potoce znečištění povrchových vod uranem a zvýšenou objemovou aktivitou alfa řazenou do třídy V. Celková objemová aktivita alfa v povrchových vodách v okolí ložiska Okrouhlá Radouň na </w:t>
      </w:r>
      <w:proofErr w:type="spellStart"/>
      <w:r w:rsidRPr="00C718C3">
        <w:t>Jindřichohradecku</w:t>
      </w:r>
      <w:proofErr w:type="spellEnd"/>
      <w:r w:rsidRPr="00C718C3">
        <w:t>, dosahuje hodnoty 1 000 mBq·l</w:t>
      </w:r>
      <w:r w:rsidRPr="005C3746">
        <w:rPr>
          <w:vertAlign w:val="superscript"/>
        </w:rPr>
        <w:t>-1</w:t>
      </w:r>
      <w:r w:rsidRPr="00C718C3">
        <w:t>, aktivita izotopu radia 226 byla změřena do 20 mBq·l</w:t>
      </w:r>
      <w:r w:rsidRPr="005C3746">
        <w:rPr>
          <w:vertAlign w:val="superscript"/>
        </w:rPr>
        <w:t>-1</w:t>
      </w:r>
      <w:r w:rsidRPr="00C718C3">
        <w:t xml:space="preserve"> a obsahy uranu maximálně 35 µ</w:t>
      </w:r>
      <w:proofErr w:type="spellStart"/>
      <w:r w:rsidRPr="00C718C3">
        <w:t>g·</w:t>
      </w:r>
      <w:r w:rsidR="005C3746" w:rsidRPr="00C718C3">
        <w:t>l</w:t>
      </w:r>
      <w:proofErr w:type="spellEnd"/>
      <w:r w:rsidR="005C3746" w:rsidRPr="005C3746">
        <w:rPr>
          <w:vertAlign w:val="superscript"/>
        </w:rPr>
        <w:t>–1</w:t>
      </w:r>
      <w:r w:rsidRPr="00C718C3">
        <w:t xml:space="preserve"> (třída V), uvedené hodnoty jsou nižší než v předchozím roce. </w:t>
      </w:r>
    </w:p>
    <w:p w14:paraId="1E19354A" w14:textId="77777777" w:rsidR="00C07AE2" w:rsidRDefault="00C07AE2" w:rsidP="00C07AE2"/>
    <w:p w14:paraId="75C59F85" w14:textId="10A82828" w:rsidR="00C07AE2" w:rsidRDefault="00C07AE2" w:rsidP="00C07AE2">
      <w:r w:rsidRPr="00C718C3">
        <w:t xml:space="preserve">V prostoru ložiska uranových rud u Licoměřic na toku </w:t>
      </w:r>
      <w:proofErr w:type="spellStart"/>
      <w:r w:rsidRPr="00C718C3">
        <w:t>Kurvice</w:t>
      </w:r>
      <w:proofErr w:type="spellEnd"/>
      <w:r w:rsidRPr="00C718C3">
        <w:t xml:space="preserve"> v profilu Ronov se celková objemová aktivita alfa snížila, hodnota byla nejvýše 470 mBq·l</w:t>
      </w:r>
      <w:r w:rsidRPr="001F5DE5">
        <w:rPr>
          <w:vertAlign w:val="superscript"/>
        </w:rPr>
        <w:t>-1</w:t>
      </w:r>
      <w:r w:rsidRPr="00C718C3">
        <w:t xml:space="preserve"> (třída IV). Na obr. je pro každý hodnocený </w:t>
      </w:r>
      <w:proofErr w:type="spellStart"/>
      <w:r w:rsidRPr="00C718C3">
        <w:t>radioukazatel</w:t>
      </w:r>
      <w:proofErr w:type="spellEnd"/>
      <w:r w:rsidRPr="00C718C3">
        <w:t xml:space="preserve"> zobrazeno poměrné zastoupení tříd kvality dle ČSN 75 7221.</w:t>
      </w:r>
    </w:p>
    <w:p w14:paraId="3BE9B646" w14:textId="77777777" w:rsidR="00A74DCC" w:rsidRDefault="00A74DCC" w:rsidP="00C07AE2"/>
    <w:p w14:paraId="4EDE1F04" w14:textId="64E676D9" w:rsidR="00A74DCC" w:rsidRPr="00A74DCC" w:rsidRDefault="00094572" w:rsidP="00A74DCC">
      <w:pPr>
        <w:rPr>
          <w:b/>
          <w:bCs/>
          <w:i/>
          <w:iCs/>
        </w:rPr>
      </w:pPr>
      <w:r>
        <w:rPr>
          <w:b/>
          <w:bCs/>
          <w:i/>
          <w:iCs/>
        </w:rPr>
        <w:t>Graf 3.1.1</w:t>
      </w:r>
    </w:p>
    <w:p w14:paraId="3A58CA4C" w14:textId="77777777" w:rsidR="00A74DCC" w:rsidRPr="00C718C3" w:rsidRDefault="00A74DCC" w:rsidP="00A74DCC">
      <w:r w:rsidRPr="00C718C3">
        <w:rPr>
          <w:b/>
          <w:bCs/>
          <w:i/>
          <w:iCs/>
        </w:rPr>
        <w:t>Klasifikace ukazatelů jakosti povrchových vod dle ČSN 75 7221 v roce 2025</w:t>
      </w:r>
    </w:p>
    <w:p w14:paraId="7B55AA62" w14:textId="77777777" w:rsidR="00A74DCC" w:rsidRDefault="00A74DCC" w:rsidP="00A74DCC">
      <w:pPr>
        <w:pStyle w:val="Bezmezer"/>
        <w:rPr>
          <w:rFonts w:eastAsia="GillSansMT" w:cstheme="minorHAnsi"/>
          <w:sz w:val="20"/>
        </w:rPr>
      </w:pPr>
    </w:p>
    <w:p w14:paraId="20767D92" w14:textId="77777777" w:rsidR="00A74DCC" w:rsidRDefault="00A74DCC" w:rsidP="00A74DCC">
      <w:pPr>
        <w:pStyle w:val="Bezmezer"/>
        <w:rPr>
          <w:rFonts w:eastAsia="GillSansMT" w:cstheme="minorHAnsi"/>
          <w:sz w:val="20"/>
        </w:rPr>
      </w:pPr>
      <w:r>
        <w:rPr>
          <w:noProof/>
        </w:rPr>
        <w:drawing>
          <wp:inline distT="0" distB="0" distL="0" distR="0" wp14:anchorId="54B9EE73" wp14:editId="7BFD949B">
            <wp:extent cx="5619750" cy="3981450"/>
            <wp:effectExtent l="0" t="0" r="0" b="0"/>
            <wp:docPr id="1584213146"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213146" name=""/>
                    <pic:cNvPicPr/>
                  </pic:nvPicPr>
                  <pic:blipFill>
                    <a:blip r:embed="rId38">
                      <a:extLst>
                        <a:ext uri="{96DAC541-7B7A-43D3-8B79-37D633B846F1}">
                          <asvg:svgBlip xmlns:asvg="http://schemas.microsoft.com/office/drawing/2016/SVG/main" r:embed="rId39"/>
                        </a:ext>
                      </a:extLst>
                    </a:blip>
                    <a:stretch>
                      <a:fillRect/>
                    </a:stretch>
                  </pic:blipFill>
                  <pic:spPr>
                    <a:xfrm>
                      <a:off x="0" y="0"/>
                      <a:ext cx="5619750" cy="3981450"/>
                    </a:xfrm>
                    <a:prstGeom prst="rect">
                      <a:avLst/>
                    </a:prstGeom>
                  </pic:spPr>
                </pic:pic>
              </a:graphicData>
            </a:graphic>
          </wp:inline>
        </w:drawing>
      </w:r>
    </w:p>
    <w:p w14:paraId="7CBC0933" w14:textId="77777777" w:rsidR="00A74DCC" w:rsidRPr="001B76C3" w:rsidRDefault="00A74DCC" w:rsidP="00A74DCC">
      <w:pPr>
        <w:rPr>
          <w:sz w:val="20"/>
          <w:szCs w:val="20"/>
        </w:rPr>
      </w:pPr>
      <w:r w:rsidRPr="001B76C3">
        <w:rPr>
          <w:i/>
          <w:iCs/>
          <w:sz w:val="20"/>
          <w:szCs w:val="20"/>
        </w:rPr>
        <w:t>Pramen: ČHMÚ</w:t>
      </w:r>
    </w:p>
    <w:p w14:paraId="4925EC11" w14:textId="77777777" w:rsidR="00A74DCC" w:rsidRDefault="00A74DCC" w:rsidP="00C07AE2"/>
    <w:p w14:paraId="79EDA5ED" w14:textId="77777777" w:rsidR="00701F44" w:rsidRDefault="00701F44" w:rsidP="00701F44">
      <w:r w:rsidRPr="00422A0E">
        <w:t>Jednou za 3 měsíce až půl roku jsou analyzovány vzorky surové vody a zjišťována radioaktivita na základě celkové objemové aktivity alfa i beta na několika úpravnách vody a přítocích vodních nádrží. Na úpravně vody Horka na Libockém potoce a úpravně vody v Merklíně na Eliášově potoce převyšuje hodnota celkové objemové aktivity alfa maximální i roční průměrnou limitní hodnotu přípustného znečištění dle nařízení vlády č. 401/2015 Sb. Na úpravně vody Merklín na Eliášově potoce byla zjištěna zvýšená aktivita radonu až 4 000 mBq·l</w:t>
      </w:r>
      <w:r w:rsidRPr="00390E73">
        <w:rPr>
          <w:vertAlign w:val="superscript"/>
        </w:rPr>
        <w:t>-1</w:t>
      </w:r>
      <w:r w:rsidRPr="00422A0E">
        <w:t>, nižší než v předchozím roce. Na ostatních sledovaných úpravnách vody žádné limitní hodnoty dle tohoto nařízení překročeny nebyly.</w:t>
      </w:r>
    </w:p>
    <w:p w14:paraId="52826B17" w14:textId="77777777" w:rsidR="004A53DB" w:rsidRDefault="004A53DB" w:rsidP="002D3109">
      <w:pPr>
        <w:pStyle w:val="mezikapitolamivtmi"/>
        <w:spacing w:before="0" w:after="0"/>
        <w:rPr>
          <w:rFonts w:ascii="Arial" w:hAnsi="Arial" w:cs="Arial"/>
          <w:sz w:val="22"/>
          <w:szCs w:val="22"/>
        </w:rPr>
      </w:pPr>
    </w:p>
    <w:p w14:paraId="3A675A42" w14:textId="0390510F" w:rsidR="00B2175C" w:rsidRPr="00AD7F38" w:rsidRDefault="00B2175C" w:rsidP="002D3109">
      <w:pPr>
        <w:pStyle w:val="mezikapitolamivtmi"/>
        <w:spacing w:before="0" w:after="0"/>
        <w:rPr>
          <w:rFonts w:ascii="Arial" w:hAnsi="Arial" w:cs="Arial"/>
          <w:sz w:val="22"/>
          <w:szCs w:val="22"/>
        </w:rPr>
      </w:pPr>
      <w:r w:rsidRPr="00AD7F38">
        <w:rPr>
          <w:rFonts w:ascii="Arial" w:hAnsi="Arial" w:cs="Arial"/>
          <w:sz w:val="22"/>
          <w:szCs w:val="22"/>
        </w:rPr>
        <w:t>Kvalita vody ve vodárenských a ostatních nádržích</w:t>
      </w:r>
    </w:p>
    <w:p w14:paraId="12EF3F93" w14:textId="77777777" w:rsidR="0040043A" w:rsidRDefault="0040043A" w:rsidP="00AD7F38">
      <w:pPr>
        <w:rPr>
          <w:b/>
          <w:bCs/>
          <w:i/>
          <w:iCs/>
        </w:rPr>
      </w:pPr>
    </w:p>
    <w:p w14:paraId="187D224C" w14:textId="4F884E0F" w:rsidR="004A53DB" w:rsidRDefault="00E428C0" w:rsidP="00AD7F38">
      <w:pPr>
        <w:rPr>
          <w:b/>
          <w:bCs/>
          <w:i/>
          <w:iCs/>
        </w:rPr>
      </w:pPr>
      <w:r w:rsidRPr="0086220D">
        <w:rPr>
          <w:rFonts w:cs="Arial"/>
        </w:rPr>
        <w:t>Přes zaznamenaná zhoršení jakosti povrchových a surových vod nebylo v roce 2025 zaznamenáno ohrožení výroby ani bezpečnosti dodávek pitné vody pro obyvatelstvo</w:t>
      </w:r>
      <w:r>
        <w:rPr>
          <w:rFonts w:cs="Arial"/>
        </w:rPr>
        <w:t>.</w:t>
      </w:r>
    </w:p>
    <w:p w14:paraId="50A090A6" w14:textId="77777777" w:rsidR="004A53DB" w:rsidRDefault="004A53DB" w:rsidP="00AD7F38">
      <w:pPr>
        <w:rPr>
          <w:b/>
          <w:bCs/>
          <w:i/>
          <w:iCs/>
        </w:rPr>
      </w:pPr>
    </w:p>
    <w:p w14:paraId="0711BD20" w14:textId="55EBC2E4" w:rsidR="00AD7F38" w:rsidRPr="000A62D8" w:rsidRDefault="00AD7F38" w:rsidP="00AD7F38">
      <w:pPr>
        <w:rPr>
          <w:b/>
          <w:bCs/>
          <w:i/>
          <w:iCs/>
        </w:rPr>
      </w:pPr>
      <w:r>
        <w:rPr>
          <w:b/>
          <w:bCs/>
          <w:i/>
          <w:iCs/>
        </w:rPr>
        <w:t>Povodí Labe</w:t>
      </w:r>
    </w:p>
    <w:p w14:paraId="13899EF8" w14:textId="0C188F52" w:rsidR="00E85EDE" w:rsidRDefault="00AD7F38" w:rsidP="00E85EDE">
      <w:r w:rsidRPr="000A62D8">
        <w:t xml:space="preserve">Od začátku roku byly nádrže plněny v souladu s platnými manipulačními řády. Celkový objem přítoku byl podprůměrný. Z hodnocení dlouhodobě sledovaných teplot vody při hladině vyplývá, že i v roce 2025, zejména ve vegetačním období, zůstal na všech nádržích zachován trend zvýšených teplot vody. V roce 2025 mírně ubylo mimořádně horkých dnů a poklesly počty dnů s teplotami nad 20 </w:t>
      </w:r>
      <w:r w:rsidR="00D97328" w:rsidRPr="00D97328">
        <w:rPr>
          <w:vertAlign w:val="superscript"/>
        </w:rPr>
        <w:t>0</w:t>
      </w:r>
      <w:r w:rsidR="00D97328">
        <w:rPr>
          <w:vertAlign w:val="superscript"/>
        </w:rPr>
        <w:t xml:space="preserve"> </w:t>
      </w:r>
      <w:r w:rsidRPr="000A62D8">
        <w:t xml:space="preserve">C. V pozdně jarním a letním období se na hlubších nádržích jako například na nádrži Vrchlice utvářela obvyklá teplotní stratifikace. Důsledkem bylo rozdělení nádrže na dva odlišné celky – horní </w:t>
      </w:r>
      <w:proofErr w:type="spellStart"/>
      <w:r w:rsidRPr="000A62D8">
        <w:t>epilimnium</w:t>
      </w:r>
      <w:proofErr w:type="spellEnd"/>
      <w:r w:rsidRPr="000A62D8">
        <w:t xml:space="preserve"> a spodní </w:t>
      </w:r>
      <w:proofErr w:type="spellStart"/>
      <w:r w:rsidRPr="000A62D8">
        <w:t>hypolimnium</w:t>
      </w:r>
      <w:proofErr w:type="spellEnd"/>
      <w:r w:rsidRPr="000A62D8">
        <w:t xml:space="preserve">. Při takovém vývoji jsou typické různě významné úbytky kyslíku v </w:t>
      </w:r>
      <w:proofErr w:type="spellStart"/>
      <w:r w:rsidRPr="000A62D8">
        <w:t>hypolimniu</w:t>
      </w:r>
      <w:proofErr w:type="spellEnd"/>
      <w:r w:rsidRPr="000A62D8">
        <w:t>.</w:t>
      </w:r>
    </w:p>
    <w:p w14:paraId="37B25357" w14:textId="77777777" w:rsidR="00E85EDE" w:rsidRDefault="00E85EDE" w:rsidP="00E85EDE"/>
    <w:p w14:paraId="3151E3E7" w14:textId="1490C1BB" w:rsidR="00AD7F38" w:rsidRPr="001B750B" w:rsidRDefault="00E85EDE" w:rsidP="00E85EDE">
      <w:pPr>
        <w:rPr>
          <w:rFonts w:cs="Arial"/>
        </w:rPr>
      </w:pPr>
      <w:r>
        <w:t xml:space="preserve">1. </w:t>
      </w:r>
      <w:r w:rsidR="00AD7F38" w:rsidRPr="001B750B">
        <w:rPr>
          <w:rFonts w:cs="Arial"/>
        </w:rPr>
        <w:t>Vodárenské nádrže</w:t>
      </w:r>
    </w:p>
    <w:p w14:paraId="2DA0ED56" w14:textId="77777777" w:rsidR="00AD7F38" w:rsidRDefault="00AD7F38" w:rsidP="00AD7F38">
      <w:pPr>
        <w:rPr>
          <w:rFonts w:cs="Arial"/>
        </w:rPr>
      </w:pPr>
      <w:r w:rsidRPr="001B750B">
        <w:rPr>
          <w:rFonts w:cs="Arial"/>
        </w:rPr>
        <w:t xml:space="preserve">Na nádrži Křižanovice došlo v průběhu letního období k výraznému rozvoji vodního květu sinic (koncentrace </w:t>
      </w:r>
      <w:proofErr w:type="spellStart"/>
      <w:r w:rsidRPr="001B750B">
        <w:rPr>
          <w:rFonts w:cs="Arial"/>
        </w:rPr>
        <w:t>chlorofylu_a</w:t>
      </w:r>
      <w:proofErr w:type="spellEnd"/>
      <w:r w:rsidRPr="001B750B">
        <w:rPr>
          <w:rFonts w:cs="Arial"/>
        </w:rPr>
        <w:t xml:space="preserve"> 115 </w:t>
      </w:r>
      <w:proofErr w:type="spellStart"/>
      <w:r w:rsidRPr="001B750B">
        <w:rPr>
          <w:rFonts w:cs="Arial"/>
        </w:rPr>
        <w:t>μg</w:t>
      </w:r>
      <w:proofErr w:type="spellEnd"/>
      <w:r w:rsidRPr="001B750B">
        <w:rPr>
          <w:rFonts w:cs="Arial"/>
        </w:rPr>
        <w:t xml:space="preserve">/l). Převažovaly rody </w:t>
      </w:r>
      <w:proofErr w:type="spellStart"/>
      <w:r w:rsidRPr="001B750B">
        <w:rPr>
          <w:rFonts w:cs="Arial"/>
        </w:rPr>
        <w:t>Woronichinia</w:t>
      </w:r>
      <w:proofErr w:type="spellEnd"/>
      <w:r w:rsidRPr="001B750B">
        <w:rPr>
          <w:rFonts w:cs="Arial"/>
        </w:rPr>
        <w:t xml:space="preserve"> a </w:t>
      </w:r>
      <w:proofErr w:type="spellStart"/>
      <w:r w:rsidRPr="001B750B">
        <w:rPr>
          <w:rFonts w:cs="Arial"/>
        </w:rPr>
        <w:t>Microcystis</w:t>
      </w:r>
      <w:proofErr w:type="spellEnd"/>
      <w:r w:rsidRPr="001B750B">
        <w:rPr>
          <w:rFonts w:cs="Arial"/>
        </w:rPr>
        <w:t xml:space="preserve">. Vývoj se však obešel bez výjimečných havarijních situací, které by ohrozily odběr surové vody pro lidskou spotřebu. Na nádrži Vrchlice se vyvíjela jakost vody obdobným způsobem jako v předchozích letech. Došlo opět ke zřetelné teplotní a kyslíkové stratifikaci. Průhlednost po většinu období přesahovala 200 cm, maxima koncentrace </w:t>
      </w:r>
      <w:proofErr w:type="spellStart"/>
      <w:r w:rsidRPr="001B750B">
        <w:rPr>
          <w:rFonts w:cs="Arial"/>
        </w:rPr>
        <w:t>chlorofylu_a</w:t>
      </w:r>
      <w:proofErr w:type="spellEnd"/>
      <w:r w:rsidRPr="001B750B">
        <w:rPr>
          <w:rFonts w:cs="Arial"/>
        </w:rPr>
        <w:t xml:space="preserve"> v přítokové části nádrže v srpnu přesahovala hodnoty 50 </w:t>
      </w:r>
      <w:proofErr w:type="spellStart"/>
      <w:r w:rsidRPr="001B750B">
        <w:rPr>
          <w:rFonts w:cs="Arial"/>
        </w:rPr>
        <w:t>μg</w:t>
      </w:r>
      <w:proofErr w:type="spellEnd"/>
      <w:r w:rsidRPr="001B750B">
        <w:rPr>
          <w:rFonts w:cs="Arial"/>
        </w:rPr>
        <w:t xml:space="preserve">/l. Také na nádrži Hamry docházelo postupně k výrazným projevům eutrofizace. Nepříznivý vývoj ilustrují koncentrace </w:t>
      </w:r>
      <w:proofErr w:type="spellStart"/>
      <w:r w:rsidRPr="001B750B">
        <w:rPr>
          <w:rFonts w:cs="Arial"/>
        </w:rPr>
        <w:t>chlorofylu_a</w:t>
      </w:r>
      <w:proofErr w:type="spellEnd"/>
      <w:r w:rsidRPr="001B750B">
        <w:rPr>
          <w:rFonts w:cs="Arial"/>
        </w:rPr>
        <w:t xml:space="preserve"> (indikátor výskytu zelených řas a sinic). Maximální hodnoty u tohoto parametru přesáhly v srpnu hodnotu 230 </w:t>
      </w:r>
      <w:proofErr w:type="spellStart"/>
      <w:r w:rsidRPr="001B750B">
        <w:rPr>
          <w:rFonts w:cs="Arial"/>
        </w:rPr>
        <w:t>μg</w:t>
      </w:r>
      <w:proofErr w:type="spellEnd"/>
      <w:r w:rsidRPr="001B750B">
        <w:rPr>
          <w:rFonts w:cs="Arial"/>
        </w:rPr>
        <w:t>/l. Kyslíkové poměry se v létě zhoršily. Anoxie u dna začala vznikat již v květnu a v červenci vyplnila prostor od jednoho do dvou metrů nade dnem, tj. přibližně třetinu vodního sloupce. Surová voda byla přesto upravitelná. Na nádržích Josefův Důl a Souš v Jizerských horách nebyla zaznamenána žádná výrazná zhoršení jakosti vody.</w:t>
      </w:r>
    </w:p>
    <w:p w14:paraId="3E1FA09F" w14:textId="77777777" w:rsidR="00F53495" w:rsidRPr="001B750B" w:rsidRDefault="00F53495" w:rsidP="00AD7F38">
      <w:pPr>
        <w:rPr>
          <w:rFonts w:cs="Arial"/>
        </w:rPr>
      </w:pPr>
    </w:p>
    <w:p w14:paraId="234D32C4" w14:textId="77777777" w:rsidR="00C56BAE" w:rsidRDefault="00AD7F38" w:rsidP="00C56BAE">
      <w:pPr>
        <w:rPr>
          <w:rFonts w:cs="Arial"/>
        </w:rPr>
      </w:pPr>
      <w:r w:rsidRPr="001B750B">
        <w:rPr>
          <w:rFonts w:cs="Arial"/>
        </w:rPr>
        <w:t xml:space="preserve">Na nádrži </w:t>
      </w:r>
      <w:r w:rsidRPr="00F53495">
        <w:rPr>
          <w:rFonts w:cs="Arial"/>
        </w:rPr>
        <w:t>Labská, která ovlivňuje vodárenský odběr pro město Vrchlabí v Herlíkovicích, byla kvalita vody proměnlivá. Průhlednost sice po celé vegetační období přesahovala hodnotu 200 cm, postupně však došlo k výraznému rozvoji vodního květ (</w:t>
      </w:r>
      <w:proofErr w:type="spellStart"/>
      <w:r w:rsidRPr="00F53495">
        <w:rPr>
          <w:rFonts w:cs="Arial"/>
          <w:i/>
          <w:iCs/>
        </w:rPr>
        <w:t>Dolichospermum</w:t>
      </w:r>
      <w:proofErr w:type="spellEnd"/>
      <w:r w:rsidRPr="00F53495">
        <w:rPr>
          <w:rFonts w:cs="Arial"/>
        </w:rPr>
        <w:t xml:space="preserve">) až do úrovně přes 90 </w:t>
      </w:r>
      <w:proofErr w:type="spellStart"/>
      <w:r w:rsidRPr="00F53495">
        <w:rPr>
          <w:rFonts w:cs="Arial"/>
        </w:rPr>
        <w:t>μg</w:t>
      </w:r>
      <w:proofErr w:type="spellEnd"/>
      <w:r w:rsidRPr="00F53495">
        <w:rPr>
          <w:rFonts w:cs="Arial"/>
        </w:rPr>
        <w:t>/l. Na nádrži Seč byl opat</w:t>
      </w:r>
      <w:r w:rsidRPr="001B750B">
        <w:rPr>
          <w:rFonts w:cs="Arial"/>
        </w:rPr>
        <w:t>řením obecné povahy vydán dne 14. 8. 2025 zákaz koupání. Důvodem tohoto opatření byla skutečnost, že výskyt sinic již překročil hodnoty III. stupně dle Vyhl</w:t>
      </w:r>
      <w:r w:rsidR="00C56BAE">
        <w:rPr>
          <w:rFonts w:cs="Arial"/>
        </w:rPr>
        <w:t>ášky</w:t>
      </w:r>
      <w:r w:rsidRPr="001B750B">
        <w:rPr>
          <w:rFonts w:cs="Arial"/>
        </w:rPr>
        <w:t xml:space="preserve"> č. 238/2011 Sb. Průhlednost trvale poklesla pod hodnotu 200 cm, hodnoty </w:t>
      </w:r>
      <w:proofErr w:type="spellStart"/>
      <w:r w:rsidRPr="001B750B">
        <w:rPr>
          <w:rFonts w:cs="Arial"/>
          <w:i/>
          <w:iCs/>
        </w:rPr>
        <w:t>chlorofylu_a</w:t>
      </w:r>
      <w:proofErr w:type="spellEnd"/>
      <w:r w:rsidRPr="001B750B">
        <w:rPr>
          <w:rFonts w:cs="Arial"/>
          <w:i/>
          <w:iCs/>
        </w:rPr>
        <w:t xml:space="preserve"> </w:t>
      </w:r>
      <w:r w:rsidRPr="001B750B">
        <w:rPr>
          <w:rFonts w:cs="Arial"/>
        </w:rPr>
        <w:t xml:space="preserve">v profilu u hráze přesahovaly 50 </w:t>
      </w:r>
      <w:proofErr w:type="spellStart"/>
      <w:r w:rsidRPr="001B750B">
        <w:rPr>
          <w:rFonts w:cs="Arial"/>
        </w:rPr>
        <w:t>μg</w:t>
      </w:r>
      <w:proofErr w:type="spellEnd"/>
      <w:r w:rsidRPr="001B750B">
        <w:rPr>
          <w:rFonts w:cs="Arial"/>
        </w:rPr>
        <w:t>/l Situace se zlepšila až po koupací sezóně. Vodárenský odběr z nádrže nebyl ohrožen.</w:t>
      </w:r>
    </w:p>
    <w:p w14:paraId="3EDAC2C5" w14:textId="77777777" w:rsidR="00C56BAE" w:rsidRDefault="00C56BAE" w:rsidP="00C56BAE">
      <w:pPr>
        <w:rPr>
          <w:rFonts w:cs="Arial"/>
        </w:rPr>
      </w:pPr>
    </w:p>
    <w:p w14:paraId="36F96146" w14:textId="75F67BE7" w:rsidR="00AD7F38" w:rsidRPr="001B750B" w:rsidRDefault="00C56BAE" w:rsidP="00C56BAE">
      <w:pPr>
        <w:rPr>
          <w:rFonts w:cs="Arial"/>
        </w:rPr>
      </w:pPr>
      <w:r>
        <w:rPr>
          <w:rFonts w:cs="Arial"/>
        </w:rPr>
        <w:t xml:space="preserve">2. </w:t>
      </w:r>
      <w:r w:rsidR="00AD7F38" w:rsidRPr="001B750B">
        <w:rPr>
          <w:rFonts w:cs="Arial"/>
        </w:rPr>
        <w:t>Rekreační nádrže</w:t>
      </w:r>
    </w:p>
    <w:p w14:paraId="3AE3BC12" w14:textId="1D0B1CFD" w:rsidR="008F16D6" w:rsidRPr="002D1FA4" w:rsidRDefault="008F16D6" w:rsidP="008F16D6">
      <w:pPr>
        <w:widowControl w:val="0"/>
        <w:autoSpaceDE w:val="0"/>
        <w:autoSpaceDN w:val="0"/>
        <w:adjustRightInd w:val="0"/>
        <w:ind w:left="360"/>
        <w:rPr>
          <w:rFonts w:cs="Arial"/>
        </w:rPr>
      </w:pPr>
      <w:r w:rsidRPr="002D1FA4">
        <w:rPr>
          <w:rFonts w:cs="Arial"/>
        </w:rPr>
        <w:t>V roce 2025 byla v rámci hodnocení kvality povrchových vod využívaných ke koupání, které provádějí orgány ochrany veřejného zdraví, na vodní nádrži Pastviny v Pardubickém kraji a v jižní části vodní nádrže Rozkoš v Královéhradeckém kraji zjištěna voda vhodná ke koupání (1. stupeň hodnocení kvality vody</w:t>
      </w:r>
      <w:r>
        <w:rPr>
          <w:rFonts w:cs="Arial"/>
        </w:rPr>
        <w:t xml:space="preserve"> dle KHS</w:t>
      </w:r>
      <w:r w:rsidRPr="002D1FA4">
        <w:rPr>
          <w:rFonts w:cs="Arial"/>
        </w:rPr>
        <w:t>).</w:t>
      </w:r>
      <w:r w:rsidR="0048435A">
        <w:rPr>
          <w:rFonts w:cs="Arial"/>
        </w:rPr>
        <w:t xml:space="preserve"> </w:t>
      </w:r>
      <w:r w:rsidRPr="002D1FA4">
        <w:rPr>
          <w:rFonts w:cs="Arial"/>
        </w:rPr>
        <w:t xml:space="preserve">Na vodní nádrži Mšeno došlo v srpnu k intenzivnímu rozvoji sinic, zejména druhu </w:t>
      </w:r>
      <w:proofErr w:type="spellStart"/>
      <w:r w:rsidRPr="002D1FA4">
        <w:rPr>
          <w:rFonts w:cs="Arial"/>
          <w:i/>
          <w:iCs/>
        </w:rPr>
        <w:t>Aphanizomenon</w:t>
      </w:r>
      <w:proofErr w:type="spellEnd"/>
      <w:r w:rsidRPr="002D1FA4">
        <w:rPr>
          <w:rFonts w:cs="Arial"/>
          <w:i/>
          <w:iCs/>
        </w:rPr>
        <w:t xml:space="preserve"> </w:t>
      </w:r>
      <w:proofErr w:type="spellStart"/>
      <w:r w:rsidRPr="002D1FA4">
        <w:rPr>
          <w:rFonts w:cs="Arial"/>
          <w:i/>
          <w:iCs/>
        </w:rPr>
        <w:t>yezoense</w:t>
      </w:r>
      <w:proofErr w:type="spellEnd"/>
      <w:r w:rsidRPr="002D1FA4">
        <w:rPr>
          <w:rFonts w:cs="Arial"/>
        </w:rPr>
        <w:t xml:space="preserve">. Nepříznivý </w:t>
      </w:r>
      <w:r>
        <w:rPr>
          <w:rFonts w:cs="Arial"/>
        </w:rPr>
        <w:t xml:space="preserve">vývoj </w:t>
      </w:r>
      <w:r w:rsidRPr="002D1FA4">
        <w:rPr>
          <w:rFonts w:cs="Arial"/>
        </w:rPr>
        <w:t>jakosti vody přetrval až do konce koupací sezóny. Orgánem ochrany veřejného zdraví byl proto vydán zákaz koupání.</w:t>
      </w:r>
    </w:p>
    <w:p w14:paraId="1857CF56" w14:textId="77777777" w:rsidR="007B6C0B" w:rsidRDefault="007B6C0B" w:rsidP="007B6C0B">
      <w:pPr>
        <w:rPr>
          <w:rFonts w:cs="Arial"/>
        </w:rPr>
      </w:pPr>
    </w:p>
    <w:p w14:paraId="0C174D13" w14:textId="3CE8C67E" w:rsidR="00AD7F38" w:rsidRPr="007B6C0B" w:rsidRDefault="007B6C0B" w:rsidP="007B6C0B">
      <w:pPr>
        <w:rPr>
          <w:rFonts w:cs="Arial"/>
        </w:rPr>
      </w:pPr>
      <w:r>
        <w:rPr>
          <w:rFonts w:cs="Arial"/>
        </w:rPr>
        <w:t xml:space="preserve">3. </w:t>
      </w:r>
      <w:r w:rsidR="00AD7F38" w:rsidRPr="007B6C0B">
        <w:rPr>
          <w:rFonts w:cs="Arial"/>
        </w:rPr>
        <w:t>Ostatní nádrže</w:t>
      </w:r>
    </w:p>
    <w:p w14:paraId="74F47F62" w14:textId="77777777" w:rsidR="00AD7F38" w:rsidRPr="007B6C0B" w:rsidRDefault="00AD7F38" w:rsidP="00AD7F38">
      <w:pPr>
        <w:rPr>
          <w:rFonts w:cs="Arial"/>
        </w:rPr>
      </w:pPr>
      <w:r w:rsidRPr="007B6C0B">
        <w:rPr>
          <w:rFonts w:cs="Arial"/>
        </w:rPr>
        <w:t xml:space="preserve">Vývoj jakosti vody na tomto typu nádrží byl podobný jako v předchozích letech. Na nádržích Bedřichov a </w:t>
      </w:r>
      <w:proofErr w:type="spellStart"/>
      <w:r w:rsidRPr="007B6C0B">
        <w:rPr>
          <w:rFonts w:cs="Arial"/>
        </w:rPr>
        <w:t>Fojtka</w:t>
      </w:r>
      <w:proofErr w:type="spellEnd"/>
      <w:r w:rsidRPr="007B6C0B">
        <w:rPr>
          <w:rFonts w:cs="Arial"/>
        </w:rPr>
        <w:t xml:space="preserve"> byla během vegetační sezóny snížená průhlednost pod 200 cm. Nejméně kvalitní byla voda na nádrži </w:t>
      </w:r>
      <w:proofErr w:type="spellStart"/>
      <w:r w:rsidRPr="007B6C0B">
        <w:rPr>
          <w:rFonts w:cs="Arial"/>
        </w:rPr>
        <w:t>Pařížov</w:t>
      </w:r>
      <w:proofErr w:type="spellEnd"/>
      <w:r w:rsidRPr="007B6C0B">
        <w:rPr>
          <w:rFonts w:cs="Arial"/>
        </w:rPr>
        <w:t xml:space="preserve"> (průhlednost pod 100 cm a koncentrace </w:t>
      </w:r>
      <w:proofErr w:type="spellStart"/>
      <w:r w:rsidRPr="007B6C0B">
        <w:rPr>
          <w:rFonts w:cs="Arial"/>
          <w:i/>
          <w:iCs/>
        </w:rPr>
        <w:t>chlorofylu_a</w:t>
      </w:r>
      <w:proofErr w:type="spellEnd"/>
      <w:r w:rsidRPr="007B6C0B">
        <w:rPr>
          <w:rFonts w:cs="Arial"/>
          <w:i/>
          <w:iCs/>
        </w:rPr>
        <w:t xml:space="preserve"> </w:t>
      </w:r>
      <w:r w:rsidRPr="007B6C0B">
        <w:rPr>
          <w:rFonts w:cs="Arial"/>
        </w:rPr>
        <w:t xml:space="preserve">přesáhly 200 </w:t>
      </w:r>
      <w:proofErr w:type="spellStart"/>
      <w:r w:rsidRPr="007B6C0B">
        <w:rPr>
          <w:rFonts w:cs="Arial"/>
        </w:rPr>
        <w:t>μg</w:t>
      </w:r>
      <w:proofErr w:type="spellEnd"/>
      <w:r w:rsidRPr="007B6C0B">
        <w:rPr>
          <w:rFonts w:cs="Arial"/>
        </w:rPr>
        <w:t xml:space="preserve">/l) a Les Království (v září průhlednost hluboko pod 100 cm a koncentrace </w:t>
      </w:r>
      <w:proofErr w:type="spellStart"/>
      <w:r w:rsidRPr="007B6C0B">
        <w:rPr>
          <w:rFonts w:cs="Arial"/>
          <w:i/>
          <w:iCs/>
        </w:rPr>
        <w:t>chlorofylu_a</w:t>
      </w:r>
      <w:proofErr w:type="spellEnd"/>
      <w:r w:rsidRPr="007B6C0B">
        <w:rPr>
          <w:rFonts w:cs="Arial"/>
          <w:i/>
          <w:iCs/>
        </w:rPr>
        <w:t xml:space="preserve"> </w:t>
      </w:r>
      <w:r w:rsidRPr="007B6C0B">
        <w:rPr>
          <w:rFonts w:cs="Arial"/>
        </w:rPr>
        <w:t xml:space="preserve">1200 </w:t>
      </w:r>
      <w:proofErr w:type="spellStart"/>
      <w:r w:rsidRPr="007B6C0B">
        <w:rPr>
          <w:rFonts w:cs="Arial"/>
        </w:rPr>
        <w:t>μg</w:t>
      </w:r>
      <w:proofErr w:type="spellEnd"/>
      <w:r w:rsidRPr="007B6C0B">
        <w:rPr>
          <w:rFonts w:cs="Arial"/>
        </w:rPr>
        <w:t>/l).</w:t>
      </w:r>
    </w:p>
    <w:p w14:paraId="4E1394D4" w14:textId="77777777" w:rsidR="00795FDE" w:rsidRDefault="00795FDE" w:rsidP="00AD7F38">
      <w:pPr>
        <w:rPr>
          <w:b/>
          <w:bCs/>
          <w:i/>
          <w:iCs/>
        </w:rPr>
      </w:pPr>
    </w:p>
    <w:p w14:paraId="62C7B641" w14:textId="1A76792E" w:rsidR="00AD7F38" w:rsidRDefault="00AD7F38" w:rsidP="00AD7F38">
      <w:pPr>
        <w:rPr>
          <w:b/>
          <w:bCs/>
          <w:i/>
          <w:iCs/>
        </w:rPr>
      </w:pPr>
      <w:r>
        <w:rPr>
          <w:b/>
          <w:bCs/>
          <w:i/>
          <w:iCs/>
        </w:rPr>
        <w:t>Povodí Moravy</w:t>
      </w:r>
    </w:p>
    <w:p w14:paraId="6AA26D5D" w14:textId="77777777" w:rsidR="007B6C0B" w:rsidRDefault="00AD7F38" w:rsidP="007B6C0B">
      <w:r w:rsidRPr="000C273D">
        <w:t>Rok 2025 byl poněkud chladnější, ovšem pouze ve srovnání s posledními několika lety. Jinak patří teploty v roce 2025 k mírně nadprůměrným, pokud ovšem srovnáváme posledních dvacet let. Pokud se však pohybujeme v širším časovém období, jedná se o rok velmi teplý. Srážkově byl podprůměrný, zvláště jeho první velmi suchá polovina.</w:t>
      </w:r>
    </w:p>
    <w:p w14:paraId="6859BBE5" w14:textId="77777777" w:rsidR="007B6C0B" w:rsidRDefault="007B6C0B" w:rsidP="007B6C0B"/>
    <w:p w14:paraId="1A474E04" w14:textId="62DA9AA8" w:rsidR="00AD7F38" w:rsidRPr="007B6C0B" w:rsidRDefault="007B6C0B" w:rsidP="007B6C0B">
      <w:r>
        <w:t xml:space="preserve">1. </w:t>
      </w:r>
      <w:r w:rsidR="00AD7F38" w:rsidRPr="00B57EA1">
        <w:rPr>
          <w:rFonts w:cs="Arial"/>
        </w:rPr>
        <w:t>Vodárenské nádrže</w:t>
      </w:r>
    </w:p>
    <w:p w14:paraId="3C88C027" w14:textId="77777777" w:rsidR="00AD7F38" w:rsidRPr="000C273D" w:rsidRDefault="00AD7F38" w:rsidP="00AD7F38">
      <w:proofErr w:type="spellStart"/>
      <w:r w:rsidRPr="000C273D">
        <w:t>Oligotrofii</w:t>
      </w:r>
      <w:proofErr w:type="spellEnd"/>
      <w:r w:rsidRPr="000C273D">
        <w:t xml:space="preserve"> v tomto roce odpovídala nádrž Karolinka a v podstatě i Slušovice, </w:t>
      </w:r>
      <w:proofErr w:type="spellStart"/>
      <w:r w:rsidRPr="000C273D">
        <w:t>mezotrofními</w:t>
      </w:r>
      <w:proofErr w:type="spellEnd"/>
      <w:r w:rsidRPr="000C273D">
        <w:t xml:space="preserve"> na hranici slabé </w:t>
      </w:r>
      <w:proofErr w:type="spellStart"/>
      <w:r w:rsidRPr="000C273D">
        <w:t>eutrofie</w:t>
      </w:r>
      <w:proofErr w:type="spellEnd"/>
      <w:r w:rsidRPr="000C273D">
        <w:t xml:space="preserve"> byly Koryčany, Opatovice, Landštejn, Nová Říše, Bojkovice a Boskovice, eutrofními Fryšták, Ludkovice, Znojmo, silně eutrofními Vír a </w:t>
      </w:r>
      <w:proofErr w:type="spellStart"/>
      <w:r w:rsidRPr="000C273D">
        <w:t>Mostiště</w:t>
      </w:r>
      <w:proofErr w:type="spellEnd"/>
      <w:r w:rsidRPr="000C273D">
        <w:t>. Hubenov se zvláště ve druhé polovině vegetační sezóny posunul téměř k hypertrofii.</w:t>
      </w:r>
    </w:p>
    <w:p w14:paraId="654063B2" w14:textId="77777777" w:rsidR="00AD7F38" w:rsidRPr="000C273D" w:rsidRDefault="00AD7F38" w:rsidP="00AD7F38">
      <w:r w:rsidRPr="000C273D">
        <w:t>K výraznému zlepšení došlo u nádrže Fryšták, naopak zhoršení spojené s masovým rozvojem sinic bylo konstatováno u Hubenova.</w:t>
      </w:r>
    </w:p>
    <w:p w14:paraId="07DD8AA8" w14:textId="77777777" w:rsidR="007B6C0B" w:rsidRDefault="007B6C0B" w:rsidP="00AD7F38"/>
    <w:p w14:paraId="723D8119" w14:textId="776C1138" w:rsidR="00AD7F38" w:rsidRDefault="00AD7F38" w:rsidP="00AD7F38">
      <w:pPr>
        <w:rPr>
          <w:b/>
          <w:bCs/>
          <w:i/>
          <w:iCs/>
        </w:rPr>
      </w:pPr>
      <w:r w:rsidRPr="000C273D">
        <w:t xml:space="preserve">Sinice byly hlavní složkou vysoké biomasy hlavně u Hubenova, u jiných přehrad (Vír, </w:t>
      </w:r>
      <w:proofErr w:type="spellStart"/>
      <w:r w:rsidRPr="000C273D">
        <w:t>Mostiště</w:t>
      </w:r>
      <w:proofErr w:type="spellEnd"/>
      <w:r w:rsidRPr="000C273D">
        <w:t>) byl jejich rozvoj doprovázen společenstvy obrněnek a rozsivek, které tvořily významnou část celkového fytoplanktonu.</w:t>
      </w:r>
      <w:r w:rsidRPr="000A62D8">
        <w:rPr>
          <w:b/>
          <w:bCs/>
          <w:i/>
          <w:iCs/>
        </w:rPr>
        <w:t xml:space="preserve"> </w:t>
      </w:r>
    </w:p>
    <w:p w14:paraId="170952FE" w14:textId="77777777" w:rsidR="00E9504F" w:rsidRDefault="00E9504F" w:rsidP="00AD7F38">
      <w:pPr>
        <w:rPr>
          <w:b/>
          <w:bCs/>
          <w:i/>
          <w:iCs/>
        </w:rPr>
      </w:pPr>
    </w:p>
    <w:p w14:paraId="37191F9F" w14:textId="67EC2EF7" w:rsidR="00E9504F" w:rsidRPr="000A62D8" w:rsidRDefault="008F7213" w:rsidP="00E9504F">
      <w:pPr>
        <w:rPr>
          <w:b/>
          <w:bCs/>
          <w:i/>
          <w:iCs/>
        </w:rPr>
      </w:pPr>
      <w:r>
        <w:rPr>
          <w:b/>
          <w:bCs/>
          <w:i/>
          <w:iCs/>
        </w:rPr>
        <w:t>Gr</w:t>
      </w:r>
      <w:r w:rsidR="00094572">
        <w:rPr>
          <w:b/>
          <w:bCs/>
          <w:i/>
          <w:iCs/>
        </w:rPr>
        <w:t>af 3.1.2</w:t>
      </w:r>
    </w:p>
    <w:p w14:paraId="59DEF35F" w14:textId="77777777" w:rsidR="00E9504F" w:rsidRPr="000A62D8" w:rsidRDefault="00E9504F" w:rsidP="00E9504F">
      <w:pPr>
        <w:rPr>
          <w:b/>
          <w:bCs/>
          <w:i/>
          <w:iCs/>
        </w:rPr>
      </w:pPr>
      <w:r w:rsidRPr="000A62D8">
        <w:rPr>
          <w:b/>
          <w:bCs/>
          <w:i/>
          <w:iCs/>
        </w:rPr>
        <w:t xml:space="preserve">Obsah chlorofylu a ve </w:t>
      </w:r>
      <w:proofErr w:type="gramStart"/>
      <w:r w:rsidRPr="000A62D8">
        <w:rPr>
          <w:b/>
          <w:bCs/>
          <w:i/>
          <w:iCs/>
        </w:rPr>
        <w:t>4-metrové</w:t>
      </w:r>
      <w:proofErr w:type="gramEnd"/>
      <w:r w:rsidRPr="000A62D8">
        <w:rPr>
          <w:b/>
          <w:bCs/>
          <w:i/>
          <w:iCs/>
        </w:rPr>
        <w:t xml:space="preserve"> vrstvě u hladiny v profilu u hráze v roce 2025, nádrže s vodárenským odběrem</w:t>
      </w:r>
    </w:p>
    <w:p w14:paraId="592B70D5" w14:textId="77777777" w:rsidR="00E9504F" w:rsidRDefault="00E9504F" w:rsidP="00E9504F">
      <w:r w:rsidRPr="008E47BD">
        <w:rPr>
          <w:noProof/>
        </w:rPr>
        <w:drawing>
          <wp:inline distT="0" distB="0" distL="0" distR="0" wp14:anchorId="4475D61C" wp14:editId="2F89FC15">
            <wp:extent cx="5651500" cy="2997200"/>
            <wp:effectExtent l="0" t="0" r="6350" b="12700"/>
            <wp:docPr id="1831686636" name="Graf 1">
              <a:extLst xmlns:a="http://schemas.openxmlformats.org/drawingml/2006/main">
                <a:ext uri="{FF2B5EF4-FFF2-40B4-BE49-F238E27FC236}">
                  <a16:creationId xmlns:a16="http://schemas.microsoft.com/office/drawing/2014/main" id="{923CACE3-F4F4-4A58-AF38-DDEDF9963C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D23FBFF" w14:textId="77777777" w:rsidR="009704D8" w:rsidRDefault="00E9504F" w:rsidP="009704D8">
      <w:pPr>
        <w:rPr>
          <w:i/>
          <w:iCs/>
          <w:sz w:val="20"/>
          <w:szCs w:val="20"/>
        </w:rPr>
      </w:pPr>
      <w:r w:rsidRPr="00E9504F">
        <w:rPr>
          <w:i/>
          <w:iCs/>
          <w:sz w:val="20"/>
          <w:szCs w:val="20"/>
        </w:rPr>
        <w:t xml:space="preserve">Pramen: povodí Moravy </w:t>
      </w:r>
      <w:proofErr w:type="spellStart"/>
      <w:r w:rsidRPr="00E9504F">
        <w:rPr>
          <w:i/>
          <w:iCs/>
          <w:sz w:val="20"/>
          <w:szCs w:val="20"/>
        </w:rPr>
        <w:t>s.p</w:t>
      </w:r>
      <w:proofErr w:type="spellEnd"/>
      <w:r w:rsidRPr="00E9504F">
        <w:rPr>
          <w:i/>
          <w:iCs/>
          <w:sz w:val="20"/>
          <w:szCs w:val="20"/>
        </w:rPr>
        <w:t>.</w:t>
      </w:r>
    </w:p>
    <w:p w14:paraId="56D1C60B" w14:textId="77777777" w:rsidR="009704D8" w:rsidRDefault="009704D8" w:rsidP="009704D8">
      <w:pPr>
        <w:rPr>
          <w:i/>
          <w:iCs/>
          <w:sz w:val="20"/>
          <w:szCs w:val="20"/>
        </w:rPr>
      </w:pPr>
    </w:p>
    <w:p w14:paraId="0EC94D4C" w14:textId="2640D4CB" w:rsidR="004F106D" w:rsidRPr="009704D8" w:rsidRDefault="004B5CB3" w:rsidP="009704D8">
      <w:pPr>
        <w:rPr>
          <w:sz w:val="20"/>
          <w:szCs w:val="20"/>
        </w:rPr>
      </w:pPr>
      <w:r>
        <w:rPr>
          <w:i/>
          <w:iCs/>
          <w:sz w:val="20"/>
          <w:szCs w:val="20"/>
        </w:rPr>
        <w:t xml:space="preserve">2. </w:t>
      </w:r>
      <w:r w:rsidR="004F106D" w:rsidRPr="009704D8">
        <w:rPr>
          <w:rFonts w:cs="Arial"/>
        </w:rPr>
        <w:t>Rekreační nádrže</w:t>
      </w:r>
    </w:p>
    <w:p w14:paraId="5BA72404" w14:textId="77777777" w:rsidR="004F106D" w:rsidRPr="000C273D" w:rsidRDefault="004F106D" w:rsidP="004F106D">
      <w:r w:rsidRPr="000C273D">
        <w:t xml:space="preserve">Jako </w:t>
      </w:r>
      <w:proofErr w:type="spellStart"/>
      <w:r w:rsidRPr="000C273D">
        <w:t>hypertrofní</w:t>
      </w:r>
      <w:proofErr w:type="spellEnd"/>
      <w:r w:rsidRPr="000C273D">
        <w:t xml:space="preserve"> po biologické stránce bylo možno v roce 2025 označit nádrže Moravská Třebová, Výrovice, Luhačovice, Podhradský rybník, </w:t>
      </w:r>
      <w:proofErr w:type="spellStart"/>
      <w:r w:rsidRPr="000C273D">
        <w:t>Bidelec</w:t>
      </w:r>
      <w:proofErr w:type="spellEnd"/>
      <w:r w:rsidRPr="000C273D">
        <w:t xml:space="preserve">, profil Vranov Farářka, profily na přítokové části Brněnské nádrže, nádrže Nové Mlýny dolní a střední. Plumlov, Bystřička, Horní Bečva, Vranov Bítov, nádrž Nové Mlýny horní, Letovice a Brno – jezerní část odpovídaly </w:t>
      </w:r>
      <w:proofErr w:type="spellStart"/>
      <w:r w:rsidRPr="000C273D">
        <w:t>eutrofii</w:t>
      </w:r>
      <w:proofErr w:type="spellEnd"/>
      <w:r w:rsidRPr="000C273D">
        <w:t xml:space="preserve">. Vranov – profily Hráz a Vodárna téměř </w:t>
      </w:r>
      <w:proofErr w:type="spellStart"/>
      <w:r w:rsidRPr="000C273D">
        <w:t>mezotrofie</w:t>
      </w:r>
      <w:proofErr w:type="spellEnd"/>
      <w:r w:rsidRPr="000C273D">
        <w:t>.</w:t>
      </w:r>
    </w:p>
    <w:p w14:paraId="41C6FA13" w14:textId="77777777" w:rsidR="006F0D52" w:rsidRDefault="006F0D52" w:rsidP="004F106D"/>
    <w:p w14:paraId="361D8B44" w14:textId="29F1F168" w:rsidR="004F106D" w:rsidRPr="000C273D" w:rsidRDefault="004F106D" w:rsidP="004F106D">
      <w:r w:rsidRPr="000C273D">
        <w:t>Zlepšení jsme zaznamenali u nádrží Jevišovice (posun od hypertrofie k </w:t>
      </w:r>
      <w:proofErr w:type="spellStart"/>
      <w:r w:rsidRPr="000C273D">
        <w:t>eutrofii</w:t>
      </w:r>
      <w:proofErr w:type="spellEnd"/>
      <w:r w:rsidRPr="000C273D">
        <w:t xml:space="preserve">, navíc absence masového vodního květu), Nové Mlýny horní, Plumlov a Vranov na profilech Hráz a Vodárna. Ke zhoršení došlo zvláště u Výrovic, kde se masově rozvinula obrněnka </w:t>
      </w:r>
      <w:proofErr w:type="spellStart"/>
      <w:r w:rsidRPr="000C273D">
        <w:t>Ceratium</w:t>
      </w:r>
      <w:proofErr w:type="spellEnd"/>
      <w:r w:rsidRPr="000C273D">
        <w:t xml:space="preserve"> </w:t>
      </w:r>
      <w:proofErr w:type="spellStart"/>
      <w:r w:rsidRPr="000C273D">
        <w:t>furcoides</w:t>
      </w:r>
      <w:proofErr w:type="spellEnd"/>
      <w:r w:rsidRPr="000C273D">
        <w:t>, na nádrži Nové Mlýny dolní a na profilech Farářka a Bítov u nádrže Vranov.</w:t>
      </w:r>
    </w:p>
    <w:p w14:paraId="26747311" w14:textId="77777777" w:rsidR="004F106D" w:rsidRPr="000C273D" w:rsidRDefault="004F106D" w:rsidP="004F106D">
      <w:r w:rsidRPr="000C273D">
        <w:t>Sinice se masově rozvinuly zvláště v přítokové části nádrže Vranov, v nádrži Nové Mlýny dolní a v nádrži Moravská Třebová.</w:t>
      </w:r>
    </w:p>
    <w:p w14:paraId="53D9386E" w14:textId="77777777" w:rsidR="006F0D52" w:rsidRDefault="006F0D52" w:rsidP="004F106D"/>
    <w:p w14:paraId="5C6F11F7" w14:textId="097475D6" w:rsidR="004F106D" w:rsidRDefault="004F106D" w:rsidP="004F106D">
      <w:r w:rsidRPr="000C273D">
        <w:t xml:space="preserve">Ve srovnání s rokem 2024 přibyla u rekreačních nádrží četnost výskytu sinic, nejzávažnější byl rozvoj vláknitých sinic rodu </w:t>
      </w:r>
      <w:proofErr w:type="spellStart"/>
      <w:r w:rsidRPr="000C273D">
        <w:t>Aphanizomenon</w:t>
      </w:r>
      <w:proofErr w:type="spellEnd"/>
      <w:r w:rsidRPr="000C273D">
        <w:t xml:space="preserve"> na nádrži Nové Mlýny dolní, který zapříčinil úhyn ryb v řece Dyji pod hrází. Dále se častěji prosadily obrněnky rodu </w:t>
      </w:r>
      <w:proofErr w:type="spellStart"/>
      <w:r w:rsidRPr="000C273D">
        <w:t>Ceratium</w:t>
      </w:r>
      <w:proofErr w:type="spellEnd"/>
      <w:r w:rsidRPr="000C273D">
        <w:t>, které u některých nádrží (Výrovice) působily podobné potíže spojené s úbytkem kyslíku.</w:t>
      </w:r>
    </w:p>
    <w:p w14:paraId="5FCC9D44" w14:textId="77777777" w:rsidR="00EE6256" w:rsidRDefault="00EE6256" w:rsidP="00CF218D">
      <w:pPr>
        <w:rPr>
          <w:b/>
          <w:bCs/>
          <w:i/>
          <w:iCs/>
        </w:rPr>
      </w:pPr>
    </w:p>
    <w:p w14:paraId="6C88DC07" w14:textId="77777777" w:rsidR="00BA4688" w:rsidRDefault="00BA4688" w:rsidP="00CF218D">
      <w:pPr>
        <w:rPr>
          <w:b/>
          <w:bCs/>
          <w:i/>
          <w:iCs/>
        </w:rPr>
      </w:pPr>
    </w:p>
    <w:p w14:paraId="0597480C" w14:textId="527EFBA5" w:rsidR="00CF218D" w:rsidRPr="000A62D8" w:rsidRDefault="00094572" w:rsidP="00CF218D">
      <w:pPr>
        <w:rPr>
          <w:b/>
          <w:bCs/>
          <w:i/>
          <w:iCs/>
        </w:rPr>
      </w:pPr>
      <w:r>
        <w:rPr>
          <w:b/>
          <w:bCs/>
          <w:i/>
          <w:iCs/>
        </w:rPr>
        <w:lastRenderedPageBreak/>
        <w:t>Graf 3.1.3</w:t>
      </w:r>
    </w:p>
    <w:p w14:paraId="17B39C86" w14:textId="47BA32DD" w:rsidR="00CF218D" w:rsidRPr="000A62D8" w:rsidRDefault="00CF218D" w:rsidP="00CF218D">
      <w:pPr>
        <w:rPr>
          <w:b/>
          <w:bCs/>
          <w:i/>
          <w:iCs/>
        </w:rPr>
      </w:pPr>
      <w:r w:rsidRPr="000A62D8">
        <w:rPr>
          <w:b/>
          <w:bCs/>
          <w:i/>
          <w:iCs/>
        </w:rPr>
        <w:t xml:space="preserve">Obsah chlorofylu a ve </w:t>
      </w:r>
      <w:proofErr w:type="gramStart"/>
      <w:r w:rsidRPr="000A62D8">
        <w:rPr>
          <w:b/>
          <w:bCs/>
          <w:i/>
          <w:iCs/>
        </w:rPr>
        <w:t>4-metrové</w:t>
      </w:r>
      <w:proofErr w:type="gramEnd"/>
      <w:r w:rsidRPr="000A62D8">
        <w:rPr>
          <w:b/>
          <w:bCs/>
          <w:i/>
          <w:iCs/>
        </w:rPr>
        <w:t xml:space="preserve"> vrstvě u hladiny v profilu u hráze v roce 2025, nádrže s rekreačním využitím</w:t>
      </w:r>
    </w:p>
    <w:p w14:paraId="608881F1" w14:textId="77777777" w:rsidR="00CF218D" w:rsidRDefault="00CF218D" w:rsidP="00CF218D">
      <w:r w:rsidRPr="008E47BD">
        <w:rPr>
          <w:noProof/>
        </w:rPr>
        <w:drawing>
          <wp:inline distT="0" distB="0" distL="0" distR="0" wp14:anchorId="132D642A" wp14:editId="73C24EFE">
            <wp:extent cx="5113020" cy="3164305"/>
            <wp:effectExtent l="0" t="0" r="11430" b="17145"/>
            <wp:docPr id="1943796937" name="Graf 1">
              <a:extLst xmlns:a="http://schemas.openxmlformats.org/drawingml/2006/main">
                <a:ext uri="{FF2B5EF4-FFF2-40B4-BE49-F238E27FC236}">
                  <a16:creationId xmlns:a16="http://schemas.microsoft.com/office/drawing/2014/main" id="{DDE1BBD5-A259-439F-82BB-48BEAEEC1B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FEDDC68" w14:textId="77777777" w:rsidR="00CF218D" w:rsidRPr="00480440" w:rsidRDefault="00CF218D" w:rsidP="00CF218D">
      <w:pPr>
        <w:rPr>
          <w:sz w:val="20"/>
          <w:szCs w:val="20"/>
        </w:rPr>
      </w:pPr>
      <w:r w:rsidRPr="00480440">
        <w:rPr>
          <w:i/>
          <w:iCs/>
          <w:sz w:val="20"/>
          <w:szCs w:val="20"/>
        </w:rPr>
        <w:t xml:space="preserve">Pramen: povodí Moravy </w:t>
      </w:r>
      <w:proofErr w:type="spellStart"/>
      <w:r w:rsidRPr="00480440">
        <w:rPr>
          <w:i/>
          <w:iCs/>
          <w:sz w:val="20"/>
          <w:szCs w:val="20"/>
        </w:rPr>
        <w:t>s.p</w:t>
      </w:r>
      <w:proofErr w:type="spellEnd"/>
      <w:r w:rsidRPr="00480440">
        <w:rPr>
          <w:i/>
          <w:iCs/>
          <w:sz w:val="20"/>
          <w:szCs w:val="20"/>
        </w:rPr>
        <w:t>.</w:t>
      </w:r>
    </w:p>
    <w:p w14:paraId="6A70D48E" w14:textId="77777777" w:rsidR="00CF218D" w:rsidRDefault="00CF218D" w:rsidP="004F106D"/>
    <w:p w14:paraId="7DBF967A" w14:textId="77777777" w:rsidR="002F08C7" w:rsidRDefault="002F08C7" w:rsidP="002F08C7">
      <w:pPr>
        <w:rPr>
          <w:b/>
          <w:bCs/>
          <w:i/>
          <w:iCs/>
        </w:rPr>
      </w:pPr>
      <w:r>
        <w:rPr>
          <w:b/>
          <w:bCs/>
          <w:i/>
          <w:iCs/>
        </w:rPr>
        <w:t>Povodí Odry</w:t>
      </w:r>
    </w:p>
    <w:p w14:paraId="39FCC0FB" w14:textId="77777777" w:rsidR="002F08C7" w:rsidRPr="0040043A" w:rsidRDefault="002F08C7" w:rsidP="002F08C7">
      <w:r w:rsidRPr="000C273D">
        <w:t xml:space="preserve">Jakost surové vody ve vodárenských nádržích Šance, Kružberk a Morávka byla v roce 2025 jako tradičně velmi dobrá a nevyžadovala tedy složitější úpravu na vodu pitnou. Drtivá většina hodnocených parametrů byla klasifikována nejlepší kategorií A1 (podle přílohy č 13 k vyhlášce č. 428/2001 Sb. v platném znění). Tento příznivý stav se daří udržet zejména využitím určitých opatření, která dává vodní zákon v rámci stanovených ochranných pásem vodních zdrojů, jako jsou omezení rozvoje daného území, včetně turistického ruchu, regulace hospodaření a podobně. Příznivý dopad má rovněž situování přehrad v horských oblastech s nízkou hustotou obyvatelstva a minimálním vnosem znečištění komunálního charakteru. Do kategorií </w:t>
      </w:r>
      <w:proofErr w:type="gramStart"/>
      <w:r w:rsidRPr="000C273D">
        <w:t>A2</w:t>
      </w:r>
      <w:proofErr w:type="gramEnd"/>
      <w:r w:rsidRPr="000C273D">
        <w:t xml:space="preserve"> respektive A3 (podle </w:t>
      </w:r>
      <w:r w:rsidRPr="0040043A">
        <w:t>vyhlášky č. 428/2001 Sb.) spadaly jako tradičně ukazatele organického znečištění (</w:t>
      </w:r>
      <w:proofErr w:type="spellStart"/>
      <w:r w:rsidRPr="0040043A">
        <w:t>CHSK</w:t>
      </w:r>
      <w:r w:rsidRPr="0040043A">
        <w:rPr>
          <w:vertAlign w:val="subscript"/>
        </w:rPr>
        <w:t>Mn</w:t>
      </w:r>
      <w:proofErr w:type="spellEnd"/>
      <w:r w:rsidRPr="0040043A">
        <w:t>, BSK</w:t>
      </w:r>
      <w:r w:rsidRPr="0040043A">
        <w:rPr>
          <w:vertAlign w:val="subscript"/>
        </w:rPr>
        <w:t>5</w:t>
      </w:r>
      <w:r w:rsidRPr="0040043A">
        <w:t xml:space="preserve">, TOC), což je způsobeno zkreslením vlivem vyššího výskytu fytoplanktonu v </w:t>
      </w:r>
      <w:proofErr w:type="spellStart"/>
      <w:r w:rsidRPr="0040043A">
        <w:t>epilimnické</w:t>
      </w:r>
      <w:proofErr w:type="spellEnd"/>
      <w:r w:rsidRPr="0040043A">
        <w:t xml:space="preserve"> vrstvě nádrže, ze které je směsný vzorek odebírán. Samotný odběr pro vodárenské účely je realizován z hlubších horizontů, a není tedy natolik ovlivněn rozvojem fytoplanktonu. Ke konci vegetačního období byl zaznamenán dílčí problém na vodárenské nádrži Kružberk. Vlivem vyčerpání kyslíku u dna nádrže docházelo k mobilitě manganu, a jeho následnému uvolňování do vodního sloupce, což ovlivňovalo odběr surové vody pro úpravu na vodu pitnou. Situace se však v součinnosti s odběratelem vody podařila manipulacemi na vodním díle a volbou vhodných odběrových oken vyřešit. </w:t>
      </w:r>
    </w:p>
    <w:p w14:paraId="7C86F07B" w14:textId="77777777" w:rsidR="002F08C7" w:rsidRPr="0040043A" w:rsidRDefault="002F08C7" w:rsidP="002F08C7"/>
    <w:p w14:paraId="30841DFF" w14:textId="308988D1" w:rsidR="002F08C7" w:rsidRPr="000C273D" w:rsidRDefault="002F08C7" w:rsidP="002F08C7">
      <w:r w:rsidRPr="0040043A">
        <w:t>Na nádržích s jiným než vodárenským využitím, byl v průběhu roku 2025 zaznamenán problém se zhoršenou jakostí vody na VN Olešná a VN Žermanice. U obou nádrží se voda začala zhoršovat až ke konci rekreačního období (druhá polovina srpna). Jak u nádrže Olešná, tak u nádrže Žermanice byly první problémy související s nadměrným rozvojem fytoplanktonu zaznamenány v odběru z 11.</w:t>
      </w:r>
      <w:r w:rsidR="00AB69A1" w:rsidRPr="0040043A">
        <w:t xml:space="preserve"> </w:t>
      </w:r>
      <w:r w:rsidRPr="0040043A">
        <w:t>8.</w:t>
      </w:r>
      <w:r w:rsidR="00AB69A1" w:rsidRPr="0040043A">
        <w:t xml:space="preserve"> </w:t>
      </w:r>
      <w:r w:rsidRPr="0040043A">
        <w:t>2025, přičemž postupně došlo ke</w:t>
      </w:r>
      <w:r w:rsidRPr="000C273D">
        <w:t xml:space="preserve"> zhoršování situace. Zelené řasy byly vytlačovány sinicemi, což vyvrcholilo na konci srpna, kdy byla voda na nádrži Žermanice označena jako „nevhodná ke koupání“ respektive v případě VN Olešná jako „zhoršená jakost vody“. Ani u jedné z těchto nádrží nebyla v průběhu sezóny voda označena jako „nebezpečná ke koupání“ dle přílohy č. 6 k vyhlášce 238/2011 Sb.</w:t>
      </w:r>
      <w:r w:rsidR="00662E7D">
        <w:t xml:space="preserve">, </w:t>
      </w:r>
      <w:r w:rsidRPr="000C273D">
        <w:t xml:space="preserve">ve znění pozdějších předpisů. Na nádržích Těrlicko a Slezská Harta byla vegetační sezóna bez významnějších projevů abundance zelené biomasy. Na rozdíl od předchozích let se nádrži Těrlicko vyhnula také omezení spojená s výskytem </w:t>
      </w:r>
      <w:proofErr w:type="spellStart"/>
      <w:r w:rsidRPr="000C273D">
        <w:t>cerkáriové</w:t>
      </w:r>
      <w:proofErr w:type="spellEnd"/>
      <w:r w:rsidRPr="000C273D">
        <w:t xml:space="preserve"> dermatitidy. V průběhu roku 2025 byla dokončena modernizace VN Baška</w:t>
      </w:r>
      <w:r w:rsidR="002C4127">
        <w:t>.</w:t>
      </w:r>
      <w:r w:rsidRPr="000C273D">
        <w:t xml:space="preserve"> V roce 2026 bude konkrétně u této nádrže zintenzivněn monitoring ze strany správce nádrže.</w:t>
      </w:r>
    </w:p>
    <w:p w14:paraId="176B1CC1" w14:textId="77777777" w:rsidR="008F7213" w:rsidRDefault="008F7213" w:rsidP="002F08C7">
      <w:pPr>
        <w:rPr>
          <w:b/>
          <w:bCs/>
          <w:i/>
          <w:iCs/>
        </w:rPr>
      </w:pPr>
    </w:p>
    <w:p w14:paraId="577F9E0C" w14:textId="0A3E69BD" w:rsidR="002F08C7" w:rsidRDefault="002F08C7" w:rsidP="002F08C7">
      <w:pPr>
        <w:rPr>
          <w:b/>
          <w:bCs/>
          <w:i/>
          <w:iCs/>
        </w:rPr>
      </w:pPr>
      <w:r w:rsidRPr="000C273D">
        <w:rPr>
          <w:b/>
          <w:bCs/>
          <w:i/>
          <w:iCs/>
        </w:rPr>
        <w:t>Povodí Vltavy</w:t>
      </w:r>
    </w:p>
    <w:p w14:paraId="55DF071A" w14:textId="77777777" w:rsidR="002F08C7" w:rsidRPr="000C273D" w:rsidRDefault="002F08C7" w:rsidP="002F08C7">
      <w:r w:rsidRPr="000C273D">
        <w:t>Naprostá většina vodních nádrží (kromě rybníků) se chová poměrně konzervativně, což znamená dlouhodobě sice poměrně stabilní a vyrovnanou jakost vody, ale zároveň také přetrvávání tradičních problémů. Meziroční variabilita záleží nejen na hydrologických podmínkách daného roku, ale také na individuálních dispozicích jednotlivých vodních nádrží.</w:t>
      </w:r>
    </w:p>
    <w:p w14:paraId="7568792D" w14:textId="77777777" w:rsidR="002F08C7" w:rsidRDefault="002F08C7" w:rsidP="002F08C7"/>
    <w:p w14:paraId="68205AFE" w14:textId="4FFE9A0B" w:rsidR="002F08C7" w:rsidRPr="000C273D" w:rsidRDefault="002F08C7" w:rsidP="002F08C7">
      <w:r w:rsidRPr="000C273D">
        <w:t xml:space="preserve">Rok 2025 byl srážkově velmi chudý. Po suché zimě pokračovalo i málo vodné jaro. Nejvyšší srážky byly zaznamenány v červenci, ale jednalo se o málo intenzivní déšť, který absorbovala krajina a její vegetace, takže na přítocích do vodních nádrží se většinou příliš neprojevil. To znamenalo pro některé vodní nádrže (Lučina, Římov, </w:t>
      </w:r>
      <w:proofErr w:type="spellStart"/>
      <w:r w:rsidRPr="000C273D">
        <w:t>Karhov</w:t>
      </w:r>
      <w:proofErr w:type="spellEnd"/>
      <w:r w:rsidRPr="000C273D">
        <w:t xml:space="preserve">, Obecnice) nízký přísun </w:t>
      </w:r>
      <w:proofErr w:type="spellStart"/>
      <w:r w:rsidRPr="000C273D">
        <w:t>huminových</w:t>
      </w:r>
      <w:proofErr w:type="spellEnd"/>
      <w:r w:rsidRPr="000C273D">
        <w:t xml:space="preserve"> látek, tedy lepší upravitelnost vody odebírané vodárenskými společnostmi. Z pohledu intenzity eutrofizačních projevů, včetně růstu vodních květů, znamenal suchý rok 2025 zhoršení u vodních nádrží nepříliš hlubokých, kde hraje důležitou roli vnitřní zatížení, tedy fosfor v sedimentech (Žlutice, Lučina, </w:t>
      </w:r>
      <w:proofErr w:type="spellStart"/>
      <w:r w:rsidRPr="000C273D">
        <w:t>Karhov</w:t>
      </w:r>
      <w:proofErr w:type="spellEnd"/>
      <w:r w:rsidRPr="000C273D">
        <w:t>, Lipno I). U těchto nádrží pokračoval i dlouhodobě se zhoršující trend vývoje jakosti vody. U vodních nádrží hlubokých, kaňonovitých byly sice poměry v povrchové vrstvě vody v dolní části nádrže poměrně dobré, ale kyslíkový režim v dolní části vodního sloupce byl nepříznivý (Klíčava, Římov, Orlík).</w:t>
      </w:r>
    </w:p>
    <w:p w14:paraId="747F752E" w14:textId="77777777" w:rsidR="002F08C7" w:rsidRDefault="002F08C7" w:rsidP="002F08C7"/>
    <w:p w14:paraId="3C4FA75A" w14:textId="43FDA3BD" w:rsidR="002F08C7" w:rsidRPr="000C273D" w:rsidRDefault="002F08C7" w:rsidP="002F08C7">
      <w:r w:rsidRPr="000C273D">
        <w:t>Ve vodárenské nádrži Švihov na Želivce byla v roce 2025 zjištěna v dolní části nádrže stabilně dobrá jakost vody bez problémů s její upravitelností.</w:t>
      </w:r>
    </w:p>
    <w:p w14:paraId="3FB8CAB8" w14:textId="77777777" w:rsidR="002F08C7" w:rsidRDefault="002F08C7" w:rsidP="002F08C7"/>
    <w:p w14:paraId="56D402CF" w14:textId="58BF58A6" w:rsidR="002F08C7" w:rsidRPr="000C273D" w:rsidRDefault="002F08C7" w:rsidP="002F08C7">
      <w:r w:rsidRPr="000C273D">
        <w:t>Vodní nádrž Lipno I se v roce 2025 vyznačovala poměrně vysokým pozdně letním až podzimním maximem sinic. Sinicový vodní květ pak přetrval i pod ledem až do jara, což vedlo ke zvýšení zájmu o jakost vody v Lipně. Příčinou neobvyklého výskytu sinic byl souběh několika faktorů: (i) dlouhodobých zásob fosforu v sedimentech, které lze snadno aktivizovat za nedostatku kyslíku ve vodě, (</w:t>
      </w:r>
      <w:proofErr w:type="spellStart"/>
      <w:r w:rsidRPr="000C273D">
        <w:t>ii</w:t>
      </w:r>
      <w:proofErr w:type="spellEnd"/>
      <w:r w:rsidRPr="000C273D">
        <w:t>) klimatické změny, která prodlužuje trvání vegetační sezóny, a (</w:t>
      </w:r>
      <w:proofErr w:type="spellStart"/>
      <w:r w:rsidRPr="000C273D">
        <w:t>iii</w:t>
      </w:r>
      <w:proofErr w:type="spellEnd"/>
      <w:r w:rsidRPr="000C273D">
        <w:t xml:space="preserve">) extrémně suchého roku v povodí nádrže, což znamenalo výrazné zaklesnutí hladiny vody. Studie, zaměřená na zlepšení jakosti vody v nádrži, kterou zadal Jihočeský kraj (zpracovatel Vodohospodářský rozvoj a výstavba a.s. a Biologické Centrum Akademie věd ČR, </w:t>
      </w:r>
      <w:proofErr w:type="spellStart"/>
      <w:r w:rsidRPr="000C273D">
        <w:t>v.v.i</w:t>
      </w:r>
      <w:proofErr w:type="spellEnd"/>
      <w:r w:rsidRPr="000C273D">
        <w:t>. ve spolupráci s Povodí Vltavy, státní podnik), bude dokončena v roce 2026 a měla by zhodnotit další směr developerských aktivit v blízkosti vodní nádrže Lipno I.</w:t>
      </w:r>
    </w:p>
    <w:p w14:paraId="26306910" w14:textId="77777777" w:rsidR="002F08C7" w:rsidRDefault="002F08C7" w:rsidP="002F08C7"/>
    <w:p w14:paraId="1E7C943F" w14:textId="2F45DCB2" w:rsidR="002F08C7" w:rsidRPr="000C273D" w:rsidRDefault="002F08C7" w:rsidP="002F08C7">
      <w:r w:rsidRPr="000C273D">
        <w:t>Obsah sloučenin fosforu v přítocích je prvním a nejdůležitějším faktorem určujícím jakost vody v celé vodní nádrži. V tomto ukazateli ale dvě dekády nedošlo k žádnému zlepšení, přičemž aktuální roční průměrné koncentrace fosforu zdaleka nedosahují potřebně nízké hodnoty. Zároveň je nezbytné vědět, že standardní provozní monitoring založený na dvanácti odběrech ročně poskytuje systematicky příznivější výsledky, neboť nezachytí epizodické látkové vlny (zejména právě fosforu), k nimž dochází za srážkoodtokových událostí (odlehčované odpadní vody). A dále monitoring a látkové bilance ČOV produkují systematicky nižší, tedy optimističtější výsledky, než odpovídá skutečné úrovni emisního znečištění, které je vnášeno do povrchových vod s odpadními vodami měst a obcí, protože – srážkoodtokové situace se cíleně nemonitorují.</w:t>
      </w:r>
    </w:p>
    <w:p w14:paraId="65497213" w14:textId="77777777" w:rsidR="00E15653" w:rsidRDefault="00E15653" w:rsidP="002F08C7"/>
    <w:p w14:paraId="2C4FEE95" w14:textId="0545E406" w:rsidR="002F08C7" w:rsidRPr="000C273D" w:rsidRDefault="002F08C7" w:rsidP="002F08C7">
      <w:r w:rsidRPr="000C273D">
        <w:t>Na vstupu fosforu do povrchové vody se podílí také produkční rybářství na rybnících, a to především tam, kde se rybník hnojí, a tam, kde se chová vodní drůbež či tzv. polodivoké kachny (myslivecký chov a odstřel). K masivním emisím fosforu dochází pravidelně při výlovech rybníků s unikajícím zvířeným sedimentem. To je naléhavý problém k řešení.</w:t>
      </w:r>
    </w:p>
    <w:p w14:paraId="15031555" w14:textId="77777777" w:rsidR="00E15653" w:rsidRDefault="00E15653" w:rsidP="002F08C7"/>
    <w:p w14:paraId="11809EBA" w14:textId="4DAA3013" w:rsidR="002F08C7" w:rsidRPr="000C273D" w:rsidRDefault="002F08C7" w:rsidP="002F08C7">
      <w:r w:rsidRPr="000C273D">
        <w:t>Ze skutečností uvedených výše je zřejmé (souhrn), že:</w:t>
      </w:r>
    </w:p>
    <w:p w14:paraId="0E55FBD2" w14:textId="77777777" w:rsidR="002F08C7" w:rsidRPr="000C273D" w:rsidRDefault="002F08C7">
      <w:pPr>
        <w:numPr>
          <w:ilvl w:val="0"/>
          <w:numId w:val="32"/>
        </w:numPr>
        <w:spacing w:after="160" w:line="259" w:lineRule="auto"/>
      </w:pPr>
      <w:r w:rsidRPr="000C273D">
        <w:t>jakost vody ve vodních nádržích se nejen nezlepšuje, ale ve více než polovině případů se dokonce zhoršuje, což se více či méně propisuje i do jakosti odtékající vody: export fosforu níže ohrožuje ekologický stav/potenciál vodních útvarů,</w:t>
      </w:r>
    </w:p>
    <w:p w14:paraId="13AA6E40" w14:textId="77777777" w:rsidR="002F08C7" w:rsidRPr="000C273D" w:rsidRDefault="002F08C7">
      <w:pPr>
        <w:numPr>
          <w:ilvl w:val="0"/>
          <w:numId w:val="32"/>
        </w:numPr>
        <w:spacing w:after="160" w:line="259" w:lineRule="auto"/>
      </w:pPr>
      <w:r w:rsidRPr="000C273D">
        <w:t xml:space="preserve">koncentrace sloučenin fosforu ve vodě přitékající do vodních nádrží se už 10–20 let nijak nesnížila. K tomu je nutné připočíst, že běžný provozní monitoring poskytuje data systematicky příznivější a údaje o emisích fosforu z ČOV jsou rovněž silně podhodnocené, </w:t>
      </w:r>
      <w:r w:rsidRPr="000C273D">
        <w:lastRenderedPageBreak/>
        <w:t>neboť nejsou zachyceny přepadající odpadní vody z odlehčovacích objektů na jednotné kanalizaci.</w:t>
      </w:r>
    </w:p>
    <w:p w14:paraId="0C544141" w14:textId="77777777" w:rsidR="002F08C7" w:rsidRPr="000C273D" w:rsidRDefault="002F08C7">
      <w:pPr>
        <w:numPr>
          <w:ilvl w:val="0"/>
          <w:numId w:val="32"/>
        </w:numPr>
        <w:spacing w:after="160" w:line="259" w:lineRule="auto"/>
      </w:pPr>
      <w:r w:rsidRPr="000C273D">
        <w:t>hospodaření na rybnících může představovat pro živinový režim v povodí významné riziko.</w:t>
      </w:r>
    </w:p>
    <w:p w14:paraId="2C770FA0" w14:textId="77777777" w:rsidR="00E15653" w:rsidRDefault="00E15653" w:rsidP="002F08C7"/>
    <w:p w14:paraId="0EC800A8" w14:textId="19FFA6F2" w:rsidR="002F08C7" w:rsidRPr="000C273D" w:rsidRDefault="002F08C7" w:rsidP="002F08C7">
      <w:r w:rsidRPr="000C273D">
        <w:t>V</w:t>
      </w:r>
      <w:r w:rsidRPr="000C273D">
        <w:rPr>
          <w:rFonts w:cs="Arial"/>
        </w:rPr>
        <w:t> </w:t>
      </w:r>
      <w:r w:rsidRPr="000C273D">
        <w:t>oblasti ohrožení a ovlivnění jakosti vody pesticidními látkami je trvale nepříznivá situace na vodárenské nádrži Švihov na Želivce, neboť zde trvá i zatížení rozpadovými produkty pesticidů. Ve Velešínském potoce, který ústí z levé strany do vodárenské nádrže Římov byl zjištěn vysoký výskyt silně rizikových látek PF</w:t>
      </w:r>
      <w:r w:rsidR="008F3A97">
        <w:t>A</w:t>
      </w:r>
      <w:r w:rsidRPr="000C273D">
        <w:t>S, proto byl v letech 2023 a 2024 realizován cílený monitoring nejen jakosti vody, ale také sedimentů. Na základě výsledků byl v roce 2025 nastaven provozní monitoring těchto látek. Monitoring situace je sice důležitý, ale není řešením. Je nezbytná především nekompromisní sanace zdroje těchto látek</w:t>
      </w:r>
      <w:r w:rsidR="007A6056">
        <w:t>.</w:t>
      </w:r>
      <w:r w:rsidRPr="000C273D">
        <w:t xml:space="preserve"> </w:t>
      </w:r>
    </w:p>
    <w:p w14:paraId="6F2786C3" w14:textId="77777777" w:rsidR="00E15653" w:rsidRDefault="00E15653" w:rsidP="002F08C7"/>
    <w:p w14:paraId="29CDE022" w14:textId="6E9F4503" w:rsidR="002F08C7" w:rsidRPr="000C273D" w:rsidRDefault="002F08C7" w:rsidP="002F08C7">
      <w:r w:rsidRPr="000C273D">
        <w:t>Přetrvávajícím vlivem je také vnos erozního materiálu ze zemědělských ploch. Nejedná se zde sice o spojitost s</w:t>
      </w:r>
      <w:r w:rsidRPr="000C273D">
        <w:rPr>
          <w:rFonts w:cs="Arial"/>
        </w:rPr>
        <w:t> </w:t>
      </w:r>
      <w:r w:rsidRPr="000C273D">
        <w:t xml:space="preserve">eutrofizací, ale se </w:t>
      </w:r>
      <w:proofErr w:type="spellStart"/>
      <w:r w:rsidRPr="000C273D">
        <w:t>zazemňováním</w:t>
      </w:r>
      <w:proofErr w:type="spellEnd"/>
      <w:r w:rsidRPr="000C273D">
        <w:t xml:space="preserve"> horních partií vodních nádrží a s intenzivním </w:t>
      </w:r>
      <w:proofErr w:type="spellStart"/>
      <w:r w:rsidRPr="000C273D">
        <w:t>zazemňováním</w:t>
      </w:r>
      <w:proofErr w:type="spellEnd"/>
      <w:r w:rsidRPr="000C273D">
        <w:t xml:space="preserve"> </w:t>
      </w:r>
      <w:proofErr w:type="spellStart"/>
      <w:r w:rsidRPr="000C273D">
        <w:t>přezdrží</w:t>
      </w:r>
      <w:proofErr w:type="spellEnd"/>
      <w:r w:rsidRPr="000C273D">
        <w:t xml:space="preserve"> vodárenské nádrže Švihov.</w:t>
      </w:r>
    </w:p>
    <w:p w14:paraId="2A8F713B" w14:textId="77777777" w:rsidR="00E15653" w:rsidRDefault="00E15653" w:rsidP="002F08C7"/>
    <w:p w14:paraId="5A1C4D8B" w14:textId="5F0CE449" w:rsidR="002F08C7" w:rsidRPr="000C273D" w:rsidRDefault="002F08C7" w:rsidP="002F08C7">
      <w:r w:rsidRPr="000C273D">
        <w:t>Na řadě vodních nádrží, Orlík, Lipno, Hracholusky, České údolí, Římov, jsou již zpracovány základní studie i s návrhem opatření ke zlepšení stavu. V povodí vodárenské nádrže Švihov jsou již realizovány kroky, u kterých je </w:t>
      </w:r>
      <w:r w:rsidR="00DC0711">
        <w:t>předpoklad, že se projeví zlepšením</w:t>
      </w:r>
      <w:r w:rsidRPr="000C273D">
        <w:t xml:space="preserve"> jakosti vody, jako například efektivnější odstraňování fosforu na vybraných ČOV v povodí nádrže, projekt ke snížení vnosu pesticidů podporovaný Ministerstvem zemědělství (probíhá i na vodárenské nádrži Římov) nebo připravované pozemkové úpravy obsahující i některá opatření z plánů povodí za účelem snížení znečištění ze zemědělské půdy. </w:t>
      </w:r>
    </w:p>
    <w:p w14:paraId="45B3A9FF" w14:textId="77777777" w:rsidR="00E15653" w:rsidRDefault="00E15653" w:rsidP="002F08C7"/>
    <w:p w14:paraId="150E8D86" w14:textId="25FEA137" w:rsidR="00315D9D" w:rsidRPr="00315D9D" w:rsidRDefault="00315D9D" w:rsidP="00315D9D">
      <w:r w:rsidRPr="00315D9D">
        <w:t>Zvláštní pozornosti je třeba věnovat vodní nádrži Lipno I, a to zejména v souvislosti s novými záměry k budování dalších rekreačních areálů, jejichž odpadní vody mají být vypouštěny přímo do vodní nádrže. S ohledem na citlivost tohoto vodního útvaru je žádoucí věnovat zvýšenou pozornost dostatečné účinnosti jejich čištění. Aktuálně platná legislativa sice umožňuje stanovit přísnější limity ve vypouštěných odpadních vodách vyžadují-li to cíle nebo opatření stanovené v příslušném plánu povodí, avšak v současnosti je velmi problematické jejich vymáhání vzhledem ke skutečnosti, že záměry nesou předkládány jako soubor, nýbrž jako mnoho individuálních záměrů roztroušených v různých lokalitách po obvodu vodní nádrže. Vodní nádrž Lipno I je velmi zranitelná eutrofizací vlivem morfologie, a svým chemismem (praktická absence dusičnanových iontů). Všechny tyto charakteristiky podporují recyklaci fosforu ve vodním ekosystému, kde se pak sinicové vodní květy mohou projevovat velmi intenzivně. Vodní nádrž Lipno I představuje příklad lokality, kde intenzivní rozvoj komerční rekreační infrastruktury může při absenci odpovídajících ochranných opatření vést ke snižování rekreační atraktivity území.</w:t>
      </w:r>
      <w:r w:rsidR="00372AE5">
        <w:t xml:space="preserve"> </w:t>
      </w:r>
      <w:r w:rsidRPr="00315D9D">
        <w:t>Klimatická změna tak, jak je dlouhodobě pozorována v územní působnosti státního podniku Povodí Vltavy, s sebou nese i změny v chování rybníků. Rybníky mají aktuálně tendenci k menší retenci fosforu, což znamená zvýšené eutrofizační riziko i pro vodní nádrže ležící níže v povodí. I proto je třeba věnovat hospodaření na rybnících obecně zvýšenou pozornost.</w:t>
      </w:r>
    </w:p>
    <w:p w14:paraId="0570800A" w14:textId="77777777" w:rsidR="00E15653" w:rsidRDefault="00E15653" w:rsidP="002F08C7">
      <w:pPr>
        <w:rPr>
          <w:b/>
          <w:bCs/>
          <w:i/>
          <w:iCs/>
        </w:rPr>
      </w:pPr>
    </w:p>
    <w:p w14:paraId="76D8B1FC" w14:textId="188D728E" w:rsidR="002F08C7" w:rsidRPr="000C273D" w:rsidRDefault="002F08C7" w:rsidP="002F08C7">
      <w:pPr>
        <w:rPr>
          <w:b/>
          <w:bCs/>
          <w:i/>
          <w:iCs/>
        </w:rPr>
      </w:pPr>
      <w:r w:rsidRPr="000C273D">
        <w:rPr>
          <w:b/>
          <w:bCs/>
          <w:i/>
          <w:iCs/>
        </w:rPr>
        <w:t>Povodí Ohře</w:t>
      </w:r>
    </w:p>
    <w:p w14:paraId="7230F6D2" w14:textId="2EA0E84E" w:rsidR="002F08C7" w:rsidRPr="000C273D" w:rsidRDefault="002F08C7" w:rsidP="002F08C7">
      <w:r w:rsidRPr="000C273D">
        <w:t>Povodí Ohře, s. p., pravidelně monitoruje kvalitu vody v nádržích a za uplynulý rok nedošlo k významnému ohrožení kvality surové vody. Kvalita surové vody ve vodárenských nádržích je pravidelně vyhodnocována a konzultována, a to minimálně jednou ročně na pravidelných jednáních k hodnocení hospodaření v ochranných pásmech vodárenských nádrží, kterých se účastní i jednotliví provozovatelé úpraven surové vody (S</w:t>
      </w:r>
      <w:r w:rsidR="00B340CB">
        <w:t>Č</w:t>
      </w:r>
      <w:r w:rsidRPr="000C273D">
        <w:t>VK, a. s., Vodárny a kanalizace Karlovy Vary, a. s., Vodárna Sokolovsko, s. r. o., CHEVAK, a. s.), u kterých je možné získat detailní informace o případných problémech s upravitelností vody.</w:t>
      </w:r>
    </w:p>
    <w:p w14:paraId="0C9ED22B" w14:textId="77777777" w:rsidR="000E2C61" w:rsidRDefault="000E2C61" w:rsidP="002F08C7"/>
    <w:p w14:paraId="5B79D43E" w14:textId="2455EC96" w:rsidR="002F08C7" w:rsidRPr="000C273D" w:rsidRDefault="002F08C7" w:rsidP="002F08C7">
      <w:r w:rsidRPr="000C273D">
        <w:t xml:space="preserve">Vodárenské nádrže ve správním území Povodí Ohře, s. p., jsou lokalizovány především na horních částech vodních toků v Krušných horách. Vzhledem k nižší hustotě osídlení je zde patrný nižší antropogenní vliv na kvalitu vody, zejména je omezen vnos znečištění (živin) z komunálních odpadních vod. </w:t>
      </w:r>
      <w:r w:rsidR="00E5373F">
        <w:t xml:space="preserve">Chemické vlastnosti </w:t>
      </w:r>
      <w:proofErr w:type="spellStart"/>
      <w:r w:rsidR="00E5373F">
        <w:t>vody</w:t>
      </w:r>
      <w:r w:rsidRPr="000C273D">
        <w:t>přítoků</w:t>
      </w:r>
      <w:proofErr w:type="spellEnd"/>
      <w:r w:rsidRPr="000C273D">
        <w:t xml:space="preserve"> vodárenských nádrží j</w:t>
      </w:r>
      <w:r w:rsidR="00E5373F">
        <w:t>sou</w:t>
      </w:r>
      <w:r w:rsidRPr="000C273D">
        <w:t xml:space="preserve"> </w:t>
      </w:r>
      <w:r w:rsidR="00E17A89">
        <w:t>ovlivněny</w:t>
      </w:r>
      <w:r w:rsidR="00E17A89" w:rsidRPr="000C273D">
        <w:t xml:space="preserve"> </w:t>
      </w:r>
      <w:r w:rsidRPr="000C273D">
        <w:t xml:space="preserve">přírodními </w:t>
      </w:r>
      <w:r w:rsidRPr="000C273D">
        <w:lastRenderedPageBreak/>
        <w:t xml:space="preserve">podmínkami v jejich povodí, např. výskytem rašelinišť. Ukazatelé TOC, CHSK, </w:t>
      </w:r>
      <w:proofErr w:type="spellStart"/>
      <w:r w:rsidRPr="000C273D">
        <w:t>huminové</w:t>
      </w:r>
      <w:proofErr w:type="spellEnd"/>
      <w:r w:rsidRPr="000C273D">
        <w:t xml:space="preserve"> látky, </w:t>
      </w:r>
      <w:proofErr w:type="spellStart"/>
      <w:r w:rsidRPr="000C273D">
        <w:t>Fe</w:t>
      </w:r>
      <w:proofErr w:type="spellEnd"/>
      <w:r w:rsidRPr="000C273D">
        <w:t xml:space="preserve"> a </w:t>
      </w:r>
      <w:proofErr w:type="spellStart"/>
      <w:r w:rsidRPr="000C273D">
        <w:t>Mn</w:t>
      </w:r>
      <w:proofErr w:type="spellEnd"/>
      <w:r w:rsidRPr="000C273D">
        <w:t xml:space="preserve"> pravidelně překračují limity stanovené v nařízení vlády č. 401/2015 Sb., v platném znění, a mezní limity upravitelnosti surové vody na vodu pitnou kategorie A3 dle vyhlášky č. 448/2017 Sb., v platném znění. </w:t>
      </w:r>
    </w:p>
    <w:p w14:paraId="21F4D019" w14:textId="77777777" w:rsidR="000E2C61" w:rsidRDefault="000E2C61" w:rsidP="002F08C7"/>
    <w:p w14:paraId="6BD03566" w14:textId="13C37A3C" w:rsidR="002F08C7" w:rsidRPr="000C273D" w:rsidRDefault="002F08C7" w:rsidP="002F08C7">
      <w:r w:rsidRPr="000C273D">
        <w:t>V roce 2025 nebyl u kvality vody zaznamenán odklon od hodnot v předešlých letech. Na VN Stanovice byly opět v obou hlavních přítocích nádrže zaznamenány zvýšené hodnoty ukazatelů fekálního znečištění, což pravděpodobně způsobují vyšší počty obyvatel, případně chovaného skotu</w:t>
      </w:r>
      <w:r w:rsidR="00C942B2">
        <w:t>,</w:t>
      </w:r>
      <w:r w:rsidRPr="000C273D">
        <w:t xml:space="preserve"> v povodí VN Stanovice. V porovnání s předešlými roky je ale kvalita vody srovnatelná, mikrobiologické znečištění se pravidelně pohybuje mezi kategoriemi A1 a A2. U VN Horka nedošlo oproti roku 2024 k výrazné změně, ukazatele AOX a TOC se pravidelně zařazují do kategorií A2 nebo A3, v roce 2025 byl AOX zařazen do kategorie A3, TOC potom do A2, stejně jako </w:t>
      </w:r>
      <w:proofErr w:type="spellStart"/>
      <w:r w:rsidRPr="000C273D">
        <w:t>huminové</w:t>
      </w:r>
      <w:proofErr w:type="spellEnd"/>
      <w:r w:rsidRPr="000C273D">
        <w:t xml:space="preserve"> látky a </w:t>
      </w:r>
      <w:proofErr w:type="spellStart"/>
      <w:r w:rsidRPr="000C273D">
        <w:t>Fe</w:t>
      </w:r>
      <w:proofErr w:type="spellEnd"/>
      <w:r w:rsidRPr="000C273D">
        <w:t xml:space="preserve"> s </w:t>
      </w:r>
      <w:proofErr w:type="spellStart"/>
      <w:r w:rsidRPr="000C273D">
        <w:t>Mn</w:t>
      </w:r>
      <w:proofErr w:type="spellEnd"/>
      <w:r w:rsidRPr="000C273D">
        <w:t xml:space="preserve"> (vše v A2). Surová voda z VN M</w:t>
      </w:r>
      <w:r w:rsidR="005577AA">
        <w:t>ariánské</w:t>
      </w:r>
      <w:r w:rsidRPr="000C273D">
        <w:t xml:space="preserve"> Lázně je zatížena </w:t>
      </w:r>
      <w:proofErr w:type="spellStart"/>
      <w:r w:rsidRPr="000C273D">
        <w:t>huminovými</w:t>
      </w:r>
      <w:proofErr w:type="spellEnd"/>
      <w:r w:rsidRPr="000C273D">
        <w:t xml:space="preserve"> látkami (kategorie A3), vyšším obsahem </w:t>
      </w:r>
      <w:proofErr w:type="spellStart"/>
      <w:r w:rsidRPr="000C273D">
        <w:t>CHSK</w:t>
      </w:r>
      <w:r w:rsidRPr="008834C1">
        <w:rPr>
          <w:vertAlign w:val="subscript"/>
        </w:rPr>
        <w:t>Mn</w:t>
      </w:r>
      <w:proofErr w:type="spellEnd"/>
      <w:r w:rsidRPr="000C273D">
        <w:t xml:space="preserve"> (A3) a </w:t>
      </w:r>
      <w:proofErr w:type="spellStart"/>
      <w:r w:rsidRPr="000C273D">
        <w:t>Mn</w:t>
      </w:r>
      <w:proofErr w:type="spellEnd"/>
      <w:r w:rsidRPr="000C273D">
        <w:t> (A2). Ukazatel TOC byl zařazen v kategorii A4 (limity převyšující kategorii A3). Typicky v letních měsících, resp. v období sucha, bývá na VN M</w:t>
      </w:r>
      <w:r w:rsidR="00CF700B">
        <w:t>ariánské</w:t>
      </w:r>
      <w:r w:rsidRPr="000C273D">
        <w:t xml:space="preserve"> Lázně zhoršená kvalita vody, související s vysychajícími přítoky do nádrže a nutností čerpání vody z VN Podhora a vysokým obsahem sedimentu v nádrži. Kvality vody ve VN Podhora je v průběhu let srovnatelná, s občasnými výkyvy, např. v porovnání s rokem 2024 ale došlo u některých ukazatelů ke zhoršení. Ukazatel TOC je zařazen v kategorii A4, </w:t>
      </w:r>
      <w:proofErr w:type="spellStart"/>
      <w:r w:rsidRPr="000C273D">
        <w:t>huminové</w:t>
      </w:r>
      <w:proofErr w:type="spellEnd"/>
      <w:r w:rsidRPr="000C273D">
        <w:t xml:space="preserve"> látky, </w:t>
      </w:r>
      <w:proofErr w:type="spellStart"/>
      <w:r w:rsidRPr="000C273D">
        <w:t>Fe</w:t>
      </w:r>
      <w:proofErr w:type="spellEnd"/>
      <w:r w:rsidRPr="000C273D">
        <w:t xml:space="preserve"> a </w:t>
      </w:r>
      <w:proofErr w:type="spellStart"/>
      <w:r w:rsidRPr="000C273D">
        <w:t>Mn</w:t>
      </w:r>
      <w:proofErr w:type="spellEnd"/>
      <w:r w:rsidRPr="000C273D">
        <w:t xml:space="preserve"> jsou zařazeny v kategorii A3, mikrobiologické znečištění v kategorii A2 (ovlivněno vyššími hodnotami znečištění v suchých letních měsících). Surová vody ve VN Fláje disponuje dobrou kvalitou vody, přítoky mají velmi dobrou kvalitu (např. v Radním potoce nejsou překročeny žádné ukazatele). U ostatních přítoků, stejně jako ve VN Fláje, jsou mírně překročené hodnoty u AOX, TOC, </w:t>
      </w:r>
      <w:proofErr w:type="spellStart"/>
      <w:r w:rsidRPr="000C273D">
        <w:t>huminové</w:t>
      </w:r>
      <w:proofErr w:type="spellEnd"/>
      <w:r w:rsidRPr="000C273D">
        <w:t xml:space="preserve"> látky, </w:t>
      </w:r>
      <w:proofErr w:type="spellStart"/>
      <w:r w:rsidRPr="000C273D">
        <w:t>CHSK</w:t>
      </w:r>
      <w:r w:rsidRPr="00CF700B">
        <w:rPr>
          <w:vertAlign w:val="subscript"/>
        </w:rPr>
        <w:t>Mn</w:t>
      </w:r>
      <w:proofErr w:type="spellEnd"/>
      <w:r w:rsidRPr="000C273D">
        <w:t xml:space="preserve"> a </w:t>
      </w:r>
      <w:proofErr w:type="spellStart"/>
      <w:r w:rsidRPr="000C273D">
        <w:t>Fe</w:t>
      </w:r>
      <w:proofErr w:type="spellEnd"/>
      <w:r w:rsidRPr="000C273D">
        <w:t xml:space="preserve">, což souvisí s přirozeným pozadím Krušných hor. </w:t>
      </w:r>
      <w:proofErr w:type="spellStart"/>
      <w:r w:rsidRPr="000C273D">
        <w:t>Huminové</w:t>
      </w:r>
      <w:proofErr w:type="spellEnd"/>
      <w:r w:rsidRPr="000C273D">
        <w:t xml:space="preserve"> látky a TOC jsou zařazeni v kategorii A3, </w:t>
      </w:r>
      <w:proofErr w:type="spellStart"/>
      <w:r w:rsidRPr="000C273D">
        <w:t>CHSK</w:t>
      </w:r>
      <w:r w:rsidRPr="00CF700B">
        <w:rPr>
          <w:vertAlign w:val="subscript"/>
        </w:rPr>
        <w:t>Mn</w:t>
      </w:r>
      <w:proofErr w:type="spellEnd"/>
      <w:r w:rsidRPr="000C273D">
        <w:t xml:space="preserve"> a </w:t>
      </w:r>
      <w:proofErr w:type="spellStart"/>
      <w:r w:rsidRPr="000C273D">
        <w:t>Fe</w:t>
      </w:r>
      <w:proofErr w:type="spellEnd"/>
      <w:r w:rsidRPr="000C273D">
        <w:t xml:space="preserve"> potom v kategorii A2. U VN Chřibská je kvalita vody srovnatelná s rokem 2024, u ukazatelů TOC a </w:t>
      </w:r>
      <w:proofErr w:type="spellStart"/>
      <w:r w:rsidRPr="000C273D">
        <w:t>huminové</w:t>
      </w:r>
      <w:proofErr w:type="spellEnd"/>
      <w:r w:rsidRPr="000C273D">
        <w:t xml:space="preserve"> látky došlo ke zlepšení o jednu třídu kvality (letos v A3). U ostatních nádrží nedošlo k významným změnám v kvalitě surové vody. Obecně platí, že zvýšené hodnoty znečištění mohou být způsobené i v kombinaci s hydrologickou situací v ČR, kdy se znečištění v suchých obdobích </w:t>
      </w:r>
      <w:proofErr w:type="spellStart"/>
      <w:r w:rsidRPr="000C273D">
        <w:t>zakoncentruje</w:t>
      </w:r>
      <w:proofErr w:type="spellEnd"/>
      <w:r w:rsidRPr="000C273D">
        <w:t xml:space="preserve"> a při deštích se následně vyplaví.</w:t>
      </w:r>
    </w:p>
    <w:p w14:paraId="7B9A8DE8" w14:textId="77777777" w:rsidR="000E2C61" w:rsidRDefault="000E2C61" w:rsidP="002F08C7"/>
    <w:p w14:paraId="2D9D72F5" w14:textId="5DF8CD0F" w:rsidR="002F08C7" w:rsidRPr="000C273D" w:rsidRDefault="002F08C7" w:rsidP="002F08C7">
      <w:r w:rsidRPr="000C273D">
        <w:t xml:space="preserve">Mezi největší </w:t>
      </w:r>
      <w:proofErr w:type="spellStart"/>
      <w:r w:rsidRPr="000C273D">
        <w:t>nevodárenské</w:t>
      </w:r>
      <w:proofErr w:type="spellEnd"/>
      <w:r w:rsidRPr="000C273D">
        <w:t xml:space="preserve"> nádrže se v povodí toku Ohře řadí nádrže Skalka, Jesenice a Nechranice a v povodí vodního toku Ploučnice nádrže Máchovo jezero a Stráž pod Ralskem. Obecně je navzdory zatížení fosforem, pesticidy apod. (komunální a zemědělské znečištění) v nádržích celkově dobrá kvalita vody. V roce 2025 byl zvýšený výskyt sinic a vodního květu </w:t>
      </w:r>
      <w:r w:rsidR="00C942B2">
        <w:t>ve vodních</w:t>
      </w:r>
      <w:r w:rsidR="00C942B2" w:rsidRPr="000C273D">
        <w:t xml:space="preserve"> </w:t>
      </w:r>
      <w:r w:rsidRPr="000C273D">
        <w:t>nádržích Skalka, Jesenice a Nechranice zaznamenán až na začátku září, což vedlo k vyhodnocení vody jako nevhodné ke koupání (přitom v roce 2024 tato situace nastala již v červnu). Dále je z důvodu vysoké koncentrace rtuti nadále zakázaná konzumace ryb z nádrže Skalka. Specifická je situace zatápěných jam po povrchové těžbě hnědého uhlí. Tyto nádrže nemají přirozený přítok a odtok. Hospodaření na nich (hlavně to rybářské) je přísně regulováno. Z pohledu kvality vody se v nich projevují ukazatele přirozeného znečištění (železo, mangan, fosfor).</w:t>
      </w:r>
    </w:p>
    <w:p w14:paraId="0A557F6F" w14:textId="77777777" w:rsidR="008409C0" w:rsidRPr="00104F7D" w:rsidRDefault="008409C0" w:rsidP="006D0F46">
      <w:pPr>
        <w:contextualSpacing/>
        <w:rPr>
          <w:rFonts w:cs="Arial"/>
          <w:b/>
          <w:i/>
          <w:color w:val="FF0000"/>
          <w:highlight w:val="yellow"/>
        </w:rPr>
      </w:pPr>
    </w:p>
    <w:p w14:paraId="7CA3F51F" w14:textId="4795E820" w:rsidR="00B2175C" w:rsidRPr="00253633" w:rsidRDefault="00B2175C" w:rsidP="00A510B6">
      <w:pPr>
        <w:pStyle w:val="mezikapitolamivtmi"/>
        <w:spacing w:before="0" w:after="0"/>
        <w:rPr>
          <w:rFonts w:ascii="Arial" w:hAnsi="Arial" w:cs="Arial"/>
          <w:sz w:val="22"/>
          <w:szCs w:val="22"/>
        </w:rPr>
      </w:pPr>
      <w:r w:rsidRPr="00253633">
        <w:rPr>
          <w:rFonts w:ascii="Arial" w:hAnsi="Arial" w:cs="Arial"/>
          <w:sz w:val="22"/>
          <w:szCs w:val="22"/>
        </w:rPr>
        <w:t>Kvalita vody využívané ke koupání osob v koupací sezóně 202</w:t>
      </w:r>
      <w:r w:rsidR="00253633">
        <w:rPr>
          <w:rFonts w:ascii="Arial" w:hAnsi="Arial" w:cs="Arial"/>
          <w:sz w:val="22"/>
          <w:szCs w:val="22"/>
        </w:rPr>
        <w:t>5</w:t>
      </w:r>
    </w:p>
    <w:p w14:paraId="76F9FF8B" w14:textId="77777777" w:rsidR="00F62AEC" w:rsidRPr="00104F7D" w:rsidRDefault="00F62AEC" w:rsidP="00A510B6">
      <w:pPr>
        <w:rPr>
          <w:rFonts w:cs="Arial"/>
          <w:b/>
          <w:highlight w:val="yellow"/>
        </w:rPr>
      </w:pPr>
    </w:p>
    <w:p w14:paraId="09F4D001" w14:textId="77777777" w:rsidR="00406F9C" w:rsidRPr="0030486B" w:rsidRDefault="00406F9C" w:rsidP="00406F9C">
      <w:pPr>
        <w:widowControl w:val="0"/>
        <w:autoSpaceDE w:val="0"/>
        <w:autoSpaceDN w:val="0"/>
        <w:adjustRightInd w:val="0"/>
        <w:ind w:left="360"/>
        <w:rPr>
          <w:rFonts w:cs="Arial"/>
        </w:rPr>
      </w:pPr>
      <w:r>
        <w:rPr>
          <w:rFonts w:cs="Arial"/>
        </w:rPr>
        <w:t>Z</w:t>
      </w:r>
      <w:r w:rsidRPr="003B580A">
        <w:rPr>
          <w:rFonts w:cs="Arial"/>
        </w:rPr>
        <w:t>ákon č. 258/2000 Sb., o ochraně veřejného zdraví a o změně některých souvisejících zákonů, ve znění pozdějších předpisů, upravuje práva a</w:t>
      </w:r>
      <w:r>
        <w:rPr>
          <w:rFonts w:cs="Arial"/>
        </w:rPr>
        <w:t> </w:t>
      </w:r>
      <w:r w:rsidRPr="003B580A">
        <w:rPr>
          <w:rFonts w:cs="Arial"/>
        </w:rPr>
        <w:t xml:space="preserve">povinnosti fyzických a právnických osob v oblasti ochrany a podpory veřejného zdraví. Současně stanoví soustavu orgánů ochrany veřejného zdraví a vymezuje jejich působnost a pravomoci. </w:t>
      </w:r>
      <w:r w:rsidRPr="00BC5AB1">
        <w:rPr>
          <w:rFonts w:cs="Arial"/>
        </w:rPr>
        <w:t xml:space="preserve">Jednou z oblastí upravených tímto zákonem jsou </w:t>
      </w:r>
      <w:r>
        <w:rPr>
          <w:rFonts w:cs="Arial"/>
        </w:rPr>
        <w:t xml:space="preserve">i </w:t>
      </w:r>
      <w:r w:rsidRPr="00BC5AB1">
        <w:rPr>
          <w:rFonts w:cs="Arial"/>
        </w:rPr>
        <w:t>podmínky při využívání povrchových vod ke koupání a při provozování přírodních a umělých koupališť, bazénů a saun.</w:t>
      </w:r>
      <w:r>
        <w:rPr>
          <w:rFonts w:cs="Arial"/>
        </w:rPr>
        <w:t xml:space="preserve"> </w:t>
      </w:r>
      <w:r w:rsidRPr="0030486B">
        <w:rPr>
          <w:rFonts w:cs="Arial"/>
        </w:rPr>
        <w:t>Vyhláška č. 238/2011 Sb. stanoví hygienické požadavky na koupaliště ve volné přírodě a upravuje požadavky na odběr vzorků vody, četnost a rozsah kontroly jakosti vody a na jakost vody ke koupání.</w:t>
      </w:r>
    </w:p>
    <w:p w14:paraId="55B0AC0C" w14:textId="77777777" w:rsidR="00A510B6" w:rsidRPr="00104F7D" w:rsidRDefault="00A510B6" w:rsidP="00A510B6">
      <w:pPr>
        <w:rPr>
          <w:rFonts w:cs="Arial"/>
          <w:highlight w:val="yellow"/>
        </w:rPr>
      </w:pPr>
    </w:p>
    <w:p w14:paraId="0AA1D33D" w14:textId="77777777" w:rsidR="003E393E" w:rsidRDefault="003E393E" w:rsidP="003E393E">
      <w:pPr>
        <w:rPr>
          <w:rFonts w:cs="Arial"/>
        </w:rPr>
      </w:pPr>
      <w:r>
        <w:rPr>
          <w:rFonts w:cs="Arial"/>
        </w:rPr>
        <w:t>Pro každou rekreační sezónu je ze strany resortu zdravotnictví ve spolupráci s Ministerstvem zemědělství a Ministerstvem životního prostředí sestaven tzv. Seznam přírodních koupališť na povrchových vodách, ve kterých nabízí službu koupání provozovatel a dalších povrchových vod ke koupání. Jedná se o seznam lokalit, na kterých bude v nastávající letní rekreační sezoně sledována kvalita vody z pohledu jejího využívání ke koupání osob.</w:t>
      </w:r>
    </w:p>
    <w:p w14:paraId="1E1C73F5" w14:textId="77777777" w:rsidR="003E393E" w:rsidRDefault="003E393E" w:rsidP="003E393E">
      <w:pPr>
        <w:rPr>
          <w:rFonts w:cs="Arial"/>
        </w:rPr>
      </w:pPr>
    </w:p>
    <w:p w14:paraId="7D317198" w14:textId="64B56625" w:rsidR="003E393E" w:rsidRDefault="003E393E" w:rsidP="003E393E">
      <w:pPr>
        <w:rPr>
          <w:rFonts w:cs="Arial"/>
        </w:rPr>
      </w:pPr>
      <w:r w:rsidRPr="00C754A7">
        <w:rPr>
          <w:rFonts w:cs="Arial"/>
        </w:rPr>
        <w:t xml:space="preserve">V koupací sezoně 2025 bylo orgány ochrany veřejného zdraví pravidelně hodnoceno celkem 290 míst využívaných ke koupání, z toho 171 provozovaných přírodních koupališť a 119 koupacích oblastí. Orgány ochrany veřejného zdraví bylo odebráno 970 kontrolních vzorků vody a ze strany provozovatelů bylo odebráno 978 vzorků. Na základě vyhodnocení sledovaných parametrů kvality koupací vody byl v letní rekreační sezoně 2025 vydán zákaz koupání (černý symbol) na 17 lokalitách. Kvalita vody, označená jako nevhodná ke koupání (červený symbol), byla zjištěna na 20 lokalitách. Nevyhovující kvalitu vody ke koupání vykazovalo tedy celkem 37 lokalit, tj. 12,8 % ze všech sledovaných koupacích vod. </w:t>
      </w:r>
    </w:p>
    <w:p w14:paraId="4678F16C" w14:textId="77777777" w:rsidR="003E393E" w:rsidRDefault="003E393E" w:rsidP="003E393E">
      <w:pPr>
        <w:rPr>
          <w:rFonts w:cs="Arial"/>
        </w:rPr>
      </w:pPr>
    </w:p>
    <w:p w14:paraId="6CDFDB63" w14:textId="66CB2CD0" w:rsidR="003E393E" w:rsidRPr="00C754A7" w:rsidRDefault="003E393E" w:rsidP="003E393E">
      <w:pPr>
        <w:rPr>
          <w:rFonts w:cs="Arial"/>
        </w:rPr>
      </w:pPr>
      <w:r w:rsidRPr="00C754A7">
        <w:rPr>
          <w:rFonts w:cs="Arial"/>
        </w:rPr>
        <w:t xml:space="preserve">I během rekreační sezony 2025 se na některých koupacích vodách ve volné přírodě projevily problémy s nadměrným výskytem sinic, což bylo v této rekreační sezoně jediným důvodem k vydávání zákazu koupání. Sinice se v našich vodách vyskytují především z důvodu vysokých koncentrací fosforu v povrchových vodách. Pro zlepšení kvality vody by prioritně mělo být zamezeno dotaci živin, zejména právě fosforu, do povrchových vod. Toto lze zajistit mimo jiné důsledným čištěním splaškových odpadních vod pocházejících ze všech lidských sídel. Přímo na nádrži pak mohou být využita další opatření (např. změna rybí obsádky, podpora růstu vodních rostlin, srážení fosforu různými </w:t>
      </w:r>
      <w:proofErr w:type="spellStart"/>
      <w:r w:rsidRPr="00C754A7">
        <w:rPr>
          <w:rFonts w:cs="Arial"/>
        </w:rPr>
        <w:t>koagulanty</w:t>
      </w:r>
      <w:proofErr w:type="spellEnd"/>
      <w:r w:rsidRPr="00C754A7">
        <w:rPr>
          <w:rFonts w:cs="Arial"/>
        </w:rPr>
        <w:t xml:space="preserve">). Další opatření – likvidace již rozvinutého květu sinic pomocí algicidů – by rozhodně nemělo být primární volbou, jelikož neodstraňuje příčinu rozvoje nežádoucích vodních květů, kterou je nadměrný přísun živin. Aplikace těchto látek podléhá v souladu s § 39 odst. 7 zákona </w:t>
      </w:r>
      <w:r w:rsidR="00462CCF">
        <w:rPr>
          <w:rFonts w:cs="Arial"/>
        </w:rPr>
        <w:t>vodního zákona</w:t>
      </w:r>
      <w:r w:rsidRPr="00C754A7">
        <w:rPr>
          <w:rFonts w:cs="Arial"/>
        </w:rPr>
        <w:t xml:space="preserve"> povolení ze strany příslušného vodoprávního úřadu.</w:t>
      </w:r>
    </w:p>
    <w:p w14:paraId="3097F6CD" w14:textId="77777777" w:rsidR="003E393E" w:rsidRDefault="003E393E" w:rsidP="003E393E">
      <w:pPr>
        <w:rPr>
          <w:rFonts w:cs="Arial"/>
        </w:rPr>
      </w:pPr>
    </w:p>
    <w:p w14:paraId="035B80DD" w14:textId="3B58D7F1" w:rsidR="00121548" w:rsidRDefault="00121548" w:rsidP="00575EA1">
      <w:pPr>
        <w:rPr>
          <w:rFonts w:cs="Arial"/>
        </w:rPr>
      </w:pPr>
      <w:r w:rsidRPr="00C754A7">
        <w:rPr>
          <w:rFonts w:cs="Arial"/>
        </w:rPr>
        <w:t xml:space="preserve">V průběhu rekreační sezony 2025 nebyla žádná oficiálně sledovaná lokalita označena jako nevhodná </w:t>
      </w:r>
      <w:r>
        <w:rPr>
          <w:rFonts w:cs="Arial"/>
        </w:rPr>
        <w:t xml:space="preserve">či nebezpečná </w:t>
      </w:r>
      <w:r w:rsidRPr="00C754A7">
        <w:rPr>
          <w:rFonts w:cs="Arial"/>
        </w:rPr>
        <w:t xml:space="preserve">ke koupání z důvodu výskytu původců </w:t>
      </w:r>
      <w:proofErr w:type="spellStart"/>
      <w:r w:rsidRPr="00C754A7">
        <w:rPr>
          <w:rFonts w:cs="Arial"/>
        </w:rPr>
        <w:t>cerkáriové</w:t>
      </w:r>
      <w:proofErr w:type="spellEnd"/>
      <w:r w:rsidRPr="00C754A7">
        <w:rPr>
          <w:rFonts w:cs="Arial"/>
        </w:rPr>
        <w:t xml:space="preserve"> dermatitidy.</w:t>
      </w:r>
    </w:p>
    <w:p w14:paraId="686B404D" w14:textId="77777777" w:rsidR="00121548" w:rsidRDefault="00121548" w:rsidP="00575EA1">
      <w:pPr>
        <w:rPr>
          <w:rFonts w:cs="Arial"/>
          <w:strike/>
        </w:rPr>
      </w:pPr>
    </w:p>
    <w:p w14:paraId="758EB5A4" w14:textId="2FDC0507" w:rsidR="00121548" w:rsidRPr="009B1E2B" w:rsidRDefault="00121548" w:rsidP="00575EA1">
      <w:pPr>
        <w:rPr>
          <w:rFonts w:cs="Arial"/>
        </w:rPr>
      </w:pPr>
      <w:r>
        <w:rPr>
          <w:rFonts w:cs="Arial"/>
        </w:rPr>
        <w:t>Z</w:t>
      </w:r>
      <w:r w:rsidRPr="00C754A7">
        <w:rPr>
          <w:rFonts w:cs="Arial"/>
        </w:rPr>
        <w:t xml:space="preserve">dravotní riziko </w:t>
      </w:r>
      <w:r>
        <w:rPr>
          <w:rFonts w:cs="Arial"/>
        </w:rPr>
        <w:t>však představovalo zejména masivní přemnožení sinic.</w:t>
      </w:r>
      <w:r w:rsidRPr="00C754A7">
        <w:rPr>
          <w:rFonts w:cs="Arial"/>
        </w:rPr>
        <w:t xml:space="preserve"> </w:t>
      </w:r>
      <w:r>
        <w:rPr>
          <w:rFonts w:cs="Arial"/>
        </w:rPr>
        <w:t xml:space="preserve">Z toho důvodu </w:t>
      </w:r>
      <w:r w:rsidRPr="00C754A7">
        <w:rPr>
          <w:rFonts w:cs="Arial"/>
        </w:rPr>
        <w:t xml:space="preserve">byla voda na 17 sledovaných lokalitách vyhodnocená jako </w:t>
      </w:r>
      <w:r w:rsidRPr="00EF155E">
        <w:rPr>
          <w:rFonts w:cs="Arial"/>
          <w:strike/>
        </w:rPr>
        <w:t>voda</w:t>
      </w:r>
      <w:r w:rsidRPr="00C754A7">
        <w:rPr>
          <w:rFonts w:cs="Arial"/>
        </w:rPr>
        <w:t xml:space="preserve"> nebezpečná ke koupání </w:t>
      </w:r>
      <w:r>
        <w:rPr>
          <w:rFonts w:cs="Arial"/>
        </w:rPr>
        <w:t xml:space="preserve">a byl zde vydán </w:t>
      </w:r>
      <w:r w:rsidRPr="00C754A7">
        <w:rPr>
          <w:rFonts w:cs="Arial"/>
        </w:rPr>
        <w:t xml:space="preserve">zákaz koupání. </w:t>
      </w:r>
      <w:r w:rsidRPr="00EF155E">
        <w:rPr>
          <w:rFonts w:cs="Arial"/>
        </w:rPr>
        <w:t>Koupání ve znečištěné vodě představuje zvýšené zdravotní riziko především pro malé děti, starší osoby a osoby s oslabenou imunitou, proto je nezbytné veřejnost o těchto rizicích důsledně informovat.</w:t>
      </w:r>
    </w:p>
    <w:p w14:paraId="7D90F834" w14:textId="77777777" w:rsidR="00121548" w:rsidRDefault="00121548" w:rsidP="003E393E">
      <w:pPr>
        <w:rPr>
          <w:rFonts w:cs="Arial"/>
        </w:rPr>
      </w:pPr>
    </w:p>
    <w:p w14:paraId="1865BC4B" w14:textId="77777777" w:rsidR="004A726E" w:rsidRPr="00104F7D" w:rsidRDefault="004A726E" w:rsidP="007C4955">
      <w:pPr>
        <w:pStyle w:val="Nadpisobrzku"/>
        <w:keepNext w:val="0"/>
        <w:keepLines w:val="0"/>
        <w:widowControl w:val="0"/>
        <w:spacing w:before="0" w:after="0"/>
        <w:ind w:left="0" w:firstLine="0"/>
        <w:contextualSpacing/>
        <w:rPr>
          <w:rFonts w:ascii="Arial" w:hAnsi="Arial" w:cs="Arial"/>
          <w:i/>
          <w:sz w:val="22"/>
          <w:szCs w:val="22"/>
          <w:highlight w:val="yellow"/>
        </w:rPr>
      </w:pPr>
    </w:p>
    <w:p w14:paraId="1016C0A7" w14:textId="583E4F73" w:rsidR="00515202" w:rsidRPr="00237800" w:rsidRDefault="008409C0" w:rsidP="007C4955">
      <w:pPr>
        <w:pStyle w:val="Nadpisobrzku"/>
        <w:keepNext w:val="0"/>
        <w:keepLines w:val="0"/>
        <w:widowControl w:val="0"/>
        <w:spacing w:before="0" w:after="0"/>
        <w:ind w:left="0" w:firstLine="0"/>
        <w:contextualSpacing/>
        <w:rPr>
          <w:rFonts w:ascii="Arial" w:hAnsi="Arial" w:cs="Arial"/>
          <w:i/>
          <w:sz w:val="22"/>
          <w:szCs w:val="22"/>
          <w:lang w:val="cs-CZ"/>
        </w:rPr>
      </w:pPr>
      <w:r w:rsidRPr="00237800">
        <w:rPr>
          <w:rFonts w:ascii="Arial" w:hAnsi="Arial" w:cs="Arial"/>
          <w:i/>
          <w:sz w:val="22"/>
          <w:szCs w:val="22"/>
        </w:rPr>
        <w:t>Obrázek 3.1.3</w:t>
      </w:r>
    </w:p>
    <w:p w14:paraId="53E98874" w14:textId="77777777" w:rsidR="00515202" w:rsidRPr="00237800" w:rsidRDefault="00515202" w:rsidP="007C4955">
      <w:pPr>
        <w:pStyle w:val="Nadpisobrzku"/>
        <w:keepNext w:val="0"/>
        <w:keepLines w:val="0"/>
        <w:widowControl w:val="0"/>
        <w:spacing w:before="0" w:after="0"/>
        <w:ind w:left="0" w:firstLine="0"/>
        <w:contextualSpacing/>
        <w:rPr>
          <w:rFonts w:ascii="Arial" w:hAnsi="Arial" w:cs="Arial"/>
          <w:i/>
          <w:sz w:val="22"/>
          <w:szCs w:val="22"/>
          <w:lang w:val="cs-CZ"/>
        </w:rPr>
      </w:pPr>
      <w:r w:rsidRPr="00237800">
        <w:rPr>
          <w:rFonts w:ascii="Arial" w:hAnsi="Arial" w:cs="Arial"/>
          <w:i/>
          <w:sz w:val="22"/>
          <w:szCs w:val="22"/>
        </w:rPr>
        <w:t>Oblasti povrchových vod využívaných ke koupání</w:t>
      </w:r>
    </w:p>
    <w:p w14:paraId="4124B66A" w14:textId="5FFF76C9" w:rsidR="008409C0" w:rsidRPr="00237800" w:rsidRDefault="00C26521" w:rsidP="007C4955">
      <w:pPr>
        <w:pStyle w:val="Nadpisobrzku"/>
        <w:keepNext w:val="0"/>
        <w:keepLines w:val="0"/>
        <w:widowControl w:val="0"/>
        <w:spacing w:before="0" w:after="0"/>
        <w:ind w:left="0" w:firstLine="0"/>
        <w:contextualSpacing/>
        <w:rPr>
          <w:rFonts w:ascii="Arial" w:hAnsi="Arial" w:cs="Arial"/>
          <w:i/>
          <w:color w:val="FF0000"/>
          <w:sz w:val="22"/>
          <w:szCs w:val="22"/>
        </w:rPr>
      </w:pPr>
      <w:r>
        <w:rPr>
          <w:noProof/>
        </w:rPr>
        <w:drawing>
          <wp:inline distT="0" distB="0" distL="0" distR="0" wp14:anchorId="667CF547" wp14:editId="32DDEF9E">
            <wp:extent cx="2844800" cy="1524000"/>
            <wp:effectExtent l="0" t="0" r="0" b="0"/>
            <wp:docPr id="66358218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582188" name="Obrázek 1"/>
                    <pic:cNvPicPr>
                      <a:picLocks noChangeAspect="1"/>
                    </pic:cNvPicPr>
                  </pic:nvPicPr>
                  <pic:blipFill>
                    <a:blip r:embed="rId42"/>
                    <a:stretch>
                      <a:fillRect/>
                    </a:stretch>
                  </pic:blipFill>
                  <pic:spPr>
                    <a:xfrm>
                      <a:off x="0" y="0"/>
                      <a:ext cx="2864747" cy="1534686"/>
                    </a:xfrm>
                    <a:prstGeom prst="rect">
                      <a:avLst/>
                    </a:prstGeom>
                  </pic:spPr>
                </pic:pic>
              </a:graphicData>
            </a:graphic>
          </wp:inline>
        </w:drawing>
      </w:r>
    </w:p>
    <w:p w14:paraId="35E46F8C" w14:textId="08F89D9E" w:rsidR="00FA472D" w:rsidRPr="00237800" w:rsidRDefault="00A3329B" w:rsidP="00571608">
      <w:pPr>
        <w:contextualSpacing/>
        <w:rPr>
          <w:rFonts w:eastAsia="Times New Roman" w:cs="Arial"/>
          <w:i/>
          <w:sz w:val="20"/>
          <w:szCs w:val="20"/>
          <w:lang w:eastAsia="x-none"/>
        </w:rPr>
      </w:pPr>
      <w:r w:rsidRPr="00237800">
        <w:rPr>
          <w:rFonts w:cs="Arial"/>
          <w:i/>
          <w:sz w:val="20"/>
          <w:szCs w:val="20"/>
        </w:rPr>
        <w:t>Pramen: VÚV TGM</w:t>
      </w:r>
      <w:r w:rsidR="009F3320" w:rsidRPr="00237800">
        <w:rPr>
          <w:rFonts w:cs="Arial"/>
          <w:i/>
          <w:sz w:val="20"/>
          <w:szCs w:val="20"/>
        </w:rPr>
        <w:t xml:space="preserve"> </w:t>
      </w:r>
      <w:r w:rsidR="000E4F3A" w:rsidRPr="00237800">
        <w:rPr>
          <w:rFonts w:eastAsia="Times New Roman" w:cs="Arial"/>
          <w:i/>
          <w:sz w:val="20"/>
          <w:szCs w:val="20"/>
          <w:lang w:eastAsia="x-none"/>
        </w:rPr>
        <w:t xml:space="preserve">z podkladů s. p. Povodí, </w:t>
      </w:r>
      <w:r w:rsidR="00057498" w:rsidRPr="00237800">
        <w:rPr>
          <w:rFonts w:eastAsia="Times New Roman" w:cs="Arial"/>
          <w:i/>
          <w:sz w:val="20"/>
          <w:szCs w:val="20"/>
          <w:lang w:eastAsia="x-none"/>
        </w:rPr>
        <w:t>MZ</w:t>
      </w:r>
      <w:r w:rsidR="00B2175C" w:rsidRPr="00237800">
        <w:rPr>
          <w:rFonts w:eastAsia="Times New Roman" w:cs="Arial"/>
          <w:i/>
          <w:sz w:val="20"/>
          <w:szCs w:val="20"/>
          <w:lang w:eastAsia="x-none"/>
        </w:rPr>
        <w:t>ČR</w:t>
      </w:r>
      <w:r w:rsidR="000E4F3A" w:rsidRPr="00237800">
        <w:rPr>
          <w:rFonts w:eastAsia="Times New Roman" w:cs="Arial"/>
          <w:i/>
          <w:sz w:val="20"/>
          <w:szCs w:val="20"/>
          <w:lang w:eastAsia="x-none"/>
        </w:rPr>
        <w:t xml:space="preserve"> a ©ZABAGED</w:t>
      </w:r>
    </w:p>
    <w:p w14:paraId="7BD9C1B2" w14:textId="77777777" w:rsidR="008F22ED" w:rsidRDefault="008F22ED" w:rsidP="00571608">
      <w:pPr>
        <w:pStyle w:val="mezikapitolamivtmi"/>
        <w:spacing w:before="0" w:after="0"/>
        <w:rPr>
          <w:rFonts w:ascii="Arial" w:hAnsi="Arial" w:cs="Arial"/>
          <w:sz w:val="22"/>
          <w:szCs w:val="22"/>
        </w:rPr>
      </w:pPr>
    </w:p>
    <w:p w14:paraId="0674AA8E" w14:textId="3E90DBE7" w:rsidR="00B2175C" w:rsidRPr="00D0585B" w:rsidRDefault="00B2175C" w:rsidP="00571608">
      <w:pPr>
        <w:pStyle w:val="mezikapitolamivtmi"/>
        <w:spacing w:before="0" w:after="0"/>
        <w:rPr>
          <w:rFonts w:ascii="Arial" w:hAnsi="Arial" w:cs="Arial"/>
          <w:sz w:val="22"/>
          <w:szCs w:val="22"/>
        </w:rPr>
      </w:pPr>
      <w:r w:rsidRPr="00D0585B">
        <w:rPr>
          <w:rFonts w:ascii="Arial" w:hAnsi="Arial" w:cs="Arial"/>
          <w:sz w:val="22"/>
          <w:szCs w:val="22"/>
        </w:rPr>
        <w:t>Jakost plavenin a sedimentů</w:t>
      </w:r>
    </w:p>
    <w:p w14:paraId="7DB51380" w14:textId="77777777" w:rsidR="001242D4" w:rsidRPr="00104F7D" w:rsidRDefault="001242D4" w:rsidP="001242D4">
      <w:pPr>
        <w:rPr>
          <w:rFonts w:cs="Arial"/>
          <w:highlight w:val="yellow"/>
        </w:rPr>
      </w:pPr>
    </w:p>
    <w:p w14:paraId="385499F7" w14:textId="77777777" w:rsidR="007C05A4" w:rsidRPr="007C05A4" w:rsidRDefault="007C05A4" w:rsidP="007C05A4">
      <w:pPr>
        <w:rPr>
          <w:rFonts w:cs="Arial"/>
          <w:b/>
          <w:bCs/>
        </w:rPr>
      </w:pPr>
      <w:r w:rsidRPr="007C05A4">
        <w:rPr>
          <w:rFonts w:cs="Arial"/>
          <w:b/>
          <w:bCs/>
        </w:rPr>
        <w:t xml:space="preserve">Sledování kontaminace pevných matric představuje v souladu s evropskými směrnicemi 2000/60/ES a 2013/39/EU klíčový nástroj pro hodnocení dlouhodobých trendů lidského vlivu na říční systémy. V roce 2025 se na 48 profilech uskutečnil monitoring 130 cizorodých látek, se zaměřením na 25 nebezpečných látek vykazujících vysoký potenciál </w:t>
      </w:r>
      <w:proofErr w:type="spellStart"/>
      <w:r w:rsidRPr="007C05A4">
        <w:rPr>
          <w:rFonts w:cs="Arial"/>
          <w:b/>
          <w:bCs/>
        </w:rPr>
        <w:t>bioakumulace</w:t>
      </w:r>
      <w:proofErr w:type="spellEnd"/>
      <w:r w:rsidRPr="007C05A4">
        <w:rPr>
          <w:rFonts w:cs="Arial"/>
          <w:b/>
          <w:bCs/>
        </w:rPr>
        <w:t xml:space="preserve"> a závažnou toxicitu, včetně látek s karcinogenními vlivy (</w:t>
      </w:r>
      <w:proofErr w:type="spellStart"/>
      <w:r w:rsidRPr="007C05A4">
        <w:rPr>
          <w:rFonts w:cs="Arial"/>
          <w:b/>
          <w:bCs/>
        </w:rPr>
        <w:t>polyaromatické</w:t>
      </w:r>
      <w:proofErr w:type="spellEnd"/>
      <w:r w:rsidRPr="007C05A4">
        <w:rPr>
          <w:rFonts w:cs="Arial"/>
          <w:b/>
          <w:bCs/>
        </w:rPr>
        <w:t xml:space="preserve"> uhlovodíky, </w:t>
      </w:r>
      <w:proofErr w:type="spellStart"/>
      <w:r w:rsidRPr="007C05A4">
        <w:rPr>
          <w:rFonts w:cs="Arial"/>
          <w:b/>
          <w:bCs/>
        </w:rPr>
        <w:t>perfluorooktansulfonát</w:t>
      </w:r>
      <w:proofErr w:type="spellEnd"/>
      <w:r w:rsidRPr="007C05A4">
        <w:rPr>
          <w:rFonts w:cs="Arial"/>
          <w:b/>
          <w:bCs/>
        </w:rPr>
        <w:t>), mutagenními (</w:t>
      </w:r>
      <w:proofErr w:type="spellStart"/>
      <w:r w:rsidRPr="007C05A4">
        <w:rPr>
          <w:rFonts w:cs="Arial"/>
          <w:b/>
          <w:bCs/>
        </w:rPr>
        <w:t>organochlorované</w:t>
      </w:r>
      <w:proofErr w:type="spellEnd"/>
      <w:r w:rsidRPr="007C05A4">
        <w:rPr>
          <w:rFonts w:cs="Arial"/>
          <w:b/>
          <w:bCs/>
        </w:rPr>
        <w:t xml:space="preserve"> pesticidy) a endokrinními účinky (</w:t>
      </w:r>
      <w:proofErr w:type="spellStart"/>
      <w:r w:rsidRPr="007C05A4">
        <w:rPr>
          <w:rFonts w:cs="Arial"/>
          <w:b/>
          <w:bCs/>
        </w:rPr>
        <w:t>hexabromcyklododekan</w:t>
      </w:r>
      <w:proofErr w:type="spellEnd"/>
      <w:r w:rsidRPr="007C05A4">
        <w:rPr>
          <w:rFonts w:cs="Arial"/>
          <w:b/>
          <w:bCs/>
        </w:rPr>
        <w:t xml:space="preserve">, </w:t>
      </w:r>
      <w:proofErr w:type="spellStart"/>
      <w:r w:rsidRPr="007C05A4">
        <w:rPr>
          <w:rFonts w:cs="Arial"/>
          <w:b/>
          <w:bCs/>
        </w:rPr>
        <w:t>polybromované</w:t>
      </w:r>
      <w:proofErr w:type="spellEnd"/>
      <w:r w:rsidRPr="007C05A4">
        <w:rPr>
          <w:rFonts w:cs="Arial"/>
          <w:b/>
          <w:bCs/>
        </w:rPr>
        <w:t xml:space="preserve"> </w:t>
      </w:r>
      <w:proofErr w:type="spellStart"/>
      <w:r w:rsidRPr="007C05A4">
        <w:rPr>
          <w:rFonts w:cs="Arial"/>
          <w:b/>
          <w:bCs/>
        </w:rPr>
        <w:t>difenylethery</w:t>
      </w:r>
      <w:proofErr w:type="spellEnd"/>
      <w:r w:rsidRPr="007C05A4">
        <w:rPr>
          <w:rFonts w:cs="Arial"/>
          <w:b/>
          <w:bCs/>
        </w:rPr>
        <w:t xml:space="preserve">, </w:t>
      </w:r>
      <w:proofErr w:type="spellStart"/>
      <w:r w:rsidRPr="007C05A4">
        <w:rPr>
          <w:rFonts w:cs="Arial"/>
          <w:b/>
          <w:bCs/>
        </w:rPr>
        <w:t>tributylcín</w:t>
      </w:r>
      <w:proofErr w:type="spellEnd"/>
      <w:r w:rsidRPr="007C05A4">
        <w:rPr>
          <w:rFonts w:cs="Arial"/>
          <w:b/>
          <w:bCs/>
        </w:rPr>
        <w:t xml:space="preserve">). Vyhodnocení dle Nařízení vlády č. 401/2015 Sb. prokázalo značnou prostorovou heterogenitu znečištění, které je vázáno především na průmyslové a městské aglomerace či oblasti s historickou těžební </w:t>
      </w:r>
      <w:r w:rsidRPr="007C05A4">
        <w:rPr>
          <w:rFonts w:cs="Arial"/>
          <w:b/>
          <w:bCs/>
        </w:rPr>
        <w:lastRenderedPageBreak/>
        <w:t xml:space="preserve">zátěží nebo staré ekologické zátěže dnes již neexistujících podniků a nejrůznějších provozoven. Kontinuita tohoto monitoringu je nezbytná pro objektivní posouzení ekologického stavu povrchových vod a verifikaci budoucích nápravných opatření v rámci vodní politiky ČR. Na chemickou analýzu jsou dlouhodobě odebírány vzorky nerozpuštěných látek (tj. plavenin), </w:t>
      </w:r>
      <w:proofErr w:type="spellStart"/>
      <w:r w:rsidRPr="007C05A4">
        <w:rPr>
          <w:rFonts w:cs="Arial"/>
          <w:b/>
          <w:bCs/>
        </w:rPr>
        <w:t>sedimentovatelných</w:t>
      </w:r>
      <w:proofErr w:type="spellEnd"/>
      <w:r w:rsidRPr="007C05A4">
        <w:rPr>
          <w:rFonts w:cs="Arial"/>
          <w:b/>
          <w:bCs/>
        </w:rPr>
        <w:t xml:space="preserve"> plavenin a sedimentů. Zde jsou prezentovány hodnoty zjištěné během monitoringu sedimentů a plavenin, jakož to matrice, na které se váže a ukládá široké spektrum cizorodých látek, zejména těžkých kovů a nebezpečných organických látek.</w:t>
      </w:r>
    </w:p>
    <w:p w14:paraId="45CE28E5" w14:textId="77777777" w:rsidR="007C05A4" w:rsidRDefault="007C05A4" w:rsidP="007C05A4">
      <w:pPr>
        <w:rPr>
          <w:rFonts w:cs="Arial"/>
        </w:rPr>
      </w:pPr>
    </w:p>
    <w:p w14:paraId="20A36BFA" w14:textId="187B858F" w:rsidR="007C05A4" w:rsidRPr="008F22ED" w:rsidRDefault="007C05A4" w:rsidP="007C05A4">
      <w:pPr>
        <w:rPr>
          <w:rFonts w:cs="Arial"/>
        </w:rPr>
      </w:pPr>
      <w:r w:rsidRPr="008F22ED">
        <w:rPr>
          <w:rFonts w:cs="Arial"/>
        </w:rPr>
        <w:t>V roce 2025 byly v sedimentech nalezeny nejvyšší hodnoty těžkých kovů převážně v severních, západních i středních Čechách. Nejvyšší průměrná koncentrace olova byla zaznamenána na Mži v Plzni (310 mg·kg</w:t>
      </w:r>
      <w:r w:rsidRPr="008F22ED">
        <w:rPr>
          <w:rFonts w:cs="Arial"/>
          <w:vertAlign w:val="superscript"/>
        </w:rPr>
        <w:t>-1</w:t>
      </w:r>
      <w:r w:rsidRPr="008F22ED">
        <w:rPr>
          <w:rFonts w:cs="Arial"/>
        </w:rPr>
        <w:t>), kadmia na Berounce v Srbsku (6,65 mg·kg</w:t>
      </w:r>
      <w:r w:rsidRPr="008F22ED">
        <w:rPr>
          <w:rFonts w:cs="Arial"/>
          <w:vertAlign w:val="superscript"/>
        </w:rPr>
        <w:t>-1</w:t>
      </w:r>
      <w:r w:rsidRPr="008F22ED">
        <w:rPr>
          <w:rFonts w:cs="Arial"/>
        </w:rPr>
        <w:t>). Nejvyšší hodnoty rtuti (1,07 mg·kg</w:t>
      </w:r>
      <w:r w:rsidRPr="008F22ED">
        <w:rPr>
          <w:rFonts w:cs="Arial"/>
          <w:vertAlign w:val="superscript"/>
        </w:rPr>
        <w:t>-1</w:t>
      </w:r>
      <w:r w:rsidRPr="008F22ED">
        <w:rPr>
          <w:rFonts w:cs="Arial"/>
        </w:rPr>
        <w:t>) i arsenu (71,05 mg·kg</w:t>
      </w:r>
      <w:r w:rsidRPr="008F22ED">
        <w:rPr>
          <w:rFonts w:cs="Arial"/>
          <w:vertAlign w:val="superscript"/>
        </w:rPr>
        <w:t>-1</w:t>
      </w:r>
      <w:r w:rsidRPr="008F22ED">
        <w:rPr>
          <w:rFonts w:cs="Arial"/>
        </w:rPr>
        <w:t xml:space="preserve">) byly nalezeny na řece Bílině v Ústí n. L. Z organických látek uložených v sedimentech významných českých toků byly zaznamenány nejvyšší průměrné koncentrace zejména u </w:t>
      </w:r>
      <w:proofErr w:type="spellStart"/>
      <w:r w:rsidRPr="008F22ED">
        <w:rPr>
          <w:rFonts w:cs="Arial"/>
        </w:rPr>
        <w:t>polyaromatických</w:t>
      </w:r>
      <w:proofErr w:type="spellEnd"/>
      <w:r w:rsidRPr="008F22ED">
        <w:rPr>
          <w:rFonts w:cs="Arial"/>
        </w:rPr>
        <w:t xml:space="preserve"> </w:t>
      </w:r>
      <w:r w:rsidR="001A7CF1">
        <w:rPr>
          <w:rFonts w:cs="Arial"/>
        </w:rPr>
        <w:t>u</w:t>
      </w:r>
      <w:r w:rsidRPr="008F22ED">
        <w:rPr>
          <w:rFonts w:cs="Arial"/>
        </w:rPr>
        <w:t>hlovodíků. Nejvyšší hodnoty sloučenin: antracenu (2</w:t>
      </w:r>
      <w:r w:rsidR="00E720E6">
        <w:rPr>
          <w:rFonts w:cs="Arial"/>
        </w:rPr>
        <w:t xml:space="preserve"> </w:t>
      </w:r>
      <w:r w:rsidRPr="008F22ED">
        <w:rPr>
          <w:rFonts w:cs="Arial"/>
        </w:rPr>
        <w:t>379 μg·kg</w:t>
      </w:r>
      <w:r w:rsidRPr="008F22ED">
        <w:rPr>
          <w:rFonts w:cs="Arial"/>
          <w:vertAlign w:val="superscript"/>
        </w:rPr>
        <w:t>-1</w:t>
      </w:r>
      <w:r w:rsidRPr="008F22ED">
        <w:rPr>
          <w:rFonts w:cs="Arial"/>
        </w:rPr>
        <w:t xml:space="preserve">), </w:t>
      </w:r>
      <w:proofErr w:type="spellStart"/>
      <w:r w:rsidRPr="008F22ED">
        <w:rPr>
          <w:rFonts w:cs="Arial"/>
        </w:rPr>
        <w:t>fluorantenu</w:t>
      </w:r>
      <w:proofErr w:type="spellEnd"/>
      <w:r w:rsidRPr="008F22ED">
        <w:rPr>
          <w:rFonts w:cs="Arial"/>
        </w:rPr>
        <w:t xml:space="preserve"> (11 285 μg·kg</w:t>
      </w:r>
      <w:r w:rsidRPr="008F22ED">
        <w:rPr>
          <w:rFonts w:cs="Arial"/>
          <w:vertAlign w:val="superscript"/>
        </w:rPr>
        <w:t>-1</w:t>
      </w:r>
      <w:r w:rsidRPr="008F22ED">
        <w:rPr>
          <w:rFonts w:cs="Arial"/>
        </w:rPr>
        <w:t xml:space="preserve">), </w:t>
      </w:r>
      <w:proofErr w:type="spellStart"/>
      <w:r w:rsidRPr="008F22ED">
        <w:rPr>
          <w:rFonts w:cs="Arial"/>
        </w:rPr>
        <w:t>benzo</w:t>
      </w:r>
      <w:proofErr w:type="spellEnd"/>
      <w:r w:rsidRPr="008F22ED">
        <w:rPr>
          <w:rFonts w:cs="Arial"/>
        </w:rPr>
        <w:t>[a]pyrenu (3</w:t>
      </w:r>
      <w:r w:rsidR="007F5C31">
        <w:rPr>
          <w:rFonts w:cs="Arial"/>
        </w:rPr>
        <w:t xml:space="preserve"> </w:t>
      </w:r>
      <w:r w:rsidRPr="008F22ED">
        <w:rPr>
          <w:rFonts w:cs="Arial"/>
        </w:rPr>
        <w:t>305 μg·kg</w:t>
      </w:r>
      <w:r w:rsidRPr="008F22ED">
        <w:rPr>
          <w:rFonts w:cs="Arial"/>
          <w:vertAlign w:val="superscript"/>
        </w:rPr>
        <w:t>-1</w:t>
      </w:r>
      <w:r w:rsidRPr="008F22ED">
        <w:rPr>
          <w:rFonts w:cs="Arial"/>
        </w:rPr>
        <w:t>) i sumy 5 PAU (12 831 μg·kg</w:t>
      </w:r>
      <w:r w:rsidRPr="008F22ED">
        <w:rPr>
          <w:rFonts w:cs="Arial"/>
          <w:vertAlign w:val="superscript"/>
        </w:rPr>
        <w:t>-1</w:t>
      </w:r>
      <w:r w:rsidRPr="008F22ED">
        <w:rPr>
          <w:rFonts w:cs="Arial"/>
        </w:rPr>
        <w:t>) byly nalezeny na Ploučnici v Březinách. Maximální hodnoty ftalátů (DEHP) byly evidovány na profilu Bečva – Troubky (1</w:t>
      </w:r>
      <w:r w:rsidR="007F5C31">
        <w:rPr>
          <w:rFonts w:cs="Arial"/>
        </w:rPr>
        <w:t xml:space="preserve"> </w:t>
      </w:r>
      <w:r w:rsidRPr="008F22ED">
        <w:rPr>
          <w:rFonts w:cs="Arial"/>
        </w:rPr>
        <w:t>360 μg·kg</w:t>
      </w:r>
      <w:r w:rsidRPr="008F22ED">
        <w:rPr>
          <w:rFonts w:cs="Arial"/>
          <w:vertAlign w:val="superscript"/>
        </w:rPr>
        <w:t>-1</w:t>
      </w:r>
      <w:r w:rsidRPr="008F22ED">
        <w:rPr>
          <w:rFonts w:cs="Arial"/>
        </w:rPr>
        <w:t xml:space="preserve">). Organické látky, které se používají jako zpomalovače hoření </w:t>
      </w:r>
      <w:proofErr w:type="spellStart"/>
      <w:r w:rsidRPr="008F22ED">
        <w:rPr>
          <w:rFonts w:cs="Arial"/>
        </w:rPr>
        <w:t>hexabromcyklododekan</w:t>
      </w:r>
      <w:proofErr w:type="spellEnd"/>
      <w:r w:rsidRPr="008F22ED">
        <w:rPr>
          <w:rFonts w:cs="Arial"/>
        </w:rPr>
        <w:t xml:space="preserve"> (HCBDD) a </w:t>
      </w:r>
      <w:proofErr w:type="spellStart"/>
      <w:r w:rsidRPr="008F22ED">
        <w:rPr>
          <w:rFonts w:cs="Arial"/>
        </w:rPr>
        <w:t>polybromované</w:t>
      </w:r>
      <w:proofErr w:type="spellEnd"/>
      <w:r w:rsidRPr="008F22ED">
        <w:rPr>
          <w:rFonts w:cs="Arial"/>
        </w:rPr>
        <w:t xml:space="preserve"> </w:t>
      </w:r>
      <w:proofErr w:type="spellStart"/>
      <w:r w:rsidRPr="008F22ED">
        <w:rPr>
          <w:rFonts w:cs="Arial"/>
        </w:rPr>
        <w:t>difenylethery</w:t>
      </w:r>
      <w:proofErr w:type="spellEnd"/>
      <w:r w:rsidRPr="008F22ED">
        <w:rPr>
          <w:rFonts w:cs="Arial"/>
        </w:rPr>
        <w:t xml:space="preserve"> (ΣPBDE) se ve většině případů nacházely v nízkých koncentrací pod mezí stanovitelnosti. Nicméně nejvyšší hodnoty těchto sloučenin byly zaznamenány v povodí Odry, sloučeniny HCBDD byly v nejvyšších koncentrací nalezeny na profilu Opava – Třebovice (97 μg·kg</w:t>
      </w:r>
      <w:r w:rsidRPr="008F22ED">
        <w:rPr>
          <w:rFonts w:cs="Arial"/>
          <w:vertAlign w:val="superscript"/>
        </w:rPr>
        <w:t>-1</w:t>
      </w:r>
      <w:r w:rsidRPr="008F22ED">
        <w:rPr>
          <w:rFonts w:cs="Arial"/>
        </w:rPr>
        <w:t>) a nejvyšší hodnoty ΣPBDE byly na profilu Ostravice – Ostrava (1,6 μg·kg</w:t>
      </w:r>
      <w:r w:rsidRPr="008F22ED">
        <w:rPr>
          <w:rFonts w:cs="Arial"/>
          <w:vertAlign w:val="superscript"/>
        </w:rPr>
        <w:t>-1</w:t>
      </w:r>
      <w:r w:rsidRPr="008F22ED">
        <w:rPr>
          <w:rFonts w:cs="Arial"/>
        </w:rPr>
        <w:t>). Chlorované parafíny s krátkým řetězcem neboli chlorované alkany (C10-13) byly v nejvyšší hodnotách nalezeny na Odře v Bohumíně (158,5 μg·kg</w:t>
      </w:r>
      <w:r w:rsidRPr="008F22ED">
        <w:rPr>
          <w:rFonts w:cs="Arial"/>
          <w:vertAlign w:val="superscript"/>
        </w:rPr>
        <w:t>-1</w:t>
      </w:r>
      <w:r w:rsidRPr="008F22ED">
        <w:rPr>
          <w:rFonts w:cs="Arial"/>
        </w:rPr>
        <w:t>). I v tomto roce byly zaznamenány zvýšené hodnoty u sloučenin ze skupiny polychlorovaných bifenylů (ΣPCB), maximální průměrná koncentrace (397,5 μg</w:t>
      </w:r>
      <w:r w:rsidRPr="008F22ED">
        <w:rPr>
          <w:rFonts w:ascii="Cambria Math" w:hAnsi="Cambria Math" w:cs="Cambria Math"/>
        </w:rPr>
        <w:t>⋅</w:t>
      </w:r>
      <w:r w:rsidRPr="008F22ED">
        <w:rPr>
          <w:rFonts w:cs="Arial"/>
        </w:rPr>
        <w:t>kg</w:t>
      </w:r>
      <w:r w:rsidRPr="008F22ED">
        <w:rPr>
          <w:rFonts w:cs="Arial"/>
          <w:vertAlign w:val="superscript"/>
        </w:rPr>
        <w:t>−1</w:t>
      </w:r>
      <w:r w:rsidRPr="008F22ED">
        <w:rPr>
          <w:rFonts w:cs="Arial"/>
        </w:rPr>
        <w:t xml:space="preserve">) byla nalezena na lokalitě Bílina v Ústí nad Labem. </w:t>
      </w:r>
      <w:proofErr w:type="spellStart"/>
      <w:r w:rsidRPr="008F22ED">
        <w:rPr>
          <w:rFonts w:cs="Arial"/>
        </w:rPr>
        <w:t>Perfluorované</w:t>
      </w:r>
      <w:proofErr w:type="spellEnd"/>
      <w:r w:rsidRPr="008F22ED">
        <w:rPr>
          <w:rFonts w:cs="Arial"/>
        </w:rPr>
        <w:t xml:space="preserve"> sloučeniny (PF</w:t>
      </w:r>
      <w:r w:rsidR="00532195">
        <w:rPr>
          <w:rFonts w:cs="Arial"/>
        </w:rPr>
        <w:t>A</w:t>
      </w:r>
      <w:r w:rsidRPr="008F22ED">
        <w:rPr>
          <w:rFonts w:cs="Arial"/>
        </w:rPr>
        <w:t>S) se nacházely na většině sledovaných lokalit ve velmi nízkých koncentracích (tj. pod mezí stanovitelnosti), ale nejvyšší hodnoty byly zaznamenány na Bílině v Ústí n. L (1,85 μg</w:t>
      </w:r>
      <w:r w:rsidRPr="008F22ED">
        <w:rPr>
          <w:rFonts w:ascii="Cambria Math" w:hAnsi="Cambria Math" w:cs="Cambria Math"/>
        </w:rPr>
        <w:t>⋅</w:t>
      </w:r>
      <w:r w:rsidRPr="008F22ED">
        <w:rPr>
          <w:rFonts w:cs="Arial"/>
        </w:rPr>
        <w:t>kg</w:t>
      </w:r>
      <w:r w:rsidRPr="008F22ED">
        <w:rPr>
          <w:rFonts w:cs="Arial"/>
          <w:vertAlign w:val="superscript"/>
        </w:rPr>
        <w:t>−1</w:t>
      </w:r>
      <w:r w:rsidRPr="008F22ED">
        <w:rPr>
          <w:rFonts w:cs="Arial"/>
        </w:rPr>
        <w:t>). Vysoké koncentrace dříve hojně používaných pesticidů byly zaznamenány především ve středních Čechách, maximální hodnoty ΣDDT byly zjištěny na profilu Labe – Obříství (203,05 μg</w:t>
      </w:r>
      <w:r w:rsidRPr="008F22ED">
        <w:rPr>
          <w:rFonts w:ascii="Cambria Math" w:hAnsi="Cambria Math" w:cs="Cambria Math"/>
        </w:rPr>
        <w:t>⋅</w:t>
      </w:r>
      <w:r w:rsidRPr="008F22ED">
        <w:rPr>
          <w:rFonts w:cs="Arial"/>
        </w:rPr>
        <w:t>kg</w:t>
      </w:r>
      <w:r w:rsidRPr="008F22ED">
        <w:rPr>
          <w:rFonts w:cs="Arial"/>
          <w:vertAlign w:val="superscript"/>
        </w:rPr>
        <w:t>−1</w:t>
      </w:r>
      <w:r w:rsidRPr="008F22ED">
        <w:rPr>
          <w:rFonts w:cs="Arial"/>
        </w:rPr>
        <w:t>). AMPA, která představuje metabolit jednoho z nejrozšířenějších herbicidů (glyfosát), jeho nejvyšší hodnoty byly nalezeny na Cidlině v </w:t>
      </w:r>
      <w:proofErr w:type="spellStart"/>
      <w:r w:rsidRPr="008F22ED">
        <w:rPr>
          <w:rFonts w:cs="Arial"/>
        </w:rPr>
        <w:t>Sánech</w:t>
      </w:r>
      <w:proofErr w:type="spellEnd"/>
      <w:r w:rsidRPr="008F22ED">
        <w:rPr>
          <w:rFonts w:cs="Arial"/>
        </w:rPr>
        <w:t xml:space="preserve"> (1</w:t>
      </w:r>
      <w:r w:rsidR="007F5C31">
        <w:rPr>
          <w:rFonts w:cs="Arial"/>
        </w:rPr>
        <w:t xml:space="preserve"> </w:t>
      </w:r>
      <w:r w:rsidRPr="008F22ED">
        <w:rPr>
          <w:rFonts w:cs="Arial"/>
        </w:rPr>
        <w:t>600 μg</w:t>
      </w:r>
      <w:r w:rsidRPr="008F22ED">
        <w:rPr>
          <w:rFonts w:ascii="Cambria Math" w:hAnsi="Cambria Math" w:cs="Cambria Math"/>
        </w:rPr>
        <w:t>⋅</w:t>
      </w:r>
      <w:r w:rsidRPr="008F22ED">
        <w:rPr>
          <w:rFonts w:cs="Arial"/>
        </w:rPr>
        <w:t>kg</w:t>
      </w:r>
      <w:r w:rsidRPr="008F22ED">
        <w:rPr>
          <w:rFonts w:cs="Arial"/>
          <w:vertAlign w:val="superscript"/>
        </w:rPr>
        <w:t>−1</w:t>
      </w:r>
      <w:r w:rsidRPr="008F22ED">
        <w:rPr>
          <w:rFonts w:cs="Arial"/>
        </w:rPr>
        <w:t>).</w:t>
      </w:r>
    </w:p>
    <w:p w14:paraId="2A1FCCF8" w14:textId="77777777" w:rsidR="004A19A9" w:rsidRPr="008F22ED" w:rsidRDefault="004A19A9" w:rsidP="007C05A4">
      <w:pPr>
        <w:rPr>
          <w:rFonts w:cs="Arial"/>
        </w:rPr>
      </w:pPr>
    </w:p>
    <w:p w14:paraId="38722818" w14:textId="482E2742" w:rsidR="007C05A4" w:rsidRPr="008F22ED" w:rsidRDefault="007C05A4" w:rsidP="007C05A4">
      <w:pPr>
        <w:rPr>
          <w:rFonts w:cs="Arial"/>
        </w:rPr>
      </w:pPr>
      <w:r w:rsidRPr="008F22ED">
        <w:rPr>
          <w:rFonts w:cs="Arial"/>
        </w:rPr>
        <w:t>Koncentrace cizorodých látek v plaveninách je částečně podobná jako u sedimentů, avšak některé nebezpečné látky zde byly dlouhodobě nacházeny převážně v nízkých koncentrací (např. DEHP, HCBDD, PFOS a PBDE), proto nebyly zahrnuty do monitoringu v roce 2025, nicméně u jiných látek se jejich hodnoty i zastoupení mírně liší ve srovnání se sedimenty. Nejvyšší koncentrace těžkých kovů byly zaznamenány zejména v severních, západních a středních Čechách. Největší hodnoty olova byly zaznamenány na Lužické Nise v Hrádku nad Nisou (127 mg·kg</w:t>
      </w:r>
      <w:r w:rsidRPr="008F22ED">
        <w:rPr>
          <w:rFonts w:cs="Arial"/>
          <w:vertAlign w:val="superscript"/>
        </w:rPr>
        <w:t>-1</w:t>
      </w:r>
      <w:r w:rsidRPr="008F22ED">
        <w:rPr>
          <w:rFonts w:cs="Arial"/>
        </w:rPr>
        <w:t>), kadmia na Berounce v Srbsku (3</w:t>
      </w:r>
      <w:r w:rsidR="007F5C31">
        <w:rPr>
          <w:rFonts w:cs="Arial"/>
        </w:rPr>
        <w:t>,</w:t>
      </w:r>
      <w:r w:rsidRPr="008F22ED">
        <w:rPr>
          <w:rFonts w:cs="Arial"/>
        </w:rPr>
        <w:t>65 mg·kg</w:t>
      </w:r>
      <w:r w:rsidRPr="008F22ED">
        <w:rPr>
          <w:rFonts w:cs="Arial"/>
          <w:vertAlign w:val="superscript"/>
        </w:rPr>
        <w:t>-1</w:t>
      </w:r>
      <w:r w:rsidRPr="008F22ED">
        <w:rPr>
          <w:rFonts w:cs="Arial"/>
        </w:rPr>
        <w:t>) a rtuti na Bílině v Ústí nad Labem (1 mg·kg</w:t>
      </w:r>
      <w:r w:rsidRPr="008F22ED">
        <w:rPr>
          <w:rFonts w:cs="Arial"/>
          <w:vertAlign w:val="superscript"/>
        </w:rPr>
        <w:t>-</w:t>
      </w:r>
      <w:r w:rsidR="00B73644" w:rsidRPr="008F22ED">
        <w:rPr>
          <w:rFonts w:cs="Arial"/>
          <w:vertAlign w:val="superscript"/>
        </w:rPr>
        <w:t>1</w:t>
      </w:r>
      <w:r w:rsidRPr="008F22ED">
        <w:rPr>
          <w:rFonts w:cs="Arial"/>
        </w:rPr>
        <w:t xml:space="preserve">). Látky patřící do skupiny </w:t>
      </w:r>
      <w:proofErr w:type="spellStart"/>
      <w:r w:rsidRPr="008F22ED">
        <w:rPr>
          <w:rFonts w:cs="Arial"/>
        </w:rPr>
        <w:t>polyaromatických</w:t>
      </w:r>
      <w:proofErr w:type="spellEnd"/>
      <w:r w:rsidRPr="008F22ED">
        <w:rPr>
          <w:rFonts w:cs="Arial"/>
        </w:rPr>
        <w:t xml:space="preserve"> </w:t>
      </w:r>
      <w:proofErr w:type="spellStart"/>
      <w:r w:rsidRPr="008F22ED">
        <w:rPr>
          <w:rFonts w:cs="Arial"/>
        </w:rPr>
        <w:t>úhlovodíků</w:t>
      </w:r>
      <w:proofErr w:type="spellEnd"/>
      <w:r w:rsidRPr="008F22ED">
        <w:rPr>
          <w:rFonts w:cs="Arial"/>
        </w:rPr>
        <w:t xml:space="preserve"> se ve vysokých hodnotách nalézaly v plaveninách především na jižní, střední a severní Moravě. Na Odře v Bohumíně byly nalezeny nejvyšší hodnoty: antracenu </w:t>
      </w:r>
      <w:r w:rsidR="003B5C61">
        <w:rPr>
          <w:rFonts w:cs="Arial"/>
        </w:rPr>
        <w:br/>
      </w:r>
      <w:r w:rsidRPr="008F22ED">
        <w:rPr>
          <w:rFonts w:cs="Arial"/>
        </w:rPr>
        <w:t>(998</w:t>
      </w:r>
      <w:r w:rsidR="007F5C31">
        <w:rPr>
          <w:rFonts w:cs="Arial"/>
        </w:rPr>
        <w:t>,</w:t>
      </w:r>
      <w:r w:rsidRPr="008F22ED">
        <w:rPr>
          <w:rFonts w:cs="Arial"/>
        </w:rPr>
        <w:t>5 μg·kg</w:t>
      </w:r>
      <w:r w:rsidRPr="008F22ED">
        <w:rPr>
          <w:rFonts w:cs="Arial"/>
          <w:vertAlign w:val="superscript"/>
        </w:rPr>
        <w:t>-1</w:t>
      </w:r>
      <w:r w:rsidRPr="008F22ED">
        <w:rPr>
          <w:rFonts w:cs="Arial"/>
        </w:rPr>
        <w:t xml:space="preserve">), </w:t>
      </w:r>
      <w:proofErr w:type="spellStart"/>
      <w:r w:rsidRPr="008F22ED">
        <w:rPr>
          <w:rFonts w:cs="Arial"/>
        </w:rPr>
        <w:t>fluorantenu</w:t>
      </w:r>
      <w:proofErr w:type="spellEnd"/>
      <w:r w:rsidRPr="008F22ED">
        <w:rPr>
          <w:rFonts w:cs="Arial"/>
        </w:rPr>
        <w:t xml:space="preserve"> (6</w:t>
      </w:r>
      <w:r w:rsidR="00293437">
        <w:rPr>
          <w:rFonts w:cs="Arial"/>
        </w:rPr>
        <w:t xml:space="preserve"> </w:t>
      </w:r>
      <w:r w:rsidRPr="008F22ED">
        <w:rPr>
          <w:rFonts w:cs="Arial"/>
        </w:rPr>
        <w:t>415 μg·kg</w:t>
      </w:r>
      <w:r w:rsidRPr="008F22ED">
        <w:rPr>
          <w:rFonts w:cs="Arial"/>
          <w:vertAlign w:val="superscript"/>
        </w:rPr>
        <w:t>-1</w:t>
      </w:r>
      <w:r w:rsidRPr="008F22ED">
        <w:rPr>
          <w:rFonts w:cs="Arial"/>
        </w:rPr>
        <w:t xml:space="preserve">), </w:t>
      </w:r>
      <w:proofErr w:type="spellStart"/>
      <w:r w:rsidRPr="008F22ED">
        <w:rPr>
          <w:rFonts w:cs="Arial"/>
        </w:rPr>
        <w:t>benzo</w:t>
      </w:r>
      <w:proofErr w:type="spellEnd"/>
      <w:r w:rsidRPr="008F22ED">
        <w:rPr>
          <w:rFonts w:cs="Arial"/>
        </w:rPr>
        <w:t>[a]pyrenu (1</w:t>
      </w:r>
      <w:r w:rsidR="007F5C31">
        <w:rPr>
          <w:rFonts w:cs="Arial"/>
        </w:rPr>
        <w:t> </w:t>
      </w:r>
      <w:r w:rsidRPr="008F22ED">
        <w:rPr>
          <w:rFonts w:cs="Arial"/>
        </w:rPr>
        <w:t>689</w:t>
      </w:r>
      <w:r w:rsidR="007F5C31">
        <w:rPr>
          <w:rFonts w:cs="Arial"/>
        </w:rPr>
        <w:t>,</w:t>
      </w:r>
      <w:r w:rsidRPr="008F22ED">
        <w:rPr>
          <w:rFonts w:cs="Arial"/>
        </w:rPr>
        <w:t>5 μg·kg</w:t>
      </w:r>
      <w:r w:rsidRPr="008F22ED">
        <w:rPr>
          <w:rFonts w:cs="Arial"/>
          <w:vertAlign w:val="superscript"/>
        </w:rPr>
        <w:t>-1</w:t>
      </w:r>
      <w:r w:rsidRPr="008F22ED">
        <w:rPr>
          <w:rFonts w:cs="Arial"/>
        </w:rPr>
        <w:t>) a sumy 5 PAU (6</w:t>
      </w:r>
      <w:r w:rsidR="007F5C31">
        <w:rPr>
          <w:rFonts w:cs="Arial"/>
        </w:rPr>
        <w:t> </w:t>
      </w:r>
      <w:r w:rsidRPr="008F22ED">
        <w:rPr>
          <w:rFonts w:cs="Arial"/>
        </w:rPr>
        <w:t>968</w:t>
      </w:r>
      <w:r w:rsidR="007F5C31">
        <w:rPr>
          <w:rFonts w:cs="Arial"/>
        </w:rPr>
        <w:t>,</w:t>
      </w:r>
      <w:r w:rsidRPr="008F22ED">
        <w:rPr>
          <w:rFonts w:cs="Arial"/>
        </w:rPr>
        <w:t>5μg·kg</w:t>
      </w:r>
      <w:r w:rsidRPr="008F22ED">
        <w:rPr>
          <w:rFonts w:cs="Arial"/>
          <w:vertAlign w:val="superscript"/>
        </w:rPr>
        <w:t>-1</w:t>
      </w:r>
      <w:r w:rsidRPr="008F22ED">
        <w:rPr>
          <w:rFonts w:cs="Arial"/>
        </w:rPr>
        <w:t>). Na řece Bílině v Ústí nad Labem byly nalezeny nejvyšší hodnoty: chlorovaných alkanů (890 μg·kg</w:t>
      </w:r>
      <w:r w:rsidRPr="008F22ED">
        <w:rPr>
          <w:rFonts w:cs="Arial"/>
          <w:vertAlign w:val="superscript"/>
        </w:rPr>
        <w:t>-1</w:t>
      </w:r>
      <w:r w:rsidRPr="008F22ED">
        <w:rPr>
          <w:rFonts w:cs="Arial"/>
        </w:rPr>
        <w:t>), sumy DDT (187</w:t>
      </w:r>
      <w:r w:rsidR="007F5C31">
        <w:rPr>
          <w:rFonts w:cs="Arial"/>
        </w:rPr>
        <w:t>,</w:t>
      </w:r>
      <w:r w:rsidRPr="008F22ED">
        <w:rPr>
          <w:rFonts w:cs="Arial"/>
        </w:rPr>
        <w:t>7 μg·kg</w:t>
      </w:r>
      <w:r w:rsidRPr="008F22ED">
        <w:rPr>
          <w:rFonts w:cs="Arial"/>
          <w:vertAlign w:val="superscript"/>
        </w:rPr>
        <w:t>-1</w:t>
      </w:r>
      <w:r w:rsidRPr="008F22ED">
        <w:rPr>
          <w:rFonts w:cs="Arial"/>
        </w:rPr>
        <w:t>) a sumy pesticidů (97 μg·kg</w:t>
      </w:r>
      <w:r w:rsidRPr="008F22ED">
        <w:rPr>
          <w:rFonts w:cs="Arial"/>
          <w:vertAlign w:val="superscript"/>
        </w:rPr>
        <w:t>-1</w:t>
      </w:r>
      <w:r w:rsidRPr="008F22ED">
        <w:rPr>
          <w:rFonts w:cs="Arial"/>
        </w:rPr>
        <w:t>). Nejvyšší hodnoty sumy PCB byly nalezeny na Ohři v </w:t>
      </w:r>
      <w:proofErr w:type="spellStart"/>
      <w:r w:rsidRPr="008F22ED">
        <w:rPr>
          <w:rFonts w:cs="Arial"/>
        </w:rPr>
        <w:t>Želině</w:t>
      </w:r>
      <w:proofErr w:type="spellEnd"/>
      <w:r w:rsidRPr="008F22ED">
        <w:rPr>
          <w:rFonts w:cs="Arial"/>
        </w:rPr>
        <w:t xml:space="preserve"> (224</w:t>
      </w:r>
      <w:r w:rsidR="007F5C31">
        <w:rPr>
          <w:rFonts w:cs="Arial"/>
        </w:rPr>
        <w:t>,</w:t>
      </w:r>
      <w:r w:rsidRPr="008F22ED">
        <w:rPr>
          <w:rFonts w:cs="Arial"/>
        </w:rPr>
        <w:t>75 μg·kg</w:t>
      </w:r>
      <w:r w:rsidRPr="008F22ED">
        <w:rPr>
          <w:rFonts w:cs="Arial"/>
          <w:vertAlign w:val="superscript"/>
        </w:rPr>
        <w:t>-1</w:t>
      </w:r>
      <w:r w:rsidRPr="008F22ED">
        <w:rPr>
          <w:rFonts w:cs="Arial"/>
        </w:rPr>
        <w:t>).</w:t>
      </w:r>
    </w:p>
    <w:p w14:paraId="27EB364F" w14:textId="77777777" w:rsidR="004A19A9" w:rsidRPr="008F22ED" w:rsidRDefault="004A19A9" w:rsidP="007C05A4">
      <w:pPr>
        <w:rPr>
          <w:rFonts w:cs="Arial"/>
        </w:rPr>
      </w:pPr>
    </w:p>
    <w:p w14:paraId="0E78E522" w14:textId="42AF5079" w:rsidR="007C05A4" w:rsidRPr="008F22ED" w:rsidRDefault="007C05A4" w:rsidP="007C05A4">
      <w:pPr>
        <w:rPr>
          <w:rFonts w:cs="Arial"/>
        </w:rPr>
      </w:pPr>
      <w:r w:rsidRPr="008F22ED">
        <w:rPr>
          <w:rFonts w:cs="Arial"/>
        </w:rPr>
        <w:t>Pro hodnocení dlouhodobých trendů byly použity časové řady vybraných nebezpečných látek nacházejících se v sedimentech (</w:t>
      </w:r>
      <w:r w:rsidR="004A19A9" w:rsidRPr="008F22ED">
        <w:rPr>
          <w:rFonts w:cs="Arial"/>
        </w:rPr>
        <w:t>2000–2025</w:t>
      </w:r>
      <w:r w:rsidRPr="008F22ED">
        <w:rPr>
          <w:rFonts w:cs="Arial"/>
        </w:rPr>
        <w:t xml:space="preserve">), které byly analyzovány pomocí </w:t>
      </w:r>
      <w:proofErr w:type="spellStart"/>
      <w:r w:rsidRPr="008F22ED">
        <w:rPr>
          <w:rFonts w:cs="Arial"/>
        </w:rPr>
        <w:t>MannKendall</w:t>
      </w:r>
      <w:proofErr w:type="spellEnd"/>
      <w:r w:rsidRPr="008F22ED">
        <w:rPr>
          <w:rFonts w:cs="Arial"/>
        </w:rPr>
        <w:t xml:space="preserve"> testu. Statistické analýzy prokázaly významně rostoucí trend na sledovaných lokalitách u řady vybraných ukazatelů znečištění v roce 2025. Významně rostoucí trend v byl zaznamenán celkem v 18 případech na 8 lokalitách u 12 nebezpečných prioritních látek. Mezi látky se zaznamenaným rostoucím trendem byly: těžké kovy (kadmium a rtuť) a organické látky ze skupiny </w:t>
      </w:r>
      <w:proofErr w:type="spellStart"/>
      <w:r w:rsidRPr="008F22ED">
        <w:rPr>
          <w:rFonts w:cs="Arial"/>
        </w:rPr>
        <w:t>polyaromatických</w:t>
      </w:r>
      <w:proofErr w:type="spellEnd"/>
      <w:r w:rsidRPr="008F22ED">
        <w:rPr>
          <w:rFonts w:cs="Arial"/>
        </w:rPr>
        <w:t xml:space="preserve"> </w:t>
      </w:r>
      <w:proofErr w:type="spellStart"/>
      <w:r w:rsidRPr="008F22ED">
        <w:rPr>
          <w:rFonts w:cs="Arial"/>
        </w:rPr>
        <w:t>úhlovodíků</w:t>
      </w:r>
      <w:proofErr w:type="spellEnd"/>
      <w:r w:rsidRPr="008F22ED">
        <w:rPr>
          <w:rFonts w:cs="Arial"/>
        </w:rPr>
        <w:t xml:space="preserve"> (antracen, </w:t>
      </w:r>
      <w:proofErr w:type="spellStart"/>
      <w:r w:rsidRPr="008F22ED">
        <w:rPr>
          <w:rFonts w:cs="Arial"/>
        </w:rPr>
        <w:t>fluoranten</w:t>
      </w:r>
      <w:proofErr w:type="spellEnd"/>
      <w:r w:rsidRPr="008F22ED">
        <w:rPr>
          <w:rFonts w:cs="Arial"/>
        </w:rPr>
        <w:t xml:space="preserve">, </w:t>
      </w:r>
      <w:proofErr w:type="spellStart"/>
      <w:r w:rsidRPr="008F22ED">
        <w:rPr>
          <w:rFonts w:cs="Arial"/>
        </w:rPr>
        <w:t>benzo</w:t>
      </w:r>
      <w:proofErr w:type="spellEnd"/>
      <w:r w:rsidRPr="008F22ED">
        <w:rPr>
          <w:rFonts w:cs="Arial"/>
        </w:rPr>
        <w:t xml:space="preserve">[a]pyren, </w:t>
      </w:r>
      <w:proofErr w:type="spellStart"/>
      <w:r w:rsidRPr="008F22ED">
        <w:rPr>
          <w:rFonts w:cs="Arial"/>
        </w:rPr>
        <w:t>benzo</w:t>
      </w:r>
      <w:proofErr w:type="spellEnd"/>
      <w:r w:rsidRPr="008F22ED">
        <w:rPr>
          <w:rFonts w:cs="Arial"/>
        </w:rPr>
        <w:t>[b]</w:t>
      </w:r>
      <w:proofErr w:type="spellStart"/>
      <w:r w:rsidRPr="008F22ED">
        <w:rPr>
          <w:rFonts w:cs="Arial"/>
        </w:rPr>
        <w:t>fluoranten</w:t>
      </w:r>
      <w:proofErr w:type="spellEnd"/>
      <w:r w:rsidRPr="008F22ED">
        <w:rPr>
          <w:rFonts w:cs="Arial"/>
        </w:rPr>
        <w:t xml:space="preserve">, </w:t>
      </w:r>
      <w:proofErr w:type="spellStart"/>
      <w:r w:rsidRPr="008F22ED">
        <w:rPr>
          <w:rFonts w:cs="Arial"/>
        </w:rPr>
        <w:t>benzo</w:t>
      </w:r>
      <w:proofErr w:type="spellEnd"/>
      <w:r w:rsidRPr="008F22ED">
        <w:rPr>
          <w:rFonts w:cs="Arial"/>
        </w:rPr>
        <w:t>[</w:t>
      </w:r>
      <w:proofErr w:type="spellStart"/>
      <w:r w:rsidRPr="008F22ED">
        <w:rPr>
          <w:rFonts w:cs="Arial"/>
        </w:rPr>
        <w:t>ghi</w:t>
      </w:r>
      <w:proofErr w:type="spellEnd"/>
      <w:r w:rsidRPr="008F22ED">
        <w:rPr>
          <w:rFonts w:cs="Arial"/>
        </w:rPr>
        <w:t xml:space="preserve">]pyren, </w:t>
      </w:r>
      <w:proofErr w:type="spellStart"/>
      <w:r w:rsidRPr="008F22ED">
        <w:rPr>
          <w:rFonts w:cs="Arial"/>
        </w:rPr>
        <w:t>indeno</w:t>
      </w:r>
      <w:proofErr w:type="spellEnd"/>
      <w:r w:rsidRPr="008F22ED">
        <w:rPr>
          <w:rFonts w:cs="Arial"/>
        </w:rPr>
        <w:t>[1,2,3-</w:t>
      </w:r>
      <w:proofErr w:type="gramStart"/>
      <w:r w:rsidRPr="008F22ED">
        <w:rPr>
          <w:rFonts w:cs="Arial"/>
        </w:rPr>
        <w:t>cd]pyren</w:t>
      </w:r>
      <w:proofErr w:type="gramEnd"/>
      <w:r w:rsidRPr="008F22ED">
        <w:rPr>
          <w:rFonts w:cs="Arial"/>
        </w:rPr>
        <w:t xml:space="preserve">, </w:t>
      </w:r>
      <w:proofErr w:type="spellStart"/>
      <w:r w:rsidRPr="008F22ED">
        <w:rPr>
          <w:rFonts w:cs="Arial"/>
        </w:rPr>
        <w:t>benzo</w:t>
      </w:r>
      <w:proofErr w:type="spellEnd"/>
      <w:r w:rsidRPr="008F22ED">
        <w:rPr>
          <w:rFonts w:cs="Arial"/>
        </w:rPr>
        <w:t>[k]</w:t>
      </w:r>
      <w:proofErr w:type="spellStart"/>
      <w:r w:rsidRPr="008F22ED">
        <w:rPr>
          <w:rFonts w:cs="Arial"/>
        </w:rPr>
        <w:t>fluoranten</w:t>
      </w:r>
      <w:proofErr w:type="spellEnd"/>
      <w:r w:rsidRPr="008F22ED">
        <w:rPr>
          <w:rFonts w:cs="Arial"/>
        </w:rPr>
        <w:t xml:space="preserve"> a sumy 5PAU), </w:t>
      </w:r>
      <w:proofErr w:type="spellStart"/>
      <w:r w:rsidRPr="008F22ED">
        <w:rPr>
          <w:rFonts w:cs="Arial"/>
        </w:rPr>
        <w:t>chloralkany</w:t>
      </w:r>
      <w:proofErr w:type="spellEnd"/>
      <w:r w:rsidRPr="008F22ED">
        <w:rPr>
          <w:rFonts w:cs="Arial"/>
        </w:rPr>
        <w:t xml:space="preserve"> a PF</w:t>
      </w:r>
      <w:r w:rsidR="00FD1DDD">
        <w:rPr>
          <w:rFonts w:cs="Arial"/>
        </w:rPr>
        <w:t>A</w:t>
      </w:r>
      <w:r w:rsidRPr="008F22ED">
        <w:rPr>
          <w:rFonts w:cs="Arial"/>
        </w:rPr>
        <w:t xml:space="preserve">S. Rostoucí trend u kadmia byl evidován na třech profilech, které se nacházejí v povodí Moravy (Olšava – </w:t>
      </w:r>
      <w:proofErr w:type="spellStart"/>
      <w:r w:rsidRPr="008F22ED">
        <w:rPr>
          <w:rFonts w:cs="Arial"/>
        </w:rPr>
        <w:t>Havřice</w:t>
      </w:r>
      <w:proofErr w:type="spellEnd"/>
      <w:r w:rsidRPr="008F22ED">
        <w:rPr>
          <w:rFonts w:cs="Arial"/>
        </w:rPr>
        <w:t xml:space="preserve">, Dřevnice – Otrokovice a Bečva – Troubky). Signifikantně vzrůstající trend u rtuti </w:t>
      </w:r>
      <w:r w:rsidR="00CA1044">
        <w:rPr>
          <w:rFonts w:cs="Arial"/>
        </w:rPr>
        <w:t xml:space="preserve">byl potvrzen </w:t>
      </w:r>
      <w:r w:rsidRPr="008F22ED">
        <w:rPr>
          <w:rFonts w:cs="Arial"/>
        </w:rPr>
        <w:t xml:space="preserve">pouze na profilu </w:t>
      </w:r>
      <w:r w:rsidRPr="008F22ED">
        <w:rPr>
          <w:rFonts w:cs="Arial"/>
        </w:rPr>
        <w:lastRenderedPageBreak/>
        <w:t xml:space="preserve">Olšava – </w:t>
      </w:r>
      <w:proofErr w:type="spellStart"/>
      <w:r w:rsidRPr="008F22ED">
        <w:rPr>
          <w:rFonts w:cs="Arial"/>
        </w:rPr>
        <w:t>Havřice</w:t>
      </w:r>
      <w:proofErr w:type="spellEnd"/>
      <w:r w:rsidRPr="008F22ED">
        <w:rPr>
          <w:rFonts w:cs="Arial"/>
        </w:rPr>
        <w:t xml:space="preserve">. U látek ze skupiny </w:t>
      </w:r>
      <w:proofErr w:type="spellStart"/>
      <w:r w:rsidRPr="008F22ED">
        <w:rPr>
          <w:rFonts w:cs="Arial"/>
        </w:rPr>
        <w:t>polyaromatických</w:t>
      </w:r>
      <w:proofErr w:type="spellEnd"/>
      <w:r w:rsidRPr="008F22ED">
        <w:rPr>
          <w:rFonts w:cs="Arial"/>
        </w:rPr>
        <w:t xml:space="preserve"> </w:t>
      </w:r>
      <w:proofErr w:type="spellStart"/>
      <w:r w:rsidRPr="008F22ED">
        <w:rPr>
          <w:rFonts w:cs="Arial"/>
        </w:rPr>
        <w:t>úhlovodíků</w:t>
      </w:r>
      <w:proofErr w:type="spellEnd"/>
      <w:r w:rsidRPr="008F22ED">
        <w:rPr>
          <w:rFonts w:cs="Arial"/>
        </w:rPr>
        <w:t xml:space="preserve"> byl vzrůstajíc trend </w:t>
      </w:r>
      <w:r w:rsidR="00CA1044">
        <w:rPr>
          <w:rFonts w:cs="Arial"/>
        </w:rPr>
        <w:t>zjištěn</w:t>
      </w:r>
      <w:r w:rsidR="00CA1044" w:rsidRPr="008F22ED">
        <w:rPr>
          <w:rFonts w:cs="Arial"/>
        </w:rPr>
        <w:t xml:space="preserve"> </w:t>
      </w:r>
      <w:r w:rsidRPr="008F22ED">
        <w:rPr>
          <w:rFonts w:cs="Arial"/>
        </w:rPr>
        <w:t xml:space="preserve">u třech lokalit (Ploučnice – Březiny, Labe – </w:t>
      </w:r>
      <w:proofErr w:type="spellStart"/>
      <w:r w:rsidRPr="008F22ED">
        <w:rPr>
          <w:rFonts w:cs="Arial"/>
        </w:rPr>
        <w:t>Debrné</w:t>
      </w:r>
      <w:proofErr w:type="spellEnd"/>
      <w:r w:rsidRPr="008F22ED">
        <w:rPr>
          <w:rFonts w:cs="Arial"/>
        </w:rPr>
        <w:t xml:space="preserve"> a Lužická Nisa – Hrádek nad Nisou). Rostoucí trend u </w:t>
      </w:r>
      <w:proofErr w:type="spellStart"/>
      <w:r w:rsidRPr="008F22ED">
        <w:rPr>
          <w:rFonts w:cs="Arial"/>
        </w:rPr>
        <w:t>chloralkanů</w:t>
      </w:r>
      <w:proofErr w:type="spellEnd"/>
      <w:r w:rsidRPr="008F22ED">
        <w:rPr>
          <w:rFonts w:cs="Arial"/>
        </w:rPr>
        <w:t xml:space="preserve"> byl zaznamenán jen na profilu Svratka – Židlochovice. Narůstající trend u </w:t>
      </w:r>
      <w:proofErr w:type="spellStart"/>
      <w:r w:rsidRPr="008F22ED">
        <w:rPr>
          <w:rFonts w:cs="Arial"/>
        </w:rPr>
        <w:t>perfluorovaných</w:t>
      </w:r>
      <w:proofErr w:type="spellEnd"/>
      <w:r w:rsidRPr="008F22ED">
        <w:rPr>
          <w:rFonts w:cs="Arial"/>
        </w:rPr>
        <w:t xml:space="preserve"> sloučenin (PF</w:t>
      </w:r>
      <w:r w:rsidR="00CA1044">
        <w:rPr>
          <w:rFonts w:cs="Arial"/>
        </w:rPr>
        <w:t>A</w:t>
      </w:r>
      <w:r w:rsidRPr="008F22ED">
        <w:rPr>
          <w:rFonts w:cs="Arial"/>
        </w:rPr>
        <w:t>S) byl zaznamenán pouze na profilu Lužnice – Veselí nad Lužnicí. Klesající trend byl zaznamenán na většině sledovaných lokalit, u téměř všech sledovaných látek, statisticky potvrzených případů klesajícího trendu bylo evidováno v sedimentech 234 (o 19 případů více než v předchozím roce).</w:t>
      </w:r>
    </w:p>
    <w:p w14:paraId="3A18C282" w14:textId="77777777" w:rsidR="004A19A9" w:rsidRPr="00707BEE" w:rsidRDefault="004A19A9" w:rsidP="007C05A4">
      <w:pPr>
        <w:rPr>
          <w:rFonts w:cs="Arial"/>
        </w:rPr>
      </w:pPr>
    </w:p>
    <w:p w14:paraId="5D75FE92" w14:textId="6DD5A5CD" w:rsidR="004A19A9" w:rsidRPr="0053230E" w:rsidRDefault="004A19A9" w:rsidP="004A19A9">
      <w:pPr>
        <w:contextualSpacing/>
        <w:rPr>
          <w:b/>
          <w:i/>
        </w:rPr>
      </w:pPr>
      <w:r w:rsidRPr="00707BEE">
        <w:rPr>
          <w:b/>
          <w:i/>
        </w:rPr>
        <w:t>Graf</w:t>
      </w:r>
      <w:r w:rsidR="00707BEE">
        <w:rPr>
          <w:b/>
          <w:i/>
        </w:rPr>
        <w:t xml:space="preserve"> 3.1.4</w:t>
      </w:r>
    </w:p>
    <w:p w14:paraId="12B40E12" w14:textId="6A8ED6CE" w:rsidR="004A19A9" w:rsidRPr="0053230E" w:rsidRDefault="004A19A9" w:rsidP="004A19A9">
      <w:pPr>
        <w:contextualSpacing/>
        <w:rPr>
          <w:color w:val="FF0000"/>
          <w:sz w:val="20"/>
          <w:szCs w:val="20"/>
        </w:rPr>
      </w:pPr>
      <w:r>
        <w:rPr>
          <w:b/>
          <w:i/>
        </w:rPr>
        <w:t xml:space="preserve">Průměrné koncentrace vybraných těžkých kovů v plaveninách na sledovaných lokalitách </w:t>
      </w:r>
      <w:r w:rsidR="003B5C61">
        <w:rPr>
          <w:b/>
          <w:i/>
        </w:rPr>
        <w:t>v roce 2025</w:t>
      </w:r>
    </w:p>
    <w:p w14:paraId="208C72A7" w14:textId="77777777" w:rsidR="004A19A9" w:rsidRDefault="004A19A9" w:rsidP="004A19A9">
      <w:pPr>
        <w:contextualSpacing/>
        <w:rPr>
          <w:b/>
          <w:i/>
        </w:rPr>
      </w:pPr>
      <w:r w:rsidRPr="0053230E">
        <w:rPr>
          <w:b/>
          <w:i/>
          <w:noProof/>
        </w:rPr>
        <w:drawing>
          <wp:inline distT="0" distB="0" distL="0" distR="0" wp14:anchorId="5E4B2BAE" wp14:editId="63A1980E">
            <wp:extent cx="6238875" cy="3848100"/>
            <wp:effectExtent l="0" t="0" r="9525" b="0"/>
            <wp:docPr id="501710368"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238875" cy="3848100"/>
                    </a:xfrm>
                    <a:prstGeom prst="rect">
                      <a:avLst/>
                    </a:prstGeom>
                    <a:noFill/>
                    <a:ln>
                      <a:noFill/>
                    </a:ln>
                  </pic:spPr>
                </pic:pic>
              </a:graphicData>
            </a:graphic>
          </wp:inline>
        </w:drawing>
      </w:r>
    </w:p>
    <w:p w14:paraId="4717274A" w14:textId="77777777" w:rsidR="004A19A9" w:rsidRDefault="004A19A9" w:rsidP="004A19A9">
      <w:pPr>
        <w:contextualSpacing/>
        <w:rPr>
          <w:i/>
          <w:sz w:val="20"/>
          <w:szCs w:val="20"/>
        </w:rPr>
      </w:pPr>
      <w:r>
        <w:rPr>
          <w:i/>
          <w:sz w:val="20"/>
          <w:szCs w:val="20"/>
        </w:rPr>
        <w:t>Pramen: ČHMÚ</w:t>
      </w:r>
    </w:p>
    <w:p w14:paraId="1BE471D6" w14:textId="77777777" w:rsidR="00FC5EEE" w:rsidRDefault="00FC5EEE" w:rsidP="004A19A9">
      <w:pPr>
        <w:contextualSpacing/>
        <w:rPr>
          <w:i/>
          <w:sz w:val="20"/>
          <w:szCs w:val="20"/>
        </w:rPr>
      </w:pPr>
    </w:p>
    <w:p w14:paraId="2CD75C25" w14:textId="77777777" w:rsidR="008D7EAC" w:rsidRDefault="008D7EAC" w:rsidP="008D7EAC">
      <w:pPr>
        <w:contextualSpacing/>
        <w:rPr>
          <w:b/>
          <w:i/>
        </w:rPr>
      </w:pPr>
    </w:p>
    <w:p w14:paraId="096F6908" w14:textId="77777777" w:rsidR="00707BEE" w:rsidRDefault="00707BEE" w:rsidP="008D7EAC">
      <w:pPr>
        <w:contextualSpacing/>
        <w:rPr>
          <w:b/>
          <w:i/>
        </w:rPr>
      </w:pPr>
    </w:p>
    <w:p w14:paraId="7D75F55A" w14:textId="77777777" w:rsidR="00707BEE" w:rsidRDefault="00707BEE" w:rsidP="008D7EAC">
      <w:pPr>
        <w:contextualSpacing/>
        <w:rPr>
          <w:b/>
          <w:i/>
        </w:rPr>
      </w:pPr>
    </w:p>
    <w:p w14:paraId="41D1F39D" w14:textId="77777777" w:rsidR="00707BEE" w:rsidRDefault="00707BEE" w:rsidP="008D7EAC">
      <w:pPr>
        <w:contextualSpacing/>
        <w:rPr>
          <w:b/>
          <w:i/>
        </w:rPr>
      </w:pPr>
    </w:p>
    <w:p w14:paraId="52CB1D67" w14:textId="77777777" w:rsidR="0080314F" w:rsidRDefault="0080314F" w:rsidP="008D7EAC">
      <w:pPr>
        <w:contextualSpacing/>
        <w:rPr>
          <w:b/>
          <w:i/>
        </w:rPr>
      </w:pPr>
    </w:p>
    <w:p w14:paraId="229A04E0" w14:textId="77777777" w:rsidR="00F62267" w:rsidRDefault="00F62267" w:rsidP="008D7EAC">
      <w:pPr>
        <w:contextualSpacing/>
        <w:rPr>
          <w:b/>
          <w:i/>
        </w:rPr>
      </w:pPr>
    </w:p>
    <w:p w14:paraId="38EEE716" w14:textId="77777777" w:rsidR="00F62267" w:rsidRDefault="00F62267" w:rsidP="008D7EAC">
      <w:pPr>
        <w:contextualSpacing/>
        <w:rPr>
          <w:b/>
          <w:i/>
        </w:rPr>
      </w:pPr>
    </w:p>
    <w:p w14:paraId="426D0FA3" w14:textId="77777777" w:rsidR="00F62267" w:rsidRDefault="00F62267" w:rsidP="008D7EAC">
      <w:pPr>
        <w:contextualSpacing/>
        <w:rPr>
          <w:b/>
          <w:i/>
        </w:rPr>
      </w:pPr>
    </w:p>
    <w:p w14:paraId="5DA0B3B4" w14:textId="77777777" w:rsidR="00F62267" w:rsidRDefault="00F62267" w:rsidP="008D7EAC">
      <w:pPr>
        <w:contextualSpacing/>
        <w:rPr>
          <w:b/>
          <w:i/>
        </w:rPr>
      </w:pPr>
    </w:p>
    <w:p w14:paraId="18E4BC12" w14:textId="77777777" w:rsidR="00F62267" w:rsidRDefault="00F62267" w:rsidP="008D7EAC">
      <w:pPr>
        <w:contextualSpacing/>
        <w:rPr>
          <w:b/>
          <w:i/>
        </w:rPr>
      </w:pPr>
    </w:p>
    <w:p w14:paraId="68638728" w14:textId="77777777" w:rsidR="00F62267" w:rsidRDefault="00F62267" w:rsidP="008D7EAC">
      <w:pPr>
        <w:contextualSpacing/>
        <w:rPr>
          <w:b/>
          <w:i/>
        </w:rPr>
      </w:pPr>
    </w:p>
    <w:p w14:paraId="690CAB93" w14:textId="77777777" w:rsidR="00F62267" w:rsidRDefault="00F62267" w:rsidP="008D7EAC">
      <w:pPr>
        <w:contextualSpacing/>
        <w:rPr>
          <w:b/>
          <w:i/>
        </w:rPr>
      </w:pPr>
    </w:p>
    <w:p w14:paraId="127AEC9B" w14:textId="77777777" w:rsidR="00F62267" w:rsidRDefault="00F62267" w:rsidP="008D7EAC">
      <w:pPr>
        <w:contextualSpacing/>
        <w:rPr>
          <w:b/>
          <w:i/>
        </w:rPr>
      </w:pPr>
    </w:p>
    <w:p w14:paraId="25C5F76E" w14:textId="77777777" w:rsidR="00F62267" w:rsidRDefault="00F62267" w:rsidP="008D7EAC">
      <w:pPr>
        <w:contextualSpacing/>
        <w:rPr>
          <w:b/>
          <w:i/>
        </w:rPr>
      </w:pPr>
    </w:p>
    <w:p w14:paraId="6760E3F9" w14:textId="77777777" w:rsidR="00F62267" w:rsidRDefault="00F62267" w:rsidP="008D7EAC">
      <w:pPr>
        <w:contextualSpacing/>
        <w:rPr>
          <w:b/>
          <w:i/>
        </w:rPr>
      </w:pPr>
    </w:p>
    <w:p w14:paraId="7F16E831" w14:textId="77777777" w:rsidR="00F62267" w:rsidRDefault="00F62267" w:rsidP="008D7EAC">
      <w:pPr>
        <w:contextualSpacing/>
        <w:rPr>
          <w:b/>
          <w:i/>
        </w:rPr>
      </w:pPr>
    </w:p>
    <w:p w14:paraId="3E8631FA" w14:textId="77777777" w:rsidR="00F62267" w:rsidRDefault="00F62267" w:rsidP="008D7EAC">
      <w:pPr>
        <w:contextualSpacing/>
        <w:rPr>
          <w:b/>
          <w:i/>
        </w:rPr>
      </w:pPr>
    </w:p>
    <w:p w14:paraId="2AD9E4F5" w14:textId="77777777" w:rsidR="00F62267" w:rsidRDefault="00F62267" w:rsidP="008D7EAC">
      <w:pPr>
        <w:contextualSpacing/>
        <w:rPr>
          <w:b/>
          <w:i/>
        </w:rPr>
      </w:pPr>
    </w:p>
    <w:p w14:paraId="798077E9" w14:textId="77777777" w:rsidR="00BA4688" w:rsidRDefault="00BA4688" w:rsidP="008D7EAC">
      <w:pPr>
        <w:contextualSpacing/>
        <w:rPr>
          <w:b/>
          <w:i/>
        </w:rPr>
      </w:pPr>
    </w:p>
    <w:p w14:paraId="20573894" w14:textId="77777777" w:rsidR="00BA4688" w:rsidRDefault="00BA4688" w:rsidP="008D7EAC">
      <w:pPr>
        <w:contextualSpacing/>
        <w:rPr>
          <w:b/>
          <w:i/>
        </w:rPr>
      </w:pPr>
    </w:p>
    <w:p w14:paraId="56C87E5E" w14:textId="50852E8A" w:rsidR="008D7EAC" w:rsidRPr="0053230E" w:rsidRDefault="008D7EAC" w:rsidP="008D7EAC">
      <w:pPr>
        <w:contextualSpacing/>
        <w:rPr>
          <w:b/>
          <w:i/>
        </w:rPr>
      </w:pPr>
      <w:r w:rsidRPr="0053230E">
        <w:rPr>
          <w:b/>
          <w:i/>
        </w:rPr>
        <w:lastRenderedPageBreak/>
        <w:t>Graf</w:t>
      </w:r>
      <w:r w:rsidR="00707BEE">
        <w:rPr>
          <w:b/>
          <w:i/>
        </w:rPr>
        <w:t xml:space="preserve"> 3.1.5</w:t>
      </w:r>
    </w:p>
    <w:p w14:paraId="64A4B8FC" w14:textId="7133C7BC" w:rsidR="008D7EAC" w:rsidRDefault="008D7EAC" w:rsidP="008D7EAC">
      <w:pPr>
        <w:contextualSpacing/>
        <w:rPr>
          <w:b/>
          <w:i/>
        </w:rPr>
      </w:pPr>
      <w:r>
        <w:rPr>
          <w:b/>
          <w:i/>
        </w:rPr>
        <w:t>Průměrné koncentrace prioritních organických polutantů v plaveninách na sledovaných lokalitách</w:t>
      </w:r>
      <w:r w:rsidR="003B5C61">
        <w:rPr>
          <w:b/>
          <w:i/>
        </w:rPr>
        <w:t xml:space="preserve"> v roce 2025</w:t>
      </w:r>
    </w:p>
    <w:p w14:paraId="1E597769" w14:textId="77777777" w:rsidR="008D7EAC" w:rsidRDefault="008D7EAC" w:rsidP="008D7EAC">
      <w:pPr>
        <w:rPr>
          <w:b/>
          <w:bCs/>
        </w:rPr>
      </w:pPr>
    </w:p>
    <w:p w14:paraId="6946C525" w14:textId="77777777" w:rsidR="008D7EAC" w:rsidRDefault="008D7EAC" w:rsidP="008D7EAC">
      <w:pPr>
        <w:rPr>
          <w:b/>
          <w:bCs/>
        </w:rPr>
      </w:pPr>
      <w:r w:rsidRPr="0053230E">
        <w:rPr>
          <w:b/>
          <w:bCs/>
          <w:noProof/>
        </w:rPr>
        <w:drawing>
          <wp:inline distT="0" distB="0" distL="0" distR="0" wp14:anchorId="0F475403" wp14:editId="37707F9F">
            <wp:extent cx="6105525" cy="3590925"/>
            <wp:effectExtent l="0" t="0" r="9525" b="9525"/>
            <wp:docPr id="95683898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17228" cy="3597808"/>
                    </a:xfrm>
                    <a:prstGeom prst="rect">
                      <a:avLst/>
                    </a:prstGeom>
                    <a:noFill/>
                    <a:ln>
                      <a:noFill/>
                    </a:ln>
                  </pic:spPr>
                </pic:pic>
              </a:graphicData>
            </a:graphic>
          </wp:inline>
        </w:drawing>
      </w:r>
    </w:p>
    <w:p w14:paraId="5B05F9A7" w14:textId="77777777" w:rsidR="008D7EAC" w:rsidRDefault="008D7EAC" w:rsidP="008D7EAC">
      <w:pPr>
        <w:contextualSpacing/>
        <w:rPr>
          <w:i/>
          <w:sz w:val="20"/>
          <w:szCs w:val="20"/>
        </w:rPr>
      </w:pPr>
      <w:r>
        <w:rPr>
          <w:i/>
          <w:sz w:val="20"/>
          <w:szCs w:val="20"/>
        </w:rPr>
        <w:t>Pramen: ČHMÚ</w:t>
      </w:r>
    </w:p>
    <w:p w14:paraId="7E014D43" w14:textId="77777777" w:rsidR="00FC5EEE" w:rsidRPr="0053230E" w:rsidRDefault="00FC5EEE" w:rsidP="004A19A9">
      <w:pPr>
        <w:contextualSpacing/>
        <w:rPr>
          <w:i/>
          <w:sz w:val="20"/>
          <w:szCs w:val="20"/>
        </w:rPr>
      </w:pPr>
    </w:p>
    <w:p w14:paraId="39242B47" w14:textId="01BB9C31" w:rsidR="00E9293E" w:rsidRPr="00D9273B" w:rsidRDefault="00E9293E" w:rsidP="00E9293E">
      <w:pPr>
        <w:contextualSpacing/>
        <w:rPr>
          <w:b/>
          <w:i/>
        </w:rPr>
      </w:pPr>
      <w:r w:rsidRPr="00D9273B">
        <w:rPr>
          <w:b/>
          <w:i/>
        </w:rPr>
        <w:t>Obrázek</w:t>
      </w:r>
      <w:r w:rsidR="00707BEE">
        <w:rPr>
          <w:b/>
          <w:i/>
        </w:rPr>
        <w:t xml:space="preserve"> 3.1.4</w:t>
      </w:r>
    </w:p>
    <w:p w14:paraId="3B9D1571" w14:textId="66048E95" w:rsidR="00E9293E" w:rsidRPr="00D9273B" w:rsidRDefault="00594FBC" w:rsidP="00E9293E">
      <w:pPr>
        <w:contextualSpacing/>
        <w:rPr>
          <w:b/>
          <w:i/>
        </w:rPr>
      </w:pPr>
      <w:r>
        <w:rPr>
          <w:b/>
          <w:i/>
        </w:rPr>
        <w:t>H</w:t>
      </w:r>
      <w:r w:rsidR="00E9293E" w:rsidRPr="00D9273B">
        <w:rPr>
          <w:b/>
          <w:i/>
        </w:rPr>
        <w:t>odnocení trendů prioritních polutantů v</w:t>
      </w:r>
      <w:r>
        <w:rPr>
          <w:b/>
          <w:i/>
        </w:rPr>
        <w:t> </w:t>
      </w:r>
      <w:r w:rsidR="00E9293E" w:rsidRPr="00D9273B">
        <w:rPr>
          <w:b/>
          <w:i/>
        </w:rPr>
        <w:t>sedimentech</w:t>
      </w:r>
      <w:r>
        <w:rPr>
          <w:b/>
          <w:i/>
        </w:rPr>
        <w:t xml:space="preserve"> v roce 2025</w:t>
      </w:r>
    </w:p>
    <w:p w14:paraId="144C50F1" w14:textId="77777777" w:rsidR="00E9293E" w:rsidRDefault="00E9293E" w:rsidP="00E9293E">
      <w:pPr>
        <w:contextualSpacing/>
        <w:rPr>
          <w:i/>
          <w:sz w:val="20"/>
          <w:szCs w:val="20"/>
        </w:rPr>
      </w:pPr>
      <w:r>
        <w:rPr>
          <w:rFonts w:cstheme="minorHAnsi"/>
          <w:noProof/>
          <w:lang w:eastAsia="cs-CZ"/>
        </w:rPr>
        <w:drawing>
          <wp:inline distT="0" distB="0" distL="0" distR="0" wp14:anchorId="3385474D" wp14:editId="126722E0">
            <wp:extent cx="4057650" cy="2797460"/>
            <wp:effectExtent l="0" t="0" r="0" b="3175"/>
            <wp:docPr id="2061862551" name="Obrázek 2061862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endy_2025.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063434" cy="2801447"/>
                    </a:xfrm>
                    <a:prstGeom prst="rect">
                      <a:avLst/>
                    </a:prstGeom>
                  </pic:spPr>
                </pic:pic>
              </a:graphicData>
            </a:graphic>
          </wp:inline>
        </w:drawing>
      </w:r>
    </w:p>
    <w:p w14:paraId="4EC9EC91" w14:textId="77777777" w:rsidR="00E9293E" w:rsidRDefault="00E9293E" w:rsidP="00E9293E">
      <w:pPr>
        <w:contextualSpacing/>
        <w:rPr>
          <w:i/>
          <w:sz w:val="20"/>
          <w:szCs w:val="20"/>
        </w:rPr>
      </w:pPr>
      <w:r>
        <w:rPr>
          <w:i/>
          <w:sz w:val="20"/>
          <w:szCs w:val="20"/>
        </w:rPr>
        <w:t>Pramen: ČHMÚ</w:t>
      </w:r>
    </w:p>
    <w:p w14:paraId="2C4A40C9" w14:textId="77777777" w:rsidR="0084111E" w:rsidRPr="00104F7D" w:rsidRDefault="0084111E" w:rsidP="007C4955">
      <w:pPr>
        <w:contextualSpacing/>
        <w:rPr>
          <w:b/>
          <w:i/>
          <w:highlight w:val="yellow"/>
        </w:rPr>
      </w:pPr>
    </w:p>
    <w:p w14:paraId="2CFF5608" w14:textId="77777777" w:rsidR="00707BEE" w:rsidRDefault="00707BEE" w:rsidP="007C4955">
      <w:pPr>
        <w:contextualSpacing/>
        <w:rPr>
          <w:b/>
          <w:i/>
        </w:rPr>
      </w:pPr>
    </w:p>
    <w:p w14:paraId="01754792" w14:textId="77777777" w:rsidR="00707BEE" w:rsidRDefault="00707BEE" w:rsidP="007C4955">
      <w:pPr>
        <w:contextualSpacing/>
        <w:rPr>
          <w:b/>
          <w:i/>
        </w:rPr>
      </w:pPr>
    </w:p>
    <w:p w14:paraId="49DDB702" w14:textId="77777777" w:rsidR="00707BEE" w:rsidRDefault="00707BEE" w:rsidP="007C4955">
      <w:pPr>
        <w:contextualSpacing/>
        <w:rPr>
          <w:b/>
          <w:i/>
        </w:rPr>
      </w:pPr>
    </w:p>
    <w:p w14:paraId="1BE68C01" w14:textId="77777777" w:rsidR="00707BEE" w:rsidRDefault="00707BEE" w:rsidP="007C4955">
      <w:pPr>
        <w:contextualSpacing/>
        <w:rPr>
          <w:b/>
          <w:i/>
        </w:rPr>
      </w:pPr>
    </w:p>
    <w:p w14:paraId="68344D5D" w14:textId="77777777" w:rsidR="00707BEE" w:rsidRDefault="00707BEE" w:rsidP="007C4955">
      <w:pPr>
        <w:contextualSpacing/>
        <w:rPr>
          <w:b/>
          <w:i/>
        </w:rPr>
      </w:pPr>
    </w:p>
    <w:p w14:paraId="4F6E3C7C" w14:textId="77777777" w:rsidR="00707BEE" w:rsidRDefault="00707BEE" w:rsidP="007C4955">
      <w:pPr>
        <w:contextualSpacing/>
        <w:rPr>
          <w:b/>
          <w:i/>
        </w:rPr>
      </w:pPr>
    </w:p>
    <w:p w14:paraId="69F97391" w14:textId="77777777" w:rsidR="008C0D98" w:rsidRDefault="008C0D98" w:rsidP="007C4955">
      <w:pPr>
        <w:contextualSpacing/>
        <w:rPr>
          <w:b/>
          <w:i/>
        </w:rPr>
      </w:pPr>
    </w:p>
    <w:p w14:paraId="1E8EF4F8" w14:textId="77777777" w:rsidR="00BA4688" w:rsidRDefault="00BA4688" w:rsidP="007C4955">
      <w:pPr>
        <w:contextualSpacing/>
        <w:rPr>
          <w:b/>
          <w:i/>
        </w:rPr>
      </w:pPr>
    </w:p>
    <w:p w14:paraId="21008A30" w14:textId="7FE56635" w:rsidR="005B098D" w:rsidRPr="00F032F8" w:rsidRDefault="008409C0" w:rsidP="007C4955">
      <w:pPr>
        <w:contextualSpacing/>
        <w:rPr>
          <w:rFonts w:cs="Arial"/>
          <w:i/>
          <w:sz w:val="20"/>
          <w:szCs w:val="20"/>
        </w:rPr>
      </w:pPr>
      <w:r w:rsidRPr="00F032F8">
        <w:rPr>
          <w:b/>
          <w:i/>
        </w:rPr>
        <w:t>Graf 3.1.</w:t>
      </w:r>
      <w:r w:rsidR="00707BEE">
        <w:rPr>
          <w:b/>
          <w:i/>
        </w:rPr>
        <w:t>6</w:t>
      </w:r>
    </w:p>
    <w:p w14:paraId="2A7ED175" w14:textId="108297C7" w:rsidR="008409C0" w:rsidRPr="00F032F8" w:rsidRDefault="00703E69" w:rsidP="007C4955">
      <w:pPr>
        <w:contextualSpacing/>
        <w:rPr>
          <w:b/>
          <w:i/>
        </w:rPr>
      </w:pPr>
      <w:r w:rsidRPr="00F032F8">
        <w:rPr>
          <w:b/>
          <w:i/>
        </w:rPr>
        <w:t xml:space="preserve">Průměrné koncentrace vybraných těžkých kovů v sedimentech na sledovaných lokalitách </w:t>
      </w:r>
      <w:r w:rsidR="00EF5ADB">
        <w:rPr>
          <w:b/>
          <w:i/>
        </w:rPr>
        <w:t>v roce 2025</w:t>
      </w:r>
    </w:p>
    <w:p w14:paraId="2BDFBE90" w14:textId="77777777" w:rsidR="00F032F8" w:rsidRDefault="00F032F8" w:rsidP="007C4955">
      <w:pPr>
        <w:contextualSpacing/>
        <w:rPr>
          <w:b/>
          <w:i/>
          <w:highlight w:val="yellow"/>
        </w:rPr>
      </w:pPr>
    </w:p>
    <w:p w14:paraId="5796CD90" w14:textId="63626DBE" w:rsidR="00F032F8" w:rsidRPr="00104F7D" w:rsidRDefault="00F032F8" w:rsidP="007C4955">
      <w:pPr>
        <w:contextualSpacing/>
        <w:rPr>
          <w:color w:val="FF0000"/>
          <w:sz w:val="20"/>
          <w:szCs w:val="20"/>
          <w:highlight w:val="yellow"/>
        </w:rPr>
      </w:pPr>
      <w:r>
        <w:rPr>
          <w:noProof/>
        </w:rPr>
        <w:drawing>
          <wp:inline distT="0" distB="0" distL="0" distR="0" wp14:anchorId="521900D7" wp14:editId="0994DB7B">
            <wp:extent cx="4876800" cy="3569516"/>
            <wp:effectExtent l="0" t="0" r="0" b="0"/>
            <wp:docPr id="1322428371"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131261" name="Obrázek 10"/>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889999" cy="3579176"/>
                    </a:xfrm>
                    <a:prstGeom prst="rect">
                      <a:avLst/>
                    </a:prstGeom>
                    <a:noFill/>
                    <a:ln>
                      <a:noFill/>
                    </a:ln>
                  </pic:spPr>
                </pic:pic>
              </a:graphicData>
            </a:graphic>
          </wp:inline>
        </w:drawing>
      </w:r>
    </w:p>
    <w:p w14:paraId="5E364141" w14:textId="0B0D9E65" w:rsidR="00D610DD" w:rsidRPr="00F032F8" w:rsidRDefault="00B95AD3" w:rsidP="007C4955">
      <w:pPr>
        <w:contextualSpacing/>
        <w:rPr>
          <w:i/>
          <w:sz w:val="20"/>
          <w:szCs w:val="20"/>
        </w:rPr>
      </w:pPr>
      <w:r w:rsidRPr="00F032F8">
        <w:rPr>
          <w:i/>
          <w:sz w:val="20"/>
          <w:szCs w:val="20"/>
        </w:rPr>
        <w:t>Pramen</w:t>
      </w:r>
      <w:r w:rsidR="00F95A88" w:rsidRPr="00F032F8">
        <w:rPr>
          <w:i/>
          <w:sz w:val="20"/>
          <w:szCs w:val="20"/>
        </w:rPr>
        <w:t>: ČHMÚ</w:t>
      </w:r>
    </w:p>
    <w:p w14:paraId="62724CF4" w14:textId="3C206B3E" w:rsidR="00835B06" w:rsidRPr="00104F7D" w:rsidRDefault="00835B06" w:rsidP="007C4955">
      <w:pPr>
        <w:contextualSpacing/>
        <w:rPr>
          <w:rFonts w:cs="Arial"/>
          <w:b/>
          <w:i/>
          <w:color w:val="FF0000"/>
          <w:highlight w:val="yellow"/>
        </w:rPr>
      </w:pPr>
    </w:p>
    <w:p w14:paraId="33144FF0" w14:textId="02AD2A9F" w:rsidR="00703E69" w:rsidRPr="00074538" w:rsidRDefault="00703E69" w:rsidP="00703E69">
      <w:pPr>
        <w:contextualSpacing/>
        <w:rPr>
          <w:b/>
          <w:i/>
        </w:rPr>
      </w:pPr>
      <w:r w:rsidRPr="00074538">
        <w:rPr>
          <w:b/>
          <w:i/>
        </w:rPr>
        <w:t>Graf 3.1.</w:t>
      </w:r>
      <w:r w:rsidR="00707BEE">
        <w:rPr>
          <w:b/>
          <w:i/>
        </w:rPr>
        <w:t>7</w:t>
      </w:r>
    </w:p>
    <w:p w14:paraId="09AE2AED" w14:textId="77316523" w:rsidR="0080589F" w:rsidRPr="00074538" w:rsidRDefault="00703E69" w:rsidP="00703E69">
      <w:pPr>
        <w:contextualSpacing/>
        <w:rPr>
          <w:b/>
          <w:i/>
        </w:rPr>
      </w:pPr>
      <w:r w:rsidRPr="00074538">
        <w:rPr>
          <w:b/>
          <w:i/>
        </w:rPr>
        <w:t>Průměrné koncentrace prioritních organických polutantů v sedimentech na sledovaných lokalitách</w:t>
      </w:r>
      <w:r w:rsidR="00EF5ADB">
        <w:rPr>
          <w:b/>
          <w:i/>
        </w:rPr>
        <w:t xml:space="preserve"> v roce 2025</w:t>
      </w:r>
    </w:p>
    <w:p w14:paraId="42BEFBCB" w14:textId="0BA32060" w:rsidR="00703E69" w:rsidRPr="00104F7D" w:rsidRDefault="00584E28" w:rsidP="007C4955">
      <w:pPr>
        <w:contextualSpacing/>
        <w:rPr>
          <w:rFonts w:cs="Arial"/>
          <w:b/>
          <w:i/>
          <w:color w:val="FF0000"/>
          <w:highlight w:val="yellow"/>
        </w:rPr>
      </w:pPr>
      <w:r w:rsidRPr="00715186">
        <w:rPr>
          <w:i/>
          <w:noProof/>
          <w:sz w:val="20"/>
          <w:szCs w:val="20"/>
        </w:rPr>
        <w:drawing>
          <wp:inline distT="0" distB="0" distL="0" distR="0" wp14:anchorId="0C1DBA40" wp14:editId="289F31AD">
            <wp:extent cx="5153470" cy="3362325"/>
            <wp:effectExtent l="0" t="0" r="9525" b="0"/>
            <wp:docPr id="147877534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163947" cy="3369161"/>
                    </a:xfrm>
                    <a:prstGeom prst="rect">
                      <a:avLst/>
                    </a:prstGeom>
                    <a:noFill/>
                    <a:ln>
                      <a:noFill/>
                    </a:ln>
                  </pic:spPr>
                </pic:pic>
              </a:graphicData>
            </a:graphic>
          </wp:inline>
        </w:drawing>
      </w:r>
    </w:p>
    <w:p w14:paraId="14E512F0" w14:textId="2D88E5B7" w:rsidR="00703E69" w:rsidRPr="00584E28" w:rsidRDefault="00703E69" w:rsidP="007C4955">
      <w:pPr>
        <w:contextualSpacing/>
        <w:rPr>
          <w:i/>
          <w:sz w:val="20"/>
          <w:szCs w:val="20"/>
        </w:rPr>
      </w:pPr>
      <w:r w:rsidRPr="00584E28">
        <w:rPr>
          <w:i/>
          <w:sz w:val="20"/>
          <w:szCs w:val="20"/>
        </w:rPr>
        <w:t>Pramen: ČHMÚ</w:t>
      </w:r>
    </w:p>
    <w:p w14:paraId="0F197718" w14:textId="77777777" w:rsidR="007F5579" w:rsidRDefault="007F5579" w:rsidP="001F5A7B">
      <w:pPr>
        <w:rPr>
          <w:rFonts w:cs="Arial"/>
          <w:i/>
          <w:sz w:val="20"/>
          <w:szCs w:val="20"/>
          <w:highlight w:val="yellow"/>
        </w:rPr>
      </w:pPr>
    </w:p>
    <w:p w14:paraId="35D5DE9B" w14:textId="77777777" w:rsidR="00BC3F31" w:rsidRDefault="00BC3F31" w:rsidP="007F5579">
      <w:pPr>
        <w:contextualSpacing/>
        <w:rPr>
          <w:b/>
          <w:i/>
        </w:rPr>
      </w:pPr>
    </w:p>
    <w:p w14:paraId="1BFA4C5F" w14:textId="77777777" w:rsidR="00BC3F31" w:rsidRDefault="00BC3F31" w:rsidP="007F5579">
      <w:pPr>
        <w:contextualSpacing/>
        <w:rPr>
          <w:b/>
          <w:i/>
        </w:rPr>
      </w:pPr>
    </w:p>
    <w:p w14:paraId="21F3CF9E" w14:textId="77777777" w:rsidR="00BC3F31" w:rsidRDefault="00BC3F31" w:rsidP="007F5579">
      <w:pPr>
        <w:contextualSpacing/>
        <w:rPr>
          <w:b/>
          <w:i/>
        </w:rPr>
      </w:pPr>
    </w:p>
    <w:p w14:paraId="29BC2D97" w14:textId="2975A97C" w:rsidR="00707BEE" w:rsidRDefault="00707BEE" w:rsidP="007F5579">
      <w:pPr>
        <w:contextualSpacing/>
        <w:rPr>
          <w:b/>
          <w:i/>
        </w:rPr>
      </w:pPr>
      <w:r>
        <w:rPr>
          <w:b/>
          <w:i/>
        </w:rPr>
        <w:t>Graf 3.1.8</w:t>
      </w:r>
    </w:p>
    <w:p w14:paraId="30565F68" w14:textId="53E02956" w:rsidR="007F5579" w:rsidRDefault="007F5579" w:rsidP="007F5579">
      <w:pPr>
        <w:contextualSpacing/>
        <w:rPr>
          <w:b/>
          <w:i/>
        </w:rPr>
      </w:pPr>
      <w:r>
        <w:rPr>
          <w:b/>
          <w:i/>
        </w:rPr>
        <w:t>Průměrné koncentrace vybraných těžkých kovů v sedimentech na sledovaných lokalitách</w:t>
      </w:r>
      <w:r w:rsidR="00EF5ADB">
        <w:rPr>
          <w:b/>
          <w:i/>
        </w:rPr>
        <w:t xml:space="preserve"> v roce 2025</w:t>
      </w:r>
    </w:p>
    <w:p w14:paraId="7C96EB93" w14:textId="77777777" w:rsidR="007F5579" w:rsidRPr="00715186" w:rsidRDefault="007F5579" w:rsidP="007F5579">
      <w:pPr>
        <w:contextualSpacing/>
        <w:rPr>
          <w:b/>
          <w:bCs/>
        </w:rPr>
      </w:pPr>
      <w:r w:rsidRPr="00715186">
        <w:rPr>
          <w:b/>
          <w:bCs/>
          <w:noProof/>
        </w:rPr>
        <w:drawing>
          <wp:inline distT="0" distB="0" distL="0" distR="0" wp14:anchorId="3B3E8CFE" wp14:editId="22EEE3F4">
            <wp:extent cx="4324350" cy="3501141"/>
            <wp:effectExtent l="0" t="0" r="0" b="4445"/>
            <wp:docPr id="1286131261"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331340" cy="3506801"/>
                    </a:xfrm>
                    <a:prstGeom prst="rect">
                      <a:avLst/>
                    </a:prstGeom>
                    <a:noFill/>
                    <a:ln>
                      <a:noFill/>
                    </a:ln>
                  </pic:spPr>
                </pic:pic>
              </a:graphicData>
            </a:graphic>
          </wp:inline>
        </w:drawing>
      </w:r>
    </w:p>
    <w:p w14:paraId="44D85B97" w14:textId="77777777" w:rsidR="007F5579" w:rsidRDefault="007F5579" w:rsidP="007F5579">
      <w:pPr>
        <w:contextualSpacing/>
        <w:rPr>
          <w:i/>
          <w:sz w:val="20"/>
          <w:szCs w:val="20"/>
        </w:rPr>
      </w:pPr>
      <w:r>
        <w:rPr>
          <w:i/>
          <w:sz w:val="20"/>
          <w:szCs w:val="20"/>
        </w:rPr>
        <w:t>Pramen: ČHMÚ</w:t>
      </w:r>
    </w:p>
    <w:p w14:paraId="6C281485" w14:textId="77777777" w:rsidR="00703E69" w:rsidRPr="00104F7D" w:rsidRDefault="00703E69" w:rsidP="007C4955">
      <w:pPr>
        <w:contextualSpacing/>
        <w:rPr>
          <w:rFonts w:cs="Arial"/>
          <w:b/>
          <w:i/>
          <w:color w:val="FF0000"/>
          <w:highlight w:val="yellow"/>
        </w:rPr>
      </w:pPr>
    </w:p>
    <w:p w14:paraId="55FF0D86" w14:textId="77777777" w:rsidR="00D4293D" w:rsidRPr="00A426C1" w:rsidRDefault="00D4293D" w:rsidP="007C4955">
      <w:pPr>
        <w:pStyle w:val="mezikapitolamivtmi"/>
        <w:spacing w:before="0" w:after="0"/>
        <w:contextualSpacing/>
        <w:rPr>
          <w:rFonts w:ascii="Arial" w:hAnsi="Arial" w:cs="Arial"/>
          <w:iCs/>
          <w:sz w:val="22"/>
          <w:szCs w:val="22"/>
        </w:rPr>
      </w:pPr>
      <w:r w:rsidRPr="00A426C1">
        <w:rPr>
          <w:rFonts w:ascii="Arial" w:hAnsi="Arial" w:cs="Arial"/>
          <w:iCs/>
          <w:sz w:val="22"/>
          <w:szCs w:val="22"/>
        </w:rPr>
        <w:t>Kvalita surové vody</w:t>
      </w:r>
    </w:p>
    <w:p w14:paraId="34B6A233" w14:textId="77777777" w:rsidR="006D3D87" w:rsidRPr="00A426C1" w:rsidRDefault="006D3D87" w:rsidP="007C4955">
      <w:pPr>
        <w:pStyle w:val="mezikapitolamivtmi"/>
        <w:spacing w:before="0" w:after="0"/>
        <w:contextualSpacing/>
        <w:rPr>
          <w:rFonts w:ascii="Arial" w:hAnsi="Arial" w:cs="Arial"/>
          <w:i w:val="0"/>
          <w:color w:val="FF0000"/>
          <w:sz w:val="22"/>
          <w:szCs w:val="22"/>
        </w:rPr>
      </w:pPr>
    </w:p>
    <w:p w14:paraId="3E8B364F" w14:textId="63A1CAD1" w:rsidR="00A426C1" w:rsidRPr="00A426C1" w:rsidRDefault="00A426C1" w:rsidP="00A426C1">
      <w:pPr>
        <w:rPr>
          <w:rFonts w:cs="Arial"/>
        </w:rPr>
      </w:pPr>
      <w:r w:rsidRPr="00A426C1">
        <w:rPr>
          <w:rFonts w:cs="Arial"/>
        </w:rPr>
        <w:t>Pro hodnocení kvality surové vody za rok 2025 byla využita data z</w:t>
      </w:r>
      <w:r>
        <w:rPr>
          <w:rFonts w:cs="Arial"/>
        </w:rPr>
        <w:t> </w:t>
      </w:r>
      <w:r w:rsidRPr="00A426C1">
        <w:rPr>
          <w:rFonts w:cs="Arial"/>
        </w:rPr>
        <w:t>3</w:t>
      </w:r>
      <w:r>
        <w:rPr>
          <w:rFonts w:cs="Arial"/>
        </w:rPr>
        <w:t xml:space="preserve"> </w:t>
      </w:r>
      <w:r w:rsidRPr="00A426C1">
        <w:rPr>
          <w:rFonts w:cs="Arial"/>
        </w:rPr>
        <w:t>067 míst odběru surových vod (z toho 131 míst o</w:t>
      </w:r>
      <w:r>
        <w:rPr>
          <w:rFonts w:cs="Arial"/>
        </w:rPr>
        <w:t>d</w:t>
      </w:r>
      <w:r w:rsidRPr="00A426C1">
        <w:rPr>
          <w:rFonts w:cs="Arial"/>
        </w:rPr>
        <w:t>běru povrchové vody a 2</w:t>
      </w:r>
      <w:r>
        <w:rPr>
          <w:rFonts w:cs="Arial"/>
        </w:rPr>
        <w:t xml:space="preserve"> </w:t>
      </w:r>
      <w:r w:rsidRPr="00A426C1">
        <w:rPr>
          <w:rFonts w:cs="Arial"/>
        </w:rPr>
        <w:t>936 míst odběru podzemní vody) od 646 provozovatelů. Byla vyhodnocena upravitelnost surové vody do 4 kategorií upravitelnosti dle vyhlášky č. 428/2001 Sb.</w:t>
      </w:r>
      <w:r w:rsidR="00E80A0A">
        <w:rPr>
          <w:rFonts w:cs="Arial"/>
        </w:rPr>
        <w:t xml:space="preserve">, </w:t>
      </w:r>
      <w:r w:rsidR="00E80A0A" w:rsidRPr="007732FB">
        <w:rPr>
          <w:rFonts w:cs="Arial"/>
        </w:rPr>
        <w:t>kterou se provádí zákon č. 274/2001 Sb., o vodovodech a kanalizacích pro veřejnou potřebu a o změně některých zákonů (zákon o vodovodech a kanalizacích),</w:t>
      </w:r>
      <w:r w:rsidRPr="00A426C1">
        <w:rPr>
          <w:rFonts w:cs="Arial"/>
        </w:rPr>
        <w:t xml:space="preserve"> ve znění pozdějších předpisů viz tabulka s definicemi kategorií upravitelnosti.  </w:t>
      </w:r>
    </w:p>
    <w:p w14:paraId="183EFB8E" w14:textId="77777777" w:rsidR="001F5A7B" w:rsidRPr="00104F7D" w:rsidRDefault="001F5A7B" w:rsidP="006D3D87">
      <w:pPr>
        <w:rPr>
          <w:color w:val="FF0000"/>
          <w:highlight w:val="yellow"/>
        </w:rPr>
      </w:pPr>
    </w:p>
    <w:p w14:paraId="75132ACC" w14:textId="77777777" w:rsidR="006D3D87" w:rsidRPr="00652055" w:rsidRDefault="006D3D87" w:rsidP="006D3D87">
      <w:pPr>
        <w:contextualSpacing/>
        <w:rPr>
          <w:b/>
          <w:i/>
        </w:rPr>
      </w:pPr>
      <w:r w:rsidRPr="00652055">
        <w:rPr>
          <w:b/>
          <w:i/>
        </w:rPr>
        <w:t xml:space="preserve">Tabulka 3.1.1 </w:t>
      </w:r>
    </w:p>
    <w:p w14:paraId="7B5DDA14" w14:textId="77777777" w:rsidR="006D3D87" w:rsidRPr="00652055" w:rsidRDefault="006D3D87" w:rsidP="006D3D87">
      <w:pPr>
        <w:contextualSpacing/>
        <w:rPr>
          <w:b/>
          <w:i/>
        </w:rPr>
      </w:pPr>
      <w:r w:rsidRPr="00652055">
        <w:rPr>
          <w:b/>
          <w:i/>
        </w:rPr>
        <w:t xml:space="preserve">Kategorie upravitelnosti a odpovídající typy úprav </w:t>
      </w:r>
    </w:p>
    <w:tbl>
      <w:tblPr>
        <w:tblW w:w="907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82"/>
        <w:gridCol w:w="6790"/>
      </w:tblGrid>
      <w:tr w:rsidR="00163712" w:rsidRPr="00652055" w14:paraId="7405021E" w14:textId="77777777" w:rsidTr="00163712">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3C63EF1" w14:textId="77777777" w:rsidR="00163712" w:rsidRPr="00652055" w:rsidRDefault="00163712" w:rsidP="005679B8">
            <w:pPr>
              <w:rPr>
                <w:rFonts w:cs="Calibri"/>
                <w:bCs/>
              </w:rPr>
            </w:pPr>
            <w:r w:rsidRPr="00652055">
              <w:rPr>
                <w:rFonts w:cs="Calibri"/>
                <w:bCs/>
              </w:rPr>
              <w:t>Kategorie</w:t>
            </w:r>
          </w:p>
        </w:tc>
        <w:tc>
          <w:tcPr>
            <w:tcW w:w="6745" w:type="dxa"/>
            <w:tcBorders>
              <w:top w:val="single" w:sz="4" w:space="0" w:color="auto"/>
              <w:left w:val="single" w:sz="4" w:space="0" w:color="auto"/>
              <w:bottom w:val="single" w:sz="4" w:space="0" w:color="auto"/>
              <w:right w:val="single" w:sz="4" w:space="0" w:color="auto"/>
            </w:tcBorders>
            <w:vAlign w:val="center"/>
            <w:hideMark/>
          </w:tcPr>
          <w:p w14:paraId="076976F3" w14:textId="77777777" w:rsidR="00163712" w:rsidRPr="00652055" w:rsidRDefault="00163712" w:rsidP="005679B8">
            <w:pPr>
              <w:jc w:val="center"/>
              <w:rPr>
                <w:rFonts w:cs="Calibri"/>
                <w:bCs/>
              </w:rPr>
            </w:pPr>
            <w:r w:rsidRPr="00652055">
              <w:rPr>
                <w:rFonts w:cs="Calibri"/>
                <w:bCs/>
              </w:rPr>
              <w:t>Typy úprav</w:t>
            </w:r>
          </w:p>
        </w:tc>
      </w:tr>
      <w:tr w:rsidR="00163712" w:rsidRPr="00652055" w14:paraId="23616F8D" w14:textId="77777777" w:rsidTr="00163712">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F2F41CA" w14:textId="77777777" w:rsidR="00163712" w:rsidRPr="00652055" w:rsidRDefault="00163712" w:rsidP="00163712">
            <w:pPr>
              <w:rPr>
                <w:rFonts w:cs="Calibri"/>
                <w:bCs/>
              </w:rPr>
            </w:pPr>
            <w:r w:rsidRPr="00652055">
              <w:rPr>
                <w:rFonts w:cs="Calibri"/>
                <w:bCs/>
              </w:rPr>
              <w:t>A1</w:t>
            </w:r>
          </w:p>
        </w:tc>
        <w:tc>
          <w:tcPr>
            <w:tcW w:w="6745" w:type="dxa"/>
            <w:tcBorders>
              <w:top w:val="single" w:sz="4" w:space="0" w:color="auto"/>
              <w:left w:val="single" w:sz="4" w:space="0" w:color="auto"/>
              <w:bottom w:val="single" w:sz="4" w:space="0" w:color="auto"/>
              <w:right w:val="single" w:sz="4" w:space="0" w:color="auto"/>
            </w:tcBorders>
            <w:vAlign w:val="center"/>
            <w:hideMark/>
          </w:tcPr>
          <w:p w14:paraId="52FBDD31" w14:textId="74D95D27" w:rsidR="00163712" w:rsidRPr="00652055" w:rsidRDefault="00163712" w:rsidP="009C2873">
            <w:pPr>
              <w:rPr>
                <w:rFonts w:cs="Calibri"/>
                <w:bCs/>
              </w:rPr>
            </w:pPr>
            <w:r w:rsidRPr="00652055">
              <w:rPr>
                <w:rFonts w:cs="Calibri"/>
                <w:bCs/>
              </w:rPr>
              <w:t xml:space="preserve">Úprava surové vody s případnou dezinfekcí pro odstranění sloučenin a prvků, které mohou mít vliv na její další </w:t>
            </w:r>
            <w:r w:rsidR="009C2873" w:rsidRPr="00652055">
              <w:rPr>
                <w:rFonts w:cs="Calibri"/>
                <w:bCs/>
              </w:rPr>
              <w:t>použití,</w:t>
            </w:r>
            <w:r w:rsidRPr="00652055">
              <w:rPr>
                <w:rFonts w:cs="Calibri"/>
                <w:bCs/>
              </w:rPr>
              <w:t xml:space="preserve"> a to zvláště snížení agresivity vůči materiálům rozvodného systému včetně domovních instalací (chemické nebo mechanické odkyselení), dále odstranění pachu a plynných složek provzdušňováním. Prostá filtrace pro odstranění nerozpuštěných látek a zvýšení jakosti.</w:t>
            </w:r>
          </w:p>
        </w:tc>
      </w:tr>
      <w:tr w:rsidR="00163712" w:rsidRPr="00652055" w14:paraId="0BF262DF" w14:textId="77777777" w:rsidTr="00163712">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C014A63" w14:textId="77777777" w:rsidR="00163712" w:rsidRPr="00652055" w:rsidRDefault="00163712" w:rsidP="00163712">
            <w:pPr>
              <w:rPr>
                <w:rFonts w:cs="Calibri"/>
                <w:bCs/>
              </w:rPr>
            </w:pPr>
            <w:r w:rsidRPr="00652055">
              <w:rPr>
                <w:rFonts w:cs="Calibri"/>
                <w:bCs/>
              </w:rPr>
              <w:t>A2</w:t>
            </w:r>
          </w:p>
        </w:tc>
        <w:tc>
          <w:tcPr>
            <w:tcW w:w="6745" w:type="dxa"/>
            <w:tcBorders>
              <w:top w:val="single" w:sz="4" w:space="0" w:color="auto"/>
              <w:left w:val="single" w:sz="4" w:space="0" w:color="auto"/>
              <w:bottom w:val="single" w:sz="4" w:space="0" w:color="auto"/>
              <w:right w:val="single" w:sz="4" w:space="0" w:color="auto"/>
            </w:tcBorders>
            <w:vAlign w:val="center"/>
            <w:hideMark/>
          </w:tcPr>
          <w:p w14:paraId="088FB3D3" w14:textId="1EAAA067" w:rsidR="00163712" w:rsidRPr="00652055" w:rsidRDefault="00163712" w:rsidP="009C2873">
            <w:pPr>
              <w:rPr>
                <w:rFonts w:cs="Calibri"/>
                <w:bCs/>
              </w:rPr>
            </w:pPr>
            <w:r w:rsidRPr="00652055">
              <w:rPr>
                <w:rFonts w:cs="Calibri"/>
                <w:bCs/>
              </w:rPr>
              <w:t xml:space="preserve">Surová voda vyžaduje jednodušší úpravu, např. koagulační filtraci, jednostupňové odželezňování, odmanganování nebo infiltraci, pomalou biologickou filtraci, úpravu v horninovém </w:t>
            </w:r>
            <w:r w:rsidR="009C2873" w:rsidRPr="00652055">
              <w:rPr>
                <w:rFonts w:cs="Calibri"/>
                <w:bCs/>
              </w:rPr>
              <w:t>prostředí,</w:t>
            </w:r>
            <w:r w:rsidRPr="00652055">
              <w:rPr>
                <w:rFonts w:cs="Calibri"/>
                <w:bCs/>
              </w:rPr>
              <w:t xml:space="preserve"> a to vše s koncovou dezinfekcí. Pro zlepšení vlastností je vhodná stabilizace vody.</w:t>
            </w:r>
          </w:p>
        </w:tc>
      </w:tr>
      <w:tr w:rsidR="00163712" w:rsidRPr="00652055" w14:paraId="167E7BAF" w14:textId="77777777" w:rsidTr="00163712">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CC7C7D8" w14:textId="77777777" w:rsidR="00163712" w:rsidRPr="00652055" w:rsidRDefault="00163712" w:rsidP="00163712">
            <w:pPr>
              <w:rPr>
                <w:rFonts w:cs="Calibri"/>
                <w:bCs/>
              </w:rPr>
            </w:pPr>
            <w:r w:rsidRPr="00652055">
              <w:rPr>
                <w:rFonts w:cs="Calibri"/>
                <w:bCs/>
              </w:rPr>
              <w:t>A3</w:t>
            </w:r>
          </w:p>
        </w:tc>
        <w:tc>
          <w:tcPr>
            <w:tcW w:w="6745" w:type="dxa"/>
            <w:tcBorders>
              <w:top w:val="single" w:sz="4" w:space="0" w:color="auto"/>
              <w:left w:val="single" w:sz="4" w:space="0" w:color="auto"/>
              <w:bottom w:val="single" w:sz="4" w:space="0" w:color="auto"/>
              <w:right w:val="single" w:sz="4" w:space="0" w:color="auto"/>
            </w:tcBorders>
            <w:vAlign w:val="center"/>
            <w:hideMark/>
          </w:tcPr>
          <w:p w14:paraId="474AAA92" w14:textId="77777777" w:rsidR="00163712" w:rsidRPr="00652055" w:rsidRDefault="00163712" w:rsidP="009C2873">
            <w:pPr>
              <w:rPr>
                <w:rFonts w:cs="Calibri"/>
                <w:bCs/>
              </w:rPr>
            </w:pPr>
            <w:r w:rsidRPr="00652055">
              <w:rPr>
                <w:rFonts w:cs="Calibri"/>
                <w:bCs/>
              </w:rPr>
              <w:t xml:space="preserve">Úprava surové vody vyžaduje dvou či vícestupňovou úpravu čiřením, oxidací, odželezňováním a odmanganováním s koncovou dezinfekcí, popř. jejich kombinaci. Dalšími vhodnými procesy jsou například využívání ozónu, aktivního uhlí, pomocných flokulantů, flotace. Ekonomicky náročnější postupy technicky zdůvodněné (například </w:t>
            </w:r>
            <w:r w:rsidRPr="00652055">
              <w:rPr>
                <w:rFonts w:cs="Calibri"/>
                <w:bCs/>
              </w:rPr>
              <w:lastRenderedPageBreak/>
              <w:t>sorpce na speciálních materiálech, iontová výměna, membránové postupy) se použijí mimořádně.</w:t>
            </w:r>
          </w:p>
        </w:tc>
      </w:tr>
      <w:tr w:rsidR="00163712" w:rsidRPr="00652055" w14:paraId="5CE370C0" w14:textId="77777777" w:rsidTr="00163712">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D5B977C" w14:textId="77777777" w:rsidR="00163712" w:rsidRPr="00652055" w:rsidRDefault="00163712" w:rsidP="00163712">
            <w:pPr>
              <w:rPr>
                <w:rFonts w:cs="Calibri"/>
                <w:bCs/>
              </w:rPr>
            </w:pPr>
            <w:r w:rsidRPr="00652055">
              <w:rPr>
                <w:rFonts w:cs="Calibri"/>
                <w:bCs/>
              </w:rPr>
              <w:lastRenderedPageBreak/>
              <w:t>A4</w:t>
            </w:r>
          </w:p>
        </w:tc>
        <w:tc>
          <w:tcPr>
            <w:tcW w:w="6745" w:type="dxa"/>
            <w:tcBorders>
              <w:top w:val="single" w:sz="4" w:space="0" w:color="auto"/>
              <w:left w:val="single" w:sz="4" w:space="0" w:color="auto"/>
              <w:bottom w:val="single" w:sz="4" w:space="0" w:color="auto"/>
              <w:right w:val="single" w:sz="4" w:space="0" w:color="auto"/>
            </w:tcBorders>
            <w:vAlign w:val="center"/>
            <w:hideMark/>
          </w:tcPr>
          <w:p w14:paraId="0DCF1849" w14:textId="77777777" w:rsidR="00163712" w:rsidRPr="00652055" w:rsidRDefault="00163712" w:rsidP="009C2873">
            <w:pPr>
              <w:rPr>
                <w:rFonts w:cs="Calibri"/>
                <w:bCs/>
              </w:rPr>
            </w:pPr>
            <w:r w:rsidRPr="00652055">
              <w:rPr>
                <w:rFonts w:cs="Calibri"/>
                <w:bCs/>
              </w:rPr>
              <w:t>Vodu této jakosti lze výjimečně odebírat pro výrobu pitné vody s udělením výjimky příslušným krajským úřadem. Pro úpravu na vodu pitnou se musí použít technologicky náročné postupy spočívající v kombinaci typů úprav uvedených pro kategorii A3, přičemž je nutné zajistit stabilní kvalitu vyráběné pitné vody. Přednostním řešením v těchto případech je však eliminace příčin znečištění anebo vyhledání nového zdroje vody.</w:t>
            </w:r>
          </w:p>
        </w:tc>
      </w:tr>
    </w:tbl>
    <w:p w14:paraId="7484B136" w14:textId="64A03FE4" w:rsidR="006D3D87" w:rsidRPr="00652055" w:rsidRDefault="006D3D87" w:rsidP="006D3D87">
      <w:pPr>
        <w:contextualSpacing/>
        <w:rPr>
          <w:i/>
          <w:sz w:val="20"/>
          <w:szCs w:val="20"/>
        </w:rPr>
      </w:pPr>
      <w:r w:rsidRPr="00652055">
        <w:rPr>
          <w:i/>
          <w:sz w:val="20"/>
          <w:szCs w:val="20"/>
        </w:rPr>
        <w:t>Pramen: ČHMÚ</w:t>
      </w:r>
      <w:r w:rsidR="009C2873" w:rsidRPr="00652055">
        <w:rPr>
          <w:i/>
          <w:sz w:val="20"/>
          <w:szCs w:val="20"/>
        </w:rPr>
        <w:t>, Vyhláška č. 428/2001 Sb.</w:t>
      </w:r>
    </w:p>
    <w:p w14:paraId="2074C3FF" w14:textId="77777777" w:rsidR="00A97955" w:rsidRPr="00104F7D" w:rsidRDefault="00A97955" w:rsidP="007C4955">
      <w:pPr>
        <w:contextualSpacing/>
        <w:rPr>
          <w:b/>
          <w:i/>
          <w:highlight w:val="yellow"/>
        </w:rPr>
      </w:pPr>
    </w:p>
    <w:p w14:paraId="12A33A7E" w14:textId="06A003CE" w:rsidR="00D4293D" w:rsidRPr="00902FC2" w:rsidRDefault="00D4293D" w:rsidP="007C4955">
      <w:pPr>
        <w:contextualSpacing/>
        <w:rPr>
          <w:b/>
          <w:i/>
        </w:rPr>
      </w:pPr>
      <w:r w:rsidRPr="00902FC2">
        <w:rPr>
          <w:b/>
          <w:i/>
        </w:rPr>
        <w:t>Obrázek 3.1.</w:t>
      </w:r>
      <w:r w:rsidR="00707BEE">
        <w:rPr>
          <w:b/>
          <w:i/>
        </w:rPr>
        <w:t>5</w:t>
      </w:r>
    </w:p>
    <w:p w14:paraId="1B079FAF" w14:textId="6DB92D9F" w:rsidR="00D4293D" w:rsidRPr="00902FC2" w:rsidRDefault="00D4293D" w:rsidP="007C4955">
      <w:pPr>
        <w:contextualSpacing/>
        <w:rPr>
          <w:b/>
          <w:i/>
        </w:rPr>
      </w:pPr>
      <w:r w:rsidRPr="00902FC2">
        <w:rPr>
          <w:b/>
          <w:i/>
        </w:rPr>
        <w:t>Kategorie upravitelnosti surové vody v místech odběru</w:t>
      </w:r>
      <w:r w:rsidR="006D3D87" w:rsidRPr="00902FC2">
        <w:rPr>
          <w:b/>
          <w:i/>
        </w:rPr>
        <w:t xml:space="preserve"> v roce 202</w:t>
      </w:r>
      <w:r w:rsidR="00902FC2">
        <w:rPr>
          <w:b/>
          <w:i/>
        </w:rPr>
        <w:t>5</w:t>
      </w:r>
    </w:p>
    <w:p w14:paraId="0E85C0FD" w14:textId="3D59B9F2" w:rsidR="00D4293D" w:rsidRPr="00902FC2" w:rsidRDefault="00902FC2" w:rsidP="007C4955">
      <w:pPr>
        <w:contextualSpacing/>
        <w:rPr>
          <w:b/>
          <w:color w:val="FF0000"/>
        </w:rPr>
      </w:pPr>
      <w:r w:rsidRPr="00902FC2">
        <w:rPr>
          <w:noProof/>
        </w:rPr>
        <w:drawing>
          <wp:inline distT="0" distB="0" distL="0" distR="0" wp14:anchorId="363F52C1" wp14:editId="39687A93">
            <wp:extent cx="3619500" cy="2343150"/>
            <wp:effectExtent l="0" t="0" r="0" b="0"/>
            <wp:docPr id="1209790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790900" name="Picture 1"/>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627886" cy="2348579"/>
                    </a:xfrm>
                    <a:prstGeom prst="rect">
                      <a:avLst/>
                    </a:prstGeom>
                    <a:noFill/>
                    <a:ln>
                      <a:noFill/>
                    </a:ln>
                  </pic:spPr>
                </pic:pic>
              </a:graphicData>
            </a:graphic>
          </wp:inline>
        </w:drawing>
      </w:r>
    </w:p>
    <w:p w14:paraId="3C49572B" w14:textId="77777777" w:rsidR="00D4293D" w:rsidRPr="00104F7D" w:rsidRDefault="00D4293D" w:rsidP="007C4955">
      <w:pPr>
        <w:contextualSpacing/>
        <w:rPr>
          <w:i/>
          <w:sz w:val="20"/>
          <w:szCs w:val="20"/>
          <w:highlight w:val="yellow"/>
        </w:rPr>
      </w:pPr>
      <w:r w:rsidRPr="00902FC2">
        <w:rPr>
          <w:i/>
          <w:sz w:val="20"/>
          <w:szCs w:val="20"/>
        </w:rPr>
        <w:t>Pramen: ČHMÚ</w:t>
      </w:r>
    </w:p>
    <w:p w14:paraId="64A1DB5E" w14:textId="77777777" w:rsidR="00D4293D" w:rsidRPr="00104F7D" w:rsidRDefault="00D4293D" w:rsidP="007C4955">
      <w:pPr>
        <w:contextualSpacing/>
        <w:rPr>
          <w:color w:val="FF0000"/>
          <w:sz w:val="20"/>
          <w:szCs w:val="20"/>
          <w:highlight w:val="yellow"/>
        </w:rPr>
      </w:pPr>
    </w:p>
    <w:p w14:paraId="7DD7B6A3" w14:textId="77777777" w:rsidR="004F5EA6" w:rsidRPr="004F5EA6" w:rsidRDefault="004F5EA6" w:rsidP="004F5EA6">
      <w:pPr>
        <w:contextualSpacing/>
        <w:rPr>
          <w:rFonts w:cs="Arial"/>
        </w:rPr>
      </w:pPr>
      <w:r w:rsidRPr="004F5EA6">
        <w:rPr>
          <w:rFonts w:cs="Arial"/>
        </w:rPr>
        <w:t xml:space="preserve">Celkově zhruba 74 % míst odběru mělo v roce 2025 kvalitu odpovídající kategorii A2 a lepší, povrchové zdroje surové vody mají většinou horší kvalitu než zdroje využívající podzemní vodu, z toho plyne vyšší podíl míst odběru povrchových vod z horšími kategoriemi upravitelnosti (pouze cca 47 % těchto míst odběru mělo kvality surové vody v kategorii A2 a lepší, u podzemních vod je to 75 % míst odběru). </w:t>
      </w:r>
    </w:p>
    <w:p w14:paraId="0882C450" w14:textId="77777777" w:rsidR="004F5EA6" w:rsidRDefault="004F5EA6" w:rsidP="004F5EA6">
      <w:pPr>
        <w:contextualSpacing/>
        <w:rPr>
          <w:rFonts w:cs="Arial"/>
        </w:rPr>
      </w:pPr>
    </w:p>
    <w:p w14:paraId="57868B31" w14:textId="540F999A" w:rsidR="004F5EA6" w:rsidRPr="004F5EA6" w:rsidRDefault="004F5EA6" w:rsidP="004F5EA6">
      <w:pPr>
        <w:contextualSpacing/>
        <w:rPr>
          <w:rFonts w:cs="Arial"/>
        </w:rPr>
      </w:pPr>
      <w:r w:rsidRPr="004F5EA6">
        <w:rPr>
          <w:rFonts w:cs="Arial"/>
        </w:rPr>
        <w:t>Při porovnání jakosti surové vody v jednotlivých krajích lze konstatovat, že nejlepší kvalitu (více</w:t>
      </w:r>
      <w:r w:rsidR="00DC65D5">
        <w:rPr>
          <w:rFonts w:cs="Arial"/>
        </w:rPr>
        <w:t xml:space="preserve"> </w:t>
      </w:r>
      <w:r w:rsidR="00E80A0A">
        <w:rPr>
          <w:rFonts w:cs="Arial"/>
        </w:rPr>
        <w:t>než</w:t>
      </w:r>
      <w:r w:rsidRPr="004F5EA6">
        <w:rPr>
          <w:rFonts w:cs="Arial"/>
        </w:rPr>
        <w:t xml:space="preserve"> 80 % míst odběru kategorie A2 a lepší) měly v roce 2025 zdroje surové vody v Královéhradeckém, Libereckém, Ústeckém a Pardubickém kraji a nejhorší v kraji Zlínském (pouze 50 % míst odběru kategorie A2 a lepší). </w:t>
      </w:r>
    </w:p>
    <w:p w14:paraId="113D8375" w14:textId="77777777" w:rsidR="004F5EA6" w:rsidRDefault="004F5EA6" w:rsidP="004F5EA6">
      <w:pPr>
        <w:contextualSpacing/>
        <w:rPr>
          <w:rFonts w:cs="Arial"/>
        </w:rPr>
      </w:pPr>
    </w:p>
    <w:p w14:paraId="36FC28A1" w14:textId="36432D77" w:rsidR="004A726E" w:rsidRPr="00104F7D" w:rsidRDefault="004F5EA6" w:rsidP="004F5EA6">
      <w:pPr>
        <w:contextualSpacing/>
        <w:rPr>
          <w:b/>
          <w:i/>
          <w:highlight w:val="yellow"/>
        </w:rPr>
      </w:pPr>
      <w:r w:rsidRPr="004F5EA6">
        <w:rPr>
          <w:rFonts w:cs="Arial"/>
        </w:rPr>
        <w:t xml:space="preserve">Nejproblematičtější pro kvalitu surových vod byly v roce 2025 u povrchových vod mikrobiologické ukazatele, celkový organický uhlík, adsorbovatelné organicky vázané halogeny (AOX), </w:t>
      </w:r>
      <w:proofErr w:type="spellStart"/>
      <w:r w:rsidRPr="004F5EA6">
        <w:rPr>
          <w:rFonts w:cs="Arial"/>
        </w:rPr>
        <w:t>ChSK-Mn</w:t>
      </w:r>
      <w:proofErr w:type="spellEnd"/>
      <w:r w:rsidRPr="004F5EA6">
        <w:rPr>
          <w:rFonts w:cs="Arial"/>
        </w:rPr>
        <w:t xml:space="preserve">, železo, mangan, </w:t>
      </w:r>
      <w:proofErr w:type="spellStart"/>
      <w:r w:rsidRPr="004F5EA6">
        <w:rPr>
          <w:rFonts w:cs="Arial"/>
        </w:rPr>
        <w:t>humínové</w:t>
      </w:r>
      <w:proofErr w:type="spellEnd"/>
      <w:r w:rsidRPr="004F5EA6">
        <w:rPr>
          <w:rFonts w:cs="Arial"/>
        </w:rPr>
        <w:t xml:space="preserve"> látky, z pesticidů pak </w:t>
      </w:r>
      <w:proofErr w:type="spellStart"/>
      <w:r w:rsidRPr="004F5EA6">
        <w:rPr>
          <w:rFonts w:cs="Arial"/>
        </w:rPr>
        <w:t>metazachlor</w:t>
      </w:r>
      <w:proofErr w:type="spellEnd"/>
      <w:r w:rsidRPr="004F5EA6">
        <w:rPr>
          <w:rFonts w:cs="Arial"/>
        </w:rPr>
        <w:t xml:space="preserve"> ESA a </w:t>
      </w:r>
      <w:proofErr w:type="spellStart"/>
      <w:r w:rsidRPr="004F5EA6">
        <w:rPr>
          <w:rFonts w:cs="Arial"/>
        </w:rPr>
        <w:t>metazachlor</w:t>
      </w:r>
      <w:proofErr w:type="spellEnd"/>
      <w:r w:rsidRPr="004F5EA6">
        <w:rPr>
          <w:rFonts w:cs="Arial"/>
        </w:rPr>
        <w:t xml:space="preserve"> OA (metabolity herbicidu </w:t>
      </w:r>
      <w:proofErr w:type="spellStart"/>
      <w:r w:rsidRPr="004F5EA6">
        <w:rPr>
          <w:rFonts w:cs="Arial"/>
        </w:rPr>
        <w:t>metazachlor</w:t>
      </w:r>
      <w:proofErr w:type="spellEnd"/>
      <w:r w:rsidRPr="004F5EA6">
        <w:rPr>
          <w:rFonts w:cs="Arial"/>
        </w:rPr>
        <w:t xml:space="preserve"> používaného pro ošetření řepky), </w:t>
      </w:r>
      <w:proofErr w:type="spellStart"/>
      <w:r w:rsidRPr="004F5EA6">
        <w:rPr>
          <w:rFonts w:cs="Arial"/>
        </w:rPr>
        <w:t>metolachlor</w:t>
      </w:r>
      <w:proofErr w:type="spellEnd"/>
      <w:r w:rsidRPr="004F5EA6">
        <w:rPr>
          <w:rFonts w:cs="Arial"/>
        </w:rPr>
        <w:t xml:space="preserve"> ESA (metabolit v roce 2025 již nepoužívaného herbicidu </w:t>
      </w:r>
      <w:proofErr w:type="spellStart"/>
      <w:r w:rsidRPr="004F5EA6">
        <w:rPr>
          <w:rFonts w:cs="Arial"/>
        </w:rPr>
        <w:t>metolachlor</w:t>
      </w:r>
      <w:proofErr w:type="spellEnd"/>
      <w:r w:rsidRPr="004F5EA6">
        <w:rPr>
          <w:rFonts w:cs="Arial"/>
        </w:rPr>
        <w:t xml:space="preserve"> používaného pro ošetření kukuřice), AMPA (metabolit </w:t>
      </w:r>
      <w:r w:rsidR="002D6654" w:rsidRPr="002D6654">
        <w:rPr>
          <w:rFonts w:cs="Arial"/>
        </w:rPr>
        <w:t>neselektivní</w:t>
      </w:r>
      <w:r w:rsidR="002D6654">
        <w:rPr>
          <w:rFonts w:cs="Arial"/>
        </w:rPr>
        <w:t>ho</w:t>
      </w:r>
      <w:r w:rsidRPr="004F5EA6">
        <w:rPr>
          <w:rFonts w:cs="Arial"/>
        </w:rPr>
        <w:t xml:space="preserve"> herbicidu glyfosát) a </w:t>
      </w:r>
      <w:proofErr w:type="spellStart"/>
      <w:r w:rsidRPr="004F5EA6">
        <w:rPr>
          <w:rFonts w:cs="Arial"/>
        </w:rPr>
        <w:t>alachlor</w:t>
      </w:r>
      <w:proofErr w:type="spellEnd"/>
      <w:r w:rsidRPr="004F5EA6">
        <w:rPr>
          <w:rFonts w:cs="Arial"/>
        </w:rPr>
        <w:t xml:space="preserve"> ESA (metabolit od roku 2008 nepoužívaného herbicidu </w:t>
      </w:r>
      <w:proofErr w:type="spellStart"/>
      <w:r w:rsidRPr="004F5EA6">
        <w:rPr>
          <w:rFonts w:cs="Arial"/>
        </w:rPr>
        <w:t>alachlor</w:t>
      </w:r>
      <w:proofErr w:type="spellEnd"/>
      <w:r w:rsidRPr="004F5EA6">
        <w:rPr>
          <w:rFonts w:cs="Arial"/>
        </w:rPr>
        <w:t xml:space="preserve"> pro ošetření zejména řepky). U podzemních vod jsou to  adsorbovatelné organicky vázané halogeny (AOX), z kovů železo a mangan (cca 3 % míst odběru),  z pesticidů pak </w:t>
      </w:r>
      <w:proofErr w:type="spellStart"/>
      <w:r w:rsidRPr="004F5EA6">
        <w:rPr>
          <w:rFonts w:cs="Arial"/>
        </w:rPr>
        <w:t>chloridazon</w:t>
      </w:r>
      <w:proofErr w:type="spellEnd"/>
      <w:r w:rsidRPr="004F5EA6">
        <w:rPr>
          <w:rFonts w:cs="Arial"/>
        </w:rPr>
        <w:t xml:space="preserve"> </w:t>
      </w:r>
      <w:proofErr w:type="spellStart"/>
      <w:r w:rsidRPr="004F5EA6">
        <w:rPr>
          <w:rFonts w:cs="Arial"/>
        </w:rPr>
        <w:t>desphenyl</w:t>
      </w:r>
      <w:proofErr w:type="spellEnd"/>
      <w:r w:rsidRPr="004F5EA6">
        <w:rPr>
          <w:rFonts w:cs="Arial"/>
        </w:rPr>
        <w:t xml:space="preserve"> a </w:t>
      </w:r>
      <w:proofErr w:type="spellStart"/>
      <w:r w:rsidRPr="004F5EA6">
        <w:rPr>
          <w:rFonts w:cs="Arial"/>
        </w:rPr>
        <w:t>chloridazon</w:t>
      </w:r>
      <w:proofErr w:type="spellEnd"/>
      <w:r w:rsidRPr="004F5EA6">
        <w:rPr>
          <w:rFonts w:cs="Arial"/>
        </w:rPr>
        <w:t xml:space="preserve"> methyl-</w:t>
      </w:r>
      <w:proofErr w:type="spellStart"/>
      <w:r w:rsidRPr="004F5EA6">
        <w:rPr>
          <w:rFonts w:cs="Arial"/>
        </w:rPr>
        <w:t>desphenyl</w:t>
      </w:r>
      <w:proofErr w:type="spellEnd"/>
      <w:r w:rsidRPr="004F5EA6">
        <w:rPr>
          <w:rFonts w:cs="Arial"/>
        </w:rPr>
        <w:t xml:space="preserve"> (metabolity herbicidu </w:t>
      </w:r>
      <w:proofErr w:type="spellStart"/>
      <w:r w:rsidRPr="004F5EA6">
        <w:rPr>
          <w:rFonts w:cs="Arial"/>
        </w:rPr>
        <w:t>chloridazon</w:t>
      </w:r>
      <w:proofErr w:type="spellEnd"/>
      <w:r w:rsidRPr="004F5EA6">
        <w:rPr>
          <w:rFonts w:cs="Arial"/>
        </w:rPr>
        <w:t xml:space="preserve"> používaného do roku 2020 na ošetření řepy), </w:t>
      </w:r>
      <w:proofErr w:type="spellStart"/>
      <w:r w:rsidRPr="004F5EA6">
        <w:rPr>
          <w:rFonts w:cs="Arial"/>
        </w:rPr>
        <w:t>metazachlor</w:t>
      </w:r>
      <w:proofErr w:type="spellEnd"/>
      <w:r w:rsidRPr="004F5EA6">
        <w:rPr>
          <w:rFonts w:cs="Arial"/>
        </w:rPr>
        <w:t xml:space="preserve"> ESA (metabolit herbicidu </w:t>
      </w:r>
      <w:proofErr w:type="spellStart"/>
      <w:r w:rsidRPr="004F5EA6">
        <w:rPr>
          <w:rFonts w:cs="Arial"/>
        </w:rPr>
        <w:t>metazachlor</w:t>
      </w:r>
      <w:proofErr w:type="spellEnd"/>
      <w:r w:rsidRPr="004F5EA6">
        <w:rPr>
          <w:rFonts w:cs="Arial"/>
        </w:rPr>
        <w:t xml:space="preserve"> používaného pro ošetření řepky), </w:t>
      </w:r>
      <w:proofErr w:type="spellStart"/>
      <w:r w:rsidRPr="004F5EA6">
        <w:rPr>
          <w:rFonts w:cs="Arial"/>
        </w:rPr>
        <w:t>alachlor</w:t>
      </w:r>
      <w:proofErr w:type="spellEnd"/>
      <w:r w:rsidRPr="004F5EA6">
        <w:rPr>
          <w:rFonts w:cs="Arial"/>
        </w:rPr>
        <w:t xml:space="preserve"> ESA (metabolit od roku 2008 nepoužívaného herbicidu </w:t>
      </w:r>
      <w:proofErr w:type="spellStart"/>
      <w:r w:rsidRPr="004F5EA6">
        <w:rPr>
          <w:rFonts w:cs="Arial"/>
        </w:rPr>
        <w:t>alachlor</w:t>
      </w:r>
      <w:proofErr w:type="spellEnd"/>
      <w:r w:rsidRPr="004F5EA6">
        <w:rPr>
          <w:rFonts w:cs="Arial"/>
        </w:rPr>
        <w:t xml:space="preserve"> pro ošetření zejména řepky), </w:t>
      </w:r>
      <w:proofErr w:type="spellStart"/>
      <w:r w:rsidRPr="004F5EA6">
        <w:rPr>
          <w:rFonts w:cs="Arial"/>
        </w:rPr>
        <w:t>metolachlor</w:t>
      </w:r>
      <w:proofErr w:type="spellEnd"/>
      <w:r w:rsidRPr="004F5EA6">
        <w:rPr>
          <w:rFonts w:cs="Arial"/>
        </w:rPr>
        <w:t xml:space="preserve"> ESA (metabolit v roce 2025 již nepoužívaného herbicidu </w:t>
      </w:r>
      <w:proofErr w:type="spellStart"/>
      <w:r w:rsidRPr="004F5EA6">
        <w:rPr>
          <w:rFonts w:cs="Arial"/>
        </w:rPr>
        <w:t>metolachlor</w:t>
      </w:r>
      <w:proofErr w:type="spellEnd"/>
      <w:r w:rsidRPr="004F5EA6">
        <w:rPr>
          <w:rFonts w:cs="Arial"/>
        </w:rPr>
        <w:t xml:space="preserve"> používaného pro ošetření kukuřice), </w:t>
      </w:r>
      <w:proofErr w:type="spellStart"/>
      <w:r w:rsidRPr="004F5EA6">
        <w:rPr>
          <w:rFonts w:cs="Arial"/>
        </w:rPr>
        <w:t>dimethachlor</w:t>
      </w:r>
      <w:proofErr w:type="spellEnd"/>
      <w:r w:rsidRPr="004F5EA6">
        <w:rPr>
          <w:rFonts w:cs="Arial"/>
        </w:rPr>
        <w:t xml:space="preserve"> CGA 369873 a </w:t>
      </w:r>
      <w:proofErr w:type="spellStart"/>
      <w:r w:rsidRPr="004F5EA6">
        <w:rPr>
          <w:rFonts w:cs="Arial"/>
        </w:rPr>
        <w:t>dimethachlor</w:t>
      </w:r>
      <w:proofErr w:type="spellEnd"/>
      <w:r w:rsidRPr="004F5EA6">
        <w:rPr>
          <w:rFonts w:cs="Arial"/>
        </w:rPr>
        <w:t xml:space="preserve"> ESA (metabolity herbicidu </w:t>
      </w:r>
      <w:proofErr w:type="spellStart"/>
      <w:r w:rsidRPr="004F5EA6">
        <w:rPr>
          <w:rFonts w:cs="Arial"/>
        </w:rPr>
        <w:t>dimethachlor</w:t>
      </w:r>
      <w:proofErr w:type="spellEnd"/>
      <w:r w:rsidRPr="004F5EA6">
        <w:rPr>
          <w:rFonts w:cs="Arial"/>
        </w:rPr>
        <w:t xml:space="preserve"> používaného pro ošetření řepky ) a </w:t>
      </w:r>
      <w:proofErr w:type="spellStart"/>
      <w:r w:rsidRPr="004F5EA6">
        <w:rPr>
          <w:rFonts w:cs="Arial"/>
        </w:rPr>
        <w:t>acetochlor</w:t>
      </w:r>
      <w:proofErr w:type="spellEnd"/>
      <w:r w:rsidRPr="004F5EA6">
        <w:rPr>
          <w:rFonts w:cs="Arial"/>
        </w:rPr>
        <w:t xml:space="preserve"> ESA (metabolit od roku 2014 </w:t>
      </w:r>
      <w:r w:rsidR="00F942B1">
        <w:rPr>
          <w:rFonts w:cs="Arial"/>
        </w:rPr>
        <w:t>nepovoleného</w:t>
      </w:r>
      <w:r w:rsidRPr="004F5EA6">
        <w:rPr>
          <w:rFonts w:cs="Arial"/>
        </w:rPr>
        <w:t xml:space="preserve"> herbicidu </w:t>
      </w:r>
      <w:proofErr w:type="spellStart"/>
      <w:r w:rsidRPr="004F5EA6">
        <w:rPr>
          <w:rFonts w:cs="Arial"/>
        </w:rPr>
        <w:t>acetochlor</w:t>
      </w:r>
      <w:proofErr w:type="spellEnd"/>
      <w:r w:rsidRPr="004F5EA6">
        <w:rPr>
          <w:rFonts w:cs="Arial"/>
        </w:rPr>
        <w:t xml:space="preserve"> používaného pro ošetření zejména kukuřice). Dusičnany byly v roce 2025 problematické pouze u 5 % zdrojů podzemní vod</w:t>
      </w:r>
      <w:r w:rsidR="00C63F05">
        <w:rPr>
          <w:rFonts w:cs="Arial"/>
        </w:rPr>
        <w:t>y</w:t>
      </w:r>
      <w:r w:rsidRPr="004F5EA6">
        <w:rPr>
          <w:rFonts w:cs="Arial"/>
        </w:rPr>
        <w:t>.</w:t>
      </w:r>
    </w:p>
    <w:p w14:paraId="73BE569E" w14:textId="77777777" w:rsidR="00A97955" w:rsidRPr="00104F7D" w:rsidRDefault="00A97955" w:rsidP="007C4955">
      <w:pPr>
        <w:contextualSpacing/>
        <w:rPr>
          <w:b/>
          <w:i/>
          <w:highlight w:val="yellow"/>
        </w:rPr>
      </w:pPr>
    </w:p>
    <w:p w14:paraId="06AB5A22" w14:textId="77777777" w:rsidR="00707BEE" w:rsidRDefault="00707BEE" w:rsidP="007C4955">
      <w:pPr>
        <w:contextualSpacing/>
        <w:rPr>
          <w:b/>
          <w:i/>
        </w:rPr>
      </w:pPr>
    </w:p>
    <w:p w14:paraId="263152E9" w14:textId="7723124F" w:rsidR="00D4293D" w:rsidRPr="002C7130" w:rsidRDefault="00D4293D" w:rsidP="007C4955">
      <w:pPr>
        <w:contextualSpacing/>
        <w:rPr>
          <w:b/>
          <w:i/>
        </w:rPr>
      </w:pPr>
      <w:r w:rsidRPr="002C7130">
        <w:rPr>
          <w:b/>
          <w:i/>
        </w:rPr>
        <w:t>Graf 3.1.</w:t>
      </w:r>
      <w:r w:rsidR="00707BEE">
        <w:rPr>
          <w:b/>
          <w:i/>
        </w:rPr>
        <w:t>9</w:t>
      </w:r>
    </w:p>
    <w:p w14:paraId="67EA52A8" w14:textId="1F7B2BE4" w:rsidR="00F01B5E" w:rsidRPr="002C7130" w:rsidRDefault="00D4293D" w:rsidP="007C4955">
      <w:pPr>
        <w:contextualSpacing/>
        <w:rPr>
          <w:b/>
          <w:i/>
        </w:rPr>
      </w:pPr>
      <w:r w:rsidRPr="002C7130">
        <w:rPr>
          <w:b/>
          <w:i/>
        </w:rPr>
        <w:t>Kategorie upravitelnosti pro typy zdrojů surové vody</w:t>
      </w:r>
      <w:r w:rsidR="00F01B5E" w:rsidRPr="002C7130">
        <w:rPr>
          <w:b/>
          <w:i/>
        </w:rPr>
        <w:t xml:space="preserve"> </w:t>
      </w:r>
    </w:p>
    <w:p w14:paraId="6701E1A6" w14:textId="17B3D4B6" w:rsidR="00F556DD" w:rsidRPr="002C7130" w:rsidRDefault="002C7130" w:rsidP="007C4955">
      <w:pPr>
        <w:contextualSpacing/>
        <w:rPr>
          <w:b/>
          <w:i/>
        </w:rPr>
      </w:pPr>
      <w:r w:rsidRPr="002C7130">
        <w:rPr>
          <w:noProof/>
        </w:rPr>
        <w:drawing>
          <wp:inline distT="0" distB="0" distL="0" distR="0" wp14:anchorId="68F40D53" wp14:editId="75B026BB">
            <wp:extent cx="4584700" cy="2755900"/>
            <wp:effectExtent l="0" t="0" r="6350" b="6350"/>
            <wp:docPr id="4483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3185" name="Picture 1"/>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C81B5EF" w14:textId="77777777" w:rsidR="00D4293D" w:rsidRPr="002C7130" w:rsidRDefault="00D4293D" w:rsidP="007C4955">
      <w:pPr>
        <w:contextualSpacing/>
        <w:rPr>
          <w:i/>
          <w:sz w:val="20"/>
          <w:szCs w:val="20"/>
        </w:rPr>
      </w:pPr>
      <w:r w:rsidRPr="002C7130">
        <w:rPr>
          <w:i/>
          <w:sz w:val="20"/>
          <w:szCs w:val="20"/>
        </w:rPr>
        <w:t>Pramen: ČHMÚ</w:t>
      </w:r>
    </w:p>
    <w:p w14:paraId="572D5E53" w14:textId="77777777" w:rsidR="00D4293D" w:rsidRPr="002C7130" w:rsidRDefault="00D4293D" w:rsidP="007C4955">
      <w:pPr>
        <w:contextualSpacing/>
        <w:rPr>
          <w:i/>
          <w:sz w:val="20"/>
          <w:szCs w:val="20"/>
        </w:rPr>
      </w:pPr>
      <w:r w:rsidRPr="002C7130">
        <w:rPr>
          <w:i/>
          <w:sz w:val="20"/>
          <w:szCs w:val="20"/>
        </w:rPr>
        <w:t>Pozn.: Počty míst odběru jsou uvedeny v závorkách.</w:t>
      </w:r>
    </w:p>
    <w:p w14:paraId="4B396105" w14:textId="77777777" w:rsidR="00A16E2E" w:rsidRPr="00104F7D" w:rsidRDefault="00A16E2E" w:rsidP="007C4955">
      <w:pPr>
        <w:contextualSpacing/>
        <w:rPr>
          <w:b/>
          <w:i/>
          <w:highlight w:val="yellow"/>
        </w:rPr>
      </w:pPr>
    </w:p>
    <w:p w14:paraId="49DAF6D0" w14:textId="5F41F98D" w:rsidR="00D4293D" w:rsidRPr="00BC4CDF" w:rsidRDefault="00D4293D" w:rsidP="007C4955">
      <w:pPr>
        <w:contextualSpacing/>
        <w:rPr>
          <w:b/>
          <w:i/>
        </w:rPr>
      </w:pPr>
      <w:r w:rsidRPr="00BC4CDF">
        <w:rPr>
          <w:b/>
          <w:i/>
        </w:rPr>
        <w:t>Graf 3.1.</w:t>
      </w:r>
      <w:r w:rsidR="00707BEE">
        <w:rPr>
          <w:b/>
          <w:i/>
        </w:rPr>
        <w:t>10</w:t>
      </w:r>
    </w:p>
    <w:p w14:paraId="703B61D4" w14:textId="77777777" w:rsidR="00D4293D" w:rsidRPr="00BC4CDF" w:rsidRDefault="00D4293D" w:rsidP="007C4955">
      <w:pPr>
        <w:contextualSpacing/>
        <w:rPr>
          <w:b/>
          <w:i/>
        </w:rPr>
      </w:pPr>
      <w:r w:rsidRPr="00BC4CDF">
        <w:rPr>
          <w:b/>
          <w:i/>
        </w:rPr>
        <w:t xml:space="preserve">Kategorie upravitelnosti v jednotlivých krajích </w:t>
      </w:r>
    </w:p>
    <w:p w14:paraId="3124F1CF" w14:textId="19D41D87" w:rsidR="00D4293D" w:rsidRPr="00BC4CDF" w:rsidRDefault="00BC4CDF" w:rsidP="007C4955">
      <w:pPr>
        <w:contextualSpacing/>
        <w:rPr>
          <w:color w:val="FF0000"/>
          <w:sz w:val="20"/>
          <w:szCs w:val="20"/>
        </w:rPr>
      </w:pPr>
      <w:r w:rsidRPr="00BC4CDF">
        <w:rPr>
          <w:noProof/>
        </w:rPr>
        <w:drawing>
          <wp:inline distT="0" distB="0" distL="0" distR="0" wp14:anchorId="797D75A4" wp14:editId="5D171E38">
            <wp:extent cx="4584700" cy="2755900"/>
            <wp:effectExtent l="0" t="0" r="6350" b="6350"/>
            <wp:docPr id="5969629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962965" name="Picture 2"/>
                    <pic:cNvPicPr>
                      <a:picLocks noChangeAspect="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15D6C56" w14:textId="77777777" w:rsidR="00D4293D" w:rsidRPr="00BC4CDF" w:rsidRDefault="00D4293D" w:rsidP="007C4955">
      <w:pPr>
        <w:contextualSpacing/>
        <w:rPr>
          <w:i/>
          <w:sz w:val="20"/>
          <w:szCs w:val="20"/>
        </w:rPr>
      </w:pPr>
      <w:r w:rsidRPr="00BC4CDF">
        <w:rPr>
          <w:i/>
          <w:sz w:val="20"/>
          <w:szCs w:val="20"/>
        </w:rPr>
        <w:t>Pramen: ČHMÚ</w:t>
      </w:r>
    </w:p>
    <w:p w14:paraId="28120CCA" w14:textId="77777777" w:rsidR="00D4293D" w:rsidRPr="00BC4CDF" w:rsidRDefault="00EA6C84" w:rsidP="007C4955">
      <w:pPr>
        <w:contextualSpacing/>
        <w:rPr>
          <w:i/>
          <w:sz w:val="20"/>
          <w:szCs w:val="20"/>
        </w:rPr>
      </w:pPr>
      <w:r w:rsidRPr="00BC4CDF">
        <w:rPr>
          <w:i/>
          <w:sz w:val="20"/>
          <w:szCs w:val="20"/>
        </w:rPr>
        <w:t>Pozn.: Počty míst odběru jsou uvedeny v závorkách</w:t>
      </w:r>
    </w:p>
    <w:p w14:paraId="57816A70" w14:textId="77777777" w:rsidR="00EA6C84" w:rsidRPr="00104F7D" w:rsidRDefault="00EA6C84" w:rsidP="007C4955">
      <w:pPr>
        <w:contextualSpacing/>
        <w:rPr>
          <w:i/>
          <w:sz w:val="20"/>
          <w:szCs w:val="20"/>
          <w:highlight w:val="yellow"/>
        </w:rPr>
      </w:pPr>
    </w:p>
    <w:p w14:paraId="1ADD285A" w14:textId="21A2CFC4" w:rsidR="00D4293D" w:rsidRPr="00206E89" w:rsidRDefault="00A24049" w:rsidP="007C4955">
      <w:pPr>
        <w:contextualSpacing/>
        <w:rPr>
          <w:b/>
          <w:i/>
        </w:rPr>
      </w:pPr>
      <w:r w:rsidRPr="00104F7D">
        <w:rPr>
          <w:b/>
          <w:i/>
          <w:color w:val="FF0000"/>
          <w:highlight w:val="yellow"/>
        </w:rPr>
        <w:br w:type="page"/>
      </w:r>
      <w:r w:rsidR="00D4293D" w:rsidRPr="00206E89">
        <w:rPr>
          <w:b/>
          <w:i/>
        </w:rPr>
        <w:lastRenderedPageBreak/>
        <w:t>Graf 3.1.</w:t>
      </w:r>
      <w:r w:rsidR="00707BEE">
        <w:rPr>
          <w:b/>
          <w:i/>
        </w:rPr>
        <w:t>11</w:t>
      </w:r>
    </w:p>
    <w:p w14:paraId="0D2DFE4C" w14:textId="6E69342E" w:rsidR="00D4293D" w:rsidRPr="00206E89" w:rsidRDefault="00D4293D" w:rsidP="007C4955">
      <w:pPr>
        <w:contextualSpacing/>
        <w:rPr>
          <w:b/>
          <w:i/>
          <w:color w:val="FF0000"/>
        </w:rPr>
      </w:pPr>
      <w:r w:rsidRPr="00206E89">
        <w:rPr>
          <w:b/>
          <w:i/>
        </w:rPr>
        <w:t>Kategorie upravitelnosti povrchových vod pro ukazatele nejvíce ovlivňující jejich kvalitu</w:t>
      </w:r>
    </w:p>
    <w:p w14:paraId="38816494" w14:textId="6DBF3AA8" w:rsidR="00D4293D" w:rsidRPr="00206E89" w:rsidRDefault="00206E89" w:rsidP="007C4955">
      <w:pPr>
        <w:contextualSpacing/>
        <w:rPr>
          <w:color w:val="FF0000"/>
          <w:sz w:val="20"/>
          <w:szCs w:val="20"/>
        </w:rPr>
      </w:pPr>
      <w:r w:rsidRPr="00206E89">
        <w:rPr>
          <w:noProof/>
        </w:rPr>
        <w:drawing>
          <wp:inline distT="0" distB="0" distL="0" distR="0" wp14:anchorId="5C3A3C16" wp14:editId="411FF7FA">
            <wp:extent cx="5698490" cy="7653020"/>
            <wp:effectExtent l="0" t="0" r="0" b="5080"/>
            <wp:docPr id="6616907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690702" name="Picture 5"/>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98490" cy="7653020"/>
                    </a:xfrm>
                    <a:prstGeom prst="rect">
                      <a:avLst/>
                    </a:prstGeom>
                    <a:noFill/>
                  </pic:spPr>
                </pic:pic>
              </a:graphicData>
            </a:graphic>
          </wp:inline>
        </w:drawing>
      </w:r>
    </w:p>
    <w:p w14:paraId="56FC59BB" w14:textId="77777777" w:rsidR="00D4293D" w:rsidRPr="00206E89" w:rsidRDefault="00D4293D" w:rsidP="007C4955">
      <w:pPr>
        <w:contextualSpacing/>
        <w:rPr>
          <w:i/>
          <w:sz w:val="20"/>
          <w:szCs w:val="20"/>
        </w:rPr>
      </w:pPr>
      <w:r w:rsidRPr="00206E89">
        <w:rPr>
          <w:i/>
          <w:sz w:val="20"/>
          <w:szCs w:val="20"/>
        </w:rPr>
        <w:t>Pramen: ČHMÚ</w:t>
      </w:r>
    </w:p>
    <w:p w14:paraId="2A0B3E37" w14:textId="77777777" w:rsidR="003C4D4C" w:rsidRPr="00206E89" w:rsidRDefault="003C4D4C" w:rsidP="007C4955">
      <w:pPr>
        <w:contextualSpacing/>
        <w:rPr>
          <w:i/>
          <w:sz w:val="20"/>
          <w:szCs w:val="20"/>
        </w:rPr>
      </w:pPr>
      <w:r w:rsidRPr="00206E89">
        <w:rPr>
          <w:i/>
          <w:sz w:val="20"/>
          <w:szCs w:val="20"/>
        </w:rPr>
        <w:t>Pozn.: Počty míst odběru jsou uvedeny v závorkách</w:t>
      </w:r>
    </w:p>
    <w:p w14:paraId="0C5E914F" w14:textId="77777777" w:rsidR="00D4293D" w:rsidRPr="00104F7D" w:rsidRDefault="00D4293D" w:rsidP="007C4955">
      <w:pPr>
        <w:contextualSpacing/>
        <w:rPr>
          <w:b/>
          <w:color w:val="FF0000"/>
          <w:highlight w:val="yellow"/>
        </w:rPr>
      </w:pPr>
    </w:p>
    <w:p w14:paraId="22F9488F" w14:textId="663DDFF8" w:rsidR="00D4293D" w:rsidRPr="00D84A8F" w:rsidRDefault="00A24049" w:rsidP="007C4955">
      <w:pPr>
        <w:contextualSpacing/>
        <w:rPr>
          <w:b/>
          <w:i/>
        </w:rPr>
      </w:pPr>
      <w:r w:rsidRPr="00104F7D">
        <w:rPr>
          <w:b/>
          <w:i/>
          <w:color w:val="FF0000"/>
          <w:highlight w:val="yellow"/>
        </w:rPr>
        <w:br w:type="page"/>
      </w:r>
      <w:r w:rsidR="00D4293D" w:rsidRPr="00D84A8F">
        <w:rPr>
          <w:b/>
          <w:i/>
        </w:rPr>
        <w:lastRenderedPageBreak/>
        <w:t>Graf 3.1.</w:t>
      </w:r>
      <w:r w:rsidR="00707BEE">
        <w:rPr>
          <w:b/>
          <w:i/>
        </w:rPr>
        <w:t>12</w:t>
      </w:r>
    </w:p>
    <w:p w14:paraId="50616D04" w14:textId="77777777" w:rsidR="00EA6C84" w:rsidRPr="00D84A8F" w:rsidRDefault="00D4293D" w:rsidP="007C4955">
      <w:pPr>
        <w:contextualSpacing/>
        <w:rPr>
          <w:b/>
          <w:i/>
        </w:rPr>
      </w:pPr>
      <w:r w:rsidRPr="00D84A8F">
        <w:rPr>
          <w:b/>
          <w:i/>
        </w:rPr>
        <w:t>Kategorie upravitelnosti podzemních vod pro ukazatele nej</w:t>
      </w:r>
      <w:r w:rsidR="00EA6C84" w:rsidRPr="00D84A8F">
        <w:rPr>
          <w:b/>
          <w:i/>
        </w:rPr>
        <w:t>více ovlivňující jejich kvalitu</w:t>
      </w:r>
    </w:p>
    <w:p w14:paraId="44A00ED7" w14:textId="6B72E431" w:rsidR="00D4293D" w:rsidRPr="00D84A8F" w:rsidRDefault="00D84A8F" w:rsidP="007C4955">
      <w:pPr>
        <w:contextualSpacing/>
        <w:rPr>
          <w:color w:val="FF0000"/>
          <w:sz w:val="20"/>
          <w:szCs w:val="20"/>
        </w:rPr>
      </w:pPr>
      <w:r w:rsidRPr="00D84A8F">
        <w:rPr>
          <w:noProof/>
        </w:rPr>
        <w:drawing>
          <wp:inline distT="0" distB="0" distL="0" distR="0" wp14:anchorId="31A90C62" wp14:editId="3D4CEAB0">
            <wp:extent cx="5702300" cy="7639050"/>
            <wp:effectExtent l="0" t="0" r="0" b="0"/>
            <wp:docPr id="3132206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220692" name="Picture 7"/>
                    <pic:cNvPicPr>
                      <a:picLocks noChangeAspect="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02300" cy="7639050"/>
                    </a:xfrm>
                    <a:prstGeom prst="rect">
                      <a:avLst/>
                    </a:prstGeom>
                    <a:noFill/>
                  </pic:spPr>
                </pic:pic>
              </a:graphicData>
            </a:graphic>
          </wp:inline>
        </w:drawing>
      </w:r>
    </w:p>
    <w:p w14:paraId="4B662685" w14:textId="77777777" w:rsidR="00D4293D" w:rsidRPr="00D84A8F" w:rsidRDefault="00D4293D" w:rsidP="007C4955">
      <w:pPr>
        <w:contextualSpacing/>
        <w:rPr>
          <w:i/>
          <w:sz w:val="20"/>
          <w:szCs w:val="20"/>
        </w:rPr>
      </w:pPr>
      <w:r w:rsidRPr="00D84A8F">
        <w:rPr>
          <w:i/>
          <w:sz w:val="20"/>
          <w:szCs w:val="20"/>
        </w:rPr>
        <w:t>Pramen: ČHMÚ</w:t>
      </w:r>
    </w:p>
    <w:p w14:paraId="28E0A30B" w14:textId="77777777" w:rsidR="00EA6C84" w:rsidRPr="00D84A8F" w:rsidRDefault="00EA6C84" w:rsidP="007C4955">
      <w:pPr>
        <w:contextualSpacing/>
        <w:rPr>
          <w:sz w:val="20"/>
          <w:szCs w:val="20"/>
        </w:rPr>
      </w:pPr>
      <w:r w:rsidRPr="00D84A8F">
        <w:rPr>
          <w:i/>
          <w:sz w:val="20"/>
          <w:szCs w:val="20"/>
        </w:rPr>
        <w:t>Pozn.: Počty míst odběru jsou uvedeny v závorkách</w:t>
      </w:r>
      <w:r w:rsidRPr="00D84A8F">
        <w:rPr>
          <w:sz w:val="20"/>
          <w:szCs w:val="20"/>
        </w:rPr>
        <w:t>.</w:t>
      </w:r>
    </w:p>
    <w:p w14:paraId="4CDBB7F5" w14:textId="77777777" w:rsidR="00644AE1" w:rsidRPr="00104F7D" w:rsidRDefault="00644AE1" w:rsidP="007C4955">
      <w:pPr>
        <w:contextualSpacing/>
        <w:rPr>
          <w:rFonts w:cs="Arial"/>
          <w:b/>
          <w:i/>
          <w:highlight w:val="yellow"/>
        </w:rPr>
      </w:pPr>
    </w:p>
    <w:p w14:paraId="242D1F7A" w14:textId="77777777" w:rsidR="00D4293D" w:rsidRPr="00104F7D" w:rsidRDefault="00D4293D" w:rsidP="007C4955">
      <w:pPr>
        <w:contextualSpacing/>
        <w:rPr>
          <w:rFonts w:cs="Arial"/>
          <w:b/>
          <w:i/>
          <w:highlight w:val="yellow"/>
        </w:rPr>
      </w:pPr>
    </w:p>
    <w:p w14:paraId="721D4D41" w14:textId="77777777" w:rsidR="008409C0" w:rsidRPr="008D75E0" w:rsidRDefault="00A24049" w:rsidP="007C4955">
      <w:pPr>
        <w:contextualSpacing/>
        <w:rPr>
          <w:rFonts w:cs="Arial"/>
          <w:b/>
          <w:i/>
        </w:rPr>
      </w:pPr>
      <w:r w:rsidRPr="00104F7D">
        <w:rPr>
          <w:rFonts w:cs="Arial"/>
          <w:b/>
          <w:i/>
          <w:highlight w:val="yellow"/>
        </w:rPr>
        <w:br w:type="page"/>
      </w:r>
      <w:proofErr w:type="spellStart"/>
      <w:r w:rsidR="008409C0" w:rsidRPr="008D75E0">
        <w:rPr>
          <w:rFonts w:cs="Arial"/>
          <w:b/>
          <w:i/>
        </w:rPr>
        <w:lastRenderedPageBreak/>
        <w:t>Mikrokontaminanty</w:t>
      </w:r>
      <w:proofErr w:type="spellEnd"/>
      <w:r w:rsidR="008409C0" w:rsidRPr="008D75E0">
        <w:rPr>
          <w:rFonts w:cs="Arial"/>
          <w:b/>
          <w:i/>
        </w:rPr>
        <w:t xml:space="preserve"> povrchových vod</w:t>
      </w:r>
    </w:p>
    <w:p w14:paraId="6929B0D2" w14:textId="77777777" w:rsidR="00D610DD" w:rsidRPr="008D75E0" w:rsidRDefault="00D610DD" w:rsidP="007C4955">
      <w:pPr>
        <w:contextualSpacing/>
        <w:rPr>
          <w:rFonts w:cs="Arial"/>
          <w:b/>
          <w:i/>
          <w:color w:val="FF0000"/>
        </w:rPr>
      </w:pPr>
    </w:p>
    <w:p w14:paraId="40AB9628" w14:textId="76520753" w:rsidR="008D75E0" w:rsidRPr="008D75E0" w:rsidRDefault="008D75E0" w:rsidP="008D75E0">
      <w:pPr>
        <w:contextualSpacing/>
        <w:rPr>
          <w:rFonts w:cs="Arial"/>
        </w:rPr>
      </w:pPr>
      <w:r w:rsidRPr="008D75E0">
        <w:rPr>
          <w:rFonts w:cs="Arial"/>
        </w:rPr>
        <w:t xml:space="preserve">Organické </w:t>
      </w:r>
      <w:proofErr w:type="spellStart"/>
      <w:r w:rsidRPr="008D75E0">
        <w:rPr>
          <w:rFonts w:cs="Arial"/>
        </w:rPr>
        <w:t>mikropolutanty</w:t>
      </w:r>
      <w:proofErr w:type="spellEnd"/>
      <w:r w:rsidRPr="008D75E0">
        <w:rPr>
          <w:rFonts w:cs="Arial"/>
        </w:rPr>
        <w:t xml:space="preserve"> povrchových vod dlouhodobě patří mezi látky, které se pravidelně nacházejí na celém území ČR. Jedná se zejména o rezidua pesticidních látek a jejich metabolitů, které pocházejí převážně ze zemědělství a o léčiva, </w:t>
      </w:r>
      <w:proofErr w:type="spellStart"/>
      <w:r w:rsidRPr="008D75E0">
        <w:rPr>
          <w:rFonts w:cs="Arial"/>
        </w:rPr>
        <w:t>antikoroziva</w:t>
      </w:r>
      <w:proofErr w:type="spellEnd"/>
      <w:r w:rsidRPr="008D75E0">
        <w:rPr>
          <w:rFonts w:cs="Arial"/>
        </w:rPr>
        <w:t xml:space="preserve"> a ostatní specifické organické látky původem z odpadních vod </w:t>
      </w:r>
      <w:r w:rsidR="004B3EC2">
        <w:rPr>
          <w:rFonts w:cs="Arial"/>
        </w:rPr>
        <w:t xml:space="preserve">vypouštěných </w:t>
      </w:r>
      <w:r w:rsidRPr="008D75E0">
        <w:rPr>
          <w:rFonts w:cs="Arial"/>
        </w:rPr>
        <w:t xml:space="preserve">do vodních toků. Pro dvě nejvýznamnější skupiny těchto látek s různými zdroji (zemědělství, komunální zdroje) bylo provedeno vyhodnocení jejích výskytu v povrchových vodách v roce 2025. </w:t>
      </w:r>
    </w:p>
    <w:p w14:paraId="387E2C97" w14:textId="77777777" w:rsidR="001B70EF" w:rsidRPr="00104F7D" w:rsidRDefault="001B70EF" w:rsidP="007C4955">
      <w:pPr>
        <w:contextualSpacing/>
        <w:rPr>
          <w:b/>
          <w:color w:val="FF0000"/>
          <w:highlight w:val="yellow"/>
        </w:rPr>
      </w:pPr>
    </w:p>
    <w:p w14:paraId="5B816F80" w14:textId="77777777" w:rsidR="008409C0" w:rsidRPr="00581CCA" w:rsidRDefault="008409C0" w:rsidP="007C4955">
      <w:pPr>
        <w:contextualSpacing/>
        <w:rPr>
          <w:b/>
          <w:i/>
          <w:iCs/>
        </w:rPr>
      </w:pPr>
      <w:r w:rsidRPr="00581CCA">
        <w:rPr>
          <w:b/>
          <w:i/>
          <w:iCs/>
        </w:rPr>
        <w:t>Pesticidy</w:t>
      </w:r>
    </w:p>
    <w:p w14:paraId="0F9F68C1" w14:textId="77777777" w:rsidR="004E2192" w:rsidRPr="00581CCA" w:rsidRDefault="004E2192" w:rsidP="004E2192">
      <w:pPr>
        <w:pStyle w:val="Zkladntextodsazen"/>
        <w:spacing w:after="0"/>
        <w:ind w:left="0"/>
        <w:rPr>
          <w:color w:val="FF0000"/>
        </w:rPr>
      </w:pPr>
    </w:p>
    <w:p w14:paraId="199BE9D6" w14:textId="5F1587CD" w:rsidR="00A33C8C" w:rsidRPr="00581CCA" w:rsidRDefault="00A33C8C" w:rsidP="00A33C8C">
      <w:pPr>
        <w:contextualSpacing/>
        <w:rPr>
          <w:rFonts w:cs="Arial"/>
        </w:rPr>
      </w:pPr>
      <w:r w:rsidRPr="00581CCA">
        <w:rPr>
          <w:rFonts w:cs="Arial"/>
        </w:rPr>
        <w:t>Nejvíce jsou vodohospodářskými laboratořemi státních podniků Povodí z </w:t>
      </w:r>
      <w:proofErr w:type="spellStart"/>
      <w:r w:rsidRPr="00581CCA">
        <w:rPr>
          <w:rFonts w:cs="Arial"/>
        </w:rPr>
        <w:t>mikropolutantů</w:t>
      </w:r>
      <w:proofErr w:type="spellEnd"/>
      <w:r w:rsidRPr="00581CCA">
        <w:rPr>
          <w:rFonts w:cs="Arial"/>
        </w:rPr>
        <w:t xml:space="preserve"> sledovány pesticidní látky a jejich metabolity. Pro rok 2025 bylo provedeno zpracování výsledků celkem z 599 profilů (celkem z 6055 vzorků) pro 199 jednotlivých látek. Pesticidy byly nalezeny v 564 profilech (94 % sledovaných profilů) celkem ve 4</w:t>
      </w:r>
      <w:r w:rsidR="00174F40">
        <w:rPr>
          <w:rFonts w:cs="Arial"/>
        </w:rPr>
        <w:t xml:space="preserve"> </w:t>
      </w:r>
      <w:r w:rsidRPr="00581CCA">
        <w:rPr>
          <w:rFonts w:cs="Arial"/>
        </w:rPr>
        <w:t xml:space="preserve">838 vzorcích (80 % vzorků). V roce 2025 bylo v povrchových vodách nalezeno celkem 152 pesticidů a jejich metabolitů, z toho 45 látek bylo nalezeno ve více jak 5 % vzorků.  Výsledky odpovídají i nastavení monitoringu těchto látek jednotlivými </w:t>
      </w:r>
      <w:r w:rsidR="001468E7">
        <w:rPr>
          <w:rFonts w:cs="Arial"/>
        </w:rPr>
        <w:t>státními p</w:t>
      </w:r>
      <w:r w:rsidRPr="00581CCA">
        <w:rPr>
          <w:rFonts w:cs="Arial"/>
        </w:rPr>
        <w:t xml:space="preserve">odniky Povodí. Tam, kde se sleduje širší spektrum látek, se pesticidy nacházejí častěji. </w:t>
      </w:r>
    </w:p>
    <w:p w14:paraId="67ACE4A7" w14:textId="77777777" w:rsidR="00581CCA" w:rsidRDefault="00581CCA" w:rsidP="00A33C8C">
      <w:pPr>
        <w:contextualSpacing/>
        <w:rPr>
          <w:rFonts w:cs="Arial"/>
        </w:rPr>
      </w:pPr>
    </w:p>
    <w:p w14:paraId="0D66807A" w14:textId="26A04F37" w:rsidR="00A33C8C" w:rsidRPr="00581CCA" w:rsidRDefault="00A33C8C" w:rsidP="00A33C8C">
      <w:pPr>
        <w:contextualSpacing/>
        <w:rPr>
          <w:rFonts w:cs="Arial"/>
        </w:rPr>
      </w:pPr>
      <w:r w:rsidRPr="00581CCA">
        <w:rPr>
          <w:rFonts w:cs="Arial"/>
        </w:rPr>
        <w:t>V roce 2025 byly nejčastěji (ve více jak 30 % sledovaných profilů a současně ve více jak 10 % vzorků v těchto profilech) nacházeny metabolity herbicidů používaných pro ošetření řepky, a to jak v současné době používaných (</w:t>
      </w:r>
      <w:proofErr w:type="spellStart"/>
      <w:r w:rsidRPr="00581CCA">
        <w:rPr>
          <w:rFonts w:cs="Arial"/>
        </w:rPr>
        <w:t>metazachlor</w:t>
      </w:r>
      <w:proofErr w:type="spellEnd"/>
      <w:r w:rsidRPr="00581CCA">
        <w:rPr>
          <w:rFonts w:cs="Arial"/>
        </w:rPr>
        <w:t xml:space="preserve">, </w:t>
      </w:r>
      <w:proofErr w:type="spellStart"/>
      <w:r w:rsidRPr="00581CCA">
        <w:rPr>
          <w:rFonts w:cs="Arial"/>
        </w:rPr>
        <w:t>dimethachlor</w:t>
      </w:r>
      <w:proofErr w:type="spellEnd"/>
      <w:r w:rsidRPr="00581CCA">
        <w:rPr>
          <w:rFonts w:cs="Arial"/>
        </w:rPr>
        <w:t xml:space="preserve">, </w:t>
      </w:r>
      <w:proofErr w:type="spellStart"/>
      <w:r w:rsidRPr="00581CCA">
        <w:rPr>
          <w:rFonts w:cs="Arial"/>
        </w:rPr>
        <w:t>pethoxamid</w:t>
      </w:r>
      <w:proofErr w:type="spellEnd"/>
      <w:r w:rsidRPr="00581CCA">
        <w:rPr>
          <w:rFonts w:cs="Arial"/>
        </w:rPr>
        <w:t xml:space="preserve">, </w:t>
      </w:r>
      <w:proofErr w:type="spellStart"/>
      <w:r w:rsidRPr="00581CCA">
        <w:rPr>
          <w:rFonts w:cs="Arial"/>
        </w:rPr>
        <w:t>dimethenamid</w:t>
      </w:r>
      <w:proofErr w:type="spellEnd"/>
      <w:r w:rsidRPr="00581CCA">
        <w:rPr>
          <w:rFonts w:cs="Arial"/>
        </w:rPr>
        <w:t>), tak již zakázaných (</w:t>
      </w:r>
      <w:proofErr w:type="spellStart"/>
      <w:r w:rsidRPr="00581CCA">
        <w:rPr>
          <w:rFonts w:cs="Arial"/>
        </w:rPr>
        <w:t>alachlor</w:t>
      </w:r>
      <w:proofErr w:type="spellEnd"/>
      <w:r w:rsidRPr="00581CCA">
        <w:rPr>
          <w:rFonts w:cs="Arial"/>
        </w:rPr>
        <w:t xml:space="preserve">, </w:t>
      </w:r>
      <w:proofErr w:type="spellStart"/>
      <w:r w:rsidRPr="00581CCA">
        <w:rPr>
          <w:rFonts w:cs="Arial"/>
        </w:rPr>
        <w:t>acetochlor</w:t>
      </w:r>
      <w:proofErr w:type="spellEnd"/>
      <w:r w:rsidRPr="00581CCA">
        <w:rPr>
          <w:rFonts w:cs="Arial"/>
        </w:rPr>
        <w:t xml:space="preserve">), kukuřice (používaných </w:t>
      </w:r>
      <w:r w:rsidR="007533A8" w:rsidRPr="00581CCA">
        <w:rPr>
          <w:rFonts w:cs="Arial"/>
        </w:rPr>
        <w:t>–</w:t>
      </w:r>
      <w:r w:rsidRPr="00581CCA">
        <w:rPr>
          <w:rFonts w:cs="Arial"/>
        </w:rPr>
        <w:t xml:space="preserve"> </w:t>
      </w:r>
      <w:proofErr w:type="spellStart"/>
      <w:r w:rsidRPr="00581CCA">
        <w:rPr>
          <w:rFonts w:cs="Arial"/>
        </w:rPr>
        <w:t>terbuthylazin</w:t>
      </w:r>
      <w:proofErr w:type="spellEnd"/>
      <w:r w:rsidRPr="00581CCA">
        <w:rPr>
          <w:rFonts w:cs="Arial"/>
        </w:rPr>
        <w:t xml:space="preserve">, </w:t>
      </w:r>
      <w:proofErr w:type="spellStart"/>
      <w:r w:rsidRPr="00581CCA">
        <w:rPr>
          <w:rFonts w:cs="Arial"/>
        </w:rPr>
        <w:t>pethoxamid</w:t>
      </w:r>
      <w:proofErr w:type="spellEnd"/>
      <w:r w:rsidRPr="00581CCA">
        <w:rPr>
          <w:rFonts w:cs="Arial"/>
        </w:rPr>
        <w:t xml:space="preserve">, </w:t>
      </w:r>
      <w:proofErr w:type="spellStart"/>
      <w:r w:rsidRPr="00581CCA">
        <w:rPr>
          <w:rFonts w:cs="Arial"/>
        </w:rPr>
        <w:t>dimethenamid</w:t>
      </w:r>
      <w:proofErr w:type="spellEnd"/>
      <w:r w:rsidRPr="00581CCA">
        <w:rPr>
          <w:rFonts w:cs="Arial"/>
        </w:rPr>
        <w:t xml:space="preserve"> a zakázaných </w:t>
      </w:r>
      <w:r w:rsidR="007533A8" w:rsidRPr="00581CCA">
        <w:rPr>
          <w:rFonts w:cs="Arial"/>
        </w:rPr>
        <w:t>–</w:t>
      </w:r>
      <w:r w:rsidRPr="00581CCA">
        <w:rPr>
          <w:rFonts w:cs="Arial"/>
        </w:rPr>
        <w:t xml:space="preserve"> atrazin, </w:t>
      </w:r>
      <w:proofErr w:type="spellStart"/>
      <w:r w:rsidRPr="00581CCA">
        <w:rPr>
          <w:rFonts w:cs="Arial"/>
        </w:rPr>
        <w:t>acetochlor</w:t>
      </w:r>
      <w:proofErr w:type="spellEnd"/>
      <w:r w:rsidRPr="00581CCA">
        <w:rPr>
          <w:rFonts w:cs="Arial"/>
        </w:rPr>
        <w:t xml:space="preserve">, </w:t>
      </w:r>
      <w:proofErr w:type="spellStart"/>
      <w:r w:rsidRPr="00581CCA">
        <w:rPr>
          <w:rFonts w:cs="Arial"/>
        </w:rPr>
        <w:t>metolachlor</w:t>
      </w:r>
      <w:proofErr w:type="spellEnd"/>
      <w:r w:rsidRPr="00581CCA">
        <w:rPr>
          <w:rFonts w:cs="Arial"/>
        </w:rPr>
        <w:t xml:space="preserve">), řepy (metabolity od roku 2021 </w:t>
      </w:r>
      <w:r w:rsidR="00083896">
        <w:rPr>
          <w:rFonts w:cs="Arial"/>
        </w:rPr>
        <w:t>nepovoleného</w:t>
      </w:r>
      <w:r w:rsidRPr="00581CCA">
        <w:rPr>
          <w:rFonts w:cs="Arial"/>
        </w:rPr>
        <w:t xml:space="preserve"> </w:t>
      </w:r>
      <w:proofErr w:type="spellStart"/>
      <w:r w:rsidRPr="00581CCA">
        <w:rPr>
          <w:rFonts w:cs="Arial"/>
        </w:rPr>
        <w:t>chloridazonu</w:t>
      </w:r>
      <w:proofErr w:type="spellEnd"/>
      <w:r w:rsidRPr="00581CCA">
        <w:rPr>
          <w:rFonts w:cs="Arial"/>
        </w:rPr>
        <w:t xml:space="preserve">), popřípadě </w:t>
      </w:r>
      <w:r w:rsidR="005145A1" w:rsidRPr="005145A1">
        <w:rPr>
          <w:rFonts w:cs="Arial"/>
        </w:rPr>
        <w:t>neselektivní</w:t>
      </w:r>
      <w:r w:rsidRPr="00581CCA">
        <w:rPr>
          <w:rFonts w:cs="Arial"/>
        </w:rPr>
        <w:t xml:space="preserve"> herbicid glyfosát a jeho metabolit AMPA. Z fungicidů se nejčastěji vyskytovala povolená látka </w:t>
      </w:r>
      <w:proofErr w:type="spellStart"/>
      <w:r w:rsidRPr="00581CCA">
        <w:rPr>
          <w:rFonts w:cs="Arial"/>
        </w:rPr>
        <w:t>tebukonazol</w:t>
      </w:r>
      <w:proofErr w:type="spellEnd"/>
      <w:r w:rsidRPr="00581CCA">
        <w:rPr>
          <w:rFonts w:cs="Arial"/>
        </w:rPr>
        <w:t xml:space="preserve"> a metabolit povoleného </w:t>
      </w:r>
      <w:proofErr w:type="spellStart"/>
      <w:r w:rsidRPr="00581CCA">
        <w:rPr>
          <w:rFonts w:cs="Arial"/>
        </w:rPr>
        <w:t>azoxystrobinu</w:t>
      </w:r>
      <w:proofErr w:type="spellEnd"/>
      <w:r w:rsidRPr="00581CCA">
        <w:rPr>
          <w:rFonts w:cs="Arial"/>
        </w:rPr>
        <w:t xml:space="preserve">. Z ostatních látek to pak byly herbicidy </w:t>
      </w:r>
      <w:proofErr w:type="spellStart"/>
      <w:r w:rsidRPr="00581CCA">
        <w:rPr>
          <w:rFonts w:cs="Arial"/>
        </w:rPr>
        <w:t>bentazon</w:t>
      </w:r>
      <w:proofErr w:type="spellEnd"/>
      <w:r w:rsidRPr="00581CCA">
        <w:rPr>
          <w:rFonts w:cs="Arial"/>
        </w:rPr>
        <w:t xml:space="preserve">, metabolit </w:t>
      </w:r>
      <w:proofErr w:type="spellStart"/>
      <w:r w:rsidRPr="00581CCA">
        <w:rPr>
          <w:rFonts w:cs="Arial"/>
        </w:rPr>
        <w:t>flufenacetu</w:t>
      </w:r>
      <w:proofErr w:type="spellEnd"/>
      <w:r w:rsidRPr="00581CCA">
        <w:rPr>
          <w:rFonts w:cs="Arial"/>
        </w:rPr>
        <w:t xml:space="preserve">, </w:t>
      </w:r>
      <w:proofErr w:type="spellStart"/>
      <w:r w:rsidRPr="00581CCA">
        <w:rPr>
          <w:rFonts w:cs="Arial"/>
        </w:rPr>
        <w:t>clopyralid</w:t>
      </w:r>
      <w:proofErr w:type="spellEnd"/>
      <w:r w:rsidRPr="00581CCA">
        <w:rPr>
          <w:rFonts w:cs="Arial"/>
        </w:rPr>
        <w:t xml:space="preserve">, </w:t>
      </w:r>
      <w:proofErr w:type="spellStart"/>
      <w:r w:rsidRPr="00581CCA">
        <w:rPr>
          <w:rFonts w:cs="Arial"/>
        </w:rPr>
        <w:t>chlorotoluron</w:t>
      </w:r>
      <w:proofErr w:type="spellEnd"/>
      <w:r w:rsidRPr="00581CCA">
        <w:rPr>
          <w:rFonts w:cs="Arial"/>
        </w:rPr>
        <w:t xml:space="preserve"> a v zemědělství již nepoužívané insekticidy </w:t>
      </w:r>
      <w:proofErr w:type="spellStart"/>
      <w:r w:rsidRPr="00581CCA">
        <w:rPr>
          <w:rFonts w:cs="Arial"/>
        </w:rPr>
        <w:t>imidacloprid</w:t>
      </w:r>
      <w:proofErr w:type="spellEnd"/>
      <w:r w:rsidRPr="00581CCA">
        <w:rPr>
          <w:rFonts w:cs="Arial"/>
        </w:rPr>
        <w:t xml:space="preserve"> a fipronil (ten se v současnosti běžně používá jako </w:t>
      </w:r>
      <w:proofErr w:type="spellStart"/>
      <w:r w:rsidRPr="00581CCA">
        <w:rPr>
          <w:rFonts w:cs="Arial"/>
        </w:rPr>
        <w:t>antiparazitikum</w:t>
      </w:r>
      <w:proofErr w:type="spellEnd"/>
      <w:r w:rsidRPr="00581CCA">
        <w:rPr>
          <w:rFonts w:cs="Arial"/>
        </w:rPr>
        <w:t xml:space="preserve"> pro psy a kočky). Na menším počtu profilů (36) byly také velmi často nacházeny kyselina trifluoroctová (společný metabolit desítek pesticidů obsahujících </w:t>
      </w:r>
      <w:proofErr w:type="spellStart"/>
      <w:r w:rsidRPr="00581CCA">
        <w:rPr>
          <w:rFonts w:cs="Arial"/>
        </w:rPr>
        <w:t>trifluormetylovou</w:t>
      </w:r>
      <w:proofErr w:type="spellEnd"/>
      <w:r w:rsidRPr="00581CCA">
        <w:rPr>
          <w:rFonts w:cs="Arial"/>
        </w:rPr>
        <w:t xml:space="preserve"> skupinu), 1,2,4-triazol (metabolit </w:t>
      </w:r>
      <w:proofErr w:type="spellStart"/>
      <w:r w:rsidRPr="00581CCA">
        <w:rPr>
          <w:rFonts w:cs="Arial"/>
        </w:rPr>
        <w:t>azolových</w:t>
      </w:r>
      <w:proofErr w:type="spellEnd"/>
      <w:r w:rsidRPr="00581CCA">
        <w:rPr>
          <w:rFonts w:cs="Arial"/>
        </w:rPr>
        <w:t xml:space="preserve"> fungicidů) a </w:t>
      </w:r>
      <w:proofErr w:type="spellStart"/>
      <w:r w:rsidRPr="00581CCA">
        <w:rPr>
          <w:rFonts w:cs="Arial"/>
        </w:rPr>
        <w:t>chlorothalonil</w:t>
      </w:r>
      <w:proofErr w:type="spellEnd"/>
      <w:r w:rsidRPr="00581CCA">
        <w:rPr>
          <w:rFonts w:cs="Arial"/>
        </w:rPr>
        <w:t xml:space="preserve"> R471811 (metabolit dnes již nepoužívaného fungicidu </w:t>
      </w:r>
      <w:proofErr w:type="spellStart"/>
      <w:r w:rsidRPr="00581CCA">
        <w:rPr>
          <w:rFonts w:cs="Arial"/>
        </w:rPr>
        <w:t>chlorothalonilu</w:t>
      </w:r>
      <w:proofErr w:type="spellEnd"/>
      <w:r w:rsidRPr="00581CCA">
        <w:rPr>
          <w:rFonts w:cs="Arial"/>
        </w:rPr>
        <w:t>).</w:t>
      </w:r>
    </w:p>
    <w:p w14:paraId="4140ADDA" w14:textId="77777777" w:rsidR="00581CCA" w:rsidRDefault="00581CCA" w:rsidP="00A33C8C">
      <w:pPr>
        <w:contextualSpacing/>
        <w:rPr>
          <w:rFonts w:cs="Arial"/>
        </w:rPr>
      </w:pPr>
    </w:p>
    <w:p w14:paraId="305B719B" w14:textId="6ECCC8CF" w:rsidR="00A33C8C" w:rsidRPr="00581CCA" w:rsidRDefault="00A33C8C" w:rsidP="00A33C8C">
      <w:pPr>
        <w:contextualSpacing/>
        <w:rPr>
          <w:rFonts w:cs="Arial"/>
        </w:rPr>
      </w:pPr>
      <w:r w:rsidRPr="00581CCA">
        <w:rPr>
          <w:rFonts w:cs="Arial"/>
        </w:rPr>
        <w:t xml:space="preserve">Nejvíce látek bylo v průběhu roku nalezeno v profilech Luková – Cidlina (54), Sány – Cidlina (53 látek), Kosičky – Bystřice (53), Nový Bydžov – Králický potok (50), Židlochovice – Litava (45), Krumvíř – Spálený potok (44), </w:t>
      </w:r>
      <w:proofErr w:type="spellStart"/>
      <w:r w:rsidRPr="00581CCA">
        <w:rPr>
          <w:rFonts w:cs="Arial"/>
        </w:rPr>
        <w:t>Chrastovice</w:t>
      </w:r>
      <w:proofErr w:type="spellEnd"/>
      <w:r w:rsidRPr="00581CCA">
        <w:rPr>
          <w:rFonts w:cs="Arial"/>
        </w:rPr>
        <w:t xml:space="preserve"> – Čechtický potok (44), Rohozec – Brslenka (43), Nymburk – Mrlina (43), Lysá nad Labem – Labe (43), Moutnice – </w:t>
      </w:r>
      <w:proofErr w:type="spellStart"/>
      <w:r w:rsidRPr="00581CCA">
        <w:rPr>
          <w:rFonts w:cs="Arial"/>
        </w:rPr>
        <w:t>Moutnický</w:t>
      </w:r>
      <w:proofErr w:type="spellEnd"/>
      <w:r w:rsidRPr="00581CCA">
        <w:rPr>
          <w:rFonts w:cs="Arial"/>
        </w:rPr>
        <w:t xml:space="preserve"> potok (43), Měnín – Litava (43), Mladoňovice na Moravě – </w:t>
      </w:r>
      <w:proofErr w:type="spellStart"/>
      <w:r w:rsidRPr="00581CCA">
        <w:rPr>
          <w:rFonts w:cs="Arial"/>
        </w:rPr>
        <w:t>Bihanka</w:t>
      </w:r>
      <w:proofErr w:type="spellEnd"/>
      <w:r w:rsidRPr="00581CCA">
        <w:rPr>
          <w:rFonts w:cs="Arial"/>
        </w:rPr>
        <w:t xml:space="preserve"> (42), Strojetice </w:t>
      </w:r>
      <w:proofErr w:type="spellStart"/>
      <w:r w:rsidRPr="00581CCA">
        <w:rPr>
          <w:rFonts w:cs="Arial"/>
        </w:rPr>
        <w:t>Leský</w:t>
      </w:r>
      <w:proofErr w:type="spellEnd"/>
      <w:r w:rsidRPr="00581CCA">
        <w:rPr>
          <w:rFonts w:cs="Arial"/>
        </w:rPr>
        <w:t xml:space="preserve"> Mlýn – Sedlický potok (42), Kralupy nad Vltavou – Zákolanský potok (42)‚ Jaroměřice nad Rokytnou – </w:t>
      </w:r>
      <w:proofErr w:type="spellStart"/>
      <w:r w:rsidRPr="00581CCA">
        <w:rPr>
          <w:rFonts w:cs="Arial"/>
        </w:rPr>
        <w:t>Štěpánovický</w:t>
      </w:r>
      <w:proofErr w:type="spellEnd"/>
      <w:r w:rsidRPr="00581CCA">
        <w:rPr>
          <w:rFonts w:cs="Arial"/>
        </w:rPr>
        <w:t xml:space="preserve"> potok (41), Senožaty – Martinický potok (41), Pelhřimov pod – Bělá (41), Samšín – </w:t>
      </w:r>
      <w:proofErr w:type="spellStart"/>
      <w:r w:rsidRPr="00581CCA">
        <w:rPr>
          <w:rFonts w:cs="Arial"/>
        </w:rPr>
        <w:t>Kejtovský</w:t>
      </w:r>
      <w:proofErr w:type="spellEnd"/>
      <w:r w:rsidRPr="00581CCA">
        <w:rPr>
          <w:rFonts w:cs="Arial"/>
        </w:rPr>
        <w:t xml:space="preserve"> potok (41), Valy – Labe (40), Bakov nad Jizerou – </w:t>
      </w:r>
      <w:proofErr w:type="spellStart"/>
      <w:r w:rsidRPr="00581CCA">
        <w:rPr>
          <w:rFonts w:cs="Arial"/>
        </w:rPr>
        <w:t>Kněžmostka</w:t>
      </w:r>
      <w:proofErr w:type="spellEnd"/>
      <w:r w:rsidRPr="00581CCA">
        <w:rPr>
          <w:rFonts w:cs="Arial"/>
        </w:rPr>
        <w:t xml:space="preserve"> (40), Rakvice – Trkmanka (40), Ústrašice – Maršovský potok (40).</w:t>
      </w:r>
    </w:p>
    <w:p w14:paraId="4A2418F6" w14:textId="77777777" w:rsidR="00581CCA" w:rsidRDefault="00581CCA" w:rsidP="00A33C8C">
      <w:pPr>
        <w:contextualSpacing/>
        <w:rPr>
          <w:rFonts w:cs="Arial"/>
        </w:rPr>
      </w:pPr>
    </w:p>
    <w:p w14:paraId="3F22245F" w14:textId="307CA17E" w:rsidR="00A33C8C" w:rsidRPr="00581CCA" w:rsidRDefault="00A33C8C" w:rsidP="00A33C8C">
      <w:pPr>
        <w:contextualSpacing/>
        <w:rPr>
          <w:rFonts w:cs="Arial"/>
        </w:rPr>
      </w:pPr>
      <w:r w:rsidRPr="00581CCA">
        <w:rPr>
          <w:rFonts w:cs="Arial"/>
        </w:rPr>
        <w:t>Nejvyšší sumární koncentrace pesticidů (sumy ročních průměrných a ročních maximálních koncentrací jednotlivých látek v profilu) byly zjištěny v profilech Nový Bydžov – Králický potok (průměr 7</w:t>
      </w:r>
      <w:r w:rsidR="005B2A26">
        <w:rPr>
          <w:rFonts w:cs="Arial"/>
        </w:rPr>
        <w:t>,</w:t>
      </w:r>
      <w:r w:rsidRPr="00581CCA">
        <w:rPr>
          <w:rFonts w:cs="Arial"/>
        </w:rPr>
        <w:t xml:space="preserve">74 </w:t>
      </w:r>
      <w:proofErr w:type="spellStart"/>
      <w:r w:rsidRPr="00581CCA">
        <w:rPr>
          <w:rFonts w:cs="Arial"/>
        </w:rPr>
        <w:t>μg</w:t>
      </w:r>
      <w:proofErr w:type="spellEnd"/>
      <w:r w:rsidRPr="00581CCA">
        <w:rPr>
          <w:rFonts w:cs="Arial"/>
        </w:rPr>
        <w:t>/l, maximum 25</w:t>
      </w:r>
      <w:r w:rsidR="005B2A26">
        <w:rPr>
          <w:rFonts w:cs="Arial"/>
        </w:rPr>
        <w:t>,</w:t>
      </w:r>
      <w:r w:rsidRPr="00581CCA">
        <w:rPr>
          <w:rFonts w:cs="Arial"/>
        </w:rPr>
        <w:t xml:space="preserve">27 </w:t>
      </w:r>
      <w:proofErr w:type="spellStart"/>
      <w:r w:rsidRPr="00581CCA">
        <w:rPr>
          <w:rFonts w:cs="Arial"/>
        </w:rPr>
        <w:t>μg</w:t>
      </w:r>
      <w:proofErr w:type="spellEnd"/>
      <w:r w:rsidRPr="00581CCA">
        <w:rPr>
          <w:rFonts w:cs="Arial"/>
        </w:rPr>
        <w:t xml:space="preserve">/l), </w:t>
      </w:r>
      <w:proofErr w:type="spellStart"/>
      <w:r w:rsidRPr="00581CCA">
        <w:rPr>
          <w:rFonts w:cs="Arial"/>
        </w:rPr>
        <w:t>Chrastovice</w:t>
      </w:r>
      <w:proofErr w:type="spellEnd"/>
      <w:r w:rsidRPr="00581CCA">
        <w:rPr>
          <w:rFonts w:cs="Arial"/>
        </w:rPr>
        <w:t xml:space="preserve"> – Čechtický potok (průměr 5</w:t>
      </w:r>
      <w:r w:rsidR="005B2A26">
        <w:rPr>
          <w:rFonts w:cs="Arial"/>
        </w:rPr>
        <w:t>,</w:t>
      </w:r>
      <w:r w:rsidRPr="00581CCA">
        <w:rPr>
          <w:rFonts w:cs="Arial"/>
        </w:rPr>
        <w:t xml:space="preserve">73 </w:t>
      </w:r>
      <w:proofErr w:type="spellStart"/>
      <w:r w:rsidRPr="00581CCA">
        <w:rPr>
          <w:rFonts w:cs="Arial"/>
        </w:rPr>
        <w:t>μg</w:t>
      </w:r>
      <w:proofErr w:type="spellEnd"/>
      <w:r w:rsidRPr="00581CCA">
        <w:rPr>
          <w:rFonts w:cs="Arial"/>
        </w:rPr>
        <w:t>/l, maximum 11</w:t>
      </w:r>
      <w:r w:rsidR="005B2A26">
        <w:rPr>
          <w:rFonts w:cs="Arial"/>
        </w:rPr>
        <w:t>,</w:t>
      </w:r>
      <w:r w:rsidRPr="00581CCA">
        <w:rPr>
          <w:rFonts w:cs="Arial"/>
        </w:rPr>
        <w:t xml:space="preserve">27 </w:t>
      </w:r>
      <w:proofErr w:type="spellStart"/>
      <w:r w:rsidRPr="00581CCA">
        <w:rPr>
          <w:rFonts w:cs="Arial"/>
        </w:rPr>
        <w:t>μg</w:t>
      </w:r>
      <w:proofErr w:type="spellEnd"/>
      <w:r w:rsidRPr="00581CCA">
        <w:rPr>
          <w:rFonts w:cs="Arial"/>
        </w:rPr>
        <w:t xml:space="preserve">/l), </w:t>
      </w:r>
      <w:proofErr w:type="spellStart"/>
      <w:r w:rsidRPr="00581CCA">
        <w:rPr>
          <w:rFonts w:cs="Arial"/>
        </w:rPr>
        <w:t>Bykáň</w:t>
      </w:r>
      <w:proofErr w:type="spellEnd"/>
      <w:r w:rsidRPr="00581CCA">
        <w:rPr>
          <w:rFonts w:cs="Arial"/>
        </w:rPr>
        <w:t xml:space="preserve"> – Opatovický potok (průměr 5</w:t>
      </w:r>
      <w:r w:rsidR="005B2A26">
        <w:rPr>
          <w:rFonts w:cs="Arial"/>
        </w:rPr>
        <w:t>,</w:t>
      </w:r>
      <w:r w:rsidRPr="00581CCA">
        <w:rPr>
          <w:rFonts w:cs="Arial"/>
        </w:rPr>
        <w:t xml:space="preserve">37 </w:t>
      </w:r>
      <w:proofErr w:type="spellStart"/>
      <w:r w:rsidRPr="00581CCA">
        <w:rPr>
          <w:rFonts w:cs="Arial"/>
        </w:rPr>
        <w:t>μg</w:t>
      </w:r>
      <w:proofErr w:type="spellEnd"/>
      <w:r w:rsidRPr="00581CCA">
        <w:rPr>
          <w:rFonts w:cs="Arial"/>
        </w:rPr>
        <w:t>/l, maximum 9</w:t>
      </w:r>
      <w:r w:rsidR="009F45A1">
        <w:rPr>
          <w:rFonts w:cs="Arial"/>
        </w:rPr>
        <w:t>,</w:t>
      </w:r>
      <w:r w:rsidRPr="00581CCA">
        <w:rPr>
          <w:rFonts w:cs="Arial"/>
        </w:rPr>
        <w:t xml:space="preserve">43 </w:t>
      </w:r>
      <w:proofErr w:type="spellStart"/>
      <w:r w:rsidRPr="00581CCA">
        <w:rPr>
          <w:rFonts w:cs="Arial"/>
        </w:rPr>
        <w:t>μg</w:t>
      </w:r>
      <w:proofErr w:type="spellEnd"/>
      <w:r w:rsidRPr="00581CCA">
        <w:rPr>
          <w:rFonts w:cs="Arial"/>
        </w:rPr>
        <w:t>/l), VN Němčice – Čechtický potok (průměr 5</w:t>
      </w:r>
      <w:r w:rsidR="009F45A1">
        <w:rPr>
          <w:rFonts w:cs="Arial"/>
        </w:rPr>
        <w:t>,</w:t>
      </w:r>
      <w:r w:rsidRPr="00581CCA">
        <w:rPr>
          <w:rFonts w:cs="Arial"/>
        </w:rPr>
        <w:t xml:space="preserve">17 </w:t>
      </w:r>
      <w:proofErr w:type="spellStart"/>
      <w:r w:rsidRPr="00581CCA">
        <w:rPr>
          <w:rFonts w:cs="Arial"/>
        </w:rPr>
        <w:t>μg</w:t>
      </w:r>
      <w:proofErr w:type="spellEnd"/>
      <w:r w:rsidRPr="00581CCA">
        <w:rPr>
          <w:rFonts w:cs="Arial"/>
        </w:rPr>
        <w:t>/l, maximum 7</w:t>
      </w:r>
      <w:r w:rsidR="009F45A1">
        <w:rPr>
          <w:rFonts w:cs="Arial"/>
        </w:rPr>
        <w:t>,</w:t>
      </w:r>
      <w:r w:rsidRPr="00581CCA">
        <w:rPr>
          <w:rFonts w:cs="Arial"/>
        </w:rPr>
        <w:t xml:space="preserve">67 </w:t>
      </w:r>
      <w:proofErr w:type="spellStart"/>
      <w:r w:rsidRPr="00581CCA">
        <w:rPr>
          <w:rFonts w:cs="Arial"/>
        </w:rPr>
        <w:t>μg</w:t>
      </w:r>
      <w:proofErr w:type="spellEnd"/>
      <w:r w:rsidRPr="00581CCA">
        <w:rPr>
          <w:rFonts w:cs="Arial"/>
        </w:rPr>
        <w:t>/l), Senožaty – Martinický potok (průměr 5</w:t>
      </w:r>
      <w:r w:rsidR="008B5486">
        <w:rPr>
          <w:rFonts w:cs="Arial"/>
        </w:rPr>
        <w:t>,</w:t>
      </w:r>
      <w:r w:rsidRPr="00581CCA">
        <w:rPr>
          <w:rFonts w:cs="Arial"/>
        </w:rPr>
        <w:t xml:space="preserve">09 </w:t>
      </w:r>
      <w:proofErr w:type="spellStart"/>
      <w:r w:rsidRPr="00581CCA">
        <w:rPr>
          <w:rFonts w:cs="Arial"/>
        </w:rPr>
        <w:t>μg</w:t>
      </w:r>
      <w:proofErr w:type="spellEnd"/>
      <w:r w:rsidRPr="00581CCA">
        <w:rPr>
          <w:rFonts w:cs="Arial"/>
        </w:rPr>
        <w:t>/l, maximum 7</w:t>
      </w:r>
      <w:r w:rsidR="008B5486">
        <w:rPr>
          <w:rFonts w:cs="Arial"/>
        </w:rPr>
        <w:t>,</w:t>
      </w:r>
      <w:r w:rsidRPr="00581CCA">
        <w:rPr>
          <w:rFonts w:cs="Arial"/>
        </w:rPr>
        <w:t xml:space="preserve">57 </w:t>
      </w:r>
      <w:proofErr w:type="spellStart"/>
      <w:r w:rsidRPr="00581CCA">
        <w:rPr>
          <w:rFonts w:cs="Arial"/>
        </w:rPr>
        <w:t>μg</w:t>
      </w:r>
      <w:proofErr w:type="spellEnd"/>
      <w:r w:rsidRPr="00581CCA">
        <w:rPr>
          <w:rFonts w:cs="Arial"/>
        </w:rPr>
        <w:t xml:space="preserve">/l), </w:t>
      </w:r>
      <w:proofErr w:type="spellStart"/>
      <w:r w:rsidRPr="00581CCA">
        <w:rPr>
          <w:rFonts w:cs="Arial"/>
          <w:lang w:val="en-US"/>
        </w:rPr>
        <w:t>Dolní</w:t>
      </w:r>
      <w:proofErr w:type="spellEnd"/>
      <w:r w:rsidRPr="00581CCA">
        <w:rPr>
          <w:rFonts w:cs="Arial"/>
          <w:lang w:val="en-US"/>
        </w:rPr>
        <w:t xml:space="preserve"> </w:t>
      </w:r>
      <w:proofErr w:type="spellStart"/>
      <w:r w:rsidRPr="00581CCA">
        <w:rPr>
          <w:rFonts w:cs="Arial"/>
          <w:lang w:val="en-US"/>
        </w:rPr>
        <w:t>Benešov</w:t>
      </w:r>
      <w:proofErr w:type="spellEnd"/>
      <w:r w:rsidRPr="00581CCA">
        <w:rPr>
          <w:rFonts w:cs="Arial"/>
          <w:lang w:val="en-US"/>
        </w:rPr>
        <w:t xml:space="preserve"> – </w:t>
      </w:r>
      <w:proofErr w:type="spellStart"/>
      <w:r w:rsidRPr="00581CCA">
        <w:rPr>
          <w:rFonts w:cs="Arial"/>
          <w:lang w:val="en-US"/>
        </w:rPr>
        <w:t>Opusta</w:t>
      </w:r>
      <w:proofErr w:type="spellEnd"/>
      <w:r w:rsidRPr="00581CCA">
        <w:rPr>
          <w:rFonts w:cs="Arial"/>
          <w:lang w:val="en-US"/>
        </w:rPr>
        <w:t xml:space="preserve"> </w:t>
      </w:r>
      <w:r w:rsidRPr="00581CCA">
        <w:rPr>
          <w:rFonts w:cs="Arial"/>
        </w:rPr>
        <w:t>(průměr 4</w:t>
      </w:r>
      <w:r w:rsidR="008B5486">
        <w:rPr>
          <w:rFonts w:cs="Arial"/>
        </w:rPr>
        <w:t>,</w:t>
      </w:r>
      <w:r w:rsidRPr="00581CCA">
        <w:rPr>
          <w:rFonts w:cs="Arial"/>
        </w:rPr>
        <w:t xml:space="preserve">97 </w:t>
      </w:r>
      <w:proofErr w:type="spellStart"/>
      <w:r w:rsidRPr="00581CCA">
        <w:rPr>
          <w:rFonts w:cs="Arial"/>
        </w:rPr>
        <w:t>μg</w:t>
      </w:r>
      <w:proofErr w:type="spellEnd"/>
      <w:r w:rsidRPr="00581CCA">
        <w:rPr>
          <w:rFonts w:cs="Arial"/>
        </w:rPr>
        <w:t>/l, maximum 14</w:t>
      </w:r>
      <w:r w:rsidR="008B5486">
        <w:rPr>
          <w:rFonts w:cs="Arial"/>
        </w:rPr>
        <w:t>,</w:t>
      </w:r>
      <w:r w:rsidRPr="00581CCA">
        <w:rPr>
          <w:rFonts w:cs="Arial"/>
        </w:rPr>
        <w:t xml:space="preserve">78 </w:t>
      </w:r>
      <w:proofErr w:type="spellStart"/>
      <w:r w:rsidRPr="00581CCA">
        <w:rPr>
          <w:rFonts w:cs="Arial"/>
        </w:rPr>
        <w:t>μg</w:t>
      </w:r>
      <w:proofErr w:type="spellEnd"/>
      <w:r w:rsidRPr="00581CCA">
        <w:rPr>
          <w:rFonts w:cs="Arial"/>
        </w:rPr>
        <w:t xml:space="preserve">/l), Strojetice </w:t>
      </w:r>
      <w:proofErr w:type="spellStart"/>
      <w:r w:rsidRPr="00581CCA">
        <w:rPr>
          <w:rFonts w:cs="Arial"/>
        </w:rPr>
        <w:t>Leský</w:t>
      </w:r>
      <w:proofErr w:type="spellEnd"/>
      <w:r w:rsidRPr="00581CCA">
        <w:rPr>
          <w:rFonts w:cs="Arial"/>
        </w:rPr>
        <w:t xml:space="preserve"> Mlýn – Sedlický potok (průměr 4</w:t>
      </w:r>
      <w:r w:rsidR="008B5486">
        <w:rPr>
          <w:rFonts w:cs="Arial"/>
        </w:rPr>
        <w:t>,</w:t>
      </w:r>
      <w:r w:rsidRPr="00581CCA">
        <w:rPr>
          <w:rFonts w:cs="Arial"/>
        </w:rPr>
        <w:t xml:space="preserve">86 </w:t>
      </w:r>
      <w:proofErr w:type="spellStart"/>
      <w:r w:rsidRPr="00581CCA">
        <w:rPr>
          <w:rFonts w:cs="Arial"/>
        </w:rPr>
        <w:t>μg</w:t>
      </w:r>
      <w:proofErr w:type="spellEnd"/>
      <w:r w:rsidRPr="00581CCA">
        <w:rPr>
          <w:rFonts w:cs="Arial"/>
        </w:rPr>
        <w:t>/l, maximum 9</w:t>
      </w:r>
      <w:r w:rsidR="008B5486">
        <w:rPr>
          <w:rFonts w:cs="Arial"/>
        </w:rPr>
        <w:t>,</w:t>
      </w:r>
      <w:r w:rsidRPr="00581CCA">
        <w:rPr>
          <w:rFonts w:cs="Arial"/>
        </w:rPr>
        <w:t xml:space="preserve">36 </w:t>
      </w:r>
      <w:proofErr w:type="spellStart"/>
      <w:r w:rsidRPr="00581CCA">
        <w:rPr>
          <w:rFonts w:cs="Arial"/>
        </w:rPr>
        <w:t>μg</w:t>
      </w:r>
      <w:proofErr w:type="spellEnd"/>
      <w:r w:rsidRPr="00581CCA">
        <w:rPr>
          <w:rFonts w:cs="Arial"/>
        </w:rPr>
        <w:t>/l), VN Švihov (Bělský Dvůr) – Želivka (průměr 4</w:t>
      </w:r>
      <w:r w:rsidR="002A2504">
        <w:rPr>
          <w:rFonts w:cs="Arial"/>
        </w:rPr>
        <w:t>,</w:t>
      </w:r>
      <w:r w:rsidRPr="00581CCA">
        <w:rPr>
          <w:rFonts w:cs="Arial"/>
        </w:rPr>
        <w:t xml:space="preserve">81 </w:t>
      </w:r>
      <w:proofErr w:type="spellStart"/>
      <w:r w:rsidRPr="00581CCA">
        <w:rPr>
          <w:rFonts w:cs="Arial"/>
        </w:rPr>
        <w:t>μg</w:t>
      </w:r>
      <w:proofErr w:type="spellEnd"/>
      <w:r w:rsidRPr="00581CCA">
        <w:rPr>
          <w:rFonts w:cs="Arial"/>
        </w:rPr>
        <w:t>/l, maximum 6</w:t>
      </w:r>
      <w:r w:rsidR="002A2504">
        <w:rPr>
          <w:rFonts w:cs="Arial"/>
        </w:rPr>
        <w:t>,</w:t>
      </w:r>
      <w:r w:rsidRPr="00581CCA">
        <w:rPr>
          <w:rFonts w:cs="Arial"/>
        </w:rPr>
        <w:t xml:space="preserve">51 </w:t>
      </w:r>
      <w:proofErr w:type="spellStart"/>
      <w:r w:rsidRPr="00581CCA">
        <w:rPr>
          <w:rFonts w:cs="Arial"/>
        </w:rPr>
        <w:t>μg</w:t>
      </w:r>
      <w:proofErr w:type="spellEnd"/>
      <w:r w:rsidRPr="00581CCA">
        <w:rPr>
          <w:rFonts w:cs="Arial"/>
        </w:rPr>
        <w:t>/l), Rohozec – Brslenka (průměr 4</w:t>
      </w:r>
      <w:r w:rsidR="002A2504">
        <w:rPr>
          <w:rFonts w:cs="Arial"/>
        </w:rPr>
        <w:t>,</w:t>
      </w:r>
      <w:r w:rsidRPr="00581CCA">
        <w:rPr>
          <w:rFonts w:cs="Arial"/>
        </w:rPr>
        <w:t xml:space="preserve">62 </w:t>
      </w:r>
      <w:proofErr w:type="spellStart"/>
      <w:r w:rsidRPr="00581CCA">
        <w:rPr>
          <w:rFonts w:cs="Arial"/>
        </w:rPr>
        <w:t>μg</w:t>
      </w:r>
      <w:proofErr w:type="spellEnd"/>
      <w:r w:rsidRPr="00581CCA">
        <w:rPr>
          <w:rFonts w:cs="Arial"/>
        </w:rPr>
        <w:t>/l, maximum 9</w:t>
      </w:r>
      <w:r w:rsidR="002A2504">
        <w:rPr>
          <w:rFonts w:cs="Arial"/>
        </w:rPr>
        <w:t>,</w:t>
      </w:r>
      <w:r w:rsidRPr="00581CCA">
        <w:rPr>
          <w:rFonts w:cs="Arial"/>
        </w:rPr>
        <w:t xml:space="preserve">76 </w:t>
      </w:r>
      <w:proofErr w:type="spellStart"/>
      <w:r w:rsidRPr="00581CCA">
        <w:rPr>
          <w:rFonts w:cs="Arial"/>
        </w:rPr>
        <w:t>μg</w:t>
      </w:r>
      <w:proofErr w:type="spellEnd"/>
      <w:r w:rsidRPr="00581CCA">
        <w:rPr>
          <w:rFonts w:cs="Arial"/>
        </w:rPr>
        <w:t xml:space="preserve">/l), Blažejovice pod </w:t>
      </w:r>
      <w:r w:rsidR="00C92FF7" w:rsidRPr="00581CCA">
        <w:rPr>
          <w:rFonts w:cs="Arial"/>
        </w:rPr>
        <w:t>–</w:t>
      </w:r>
      <w:r w:rsidRPr="00581CCA">
        <w:rPr>
          <w:rFonts w:cs="Arial"/>
        </w:rPr>
        <w:t xml:space="preserve"> </w:t>
      </w:r>
      <w:proofErr w:type="spellStart"/>
      <w:r w:rsidRPr="00581CCA">
        <w:rPr>
          <w:rFonts w:cs="Arial"/>
        </w:rPr>
        <w:t>Blažejovický</w:t>
      </w:r>
      <w:proofErr w:type="spellEnd"/>
      <w:r w:rsidRPr="00581CCA">
        <w:rPr>
          <w:rFonts w:cs="Arial"/>
        </w:rPr>
        <w:t xml:space="preserve"> potok (průměr 4</w:t>
      </w:r>
      <w:r w:rsidR="0048687B">
        <w:rPr>
          <w:rFonts w:cs="Arial"/>
        </w:rPr>
        <w:t>,</w:t>
      </w:r>
      <w:r w:rsidRPr="00581CCA">
        <w:rPr>
          <w:rFonts w:cs="Arial"/>
        </w:rPr>
        <w:t xml:space="preserve">6 </w:t>
      </w:r>
      <w:proofErr w:type="spellStart"/>
      <w:r w:rsidRPr="00581CCA">
        <w:rPr>
          <w:rFonts w:cs="Arial"/>
        </w:rPr>
        <w:t>μg</w:t>
      </w:r>
      <w:proofErr w:type="spellEnd"/>
      <w:r w:rsidRPr="00581CCA">
        <w:rPr>
          <w:rFonts w:cs="Arial"/>
        </w:rPr>
        <w:t>/l, maximum 7</w:t>
      </w:r>
      <w:r w:rsidR="0048687B">
        <w:rPr>
          <w:rFonts w:cs="Arial"/>
        </w:rPr>
        <w:t>,</w:t>
      </w:r>
      <w:r w:rsidRPr="00581CCA">
        <w:rPr>
          <w:rFonts w:cs="Arial"/>
        </w:rPr>
        <w:t xml:space="preserve">1 </w:t>
      </w:r>
      <w:proofErr w:type="spellStart"/>
      <w:r w:rsidRPr="00581CCA">
        <w:rPr>
          <w:rFonts w:cs="Arial"/>
        </w:rPr>
        <w:t>μg</w:t>
      </w:r>
      <w:proofErr w:type="spellEnd"/>
      <w:r w:rsidRPr="00581CCA">
        <w:rPr>
          <w:rFonts w:cs="Arial"/>
        </w:rPr>
        <w:t>/l), VN Švihov Sedlická zátoka – Sedlický potok (průměr 4</w:t>
      </w:r>
      <w:r w:rsidR="0048687B">
        <w:rPr>
          <w:rFonts w:cs="Arial"/>
        </w:rPr>
        <w:t>,</w:t>
      </w:r>
      <w:r w:rsidRPr="00581CCA">
        <w:rPr>
          <w:rFonts w:cs="Arial"/>
        </w:rPr>
        <w:t xml:space="preserve">55 </w:t>
      </w:r>
      <w:proofErr w:type="spellStart"/>
      <w:r w:rsidRPr="00581CCA">
        <w:rPr>
          <w:rFonts w:cs="Arial"/>
        </w:rPr>
        <w:t>μg</w:t>
      </w:r>
      <w:proofErr w:type="spellEnd"/>
      <w:r w:rsidRPr="00581CCA">
        <w:rPr>
          <w:rFonts w:cs="Arial"/>
        </w:rPr>
        <w:t>/l, maximum 5</w:t>
      </w:r>
      <w:r w:rsidR="0048687B">
        <w:rPr>
          <w:rFonts w:cs="Arial"/>
        </w:rPr>
        <w:t>,</w:t>
      </w:r>
      <w:r w:rsidRPr="00581CCA">
        <w:rPr>
          <w:rFonts w:cs="Arial"/>
        </w:rPr>
        <w:t xml:space="preserve">74 </w:t>
      </w:r>
      <w:proofErr w:type="spellStart"/>
      <w:r w:rsidRPr="00581CCA">
        <w:rPr>
          <w:rFonts w:cs="Arial"/>
        </w:rPr>
        <w:t>μg</w:t>
      </w:r>
      <w:proofErr w:type="spellEnd"/>
      <w:r w:rsidRPr="00581CCA">
        <w:rPr>
          <w:rFonts w:cs="Arial"/>
        </w:rPr>
        <w:t xml:space="preserve">/l), VN Švihov </w:t>
      </w:r>
      <w:proofErr w:type="spellStart"/>
      <w:r w:rsidRPr="00581CCA">
        <w:rPr>
          <w:rFonts w:cs="Arial"/>
        </w:rPr>
        <w:t>Dol.Kralovice</w:t>
      </w:r>
      <w:proofErr w:type="spellEnd"/>
      <w:r w:rsidRPr="00581CCA">
        <w:rPr>
          <w:rFonts w:cs="Arial"/>
        </w:rPr>
        <w:t xml:space="preserve"> – Želivka (průměr 4</w:t>
      </w:r>
      <w:r w:rsidR="0048687B">
        <w:rPr>
          <w:rFonts w:cs="Arial"/>
        </w:rPr>
        <w:t>,</w:t>
      </w:r>
      <w:r w:rsidRPr="00581CCA">
        <w:rPr>
          <w:rFonts w:cs="Arial"/>
        </w:rPr>
        <w:t xml:space="preserve">54 </w:t>
      </w:r>
      <w:proofErr w:type="spellStart"/>
      <w:r w:rsidRPr="00581CCA">
        <w:rPr>
          <w:rFonts w:cs="Arial"/>
        </w:rPr>
        <w:t>μg</w:t>
      </w:r>
      <w:proofErr w:type="spellEnd"/>
      <w:r w:rsidRPr="00581CCA">
        <w:rPr>
          <w:rFonts w:cs="Arial"/>
        </w:rPr>
        <w:t>/l, maximum 5</w:t>
      </w:r>
      <w:r w:rsidR="0048687B">
        <w:rPr>
          <w:rFonts w:cs="Arial"/>
        </w:rPr>
        <w:t>,</w:t>
      </w:r>
      <w:r w:rsidRPr="00581CCA">
        <w:rPr>
          <w:rFonts w:cs="Arial"/>
        </w:rPr>
        <w:t xml:space="preserve">46 </w:t>
      </w:r>
      <w:proofErr w:type="spellStart"/>
      <w:r w:rsidRPr="00581CCA">
        <w:rPr>
          <w:rFonts w:cs="Arial"/>
        </w:rPr>
        <w:t>μg</w:t>
      </w:r>
      <w:proofErr w:type="spellEnd"/>
      <w:r w:rsidRPr="00581CCA">
        <w:rPr>
          <w:rFonts w:cs="Arial"/>
        </w:rPr>
        <w:t>/l), VN Švihov Budeč – Želivka (průměr 4</w:t>
      </w:r>
      <w:r w:rsidR="006F5F48">
        <w:rPr>
          <w:rFonts w:cs="Arial"/>
        </w:rPr>
        <w:t>,</w:t>
      </w:r>
      <w:r w:rsidRPr="00581CCA">
        <w:rPr>
          <w:rFonts w:cs="Arial"/>
        </w:rPr>
        <w:t xml:space="preserve">53 </w:t>
      </w:r>
      <w:proofErr w:type="spellStart"/>
      <w:r w:rsidRPr="00581CCA">
        <w:rPr>
          <w:rFonts w:cs="Arial"/>
        </w:rPr>
        <w:t>μg</w:t>
      </w:r>
      <w:proofErr w:type="spellEnd"/>
      <w:r w:rsidRPr="00581CCA">
        <w:rPr>
          <w:rFonts w:cs="Arial"/>
        </w:rPr>
        <w:t>/l, maximum 5</w:t>
      </w:r>
      <w:r w:rsidR="006F5F48">
        <w:rPr>
          <w:rFonts w:cs="Arial"/>
        </w:rPr>
        <w:t>,</w:t>
      </w:r>
      <w:r w:rsidRPr="00581CCA">
        <w:rPr>
          <w:rFonts w:cs="Arial"/>
        </w:rPr>
        <w:t xml:space="preserve">49 </w:t>
      </w:r>
      <w:proofErr w:type="spellStart"/>
      <w:r w:rsidRPr="00581CCA">
        <w:rPr>
          <w:rFonts w:cs="Arial"/>
        </w:rPr>
        <w:t>μg</w:t>
      </w:r>
      <w:proofErr w:type="spellEnd"/>
      <w:r w:rsidRPr="00581CCA">
        <w:rPr>
          <w:rFonts w:cs="Arial"/>
        </w:rPr>
        <w:t>/l), VN Švihov hráz – Želivka (průměr 4</w:t>
      </w:r>
      <w:r w:rsidR="006F5F48">
        <w:rPr>
          <w:rFonts w:cs="Arial"/>
        </w:rPr>
        <w:t>,</w:t>
      </w:r>
      <w:r w:rsidRPr="00581CCA">
        <w:rPr>
          <w:rFonts w:cs="Arial"/>
        </w:rPr>
        <w:t xml:space="preserve">47 </w:t>
      </w:r>
      <w:proofErr w:type="spellStart"/>
      <w:r w:rsidRPr="00581CCA">
        <w:rPr>
          <w:rFonts w:cs="Arial"/>
        </w:rPr>
        <w:t>μg</w:t>
      </w:r>
      <w:proofErr w:type="spellEnd"/>
      <w:r w:rsidRPr="00581CCA">
        <w:rPr>
          <w:rFonts w:cs="Arial"/>
        </w:rPr>
        <w:t>/l, maximum 5</w:t>
      </w:r>
      <w:r w:rsidR="006F5F48">
        <w:rPr>
          <w:rFonts w:cs="Arial"/>
        </w:rPr>
        <w:t>,</w:t>
      </w:r>
      <w:r w:rsidRPr="00581CCA">
        <w:rPr>
          <w:rFonts w:cs="Arial"/>
        </w:rPr>
        <w:t xml:space="preserve">84 </w:t>
      </w:r>
      <w:proofErr w:type="spellStart"/>
      <w:r w:rsidRPr="00581CCA">
        <w:rPr>
          <w:rFonts w:cs="Arial"/>
        </w:rPr>
        <w:t>μg</w:t>
      </w:r>
      <w:proofErr w:type="spellEnd"/>
      <w:r w:rsidRPr="00581CCA">
        <w:rPr>
          <w:rFonts w:cs="Arial"/>
        </w:rPr>
        <w:t>/l), Krasíkovice – Želivka (průměr 4</w:t>
      </w:r>
      <w:r w:rsidR="006F5F48">
        <w:rPr>
          <w:rFonts w:cs="Arial"/>
        </w:rPr>
        <w:t>,</w:t>
      </w:r>
      <w:r w:rsidRPr="00581CCA">
        <w:rPr>
          <w:rFonts w:cs="Arial"/>
        </w:rPr>
        <w:t xml:space="preserve">41 </w:t>
      </w:r>
      <w:proofErr w:type="spellStart"/>
      <w:r w:rsidRPr="00581CCA">
        <w:rPr>
          <w:rFonts w:cs="Arial"/>
        </w:rPr>
        <w:t>μg</w:t>
      </w:r>
      <w:proofErr w:type="spellEnd"/>
      <w:r w:rsidRPr="00581CCA">
        <w:rPr>
          <w:rFonts w:cs="Arial"/>
        </w:rPr>
        <w:t>/l, maximum 6</w:t>
      </w:r>
      <w:r w:rsidR="006F5F48">
        <w:rPr>
          <w:rFonts w:cs="Arial"/>
        </w:rPr>
        <w:t>,</w:t>
      </w:r>
      <w:r w:rsidRPr="00581CCA">
        <w:rPr>
          <w:rFonts w:cs="Arial"/>
        </w:rPr>
        <w:t xml:space="preserve">52 </w:t>
      </w:r>
      <w:proofErr w:type="spellStart"/>
      <w:r w:rsidRPr="00581CCA">
        <w:rPr>
          <w:rFonts w:cs="Arial"/>
        </w:rPr>
        <w:t>μg</w:t>
      </w:r>
      <w:proofErr w:type="spellEnd"/>
      <w:r w:rsidRPr="00581CCA">
        <w:rPr>
          <w:rFonts w:cs="Arial"/>
        </w:rPr>
        <w:t>/l), Želiv – Trnava (průměr 4</w:t>
      </w:r>
      <w:r w:rsidR="006209A8">
        <w:rPr>
          <w:rFonts w:cs="Arial"/>
        </w:rPr>
        <w:t>,</w:t>
      </w:r>
      <w:r w:rsidRPr="00581CCA">
        <w:rPr>
          <w:rFonts w:cs="Arial"/>
        </w:rPr>
        <w:t xml:space="preserve">31 </w:t>
      </w:r>
      <w:proofErr w:type="spellStart"/>
      <w:r w:rsidRPr="00581CCA">
        <w:rPr>
          <w:rFonts w:cs="Arial"/>
        </w:rPr>
        <w:t>μg</w:t>
      </w:r>
      <w:proofErr w:type="spellEnd"/>
      <w:r w:rsidRPr="00581CCA">
        <w:rPr>
          <w:rFonts w:cs="Arial"/>
        </w:rPr>
        <w:t>/l, maximum 6</w:t>
      </w:r>
      <w:r w:rsidR="006209A8">
        <w:rPr>
          <w:rFonts w:cs="Arial"/>
        </w:rPr>
        <w:t>,</w:t>
      </w:r>
      <w:r w:rsidRPr="00581CCA">
        <w:rPr>
          <w:rFonts w:cs="Arial"/>
        </w:rPr>
        <w:t xml:space="preserve">21 </w:t>
      </w:r>
      <w:proofErr w:type="spellStart"/>
      <w:r w:rsidRPr="00581CCA">
        <w:rPr>
          <w:rFonts w:cs="Arial"/>
        </w:rPr>
        <w:t>μg</w:t>
      </w:r>
      <w:proofErr w:type="spellEnd"/>
      <w:r w:rsidRPr="00581CCA">
        <w:rPr>
          <w:rFonts w:cs="Arial"/>
        </w:rPr>
        <w:t xml:space="preserve">/l), Jičín – </w:t>
      </w:r>
      <w:proofErr w:type="spellStart"/>
      <w:r w:rsidRPr="00581CCA">
        <w:rPr>
          <w:rFonts w:cs="Arial"/>
        </w:rPr>
        <w:t>Porák</w:t>
      </w:r>
      <w:proofErr w:type="spellEnd"/>
      <w:r w:rsidRPr="00581CCA">
        <w:rPr>
          <w:rFonts w:cs="Arial"/>
        </w:rPr>
        <w:t xml:space="preserve"> (průměr 4</w:t>
      </w:r>
      <w:r w:rsidR="006209A8">
        <w:rPr>
          <w:rFonts w:cs="Arial"/>
        </w:rPr>
        <w:t>,</w:t>
      </w:r>
      <w:r w:rsidRPr="00581CCA">
        <w:rPr>
          <w:rFonts w:cs="Arial"/>
        </w:rPr>
        <w:t xml:space="preserve">29 </w:t>
      </w:r>
      <w:proofErr w:type="spellStart"/>
      <w:r w:rsidRPr="00581CCA">
        <w:rPr>
          <w:rFonts w:cs="Arial"/>
        </w:rPr>
        <w:t>μg</w:t>
      </w:r>
      <w:proofErr w:type="spellEnd"/>
      <w:r w:rsidRPr="00581CCA">
        <w:rPr>
          <w:rFonts w:cs="Arial"/>
        </w:rPr>
        <w:t>/l, maximum 19</w:t>
      </w:r>
      <w:r w:rsidR="006209A8">
        <w:rPr>
          <w:rFonts w:cs="Arial"/>
        </w:rPr>
        <w:t>,</w:t>
      </w:r>
      <w:r w:rsidRPr="00581CCA">
        <w:rPr>
          <w:rFonts w:cs="Arial"/>
        </w:rPr>
        <w:t xml:space="preserve">03 </w:t>
      </w:r>
      <w:proofErr w:type="spellStart"/>
      <w:r w:rsidRPr="00581CCA">
        <w:rPr>
          <w:rFonts w:cs="Arial"/>
        </w:rPr>
        <w:t>μg</w:t>
      </w:r>
      <w:proofErr w:type="spellEnd"/>
      <w:r w:rsidRPr="00581CCA">
        <w:rPr>
          <w:rFonts w:cs="Arial"/>
        </w:rPr>
        <w:t xml:space="preserve">/l), Trhové Dušníky – </w:t>
      </w:r>
      <w:r w:rsidRPr="00581CCA">
        <w:rPr>
          <w:rFonts w:cs="Arial"/>
        </w:rPr>
        <w:lastRenderedPageBreak/>
        <w:t>Příbramský potok (průměr 4</w:t>
      </w:r>
      <w:r w:rsidR="00C6591E">
        <w:rPr>
          <w:rFonts w:cs="Arial"/>
        </w:rPr>
        <w:t>,</w:t>
      </w:r>
      <w:r w:rsidRPr="00581CCA">
        <w:rPr>
          <w:rFonts w:cs="Arial"/>
        </w:rPr>
        <w:t xml:space="preserve">26 </w:t>
      </w:r>
      <w:proofErr w:type="spellStart"/>
      <w:r w:rsidRPr="00581CCA">
        <w:rPr>
          <w:rFonts w:cs="Arial"/>
        </w:rPr>
        <w:t>μg</w:t>
      </w:r>
      <w:proofErr w:type="spellEnd"/>
      <w:r w:rsidRPr="00581CCA">
        <w:rPr>
          <w:rFonts w:cs="Arial"/>
        </w:rPr>
        <w:t>/l, maximum 11</w:t>
      </w:r>
      <w:r w:rsidR="00C6591E">
        <w:rPr>
          <w:rFonts w:cs="Arial"/>
        </w:rPr>
        <w:t>,</w:t>
      </w:r>
      <w:r w:rsidRPr="00581CCA">
        <w:rPr>
          <w:rFonts w:cs="Arial"/>
        </w:rPr>
        <w:t xml:space="preserve">14 </w:t>
      </w:r>
      <w:proofErr w:type="spellStart"/>
      <w:r w:rsidRPr="00581CCA">
        <w:rPr>
          <w:rFonts w:cs="Arial"/>
        </w:rPr>
        <w:t>μg</w:t>
      </w:r>
      <w:proofErr w:type="spellEnd"/>
      <w:r w:rsidRPr="00581CCA">
        <w:rPr>
          <w:rFonts w:cs="Arial"/>
        </w:rPr>
        <w:t xml:space="preserve">/l), </w:t>
      </w:r>
      <w:proofErr w:type="spellStart"/>
      <w:r w:rsidRPr="00581CCA">
        <w:rPr>
          <w:rFonts w:cs="Arial"/>
        </w:rPr>
        <w:t>Kokšín</w:t>
      </w:r>
      <w:proofErr w:type="spellEnd"/>
      <w:r w:rsidRPr="00581CCA">
        <w:rPr>
          <w:rFonts w:cs="Arial"/>
        </w:rPr>
        <w:t xml:space="preserve"> – </w:t>
      </w:r>
      <w:proofErr w:type="spellStart"/>
      <w:r w:rsidRPr="00581CCA">
        <w:rPr>
          <w:rFonts w:cs="Arial"/>
        </w:rPr>
        <w:t>Točnický</w:t>
      </w:r>
      <w:proofErr w:type="spellEnd"/>
      <w:r w:rsidRPr="00581CCA">
        <w:rPr>
          <w:rFonts w:cs="Arial"/>
        </w:rPr>
        <w:t xml:space="preserve"> potok (průměr 4</w:t>
      </w:r>
      <w:r w:rsidR="00C6591E">
        <w:rPr>
          <w:rFonts w:cs="Arial"/>
        </w:rPr>
        <w:t>,</w:t>
      </w:r>
      <w:r w:rsidRPr="00581CCA">
        <w:rPr>
          <w:rFonts w:cs="Arial"/>
        </w:rPr>
        <w:t xml:space="preserve">18 </w:t>
      </w:r>
      <w:proofErr w:type="spellStart"/>
      <w:r w:rsidRPr="00581CCA">
        <w:rPr>
          <w:rFonts w:cs="Arial"/>
        </w:rPr>
        <w:t>μg</w:t>
      </w:r>
      <w:proofErr w:type="spellEnd"/>
      <w:r w:rsidRPr="00581CCA">
        <w:rPr>
          <w:rFonts w:cs="Arial"/>
        </w:rPr>
        <w:t>/l, maximum 6</w:t>
      </w:r>
      <w:r w:rsidR="00C6591E">
        <w:rPr>
          <w:rFonts w:cs="Arial"/>
        </w:rPr>
        <w:t>,</w:t>
      </w:r>
      <w:r w:rsidRPr="00581CCA">
        <w:rPr>
          <w:rFonts w:cs="Arial"/>
        </w:rPr>
        <w:t xml:space="preserve">71 </w:t>
      </w:r>
      <w:proofErr w:type="spellStart"/>
      <w:r w:rsidRPr="00581CCA">
        <w:rPr>
          <w:rFonts w:cs="Arial"/>
        </w:rPr>
        <w:t>μg</w:t>
      </w:r>
      <w:proofErr w:type="spellEnd"/>
      <w:r w:rsidRPr="00581CCA">
        <w:rPr>
          <w:rFonts w:cs="Arial"/>
        </w:rPr>
        <w:t>/l), Kosičky – Bystřice (průměr 4</w:t>
      </w:r>
      <w:r w:rsidR="00C6591E">
        <w:rPr>
          <w:rFonts w:cs="Arial"/>
        </w:rPr>
        <w:t>,</w:t>
      </w:r>
      <w:r w:rsidRPr="00581CCA">
        <w:rPr>
          <w:rFonts w:cs="Arial"/>
        </w:rPr>
        <w:t xml:space="preserve">15 </w:t>
      </w:r>
      <w:proofErr w:type="spellStart"/>
      <w:r w:rsidRPr="00581CCA">
        <w:rPr>
          <w:rFonts w:cs="Arial"/>
        </w:rPr>
        <w:t>μg</w:t>
      </w:r>
      <w:proofErr w:type="spellEnd"/>
      <w:r w:rsidRPr="00581CCA">
        <w:rPr>
          <w:rFonts w:cs="Arial"/>
        </w:rPr>
        <w:t>/l, maximum 9</w:t>
      </w:r>
      <w:r w:rsidR="00C6591E">
        <w:rPr>
          <w:rFonts w:cs="Arial"/>
        </w:rPr>
        <w:t>,</w:t>
      </w:r>
      <w:r w:rsidRPr="00581CCA">
        <w:rPr>
          <w:rFonts w:cs="Arial"/>
        </w:rPr>
        <w:t xml:space="preserve">37 </w:t>
      </w:r>
      <w:proofErr w:type="spellStart"/>
      <w:r w:rsidRPr="00581CCA">
        <w:rPr>
          <w:rFonts w:cs="Arial"/>
        </w:rPr>
        <w:t>μg</w:t>
      </w:r>
      <w:proofErr w:type="spellEnd"/>
      <w:r w:rsidRPr="00581CCA">
        <w:rPr>
          <w:rFonts w:cs="Arial"/>
        </w:rPr>
        <w:t>/l), Poříčí - Želivka (průměr 4</w:t>
      </w:r>
      <w:r w:rsidR="00C6591E">
        <w:rPr>
          <w:rFonts w:cs="Arial"/>
        </w:rPr>
        <w:t>,</w:t>
      </w:r>
      <w:r w:rsidRPr="00581CCA">
        <w:rPr>
          <w:rFonts w:cs="Arial"/>
        </w:rPr>
        <w:t xml:space="preserve">11 </w:t>
      </w:r>
      <w:proofErr w:type="spellStart"/>
      <w:r w:rsidRPr="00581CCA">
        <w:rPr>
          <w:rFonts w:cs="Arial"/>
        </w:rPr>
        <w:t>μg</w:t>
      </w:r>
      <w:proofErr w:type="spellEnd"/>
      <w:r w:rsidRPr="00581CCA">
        <w:rPr>
          <w:rFonts w:cs="Arial"/>
        </w:rPr>
        <w:t>/l, maximum 5</w:t>
      </w:r>
      <w:r w:rsidR="00384857">
        <w:rPr>
          <w:rFonts w:cs="Arial"/>
        </w:rPr>
        <w:t>,</w:t>
      </w:r>
      <w:r w:rsidRPr="00581CCA">
        <w:rPr>
          <w:rFonts w:cs="Arial"/>
        </w:rPr>
        <w:t xml:space="preserve">96 </w:t>
      </w:r>
      <w:proofErr w:type="spellStart"/>
      <w:r w:rsidRPr="00581CCA">
        <w:rPr>
          <w:rFonts w:cs="Arial"/>
        </w:rPr>
        <w:t>μg</w:t>
      </w:r>
      <w:proofErr w:type="spellEnd"/>
      <w:r w:rsidRPr="00581CCA">
        <w:rPr>
          <w:rFonts w:cs="Arial"/>
        </w:rPr>
        <w:t>/l), Pelhřimov – Bělá (průměr 4</w:t>
      </w:r>
      <w:r w:rsidR="00384857">
        <w:rPr>
          <w:rFonts w:cs="Arial"/>
        </w:rPr>
        <w:t>,</w:t>
      </w:r>
      <w:r w:rsidRPr="00581CCA">
        <w:rPr>
          <w:rFonts w:cs="Arial"/>
        </w:rPr>
        <w:t xml:space="preserve">09 </w:t>
      </w:r>
      <w:proofErr w:type="spellStart"/>
      <w:r w:rsidRPr="00581CCA">
        <w:rPr>
          <w:rFonts w:cs="Arial"/>
        </w:rPr>
        <w:t>μg</w:t>
      </w:r>
      <w:proofErr w:type="spellEnd"/>
      <w:r w:rsidRPr="00581CCA">
        <w:rPr>
          <w:rFonts w:cs="Arial"/>
        </w:rPr>
        <w:t>/l, maximum 7</w:t>
      </w:r>
      <w:r w:rsidR="00384857">
        <w:rPr>
          <w:rFonts w:cs="Arial"/>
        </w:rPr>
        <w:t>,</w:t>
      </w:r>
      <w:r w:rsidRPr="00581CCA">
        <w:rPr>
          <w:rFonts w:cs="Arial"/>
        </w:rPr>
        <w:t xml:space="preserve">53 </w:t>
      </w:r>
      <w:proofErr w:type="spellStart"/>
      <w:r w:rsidRPr="00581CCA">
        <w:rPr>
          <w:rFonts w:cs="Arial"/>
        </w:rPr>
        <w:t>μg</w:t>
      </w:r>
      <w:proofErr w:type="spellEnd"/>
      <w:r w:rsidRPr="00581CCA">
        <w:rPr>
          <w:rFonts w:cs="Arial"/>
        </w:rPr>
        <w:t>/l), ústí – Velká (průměr 4</w:t>
      </w:r>
      <w:r w:rsidR="008279B6">
        <w:rPr>
          <w:rFonts w:cs="Arial"/>
        </w:rPr>
        <w:t>,</w:t>
      </w:r>
      <w:r w:rsidRPr="00581CCA">
        <w:rPr>
          <w:rFonts w:cs="Arial"/>
        </w:rPr>
        <w:t xml:space="preserve">08 </w:t>
      </w:r>
      <w:proofErr w:type="spellStart"/>
      <w:r w:rsidRPr="00581CCA">
        <w:rPr>
          <w:rFonts w:cs="Arial"/>
        </w:rPr>
        <w:t>μg</w:t>
      </w:r>
      <w:proofErr w:type="spellEnd"/>
      <w:r w:rsidRPr="00581CCA">
        <w:rPr>
          <w:rFonts w:cs="Arial"/>
        </w:rPr>
        <w:t>/l, maximum 10</w:t>
      </w:r>
      <w:r w:rsidR="008279B6">
        <w:rPr>
          <w:rFonts w:cs="Arial"/>
        </w:rPr>
        <w:t>,</w:t>
      </w:r>
      <w:r w:rsidRPr="00581CCA">
        <w:rPr>
          <w:rFonts w:cs="Arial"/>
        </w:rPr>
        <w:t xml:space="preserve">76 </w:t>
      </w:r>
      <w:proofErr w:type="spellStart"/>
      <w:r w:rsidRPr="00581CCA">
        <w:rPr>
          <w:rFonts w:cs="Arial"/>
        </w:rPr>
        <w:t>μg</w:t>
      </w:r>
      <w:proofErr w:type="spellEnd"/>
      <w:r w:rsidRPr="00581CCA">
        <w:rPr>
          <w:rFonts w:cs="Arial"/>
        </w:rPr>
        <w:t>/l), VN Vrchlice hráz - Vrchlice (průměr 4</w:t>
      </w:r>
      <w:r w:rsidR="008279B6">
        <w:rPr>
          <w:rFonts w:cs="Arial"/>
        </w:rPr>
        <w:t>,</w:t>
      </w:r>
      <w:r w:rsidRPr="00581CCA">
        <w:rPr>
          <w:rFonts w:cs="Arial"/>
        </w:rPr>
        <w:t xml:space="preserve">02 </w:t>
      </w:r>
      <w:proofErr w:type="spellStart"/>
      <w:r w:rsidRPr="00581CCA">
        <w:rPr>
          <w:rFonts w:cs="Arial"/>
        </w:rPr>
        <w:t>μg</w:t>
      </w:r>
      <w:proofErr w:type="spellEnd"/>
      <w:r w:rsidRPr="00581CCA">
        <w:rPr>
          <w:rFonts w:cs="Arial"/>
        </w:rPr>
        <w:t>/l, maximum 5</w:t>
      </w:r>
      <w:r w:rsidR="008279B6">
        <w:rPr>
          <w:rFonts w:cs="Arial"/>
        </w:rPr>
        <w:t>,</w:t>
      </w:r>
      <w:r w:rsidRPr="00581CCA">
        <w:rPr>
          <w:rFonts w:cs="Arial"/>
        </w:rPr>
        <w:t xml:space="preserve">17 </w:t>
      </w:r>
      <w:proofErr w:type="spellStart"/>
      <w:r w:rsidRPr="00581CCA">
        <w:rPr>
          <w:rFonts w:cs="Arial"/>
        </w:rPr>
        <w:t>μg</w:t>
      </w:r>
      <w:proofErr w:type="spellEnd"/>
      <w:r w:rsidRPr="00581CCA">
        <w:rPr>
          <w:rFonts w:cs="Arial"/>
        </w:rPr>
        <w:t>/l), Luková – Cidlina (průměr 3</w:t>
      </w:r>
      <w:r w:rsidR="008279B6">
        <w:rPr>
          <w:rFonts w:cs="Arial"/>
        </w:rPr>
        <w:t>,</w:t>
      </w:r>
      <w:r w:rsidRPr="00581CCA">
        <w:rPr>
          <w:rFonts w:cs="Arial"/>
        </w:rPr>
        <w:t xml:space="preserve">8 </w:t>
      </w:r>
      <w:proofErr w:type="spellStart"/>
      <w:r w:rsidRPr="00581CCA">
        <w:rPr>
          <w:rFonts w:cs="Arial"/>
        </w:rPr>
        <w:t>μg</w:t>
      </w:r>
      <w:proofErr w:type="spellEnd"/>
      <w:r w:rsidRPr="00581CCA">
        <w:rPr>
          <w:rFonts w:cs="Arial"/>
        </w:rPr>
        <w:t>/l, maximum 12</w:t>
      </w:r>
      <w:r w:rsidR="008279B6">
        <w:rPr>
          <w:rFonts w:cs="Arial"/>
        </w:rPr>
        <w:t>,</w:t>
      </w:r>
      <w:r w:rsidRPr="00581CCA">
        <w:rPr>
          <w:rFonts w:cs="Arial"/>
        </w:rPr>
        <w:t xml:space="preserve">5 </w:t>
      </w:r>
      <w:proofErr w:type="spellStart"/>
      <w:r w:rsidRPr="00581CCA">
        <w:rPr>
          <w:rFonts w:cs="Arial"/>
        </w:rPr>
        <w:t>μg</w:t>
      </w:r>
      <w:proofErr w:type="spellEnd"/>
      <w:r w:rsidRPr="00581CCA">
        <w:rPr>
          <w:rFonts w:cs="Arial"/>
        </w:rPr>
        <w:t>/l), Rakvice – Trkmanka (průměr 3</w:t>
      </w:r>
      <w:r w:rsidR="008279B6">
        <w:rPr>
          <w:rFonts w:cs="Arial"/>
        </w:rPr>
        <w:t>,</w:t>
      </w:r>
      <w:r w:rsidRPr="00581CCA">
        <w:rPr>
          <w:rFonts w:cs="Arial"/>
        </w:rPr>
        <w:t xml:space="preserve">77 </w:t>
      </w:r>
      <w:proofErr w:type="spellStart"/>
      <w:r w:rsidRPr="00581CCA">
        <w:rPr>
          <w:rFonts w:cs="Arial"/>
        </w:rPr>
        <w:t>μg</w:t>
      </w:r>
      <w:proofErr w:type="spellEnd"/>
      <w:r w:rsidRPr="00581CCA">
        <w:rPr>
          <w:rFonts w:cs="Arial"/>
        </w:rPr>
        <w:t>/l, maximum 7</w:t>
      </w:r>
      <w:r w:rsidR="008279B6">
        <w:rPr>
          <w:rFonts w:cs="Arial"/>
        </w:rPr>
        <w:t>,</w:t>
      </w:r>
      <w:r w:rsidRPr="00581CCA">
        <w:rPr>
          <w:rFonts w:cs="Arial"/>
        </w:rPr>
        <w:t xml:space="preserve">59 </w:t>
      </w:r>
      <w:proofErr w:type="spellStart"/>
      <w:r w:rsidRPr="00581CCA">
        <w:rPr>
          <w:rFonts w:cs="Arial"/>
        </w:rPr>
        <w:t>μg</w:t>
      </w:r>
      <w:proofErr w:type="spellEnd"/>
      <w:r w:rsidRPr="00581CCA">
        <w:rPr>
          <w:rFonts w:cs="Arial"/>
        </w:rPr>
        <w:t xml:space="preserve">/l) a ústí – </w:t>
      </w:r>
      <w:proofErr w:type="spellStart"/>
      <w:r w:rsidRPr="00581CCA">
        <w:rPr>
          <w:rFonts w:cs="Arial"/>
        </w:rPr>
        <w:t>Heraltický</w:t>
      </w:r>
      <w:proofErr w:type="spellEnd"/>
      <w:r w:rsidRPr="00581CCA">
        <w:rPr>
          <w:rFonts w:cs="Arial"/>
        </w:rPr>
        <w:t xml:space="preserve"> potok (průměr 3</w:t>
      </w:r>
      <w:r w:rsidR="008279B6">
        <w:rPr>
          <w:rFonts w:cs="Arial"/>
        </w:rPr>
        <w:t>,</w:t>
      </w:r>
      <w:r w:rsidRPr="00581CCA">
        <w:rPr>
          <w:rFonts w:cs="Arial"/>
        </w:rPr>
        <w:t xml:space="preserve">76 </w:t>
      </w:r>
      <w:proofErr w:type="spellStart"/>
      <w:r w:rsidRPr="00581CCA">
        <w:rPr>
          <w:rFonts w:cs="Arial"/>
        </w:rPr>
        <w:t>μg</w:t>
      </w:r>
      <w:proofErr w:type="spellEnd"/>
      <w:r w:rsidRPr="00581CCA">
        <w:rPr>
          <w:rFonts w:cs="Arial"/>
        </w:rPr>
        <w:t>/l, maximum 16</w:t>
      </w:r>
      <w:r w:rsidR="00D54179">
        <w:rPr>
          <w:rFonts w:cs="Arial"/>
        </w:rPr>
        <w:t>,</w:t>
      </w:r>
      <w:r w:rsidRPr="00581CCA">
        <w:rPr>
          <w:rFonts w:cs="Arial"/>
        </w:rPr>
        <w:t xml:space="preserve">42 </w:t>
      </w:r>
      <w:proofErr w:type="spellStart"/>
      <w:r w:rsidRPr="00581CCA">
        <w:rPr>
          <w:rFonts w:cs="Arial"/>
        </w:rPr>
        <w:t>μg</w:t>
      </w:r>
      <w:proofErr w:type="spellEnd"/>
      <w:r w:rsidRPr="00581CCA">
        <w:rPr>
          <w:rFonts w:cs="Arial"/>
        </w:rPr>
        <w:t xml:space="preserve">/l).    </w:t>
      </w:r>
    </w:p>
    <w:p w14:paraId="1F57AD35" w14:textId="77777777" w:rsidR="00581CCA" w:rsidRDefault="00581CCA" w:rsidP="00A33C8C">
      <w:pPr>
        <w:contextualSpacing/>
        <w:rPr>
          <w:rFonts w:cs="Arial"/>
        </w:rPr>
      </w:pPr>
    </w:p>
    <w:p w14:paraId="1BDA1AEB" w14:textId="49EAD431" w:rsidR="00A33C8C" w:rsidRPr="00581CCA" w:rsidRDefault="00A33C8C" w:rsidP="00A33C8C">
      <w:pPr>
        <w:contextualSpacing/>
        <w:rPr>
          <w:rFonts w:cs="Arial"/>
        </w:rPr>
      </w:pPr>
      <w:r w:rsidRPr="00581CCA">
        <w:rPr>
          <w:rFonts w:cs="Arial"/>
        </w:rPr>
        <w:t>Absolutně nejvyšší koncentrace pesticidů byla naměřena v profilu Nový Bydžov – Králický potok dne 24</w:t>
      </w:r>
      <w:r w:rsidR="00D54179">
        <w:rPr>
          <w:rFonts w:cs="Arial"/>
        </w:rPr>
        <w:t>,</w:t>
      </w:r>
      <w:r w:rsidRPr="00581CCA">
        <w:rPr>
          <w:rFonts w:cs="Arial"/>
        </w:rPr>
        <w:t>4 2025, kdy sumární koncentrace celkem 40 nalezených pesticidů dosáhla hodnoty 20</w:t>
      </w:r>
      <w:r w:rsidR="002F02DA">
        <w:rPr>
          <w:rFonts w:cs="Arial"/>
        </w:rPr>
        <w:t>,</w:t>
      </w:r>
      <w:r w:rsidRPr="00581CCA">
        <w:rPr>
          <w:rFonts w:cs="Arial"/>
        </w:rPr>
        <w:t xml:space="preserve">39 </w:t>
      </w:r>
      <w:proofErr w:type="spellStart"/>
      <w:r w:rsidRPr="00581CCA">
        <w:rPr>
          <w:rFonts w:cs="Arial"/>
        </w:rPr>
        <w:t>μg</w:t>
      </w:r>
      <w:proofErr w:type="spellEnd"/>
      <w:r w:rsidRPr="00581CCA">
        <w:rPr>
          <w:rFonts w:cs="Arial"/>
        </w:rPr>
        <w:t xml:space="preserve">/l. </w:t>
      </w:r>
    </w:p>
    <w:p w14:paraId="16FBC076" w14:textId="77777777" w:rsidR="00D22795" w:rsidRPr="00581CCA" w:rsidRDefault="00D22795" w:rsidP="007C4955">
      <w:pPr>
        <w:contextualSpacing/>
        <w:rPr>
          <w:b/>
          <w:i/>
          <w:color w:val="FF0000"/>
        </w:rPr>
      </w:pPr>
    </w:p>
    <w:p w14:paraId="61C9220A" w14:textId="094C6FCB" w:rsidR="00B07A3C" w:rsidRPr="00581CCA" w:rsidRDefault="008409C0" w:rsidP="007C4955">
      <w:pPr>
        <w:contextualSpacing/>
        <w:rPr>
          <w:b/>
          <w:i/>
        </w:rPr>
      </w:pPr>
      <w:r w:rsidRPr="00581CCA">
        <w:rPr>
          <w:b/>
          <w:i/>
        </w:rPr>
        <w:t>Obrázek 3.1.</w:t>
      </w:r>
      <w:r w:rsidR="009E7812">
        <w:rPr>
          <w:b/>
          <w:i/>
        </w:rPr>
        <w:t>6</w:t>
      </w:r>
    </w:p>
    <w:p w14:paraId="7C2BD63C" w14:textId="6D6D6B23" w:rsidR="008409C0" w:rsidRPr="00581CCA" w:rsidRDefault="008409C0" w:rsidP="007C4955">
      <w:pPr>
        <w:contextualSpacing/>
        <w:rPr>
          <w:b/>
          <w:i/>
        </w:rPr>
      </w:pPr>
      <w:r w:rsidRPr="00581CCA">
        <w:rPr>
          <w:b/>
          <w:i/>
        </w:rPr>
        <w:t>Pesticidy na území České republiky dle počtu a koncentrace v roce 20</w:t>
      </w:r>
      <w:r w:rsidR="004E2192" w:rsidRPr="00581CCA">
        <w:rPr>
          <w:b/>
          <w:i/>
        </w:rPr>
        <w:t>2</w:t>
      </w:r>
      <w:r w:rsidR="00581CCA">
        <w:rPr>
          <w:b/>
          <w:i/>
        </w:rPr>
        <w:t>5</w:t>
      </w:r>
    </w:p>
    <w:p w14:paraId="0343AF1B" w14:textId="42DC9D05" w:rsidR="008E5397" w:rsidRPr="005E03BF" w:rsidRDefault="005E03BF" w:rsidP="007C4955">
      <w:pPr>
        <w:contextualSpacing/>
        <w:rPr>
          <w:i/>
          <w:sz w:val="20"/>
          <w:szCs w:val="20"/>
        </w:rPr>
      </w:pPr>
      <w:r w:rsidRPr="005E03BF">
        <w:rPr>
          <w:noProof/>
        </w:rPr>
        <w:drawing>
          <wp:inline distT="0" distB="0" distL="0" distR="0" wp14:anchorId="2480AEA5" wp14:editId="18915C4B">
            <wp:extent cx="4326734" cy="2941721"/>
            <wp:effectExtent l="0" t="0" r="0" b="0"/>
            <wp:docPr id="1347274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27411" name="Picture 6"/>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347400" cy="2955772"/>
                    </a:xfrm>
                    <a:prstGeom prst="rect">
                      <a:avLst/>
                    </a:prstGeom>
                  </pic:spPr>
                </pic:pic>
              </a:graphicData>
            </a:graphic>
          </wp:inline>
        </w:drawing>
      </w:r>
    </w:p>
    <w:p w14:paraId="3B8BB94C" w14:textId="7D460BE8" w:rsidR="008409C0" w:rsidRPr="005E03BF" w:rsidRDefault="00B95AD3" w:rsidP="007C4955">
      <w:pPr>
        <w:contextualSpacing/>
      </w:pPr>
      <w:r w:rsidRPr="005E03BF">
        <w:rPr>
          <w:i/>
          <w:sz w:val="20"/>
          <w:szCs w:val="20"/>
        </w:rPr>
        <w:t>Pramen: ČHMÚ</w:t>
      </w:r>
    </w:p>
    <w:p w14:paraId="7A5062C9" w14:textId="77777777" w:rsidR="003C4D4C" w:rsidRPr="00104F7D" w:rsidRDefault="003C4D4C" w:rsidP="007C4955">
      <w:pPr>
        <w:contextualSpacing/>
        <w:rPr>
          <w:b/>
          <w:i/>
          <w:highlight w:val="yellow"/>
        </w:rPr>
      </w:pPr>
    </w:p>
    <w:p w14:paraId="78EAB27A" w14:textId="3BC75883" w:rsidR="00B07A3C" w:rsidRPr="00D96EDA" w:rsidRDefault="008409C0" w:rsidP="007C4955">
      <w:pPr>
        <w:contextualSpacing/>
        <w:rPr>
          <w:b/>
          <w:i/>
        </w:rPr>
      </w:pPr>
      <w:r w:rsidRPr="00D96EDA">
        <w:rPr>
          <w:b/>
          <w:i/>
        </w:rPr>
        <w:t>Graf 3.1.</w:t>
      </w:r>
      <w:r w:rsidR="009E7812">
        <w:rPr>
          <w:b/>
          <w:i/>
        </w:rPr>
        <w:t>13</w:t>
      </w:r>
    </w:p>
    <w:p w14:paraId="3D6D5E99" w14:textId="67BCB84F" w:rsidR="00031DB1" w:rsidRPr="00D96EDA" w:rsidRDefault="00031DB1" w:rsidP="007C4955">
      <w:pPr>
        <w:rPr>
          <w:b/>
          <w:i/>
        </w:rPr>
      </w:pPr>
      <w:r w:rsidRPr="00D96EDA">
        <w:rPr>
          <w:b/>
          <w:i/>
        </w:rPr>
        <w:t>Frekvence výskytu povolených pesticidů a maximální dosažené koncentrace v povrchových vodách na území České republiky v roce 202</w:t>
      </w:r>
      <w:r w:rsidR="000964FC">
        <w:rPr>
          <w:b/>
          <w:i/>
        </w:rPr>
        <w:t>5</w:t>
      </w:r>
    </w:p>
    <w:p w14:paraId="1AA7B56B" w14:textId="2D385EDD" w:rsidR="008409C0" w:rsidRPr="00D96EDA" w:rsidRDefault="00D96EDA" w:rsidP="007C4955">
      <w:pPr>
        <w:contextualSpacing/>
        <w:rPr>
          <w:color w:val="FF0000"/>
        </w:rPr>
      </w:pPr>
      <w:r w:rsidRPr="00D96EDA">
        <w:rPr>
          <w:noProof/>
        </w:rPr>
        <w:drawing>
          <wp:inline distT="0" distB="0" distL="0" distR="0" wp14:anchorId="669BFD01" wp14:editId="0945FC76">
            <wp:extent cx="5760720" cy="2467610"/>
            <wp:effectExtent l="0" t="0" r="0" b="8890"/>
            <wp:docPr id="794956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956566" name="Picture 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60720" cy="2467610"/>
                    </a:xfrm>
                    <a:prstGeom prst="rect">
                      <a:avLst/>
                    </a:prstGeom>
                    <a:noFill/>
                  </pic:spPr>
                </pic:pic>
              </a:graphicData>
            </a:graphic>
          </wp:inline>
        </w:drawing>
      </w:r>
    </w:p>
    <w:p w14:paraId="2EE7793A" w14:textId="77777777" w:rsidR="008409C0" w:rsidRPr="00D96EDA" w:rsidRDefault="00B95AD3" w:rsidP="007C4955">
      <w:pPr>
        <w:contextualSpacing/>
        <w:rPr>
          <w:i/>
          <w:sz w:val="20"/>
          <w:szCs w:val="20"/>
        </w:rPr>
      </w:pPr>
      <w:r w:rsidRPr="00D96EDA">
        <w:rPr>
          <w:i/>
          <w:sz w:val="20"/>
          <w:szCs w:val="20"/>
        </w:rPr>
        <w:t>Pramen: ČHMÚ</w:t>
      </w:r>
    </w:p>
    <w:p w14:paraId="0122781F" w14:textId="77777777" w:rsidR="008409C0" w:rsidRPr="00D96EDA" w:rsidRDefault="008409C0" w:rsidP="007C4955">
      <w:pPr>
        <w:contextualSpacing/>
        <w:rPr>
          <w:i/>
          <w:sz w:val="20"/>
          <w:szCs w:val="20"/>
        </w:rPr>
      </w:pPr>
      <w:r w:rsidRPr="00D96EDA">
        <w:rPr>
          <w:i/>
          <w:sz w:val="20"/>
          <w:szCs w:val="20"/>
        </w:rPr>
        <w:t xml:space="preserve">Pozn.: Závorky u jednotlivých látek udávají počet profilů/počet vzorků/počet pozitivních vzorků </w:t>
      </w:r>
    </w:p>
    <w:p w14:paraId="58B348EB" w14:textId="77777777" w:rsidR="0006138A" w:rsidRPr="00104F7D" w:rsidRDefault="0006138A" w:rsidP="007C4955">
      <w:pPr>
        <w:contextualSpacing/>
        <w:rPr>
          <w:i/>
          <w:color w:val="FF0000"/>
          <w:sz w:val="20"/>
          <w:szCs w:val="20"/>
          <w:highlight w:val="yellow"/>
        </w:rPr>
      </w:pPr>
    </w:p>
    <w:p w14:paraId="77297565" w14:textId="77777777" w:rsidR="00C373AB" w:rsidRPr="00104F7D" w:rsidRDefault="00C373AB" w:rsidP="007C4955">
      <w:pPr>
        <w:contextualSpacing/>
        <w:rPr>
          <w:b/>
          <w:i/>
          <w:highlight w:val="yellow"/>
        </w:rPr>
      </w:pPr>
    </w:p>
    <w:p w14:paraId="441537D2" w14:textId="77777777" w:rsidR="008E5397" w:rsidRPr="00104F7D" w:rsidRDefault="008E5397" w:rsidP="007C4955">
      <w:pPr>
        <w:contextualSpacing/>
        <w:rPr>
          <w:b/>
          <w:i/>
          <w:highlight w:val="yellow"/>
        </w:rPr>
      </w:pPr>
    </w:p>
    <w:p w14:paraId="08F738A9" w14:textId="0D0050AE" w:rsidR="00C40731" w:rsidRPr="004F5E8D" w:rsidRDefault="00C40731" w:rsidP="007C4955">
      <w:pPr>
        <w:contextualSpacing/>
        <w:rPr>
          <w:b/>
          <w:i/>
        </w:rPr>
      </w:pPr>
      <w:r w:rsidRPr="004F5E8D">
        <w:rPr>
          <w:b/>
          <w:i/>
        </w:rPr>
        <w:lastRenderedPageBreak/>
        <w:t>Graf 3.1.</w:t>
      </w:r>
      <w:r w:rsidR="00C66481">
        <w:rPr>
          <w:b/>
          <w:i/>
        </w:rPr>
        <w:t>14</w:t>
      </w:r>
    </w:p>
    <w:p w14:paraId="67A841CE" w14:textId="596FF1F4" w:rsidR="00031DB1" w:rsidRPr="004F5E8D" w:rsidRDefault="00031DB1" w:rsidP="004E2192">
      <w:pPr>
        <w:rPr>
          <w:b/>
          <w:i/>
        </w:rPr>
      </w:pPr>
      <w:r w:rsidRPr="004F5E8D">
        <w:rPr>
          <w:b/>
          <w:i/>
        </w:rPr>
        <w:t xml:space="preserve">Frekvence výskytu </w:t>
      </w:r>
      <w:r w:rsidR="00E51111">
        <w:rPr>
          <w:b/>
          <w:i/>
        </w:rPr>
        <w:t>nepovolených</w:t>
      </w:r>
      <w:r w:rsidRPr="004F5E8D">
        <w:rPr>
          <w:b/>
          <w:i/>
        </w:rPr>
        <w:t xml:space="preserve"> pesticidů a maximální dosažené koncentrace v povrchových vodách na území České republiky v roce 202</w:t>
      </w:r>
      <w:r w:rsidR="000964FC">
        <w:rPr>
          <w:b/>
          <w:i/>
        </w:rPr>
        <w:t>5</w:t>
      </w:r>
    </w:p>
    <w:p w14:paraId="72DCA81D" w14:textId="785E35B9" w:rsidR="00C40731" w:rsidRPr="004F5E8D" w:rsidRDefault="004F5E8D" w:rsidP="007C4955">
      <w:pPr>
        <w:contextualSpacing/>
        <w:rPr>
          <w:i/>
          <w:color w:val="FF0000"/>
          <w:sz w:val="20"/>
          <w:szCs w:val="20"/>
        </w:rPr>
      </w:pPr>
      <w:r w:rsidRPr="004F5E8D">
        <w:rPr>
          <w:noProof/>
        </w:rPr>
        <w:drawing>
          <wp:inline distT="0" distB="0" distL="0" distR="0" wp14:anchorId="513FE488" wp14:editId="1B2F05A8">
            <wp:extent cx="5760720" cy="2467610"/>
            <wp:effectExtent l="0" t="0" r="0" b="8890"/>
            <wp:docPr id="14681863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186386" name="Picture 2"/>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60720" cy="2467610"/>
                    </a:xfrm>
                    <a:prstGeom prst="rect">
                      <a:avLst/>
                    </a:prstGeom>
                    <a:noFill/>
                  </pic:spPr>
                </pic:pic>
              </a:graphicData>
            </a:graphic>
          </wp:inline>
        </w:drawing>
      </w:r>
    </w:p>
    <w:p w14:paraId="162A4D8F" w14:textId="77777777" w:rsidR="00C40731" w:rsidRPr="004F5E8D" w:rsidRDefault="00C40731" w:rsidP="007C4955">
      <w:pPr>
        <w:contextualSpacing/>
        <w:rPr>
          <w:i/>
          <w:sz w:val="20"/>
          <w:szCs w:val="20"/>
        </w:rPr>
      </w:pPr>
      <w:r w:rsidRPr="004F5E8D">
        <w:rPr>
          <w:i/>
          <w:sz w:val="20"/>
          <w:szCs w:val="20"/>
        </w:rPr>
        <w:t>Pramen: ČHMÚ</w:t>
      </w:r>
    </w:p>
    <w:p w14:paraId="6FEE2583" w14:textId="77777777" w:rsidR="00C40731" w:rsidRPr="004F5E8D" w:rsidRDefault="00C40731" w:rsidP="007C4955">
      <w:pPr>
        <w:contextualSpacing/>
        <w:rPr>
          <w:i/>
          <w:sz w:val="20"/>
          <w:szCs w:val="20"/>
        </w:rPr>
      </w:pPr>
      <w:r w:rsidRPr="004F5E8D">
        <w:rPr>
          <w:i/>
          <w:sz w:val="20"/>
          <w:szCs w:val="20"/>
        </w:rPr>
        <w:t xml:space="preserve">Pozn.: Závorky u jednotlivých látek udávají počet profilů/počet vzorků/počet pozitivních vzorků </w:t>
      </w:r>
    </w:p>
    <w:p w14:paraId="1E220622" w14:textId="77777777" w:rsidR="00C40731" w:rsidRPr="00104F7D" w:rsidRDefault="00C40731" w:rsidP="007C4955">
      <w:pPr>
        <w:contextualSpacing/>
        <w:rPr>
          <w:i/>
          <w:color w:val="FF0000"/>
          <w:sz w:val="20"/>
          <w:szCs w:val="20"/>
          <w:highlight w:val="yellow"/>
        </w:rPr>
      </w:pPr>
    </w:p>
    <w:p w14:paraId="1A51FD6D" w14:textId="06B6982E" w:rsidR="008409C0" w:rsidRPr="00CB0C7D" w:rsidRDefault="008409C0" w:rsidP="007C4955">
      <w:pPr>
        <w:contextualSpacing/>
        <w:rPr>
          <w:b/>
          <w:i/>
          <w:iCs/>
        </w:rPr>
      </w:pPr>
      <w:r w:rsidRPr="00CB0C7D">
        <w:rPr>
          <w:b/>
          <w:i/>
          <w:iCs/>
        </w:rPr>
        <w:t>Léčiva</w:t>
      </w:r>
    </w:p>
    <w:p w14:paraId="051D40F3" w14:textId="77777777" w:rsidR="007D023F" w:rsidRPr="00CB0C7D" w:rsidRDefault="007D023F" w:rsidP="007D023F">
      <w:pPr>
        <w:rPr>
          <w:rFonts w:cs="Arial"/>
        </w:rPr>
      </w:pPr>
    </w:p>
    <w:p w14:paraId="4F72A0DB" w14:textId="32863231" w:rsidR="00267F75" w:rsidRPr="00267F75" w:rsidRDefault="00267F75" w:rsidP="00267F75">
      <w:pPr>
        <w:contextualSpacing/>
        <w:rPr>
          <w:rFonts w:cs="Arial"/>
        </w:rPr>
      </w:pPr>
      <w:r w:rsidRPr="00267F75">
        <w:rPr>
          <w:rFonts w:cs="Arial"/>
        </w:rPr>
        <w:t xml:space="preserve">Zejména z komunálních zdrojů se do povrchových vod dostává značné množství léčiv a jejich metabolitů, pro rok 2025 bylo provedeno zpracování výsledků sledování státních podniků Povodí z celkem 385 profilů (celkem z 3556 vzorků) pro 135 léčiv. Výsledky odpovídají i nastavení monitoringu těchto látek jednotlivými </w:t>
      </w:r>
      <w:r w:rsidR="002F02DA">
        <w:rPr>
          <w:rFonts w:cs="Arial"/>
        </w:rPr>
        <w:t>státními p</w:t>
      </w:r>
      <w:r w:rsidRPr="00267F75">
        <w:rPr>
          <w:rFonts w:cs="Arial"/>
        </w:rPr>
        <w:t>odniky Povodí. Tam, kde se sleduje širší spektrum látek, se léčiva nacházejí častěji. Výskyt léčiv byl obdobně jako v předchozích letech nejvýznamnější zejména v menších tocích, do kterých jsou odvodněna velká sídla nebo zdravotnická zařízení. Léčiva byla nalezena ve 367 profilech (95 % sledovaných profilů) celkem ve 3</w:t>
      </w:r>
      <w:r w:rsidR="00673A52">
        <w:rPr>
          <w:rFonts w:cs="Arial"/>
        </w:rPr>
        <w:t xml:space="preserve"> </w:t>
      </w:r>
      <w:r w:rsidRPr="00267F75">
        <w:rPr>
          <w:rFonts w:cs="Arial"/>
        </w:rPr>
        <w:t xml:space="preserve">249 vzorcích (91 % vzorků). Celkem bylo nalezeno v povrchových vodách 109 látek ze 135 sledovaných, z toho 79 látek bylo nalezeno ve více jak 5 % vzorků.  Nejčastěji nacházenými látkami (ve více jak 30% vzorků) byly </w:t>
      </w:r>
      <w:proofErr w:type="spellStart"/>
      <w:r w:rsidRPr="00267F75">
        <w:rPr>
          <w:rFonts w:cs="Arial"/>
        </w:rPr>
        <w:t>oxypurinol</w:t>
      </w:r>
      <w:proofErr w:type="spellEnd"/>
      <w:r w:rsidRPr="00267F75">
        <w:rPr>
          <w:rFonts w:cs="Arial"/>
        </w:rPr>
        <w:t xml:space="preserve"> (metabolit alopurinolu, léku na dnu), </w:t>
      </w:r>
      <w:proofErr w:type="spellStart"/>
      <w:r w:rsidRPr="00267F75">
        <w:rPr>
          <w:rFonts w:cs="Arial"/>
        </w:rPr>
        <w:t>telmisartan</w:t>
      </w:r>
      <w:proofErr w:type="spellEnd"/>
      <w:r w:rsidRPr="00267F75">
        <w:rPr>
          <w:rFonts w:cs="Arial"/>
        </w:rPr>
        <w:t xml:space="preserve"> (antihypertenzivum), 4-acetamidoantipyrin (metabolit analgetika </w:t>
      </w:r>
      <w:proofErr w:type="spellStart"/>
      <w:r w:rsidRPr="00267F75">
        <w:rPr>
          <w:rFonts w:cs="Arial"/>
        </w:rPr>
        <w:t>metamizolu</w:t>
      </w:r>
      <w:proofErr w:type="spellEnd"/>
      <w:r w:rsidRPr="00267F75">
        <w:rPr>
          <w:rFonts w:cs="Arial"/>
        </w:rPr>
        <w:t xml:space="preserve">), </w:t>
      </w:r>
      <w:proofErr w:type="spellStart"/>
      <w:r w:rsidRPr="00267F75">
        <w:rPr>
          <w:rFonts w:cs="Arial"/>
        </w:rPr>
        <w:t>metoprololová</w:t>
      </w:r>
      <w:proofErr w:type="spellEnd"/>
      <w:r w:rsidRPr="00267F75">
        <w:rPr>
          <w:rFonts w:cs="Arial"/>
        </w:rPr>
        <w:t xml:space="preserve"> kyselina (metabolit antihypertenziv </w:t>
      </w:r>
      <w:proofErr w:type="spellStart"/>
      <w:r w:rsidRPr="00267F75">
        <w:rPr>
          <w:rFonts w:cs="Arial"/>
        </w:rPr>
        <w:t>metoprololu</w:t>
      </w:r>
      <w:proofErr w:type="spellEnd"/>
      <w:r w:rsidRPr="00267F75">
        <w:rPr>
          <w:rFonts w:cs="Arial"/>
        </w:rPr>
        <w:t xml:space="preserve"> a </w:t>
      </w:r>
      <w:proofErr w:type="spellStart"/>
      <w:r w:rsidRPr="00267F75">
        <w:rPr>
          <w:rFonts w:cs="Arial"/>
        </w:rPr>
        <w:t>atenololu</w:t>
      </w:r>
      <w:proofErr w:type="spellEnd"/>
      <w:r w:rsidRPr="00267F75">
        <w:rPr>
          <w:rFonts w:cs="Arial"/>
        </w:rPr>
        <w:t xml:space="preserve">), 4-formylaminoantipyrin (metabolit analgetik </w:t>
      </w:r>
      <w:proofErr w:type="spellStart"/>
      <w:r w:rsidRPr="00267F75">
        <w:rPr>
          <w:rFonts w:cs="Arial"/>
        </w:rPr>
        <w:t>aminofenazonu</w:t>
      </w:r>
      <w:proofErr w:type="spellEnd"/>
      <w:r w:rsidRPr="00267F75">
        <w:rPr>
          <w:rFonts w:cs="Arial"/>
        </w:rPr>
        <w:t xml:space="preserve"> a </w:t>
      </w:r>
      <w:proofErr w:type="spellStart"/>
      <w:r w:rsidRPr="00267F75">
        <w:rPr>
          <w:rFonts w:cs="Arial"/>
        </w:rPr>
        <w:t>metamizolu</w:t>
      </w:r>
      <w:proofErr w:type="spellEnd"/>
      <w:r w:rsidRPr="00267F75">
        <w:rPr>
          <w:rFonts w:cs="Arial"/>
        </w:rPr>
        <w:t xml:space="preserve">), </w:t>
      </w:r>
      <w:proofErr w:type="spellStart"/>
      <w:r w:rsidRPr="00267F75">
        <w:rPr>
          <w:rFonts w:cs="Arial"/>
        </w:rPr>
        <w:t>tramadol</w:t>
      </w:r>
      <w:proofErr w:type="spellEnd"/>
      <w:r w:rsidRPr="00267F75">
        <w:rPr>
          <w:rFonts w:cs="Arial"/>
        </w:rPr>
        <w:t xml:space="preserve"> (analgetikum), </w:t>
      </w:r>
      <w:proofErr w:type="spellStart"/>
      <w:r w:rsidRPr="00267F75">
        <w:rPr>
          <w:rFonts w:cs="Arial"/>
        </w:rPr>
        <w:t>sitagliptin</w:t>
      </w:r>
      <w:proofErr w:type="spellEnd"/>
      <w:r w:rsidRPr="00267F75">
        <w:rPr>
          <w:rFonts w:cs="Arial"/>
        </w:rPr>
        <w:t xml:space="preserve"> (</w:t>
      </w:r>
      <w:proofErr w:type="spellStart"/>
      <w:r w:rsidRPr="00267F75">
        <w:rPr>
          <w:rFonts w:cs="Arial"/>
        </w:rPr>
        <w:t>antidiabetikum</w:t>
      </w:r>
      <w:proofErr w:type="spellEnd"/>
      <w:r w:rsidRPr="00267F75">
        <w:rPr>
          <w:rFonts w:cs="Arial"/>
        </w:rPr>
        <w:t xml:space="preserve">), </w:t>
      </w:r>
      <w:proofErr w:type="spellStart"/>
      <w:r w:rsidRPr="00267F75">
        <w:rPr>
          <w:rFonts w:cs="Arial"/>
        </w:rPr>
        <w:t>diklofenak</w:t>
      </w:r>
      <w:proofErr w:type="spellEnd"/>
      <w:r w:rsidRPr="00267F75">
        <w:rPr>
          <w:rFonts w:cs="Arial"/>
        </w:rPr>
        <w:t xml:space="preserve"> (antirevmatikum, analgetikum), </w:t>
      </w:r>
      <w:proofErr w:type="spellStart"/>
      <w:r w:rsidRPr="00267F75">
        <w:rPr>
          <w:rFonts w:cs="Arial"/>
        </w:rPr>
        <w:t>valsartan</w:t>
      </w:r>
      <w:proofErr w:type="spellEnd"/>
      <w:r w:rsidRPr="00267F75">
        <w:rPr>
          <w:rFonts w:cs="Arial"/>
        </w:rPr>
        <w:t xml:space="preserve"> (antihypertenzivum), </w:t>
      </w:r>
      <w:proofErr w:type="spellStart"/>
      <w:r w:rsidRPr="00267F75">
        <w:rPr>
          <w:rFonts w:cs="Arial"/>
        </w:rPr>
        <w:t>gabapentin</w:t>
      </w:r>
      <w:proofErr w:type="spellEnd"/>
      <w:r w:rsidRPr="00267F75">
        <w:rPr>
          <w:rFonts w:cs="Arial"/>
        </w:rPr>
        <w:t xml:space="preserve"> a jeho metabolit </w:t>
      </w:r>
      <w:proofErr w:type="spellStart"/>
      <w:r w:rsidRPr="00267F75">
        <w:rPr>
          <w:rFonts w:cs="Arial"/>
        </w:rPr>
        <w:t>gabapentin</w:t>
      </w:r>
      <w:proofErr w:type="spellEnd"/>
      <w:r w:rsidRPr="00267F75">
        <w:rPr>
          <w:rFonts w:cs="Arial"/>
        </w:rPr>
        <w:t xml:space="preserve"> laktam (antiepileptikum, analgetikum), </w:t>
      </w:r>
      <w:proofErr w:type="spellStart"/>
      <w:r w:rsidRPr="00267F75">
        <w:rPr>
          <w:rFonts w:cs="Arial"/>
        </w:rPr>
        <w:t>lamotrigin</w:t>
      </w:r>
      <w:proofErr w:type="spellEnd"/>
      <w:r w:rsidRPr="00267F75">
        <w:rPr>
          <w:rFonts w:cs="Arial"/>
        </w:rPr>
        <w:t xml:space="preserve"> (antiepileptikum), </w:t>
      </w:r>
      <w:proofErr w:type="spellStart"/>
      <w:r w:rsidRPr="00267F75">
        <w:rPr>
          <w:rFonts w:cs="Arial"/>
        </w:rPr>
        <w:t>valsartanová</w:t>
      </w:r>
      <w:proofErr w:type="spellEnd"/>
      <w:r w:rsidRPr="00267F75">
        <w:rPr>
          <w:rFonts w:cs="Arial"/>
        </w:rPr>
        <w:t xml:space="preserve"> kyselina (metabolit antihypertenziv </w:t>
      </w:r>
      <w:proofErr w:type="spellStart"/>
      <w:r w:rsidRPr="00267F75">
        <w:rPr>
          <w:rFonts w:cs="Arial"/>
        </w:rPr>
        <w:t>valsartan</w:t>
      </w:r>
      <w:proofErr w:type="spellEnd"/>
      <w:r w:rsidRPr="00267F75">
        <w:rPr>
          <w:rFonts w:cs="Arial"/>
        </w:rPr>
        <w:t xml:space="preserve">, </w:t>
      </w:r>
      <w:proofErr w:type="spellStart"/>
      <w:r w:rsidRPr="00267F75">
        <w:rPr>
          <w:rFonts w:cs="Arial"/>
        </w:rPr>
        <w:t>telmisartan</w:t>
      </w:r>
      <w:proofErr w:type="spellEnd"/>
      <w:r w:rsidRPr="00267F75">
        <w:rPr>
          <w:rFonts w:cs="Arial"/>
        </w:rPr>
        <w:t xml:space="preserve">, </w:t>
      </w:r>
      <w:proofErr w:type="spellStart"/>
      <w:r w:rsidRPr="00267F75">
        <w:rPr>
          <w:rFonts w:cs="Arial"/>
        </w:rPr>
        <w:t>kandesartan</w:t>
      </w:r>
      <w:proofErr w:type="spellEnd"/>
      <w:r w:rsidRPr="00267F75">
        <w:rPr>
          <w:rFonts w:cs="Arial"/>
        </w:rPr>
        <w:t xml:space="preserve"> a </w:t>
      </w:r>
      <w:proofErr w:type="spellStart"/>
      <w:r w:rsidRPr="00267F75">
        <w:rPr>
          <w:rFonts w:cs="Arial"/>
        </w:rPr>
        <w:t>losartan</w:t>
      </w:r>
      <w:proofErr w:type="spellEnd"/>
      <w:r w:rsidRPr="00267F75">
        <w:rPr>
          <w:rFonts w:cs="Arial"/>
        </w:rPr>
        <w:t xml:space="preserve">), </w:t>
      </w:r>
      <w:proofErr w:type="spellStart"/>
      <w:r w:rsidRPr="00267F75">
        <w:rPr>
          <w:rFonts w:cs="Arial"/>
        </w:rPr>
        <w:t>jomeprol</w:t>
      </w:r>
      <w:proofErr w:type="spellEnd"/>
      <w:r w:rsidRPr="00267F75">
        <w:rPr>
          <w:rFonts w:cs="Arial"/>
        </w:rPr>
        <w:t xml:space="preserve"> (kontrastní látka), ibuprofen a jeho metabolity 2-hydroxy a </w:t>
      </w:r>
      <w:proofErr w:type="spellStart"/>
      <w:r w:rsidRPr="00267F75">
        <w:rPr>
          <w:rFonts w:cs="Arial"/>
        </w:rPr>
        <w:t>carboxy</w:t>
      </w:r>
      <w:proofErr w:type="spellEnd"/>
      <w:r w:rsidRPr="00267F75">
        <w:rPr>
          <w:rFonts w:cs="Arial"/>
        </w:rPr>
        <w:t xml:space="preserve"> (analgetikum, antipyretikum, antiflogistikum), </w:t>
      </w:r>
      <w:proofErr w:type="spellStart"/>
      <w:r w:rsidRPr="00267F75">
        <w:rPr>
          <w:rFonts w:cs="Arial"/>
        </w:rPr>
        <w:t>venlafaxin</w:t>
      </w:r>
      <w:proofErr w:type="spellEnd"/>
      <w:r w:rsidRPr="00267F75">
        <w:rPr>
          <w:rFonts w:cs="Arial"/>
        </w:rPr>
        <w:t xml:space="preserve"> a jeho metabolit </w:t>
      </w:r>
      <w:proofErr w:type="spellStart"/>
      <w:r w:rsidRPr="00267F75">
        <w:rPr>
          <w:rFonts w:cs="Arial"/>
        </w:rPr>
        <w:t>desvenlafaxin</w:t>
      </w:r>
      <w:proofErr w:type="spellEnd"/>
      <w:r w:rsidRPr="00267F75">
        <w:rPr>
          <w:rFonts w:cs="Arial"/>
        </w:rPr>
        <w:t xml:space="preserve"> (antidepresivum), </w:t>
      </w:r>
      <w:proofErr w:type="spellStart"/>
      <w:r w:rsidRPr="00267F75">
        <w:rPr>
          <w:rFonts w:cs="Arial"/>
        </w:rPr>
        <w:t>metoprolol</w:t>
      </w:r>
      <w:proofErr w:type="spellEnd"/>
      <w:r w:rsidRPr="00267F75">
        <w:rPr>
          <w:rFonts w:cs="Arial"/>
        </w:rPr>
        <w:t xml:space="preserve"> (antihypertenzivum), </w:t>
      </w:r>
      <w:proofErr w:type="spellStart"/>
      <w:r w:rsidRPr="00267F75">
        <w:rPr>
          <w:rFonts w:cs="Arial"/>
        </w:rPr>
        <w:t>karbamazepin</w:t>
      </w:r>
      <w:proofErr w:type="spellEnd"/>
      <w:r w:rsidRPr="00267F75">
        <w:rPr>
          <w:rFonts w:cs="Arial"/>
        </w:rPr>
        <w:t xml:space="preserve"> (antiepileptikum), </w:t>
      </w:r>
      <w:proofErr w:type="spellStart"/>
      <w:r w:rsidRPr="00267F75">
        <w:rPr>
          <w:rFonts w:cs="Arial"/>
        </w:rPr>
        <w:t>kandesartan</w:t>
      </w:r>
      <w:proofErr w:type="spellEnd"/>
      <w:r w:rsidRPr="00267F75">
        <w:rPr>
          <w:rFonts w:cs="Arial"/>
        </w:rPr>
        <w:t xml:space="preserve"> (antihypertenzivum), </w:t>
      </w:r>
      <w:proofErr w:type="spellStart"/>
      <w:r w:rsidRPr="00267F75">
        <w:rPr>
          <w:rFonts w:cs="Arial"/>
        </w:rPr>
        <w:t>sulfamethoxazol</w:t>
      </w:r>
      <w:proofErr w:type="spellEnd"/>
      <w:r w:rsidRPr="00267F75">
        <w:rPr>
          <w:rFonts w:cs="Arial"/>
        </w:rPr>
        <w:t xml:space="preserve"> (antibiotikum), </w:t>
      </w:r>
      <w:proofErr w:type="spellStart"/>
      <w:r w:rsidRPr="00267F75">
        <w:rPr>
          <w:rFonts w:cs="Arial"/>
        </w:rPr>
        <w:t>cetirizin</w:t>
      </w:r>
      <w:proofErr w:type="spellEnd"/>
      <w:r w:rsidRPr="00267F75">
        <w:rPr>
          <w:rFonts w:cs="Arial"/>
        </w:rPr>
        <w:t xml:space="preserve"> (antihistaminikum), paracetamol (analgetikum, antipyretikum), </w:t>
      </w:r>
      <w:proofErr w:type="spellStart"/>
      <w:r w:rsidRPr="00267F75">
        <w:rPr>
          <w:rFonts w:cs="Arial"/>
        </w:rPr>
        <w:t>primidon</w:t>
      </w:r>
      <w:proofErr w:type="spellEnd"/>
      <w:r w:rsidRPr="00267F75">
        <w:rPr>
          <w:rFonts w:cs="Arial"/>
        </w:rPr>
        <w:t xml:space="preserve"> (</w:t>
      </w:r>
      <w:proofErr w:type="spellStart"/>
      <w:r w:rsidRPr="00267F75">
        <w:rPr>
          <w:rFonts w:cs="Arial"/>
        </w:rPr>
        <w:t>antiapileptikum</w:t>
      </w:r>
      <w:proofErr w:type="spellEnd"/>
      <w:r w:rsidRPr="00267F75">
        <w:rPr>
          <w:rFonts w:cs="Arial"/>
        </w:rPr>
        <w:t xml:space="preserve">), </w:t>
      </w:r>
      <w:proofErr w:type="spellStart"/>
      <w:r w:rsidRPr="00267F75">
        <w:rPr>
          <w:rFonts w:cs="Arial"/>
        </w:rPr>
        <w:t>hydrochlorthiazid</w:t>
      </w:r>
      <w:proofErr w:type="spellEnd"/>
      <w:r w:rsidRPr="00267F75">
        <w:rPr>
          <w:rFonts w:cs="Arial"/>
        </w:rPr>
        <w:t xml:space="preserve"> (diuretikum), </w:t>
      </w:r>
      <w:proofErr w:type="spellStart"/>
      <w:r w:rsidRPr="00267F75">
        <w:rPr>
          <w:rFonts w:cs="Arial"/>
        </w:rPr>
        <w:t>fexofenadin</w:t>
      </w:r>
      <w:proofErr w:type="spellEnd"/>
      <w:r w:rsidRPr="00267F75">
        <w:rPr>
          <w:rFonts w:cs="Arial"/>
        </w:rPr>
        <w:t xml:space="preserve"> (antihistaminikum), </w:t>
      </w:r>
      <w:proofErr w:type="spellStart"/>
      <w:r w:rsidRPr="00267F75">
        <w:rPr>
          <w:rFonts w:cs="Arial"/>
        </w:rPr>
        <w:t>furosemid</w:t>
      </w:r>
      <w:proofErr w:type="spellEnd"/>
      <w:r w:rsidRPr="00267F75">
        <w:rPr>
          <w:rFonts w:cs="Arial"/>
        </w:rPr>
        <w:t xml:space="preserve"> (diuretikum), naproxen (analgetikum), </w:t>
      </w:r>
      <w:proofErr w:type="spellStart"/>
      <w:r w:rsidRPr="00267F75">
        <w:rPr>
          <w:rFonts w:cs="Arial"/>
        </w:rPr>
        <w:t>sulfapyridin</w:t>
      </w:r>
      <w:proofErr w:type="spellEnd"/>
      <w:r w:rsidRPr="00267F75">
        <w:rPr>
          <w:rFonts w:cs="Arial"/>
        </w:rPr>
        <w:t xml:space="preserve"> (antibiotikum), </w:t>
      </w:r>
      <w:proofErr w:type="spellStart"/>
      <w:r w:rsidRPr="00267F75">
        <w:rPr>
          <w:rFonts w:cs="Arial"/>
        </w:rPr>
        <w:t>pregabalin</w:t>
      </w:r>
      <w:proofErr w:type="spellEnd"/>
      <w:r w:rsidRPr="00267F75">
        <w:rPr>
          <w:rFonts w:cs="Arial"/>
        </w:rPr>
        <w:t xml:space="preserve"> (antiepileptikum), </w:t>
      </w:r>
      <w:proofErr w:type="spellStart"/>
      <w:r w:rsidRPr="00267F75">
        <w:rPr>
          <w:rFonts w:cs="Arial"/>
        </w:rPr>
        <w:t>klarithromycin</w:t>
      </w:r>
      <w:proofErr w:type="spellEnd"/>
      <w:r w:rsidRPr="00267F75">
        <w:rPr>
          <w:rFonts w:cs="Arial"/>
        </w:rPr>
        <w:t xml:space="preserve"> (antibiotikum), </w:t>
      </w:r>
      <w:proofErr w:type="spellStart"/>
      <w:r w:rsidRPr="00267F75">
        <w:rPr>
          <w:rFonts w:cs="Arial"/>
        </w:rPr>
        <w:t>metformin</w:t>
      </w:r>
      <w:proofErr w:type="spellEnd"/>
      <w:r w:rsidRPr="00267F75">
        <w:rPr>
          <w:rFonts w:cs="Arial"/>
        </w:rPr>
        <w:t xml:space="preserve"> (</w:t>
      </w:r>
      <w:proofErr w:type="spellStart"/>
      <w:r w:rsidRPr="00267F75">
        <w:rPr>
          <w:rFonts w:cs="Arial"/>
        </w:rPr>
        <w:t>antidiabetikum</w:t>
      </w:r>
      <w:proofErr w:type="spellEnd"/>
      <w:r w:rsidRPr="00267F75">
        <w:rPr>
          <w:rFonts w:cs="Arial"/>
        </w:rPr>
        <w:t xml:space="preserve">), </w:t>
      </w:r>
      <w:proofErr w:type="spellStart"/>
      <w:r w:rsidRPr="00267F75">
        <w:rPr>
          <w:rFonts w:cs="Arial"/>
        </w:rPr>
        <w:t>jopromid</w:t>
      </w:r>
      <w:proofErr w:type="spellEnd"/>
      <w:r w:rsidRPr="00267F75">
        <w:rPr>
          <w:rFonts w:cs="Arial"/>
        </w:rPr>
        <w:t xml:space="preserve"> (kontrastní látka), </w:t>
      </w:r>
      <w:proofErr w:type="spellStart"/>
      <w:r w:rsidRPr="00267F75">
        <w:rPr>
          <w:rFonts w:cs="Arial"/>
        </w:rPr>
        <w:t>rosuvastatin</w:t>
      </w:r>
      <w:proofErr w:type="spellEnd"/>
      <w:r w:rsidRPr="00267F75">
        <w:rPr>
          <w:rFonts w:cs="Arial"/>
        </w:rPr>
        <w:t xml:space="preserve"> (lék na cholesterol), lidokain (analgetikum), </w:t>
      </w:r>
      <w:proofErr w:type="spellStart"/>
      <w:r w:rsidRPr="00267F75">
        <w:rPr>
          <w:rFonts w:cs="Arial"/>
        </w:rPr>
        <w:t>celiprolol</w:t>
      </w:r>
      <w:proofErr w:type="spellEnd"/>
      <w:r w:rsidRPr="00267F75">
        <w:rPr>
          <w:rFonts w:cs="Arial"/>
        </w:rPr>
        <w:t xml:space="preserve"> (antihypertenzivum), </w:t>
      </w:r>
      <w:proofErr w:type="spellStart"/>
      <w:r w:rsidRPr="00267F75">
        <w:rPr>
          <w:rFonts w:cs="Arial"/>
        </w:rPr>
        <w:t>losartan</w:t>
      </w:r>
      <w:proofErr w:type="spellEnd"/>
      <w:r w:rsidRPr="00267F75">
        <w:rPr>
          <w:rFonts w:cs="Arial"/>
        </w:rPr>
        <w:t xml:space="preserve"> (antihypertenzivum), </w:t>
      </w:r>
      <w:proofErr w:type="spellStart"/>
      <w:r w:rsidRPr="00267F75">
        <w:rPr>
          <w:rFonts w:cs="Arial"/>
        </w:rPr>
        <w:t>amisulprid</w:t>
      </w:r>
      <w:proofErr w:type="spellEnd"/>
      <w:r w:rsidRPr="00267F75">
        <w:rPr>
          <w:rFonts w:cs="Arial"/>
        </w:rPr>
        <w:t xml:space="preserve"> (antipsychotikum), </w:t>
      </w:r>
      <w:proofErr w:type="spellStart"/>
      <w:r w:rsidRPr="00267F75">
        <w:rPr>
          <w:rFonts w:cs="Arial"/>
        </w:rPr>
        <w:t>bisoprolol</w:t>
      </w:r>
      <w:proofErr w:type="spellEnd"/>
      <w:r w:rsidRPr="00267F75">
        <w:rPr>
          <w:rFonts w:cs="Arial"/>
        </w:rPr>
        <w:t xml:space="preserve"> (antihypertenzivum) , </w:t>
      </w:r>
      <w:proofErr w:type="spellStart"/>
      <w:r w:rsidRPr="00267F75">
        <w:rPr>
          <w:rFonts w:cs="Arial"/>
        </w:rPr>
        <w:t>irbesartan</w:t>
      </w:r>
      <w:proofErr w:type="spellEnd"/>
      <w:r w:rsidRPr="00267F75">
        <w:rPr>
          <w:rFonts w:cs="Arial"/>
        </w:rPr>
        <w:t xml:space="preserve"> (antihypertenzivum) a kyselina </w:t>
      </w:r>
      <w:proofErr w:type="spellStart"/>
      <w:r w:rsidRPr="00267F75">
        <w:rPr>
          <w:rFonts w:cs="Arial"/>
        </w:rPr>
        <w:t>salycilová</w:t>
      </w:r>
      <w:proofErr w:type="spellEnd"/>
      <w:r w:rsidRPr="00267F75">
        <w:rPr>
          <w:rFonts w:cs="Arial"/>
        </w:rPr>
        <w:t xml:space="preserve"> (</w:t>
      </w:r>
      <w:proofErr w:type="spellStart"/>
      <w:r w:rsidRPr="00267F75">
        <w:rPr>
          <w:rFonts w:cs="Arial"/>
        </w:rPr>
        <w:t>dermatikum</w:t>
      </w:r>
      <w:proofErr w:type="spellEnd"/>
      <w:r w:rsidRPr="00267F75">
        <w:rPr>
          <w:rFonts w:cs="Arial"/>
        </w:rPr>
        <w:t>). Na menším počtu profilů (17) byly také velmi často nacházeny oxazepam (antidepresivum) a kodein (analgetikum).</w:t>
      </w:r>
    </w:p>
    <w:p w14:paraId="70B4C05F" w14:textId="77777777" w:rsidR="00267F75" w:rsidRPr="00267F75" w:rsidRDefault="00267F75" w:rsidP="00267F75">
      <w:pPr>
        <w:contextualSpacing/>
        <w:rPr>
          <w:rFonts w:cs="Arial"/>
        </w:rPr>
      </w:pPr>
    </w:p>
    <w:p w14:paraId="7B91C76C" w14:textId="1F829C59" w:rsidR="00267F75" w:rsidRPr="00267F75" w:rsidRDefault="00267F75" w:rsidP="00267F75">
      <w:pPr>
        <w:contextualSpacing/>
        <w:rPr>
          <w:rFonts w:cs="Arial"/>
        </w:rPr>
      </w:pPr>
      <w:r w:rsidRPr="00267F75">
        <w:rPr>
          <w:rFonts w:cs="Arial"/>
        </w:rPr>
        <w:t xml:space="preserve">Nejvyšší počet léčiv (více jak 40) byl nalezen v průběhu roku v profilech Trhové Dušníky – Příbramský potok (81 látek), Benešov – Benešovský potok (75), Humpolec – Pstružný potok (72), Dolní Chlum – Rakovnický potok (71), Kralupy nad Vltavou – Zákolanský potok a Dolní Kramolín – Kosový potok (68), Vlašim – Blanice (64), Rokycany – Klabava  a Běleč – Živný potok (62), </w:t>
      </w:r>
      <w:proofErr w:type="spellStart"/>
      <w:r w:rsidRPr="00267F75">
        <w:rPr>
          <w:rFonts w:cs="Arial"/>
        </w:rPr>
        <w:t>Senešnice</w:t>
      </w:r>
      <w:proofErr w:type="spellEnd"/>
      <w:r w:rsidRPr="00267F75">
        <w:rPr>
          <w:rFonts w:cs="Arial"/>
        </w:rPr>
        <w:t xml:space="preserve"> – Novoveský potok a Libčice – Vltava (58), Bavoryně – Červený potok, Velvary – Červený </w:t>
      </w:r>
      <w:r w:rsidRPr="00267F75">
        <w:rPr>
          <w:rFonts w:cs="Arial"/>
        </w:rPr>
        <w:lastRenderedPageBreak/>
        <w:t xml:space="preserve">potok a Radonice – Zubřina (57), Roztoky – Únětický potok (56), </w:t>
      </w:r>
      <w:proofErr w:type="spellStart"/>
      <w:r w:rsidRPr="00267F75">
        <w:rPr>
          <w:rFonts w:cs="Arial"/>
        </w:rPr>
        <w:t>Zelčín</w:t>
      </w:r>
      <w:proofErr w:type="spellEnd"/>
      <w:r w:rsidRPr="00267F75">
        <w:rPr>
          <w:rFonts w:cs="Arial"/>
        </w:rPr>
        <w:t xml:space="preserve"> – Vltava (55), Bukovec – Berounka a Nové Dvory – Sázava (54), Chlístov – Sázava (52), Klatovy – Drnový potok, Hrádek nad Nisou – Lužická Nisa (49), Kladruby – Pavlovický potok (48), Pelhřimov – Bělá (47), Zruč nad Sázavou – Sázava (46), Stříbro – Mže a Veselí nad Lužnicí – Nežárka (44), </w:t>
      </w:r>
      <w:proofErr w:type="spellStart"/>
      <w:r w:rsidRPr="00267F75">
        <w:rPr>
          <w:rFonts w:cs="Arial"/>
        </w:rPr>
        <w:t>Doudlevce</w:t>
      </w:r>
      <w:proofErr w:type="spellEnd"/>
      <w:r w:rsidRPr="00267F75">
        <w:rPr>
          <w:rFonts w:cs="Arial"/>
        </w:rPr>
        <w:t xml:space="preserve"> – Úhlava (43), Děčín – Labe, Oldřichov – Mže a Lahovice – Berounka (41). </w:t>
      </w:r>
    </w:p>
    <w:p w14:paraId="2B2A7210" w14:textId="77777777" w:rsidR="00267F75" w:rsidRPr="00267F75" w:rsidRDefault="00267F75" w:rsidP="00267F75">
      <w:pPr>
        <w:contextualSpacing/>
        <w:rPr>
          <w:rFonts w:cs="Arial"/>
        </w:rPr>
      </w:pPr>
    </w:p>
    <w:p w14:paraId="229C8095" w14:textId="78451A11" w:rsidR="00267F75" w:rsidRPr="00267F75" w:rsidRDefault="00267F75" w:rsidP="00267F75">
      <w:pPr>
        <w:contextualSpacing/>
        <w:rPr>
          <w:rFonts w:cs="Arial"/>
        </w:rPr>
      </w:pPr>
      <w:r w:rsidRPr="00267F75">
        <w:rPr>
          <w:rFonts w:cs="Arial"/>
        </w:rPr>
        <w:t>Nejvyšší sumární koncentrace léčiv (sumy ročních průměrných a ročních maximálních koncentrací jednotlivých látek v profilu) byly zjištěny v profilech Trhové Dušníky – Příbramský potok (průměr 69</w:t>
      </w:r>
      <w:r w:rsidR="00EA1680">
        <w:rPr>
          <w:rFonts w:cs="Arial"/>
        </w:rPr>
        <w:t>,</w:t>
      </w:r>
      <w:r w:rsidRPr="00267F75">
        <w:rPr>
          <w:rFonts w:cs="Arial"/>
        </w:rPr>
        <w:t xml:space="preserve">96 </w:t>
      </w:r>
      <w:proofErr w:type="spellStart"/>
      <w:r w:rsidRPr="00267F75">
        <w:rPr>
          <w:rFonts w:cs="Arial"/>
        </w:rPr>
        <w:t>μg</w:t>
      </w:r>
      <w:proofErr w:type="spellEnd"/>
      <w:r w:rsidRPr="00267F75">
        <w:rPr>
          <w:rFonts w:cs="Arial"/>
        </w:rPr>
        <w:t>/l, maximum 210</w:t>
      </w:r>
      <w:r w:rsidR="00EA1680">
        <w:rPr>
          <w:rFonts w:cs="Arial"/>
        </w:rPr>
        <w:t>,</w:t>
      </w:r>
      <w:r w:rsidRPr="00267F75">
        <w:rPr>
          <w:rFonts w:cs="Arial"/>
        </w:rPr>
        <w:t xml:space="preserve">58 </w:t>
      </w:r>
      <w:proofErr w:type="spellStart"/>
      <w:r w:rsidRPr="00267F75">
        <w:rPr>
          <w:rFonts w:cs="Arial"/>
        </w:rPr>
        <w:t>μg</w:t>
      </w:r>
      <w:proofErr w:type="spellEnd"/>
      <w:r w:rsidRPr="00267F75">
        <w:rPr>
          <w:rFonts w:cs="Arial"/>
        </w:rPr>
        <w:t>/l),  Benešov – Benešovský potok (průměr 42</w:t>
      </w:r>
      <w:r w:rsidR="00EA1680">
        <w:rPr>
          <w:rFonts w:cs="Arial"/>
        </w:rPr>
        <w:t>,</w:t>
      </w:r>
      <w:r w:rsidRPr="00267F75">
        <w:rPr>
          <w:rFonts w:cs="Arial"/>
        </w:rPr>
        <w:t xml:space="preserve">62 </w:t>
      </w:r>
      <w:proofErr w:type="spellStart"/>
      <w:r w:rsidRPr="00267F75">
        <w:rPr>
          <w:rFonts w:cs="Arial"/>
        </w:rPr>
        <w:t>μg</w:t>
      </w:r>
      <w:proofErr w:type="spellEnd"/>
      <w:r w:rsidRPr="00267F75">
        <w:rPr>
          <w:rFonts w:cs="Arial"/>
        </w:rPr>
        <w:t>/l, maximum 78</w:t>
      </w:r>
      <w:r w:rsidR="00EA1680">
        <w:rPr>
          <w:rFonts w:cs="Arial"/>
        </w:rPr>
        <w:t>,</w:t>
      </w:r>
      <w:r w:rsidRPr="00267F75">
        <w:rPr>
          <w:rFonts w:cs="Arial"/>
        </w:rPr>
        <w:t xml:space="preserve">78 </w:t>
      </w:r>
      <w:proofErr w:type="spellStart"/>
      <w:r w:rsidRPr="00267F75">
        <w:rPr>
          <w:rFonts w:cs="Arial"/>
        </w:rPr>
        <w:t>μg</w:t>
      </w:r>
      <w:proofErr w:type="spellEnd"/>
      <w:r w:rsidRPr="00267F75">
        <w:rPr>
          <w:rFonts w:cs="Arial"/>
        </w:rPr>
        <w:t>/l), Běleč – Živný potok (průměr 28</w:t>
      </w:r>
      <w:r w:rsidR="00EA1680">
        <w:rPr>
          <w:rFonts w:cs="Arial"/>
        </w:rPr>
        <w:t>,</w:t>
      </w:r>
      <w:r w:rsidRPr="00267F75">
        <w:rPr>
          <w:rFonts w:cs="Arial"/>
        </w:rPr>
        <w:t xml:space="preserve">23 </w:t>
      </w:r>
      <w:proofErr w:type="spellStart"/>
      <w:r w:rsidRPr="00267F75">
        <w:rPr>
          <w:rFonts w:cs="Arial"/>
        </w:rPr>
        <w:t>μg</w:t>
      </w:r>
      <w:proofErr w:type="spellEnd"/>
      <w:r w:rsidRPr="00267F75">
        <w:rPr>
          <w:rFonts w:cs="Arial"/>
        </w:rPr>
        <w:t>/l, maximum 60</w:t>
      </w:r>
      <w:r w:rsidR="00EA1680">
        <w:rPr>
          <w:rFonts w:cs="Arial"/>
        </w:rPr>
        <w:t>,</w:t>
      </w:r>
      <w:r w:rsidRPr="00267F75">
        <w:rPr>
          <w:rFonts w:cs="Arial"/>
        </w:rPr>
        <w:t xml:space="preserve">25 </w:t>
      </w:r>
      <w:proofErr w:type="spellStart"/>
      <w:r w:rsidRPr="00267F75">
        <w:rPr>
          <w:rFonts w:cs="Arial"/>
        </w:rPr>
        <w:t>μg</w:t>
      </w:r>
      <w:proofErr w:type="spellEnd"/>
      <w:r w:rsidRPr="00267F75">
        <w:rPr>
          <w:rFonts w:cs="Arial"/>
        </w:rPr>
        <w:t>/l), Klatovy – Drnový potok (průměr 26</w:t>
      </w:r>
      <w:r w:rsidR="00EA1680">
        <w:rPr>
          <w:rFonts w:cs="Arial"/>
        </w:rPr>
        <w:t>,</w:t>
      </w:r>
      <w:r w:rsidRPr="00267F75">
        <w:rPr>
          <w:rFonts w:cs="Arial"/>
        </w:rPr>
        <w:t xml:space="preserve">22 </w:t>
      </w:r>
      <w:proofErr w:type="spellStart"/>
      <w:r w:rsidRPr="00267F75">
        <w:rPr>
          <w:rFonts w:cs="Arial"/>
        </w:rPr>
        <w:t>μg</w:t>
      </w:r>
      <w:proofErr w:type="spellEnd"/>
      <w:r w:rsidRPr="00267F75">
        <w:rPr>
          <w:rFonts w:cs="Arial"/>
        </w:rPr>
        <w:t>/l, maximum 61</w:t>
      </w:r>
      <w:r w:rsidR="00EA1680">
        <w:rPr>
          <w:rFonts w:cs="Arial"/>
        </w:rPr>
        <w:t>,</w:t>
      </w:r>
      <w:r w:rsidRPr="00267F75">
        <w:rPr>
          <w:rFonts w:cs="Arial"/>
        </w:rPr>
        <w:t xml:space="preserve">35 </w:t>
      </w:r>
      <w:proofErr w:type="spellStart"/>
      <w:r w:rsidRPr="00267F75">
        <w:rPr>
          <w:rFonts w:cs="Arial"/>
        </w:rPr>
        <w:t>μg</w:t>
      </w:r>
      <w:proofErr w:type="spellEnd"/>
      <w:r w:rsidRPr="00267F75">
        <w:rPr>
          <w:rFonts w:cs="Arial"/>
        </w:rPr>
        <w:t>/l), Kralupy nad Vltavou – Zákolanský potok (průměr 23</w:t>
      </w:r>
      <w:r w:rsidR="00EA1680">
        <w:rPr>
          <w:rFonts w:cs="Arial"/>
        </w:rPr>
        <w:t>,</w:t>
      </w:r>
      <w:r w:rsidRPr="00267F75">
        <w:rPr>
          <w:rFonts w:cs="Arial"/>
        </w:rPr>
        <w:t xml:space="preserve">41 </w:t>
      </w:r>
      <w:proofErr w:type="spellStart"/>
      <w:r w:rsidRPr="00267F75">
        <w:rPr>
          <w:rFonts w:cs="Arial"/>
        </w:rPr>
        <w:t>μg</w:t>
      </w:r>
      <w:proofErr w:type="spellEnd"/>
      <w:r w:rsidRPr="00267F75">
        <w:rPr>
          <w:rFonts w:cs="Arial"/>
        </w:rPr>
        <w:t>/l, maximum 43</w:t>
      </w:r>
      <w:r w:rsidR="00EA1680">
        <w:rPr>
          <w:rFonts w:cs="Arial"/>
        </w:rPr>
        <w:t>,</w:t>
      </w:r>
      <w:r w:rsidRPr="00267F75">
        <w:rPr>
          <w:rFonts w:cs="Arial"/>
        </w:rPr>
        <w:t xml:space="preserve">73 </w:t>
      </w:r>
      <w:proofErr w:type="spellStart"/>
      <w:r w:rsidRPr="00267F75">
        <w:rPr>
          <w:rFonts w:cs="Arial"/>
        </w:rPr>
        <w:t>μg</w:t>
      </w:r>
      <w:proofErr w:type="spellEnd"/>
      <w:r w:rsidRPr="00267F75">
        <w:rPr>
          <w:rFonts w:cs="Arial"/>
        </w:rPr>
        <w:t>/l),  Hrádek nad Nisou – Lužická Nisa (průměr 22</w:t>
      </w:r>
      <w:r w:rsidR="00EA1680">
        <w:rPr>
          <w:rFonts w:cs="Arial"/>
        </w:rPr>
        <w:t>,</w:t>
      </w:r>
      <w:r w:rsidRPr="00267F75">
        <w:rPr>
          <w:rFonts w:cs="Arial"/>
        </w:rPr>
        <w:t xml:space="preserve">72 </w:t>
      </w:r>
      <w:proofErr w:type="spellStart"/>
      <w:r w:rsidRPr="00267F75">
        <w:rPr>
          <w:rFonts w:cs="Arial"/>
        </w:rPr>
        <w:t>μg</w:t>
      </w:r>
      <w:proofErr w:type="spellEnd"/>
      <w:r w:rsidRPr="00267F75">
        <w:rPr>
          <w:rFonts w:cs="Arial"/>
        </w:rPr>
        <w:t>/l, maximum 54</w:t>
      </w:r>
      <w:r w:rsidR="00EA1680">
        <w:rPr>
          <w:rFonts w:cs="Arial"/>
        </w:rPr>
        <w:t>,</w:t>
      </w:r>
      <w:r w:rsidRPr="00267F75">
        <w:rPr>
          <w:rFonts w:cs="Arial"/>
        </w:rPr>
        <w:t xml:space="preserve">73 </w:t>
      </w:r>
      <w:proofErr w:type="spellStart"/>
      <w:r w:rsidRPr="00267F75">
        <w:rPr>
          <w:rFonts w:cs="Arial"/>
        </w:rPr>
        <w:t>μg</w:t>
      </w:r>
      <w:proofErr w:type="spellEnd"/>
      <w:r w:rsidRPr="00267F75">
        <w:rPr>
          <w:rFonts w:cs="Arial"/>
        </w:rPr>
        <w:t xml:space="preserve">/l), Čejkovice – Cidlina (průměr 22.56 </w:t>
      </w:r>
      <w:proofErr w:type="spellStart"/>
      <w:r w:rsidRPr="00267F75">
        <w:rPr>
          <w:rFonts w:cs="Arial"/>
        </w:rPr>
        <w:t>μg</w:t>
      </w:r>
      <w:proofErr w:type="spellEnd"/>
      <w:r w:rsidRPr="00267F75">
        <w:rPr>
          <w:rFonts w:cs="Arial"/>
        </w:rPr>
        <w:t xml:space="preserve">/l, maximum 34.36 </w:t>
      </w:r>
      <w:proofErr w:type="spellStart"/>
      <w:r w:rsidRPr="00267F75">
        <w:rPr>
          <w:rFonts w:cs="Arial"/>
        </w:rPr>
        <w:t>μg</w:t>
      </w:r>
      <w:proofErr w:type="spellEnd"/>
      <w:r w:rsidRPr="00267F75">
        <w:rPr>
          <w:rFonts w:cs="Arial"/>
        </w:rPr>
        <w:t>/l), Dolní Chlum – Rakovnický potok (průměr 19</w:t>
      </w:r>
      <w:r w:rsidR="00EA1680">
        <w:rPr>
          <w:rFonts w:cs="Arial"/>
        </w:rPr>
        <w:t>,</w:t>
      </w:r>
      <w:r w:rsidRPr="00267F75">
        <w:rPr>
          <w:rFonts w:cs="Arial"/>
        </w:rPr>
        <w:t xml:space="preserve">66 </w:t>
      </w:r>
      <w:proofErr w:type="spellStart"/>
      <w:r w:rsidRPr="00267F75">
        <w:rPr>
          <w:rFonts w:cs="Arial"/>
        </w:rPr>
        <w:t>μg</w:t>
      </w:r>
      <w:proofErr w:type="spellEnd"/>
      <w:r w:rsidRPr="00267F75">
        <w:rPr>
          <w:rFonts w:cs="Arial"/>
        </w:rPr>
        <w:t>/l, maximum 78</w:t>
      </w:r>
      <w:r w:rsidR="00EA1680">
        <w:rPr>
          <w:rFonts w:cs="Arial"/>
        </w:rPr>
        <w:t>,</w:t>
      </w:r>
      <w:r w:rsidRPr="00267F75">
        <w:rPr>
          <w:rFonts w:cs="Arial"/>
        </w:rPr>
        <w:t xml:space="preserve">83 </w:t>
      </w:r>
      <w:proofErr w:type="spellStart"/>
      <w:r w:rsidRPr="00267F75">
        <w:rPr>
          <w:rFonts w:cs="Arial"/>
        </w:rPr>
        <w:t>μg</w:t>
      </w:r>
      <w:proofErr w:type="spellEnd"/>
      <w:r w:rsidRPr="00267F75">
        <w:rPr>
          <w:rFonts w:cs="Arial"/>
        </w:rPr>
        <w:t>/l), Humpolec – Pstružný potok (průměr 19</w:t>
      </w:r>
      <w:r w:rsidR="00EA1680">
        <w:rPr>
          <w:rFonts w:cs="Arial"/>
        </w:rPr>
        <w:t>,</w:t>
      </w:r>
      <w:r w:rsidRPr="00267F75">
        <w:rPr>
          <w:rFonts w:cs="Arial"/>
        </w:rPr>
        <w:t xml:space="preserve">61 </w:t>
      </w:r>
      <w:proofErr w:type="spellStart"/>
      <w:r w:rsidRPr="00267F75">
        <w:rPr>
          <w:rFonts w:cs="Arial"/>
        </w:rPr>
        <w:t>μg</w:t>
      </w:r>
      <w:proofErr w:type="spellEnd"/>
      <w:r w:rsidRPr="00267F75">
        <w:rPr>
          <w:rFonts w:cs="Arial"/>
        </w:rPr>
        <w:t>/l, maximum 36</w:t>
      </w:r>
      <w:r w:rsidR="00445F01">
        <w:rPr>
          <w:rFonts w:cs="Arial"/>
        </w:rPr>
        <w:t>,</w:t>
      </w:r>
      <w:r w:rsidRPr="00267F75">
        <w:rPr>
          <w:rFonts w:cs="Arial"/>
        </w:rPr>
        <w:t xml:space="preserve">84 </w:t>
      </w:r>
      <w:proofErr w:type="spellStart"/>
      <w:r w:rsidRPr="00267F75">
        <w:rPr>
          <w:rFonts w:cs="Arial"/>
        </w:rPr>
        <w:t>μg</w:t>
      </w:r>
      <w:proofErr w:type="spellEnd"/>
      <w:r w:rsidRPr="00267F75">
        <w:rPr>
          <w:rFonts w:cs="Arial"/>
        </w:rPr>
        <w:t>/l), Dolní Kramolín – Kosový potok (průměr 16</w:t>
      </w:r>
      <w:r w:rsidR="00445F01">
        <w:rPr>
          <w:rFonts w:cs="Arial"/>
        </w:rPr>
        <w:t>,</w:t>
      </w:r>
      <w:r w:rsidRPr="00267F75">
        <w:rPr>
          <w:rFonts w:cs="Arial"/>
        </w:rPr>
        <w:t xml:space="preserve">65 </w:t>
      </w:r>
      <w:proofErr w:type="spellStart"/>
      <w:r w:rsidRPr="00267F75">
        <w:rPr>
          <w:rFonts w:cs="Arial"/>
        </w:rPr>
        <w:t>μg</w:t>
      </w:r>
      <w:proofErr w:type="spellEnd"/>
      <w:r w:rsidRPr="00267F75">
        <w:rPr>
          <w:rFonts w:cs="Arial"/>
        </w:rPr>
        <w:t>/l, maximum 47</w:t>
      </w:r>
      <w:r w:rsidR="00445F01">
        <w:rPr>
          <w:rFonts w:cs="Arial"/>
        </w:rPr>
        <w:t>,</w:t>
      </w:r>
      <w:r w:rsidRPr="00267F75">
        <w:rPr>
          <w:rFonts w:cs="Arial"/>
        </w:rPr>
        <w:t xml:space="preserve">19 </w:t>
      </w:r>
      <w:proofErr w:type="spellStart"/>
      <w:r w:rsidRPr="00267F75">
        <w:rPr>
          <w:rFonts w:cs="Arial"/>
        </w:rPr>
        <w:t>μg</w:t>
      </w:r>
      <w:proofErr w:type="spellEnd"/>
      <w:r w:rsidRPr="00267F75">
        <w:rPr>
          <w:rFonts w:cs="Arial"/>
        </w:rPr>
        <w:t>/l), Velvary – Červený potok (průměr 16</w:t>
      </w:r>
      <w:r w:rsidR="00445F01">
        <w:rPr>
          <w:rFonts w:cs="Arial"/>
        </w:rPr>
        <w:t>,</w:t>
      </w:r>
      <w:r w:rsidRPr="00267F75">
        <w:rPr>
          <w:rFonts w:cs="Arial"/>
        </w:rPr>
        <w:t xml:space="preserve">35 </w:t>
      </w:r>
      <w:proofErr w:type="spellStart"/>
      <w:r w:rsidRPr="00267F75">
        <w:rPr>
          <w:rFonts w:cs="Arial"/>
        </w:rPr>
        <w:t>μg</w:t>
      </w:r>
      <w:proofErr w:type="spellEnd"/>
      <w:r w:rsidRPr="00267F75">
        <w:rPr>
          <w:rFonts w:cs="Arial"/>
        </w:rPr>
        <w:t>/l, maximum 43</w:t>
      </w:r>
      <w:r w:rsidR="00445F01">
        <w:rPr>
          <w:rFonts w:cs="Arial"/>
        </w:rPr>
        <w:t>,</w:t>
      </w:r>
      <w:r w:rsidRPr="00267F75">
        <w:rPr>
          <w:rFonts w:cs="Arial"/>
        </w:rPr>
        <w:t xml:space="preserve">8 </w:t>
      </w:r>
      <w:proofErr w:type="spellStart"/>
      <w:r w:rsidRPr="00267F75">
        <w:rPr>
          <w:rFonts w:cs="Arial"/>
        </w:rPr>
        <w:t>μg</w:t>
      </w:r>
      <w:proofErr w:type="spellEnd"/>
      <w:r w:rsidRPr="00267F75">
        <w:rPr>
          <w:rFonts w:cs="Arial"/>
        </w:rPr>
        <w:t>/l), Bavoryně – Červený potok (průměr 15</w:t>
      </w:r>
      <w:r w:rsidR="00445F01">
        <w:rPr>
          <w:rFonts w:cs="Arial"/>
        </w:rPr>
        <w:t>,</w:t>
      </w:r>
      <w:r w:rsidRPr="00267F75">
        <w:rPr>
          <w:rFonts w:cs="Arial"/>
        </w:rPr>
        <w:t xml:space="preserve">83 </w:t>
      </w:r>
      <w:proofErr w:type="spellStart"/>
      <w:r w:rsidRPr="00267F75">
        <w:rPr>
          <w:rFonts w:cs="Arial"/>
        </w:rPr>
        <w:t>μg</w:t>
      </w:r>
      <w:proofErr w:type="spellEnd"/>
      <w:r w:rsidRPr="00267F75">
        <w:rPr>
          <w:rFonts w:cs="Arial"/>
        </w:rPr>
        <w:t>/l, maximum 43</w:t>
      </w:r>
      <w:r w:rsidR="00445F01">
        <w:rPr>
          <w:rFonts w:cs="Arial"/>
        </w:rPr>
        <w:t>,</w:t>
      </w:r>
      <w:r w:rsidRPr="00267F75">
        <w:rPr>
          <w:rFonts w:cs="Arial"/>
        </w:rPr>
        <w:t xml:space="preserve">6 </w:t>
      </w:r>
      <w:proofErr w:type="spellStart"/>
      <w:r w:rsidRPr="00267F75">
        <w:rPr>
          <w:rFonts w:cs="Arial"/>
        </w:rPr>
        <w:t>μg</w:t>
      </w:r>
      <w:proofErr w:type="spellEnd"/>
      <w:r w:rsidRPr="00267F75">
        <w:rPr>
          <w:rFonts w:cs="Arial"/>
        </w:rPr>
        <w:t xml:space="preserve">/l), </w:t>
      </w:r>
      <w:proofErr w:type="spellStart"/>
      <w:r w:rsidRPr="00267F75">
        <w:rPr>
          <w:rFonts w:cs="Arial"/>
        </w:rPr>
        <w:t>Senešnice</w:t>
      </w:r>
      <w:proofErr w:type="spellEnd"/>
      <w:r w:rsidRPr="00267F75">
        <w:rPr>
          <w:rFonts w:cs="Arial"/>
        </w:rPr>
        <w:t xml:space="preserve"> – Novoveský potok (průměr 15</w:t>
      </w:r>
      <w:r w:rsidR="00445F01">
        <w:rPr>
          <w:rFonts w:cs="Arial"/>
        </w:rPr>
        <w:t>,</w:t>
      </w:r>
      <w:r w:rsidRPr="00267F75">
        <w:rPr>
          <w:rFonts w:cs="Arial"/>
        </w:rPr>
        <w:t xml:space="preserve">54 </w:t>
      </w:r>
      <w:proofErr w:type="spellStart"/>
      <w:r w:rsidRPr="00267F75">
        <w:rPr>
          <w:rFonts w:cs="Arial"/>
        </w:rPr>
        <w:t>μg</w:t>
      </w:r>
      <w:proofErr w:type="spellEnd"/>
      <w:r w:rsidRPr="00267F75">
        <w:rPr>
          <w:rFonts w:cs="Arial"/>
        </w:rPr>
        <w:t>/l, maximum 48</w:t>
      </w:r>
      <w:r w:rsidR="00445F01">
        <w:rPr>
          <w:rFonts w:cs="Arial"/>
        </w:rPr>
        <w:t>,</w:t>
      </w:r>
      <w:r w:rsidRPr="00267F75">
        <w:rPr>
          <w:rFonts w:cs="Arial"/>
        </w:rPr>
        <w:t xml:space="preserve">39 </w:t>
      </w:r>
      <w:proofErr w:type="spellStart"/>
      <w:r w:rsidRPr="00267F75">
        <w:rPr>
          <w:rFonts w:cs="Arial"/>
        </w:rPr>
        <w:t>μg</w:t>
      </w:r>
      <w:proofErr w:type="spellEnd"/>
      <w:r w:rsidRPr="00267F75">
        <w:rPr>
          <w:rFonts w:cs="Arial"/>
        </w:rPr>
        <w:t xml:space="preserve">/l), Rozkoš – </w:t>
      </w:r>
      <w:proofErr w:type="spellStart"/>
      <w:r w:rsidRPr="00267F75">
        <w:rPr>
          <w:rFonts w:cs="Arial"/>
        </w:rPr>
        <w:t>Šonovský</w:t>
      </w:r>
      <w:proofErr w:type="spellEnd"/>
      <w:r w:rsidRPr="00267F75">
        <w:rPr>
          <w:rFonts w:cs="Arial"/>
        </w:rPr>
        <w:t xml:space="preserve"> potok (průměr 13</w:t>
      </w:r>
      <w:r w:rsidR="00445F01">
        <w:rPr>
          <w:rFonts w:cs="Arial"/>
        </w:rPr>
        <w:t>,</w:t>
      </w:r>
      <w:r w:rsidRPr="00267F75">
        <w:rPr>
          <w:rFonts w:cs="Arial"/>
        </w:rPr>
        <w:t xml:space="preserve">36 </w:t>
      </w:r>
      <w:proofErr w:type="spellStart"/>
      <w:r w:rsidRPr="00267F75">
        <w:rPr>
          <w:rFonts w:cs="Arial"/>
        </w:rPr>
        <w:t>μg</w:t>
      </w:r>
      <w:proofErr w:type="spellEnd"/>
      <w:r w:rsidRPr="00267F75">
        <w:rPr>
          <w:rFonts w:cs="Arial"/>
        </w:rPr>
        <w:t>/l, maximum 17</w:t>
      </w:r>
      <w:r w:rsidR="00445F01">
        <w:rPr>
          <w:rFonts w:cs="Arial"/>
        </w:rPr>
        <w:t>,</w:t>
      </w:r>
      <w:r w:rsidRPr="00267F75">
        <w:rPr>
          <w:rFonts w:cs="Arial"/>
        </w:rPr>
        <w:t xml:space="preserve">24 </w:t>
      </w:r>
      <w:proofErr w:type="spellStart"/>
      <w:r w:rsidRPr="00267F75">
        <w:rPr>
          <w:rFonts w:cs="Arial"/>
        </w:rPr>
        <w:t>μg</w:t>
      </w:r>
      <w:proofErr w:type="spellEnd"/>
      <w:r w:rsidRPr="00267F75">
        <w:rPr>
          <w:rFonts w:cs="Arial"/>
        </w:rPr>
        <w:t>/l), Kladruby – Pavlovický potok (průměr 11</w:t>
      </w:r>
      <w:r w:rsidR="00445F01">
        <w:rPr>
          <w:rFonts w:cs="Arial"/>
        </w:rPr>
        <w:t>,</w:t>
      </w:r>
      <w:r w:rsidRPr="00267F75">
        <w:rPr>
          <w:rFonts w:cs="Arial"/>
        </w:rPr>
        <w:t xml:space="preserve">1 </w:t>
      </w:r>
      <w:proofErr w:type="spellStart"/>
      <w:r w:rsidRPr="00267F75">
        <w:rPr>
          <w:rFonts w:cs="Arial"/>
        </w:rPr>
        <w:t>μg</w:t>
      </w:r>
      <w:proofErr w:type="spellEnd"/>
      <w:r w:rsidRPr="00267F75">
        <w:rPr>
          <w:rFonts w:cs="Arial"/>
        </w:rPr>
        <w:t>/l, maximum 24</w:t>
      </w:r>
      <w:r w:rsidR="00445F01">
        <w:rPr>
          <w:rFonts w:cs="Arial"/>
        </w:rPr>
        <w:t>,</w:t>
      </w:r>
      <w:r w:rsidRPr="00267F75">
        <w:rPr>
          <w:rFonts w:cs="Arial"/>
        </w:rPr>
        <w:t xml:space="preserve">37 </w:t>
      </w:r>
      <w:proofErr w:type="spellStart"/>
      <w:r w:rsidRPr="00267F75">
        <w:rPr>
          <w:rFonts w:cs="Arial"/>
        </w:rPr>
        <w:t>μg</w:t>
      </w:r>
      <w:proofErr w:type="spellEnd"/>
      <w:r w:rsidRPr="00267F75">
        <w:rPr>
          <w:rFonts w:cs="Arial"/>
        </w:rPr>
        <w:t>/l), Radonice – Zubřina (průměr 10</w:t>
      </w:r>
      <w:r w:rsidR="00445F01">
        <w:rPr>
          <w:rFonts w:cs="Arial"/>
        </w:rPr>
        <w:t>,</w:t>
      </w:r>
      <w:r w:rsidRPr="00267F75">
        <w:rPr>
          <w:rFonts w:cs="Arial"/>
        </w:rPr>
        <w:t xml:space="preserve">98 </w:t>
      </w:r>
      <w:proofErr w:type="spellStart"/>
      <w:r w:rsidRPr="00267F75">
        <w:rPr>
          <w:rFonts w:cs="Arial"/>
        </w:rPr>
        <w:t>μg</w:t>
      </w:r>
      <w:proofErr w:type="spellEnd"/>
      <w:r w:rsidRPr="00267F75">
        <w:rPr>
          <w:rFonts w:cs="Arial"/>
        </w:rPr>
        <w:t>/l, maximum 28</w:t>
      </w:r>
      <w:r w:rsidR="00445F01">
        <w:rPr>
          <w:rFonts w:cs="Arial"/>
        </w:rPr>
        <w:t>,</w:t>
      </w:r>
      <w:r w:rsidRPr="00267F75">
        <w:rPr>
          <w:rFonts w:cs="Arial"/>
        </w:rPr>
        <w:t xml:space="preserve">07 </w:t>
      </w:r>
      <w:proofErr w:type="spellStart"/>
      <w:r w:rsidRPr="00267F75">
        <w:rPr>
          <w:rFonts w:cs="Arial"/>
        </w:rPr>
        <w:t>μg</w:t>
      </w:r>
      <w:proofErr w:type="spellEnd"/>
      <w:r w:rsidRPr="00267F75">
        <w:rPr>
          <w:rFonts w:cs="Arial"/>
        </w:rPr>
        <w:t>/l) a Vlašim – Blanice (průměr 9</w:t>
      </w:r>
      <w:r w:rsidR="00445F01">
        <w:rPr>
          <w:rFonts w:cs="Arial"/>
        </w:rPr>
        <w:t>,</w:t>
      </w:r>
      <w:r w:rsidRPr="00267F75">
        <w:rPr>
          <w:rFonts w:cs="Arial"/>
        </w:rPr>
        <w:t xml:space="preserve">28 </w:t>
      </w:r>
      <w:proofErr w:type="spellStart"/>
      <w:r w:rsidRPr="00267F75">
        <w:rPr>
          <w:rFonts w:cs="Arial"/>
        </w:rPr>
        <w:t>μg</w:t>
      </w:r>
      <w:proofErr w:type="spellEnd"/>
      <w:r w:rsidRPr="00267F75">
        <w:rPr>
          <w:rFonts w:cs="Arial"/>
        </w:rPr>
        <w:t>/l, maximum 20</w:t>
      </w:r>
      <w:r w:rsidR="00445F01">
        <w:rPr>
          <w:rFonts w:cs="Arial"/>
        </w:rPr>
        <w:t>,</w:t>
      </w:r>
      <w:r w:rsidRPr="00267F75">
        <w:rPr>
          <w:rFonts w:cs="Arial"/>
        </w:rPr>
        <w:t xml:space="preserve">74 </w:t>
      </w:r>
      <w:proofErr w:type="spellStart"/>
      <w:r w:rsidRPr="00267F75">
        <w:rPr>
          <w:rFonts w:cs="Arial"/>
        </w:rPr>
        <w:t>μg</w:t>
      </w:r>
      <w:proofErr w:type="spellEnd"/>
      <w:r w:rsidRPr="00267F75">
        <w:rPr>
          <w:rFonts w:cs="Arial"/>
        </w:rPr>
        <w:t>/l).</w:t>
      </w:r>
    </w:p>
    <w:p w14:paraId="77400E9C" w14:textId="77777777" w:rsidR="00267F75" w:rsidRPr="00267F75" w:rsidRDefault="00267F75" w:rsidP="00267F75">
      <w:pPr>
        <w:contextualSpacing/>
        <w:rPr>
          <w:rFonts w:cs="Arial"/>
        </w:rPr>
      </w:pPr>
    </w:p>
    <w:p w14:paraId="68FDA1D4" w14:textId="03A8F42E" w:rsidR="00267F75" w:rsidRPr="00267F75" w:rsidRDefault="00267F75" w:rsidP="00267F75">
      <w:pPr>
        <w:contextualSpacing/>
        <w:rPr>
          <w:rFonts w:cs="Arial"/>
        </w:rPr>
      </w:pPr>
      <w:r w:rsidRPr="00267F75">
        <w:rPr>
          <w:rFonts w:cs="Arial"/>
        </w:rPr>
        <w:t>Absolutně nejvyšší koncentrace léčiv byla naměřena v profilu Trhové Dušníky – Příbramský potok dne 13.</w:t>
      </w:r>
      <w:r w:rsidR="00E038BF">
        <w:rPr>
          <w:rFonts w:cs="Arial"/>
        </w:rPr>
        <w:t xml:space="preserve"> </w:t>
      </w:r>
      <w:r w:rsidRPr="00267F75">
        <w:rPr>
          <w:rFonts w:cs="Arial"/>
        </w:rPr>
        <w:t>2. 2025, kdy celková koncentrace celkem 79 nalezených léčiv dosáhla hodnoty 195</w:t>
      </w:r>
      <w:r w:rsidR="00E038BF">
        <w:rPr>
          <w:rFonts w:cs="Arial"/>
        </w:rPr>
        <w:t>,</w:t>
      </w:r>
      <w:r w:rsidRPr="00267F75">
        <w:rPr>
          <w:rFonts w:cs="Arial"/>
        </w:rPr>
        <w:t xml:space="preserve">18 </w:t>
      </w:r>
      <w:proofErr w:type="spellStart"/>
      <w:r w:rsidRPr="00267F75">
        <w:rPr>
          <w:rFonts w:cs="Arial"/>
        </w:rPr>
        <w:t>μg</w:t>
      </w:r>
      <w:proofErr w:type="spellEnd"/>
      <w:r w:rsidRPr="00267F75">
        <w:rPr>
          <w:rFonts w:cs="Arial"/>
        </w:rPr>
        <w:t>/l.</w:t>
      </w:r>
    </w:p>
    <w:p w14:paraId="498A1C00" w14:textId="77777777" w:rsidR="007D023F" w:rsidRPr="00104F7D" w:rsidRDefault="007D023F" w:rsidP="007C4955">
      <w:pPr>
        <w:contextualSpacing/>
        <w:rPr>
          <w:b/>
          <w:i/>
          <w:highlight w:val="yellow"/>
        </w:rPr>
      </w:pPr>
    </w:p>
    <w:p w14:paraId="5B6DF27D" w14:textId="5C685328" w:rsidR="002651C7" w:rsidRPr="009D2BD2" w:rsidRDefault="008409C0" w:rsidP="007C4955">
      <w:pPr>
        <w:contextualSpacing/>
        <w:rPr>
          <w:b/>
          <w:i/>
        </w:rPr>
      </w:pPr>
      <w:r w:rsidRPr="009D2BD2">
        <w:rPr>
          <w:b/>
          <w:i/>
        </w:rPr>
        <w:t>Obrázek 3.1.</w:t>
      </w:r>
      <w:r w:rsidR="00C66481">
        <w:rPr>
          <w:b/>
          <w:i/>
        </w:rPr>
        <w:t>7</w:t>
      </w:r>
    </w:p>
    <w:p w14:paraId="23FC79C8" w14:textId="1CC8701B" w:rsidR="008409C0" w:rsidRPr="009D2BD2" w:rsidRDefault="008409C0" w:rsidP="007C4955">
      <w:pPr>
        <w:contextualSpacing/>
        <w:rPr>
          <w:b/>
          <w:i/>
        </w:rPr>
      </w:pPr>
      <w:r w:rsidRPr="009D2BD2">
        <w:rPr>
          <w:b/>
          <w:i/>
        </w:rPr>
        <w:t>Nalezená léčiva na území České republiky dle počtu a koncentrace v roce 20</w:t>
      </w:r>
      <w:r w:rsidR="007423DB" w:rsidRPr="009D2BD2">
        <w:rPr>
          <w:b/>
          <w:i/>
        </w:rPr>
        <w:t>2</w:t>
      </w:r>
      <w:r w:rsidR="009D2BD2">
        <w:rPr>
          <w:b/>
          <w:i/>
        </w:rPr>
        <w:t>5</w:t>
      </w:r>
    </w:p>
    <w:p w14:paraId="27D8B55D" w14:textId="5046BD7C" w:rsidR="008409C0" w:rsidRPr="009D2BD2" w:rsidRDefault="009D2BD2" w:rsidP="007C4955">
      <w:pPr>
        <w:contextualSpacing/>
        <w:rPr>
          <w:b/>
          <w:i/>
          <w:color w:val="FF0000"/>
        </w:rPr>
      </w:pPr>
      <w:r w:rsidRPr="009D2BD2">
        <w:rPr>
          <w:noProof/>
        </w:rPr>
        <w:drawing>
          <wp:inline distT="0" distB="0" distL="0" distR="0" wp14:anchorId="44E01470" wp14:editId="786367C8">
            <wp:extent cx="4724899" cy="3212431"/>
            <wp:effectExtent l="0" t="0" r="0" b="7620"/>
            <wp:docPr id="15085381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538170" name="Picture 4"/>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733512" cy="3218287"/>
                    </a:xfrm>
                    <a:prstGeom prst="rect">
                      <a:avLst/>
                    </a:prstGeom>
                  </pic:spPr>
                </pic:pic>
              </a:graphicData>
            </a:graphic>
          </wp:inline>
        </w:drawing>
      </w:r>
    </w:p>
    <w:p w14:paraId="3FB2841B" w14:textId="77777777" w:rsidR="00B95AD3" w:rsidRPr="009D2BD2" w:rsidRDefault="00B95AD3" w:rsidP="007C4955">
      <w:pPr>
        <w:contextualSpacing/>
        <w:rPr>
          <w:i/>
          <w:sz w:val="20"/>
          <w:szCs w:val="20"/>
        </w:rPr>
      </w:pPr>
      <w:r w:rsidRPr="009D2BD2">
        <w:rPr>
          <w:i/>
          <w:sz w:val="20"/>
          <w:szCs w:val="20"/>
        </w:rPr>
        <w:t>Pramen: ČHMÚ</w:t>
      </w:r>
    </w:p>
    <w:p w14:paraId="3E82D90C" w14:textId="77777777" w:rsidR="003C7295" w:rsidRPr="009D2BD2" w:rsidRDefault="003C7295" w:rsidP="007C4955">
      <w:pPr>
        <w:ind w:left="709" w:hanging="709"/>
        <w:contextualSpacing/>
        <w:rPr>
          <w:i/>
          <w:sz w:val="20"/>
          <w:szCs w:val="20"/>
        </w:rPr>
      </w:pPr>
      <w:r w:rsidRPr="009D2BD2">
        <w:rPr>
          <w:i/>
          <w:sz w:val="20"/>
          <w:szCs w:val="20"/>
        </w:rPr>
        <w:t xml:space="preserve">Pozn.: Výsledky monitoringu jsou ovlivněny faktem, že jednotlivé </w:t>
      </w:r>
      <w:r w:rsidR="008866C3" w:rsidRPr="009D2BD2">
        <w:rPr>
          <w:i/>
          <w:sz w:val="20"/>
          <w:szCs w:val="20"/>
        </w:rPr>
        <w:t>s. p.</w:t>
      </w:r>
      <w:r w:rsidRPr="009D2BD2">
        <w:rPr>
          <w:i/>
          <w:sz w:val="20"/>
          <w:szCs w:val="20"/>
        </w:rPr>
        <w:t xml:space="preserve"> Povodí monitorují odlišné spektrum léčiv a různý počet profilů.</w:t>
      </w:r>
    </w:p>
    <w:p w14:paraId="3CCD8803" w14:textId="77777777" w:rsidR="00845C1C" w:rsidRPr="00104F7D" w:rsidRDefault="00845C1C" w:rsidP="007C4955">
      <w:pPr>
        <w:contextualSpacing/>
        <w:rPr>
          <w:b/>
          <w:i/>
          <w:sz w:val="18"/>
          <w:szCs w:val="18"/>
          <w:highlight w:val="yellow"/>
        </w:rPr>
      </w:pPr>
    </w:p>
    <w:p w14:paraId="0E3699E8" w14:textId="77777777" w:rsidR="009436D8" w:rsidRDefault="009436D8" w:rsidP="007C4955">
      <w:pPr>
        <w:contextualSpacing/>
        <w:rPr>
          <w:b/>
          <w:i/>
          <w:color w:val="000000" w:themeColor="text1"/>
          <w:highlight w:val="yellow"/>
        </w:rPr>
      </w:pPr>
    </w:p>
    <w:p w14:paraId="27B9CB12" w14:textId="77777777" w:rsidR="009436D8" w:rsidRDefault="009436D8" w:rsidP="007C4955">
      <w:pPr>
        <w:contextualSpacing/>
        <w:rPr>
          <w:b/>
          <w:i/>
          <w:color w:val="000000" w:themeColor="text1"/>
          <w:highlight w:val="yellow"/>
        </w:rPr>
      </w:pPr>
    </w:p>
    <w:p w14:paraId="0C491C72" w14:textId="77777777" w:rsidR="009436D8" w:rsidRDefault="009436D8" w:rsidP="007C4955">
      <w:pPr>
        <w:contextualSpacing/>
        <w:rPr>
          <w:b/>
          <w:i/>
          <w:color w:val="000000" w:themeColor="text1"/>
          <w:highlight w:val="yellow"/>
        </w:rPr>
      </w:pPr>
    </w:p>
    <w:p w14:paraId="61DDD65B" w14:textId="77777777" w:rsidR="009436D8" w:rsidRDefault="009436D8" w:rsidP="007C4955">
      <w:pPr>
        <w:contextualSpacing/>
        <w:rPr>
          <w:b/>
          <w:i/>
          <w:color w:val="000000" w:themeColor="text1"/>
          <w:highlight w:val="yellow"/>
        </w:rPr>
      </w:pPr>
    </w:p>
    <w:p w14:paraId="2B3611A8" w14:textId="77777777" w:rsidR="009436D8" w:rsidRDefault="009436D8" w:rsidP="007C4955">
      <w:pPr>
        <w:contextualSpacing/>
        <w:rPr>
          <w:b/>
          <w:i/>
          <w:color w:val="000000" w:themeColor="text1"/>
          <w:highlight w:val="yellow"/>
        </w:rPr>
      </w:pPr>
    </w:p>
    <w:p w14:paraId="241C4119" w14:textId="77777777" w:rsidR="009436D8" w:rsidRDefault="009436D8" w:rsidP="007C4955">
      <w:pPr>
        <w:contextualSpacing/>
        <w:rPr>
          <w:b/>
          <w:i/>
          <w:color w:val="000000" w:themeColor="text1"/>
          <w:highlight w:val="yellow"/>
        </w:rPr>
      </w:pPr>
    </w:p>
    <w:p w14:paraId="1B07BB03" w14:textId="77777777" w:rsidR="009436D8" w:rsidRDefault="009436D8" w:rsidP="007C4955">
      <w:pPr>
        <w:contextualSpacing/>
        <w:rPr>
          <w:b/>
          <w:i/>
          <w:color w:val="000000" w:themeColor="text1"/>
          <w:highlight w:val="yellow"/>
        </w:rPr>
      </w:pPr>
    </w:p>
    <w:p w14:paraId="33E7AF16" w14:textId="03B4755D" w:rsidR="00BB4CD4" w:rsidRPr="009436D8" w:rsidRDefault="008409C0" w:rsidP="007C4955">
      <w:pPr>
        <w:contextualSpacing/>
        <w:rPr>
          <w:b/>
          <w:i/>
          <w:color w:val="000000" w:themeColor="text1"/>
        </w:rPr>
      </w:pPr>
      <w:r w:rsidRPr="009436D8">
        <w:rPr>
          <w:b/>
          <w:i/>
          <w:color w:val="000000" w:themeColor="text1"/>
        </w:rPr>
        <w:lastRenderedPageBreak/>
        <w:t>Graf 3.1.</w:t>
      </w:r>
      <w:r w:rsidR="00C66481">
        <w:rPr>
          <w:b/>
          <w:i/>
          <w:color w:val="000000" w:themeColor="text1"/>
        </w:rPr>
        <w:t>15</w:t>
      </w:r>
    </w:p>
    <w:p w14:paraId="31730E45" w14:textId="5A42F895" w:rsidR="008409C0" w:rsidRPr="009436D8" w:rsidRDefault="00751C40" w:rsidP="007C4955">
      <w:pPr>
        <w:contextualSpacing/>
        <w:rPr>
          <w:b/>
          <w:i/>
          <w:color w:val="000000" w:themeColor="text1"/>
        </w:rPr>
      </w:pPr>
      <w:r w:rsidRPr="009436D8">
        <w:rPr>
          <w:b/>
          <w:i/>
          <w:color w:val="000000" w:themeColor="text1"/>
        </w:rPr>
        <w:t xml:space="preserve">Frekvence výskytu léčiv a maximální dosažené koncentrace v povrchových vodách </w:t>
      </w:r>
      <w:r w:rsidR="008409C0" w:rsidRPr="009436D8">
        <w:rPr>
          <w:b/>
          <w:i/>
          <w:color w:val="000000" w:themeColor="text1"/>
        </w:rPr>
        <w:t>na úz</w:t>
      </w:r>
      <w:r w:rsidR="00B95AD3" w:rsidRPr="009436D8">
        <w:rPr>
          <w:b/>
          <w:i/>
          <w:color w:val="000000" w:themeColor="text1"/>
        </w:rPr>
        <w:t>emí České republiky v roce 20</w:t>
      </w:r>
      <w:r w:rsidR="007423DB" w:rsidRPr="009436D8">
        <w:rPr>
          <w:b/>
          <w:i/>
          <w:color w:val="000000" w:themeColor="text1"/>
        </w:rPr>
        <w:t>2</w:t>
      </w:r>
      <w:r w:rsidR="009436D8" w:rsidRPr="009436D8">
        <w:rPr>
          <w:b/>
          <w:i/>
          <w:color w:val="000000" w:themeColor="text1"/>
        </w:rPr>
        <w:t>5</w:t>
      </w:r>
    </w:p>
    <w:p w14:paraId="0CB40B71" w14:textId="3F2B60E6" w:rsidR="00751C40" w:rsidRPr="009436D8" w:rsidRDefault="00063241" w:rsidP="007C4955">
      <w:pPr>
        <w:contextualSpacing/>
        <w:rPr>
          <w:color w:val="FF0000"/>
        </w:rPr>
      </w:pPr>
      <w:r>
        <w:rPr>
          <w:noProof/>
        </w:rPr>
        <w:drawing>
          <wp:inline distT="0" distB="0" distL="0" distR="0" wp14:anchorId="7E314027" wp14:editId="427707E3">
            <wp:extent cx="5760720" cy="2881630"/>
            <wp:effectExtent l="0" t="0" r="0" b="0"/>
            <wp:docPr id="20454155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415526" name="Picture 5"/>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60720" cy="2881630"/>
                    </a:xfrm>
                    <a:prstGeom prst="rect">
                      <a:avLst/>
                    </a:prstGeom>
                    <a:noFill/>
                  </pic:spPr>
                </pic:pic>
              </a:graphicData>
            </a:graphic>
          </wp:inline>
        </w:drawing>
      </w:r>
    </w:p>
    <w:p w14:paraId="25F7446F" w14:textId="77777777" w:rsidR="00B95AD3" w:rsidRPr="009436D8" w:rsidRDefault="00B95AD3" w:rsidP="007C4955">
      <w:pPr>
        <w:contextualSpacing/>
        <w:rPr>
          <w:rFonts w:cs="Arial"/>
          <w:i/>
          <w:sz w:val="20"/>
          <w:szCs w:val="20"/>
        </w:rPr>
      </w:pPr>
      <w:r w:rsidRPr="009436D8">
        <w:rPr>
          <w:rFonts w:cs="Arial"/>
          <w:i/>
          <w:sz w:val="20"/>
          <w:szCs w:val="20"/>
        </w:rPr>
        <w:t>Pramen: ČHMÚ</w:t>
      </w:r>
    </w:p>
    <w:p w14:paraId="1CEC7C24" w14:textId="77777777" w:rsidR="00C373AB" w:rsidRPr="009436D8" w:rsidRDefault="008409C0" w:rsidP="00C373AB">
      <w:pPr>
        <w:contextualSpacing/>
        <w:rPr>
          <w:rFonts w:cs="Arial"/>
          <w:i/>
          <w:sz w:val="20"/>
          <w:szCs w:val="20"/>
        </w:rPr>
      </w:pPr>
      <w:r w:rsidRPr="009436D8">
        <w:rPr>
          <w:rFonts w:cs="Arial"/>
          <w:i/>
          <w:sz w:val="20"/>
          <w:szCs w:val="20"/>
        </w:rPr>
        <w:t>Pozn.: Závorky u jednotlivých látek udávají počet profilů/počet vzorků/počet pozitivních vzorků</w:t>
      </w:r>
    </w:p>
    <w:p w14:paraId="6104A54F" w14:textId="77777777" w:rsidR="00B32119" w:rsidRPr="00104F7D" w:rsidRDefault="00B32119" w:rsidP="00C373AB">
      <w:pPr>
        <w:contextualSpacing/>
        <w:rPr>
          <w:rFonts w:cs="Arial"/>
          <w:b/>
          <w:bCs/>
          <w:i/>
          <w:iCs/>
          <w:highlight w:val="yellow"/>
        </w:rPr>
      </w:pPr>
    </w:p>
    <w:p w14:paraId="2B3B1930" w14:textId="2874C8C9" w:rsidR="005A223E" w:rsidRDefault="00347395" w:rsidP="005A223E">
      <w:pPr>
        <w:pStyle w:val="mezikapitolamivtmi"/>
        <w:spacing w:before="0" w:after="0"/>
        <w:rPr>
          <w:rFonts w:ascii="Arial" w:eastAsia="Calibri" w:hAnsi="Arial" w:cs="Arial"/>
          <w:bCs/>
          <w:iCs/>
          <w:sz w:val="22"/>
          <w:szCs w:val="22"/>
          <w:lang w:eastAsia="en-US"/>
        </w:rPr>
      </w:pPr>
      <w:r w:rsidRPr="00347395">
        <w:rPr>
          <w:rFonts w:ascii="Arial" w:eastAsia="Calibri" w:hAnsi="Arial" w:cs="Arial"/>
          <w:bCs/>
          <w:iCs/>
          <w:sz w:val="22"/>
          <w:szCs w:val="22"/>
          <w:lang w:eastAsia="en-US"/>
        </w:rPr>
        <w:t>Akumulační biomonitoring povrchových vod v roce 2025</w:t>
      </w:r>
    </w:p>
    <w:p w14:paraId="78093968" w14:textId="77777777" w:rsidR="00347395" w:rsidRPr="00104F7D" w:rsidRDefault="00347395" w:rsidP="005A223E">
      <w:pPr>
        <w:pStyle w:val="mezikapitolamivtmi"/>
        <w:spacing w:before="0" w:after="0"/>
        <w:rPr>
          <w:rFonts w:ascii="Arial" w:hAnsi="Arial" w:cs="Arial"/>
          <w:sz w:val="22"/>
          <w:szCs w:val="22"/>
          <w:highlight w:val="yellow"/>
        </w:rPr>
      </w:pPr>
    </w:p>
    <w:p w14:paraId="3C9A625B" w14:textId="208FCB70" w:rsidR="009E5581" w:rsidRPr="00412145" w:rsidRDefault="009E5581" w:rsidP="009E5581">
      <w:r w:rsidRPr="00412145">
        <w:t xml:space="preserve">Výsledky každoročního monitoringu prováděného ČHMÚ ukazují dlouhodobé zatížení povrchových vod v ČR nebezpečnými látkami. Jedná se o látky perzistentní, které se vzhledem k jejich vysoké stabilitě a </w:t>
      </w:r>
      <w:proofErr w:type="spellStart"/>
      <w:r w:rsidRPr="00412145">
        <w:t>lipofilitě</w:t>
      </w:r>
      <w:proofErr w:type="spellEnd"/>
      <w:r w:rsidRPr="00412145">
        <w:t xml:space="preserve"> akumulují v biotických i abiotických složkách a potravních řetězcích. Tyto látky vznikají v důsledku řady průmyslových a jiných antropogenních činností, a to buď cíleně (pesticidy, zpomalovače hoření, plastifikátory) nebo jako nechtěné vedlejší produkty (PAU, dioxinové látky). ČHMÚ pravidelně sleduje obsah téměř 90 látek na profilech významných českých a moravských řek. Pro některé látky je v Nařízení vlády č. 401/2015 Sb. stanovena hodnota normy environmentální kvality (NEK), se kterou se naměřené hodnoty srovnávají. Na chemickou analýzu jsou odebírány vzorky dospělých ryb (jelec tloušť), rybího plůdku a bentických </w:t>
      </w:r>
      <w:r w:rsidR="00FB79B1" w:rsidRPr="00412145">
        <w:t>organismů</w:t>
      </w:r>
      <w:r w:rsidRPr="00412145">
        <w:t xml:space="preserve"> (převážně larvy chrostíků, pijavky a blešivci). </w:t>
      </w:r>
    </w:p>
    <w:p w14:paraId="0D70E690" w14:textId="77777777" w:rsidR="00C324EF" w:rsidRDefault="00C324EF" w:rsidP="009E5581"/>
    <w:p w14:paraId="09BC0871" w14:textId="2F87F28D" w:rsidR="009E5581" w:rsidRPr="006F168C" w:rsidRDefault="009E5581" w:rsidP="009E5581">
      <w:pPr>
        <w:rPr>
          <w:rFonts w:cs="Arial"/>
        </w:rPr>
      </w:pPr>
      <w:r w:rsidRPr="006F168C">
        <w:rPr>
          <w:rFonts w:cs="Arial"/>
        </w:rPr>
        <w:t>Z analyzovaných látek bylo vybráno osm k podrobnějšímu hodnocení:</w:t>
      </w:r>
    </w:p>
    <w:p w14:paraId="0D9C8031" w14:textId="77777777" w:rsidR="009E5581" w:rsidRPr="006F168C" w:rsidRDefault="009E5581">
      <w:pPr>
        <w:pStyle w:val="Odstavecseseznamem"/>
        <w:numPr>
          <w:ilvl w:val="0"/>
          <w:numId w:val="33"/>
        </w:numPr>
        <w:spacing w:after="160" w:line="259" w:lineRule="auto"/>
        <w:rPr>
          <w:rFonts w:ascii="Arial" w:hAnsi="Arial" w:cs="Arial"/>
          <w:sz w:val="22"/>
          <w:szCs w:val="22"/>
        </w:rPr>
      </w:pPr>
      <w:r w:rsidRPr="006F168C">
        <w:rPr>
          <w:rFonts w:ascii="Arial" w:hAnsi="Arial" w:cs="Arial"/>
          <w:sz w:val="22"/>
          <w:szCs w:val="22"/>
        </w:rPr>
        <w:t>polychlorované bifenyly (suma PCB) – v minulosti průmyslově využívány,</w:t>
      </w:r>
    </w:p>
    <w:p w14:paraId="47EE8090" w14:textId="1E190E87" w:rsidR="009E5581" w:rsidRPr="006F168C" w:rsidRDefault="009E5581">
      <w:pPr>
        <w:pStyle w:val="Odstavecseseznamem"/>
        <w:numPr>
          <w:ilvl w:val="0"/>
          <w:numId w:val="33"/>
        </w:numPr>
        <w:spacing w:after="160" w:line="259" w:lineRule="auto"/>
        <w:rPr>
          <w:rFonts w:ascii="Arial" w:hAnsi="Arial" w:cs="Arial"/>
          <w:sz w:val="22"/>
          <w:szCs w:val="22"/>
        </w:rPr>
      </w:pPr>
      <w:r w:rsidRPr="006F168C">
        <w:rPr>
          <w:rFonts w:ascii="Arial" w:hAnsi="Arial" w:cs="Arial"/>
          <w:sz w:val="22"/>
          <w:szCs w:val="22"/>
        </w:rPr>
        <w:t xml:space="preserve">DDT a jeho metabolity (suma DDT) – již </w:t>
      </w:r>
      <w:r w:rsidR="00770FF9">
        <w:rPr>
          <w:rFonts w:ascii="Arial" w:hAnsi="Arial" w:cs="Arial"/>
          <w:sz w:val="22"/>
          <w:szCs w:val="22"/>
        </w:rPr>
        <w:t>nepovolené</w:t>
      </w:r>
      <w:r w:rsidRPr="006F168C">
        <w:rPr>
          <w:rFonts w:ascii="Arial" w:hAnsi="Arial" w:cs="Arial"/>
          <w:sz w:val="22"/>
          <w:szCs w:val="22"/>
        </w:rPr>
        <w:t xml:space="preserve"> chlorované pesticidy,</w:t>
      </w:r>
    </w:p>
    <w:p w14:paraId="23C6E6F6" w14:textId="77777777" w:rsidR="009E5581" w:rsidRPr="006F168C" w:rsidRDefault="009E5581">
      <w:pPr>
        <w:pStyle w:val="Odstavecseseznamem"/>
        <w:numPr>
          <w:ilvl w:val="0"/>
          <w:numId w:val="33"/>
        </w:numPr>
        <w:spacing w:after="160" w:line="259" w:lineRule="auto"/>
        <w:rPr>
          <w:rFonts w:ascii="Arial" w:hAnsi="Arial" w:cs="Arial"/>
          <w:sz w:val="22"/>
          <w:szCs w:val="22"/>
        </w:rPr>
      </w:pPr>
      <w:proofErr w:type="spellStart"/>
      <w:r w:rsidRPr="006F168C">
        <w:rPr>
          <w:rFonts w:ascii="Arial" w:hAnsi="Arial" w:cs="Arial"/>
          <w:sz w:val="22"/>
          <w:szCs w:val="22"/>
        </w:rPr>
        <w:t>polybromované</w:t>
      </w:r>
      <w:proofErr w:type="spellEnd"/>
      <w:r w:rsidRPr="006F168C">
        <w:rPr>
          <w:rFonts w:ascii="Arial" w:hAnsi="Arial" w:cs="Arial"/>
          <w:sz w:val="22"/>
          <w:szCs w:val="22"/>
        </w:rPr>
        <w:t xml:space="preserve"> </w:t>
      </w:r>
      <w:proofErr w:type="spellStart"/>
      <w:r w:rsidRPr="006F168C">
        <w:rPr>
          <w:rFonts w:ascii="Arial" w:hAnsi="Arial" w:cs="Arial"/>
          <w:sz w:val="22"/>
          <w:szCs w:val="22"/>
        </w:rPr>
        <w:t>difenylethery</w:t>
      </w:r>
      <w:proofErr w:type="spellEnd"/>
      <w:r w:rsidRPr="006F168C">
        <w:rPr>
          <w:rFonts w:ascii="Arial" w:hAnsi="Arial" w:cs="Arial"/>
          <w:sz w:val="22"/>
          <w:szCs w:val="22"/>
        </w:rPr>
        <w:t xml:space="preserve"> (suma PBDE) – přítomné v řadě materiálů jako zpomalovače hoření,</w:t>
      </w:r>
    </w:p>
    <w:p w14:paraId="20972C42" w14:textId="77777777" w:rsidR="009E5581" w:rsidRPr="006F168C" w:rsidRDefault="009E5581">
      <w:pPr>
        <w:pStyle w:val="Odstavecseseznamem"/>
        <w:numPr>
          <w:ilvl w:val="0"/>
          <w:numId w:val="33"/>
        </w:numPr>
        <w:spacing w:after="160" w:line="259" w:lineRule="auto"/>
        <w:rPr>
          <w:rFonts w:ascii="Arial" w:hAnsi="Arial" w:cs="Arial"/>
          <w:sz w:val="22"/>
          <w:szCs w:val="22"/>
        </w:rPr>
      </w:pPr>
      <w:r w:rsidRPr="006F168C">
        <w:rPr>
          <w:rFonts w:ascii="Arial" w:hAnsi="Arial" w:cs="Arial"/>
          <w:sz w:val="22"/>
          <w:szCs w:val="22"/>
        </w:rPr>
        <w:t>di(2</w:t>
      </w:r>
      <w:r w:rsidRPr="006F168C">
        <w:rPr>
          <w:rFonts w:ascii="Arial" w:hAnsi="Arial" w:cs="Arial"/>
          <w:sz w:val="22"/>
          <w:szCs w:val="22"/>
        </w:rPr>
        <w:noBreakHyphen/>
        <w:t>ethylhexyl) ftalát (DEHP) – využívaný především jako změkčovadlo plastů,</w:t>
      </w:r>
    </w:p>
    <w:p w14:paraId="62899EFD" w14:textId="58CADDC3" w:rsidR="009E5581" w:rsidRPr="006F168C" w:rsidRDefault="009E5581">
      <w:pPr>
        <w:pStyle w:val="Odstavecseseznamem"/>
        <w:numPr>
          <w:ilvl w:val="0"/>
          <w:numId w:val="33"/>
        </w:numPr>
        <w:spacing w:after="160" w:line="259" w:lineRule="auto"/>
        <w:rPr>
          <w:rFonts w:ascii="Arial" w:hAnsi="Arial" w:cs="Arial"/>
          <w:sz w:val="22"/>
          <w:szCs w:val="22"/>
        </w:rPr>
      </w:pPr>
      <w:proofErr w:type="spellStart"/>
      <w:r w:rsidRPr="006F168C">
        <w:rPr>
          <w:rFonts w:ascii="Arial" w:hAnsi="Arial" w:cs="Arial"/>
          <w:sz w:val="22"/>
          <w:szCs w:val="22"/>
        </w:rPr>
        <w:t>perfluorované</w:t>
      </w:r>
      <w:proofErr w:type="spellEnd"/>
      <w:r w:rsidRPr="006F168C">
        <w:rPr>
          <w:rFonts w:ascii="Arial" w:hAnsi="Arial" w:cs="Arial"/>
          <w:sz w:val="22"/>
          <w:szCs w:val="22"/>
        </w:rPr>
        <w:t xml:space="preserve"> sloučeniny (PF</w:t>
      </w:r>
      <w:r w:rsidR="00E96DFC">
        <w:rPr>
          <w:rFonts w:ascii="Arial" w:hAnsi="Arial" w:cs="Arial"/>
          <w:sz w:val="22"/>
          <w:szCs w:val="22"/>
        </w:rPr>
        <w:t>A</w:t>
      </w:r>
      <w:r w:rsidRPr="006F168C">
        <w:rPr>
          <w:rFonts w:ascii="Arial" w:hAnsi="Arial" w:cs="Arial"/>
          <w:sz w:val="22"/>
          <w:szCs w:val="22"/>
        </w:rPr>
        <w:t>S) – využívané pro různé povrchové úpravy materiálů,</w:t>
      </w:r>
    </w:p>
    <w:p w14:paraId="54A546E5" w14:textId="77777777" w:rsidR="009E5581" w:rsidRPr="006F168C" w:rsidRDefault="009E5581">
      <w:pPr>
        <w:pStyle w:val="Odstavecseseznamem"/>
        <w:numPr>
          <w:ilvl w:val="0"/>
          <w:numId w:val="33"/>
        </w:numPr>
        <w:spacing w:after="160" w:line="259" w:lineRule="auto"/>
        <w:rPr>
          <w:rFonts w:ascii="Arial" w:hAnsi="Arial" w:cs="Arial"/>
          <w:sz w:val="22"/>
          <w:szCs w:val="22"/>
        </w:rPr>
      </w:pPr>
      <w:proofErr w:type="spellStart"/>
      <w:r w:rsidRPr="006F168C">
        <w:rPr>
          <w:rFonts w:ascii="Arial" w:hAnsi="Arial" w:cs="Arial"/>
          <w:sz w:val="22"/>
          <w:szCs w:val="22"/>
        </w:rPr>
        <w:t>fluoranten</w:t>
      </w:r>
      <w:proofErr w:type="spellEnd"/>
      <w:r w:rsidRPr="006F168C">
        <w:rPr>
          <w:rFonts w:ascii="Arial" w:hAnsi="Arial" w:cs="Arial"/>
          <w:sz w:val="22"/>
          <w:szCs w:val="22"/>
        </w:rPr>
        <w:t xml:space="preserve"> a </w:t>
      </w:r>
      <w:proofErr w:type="spellStart"/>
      <w:r w:rsidRPr="006F168C">
        <w:rPr>
          <w:rFonts w:ascii="Arial" w:hAnsi="Arial" w:cs="Arial"/>
          <w:sz w:val="22"/>
          <w:szCs w:val="22"/>
        </w:rPr>
        <w:t>benzo</w:t>
      </w:r>
      <w:proofErr w:type="spellEnd"/>
      <w:r w:rsidRPr="006F168C">
        <w:rPr>
          <w:rFonts w:ascii="Arial" w:hAnsi="Arial" w:cs="Arial"/>
          <w:sz w:val="22"/>
          <w:szCs w:val="22"/>
        </w:rPr>
        <w:t xml:space="preserve">(a)pyren – </w:t>
      </w:r>
      <w:proofErr w:type="spellStart"/>
      <w:r w:rsidRPr="006F168C">
        <w:rPr>
          <w:rFonts w:ascii="Arial" w:hAnsi="Arial" w:cs="Arial"/>
          <w:sz w:val="22"/>
          <w:szCs w:val="22"/>
        </w:rPr>
        <w:t>polyaromatické</w:t>
      </w:r>
      <w:proofErr w:type="spellEnd"/>
      <w:r w:rsidRPr="006F168C">
        <w:rPr>
          <w:rFonts w:ascii="Arial" w:hAnsi="Arial" w:cs="Arial"/>
          <w:sz w:val="22"/>
          <w:szCs w:val="22"/>
        </w:rPr>
        <w:t xml:space="preserve"> uhlovodíky (PAU), vznikající při nedokonalém spalování,</w:t>
      </w:r>
    </w:p>
    <w:p w14:paraId="639DAA1D" w14:textId="77777777" w:rsidR="009E5581" w:rsidRPr="006F168C" w:rsidRDefault="009E5581">
      <w:pPr>
        <w:pStyle w:val="Odstavecseseznamem"/>
        <w:numPr>
          <w:ilvl w:val="0"/>
          <w:numId w:val="33"/>
        </w:numPr>
        <w:spacing w:after="160" w:line="259" w:lineRule="auto"/>
        <w:rPr>
          <w:rFonts w:ascii="Arial" w:hAnsi="Arial" w:cs="Arial"/>
          <w:sz w:val="22"/>
          <w:szCs w:val="22"/>
        </w:rPr>
      </w:pPr>
      <w:r w:rsidRPr="006F168C">
        <w:rPr>
          <w:rFonts w:ascii="Arial" w:hAnsi="Arial" w:cs="Arial"/>
          <w:sz w:val="22"/>
          <w:szCs w:val="22"/>
        </w:rPr>
        <w:t xml:space="preserve">rtuť – především ze spalovacích procesů, těžby a průmyslu. </w:t>
      </w:r>
    </w:p>
    <w:p w14:paraId="3293FC18" w14:textId="09A90548" w:rsidR="009E5581" w:rsidRPr="00412145" w:rsidRDefault="009E5581" w:rsidP="009E5581">
      <w:r w:rsidRPr="00412145">
        <w:t xml:space="preserve">Většina těchto látek se řadí mezi lidské karcinogeny a endokrinní </w:t>
      </w:r>
      <w:proofErr w:type="spellStart"/>
      <w:r w:rsidRPr="00412145">
        <w:t>disruptory</w:t>
      </w:r>
      <w:proofErr w:type="spellEnd"/>
      <w:r w:rsidRPr="00412145">
        <w:t>, které mohou mít negativní vliv na reprodukční systém a vývoj plodu. Naměřené hodnoty, přepočtené na mokrou váhu (</w:t>
      </w:r>
      <w:proofErr w:type="spellStart"/>
      <w:r w:rsidRPr="00412145">
        <w:t>ww</w:t>
      </w:r>
      <w:proofErr w:type="spellEnd"/>
      <w:r w:rsidRPr="00412145">
        <w:t xml:space="preserve">), jsou pro rybí plůdek shrnuty v </w:t>
      </w:r>
      <w:r w:rsidRPr="00C8100A">
        <w:t>grafu 3.</w:t>
      </w:r>
      <w:r w:rsidR="007236BB" w:rsidRPr="00C8100A">
        <w:t>1</w:t>
      </w:r>
      <w:r w:rsidR="00C9104F">
        <w:t>.1</w:t>
      </w:r>
      <w:r w:rsidR="00C8100A">
        <w:t>6</w:t>
      </w:r>
      <w:r w:rsidRPr="00412145">
        <w:t xml:space="preserve"> V roce 2025 došlo v rámci pravidelného tříletého cyklu (2025–2027) k obměně části sledovaných profilů. Pro zpracování dat u </w:t>
      </w:r>
      <w:proofErr w:type="spellStart"/>
      <w:r w:rsidRPr="00412145">
        <w:t>benzo</w:t>
      </w:r>
      <w:proofErr w:type="spellEnd"/>
      <w:r w:rsidRPr="00412145">
        <w:t xml:space="preserve">(a)pyrenu a DEHP byly použity pouze hodnoty nad mezí stanovitelnosti (MS). Ostatní hodnocené látky byly vždy nad MS. </w:t>
      </w:r>
    </w:p>
    <w:p w14:paraId="438870A7" w14:textId="77777777" w:rsidR="006F168C" w:rsidRDefault="006F168C" w:rsidP="009E5581"/>
    <w:p w14:paraId="723AEB39" w14:textId="3C5FD558" w:rsidR="009E5581" w:rsidRPr="00412145" w:rsidRDefault="009E5581" w:rsidP="009E5581">
      <w:r w:rsidRPr="00412145">
        <w:lastRenderedPageBreak/>
        <w:t xml:space="preserve">V roce 2025 byly nejvíce kontaminovanými profily Olše – </w:t>
      </w:r>
      <w:proofErr w:type="spellStart"/>
      <w:r w:rsidRPr="00412145">
        <w:t>Věřnovice</w:t>
      </w:r>
      <w:proofErr w:type="spellEnd"/>
      <w:r w:rsidRPr="00412145">
        <w:t xml:space="preserve">, Labe – Děčín a Dyje – Podhradí. Na profilu Olše – </w:t>
      </w:r>
      <w:proofErr w:type="spellStart"/>
      <w:r w:rsidRPr="00412145">
        <w:t>Věřnovice</w:t>
      </w:r>
      <w:proofErr w:type="spellEnd"/>
      <w:r w:rsidRPr="00412145">
        <w:t xml:space="preserve"> byla naměřena nejvyšší koncentrace ftalátů (654 µg</w:t>
      </w:r>
      <w:r w:rsidRPr="00412145">
        <w:rPr>
          <w:rFonts w:cstheme="minorHAnsi"/>
        </w:rPr>
        <w:t>·</w:t>
      </w:r>
      <w:r w:rsidRPr="00412145">
        <w:t>kg</w:t>
      </w:r>
      <w:r w:rsidRPr="00412145">
        <w:rPr>
          <w:vertAlign w:val="superscript"/>
        </w:rPr>
        <w:t>-1</w:t>
      </w:r>
      <w:r w:rsidRPr="00412145">
        <w:t>) ze všech sledovaných profilů, což představuje více než dvojnásobnou hodnotu oproti maximu zjištěném</w:t>
      </w:r>
      <w:r>
        <w:t>u</w:t>
      </w:r>
      <w:r w:rsidRPr="00412145">
        <w:t xml:space="preserve"> v předchozím roce. Nejvyšší koncentrace sumy DDT byla zaznamenána na profilu Moravská Dyje – Písečné (31,3 µg</w:t>
      </w:r>
      <w:r w:rsidRPr="00412145">
        <w:rPr>
          <w:rFonts w:cstheme="minorHAnsi"/>
        </w:rPr>
        <w:t>·</w:t>
      </w:r>
      <w:r w:rsidRPr="00412145">
        <w:t>kg</w:t>
      </w:r>
      <w:r w:rsidRPr="00412145">
        <w:rPr>
          <w:vertAlign w:val="superscript"/>
        </w:rPr>
        <w:t>-1</w:t>
      </w:r>
      <w:r w:rsidRPr="00412145">
        <w:t>), zatímco u sumy PCB bylo zjištěno maximum na lokalitě Labe – Obříství (20,5 µg</w:t>
      </w:r>
      <w:r w:rsidRPr="00412145">
        <w:rPr>
          <w:rFonts w:cstheme="minorHAnsi"/>
        </w:rPr>
        <w:t>·</w:t>
      </w:r>
      <w:r w:rsidRPr="00412145">
        <w:t>kg</w:t>
      </w:r>
      <w:r w:rsidRPr="00412145">
        <w:rPr>
          <w:vertAlign w:val="superscript"/>
        </w:rPr>
        <w:t>-1</w:t>
      </w:r>
      <w:r w:rsidRPr="00412145">
        <w:t>).</w:t>
      </w:r>
    </w:p>
    <w:p w14:paraId="67B07FDF" w14:textId="77777777" w:rsidR="006F168C" w:rsidRDefault="006F168C" w:rsidP="009E5581"/>
    <w:p w14:paraId="595EE6FC" w14:textId="093CEFD0" w:rsidR="009E5581" w:rsidRPr="00412145" w:rsidRDefault="009E5581" w:rsidP="009E5581">
      <w:r w:rsidRPr="00412145">
        <w:t xml:space="preserve">Na rozdíl od předchozího roku, kdy nedošlo k žádnému překročení NEK pro PAU, byl v roce 2025 tento limit překročen na profilu </w:t>
      </w:r>
      <w:r w:rsidRPr="005A548F">
        <w:t xml:space="preserve">Odra – Bohumín, a to jak pro </w:t>
      </w:r>
      <w:proofErr w:type="spellStart"/>
      <w:r w:rsidRPr="005A548F">
        <w:t>fluoranten</w:t>
      </w:r>
      <w:proofErr w:type="spellEnd"/>
      <w:r w:rsidRPr="005A548F">
        <w:t xml:space="preserve"> (74 µg·kg</w:t>
      </w:r>
      <w:r w:rsidRPr="00412145">
        <w:rPr>
          <w:vertAlign w:val="superscript"/>
        </w:rPr>
        <w:t>-1</w:t>
      </w:r>
      <w:r>
        <w:t xml:space="preserve"> </w:t>
      </w:r>
      <w:r w:rsidRPr="005A548F">
        <w:t xml:space="preserve">při limitu 30), tak i pro </w:t>
      </w:r>
      <w:proofErr w:type="spellStart"/>
      <w:r w:rsidRPr="005A548F">
        <w:t>benzo</w:t>
      </w:r>
      <w:proofErr w:type="spellEnd"/>
      <w:r w:rsidRPr="005A548F">
        <w:t xml:space="preserve">(a)pyren (21 </w:t>
      </w:r>
      <w:r w:rsidRPr="00412145">
        <w:t>µg</w:t>
      </w:r>
      <w:r w:rsidRPr="00412145">
        <w:rPr>
          <w:rFonts w:cstheme="minorHAnsi"/>
        </w:rPr>
        <w:t>·</w:t>
      </w:r>
      <w:r w:rsidRPr="00412145">
        <w:t>kg</w:t>
      </w:r>
      <w:r w:rsidRPr="00412145">
        <w:rPr>
          <w:vertAlign w:val="superscript"/>
        </w:rPr>
        <w:t>-1</w:t>
      </w:r>
      <w:r>
        <w:t xml:space="preserve"> </w:t>
      </w:r>
      <w:r w:rsidRPr="005A548F">
        <w:t>při limitu 5).</w:t>
      </w:r>
      <w:r w:rsidRPr="00412145">
        <w:t xml:space="preserve"> </w:t>
      </w:r>
      <w:r w:rsidRPr="005A548F">
        <w:t>U PF</w:t>
      </w:r>
      <w:r w:rsidR="00E17878">
        <w:t>A</w:t>
      </w:r>
      <w:r w:rsidRPr="005A548F">
        <w:t>S došlo k překročení NEK (9,1 µg·kg</w:t>
      </w:r>
      <w:r w:rsidRPr="00412145">
        <w:rPr>
          <w:vertAlign w:val="superscript"/>
        </w:rPr>
        <w:t>-1</w:t>
      </w:r>
      <w:r w:rsidRPr="005A548F">
        <w:t>) v matrici plůdek na 4 profilech (14 % lokalit). Nejvyšší koncentrace PF</w:t>
      </w:r>
      <w:r w:rsidR="00E17878">
        <w:t>A</w:t>
      </w:r>
      <w:r w:rsidRPr="005A548F">
        <w:t>S (27 µg·kg</w:t>
      </w:r>
      <w:r w:rsidRPr="00412145">
        <w:rPr>
          <w:vertAlign w:val="superscript"/>
        </w:rPr>
        <w:t>-1</w:t>
      </w:r>
      <w:r w:rsidRPr="005A548F">
        <w:t>) byla naměřena na profilu Sázava – Zruč nad Sázavou.</w:t>
      </w:r>
    </w:p>
    <w:p w14:paraId="540E697A" w14:textId="77777777" w:rsidR="006F168C" w:rsidRDefault="006F168C" w:rsidP="009E5581"/>
    <w:p w14:paraId="28D0465D" w14:textId="79267975" w:rsidR="009E5581" w:rsidRPr="00412145" w:rsidRDefault="009E5581" w:rsidP="009E5581">
      <w:r w:rsidRPr="005A548F">
        <w:t>Koncentrace rtuti v rybím plůdku překročila hodnotu NEK (20 µg·kg</w:t>
      </w:r>
      <w:r w:rsidRPr="00412145">
        <w:rPr>
          <w:vertAlign w:val="superscript"/>
        </w:rPr>
        <w:t>-1</w:t>
      </w:r>
      <w:r w:rsidRPr="005A548F">
        <w:t>) na 36 % sledovaných profilů. Ve srovnání s daty z roku 2024 (překročení na 67 % lokalit) se jedná o nižší</w:t>
      </w:r>
      <w:r w:rsidRPr="00412145">
        <w:t xml:space="preserve"> výskyt, což ale </w:t>
      </w:r>
      <w:r w:rsidRPr="005A548F">
        <w:t>může</w:t>
      </w:r>
      <w:r w:rsidRPr="00412145">
        <w:t xml:space="preserve"> souviset právě se</w:t>
      </w:r>
      <w:r w:rsidRPr="005A548F">
        <w:t xml:space="preserve"> změnou monitorovací sítě.</w:t>
      </w:r>
      <w:r w:rsidRPr="00412145">
        <w:t xml:space="preserve"> Nejvyšší koncentrace rtuti byly naměřeny na profilu Moravská Dyje – Písečné (57 µg</w:t>
      </w:r>
      <w:r w:rsidRPr="00412145">
        <w:rPr>
          <w:rFonts w:cstheme="minorHAnsi"/>
        </w:rPr>
        <w:t>·</w:t>
      </w:r>
      <w:r w:rsidRPr="00412145">
        <w:t>kg</w:t>
      </w:r>
      <w:r w:rsidRPr="00412145">
        <w:rPr>
          <w:vertAlign w:val="superscript"/>
        </w:rPr>
        <w:t>-1</w:t>
      </w:r>
      <w:r w:rsidRPr="00412145">
        <w:t>) a Odra – Svinov (41,6 µg</w:t>
      </w:r>
      <w:r w:rsidRPr="00412145">
        <w:rPr>
          <w:rFonts w:cstheme="minorHAnsi"/>
        </w:rPr>
        <w:t>·</w:t>
      </w:r>
      <w:r w:rsidRPr="00412145">
        <w:t>kg</w:t>
      </w:r>
      <w:r w:rsidRPr="00412145">
        <w:rPr>
          <w:vertAlign w:val="superscript"/>
        </w:rPr>
        <w:t>-1</w:t>
      </w:r>
      <w:r w:rsidRPr="00412145">
        <w:t>).</w:t>
      </w:r>
    </w:p>
    <w:p w14:paraId="0CCE1262" w14:textId="77777777" w:rsidR="006F168C" w:rsidRDefault="006F168C" w:rsidP="009E5581"/>
    <w:p w14:paraId="59281814" w14:textId="47F13D6B" w:rsidR="009E5581" w:rsidRDefault="009E5581" w:rsidP="009E5581">
      <w:pPr>
        <w:rPr>
          <w:b/>
          <w:bCs/>
        </w:rPr>
      </w:pPr>
      <w:r w:rsidRPr="005A548F">
        <w:t>Hodnota NEK pro sumu PBDE (0,0085 µg·kg</w:t>
      </w:r>
      <w:r w:rsidRPr="00412145">
        <w:rPr>
          <w:vertAlign w:val="superscript"/>
        </w:rPr>
        <w:t>-1</w:t>
      </w:r>
      <w:r w:rsidRPr="005A548F">
        <w:t>) byla v roce 2025 překročena zhruba na 71 % profilů.</w:t>
      </w:r>
      <w:r w:rsidRPr="00412145">
        <w:t xml:space="preserve"> Jedná se o rozdíl v porovnání s řadou minulých let, kdy byla NEK vždy překročena, a to o několik řádů. </w:t>
      </w:r>
      <w:r w:rsidRPr="005A548F">
        <w:t>Maximální koncentrace sumy PBDE (0,86 µg·kg</w:t>
      </w:r>
      <w:r w:rsidRPr="00412145">
        <w:rPr>
          <w:vertAlign w:val="superscript"/>
        </w:rPr>
        <w:t>-1</w:t>
      </w:r>
      <w:r w:rsidRPr="005A548F">
        <w:t>) byla naměřena na profilu Vltava – Březí</w:t>
      </w:r>
      <w:r w:rsidRPr="00412145">
        <w:t>.</w:t>
      </w:r>
    </w:p>
    <w:p w14:paraId="0693DEF3" w14:textId="77777777" w:rsidR="00280CE8" w:rsidRPr="00104F7D" w:rsidRDefault="00280CE8" w:rsidP="007C4955">
      <w:pPr>
        <w:contextualSpacing/>
        <w:rPr>
          <w:b/>
          <w:i/>
          <w:color w:val="FF0000"/>
          <w:highlight w:val="yellow"/>
        </w:rPr>
      </w:pPr>
    </w:p>
    <w:p w14:paraId="71DCBC55" w14:textId="47E328D3" w:rsidR="00D66997" w:rsidRPr="00E27273" w:rsidRDefault="007C5C48" w:rsidP="007C4955">
      <w:pPr>
        <w:contextualSpacing/>
        <w:rPr>
          <w:b/>
          <w:i/>
        </w:rPr>
      </w:pPr>
      <w:r w:rsidRPr="00E27273">
        <w:rPr>
          <w:b/>
          <w:i/>
        </w:rPr>
        <w:t xml:space="preserve">Graf </w:t>
      </w:r>
      <w:r w:rsidR="008409C0" w:rsidRPr="00E27273">
        <w:rPr>
          <w:b/>
          <w:i/>
        </w:rPr>
        <w:t>3.1.</w:t>
      </w:r>
      <w:r w:rsidR="001F6417" w:rsidRPr="00E27273">
        <w:rPr>
          <w:b/>
          <w:i/>
        </w:rPr>
        <w:t>1</w:t>
      </w:r>
      <w:r w:rsidR="00C66481">
        <w:rPr>
          <w:b/>
          <w:i/>
        </w:rPr>
        <w:t>6</w:t>
      </w:r>
    </w:p>
    <w:p w14:paraId="6573C94E" w14:textId="6929BE14" w:rsidR="008409C0" w:rsidRPr="00E27273" w:rsidRDefault="008409C0" w:rsidP="004D27F6">
      <w:pPr>
        <w:contextualSpacing/>
        <w:rPr>
          <w:b/>
          <w:i/>
        </w:rPr>
      </w:pPr>
      <w:r w:rsidRPr="00E27273">
        <w:rPr>
          <w:b/>
          <w:i/>
        </w:rPr>
        <w:t>Nálezy nebezpečných organických látek v rybím plůdku</w:t>
      </w:r>
      <w:r w:rsidR="001411FE" w:rsidRPr="00E27273">
        <w:rPr>
          <w:b/>
          <w:i/>
        </w:rPr>
        <w:t xml:space="preserve"> v roce 20</w:t>
      </w:r>
      <w:r w:rsidR="00CF2E81" w:rsidRPr="00E27273">
        <w:rPr>
          <w:b/>
          <w:i/>
        </w:rPr>
        <w:t>2</w:t>
      </w:r>
      <w:r w:rsidR="004D27F6" w:rsidRPr="00E27273">
        <w:rPr>
          <w:b/>
          <w:i/>
        </w:rPr>
        <w:t>5</w:t>
      </w:r>
    </w:p>
    <w:p w14:paraId="6F8B4113" w14:textId="77777777" w:rsidR="004D27F6" w:rsidRPr="00104F7D" w:rsidRDefault="004D27F6" w:rsidP="004D27F6">
      <w:pPr>
        <w:contextualSpacing/>
        <w:rPr>
          <w:color w:val="FF0000"/>
          <w:szCs w:val="24"/>
          <w:highlight w:val="yellow"/>
        </w:rPr>
      </w:pPr>
    </w:p>
    <w:p w14:paraId="70F24D63" w14:textId="29B56111" w:rsidR="00C0191F" w:rsidRPr="00104F7D" w:rsidRDefault="00E27273" w:rsidP="007C4955">
      <w:pPr>
        <w:pStyle w:val="Zkladntext"/>
        <w:tabs>
          <w:tab w:val="left" w:pos="0"/>
          <w:tab w:val="left" w:pos="567"/>
          <w:tab w:val="left" w:pos="709"/>
          <w:tab w:val="left" w:pos="851"/>
          <w:tab w:val="left" w:pos="993"/>
        </w:tabs>
        <w:spacing w:line="240" w:lineRule="auto"/>
        <w:ind w:firstLine="0"/>
        <w:contextualSpacing/>
        <w:rPr>
          <w:color w:val="FF0000"/>
          <w:szCs w:val="24"/>
          <w:highlight w:val="yellow"/>
        </w:rPr>
      </w:pPr>
      <w:r>
        <w:rPr>
          <w:noProof/>
          <w:color w:val="FF0000"/>
          <w:szCs w:val="24"/>
          <w:highlight w:val="yellow"/>
        </w:rPr>
        <w:drawing>
          <wp:inline distT="0" distB="0" distL="0" distR="0" wp14:anchorId="6028499D" wp14:editId="4834B94C">
            <wp:extent cx="5761355" cy="3084830"/>
            <wp:effectExtent l="0" t="0" r="0" b="1270"/>
            <wp:docPr id="1135201597"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61355" cy="3084830"/>
                    </a:xfrm>
                    <a:prstGeom prst="rect">
                      <a:avLst/>
                    </a:prstGeom>
                    <a:noFill/>
                  </pic:spPr>
                </pic:pic>
              </a:graphicData>
            </a:graphic>
          </wp:inline>
        </w:drawing>
      </w:r>
    </w:p>
    <w:p w14:paraId="257A71E0" w14:textId="376258A6" w:rsidR="00C0191F" w:rsidRPr="00104F7D" w:rsidRDefault="00C0191F" w:rsidP="007C4955">
      <w:pPr>
        <w:pStyle w:val="Zkladntext"/>
        <w:tabs>
          <w:tab w:val="left" w:pos="0"/>
          <w:tab w:val="left" w:pos="567"/>
          <w:tab w:val="left" w:pos="709"/>
          <w:tab w:val="left" w:pos="851"/>
          <w:tab w:val="left" w:pos="993"/>
        </w:tabs>
        <w:spacing w:line="240" w:lineRule="auto"/>
        <w:ind w:firstLine="0"/>
        <w:contextualSpacing/>
        <w:rPr>
          <w:color w:val="FF0000"/>
          <w:szCs w:val="24"/>
          <w:highlight w:val="yellow"/>
        </w:rPr>
      </w:pPr>
    </w:p>
    <w:p w14:paraId="7EE838B8" w14:textId="77777777" w:rsidR="00C0191F" w:rsidRPr="00104F7D" w:rsidRDefault="00C0191F" w:rsidP="007C4955">
      <w:pPr>
        <w:pStyle w:val="Zkladntext"/>
        <w:tabs>
          <w:tab w:val="left" w:pos="0"/>
          <w:tab w:val="left" w:pos="567"/>
          <w:tab w:val="left" w:pos="709"/>
          <w:tab w:val="left" w:pos="851"/>
          <w:tab w:val="left" w:pos="993"/>
        </w:tabs>
        <w:spacing w:line="240" w:lineRule="auto"/>
        <w:ind w:firstLine="0"/>
        <w:contextualSpacing/>
        <w:rPr>
          <w:color w:val="FF0000"/>
          <w:szCs w:val="24"/>
          <w:highlight w:val="yellow"/>
        </w:rPr>
      </w:pPr>
    </w:p>
    <w:p w14:paraId="25FEB22B" w14:textId="4DF584DA" w:rsidR="008409C0" w:rsidRPr="00AF7E16" w:rsidRDefault="00B95AD3" w:rsidP="007C4955">
      <w:pPr>
        <w:pStyle w:val="Zkladntext"/>
        <w:tabs>
          <w:tab w:val="left" w:pos="0"/>
          <w:tab w:val="left" w:pos="567"/>
          <w:tab w:val="left" w:pos="709"/>
          <w:tab w:val="left" w:pos="851"/>
          <w:tab w:val="left" w:pos="993"/>
        </w:tabs>
        <w:spacing w:line="240" w:lineRule="auto"/>
        <w:ind w:firstLine="0"/>
        <w:contextualSpacing/>
        <w:rPr>
          <w:rFonts w:ascii="Arial" w:hAnsi="Arial" w:cs="Arial"/>
          <w:i/>
          <w:sz w:val="20"/>
        </w:rPr>
      </w:pPr>
      <w:r w:rsidRPr="00AF7E16">
        <w:rPr>
          <w:rFonts w:ascii="Arial" w:hAnsi="Arial" w:cs="Arial"/>
          <w:i/>
          <w:sz w:val="20"/>
        </w:rPr>
        <w:t>Pramen: ČHMÚ</w:t>
      </w:r>
    </w:p>
    <w:p w14:paraId="642F3BDA" w14:textId="13E16B2D" w:rsidR="008C137F" w:rsidRPr="00AF7E16" w:rsidRDefault="008C137F" w:rsidP="007C4955">
      <w:pPr>
        <w:pStyle w:val="Zkladntext"/>
        <w:tabs>
          <w:tab w:val="left" w:pos="0"/>
          <w:tab w:val="left" w:pos="567"/>
          <w:tab w:val="left" w:pos="709"/>
          <w:tab w:val="left" w:pos="851"/>
          <w:tab w:val="left" w:pos="993"/>
        </w:tabs>
        <w:spacing w:line="240" w:lineRule="auto"/>
        <w:ind w:firstLine="0"/>
        <w:contextualSpacing/>
        <w:rPr>
          <w:rFonts w:ascii="Arial" w:hAnsi="Arial" w:cs="Arial"/>
          <w:i/>
          <w:sz w:val="20"/>
        </w:rPr>
      </w:pPr>
      <w:r w:rsidRPr="00AF7E16">
        <w:rPr>
          <w:rFonts w:ascii="Arial" w:hAnsi="Arial" w:cs="Arial"/>
          <w:i/>
          <w:sz w:val="20"/>
        </w:rPr>
        <w:t xml:space="preserve">Pozn.: </w:t>
      </w:r>
      <w:r w:rsidRPr="00AF7E16">
        <w:rPr>
          <w:rFonts w:ascii="Arial" w:hAnsi="Arial" w:cs="Arial"/>
          <w:i/>
          <w:sz w:val="20"/>
          <w:vertAlign w:val="superscript"/>
        </w:rPr>
        <w:t xml:space="preserve">1) </w:t>
      </w:r>
      <w:r w:rsidR="00CB70B5" w:rsidRPr="00AF7E16">
        <w:rPr>
          <w:rFonts w:ascii="Arial" w:hAnsi="Arial" w:cs="Arial"/>
          <w:i/>
          <w:sz w:val="20"/>
        </w:rPr>
        <w:t>Překračuje NEK na všech lokalitách</w:t>
      </w:r>
    </w:p>
    <w:p w14:paraId="55161453" w14:textId="50567089" w:rsidR="008C137F" w:rsidRPr="00AF7E16" w:rsidRDefault="008C137F" w:rsidP="007C4955">
      <w:pPr>
        <w:pStyle w:val="Zkladntext"/>
        <w:tabs>
          <w:tab w:val="left" w:pos="0"/>
          <w:tab w:val="left" w:pos="567"/>
          <w:tab w:val="left" w:pos="709"/>
          <w:tab w:val="left" w:pos="851"/>
          <w:tab w:val="left" w:pos="993"/>
        </w:tabs>
        <w:spacing w:line="240" w:lineRule="auto"/>
        <w:ind w:firstLine="0"/>
        <w:contextualSpacing/>
        <w:rPr>
          <w:rFonts w:ascii="Arial" w:hAnsi="Arial" w:cs="Arial"/>
          <w:i/>
          <w:sz w:val="20"/>
        </w:rPr>
      </w:pPr>
      <w:r w:rsidRPr="00AF7E16">
        <w:rPr>
          <w:rFonts w:ascii="Arial" w:hAnsi="Arial" w:cs="Arial"/>
          <w:i/>
          <w:sz w:val="20"/>
        </w:rPr>
        <w:t>x Překračuje NEK</w:t>
      </w:r>
    </w:p>
    <w:p w14:paraId="1C9FAB32" w14:textId="22ED44B1" w:rsidR="00977B0A" w:rsidRDefault="00977B0A" w:rsidP="007C4955">
      <w:pPr>
        <w:pStyle w:val="Zkladntext"/>
        <w:tabs>
          <w:tab w:val="left" w:pos="0"/>
          <w:tab w:val="left" w:pos="567"/>
          <w:tab w:val="left" w:pos="709"/>
          <w:tab w:val="left" w:pos="851"/>
          <w:tab w:val="left" w:pos="993"/>
        </w:tabs>
        <w:spacing w:line="240" w:lineRule="auto"/>
        <w:ind w:firstLine="0"/>
        <w:contextualSpacing/>
        <w:rPr>
          <w:rFonts w:ascii="Arial" w:hAnsi="Arial" w:cs="Arial"/>
          <w:i/>
          <w:color w:val="000000" w:themeColor="dark1"/>
          <w:sz w:val="20"/>
        </w:rPr>
      </w:pPr>
      <w:r w:rsidRPr="00AF7E16">
        <w:rPr>
          <w:rFonts w:ascii="Arial" w:hAnsi="Arial" w:cs="Arial"/>
          <w:i/>
          <w:color w:val="000000" w:themeColor="dark1"/>
          <w:sz w:val="20"/>
        </w:rPr>
        <w:t>První sloupec vzhledem k vysoké koncentraci DEHP dosahuje hodnoty 334</w:t>
      </w:r>
    </w:p>
    <w:p w14:paraId="3F6E1FC3" w14:textId="77777777" w:rsidR="00EC3F6B" w:rsidRPr="00AF7E16" w:rsidRDefault="00EC3F6B" w:rsidP="007C4955">
      <w:pPr>
        <w:pStyle w:val="Zkladntext"/>
        <w:tabs>
          <w:tab w:val="left" w:pos="0"/>
          <w:tab w:val="left" w:pos="567"/>
          <w:tab w:val="left" w:pos="709"/>
          <w:tab w:val="left" w:pos="851"/>
          <w:tab w:val="left" w:pos="993"/>
        </w:tabs>
        <w:spacing w:line="240" w:lineRule="auto"/>
        <w:ind w:firstLine="0"/>
        <w:contextualSpacing/>
        <w:rPr>
          <w:rFonts w:ascii="Arial" w:hAnsi="Arial" w:cs="Arial"/>
          <w:i/>
          <w:sz w:val="20"/>
        </w:rPr>
      </w:pPr>
    </w:p>
    <w:p w14:paraId="3705E6A0" w14:textId="77777777" w:rsidR="008409C0" w:rsidRPr="00104F7D" w:rsidRDefault="008409C0" w:rsidP="007C4955">
      <w:pPr>
        <w:contextualSpacing/>
        <w:rPr>
          <w:color w:val="FF0000"/>
          <w:highlight w:val="yellow"/>
        </w:rPr>
      </w:pPr>
    </w:p>
    <w:p w14:paraId="698585A9" w14:textId="77777777" w:rsidR="004F3115" w:rsidRPr="00F426B2" w:rsidRDefault="004F69B3">
      <w:pPr>
        <w:pStyle w:val="Nadpis2"/>
        <w:numPr>
          <w:ilvl w:val="1"/>
          <w:numId w:val="13"/>
        </w:numPr>
        <w:spacing w:before="0"/>
        <w:contextualSpacing/>
      </w:pPr>
      <w:bookmarkStart w:id="24" w:name="_Toc10183408"/>
      <w:bookmarkStart w:id="25" w:name="_Toc236991613"/>
      <w:r w:rsidRPr="00F426B2">
        <w:t>Jakost podzemních vod</w:t>
      </w:r>
      <w:bookmarkEnd w:id="24"/>
      <w:bookmarkEnd w:id="25"/>
    </w:p>
    <w:p w14:paraId="5C642EBD" w14:textId="77777777" w:rsidR="002F5334" w:rsidRPr="00104F7D" w:rsidRDefault="002F5334" w:rsidP="002F5334">
      <w:pPr>
        <w:rPr>
          <w:highlight w:val="yellow"/>
        </w:rPr>
      </w:pPr>
    </w:p>
    <w:p w14:paraId="7A216380" w14:textId="77777777" w:rsidR="00DC0FF1" w:rsidRPr="00DC0FF1" w:rsidRDefault="00DC0FF1" w:rsidP="00DC0FF1">
      <w:pPr>
        <w:rPr>
          <w:b/>
          <w:bCs/>
        </w:rPr>
      </w:pPr>
      <w:r w:rsidRPr="00DC0FF1">
        <w:rPr>
          <w:b/>
          <w:bCs/>
        </w:rPr>
        <w:t xml:space="preserve">V roce 2025 bylo ve státní monitorovací síti jakosti podzemních vod pozorováno 727 objektů, z toho 203 pramenů, 232 mělkých vrtů a 292 hlubokých vrtů. Sledováno bylo celkem 362 jakostních ukazatelů. Ukazatele ze čtyř hlavních skupin (základní ukazatele, kovy, polární </w:t>
      </w:r>
      <w:r w:rsidRPr="00DC0FF1">
        <w:rPr>
          <w:b/>
          <w:bCs/>
        </w:rPr>
        <w:lastRenderedPageBreak/>
        <w:t>pesticidy a léčiva) byly sledovány na většině objektů dvakrát ročně. Ostatní skupiny ukazatelů byly analyzovány na všech objektech v rámci rozsáhlého situačního monitoringu pouze v podzimním období, ale v předchozím jarním monitorovacím cyklu jen na vybraném nižším počtu lokalit v rámci méně rozsáhlého provozního monitoringu navrženého na základě vyhodnocení z předešlých let. V roce 2025 byl zjištěn mírně nižší počet lokalit s nadlimitními hodnotami již dříve monitorovaných látek oproti předchozím letům 2024 a 2022. Ovšem pokud do hodnocení zahrneme naměřené koncentrace trifluoroctové kyseliny (TFA) nově sledované od podzimu 2025, pak je situace výrazně horší (viz tabulka 3.2.1). TFA se řadí do skupiny PFAS (</w:t>
      </w:r>
      <w:proofErr w:type="gramStart"/>
      <w:r w:rsidRPr="00DC0FF1">
        <w:rPr>
          <w:b/>
          <w:bCs/>
        </w:rPr>
        <w:t>per- a</w:t>
      </w:r>
      <w:proofErr w:type="gramEnd"/>
      <w:r w:rsidRPr="00DC0FF1">
        <w:rPr>
          <w:b/>
          <w:bCs/>
        </w:rPr>
        <w:t xml:space="preserve"> </w:t>
      </w:r>
      <w:proofErr w:type="spellStart"/>
      <w:r w:rsidRPr="00DC0FF1">
        <w:rPr>
          <w:b/>
          <w:bCs/>
        </w:rPr>
        <w:t>polyfluorované</w:t>
      </w:r>
      <w:proofErr w:type="spellEnd"/>
      <w:r w:rsidRPr="00DC0FF1">
        <w:rPr>
          <w:b/>
          <w:bCs/>
        </w:rPr>
        <w:t xml:space="preserve"> látky vyznačující se vysokou stabilitou), ale zároveň je metabolitem některých hojně užívaných pesticidů.</w:t>
      </w:r>
    </w:p>
    <w:p w14:paraId="6F9CFA36" w14:textId="77777777" w:rsidR="00DC0FF1" w:rsidRDefault="00DC0FF1" w:rsidP="00DC0FF1"/>
    <w:p w14:paraId="6DF3178A" w14:textId="3A5F2862" w:rsidR="00DC0FF1" w:rsidRPr="00B33375" w:rsidRDefault="00DC0FF1" w:rsidP="00DC0FF1">
      <w:r w:rsidRPr="00B33375">
        <w:t>Sledování pramenů dokumentuje přirozené odvodňování podzemních vod zejména v oblasti krystalinika a místní odvodnění křídových struktur. Objekty mělkých vrtů jsou soustředěné převážně v aluviích řek Labe, Orlice, Jizery, Ohře, Dyje, Moravy, Bečvy, Odry a Opavy – tyto podzemní vody jsou snadno zranitelné, s vyšší hydraulickou vodivostí a s rychlým postupem znečištění. Hluboké vrty jsou soustředěny především v oblastech České křídové pánve, Českobudějovické a Třeboňské pánve a monitorují jakost podzemních vod s hlubinným oběhem.</w:t>
      </w:r>
    </w:p>
    <w:p w14:paraId="1D12717E" w14:textId="77777777" w:rsidR="00DC0FF1" w:rsidRDefault="00DC0FF1" w:rsidP="00DC0FF1"/>
    <w:p w14:paraId="21DAF4A8" w14:textId="0CA53BC9" w:rsidR="00DC0FF1" w:rsidRPr="00B33375" w:rsidRDefault="00DC0FF1" w:rsidP="00DC0FF1">
      <w:r w:rsidRPr="00B33375">
        <w:t>Hodnocení výsledků jakosti podzemních vod za rok 2025 bylo provedeno srovnáním naměřených hodnot ukazatelů jakosti podzemních vod s limitními hodnotami pro podzemní vodu dle vyhlášky č. 5/2011 Sb.</w:t>
      </w:r>
      <w:r w:rsidR="002017F5">
        <w:t xml:space="preserve">, </w:t>
      </w:r>
      <w:r w:rsidR="002017F5" w:rsidRPr="00A91DDC">
        <w:t>o vymezení hydrogeologických rajonů a útvarů podzemních vod, způsobu hodnocení stavu podzemních vod a náležitostech programů zjišťování a hodnocení stavu podzemních vod, ve znění pozdějších předpisů</w:t>
      </w:r>
      <w:r w:rsidRPr="00B33375">
        <w:t xml:space="preserve"> a dle směrnice Evropského parlamentu a Rady 2006/118/ES – příloha I. Hodnocení bylo provedeno také v mapové formě pro ukazatele dvou skupin polutantů sledovaných v podzemních vodách, a to dusíkaté látky a pesticidy. Zahrnuty do vyhodnocení byly ty, které se v roce 2025 alespoň na dvou monitorovaných lokalitách vyskytly v podzemních vodách v nadlimitních koncentracích vzhledem k výše uvedeným kritériím.</w:t>
      </w:r>
    </w:p>
    <w:p w14:paraId="6972166E" w14:textId="77777777" w:rsidR="00DC0FF1" w:rsidRDefault="00DC0FF1" w:rsidP="00DC0FF1"/>
    <w:p w14:paraId="67E89DAE" w14:textId="758C8690" w:rsidR="00DC0FF1" w:rsidRPr="00B33375" w:rsidRDefault="00DC0FF1" w:rsidP="00DC0FF1">
      <w:r w:rsidRPr="00B33375">
        <w:t>Nejvýraznějšími ukazateli znečištění podzemních vod porovnáním s limitními hodnotami jsou pesticidy (metabolity herbicidů a fungicidů používaných zejména pro ošetření plodin jako je např. řepka, kukuřice, řepa, obil</w:t>
      </w:r>
      <w:r w:rsidR="00FB1C91">
        <w:t>niny</w:t>
      </w:r>
      <w:r>
        <w:t>)</w:t>
      </w:r>
      <w:r w:rsidRPr="00B33375">
        <w:t xml:space="preserve"> a to včetně nově monitorované trifluoroctové kyseliny, jejímž zdrojem jsou per- a </w:t>
      </w:r>
      <w:proofErr w:type="spellStart"/>
      <w:r w:rsidRPr="00B33375">
        <w:t>polyfluorované</w:t>
      </w:r>
      <w:proofErr w:type="spellEnd"/>
      <w:r w:rsidRPr="00B33375">
        <w:t xml:space="preserve"> sloučeniny, anorganické látky (amonné ionty, dusičnany a fosforečnany), stanovení organických látek souhrnně (</w:t>
      </w:r>
      <w:proofErr w:type="spellStart"/>
      <w:r w:rsidRPr="00B33375">
        <w:t>CHSK</w:t>
      </w:r>
      <w:r w:rsidRPr="002D5774">
        <w:rPr>
          <w:vertAlign w:val="subscript"/>
        </w:rPr>
        <w:t>Mn</w:t>
      </w:r>
      <w:proofErr w:type="spellEnd"/>
      <w:r w:rsidRPr="00B33375">
        <w:t xml:space="preserve"> a DOC), kovy (baryum, mangan, arsen, kobalt a kadmium), VOC (toluen a 1,2-cis-dichlorethen) a PAU (</w:t>
      </w:r>
      <w:proofErr w:type="spellStart"/>
      <w:r w:rsidRPr="00B33375">
        <w:t>fenantren</w:t>
      </w:r>
      <w:proofErr w:type="spellEnd"/>
      <w:r w:rsidRPr="00B33375">
        <w:t xml:space="preserve"> a </w:t>
      </w:r>
      <w:proofErr w:type="spellStart"/>
      <w:r w:rsidRPr="00B33375">
        <w:t>chrysen</w:t>
      </w:r>
      <w:proofErr w:type="spellEnd"/>
      <w:r w:rsidRPr="00B33375">
        <w:t>).</w:t>
      </w:r>
    </w:p>
    <w:p w14:paraId="172471C7" w14:textId="77777777" w:rsidR="0028791D" w:rsidRPr="00104F7D" w:rsidRDefault="0028791D" w:rsidP="009C146A">
      <w:pPr>
        <w:pStyle w:val="Arial10"/>
        <w:ind w:left="1560" w:hanging="1560"/>
        <w:rPr>
          <w:rFonts w:cs="Arial"/>
          <w:b/>
          <w:i/>
          <w:color w:val="auto"/>
          <w:sz w:val="22"/>
          <w:szCs w:val="22"/>
          <w:highlight w:val="yellow"/>
        </w:rPr>
      </w:pPr>
    </w:p>
    <w:p w14:paraId="66AE2EBF" w14:textId="376E223E" w:rsidR="009C146A" w:rsidRPr="00914FC5" w:rsidRDefault="009C146A" w:rsidP="009C146A">
      <w:pPr>
        <w:pStyle w:val="Arial10"/>
        <w:ind w:left="1560" w:hanging="1560"/>
        <w:rPr>
          <w:rFonts w:cs="Arial"/>
          <w:i/>
          <w:color w:val="auto"/>
          <w:sz w:val="22"/>
          <w:szCs w:val="22"/>
        </w:rPr>
      </w:pPr>
      <w:r w:rsidRPr="00914FC5">
        <w:rPr>
          <w:rFonts w:cs="Arial"/>
          <w:b/>
          <w:i/>
          <w:color w:val="auto"/>
          <w:sz w:val="22"/>
          <w:szCs w:val="22"/>
        </w:rPr>
        <w:t>Tabulka 3.2.1</w:t>
      </w:r>
    </w:p>
    <w:p w14:paraId="43443DE9" w14:textId="1C1865E1" w:rsidR="009C146A" w:rsidRPr="00914FC5" w:rsidRDefault="009C146A" w:rsidP="009C146A">
      <w:pPr>
        <w:pStyle w:val="Arial10"/>
        <w:rPr>
          <w:rFonts w:cs="Arial"/>
          <w:b/>
          <w:i/>
          <w:color w:val="auto"/>
          <w:sz w:val="22"/>
          <w:szCs w:val="22"/>
        </w:rPr>
      </w:pPr>
      <w:r w:rsidRPr="00914FC5">
        <w:rPr>
          <w:rFonts w:cs="Arial"/>
          <w:b/>
          <w:i/>
          <w:color w:val="auto"/>
          <w:sz w:val="22"/>
          <w:szCs w:val="22"/>
        </w:rPr>
        <w:t>Počty objektů s překročením limitů pro podzemní vodu minimálně v jednom ukazateli za rok 202</w:t>
      </w:r>
      <w:r w:rsidR="00914FC5" w:rsidRPr="00914FC5">
        <w:rPr>
          <w:rFonts w:cs="Arial"/>
          <w:b/>
          <w:i/>
          <w:color w:val="auto"/>
          <w:sz w:val="22"/>
          <w:szCs w:val="22"/>
        </w:rPr>
        <w:t>5</w:t>
      </w:r>
      <w:r w:rsidRPr="00914FC5">
        <w:rPr>
          <w:rFonts w:cs="Arial"/>
          <w:b/>
          <w:i/>
          <w:color w:val="auto"/>
          <w:sz w:val="22"/>
          <w:szCs w:val="22"/>
        </w:rPr>
        <w:t>, srovnání s roky 202</w:t>
      </w:r>
      <w:r w:rsidR="00914FC5" w:rsidRPr="00914FC5">
        <w:rPr>
          <w:rFonts w:cs="Arial"/>
          <w:b/>
          <w:i/>
          <w:color w:val="auto"/>
          <w:sz w:val="22"/>
          <w:szCs w:val="22"/>
        </w:rPr>
        <w:t>4</w:t>
      </w:r>
      <w:r w:rsidRPr="00914FC5">
        <w:rPr>
          <w:rFonts w:cs="Arial"/>
          <w:b/>
          <w:i/>
          <w:color w:val="auto"/>
          <w:sz w:val="22"/>
          <w:szCs w:val="22"/>
        </w:rPr>
        <w:t xml:space="preserve"> a 202</w:t>
      </w:r>
      <w:r w:rsidR="00914FC5" w:rsidRPr="00914FC5">
        <w:rPr>
          <w:rFonts w:cs="Arial"/>
          <w:b/>
          <w:i/>
          <w:color w:val="auto"/>
          <w:sz w:val="22"/>
          <w:szCs w:val="22"/>
        </w:rPr>
        <w:t>2</w:t>
      </w:r>
    </w:p>
    <w:p w14:paraId="2C07FC65" w14:textId="77777777" w:rsidR="009C146A" w:rsidRPr="00104F7D" w:rsidRDefault="009C146A" w:rsidP="009C146A">
      <w:pPr>
        <w:pStyle w:val="Arial10"/>
        <w:rPr>
          <w:i/>
          <w:color w:val="auto"/>
          <w:sz w:val="16"/>
          <w:szCs w:val="16"/>
          <w:highlight w:val="yellow"/>
        </w:rPr>
      </w:pPr>
    </w:p>
    <w:tbl>
      <w:tblPr>
        <w:tblW w:w="865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39"/>
        <w:gridCol w:w="850"/>
        <w:gridCol w:w="2693"/>
        <w:gridCol w:w="993"/>
        <w:gridCol w:w="992"/>
        <w:gridCol w:w="992"/>
      </w:tblGrid>
      <w:tr w:rsidR="00766D8F" w:rsidRPr="00104F7D" w14:paraId="20DFE330" w14:textId="77777777" w:rsidTr="008D1F80">
        <w:trPr>
          <w:trHeight w:val="549"/>
        </w:trPr>
        <w:tc>
          <w:tcPr>
            <w:tcW w:w="2139" w:type="dxa"/>
            <w:vMerge w:val="restart"/>
            <w:tcBorders>
              <w:top w:val="single" w:sz="12" w:space="0" w:color="auto"/>
              <w:left w:val="single" w:sz="12" w:space="0" w:color="auto"/>
              <w:right w:val="single" w:sz="2" w:space="0" w:color="auto"/>
            </w:tcBorders>
            <w:shd w:val="clear" w:color="auto" w:fill="BFBFBF" w:themeFill="background1" w:themeFillShade="BF"/>
            <w:vAlign w:val="center"/>
          </w:tcPr>
          <w:p w14:paraId="496A85FC" w14:textId="77777777" w:rsidR="00766D8F" w:rsidRPr="002726FC" w:rsidRDefault="00766D8F" w:rsidP="0028791D">
            <w:pPr>
              <w:pStyle w:val="NORMLN1"/>
              <w:jc w:val="left"/>
              <w:rPr>
                <w:b/>
                <w:bCs/>
                <w:sz w:val="20"/>
              </w:rPr>
            </w:pPr>
            <w:bookmarkStart w:id="26" w:name="_Toc201142911"/>
            <w:r w:rsidRPr="002726FC">
              <w:rPr>
                <w:rFonts w:ascii="Arial" w:hAnsi="Arial" w:cs="Arial"/>
                <w:b/>
                <w:bCs/>
                <w:sz w:val="20"/>
              </w:rPr>
              <w:t>Objekty</w:t>
            </w:r>
            <w:bookmarkEnd w:id="26"/>
          </w:p>
        </w:tc>
        <w:tc>
          <w:tcPr>
            <w:tcW w:w="850" w:type="dxa"/>
            <w:vMerge w:val="restart"/>
            <w:tcBorders>
              <w:top w:val="single" w:sz="12" w:space="0" w:color="auto"/>
              <w:left w:val="single" w:sz="2" w:space="0" w:color="auto"/>
              <w:right w:val="single" w:sz="2" w:space="0" w:color="auto"/>
            </w:tcBorders>
            <w:shd w:val="clear" w:color="auto" w:fill="BFBFBF" w:themeFill="background1" w:themeFillShade="BF"/>
            <w:vAlign w:val="center"/>
          </w:tcPr>
          <w:p w14:paraId="16A2DF7A" w14:textId="77777777" w:rsidR="00766D8F" w:rsidRPr="002726FC" w:rsidRDefault="00766D8F" w:rsidP="000C2AFB">
            <w:pPr>
              <w:jc w:val="center"/>
              <w:rPr>
                <w:b/>
                <w:sz w:val="20"/>
              </w:rPr>
            </w:pPr>
            <w:r w:rsidRPr="002726FC">
              <w:rPr>
                <w:b/>
                <w:sz w:val="20"/>
              </w:rPr>
              <w:t>Počet objektů</w:t>
            </w:r>
          </w:p>
        </w:tc>
        <w:tc>
          <w:tcPr>
            <w:tcW w:w="5670" w:type="dxa"/>
            <w:gridSpan w:val="4"/>
            <w:tcBorders>
              <w:top w:val="single" w:sz="12" w:space="0" w:color="auto"/>
              <w:left w:val="single" w:sz="2" w:space="0" w:color="auto"/>
              <w:right w:val="single" w:sz="12" w:space="0" w:color="auto"/>
            </w:tcBorders>
            <w:shd w:val="clear" w:color="auto" w:fill="BFBFBF" w:themeFill="background1" w:themeFillShade="BF"/>
            <w:vAlign w:val="center"/>
          </w:tcPr>
          <w:p w14:paraId="77E17F5C" w14:textId="77777777" w:rsidR="00766D8F" w:rsidRPr="00104F7D" w:rsidRDefault="00766D8F" w:rsidP="000C2AFB">
            <w:pPr>
              <w:jc w:val="center"/>
              <w:rPr>
                <w:b/>
                <w:sz w:val="20"/>
                <w:highlight w:val="yellow"/>
              </w:rPr>
            </w:pPr>
            <w:r w:rsidRPr="0054724C">
              <w:rPr>
                <w:b/>
                <w:sz w:val="20"/>
              </w:rPr>
              <w:t>% objektů s překročením limitů pro podzemní vodu</w:t>
            </w:r>
          </w:p>
        </w:tc>
      </w:tr>
      <w:tr w:rsidR="0054724C" w:rsidRPr="00104F7D" w14:paraId="2A2D322A" w14:textId="77777777" w:rsidTr="009252E3">
        <w:trPr>
          <w:trHeight w:val="217"/>
        </w:trPr>
        <w:tc>
          <w:tcPr>
            <w:tcW w:w="2139" w:type="dxa"/>
            <w:vMerge/>
            <w:tcBorders>
              <w:left w:val="single" w:sz="12" w:space="0" w:color="auto"/>
              <w:bottom w:val="single" w:sz="12" w:space="0" w:color="auto"/>
              <w:right w:val="single" w:sz="2" w:space="0" w:color="auto"/>
            </w:tcBorders>
            <w:shd w:val="clear" w:color="auto" w:fill="BFBFBF" w:themeFill="background1" w:themeFillShade="BF"/>
            <w:vAlign w:val="center"/>
          </w:tcPr>
          <w:p w14:paraId="481B63B5" w14:textId="77777777" w:rsidR="0054724C" w:rsidRPr="002726FC" w:rsidRDefault="0054724C" w:rsidP="0054724C">
            <w:pPr>
              <w:pStyle w:val="Nadpis1"/>
            </w:pPr>
          </w:p>
        </w:tc>
        <w:tc>
          <w:tcPr>
            <w:tcW w:w="850" w:type="dxa"/>
            <w:vMerge/>
            <w:tcBorders>
              <w:left w:val="single" w:sz="2" w:space="0" w:color="auto"/>
              <w:bottom w:val="single" w:sz="12" w:space="0" w:color="auto"/>
              <w:right w:val="single" w:sz="2" w:space="0" w:color="auto"/>
            </w:tcBorders>
            <w:shd w:val="clear" w:color="auto" w:fill="BFBFBF" w:themeFill="background1" w:themeFillShade="BF"/>
            <w:vAlign w:val="center"/>
          </w:tcPr>
          <w:p w14:paraId="5DCCE43A" w14:textId="77777777" w:rsidR="0054724C" w:rsidRPr="002726FC" w:rsidRDefault="0054724C" w:rsidP="0054724C">
            <w:pPr>
              <w:jc w:val="center"/>
              <w:rPr>
                <w:b/>
                <w:sz w:val="20"/>
              </w:rPr>
            </w:pPr>
          </w:p>
        </w:tc>
        <w:tc>
          <w:tcPr>
            <w:tcW w:w="2693" w:type="dxa"/>
            <w:tcBorders>
              <w:left w:val="single" w:sz="2" w:space="0" w:color="auto"/>
              <w:bottom w:val="single" w:sz="12" w:space="0" w:color="auto"/>
              <w:right w:val="single" w:sz="2" w:space="0" w:color="auto"/>
            </w:tcBorders>
            <w:shd w:val="clear" w:color="auto" w:fill="BFBFBF" w:themeFill="background1" w:themeFillShade="BF"/>
            <w:vAlign w:val="center"/>
          </w:tcPr>
          <w:p w14:paraId="185C7E3B" w14:textId="1521BE58" w:rsidR="0054724C" w:rsidRPr="00104F7D" w:rsidRDefault="00766D8F" w:rsidP="0054724C">
            <w:pPr>
              <w:jc w:val="center"/>
              <w:rPr>
                <w:b/>
                <w:sz w:val="20"/>
                <w:highlight w:val="yellow"/>
              </w:rPr>
            </w:pPr>
            <w:r w:rsidRPr="00B33375">
              <w:rPr>
                <w:b/>
                <w:sz w:val="20"/>
              </w:rPr>
              <w:t>2025 (včetně TFA</w:t>
            </w:r>
            <w:r w:rsidRPr="001B455B">
              <w:rPr>
                <w:b/>
                <w:sz w:val="20"/>
                <w:vertAlign w:val="superscript"/>
              </w:rPr>
              <w:t>*)</w:t>
            </w:r>
          </w:p>
        </w:tc>
        <w:tc>
          <w:tcPr>
            <w:tcW w:w="993" w:type="dxa"/>
            <w:tcBorders>
              <w:top w:val="single" w:sz="4" w:space="0" w:color="auto"/>
              <w:left w:val="single" w:sz="2" w:space="0" w:color="auto"/>
              <w:bottom w:val="single" w:sz="12" w:space="0" w:color="auto"/>
              <w:right w:val="single" w:sz="2" w:space="0" w:color="auto"/>
            </w:tcBorders>
            <w:shd w:val="clear" w:color="auto" w:fill="BFBFBF" w:themeFill="background1" w:themeFillShade="BF"/>
            <w:vAlign w:val="center"/>
          </w:tcPr>
          <w:p w14:paraId="2F636C42" w14:textId="7D4ADFA8" w:rsidR="0054724C" w:rsidRPr="00104F7D" w:rsidRDefault="0054724C" w:rsidP="0054724C">
            <w:pPr>
              <w:jc w:val="center"/>
              <w:rPr>
                <w:b/>
                <w:sz w:val="20"/>
                <w:highlight w:val="yellow"/>
              </w:rPr>
            </w:pPr>
            <w:r w:rsidRPr="00B33375">
              <w:rPr>
                <w:b/>
                <w:sz w:val="20"/>
              </w:rPr>
              <w:t>2025</w:t>
            </w:r>
          </w:p>
        </w:tc>
        <w:tc>
          <w:tcPr>
            <w:tcW w:w="992" w:type="dxa"/>
            <w:tcBorders>
              <w:top w:val="single" w:sz="4" w:space="0" w:color="auto"/>
              <w:left w:val="single" w:sz="2" w:space="0" w:color="auto"/>
              <w:bottom w:val="single" w:sz="12" w:space="0" w:color="auto"/>
              <w:right w:val="single" w:sz="2" w:space="0" w:color="auto"/>
            </w:tcBorders>
            <w:shd w:val="clear" w:color="auto" w:fill="BFBFBF" w:themeFill="background1" w:themeFillShade="BF"/>
            <w:vAlign w:val="center"/>
          </w:tcPr>
          <w:p w14:paraId="143CFD1E" w14:textId="27B57AA6" w:rsidR="0054724C" w:rsidRPr="00104F7D" w:rsidRDefault="0054724C" w:rsidP="0054724C">
            <w:pPr>
              <w:jc w:val="center"/>
              <w:rPr>
                <w:b/>
                <w:sz w:val="20"/>
                <w:highlight w:val="yellow"/>
              </w:rPr>
            </w:pPr>
            <w:r w:rsidRPr="00B33375">
              <w:rPr>
                <w:b/>
                <w:sz w:val="20"/>
              </w:rPr>
              <w:t>2024</w:t>
            </w:r>
          </w:p>
        </w:tc>
        <w:tc>
          <w:tcPr>
            <w:tcW w:w="992" w:type="dxa"/>
            <w:tcBorders>
              <w:top w:val="single" w:sz="4" w:space="0" w:color="auto"/>
              <w:left w:val="single" w:sz="2" w:space="0" w:color="auto"/>
              <w:bottom w:val="single" w:sz="12" w:space="0" w:color="auto"/>
              <w:right w:val="single" w:sz="12" w:space="0" w:color="auto"/>
            </w:tcBorders>
            <w:shd w:val="clear" w:color="auto" w:fill="BFBFBF" w:themeFill="background1" w:themeFillShade="BF"/>
            <w:vAlign w:val="center"/>
          </w:tcPr>
          <w:p w14:paraId="02C712E9" w14:textId="3ECF662D" w:rsidR="0054724C" w:rsidRPr="00104F7D" w:rsidRDefault="0054724C" w:rsidP="0054724C">
            <w:pPr>
              <w:jc w:val="center"/>
              <w:rPr>
                <w:b/>
                <w:sz w:val="20"/>
                <w:highlight w:val="yellow"/>
              </w:rPr>
            </w:pPr>
            <w:r w:rsidRPr="00B33375">
              <w:rPr>
                <w:b/>
                <w:sz w:val="20"/>
              </w:rPr>
              <w:t>2022</w:t>
            </w:r>
          </w:p>
        </w:tc>
      </w:tr>
      <w:tr w:rsidR="00766D8F" w:rsidRPr="00104F7D" w14:paraId="625FA8CA" w14:textId="77777777" w:rsidTr="000C2AFB">
        <w:trPr>
          <w:trHeight w:val="255"/>
        </w:trPr>
        <w:tc>
          <w:tcPr>
            <w:tcW w:w="2139" w:type="dxa"/>
            <w:tcBorders>
              <w:top w:val="single" w:sz="12" w:space="0" w:color="auto"/>
              <w:left w:val="single" w:sz="12" w:space="0" w:color="auto"/>
              <w:bottom w:val="dotted" w:sz="4" w:space="0" w:color="auto"/>
              <w:right w:val="single" w:sz="2" w:space="0" w:color="auto"/>
            </w:tcBorders>
            <w:vAlign w:val="bottom"/>
          </w:tcPr>
          <w:p w14:paraId="22EA2D9C" w14:textId="77777777" w:rsidR="00766D8F" w:rsidRPr="002726FC" w:rsidRDefault="00766D8F" w:rsidP="00766D8F">
            <w:pPr>
              <w:rPr>
                <w:sz w:val="20"/>
              </w:rPr>
            </w:pPr>
            <w:r w:rsidRPr="002726FC">
              <w:rPr>
                <w:sz w:val="20"/>
              </w:rPr>
              <w:t>Mělké vrty</w:t>
            </w:r>
          </w:p>
        </w:tc>
        <w:tc>
          <w:tcPr>
            <w:tcW w:w="850" w:type="dxa"/>
            <w:tcBorders>
              <w:top w:val="single" w:sz="12" w:space="0" w:color="auto"/>
              <w:left w:val="single" w:sz="2" w:space="0" w:color="auto"/>
              <w:bottom w:val="dotted" w:sz="4" w:space="0" w:color="auto"/>
              <w:right w:val="single" w:sz="2" w:space="0" w:color="auto"/>
            </w:tcBorders>
            <w:vAlign w:val="center"/>
          </w:tcPr>
          <w:p w14:paraId="0CE47492" w14:textId="6D085F78" w:rsidR="00766D8F" w:rsidRPr="002726FC" w:rsidRDefault="00766D8F" w:rsidP="00766D8F">
            <w:pPr>
              <w:jc w:val="center"/>
              <w:rPr>
                <w:rFonts w:eastAsia="Arial Unicode MS"/>
                <w:sz w:val="20"/>
              </w:rPr>
            </w:pPr>
            <w:r w:rsidRPr="002726FC">
              <w:rPr>
                <w:sz w:val="20"/>
                <w:szCs w:val="20"/>
              </w:rPr>
              <w:t>232</w:t>
            </w:r>
          </w:p>
        </w:tc>
        <w:tc>
          <w:tcPr>
            <w:tcW w:w="2693" w:type="dxa"/>
            <w:tcBorders>
              <w:top w:val="single" w:sz="12" w:space="0" w:color="auto"/>
              <w:left w:val="single" w:sz="2" w:space="0" w:color="auto"/>
              <w:bottom w:val="dotted" w:sz="4" w:space="0" w:color="auto"/>
              <w:right w:val="single" w:sz="2" w:space="0" w:color="auto"/>
            </w:tcBorders>
            <w:vAlign w:val="center"/>
          </w:tcPr>
          <w:p w14:paraId="3358AFAD" w14:textId="0F6ACB86" w:rsidR="00766D8F" w:rsidRPr="00104F7D" w:rsidRDefault="00766D8F" w:rsidP="00766D8F">
            <w:pPr>
              <w:jc w:val="center"/>
              <w:rPr>
                <w:rFonts w:eastAsia="Arial Unicode MS"/>
                <w:sz w:val="20"/>
                <w:highlight w:val="yellow"/>
              </w:rPr>
            </w:pPr>
            <w:r w:rsidRPr="00397C76">
              <w:rPr>
                <w:sz w:val="20"/>
                <w:szCs w:val="20"/>
              </w:rPr>
              <w:t>98,7</w:t>
            </w:r>
          </w:p>
        </w:tc>
        <w:tc>
          <w:tcPr>
            <w:tcW w:w="993" w:type="dxa"/>
            <w:tcBorders>
              <w:top w:val="single" w:sz="12" w:space="0" w:color="auto"/>
              <w:left w:val="single" w:sz="2" w:space="0" w:color="auto"/>
              <w:bottom w:val="dotted" w:sz="4" w:space="0" w:color="auto"/>
              <w:right w:val="single" w:sz="2" w:space="0" w:color="auto"/>
            </w:tcBorders>
            <w:vAlign w:val="center"/>
          </w:tcPr>
          <w:p w14:paraId="6C5840E2" w14:textId="61FB9BB6" w:rsidR="00766D8F" w:rsidRPr="00104F7D" w:rsidRDefault="00766D8F" w:rsidP="00766D8F">
            <w:pPr>
              <w:jc w:val="center"/>
              <w:rPr>
                <w:rFonts w:eastAsia="Arial Unicode MS"/>
                <w:sz w:val="20"/>
                <w:highlight w:val="yellow"/>
              </w:rPr>
            </w:pPr>
            <w:r w:rsidRPr="00397C76">
              <w:rPr>
                <w:sz w:val="20"/>
                <w:szCs w:val="20"/>
              </w:rPr>
              <w:t>94,4</w:t>
            </w:r>
          </w:p>
        </w:tc>
        <w:tc>
          <w:tcPr>
            <w:tcW w:w="992" w:type="dxa"/>
            <w:tcBorders>
              <w:top w:val="single" w:sz="12" w:space="0" w:color="auto"/>
              <w:left w:val="single" w:sz="2" w:space="0" w:color="auto"/>
              <w:bottom w:val="dotted" w:sz="4" w:space="0" w:color="auto"/>
              <w:right w:val="single" w:sz="2" w:space="0" w:color="auto"/>
            </w:tcBorders>
            <w:vAlign w:val="center"/>
          </w:tcPr>
          <w:p w14:paraId="10BE116B" w14:textId="46EF49E9" w:rsidR="00766D8F" w:rsidRPr="00104F7D" w:rsidRDefault="00766D8F" w:rsidP="00766D8F">
            <w:pPr>
              <w:jc w:val="center"/>
              <w:rPr>
                <w:rFonts w:eastAsia="Arial Unicode MS"/>
                <w:sz w:val="20"/>
                <w:highlight w:val="yellow"/>
              </w:rPr>
            </w:pPr>
            <w:r w:rsidRPr="00397C76">
              <w:rPr>
                <w:sz w:val="20"/>
                <w:szCs w:val="20"/>
              </w:rPr>
              <w:t>95,7</w:t>
            </w:r>
          </w:p>
        </w:tc>
        <w:tc>
          <w:tcPr>
            <w:tcW w:w="992" w:type="dxa"/>
            <w:tcBorders>
              <w:top w:val="single" w:sz="12" w:space="0" w:color="auto"/>
              <w:left w:val="single" w:sz="2" w:space="0" w:color="auto"/>
              <w:bottom w:val="dotted" w:sz="4" w:space="0" w:color="auto"/>
              <w:right w:val="single" w:sz="12" w:space="0" w:color="auto"/>
            </w:tcBorders>
            <w:vAlign w:val="center"/>
          </w:tcPr>
          <w:p w14:paraId="66AEFE53" w14:textId="6542A11D" w:rsidR="00766D8F" w:rsidRPr="00104F7D" w:rsidRDefault="00766D8F" w:rsidP="00766D8F">
            <w:pPr>
              <w:jc w:val="center"/>
              <w:rPr>
                <w:rFonts w:eastAsia="Arial Unicode MS"/>
                <w:sz w:val="20"/>
                <w:highlight w:val="yellow"/>
              </w:rPr>
            </w:pPr>
            <w:r w:rsidRPr="00397C76">
              <w:rPr>
                <w:sz w:val="20"/>
                <w:szCs w:val="20"/>
              </w:rPr>
              <w:t>93,8</w:t>
            </w:r>
          </w:p>
        </w:tc>
      </w:tr>
      <w:tr w:rsidR="00766D8F" w:rsidRPr="00104F7D" w14:paraId="237AF4CB" w14:textId="77777777" w:rsidTr="000C2AFB">
        <w:trPr>
          <w:trHeight w:val="255"/>
        </w:trPr>
        <w:tc>
          <w:tcPr>
            <w:tcW w:w="2139" w:type="dxa"/>
            <w:tcBorders>
              <w:top w:val="dotted" w:sz="4" w:space="0" w:color="auto"/>
              <w:left w:val="single" w:sz="12" w:space="0" w:color="auto"/>
              <w:bottom w:val="dotted" w:sz="4" w:space="0" w:color="auto"/>
              <w:right w:val="single" w:sz="2" w:space="0" w:color="auto"/>
            </w:tcBorders>
            <w:vAlign w:val="bottom"/>
          </w:tcPr>
          <w:p w14:paraId="0ADB4A24" w14:textId="77777777" w:rsidR="00766D8F" w:rsidRPr="002726FC" w:rsidRDefault="00766D8F" w:rsidP="00766D8F">
            <w:pPr>
              <w:rPr>
                <w:sz w:val="20"/>
              </w:rPr>
            </w:pPr>
            <w:r w:rsidRPr="002726FC">
              <w:rPr>
                <w:sz w:val="20"/>
              </w:rPr>
              <w:t>Hluboké vrty a prameny</w:t>
            </w:r>
          </w:p>
        </w:tc>
        <w:tc>
          <w:tcPr>
            <w:tcW w:w="850" w:type="dxa"/>
            <w:tcBorders>
              <w:top w:val="dotted" w:sz="4" w:space="0" w:color="auto"/>
              <w:left w:val="single" w:sz="2" w:space="0" w:color="auto"/>
              <w:bottom w:val="dotted" w:sz="4" w:space="0" w:color="auto"/>
              <w:right w:val="single" w:sz="2" w:space="0" w:color="auto"/>
            </w:tcBorders>
            <w:vAlign w:val="center"/>
          </w:tcPr>
          <w:p w14:paraId="19B80B1E" w14:textId="349BA0F3" w:rsidR="00766D8F" w:rsidRPr="002726FC" w:rsidRDefault="00766D8F" w:rsidP="00766D8F">
            <w:pPr>
              <w:jc w:val="center"/>
              <w:rPr>
                <w:rFonts w:eastAsia="Arial Unicode MS"/>
                <w:sz w:val="20"/>
              </w:rPr>
            </w:pPr>
            <w:r w:rsidRPr="002726FC">
              <w:rPr>
                <w:sz w:val="20"/>
                <w:szCs w:val="20"/>
              </w:rPr>
              <w:t>495</w:t>
            </w:r>
          </w:p>
        </w:tc>
        <w:tc>
          <w:tcPr>
            <w:tcW w:w="2693" w:type="dxa"/>
            <w:tcBorders>
              <w:top w:val="dotted" w:sz="4" w:space="0" w:color="auto"/>
              <w:left w:val="single" w:sz="2" w:space="0" w:color="auto"/>
              <w:bottom w:val="dotted" w:sz="4" w:space="0" w:color="auto"/>
              <w:right w:val="single" w:sz="2" w:space="0" w:color="auto"/>
            </w:tcBorders>
            <w:vAlign w:val="center"/>
          </w:tcPr>
          <w:p w14:paraId="448F2EAD" w14:textId="39BA6E58" w:rsidR="00766D8F" w:rsidRPr="00104F7D" w:rsidRDefault="00766D8F" w:rsidP="00766D8F">
            <w:pPr>
              <w:jc w:val="center"/>
              <w:rPr>
                <w:rFonts w:eastAsia="Arial Unicode MS"/>
                <w:sz w:val="20"/>
                <w:highlight w:val="yellow"/>
              </w:rPr>
            </w:pPr>
            <w:r w:rsidRPr="00397C76">
              <w:rPr>
                <w:sz w:val="20"/>
                <w:szCs w:val="20"/>
              </w:rPr>
              <w:t>93,3</w:t>
            </w:r>
          </w:p>
        </w:tc>
        <w:tc>
          <w:tcPr>
            <w:tcW w:w="993" w:type="dxa"/>
            <w:tcBorders>
              <w:top w:val="dotted" w:sz="4" w:space="0" w:color="auto"/>
              <w:left w:val="single" w:sz="2" w:space="0" w:color="auto"/>
              <w:bottom w:val="dotted" w:sz="4" w:space="0" w:color="auto"/>
              <w:right w:val="single" w:sz="2" w:space="0" w:color="auto"/>
            </w:tcBorders>
            <w:vAlign w:val="center"/>
          </w:tcPr>
          <w:p w14:paraId="43FE8634" w14:textId="4FFC3BA6" w:rsidR="00766D8F" w:rsidRPr="00104F7D" w:rsidRDefault="00766D8F" w:rsidP="00766D8F">
            <w:pPr>
              <w:jc w:val="center"/>
              <w:rPr>
                <w:rFonts w:eastAsia="Arial Unicode MS"/>
                <w:sz w:val="20"/>
                <w:highlight w:val="yellow"/>
              </w:rPr>
            </w:pPr>
            <w:r w:rsidRPr="00397C76">
              <w:rPr>
                <w:sz w:val="20"/>
                <w:szCs w:val="20"/>
              </w:rPr>
              <w:t>73,5</w:t>
            </w:r>
          </w:p>
        </w:tc>
        <w:tc>
          <w:tcPr>
            <w:tcW w:w="992" w:type="dxa"/>
            <w:tcBorders>
              <w:top w:val="dotted" w:sz="4" w:space="0" w:color="auto"/>
              <w:left w:val="single" w:sz="2" w:space="0" w:color="auto"/>
              <w:bottom w:val="dotted" w:sz="4" w:space="0" w:color="auto"/>
              <w:right w:val="single" w:sz="2" w:space="0" w:color="auto"/>
            </w:tcBorders>
            <w:vAlign w:val="center"/>
          </w:tcPr>
          <w:p w14:paraId="166F4D30" w14:textId="1B977B22" w:rsidR="00766D8F" w:rsidRPr="00104F7D" w:rsidRDefault="00766D8F" w:rsidP="00766D8F">
            <w:pPr>
              <w:jc w:val="center"/>
              <w:rPr>
                <w:rFonts w:eastAsia="Arial Unicode MS"/>
                <w:sz w:val="20"/>
                <w:highlight w:val="yellow"/>
              </w:rPr>
            </w:pPr>
            <w:r w:rsidRPr="00397C76">
              <w:rPr>
                <w:sz w:val="20"/>
                <w:szCs w:val="20"/>
              </w:rPr>
              <w:t>77,3</w:t>
            </w:r>
          </w:p>
        </w:tc>
        <w:tc>
          <w:tcPr>
            <w:tcW w:w="992" w:type="dxa"/>
            <w:tcBorders>
              <w:top w:val="dotted" w:sz="4" w:space="0" w:color="auto"/>
              <w:left w:val="single" w:sz="2" w:space="0" w:color="auto"/>
              <w:bottom w:val="dotted" w:sz="4" w:space="0" w:color="auto"/>
              <w:right w:val="single" w:sz="12" w:space="0" w:color="auto"/>
            </w:tcBorders>
            <w:vAlign w:val="center"/>
          </w:tcPr>
          <w:p w14:paraId="46F0EB2D" w14:textId="5A97DC45" w:rsidR="00766D8F" w:rsidRPr="00104F7D" w:rsidRDefault="00766D8F" w:rsidP="00766D8F">
            <w:pPr>
              <w:jc w:val="center"/>
              <w:rPr>
                <w:rFonts w:eastAsia="Arial Unicode MS"/>
                <w:sz w:val="20"/>
                <w:highlight w:val="yellow"/>
              </w:rPr>
            </w:pPr>
            <w:r w:rsidRPr="00397C76">
              <w:rPr>
                <w:sz w:val="20"/>
                <w:szCs w:val="20"/>
              </w:rPr>
              <w:t>73,2</w:t>
            </w:r>
          </w:p>
        </w:tc>
      </w:tr>
      <w:tr w:rsidR="00766D8F" w:rsidRPr="00104F7D" w14:paraId="1B58A6CE" w14:textId="77777777" w:rsidTr="000C2AFB">
        <w:trPr>
          <w:trHeight w:val="255"/>
        </w:trPr>
        <w:tc>
          <w:tcPr>
            <w:tcW w:w="2139" w:type="dxa"/>
            <w:tcBorders>
              <w:top w:val="dotted" w:sz="4" w:space="0" w:color="auto"/>
              <w:left w:val="single" w:sz="12" w:space="0" w:color="auto"/>
              <w:bottom w:val="single" w:sz="12" w:space="0" w:color="auto"/>
              <w:right w:val="single" w:sz="2" w:space="0" w:color="auto"/>
            </w:tcBorders>
            <w:vAlign w:val="bottom"/>
          </w:tcPr>
          <w:p w14:paraId="3F0DC240" w14:textId="77777777" w:rsidR="00766D8F" w:rsidRPr="002726FC" w:rsidRDefault="00766D8F" w:rsidP="00766D8F">
            <w:pPr>
              <w:rPr>
                <w:b/>
                <w:sz w:val="20"/>
              </w:rPr>
            </w:pPr>
            <w:r w:rsidRPr="002726FC">
              <w:rPr>
                <w:b/>
                <w:sz w:val="20"/>
              </w:rPr>
              <w:t>Všechny objekty</w:t>
            </w:r>
          </w:p>
        </w:tc>
        <w:tc>
          <w:tcPr>
            <w:tcW w:w="850" w:type="dxa"/>
            <w:tcBorders>
              <w:top w:val="dotted" w:sz="4" w:space="0" w:color="auto"/>
              <w:left w:val="single" w:sz="2" w:space="0" w:color="auto"/>
              <w:bottom w:val="single" w:sz="12" w:space="0" w:color="auto"/>
              <w:right w:val="single" w:sz="2" w:space="0" w:color="auto"/>
            </w:tcBorders>
            <w:vAlign w:val="center"/>
          </w:tcPr>
          <w:p w14:paraId="0DE1D510" w14:textId="5EFDE8F7" w:rsidR="00766D8F" w:rsidRPr="002726FC" w:rsidRDefault="00766D8F" w:rsidP="00766D8F">
            <w:pPr>
              <w:jc w:val="center"/>
              <w:rPr>
                <w:rFonts w:eastAsia="Arial Unicode MS"/>
                <w:b/>
                <w:sz w:val="20"/>
              </w:rPr>
            </w:pPr>
            <w:r w:rsidRPr="002726FC">
              <w:rPr>
                <w:b/>
                <w:sz w:val="20"/>
                <w:szCs w:val="20"/>
              </w:rPr>
              <w:t>727</w:t>
            </w:r>
          </w:p>
        </w:tc>
        <w:tc>
          <w:tcPr>
            <w:tcW w:w="2693" w:type="dxa"/>
            <w:tcBorders>
              <w:top w:val="dotted" w:sz="4" w:space="0" w:color="auto"/>
              <w:left w:val="single" w:sz="2" w:space="0" w:color="auto"/>
              <w:bottom w:val="single" w:sz="12" w:space="0" w:color="auto"/>
              <w:right w:val="single" w:sz="2" w:space="0" w:color="auto"/>
            </w:tcBorders>
            <w:vAlign w:val="center"/>
          </w:tcPr>
          <w:p w14:paraId="2BB7890D" w14:textId="58E6C15F" w:rsidR="00766D8F" w:rsidRPr="00104F7D" w:rsidRDefault="00766D8F" w:rsidP="00766D8F">
            <w:pPr>
              <w:jc w:val="center"/>
              <w:rPr>
                <w:rFonts w:eastAsia="Arial Unicode MS"/>
                <w:b/>
                <w:sz w:val="20"/>
                <w:highlight w:val="yellow"/>
              </w:rPr>
            </w:pPr>
            <w:r w:rsidRPr="00397C76">
              <w:rPr>
                <w:b/>
                <w:sz w:val="20"/>
                <w:szCs w:val="20"/>
              </w:rPr>
              <w:t>95,0</w:t>
            </w:r>
          </w:p>
        </w:tc>
        <w:tc>
          <w:tcPr>
            <w:tcW w:w="993" w:type="dxa"/>
            <w:tcBorders>
              <w:top w:val="dotted" w:sz="4" w:space="0" w:color="auto"/>
              <w:left w:val="single" w:sz="2" w:space="0" w:color="auto"/>
              <w:bottom w:val="single" w:sz="12" w:space="0" w:color="auto"/>
              <w:right w:val="single" w:sz="2" w:space="0" w:color="auto"/>
            </w:tcBorders>
            <w:vAlign w:val="center"/>
          </w:tcPr>
          <w:p w14:paraId="3B118114" w14:textId="4A465535" w:rsidR="00766D8F" w:rsidRPr="00104F7D" w:rsidRDefault="00766D8F" w:rsidP="00766D8F">
            <w:pPr>
              <w:jc w:val="center"/>
              <w:rPr>
                <w:rFonts w:eastAsia="Arial Unicode MS"/>
                <w:b/>
                <w:sz w:val="20"/>
                <w:highlight w:val="yellow"/>
              </w:rPr>
            </w:pPr>
            <w:r w:rsidRPr="00397C76">
              <w:rPr>
                <w:b/>
                <w:sz w:val="20"/>
                <w:szCs w:val="20"/>
              </w:rPr>
              <w:t>80,2</w:t>
            </w:r>
          </w:p>
        </w:tc>
        <w:tc>
          <w:tcPr>
            <w:tcW w:w="992" w:type="dxa"/>
            <w:tcBorders>
              <w:top w:val="dotted" w:sz="4" w:space="0" w:color="auto"/>
              <w:left w:val="single" w:sz="2" w:space="0" w:color="auto"/>
              <w:bottom w:val="single" w:sz="12" w:space="0" w:color="auto"/>
              <w:right w:val="single" w:sz="2" w:space="0" w:color="auto"/>
            </w:tcBorders>
            <w:vAlign w:val="center"/>
          </w:tcPr>
          <w:p w14:paraId="2991AF70" w14:textId="2FB1724A" w:rsidR="00766D8F" w:rsidRPr="00104F7D" w:rsidRDefault="00766D8F" w:rsidP="00766D8F">
            <w:pPr>
              <w:jc w:val="center"/>
              <w:rPr>
                <w:rFonts w:eastAsia="Arial Unicode MS"/>
                <w:b/>
                <w:sz w:val="20"/>
                <w:highlight w:val="yellow"/>
              </w:rPr>
            </w:pPr>
            <w:r w:rsidRPr="00397C76">
              <w:rPr>
                <w:b/>
                <w:sz w:val="20"/>
                <w:szCs w:val="20"/>
              </w:rPr>
              <w:t>83,2</w:t>
            </w:r>
          </w:p>
        </w:tc>
        <w:tc>
          <w:tcPr>
            <w:tcW w:w="992" w:type="dxa"/>
            <w:tcBorders>
              <w:top w:val="dotted" w:sz="4" w:space="0" w:color="auto"/>
              <w:left w:val="single" w:sz="2" w:space="0" w:color="auto"/>
              <w:bottom w:val="single" w:sz="12" w:space="0" w:color="auto"/>
              <w:right w:val="single" w:sz="12" w:space="0" w:color="auto"/>
            </w:tcBorders>
            <w:vAlign w:val="center"/>
          </w:tcPr>
          <w:p w14:paraId="550426FD" w14:textId="0139856B" w:rsidR="00766D8F" w:rsidRPr="00104F7D" w:rsidRDefault="00766D8F" w:rsidP="00766D8F">
            <w:pPr>
              <w:jc w:val="center"/>
              <w:rPr>
                <w:rFonts w:eastAsia="Arial Unicode MS"/>
                <w:b/>
                <w:sz w:val="20"/>
                <w:highlight w:val="yellow"/>
              </w:rPr>
            </w:pPr>
            <w:r w:rsidRPr="00397C76">
              <w:rPr>
                <w:b/>
                <w:sz w:val="20"/>
                <w:szCs w:val="20"/>
              </w:rPr>
              <w:t>79,8</w:t>
            </w:r>
          </w:p>
        </w:tc>
      </w:tr>
    </w:tbl>
    <w:p w14:paraId="2864027F" w14:textId="77777777" w:rsidR="00337B29" w:rsidRDefault="005A65E1" w:rsidP="00337B29">
      <w:pPr>
        <w:pStyle w:val="Zkladntext"/>
        <w:tabs>
          <w:tab w:val="left" w:pos="0"/>
          <w:tab w:val="left" w:pos="567"/>
          <w:tab w:val="left" w:pos="709"/>
          <w:tab w:val="left" w:pos="851"/>
          <w:tab w:val="left" w:pos="993"/>
        </w:tabs>
        <w:spacing w:line="240" w:lineRule="auto"/>
        <w:ind w:firstLine="0"/>
        <w:contextualSpacing/>
        <w:rPr>
          <w:rFonts w:ascii="Arial" w:hAnsi="Arial" w:cs="Arial"/>
          <w:i/>
          <w:sz w:val="20"/>
        </w:rPr>
      </w:pPr>
      <w:r w:rsidRPr="002522C3">
        <w:rPr>
          <w:rFonts w:ascii="Arial" w:hAnsi="Arial" w:cs="Arial"/>
          <w:i/>
          <w:sz w:val="20"/>
        </w:rPr>
        <w:t>Pramen: ČHMÚ</w:t>
      </w:r>
    </w:p>
    <w:p w14:paraId="2941CA48" w14:textId="5AB6CEFD" w:rsidR="00766D8F" w:rsidRPr="001B455B" w:rsidRDefault="001B455B" w:rsidP="00337B29">
      <w:pPr>
        <w:pStyle w:val="Zkladntext"/>
        <w:tabs>
          <w:tab w:val="left" w:pos="0"/>
          <w:tab w:val="left" w:pos="567"/>
          <w:tab w:val="left" w:pos="709"/>
          <w:tab w:val="left" w:pos="851"/>
          <w:tab w:val="left" w:pos="993"/>
        </w:tabs>
        <w:spacing w:line="240" w:lineRule="auto"/>
        <w:ind w:firstLine="0"/>
        <w:contextualSpacing/>
        <w:rPr>
          <w:rFonts w:ascii="Arial" w:hAnsi="Arial" w:cs="Arial"/>
          <w:i/>
          <w:iCs/>
          <w:sz w:val="20"/>
        </w:rPr>
      </w:pPr>
      <w:r w:rsidRPr="001B455B">
        <w:rPr>
          <w:rFonts w:ascii="Arial" w:hAnsi="Arial" w:cs="Arial"/>
          <w:i/>
          <w:iCs/>
          <w:sz w:val="20"/>
        </w:rPr>
        <w:t xml:space="preserve">pozn.: </w:t>
      </w:r>
      <w:r w:rsidR="002E059D" w:rsidRPr="001B455B">
        <w:rPr>
          <w:rFonts w:ascii="Arial" w:hAnsi="Arial" w:cs="Arial"/>
          <w:i/>
          <w:iCs/>
          <w:sz w:val="20"/>
          <w:vertAlign w:val="superscript"/>
        </w:rPr>
        <w:t>*</w:t>
      </w:r>
      <w:r w:rsidRPr="001B455B">
        <w:rPr>
          <w:rFonts w:ascii="Arial" w:hAnsi="Arial" w:cs="Arial"/>
          <w:i/>
          <w:iCs/>
          <w:sz w:val="20"/>
          <w:vertAlign w:val="superscript"/>
        </w:rPr>
        <w:t>)</w:t>
      </w:r>
      <w:r w:rsidR="002E059D" w:rsidRPr="001B455B">
        <w:rPr>
          <w:rFonts w:ascii="Arial" w:hAnsi="Arial" w:cs="Arial"/>
          <w:i/>
          <w:iCs/>
          <w:sz w:val="20"/>
        </w:rPr>
        <w:t xml:space="preserve"> </w:t>
      </w:r>
      <w:r w:rsidR="00766D8F" w:rsidRPr="001B455B">
        <w:rPr>
          <w:rFonts w:ascii="Arial" w:hAnsi="Arial" w:cs="Arial"/>
          <w:i/>
          <w:iCs/>
          <w:sz w:val="20"/>
        </w:rPr>
        <w:t>TFA (kyselina trifluoroctová) - nově sledovaný celosvětově problematický pesticid, jenž může pocházet z různých zdrojů</w:t>
      </w:r>
    </w:p>
    <w:p w14:paraId="6B96B977" w14:textId="77777777" w:rsidR="001B455B" w:rsidRDefault="001B455B" w:rsidP="009C146A">
      <w:pPr>
        <w:rPr>
          <w:rFonts w:eastAsia="Times New Roman" w:cs="Arial"/>
          <w:iCs/>
          <w:lang w:eastAsia="cs-CZ"/>
        </w:rPr>
      </w:pPr>
    </w:p>
    <w:p w14:paraId="5D6EBC17" w14:textId="71E5A3A8" w:rsidR="009C146A" w:rsidRPr="009442CC" w:rsidRDefault="009442CC" w:rsidP="009C146A">
      <w:pPr>
        <w:rPr>
          <w:rFonts w:eastAsia="Times New Roman" w:cs="Arial"/>
          <w:iCs/>
          <w:lang w:eastAsia="cs-CZ"/>
        </w:rPr>
      </w:pPr>
      <w:r w:rsidRPr="009442CC">
        <w:rPr>
          <w:rFonts w:eastAsia="Times New Roman" w:cs="Arial"/>
          <w:iCs/>
          <w:lang w:eastAsia="cs-CZ"/>
        </w:rPr>
        <w:t xml:space="preserve">V roce 2025 probíhal jak základní provozní monitoring (jarní období), tak rozsáhlý situační monitoring na podzim, který byl navíc rozšířený o celou škálu nově sledovaných látek ze skupiny </w:t>
      </w:r>
      <w:r w:rsidR="00A13CFE" w:rsidRPr="009442CC">
        <w:rPr>
          <w:rFonts w:eastAsia="Times New Roman" w:cs="Arial"/>
          <w:iCs/>
          <w:lang w:eastAsia="cs-CZ"/>
        </w:rPr>
        <w:t>per–a</w:t>
      </w:r>
      <w:r w:rsidRPr="009442CC">
        <w:rPr>
          <w:rFonts w:eastAsia="Times New Roman" w:cs="Arial"/>
          <w:iCs/>
          <w:lang w:eastAsia="cs-CZ"/>
        </w:rPr>
        <w:t xml:space="preserve"> </w:t>
      </w:r>
      <w:proofErr w:type="spellStart"/>
      <w:r w:rsidRPr="009442CC">
        <w:rPr>
          <w:rFonts w:eastAsia="Times New Roman" w:cs="Arial"/>
          <w:iCs/>
          <w:lang w:eastAsia="cs-CZ"/>
        </w:rPr>
        <w:t>polyfluorovaných</w:t>
      </w:r>
      <w:proofErr w:type="spellEnd"/>
      <w:r w:rsidRPr="009442CC">
        <w:rPr>
          <w:rFonts w:eastAsia="Times New Roman" w:cs="Arial"/>
          <w:iCs/>
          <w:lang w:eastAsia="cs-CZ"/>
        </w:rPr>
        <w:t xml:space="preserve"> sloučenin (PFAS) s nejvyšší četností hodnot nad mezí stanovitelnosti u trifluoroctové kyseliny </w:t>
      </w:r>
      <w:r w:rsidRPr="00E66514">
        <w:rPr>
          <w:rFonts w:eastAsia="Times New Roman" w:cs="Arial"/>
          <w:iCs/>
          <w:lang w:eastAsia="cs-CZ"/>
        </w:rPr>
        <w:t>(TFA)</w:t>
      </w:r>
      <w:r w:rsidRPr="009442CC">
        <w:rPr>
          <w:rFonts w:eastAsia="Times New Roman" w:cs="Arial"/>
          <w:iCs/>
          <w:lang w:eastAsia="cs-CZ"/>
        </w:rPr>
        <w:t>. Ostatní analyzované znečišťující látky jsou, co do maximálních nalezených koncentrací a procentuálního počtu překročení limitů pro jakost podzemních vod potvrzením výsledků z předchozích let.</w:t>
      </w:r>
    </w:p>
    <w:p w14:paraId="08737295" w14:textId="77777777" w:rsidR="009442CC" w:rsidRPr="00104F7D" w:rsidRDefault="009442CC" w:rsidP="009C146A">
      <w:pPr>
        <w:rPr>
          <w:rFonts w:cs="Arial"/>
          <w:b/>
          <w:bCs/>
          <w:i/>
          <w:highlight w:val="yellow"/>
        </w:rPr>
      </w:pPr>
    </w:p>
    <w:p w14:paraId="508505A0" w14:textId="77777777" w:rsidR="00A13CFE" w:rsidRDefault="00A13CFE" w:rsidP="009C146A">
      <w:pPr>
        <w:rPr>
          <w:rFonts w:cs="Arial"/>
          <w:b/>
          <w:bCs/>
          <w:i/>
        </w:rPr>
      </w:pPr>
    </w:p>
    <w:p w14:paraId="50CA1D54" w14:textId="6D076A47" w:rsidR="009C146A" w:rsidRPr="009442CC" w:rsidRDefault="009C146A" w:rsidP="009C146A">
      <w:pPr>
        <w:rPr>
          <w:rFonts w:cs="Arial"/>
          <w:b/>
          <w:bCs/>
          <w:i/>
        </w:rPr>
      </w:pPr>
      <w:r w:rsidRPr="009442CC">
        <w:rPr>
          <w:rFonts w:cs="Arial"/>
          <w:b/>
          <w:bCs/>
          <w:i/>
        </w:rPr>
        <w:lastRenderedPageBreak/>
        <w:t>Obrázek 3.2.1</w:t>
      </w:r>
    </w:p>
    <w:p w14:paraId="74D3F322" w14:textId="3A74D846" w:rsidR="009C146A" w:rsidRPr="009442CC" w:rsidRDefault="009C146A" w:rsidP="009C146A">
      <w:pPr>
        <w:rPr>
          <w:rFonts w:cs="Arial"/>
          <w:b/>
          <w:bCs/>
          <w:i/>
        </w:rPr>
      </w:pPr>
      <w:r w:rsidRPr="009442CC">
        <w:rPr>
          <w:rFonts w:cs="Arial"/>
          <w:b/>
          <w:bCs/>
          <w:i/>
        </w:rPr>
        <w:t>Koncentrace dusíkatých látek v podzemních vodách v roce 202</w:t>
      </w:r>
      <w:r w:rsidR="00807AE8">
        <w:rPr>
          <w:rFonts w:cs="Arial"/>
          <w:b/>
          <w:bCs/>
          <w:i/>
        </w:rPr>
        <w:t>5</w:t>
      </w:r>
    </w:p>
    <w:p w14:paraId="02235478" w14:textId="0EC341C6" w:rsidR="009C146A" w:rsidRPr="00104F7D" w:rsidRDefault="004456F3" w:rsidP="009C146A">
      <w:pPr>
        <w:rPr>
          <w:sz w:val="18"/>
          <w:highlight w:val="yellow"/>
        </w:rPr>
      </w:pPr>
      <w:r w:rsidRPr="00B33375">
        <w:rPr>
          <w:rFonts w:cs="Arial"/>
          <w:noProof/>
          <w:sz w:val="18"/>
          <w:lang w:eastAsia="cs-CZ"/>
        </w:rPr>
        <w:drawing>
          <wp:inline distT="0" distB="0" distL="0" distR="0" wp14:anchorId="73BF0F0F" wp14:editId="55AB9139">
            <wp:extent cx="5305425" cy="3082305"/>
            <wp:effectExtent l="0" t="0" r="0" b="3810"/>
            <wp:docPr id="130797882" name="Obrázek 130797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lada2025_dus_Sb5.jpg"/>
                    <pic:cNvPicPr/>
                  </pic:nvPicPr>
                  <pic:blipFill rotWithShape="1">
                    <a:blip r:embed="rId60" cstate="print">
                      <a:extLst>
                        <a:ext uri="{28A0092B-C50C-407E-A947-70E740481C1C}">
                          <a14:useLocalDpi xmlns:a14="http://schemas.microsoft.com/office/drawing/2010/main" val="0"/>
                        </a:ext>
                      </a:extLst>
                    </a:blip>
                    <a:srcRect r="-8246" b="9589"/>
                    <a:stretch>
                      <a:fillRect/>
                    </a:stretch>
                  </pic:blipFill>
                  <pic:spPr bwMode="auto">
                    <a:xfrm>
                      <a:off x="0" y="0"/>
                      <a:ext cx="5308814" cy="3084274"/>
                    </a:xfrm>
                    <a:prstGeom prst="rect">
                      <a:avLst/>
                    </a:prstGeom>
                    <a:ln>
                      <a:noFill/>
                    </a:ln>
                    <a:extLst>
                      <a:ext uri="{53640926-AAD7-44D8-BBD7-CCE9431645EC}">
                        <a14:shadowObscured xmlns:a14="http://schemas.microsoft.com/office/drawing/2010/main"/>
                      </a:ext>
                    </a:extLst>
                  </pic:spPr>
                </pic:pic>
              </a:graphicData>
            </a:graphic>
          </wp:inline>
        </w:drawing>
      </w:r>
    </w:p>
    <w:p w14:paraId="206C2F7A" w14:textId="77777777" w:rsidR="009C146A" w:rsidRPr="004456F3" w:rsidRDefault="009C146A" w:rsidP="009C146A">
      <w:pPr>
        <w:pStyle w:val="Normlnweb"/>
        <w:spacing w:before="0" w:beforeAutospacing="0" w:after="0" w:afterAutospacing="0"/>
        <w:rPr>
          <w:rFonts w:ascii="Arial" w:hAnsi="Arial" w:cs="Arial"/>
          <w:i/>
          <w:color w:val="000000" w:themeColor="dark1"/>
          <w:sz w:val="20"/>
          <w:szCs w:val="20"/>
        </w:rPr>
      </w:pPr>
      <w:r w:rsidRPr="004456F3">
        <w:rPr>
          <w:rFonts w:ascii="Arial" w:hAnsi="Arial" w:cs="Arial"/>
          <w:i/>
          <w:color w:val="000000" w:themeColor="dark1"/>
          <w:sz w:val="20"/>
          <w:szCs w:val="20"/>
        </w:rPr>
        <w:t>Pramen: ČHMÚ</w:t>
      </w:r>
    </w:p>
    <w:p w14:paraId="649296C0" w14:textId="7166116B" w:rsidR="009C146A" w:rsidRPr="004456F3" w:rsidRDefault="009C146A" w:rsidP="009C146A">
      <w:pPr>
        <w:rPr>
          <w:rFonts w:cs="Arial"/>
          <w:i/>
          <w:sz w:val="20"/>
          <w:szCs w:val="20"/>
        </w:rPr>
      </w:pPr>
      <w:r w:rsidRPr="004456F3">
        <w:rPr>
          <w:rFonts w:cs="Arial"/>
          <w:i/>
          <w:color w:val="000000" w:themeColor="dark1"/>
          <w:sz w:val="20"/>
          <w:szCs w:val="20"/>
        </w:rPr>
        <w:t>Pozn.:</w:t>
      </w:r>
      <w:r w:rsidRPr="004456F3">
        <w:rPr>
          <w:rFonts w:cs="Arial"/>
          <w:i/>
          <w:sz w:val="18"/>
        </w:rPr>
        <w:t xml:space="preserve"> </w:t>
      </w:r>
      <w:r w:rsidRPr="004456F3">
        <w:rPr>
          <w:rFonts w:cs="Arial"/>
          <w:i/>
          <w:sz w:val="20"/>
          <w:szCs w:val="20"/>
        </w:rPr>
        <w:t>Překročení referenčních hodnot vyhlášky č. 5/2011 Sb.</w:t>
      </w:r>
    </w:p>
    <w:p w14:paraId="64E4F8E2" w14:textId="77777777" w:rsidR="006F31CE" w:rsidRDefault="006F31CE" w:rsidP="005B4D1A">
      <w:pPr>
        <w:rPr>
          <w:rFonts w:cs="Arial"/>
          <w:b/>
          <w:bCs/>
          <w:i/>
        </w:rPr>
      </w:pPr>
    </w:p>
    <w:p w14:paraId="19BFFD57" w14:textId="7C019CB0" w:rsidR="005B4D1A" w:rsidRPr="00807AE8" w:rsidRDefault="005B4D1A" w:rsidP="005B4D1A">
      <w:pPr>
        <w:rPr>
          <w:rFonts w:cs="Arial"/>
          <w:b/>
          <w:bCs/>
          <w:i/>
        </w:rPr>
      </w:pPr>
      <w:r w:rsidRPr="00807AE8">
        <w:rPr>
          <w:rFonts w:cs="Arial"/>
          <w:b/>
          <w:bCs/>
          <w:i/>
        </w:rPr>
        <w:t>Obrázek 3.2.2</w:t>
      </w:r>
    </w:p>
    <w:p w14:paraId="7566B37E" w14:textId="4E827CE8" w:rsidR="005B4D1A" w:rsidRPr="00807AE8" w:rsidRDefault="005B4D1A" w:rsidP="005B4D1A">
      <w:pPr>
        <w:rPr>
          <w:rFonts w:cs="Arial"/>
          <w:b/>
          <w:bCs/>
          <w:i/>
        </w:rPr>
      </w:pPr>
      <w:r w:rsidRPr="00807AE8">
        <w:rPr>
          <w:rFonts w:cs="Arial"/>
          <w:b/>
          <w:bCs/>
          <w:i/>
        </w:rPr>
        <w:t>Koncentrace pesticidů v podzemních vodách v roce 202</w:t>
      </w:r>
      <w:r w:rsidR="00807AE8" w:rsidRPr="00807AE8">
        <w:rPr>
          <w:rFonts w:cs="Arial"/>
          <w:b/>
          <w:bCs/>
          <w:i/>
        </w:rPr>
        <w:t xml:space="preserve">5 </w:t>
      </w:r>
      <w:r w:rsidRPr="00807AE8">
        <w:rPr>
          <w:rFonts w:cs="Arial"/>
          <w:b/>
          <w:bCs/>
          <w:i/>
        </w:rPr>
        <w:t>(látky s četnějším překročením)</w:t>
      </w:r>
    </w:p>
    <w:p w14:paraId="0000CE28" w14:textId="0ADF984A" w:rsidR="005B4D1A" w:rsidRPr="00104F7D" w:rsidRDefault="00807AE8" w:rsidP="005B4D1A">
      <w:pPr>
        <w:rPr>
          <w:sz w:val="18"/>
          <w:highlight w:val="yellow"/>
        </w:rPr>
      </w:pPr>
      <w:r w:rsidRPr="006F31CE">
        <w:rPr>
          <w:noProof/>
          <w:sz w:val="18"/>
          <w:lang w:eastAsia="cs-CZ"/>
        </w:rPr>
        <w:drawing>
          <wp:inline distT="0" distB="0" distL="0" distR="0" wp14:anchorId="3EE213BE" wp14:editId="78409657">
            <wp:extent cx="5200650" cy="3617468"/>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da2025_pest2xup_Sb5.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209363" cy="3623529"/>
                    </a:xfrm>
                    <a:prstGeom prst="rect">
                      <a:avLst/>
                    </a:prstGeom>
                  </pic:spPr>
                </pic:pic>
              </a:graphicData>
            </a:graphic>
          </wp:inline>
        </w:drawing>
      </w:r>
    </w:p>
    <w:p w14:paraId="39F17EDE" w14:textId="77777777" w:rsidR="005B4D1A" w:rsidRPr="00807AE8" w:rsidRDefault="005B4D1A" w:rsidP="005B4D1A">
      <w:pPr>
        <w:pStyle w:val="Normlnweb"/>
        <w:spacing w:before="0" w:beforeAutospacing="0" w:after="0" w:afterAutospacing="0"/>
        <w:rPr>
          <w:rFonts w:ascii="Arial" w:hAnsi="Arial" w:cs="Arial"/>
          <w:i/>
          <w:color w:val="000000" w:themeColor="dark1"/>
          <w:sz w:val="20"/>
          <w:szCs w:val="20"/>
        </w:rPr>
      </w:pPr>
      <w:r w:rsidRPr="00807AE8">
        <w:rPr>
          <w:rFonts w:ascii="Arial" w:hAnsi="Arial" w:cs="Arial"/>
          <w:i/>
          <w:color w:val="000000" w:themeColor="dark1"/>
          <w:sz w:val="20"/>
          <w:szCs w:val="20"/>
        </w:rPr>
        <w:t>Pramen: ČHMÚ</w:t>
      </w:r>
    </w:p>
    <w:p w14:paraId="5E85B10B" w14:textId="302FC75D" w:rsidR="00FC2D31" w:rsidRPr="00807AE8" w:rsidRDefault="005B4D1A" w:rsidP="009C146A">
      <w:pPr>
        <w:rPr>
          <w:rFonts w:cs="Arial"/>
          <w:b/>
          <w:bCs/>
          <w:i/>
        </w:rPr>
      </w:pPr>
      <w:r w:rsidRPr="00807AE8">
        <w:rPr>
          <w:rFonts w:cs="Arial"/>
          <w:i/>
          <w:color w:val="000000" w:themeColor="dark1"/>
          <w:sz w:val="20"/>
          <w:szCs w:val="20"/>
        </w:rPr>
        <w:t>Pozn.:</w:t>
      </w:r>
      <w:r w:rsidRPr="00807AE8">
        <w:rPr>
          <w:rFonts w:cs="Arial"/>
          <w:i/>
          <w:sz w:val="18"/>
        </w:rPr>
        <w:t xml:space="preserve"> </w:t>
      </w:r>
      <w:r w:rsidRPr="00807AE8">
        <w:rPr>
          <w:rFonts w:cs="Arial"/>
          <w:i/>
          <w:sz w:val="20"/>
          <w:szCs w:val="20"/>
        </w:rPr>
        <w:t>Překročení referenčních hodnot vyhlášky č. 5/2011 Sb.</w:t>
      </w:r>
    </w:p>
    <w:p w14:paraId="42659264" w14:textId="77777777" w:rsidR="00D449D5" w:rsidRPr="00104F7D" w:rsidRDefault="00D449D5" w:rsidP="007C4955">
      <w:pPr>
        <w:contextualSpacing/>
        <w:rPr>
          <w:color w:val="FF0000"/>
          <w:highlight w:val="yellow"/>
        </w:rPr>
      </w:pPr>
    </w:p>
    <w:p w14:paraId="12045504" w14:textId="77777777" w:rsidR="004F69B3" w:rsidRPr="00E66514" w:rsidRDefault="00C41BE4">
      <w:pPr>
        <w:pStyle w:val="Nadpis1"/>
        <w:numPr>
          <w:ilvl w:val="0"/>
          <w:numId w:val="13"/>
        </w:numPr>
        <w:spacing w:before="0"/>
        <w:contextualSpacing/>
        <w:rPr>
          <w:color w:val="FF0000"/>
        </w:rPr>
      </w:pPr>
      <w:bookmarkStart w:id="27" w:name="_Toc10183410"/>
      <w:r w:rsidRPr="00104F7D">
        <w:rPr>
          <w:highlight w:val="yellow"/>
        </w:rPr>
        <w:br w:type="page"/>
      </w:r>
      <w:bookmarkStart w:id="28" w:name="_Toc236991614"/>
      <w:r w:rsidR="004F69B3" w:rsidRPr="00E66514">
        <w:rPr>
          <w:color w:val="000000" w:themeColor="text1"/>
        </w:rPr>
        <w:lastRenderedPageBreak/>
        <w:t>NAKLÁDÁNÍ S</w:t>
      </w:r>
      <w:r w:rsidR="004F3115" w:rsidRPr="00E66514">
        <w:rPr>
          <w:color w:val="000000" w:themeColor="text1"/>
        </w:rPr>
        <w:t> </w:t>
      </w:r>
      <w:r w:rsidR="004F69B3" w:rsidRPr="00E66514">
        <w:rPr>
          <w:color w:val="000000" w:themeColor="text1"/>
        </w:rPr>
        <w:t>VODAMI</w:t>
      </w:r>
      <w:bookmarkEnd w:id="27"/>
      <w:bookmarkEnd w:id="28"/>
    </w:p>
    <w:p w14:paraId="65E896DF" w14:textId="77777777" w:rsidR="00D0455B" w:rsidRPr="00104F7D" w:rsidRDefault="00D0455B" w:rsidP="00E2386C">
      <w:pPr>
        <w:pStyle w:val="bn-text"/>
        <w:spacing w:before="0" w:after="0"/>
        <w:ind w:firstLine="0"/>
        <w:rPr>
          <w:rFonts w:ascii="Arial" w:hAnsi="Arial" w:cs="Arial"/>
          <w:b/>
          <w:color w:val="000000" w:themeColor="text1"/>
          <w:sz w:val="22"/>
          <w:szCs w:val="22"/>
          <w:highlight w:val="yellow"/>
        </w:rPr>
      </w:pPr>
    </w:p>
    <w:p w14:paraId="51B8134B" w14:textId="77777777" w:rsidR="00207A92" w:rsidRPr="00207A92" w:rsidRDefault="00207A92" w:rsidP="00207A92">
      <w:pPr>
        <w:spacing w:before="120" w:after="120"/>
        <w:rPr>
          <w:rFonts w:eastAsia="Times New Roman" w:cs="Arial"/>
          <w:b/>
          <w:lang w:eastAsia="cs-CZ"/>
        </w:rPr>
      </w:pPr>
      <w:r w:rsidRPr="00207A92">
        <w:rPr>
          <w:rFonts w:eastAsia="Times New Roman" w:cs="Arial"/>
          <w:b/>
          <w:lang w:eastAsia="cs-CZ"/>
        </w:rPr>
        <w:t>Sledování údajů o odběrech podzemní a povrchové vody a o vypouštěných vodách je upraveno vyhláškou č. 431/2001 Sb., o obsahu vodní bilance, způsobu jejího sestavení a údajích pro vodní bilanci. V roce 2025 došlo v meziročním srovnání k dalšímu snížení odběrů povrchových vod a vypouštěných odpadních a důlních vod. Odběry podzemních vod zůstaly prakticky na úrovni předchozího roku.</w:t>
      </w:r>
    </w:p>
    <w:p w14:paraId="172E70C2" w14:textId="2666931A" w:rsidR="00E2386C" w:rsidRDefault="00A02CE7" w:rsidP="007C4955">
      <w:pPr>
        <w:pStyle w:val="bn-text"/>
        <w:spacing w:before="0" w:after="0"/>
        <w:ind w:firstLine="0"/>
        <w:contextualSpacing/>
        <w:rPr>
          <w:rFonts w:ascii="Arial" w:eastAsia="Calibri" w:hAnsi="Arial" w:cs="Arial"/>
          <w:sz w:val="22"/>
          <w:szCs w:val="22"/>
          <w:lang w:eastAsia="en-US"/>
        </w:rPr>
      </w:pPr>
      <w:r w:rsidRPr="00A02CE7">
        <w:rPr>
          <w:rFonts w:ascii="Arial" w:eastAsia="Calibri" w:hAnsi="Arial" w:cs="Arial"/>
          <w:sz w:val="22"/>
          <w:szCs w:val="22"/>
          <w:lang w:eastAsia="en-US"/>
        </w:rPr>
        <w:t xml:space="preserve">Na základě § 10 vyhlášky č. 431/2001 Sb. došlo po roce 2001 ke změně rozsahu ohlašovaných údajů – evidují se odběry vod a vypouštění odpadních a důlních vod přesahující objem 6 000 m³ za rok, resp. 500 m³ za měsíc. Podkladem pro zjišťování údajů jsou hlášení jednotlivých správců povodí, která jsou každoročně předávána Českému statistickému úřadu (dále jen „ČSÚ“) nejpozději do 31. března následujícího roku. Údaje za rok 2025 byly členěny podle kategorizace CZ-NACE dle metodiky </w:t>
      </w:r>
      <w:proofErr w:type="spellStart"/>
      <w:r w:rsidRPr="00A02CE7">
        <w:rPr>
          <w:rFonts w:ascii="Arial" w:eastAsia="Calibri" w:hAnsi="Arial" w:cs="Arial"/>
          <w:sz w:val="22"/>
          <w:szCs w:val="22"/>
          <w:lang w:eastAsia="en-US"/>
        </w:rPr>
        <w:t>Eurostatu</w:t>
      </w:r>
      <w:proofErr w:type="spellEnd"/>
      <w:r w:rsidRPr="00A02CE7">
        <w:rPr>
          <w:rFonts w:ascii="Arial" w:eastAsia="Calibri" w:hAnsi="Arial" w:cs="Arial"/>
          <w:sz w:val="22"/>
          <w:szCs w:val="22"/>
          <w:lang w:eastAsia="en-US"/>
        </w:rPr>
        <w:t>. Při porovnávání údajů za roky 2024 a 2025 se vycházelo především ze závěrečných oficiálních dat ČSÚ (csu.gov.cz). V tabulce 4.1 jsou uvedeny podrobnější informace o zařazování jednotlivých odběrů povrchových i podzemních vod a o vypouštění odpadních a důlních vod do vod povrchových podle klasifikace CZ-NACE. Uvedené členění je platné pro níže uvedené tabulky 4.1.1, 4.2.1 a 4.3.1.</w:t>
      </w:r>
    </w:p>
    <w:p w14:paraId="3713E340" w14:textId="77777777" w:rsidR="00A02CE7" w:rsidRPr="00104F7D" w:rsidRDefault="00A02CE7" w:rsidP="007C4955">
      <w:pPr>
        <w:pStyle w:val="bn-text"/>
        <w:spacing w:before="0" w:after="0"/>
        <w:ind w:firstLine="0"/>
        <w:contextualSpacing/>
        <w:rPr>
          <w:rFonts w:ascii="Arial" w:hAnsi="Arial"/>
          <w:b/>
          <w:i/>
          <w:color w:val="000000" w:themeColor="text1"/>
          <w:sz w:val="22"/>
          <w:szCs w:val="22"/>
          <w:highlight w:val="yellow"/>
        </w:rPr>
      </w:pPr>
    </w:p>
    <w:p w14:paraId="2C6907CD" w14:textId="56C3234F" w:rsidR="00D449D5" w:rsidRPr="00516174" w:rsidRDefault="00D449D5" w:rsidP="007C4955">
      <w:pPr>
        <w:pStyle w:val="bn-text"/>
        <w:spacing w:before="0" w:after="0"/>
        <w:ind w:firstLine="0"/>
        <w:contextualSpacing/>
        <w:rPr>
          <w:rFonts w:ascii="Arial" w:hAnsi="Arial" w:cs="Arial"/>
          <w:b/>
          <w:i/>
          <w:color w:val="000000" w:themeColor="text1"/>
          <w:sz w:val="22"/>
          <w:szCs w:val="22"/>
        </w:rPr>
      </w:pPr>
      <w:r w:rsidRPr="00516174">
        <w:rPr>
          <w:rFonts w:ascii="Arial" w:hAnsi="Arial"/>
          <w:b/>
          <w:i/>
          <w:color w:val="000000" w:themeColor="text1"/>
          <w:sz w:val="22"/>
          <w:szCs w:val="22"/>
        </w:rPr>
        <w:t>Tab</w:t>
      </w:r>
      <w:r w:rsidR="0046023D" w:rsidRPr="00516174">
        <w:rPr>
          <w:rFonts w:ascii="Arial" w:hAnsi="Arial"/>
          <w:b/>
          <w:i/>
          <w:color w:val="000000" w:themeColor="text1"/>
          <w:sz w:val="22"/>
          <w:szCs w:val="22"/>
        </w:rPr>
        <w:t>ulka</w:t>
      </w:r>
      <w:r w:rsidRPr="00516174">
        <w:rPr>
          <w:rFonts w:ascii="Arial" w:hAnsi="Arial"/>
          <w:b/>
          <w:i/>
          <w:color w:val="000000" w:themeColor="text1"/>
          <w:sz w:val="22"/>
          <w:szCs w:val="22"/>
        </w:rPr>
        <w:t xml:space="preserve"> 4.1</w:t>
      </w:r>
    </w:p>
    <w:p w14:paraId="545D1BAA" w14:textId="77777777" w:rsidR="00D449D5" w:rsidRPr="00516174" w:rsidRDefault="00D449D5" w:rsidP="007C4955">
      <w:pPr>
        <w:pStyle w:val="bn-text"/>
        <w:spacing w:before="0" w:after="0"/>
        <w:ind w:firstLine="0"/>
        <w:contextualSpacing/>
        <w:rPr>
          <w:rFonts w:ascii="Arial" w:hAnsi="Arial" w:cs="Arial"/>
          <w:b/>
          <w:i/>
          <w:color w:val="000000" w:themeColor="text1"/>
          <w:sz w:val="22"/>
          <w:szCs w:val="22"/>
        </w:rPr>
      </w:pPr>
      <w:r w:rsidRPr="00516174">
        <w:rPr>
          <w:rFonts w:ascii="Arial" w:hAnsi="Arial" w:cs="Arial"/>
          <w:b/>
          <w:i/>
          <w:color w:val="000000" w:themeColor="text1"/>
          <w:sz w:val="22"/>
          <w:szCs w:val="22"/>
        </w:rPr>
        <w:t xml:space="preserve">Členění uživatelů do jednotlivých skupin dle klasifikace </w:t>
      </w:r>
      <w:r w:rsidR="005068A1" w:rsidRPr="00516174">
        <w:rPr>
          <w:rFonts w:ascii="Arial" w:hAnsi="Arial" w:cs="Arial"/>
          <w:b/>
          <w:i/>
          <w:color w:val="000000" w:themeColor="text1"/>
          <w:sz w:val="22"/>
          <w:szCs w:val="22"/>
        </w:rPr>
        <w:t>CZ-</w:t>
      </w:r>
      <w:r w:rsidRPr="00516174">
        <w:rPr>
          <w:rFonts w:ascii="Arial" w:hAnsi="Arial" w:cs="Arial"/>
          <w:b/>
          <w:i/>
          <w:color w:val="000000" w:themeColor="text1"/>
          <w:sz w:val="22"/>
          <w:szCs w:val="22"/>
        </w:rPr>
        <w:t>NACE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4"/>
        <w:gridCol w:w="2835"/>
      </w:tblGrid>
      <w:tr w:rsidR="00844C18" w:rsidRPr="00516174" w14:paraId="5B4669B3" w14:textId="77777777" w:rsidTr="000E4F3A">
        <w:trPr>
          <w:trHeight w:val="283"/>
        </w:trPr>
        <w:tc>
          <w:tcPr>
            <w:tcW w:w="6804" w:type="dxa"/>
            <w:shd w:val="clear" w:color="auto" w:fill="D9D9D9"/>
            <w:vAlign w:val="center"/>
          </w:tcPr>
          <w:p w14:paraId="12FB1A95" w14:textId="77777777" w:rsidR="00D449D5" w:rsidRPr="00516174" w:rsidRDefault="00D449D5" w:rsidP="007C4955">
            <w:pPr>
              <w:contextualSpacing/>
              <w:rPr>
                <w:color w:val="000000" w:themeColor="text1"/>
                <w:sz w:val="20"/>
              </w:rPr>
            </w:pPr>
            <w:r w:rsidRPr="00516174">
              <w:rPr>
                <w:color w:val="000000" w:themeColor="text1"/>
                <w:sz w:val="20"/>
              </w:rPr>
              <w:t>Vodovody pro veřejnou potřebu</w:t>
            </w:r>
          </w:p>
        </w:tc>
        <w:tc>
          <w:tcPr>
            <w:tcW w:w="2835" w:type="dxa"/>
            <w:vAlign w:val="center"/>
          </w:tcPr>
          <w:p w14:paraId="46378717" w14:textId="77777777" w:rsidR="00D449D5" w:rsidRPr="00516174" w:rsidRDefault="005068A1" w:rsidP="007C4955">
            <w:pPr>
              <w:contextualSpacing/>
              <w:rPr>
                <w:color w:val="000000" w:themeColor="text1"/>
                <w:sz w:val="20"/>
              </w:rPr>
            </w:pPr>
            <w:r w:rsidRPr="00516174">
              <w:rPr>
                <w:color w:val="000000" w:themeColor="text1"/>
                <w:sz w:val="20"/>
              </w:rPr>
              <w:t>CZ-</w:t>
            </w:r>
            <w:r w:rsidR="00D449D5" w:rsidRPr="00516174">
              <w:rPr>
                <w:color w:val="000000" w:themeColor="text1"/>
                <w:sz w:val="20"/>
              </w:rPr>
              <w:t>NACE 36</w:t>
            </w:r>
          </w:p>
        </w:tc>
      </w:tr>
      <w:tr w:rsidR="00844C18" w:rsidRPr="00516174" w14:paraId="778361A8" w14:textId="77777777" w:rsidTr="000E4F3A">
        <w:trPr>
          <w:trHeight w:val="283"/>
        </w:trPr>
        <w:tc>
          <w:tcPr>
            <w:tcW w:w="6804" w:type="dxa"/>
            <w:shd w:val="clear" w:color="auto" w:fill="D9D9D9"/>
            <w:vAlign w:val="center"/>
          </w:tcPr>
          <w:p w14:paraId="3751EAE5" w14:textId="77777777" w:rsidR="00D449D5" w:rsidRPr="00516174" w:rsidRDefault="00D449D5" w:rsidP="007C4955">
            <w:pPr>
              <w:contextualSpacing/>
              <w:rPr>
                <w:color w:val="000000" w:themeColor="text1"/>
                <w:sz w:val="20"/>
              </w:rPr>
            </w:pPr>
            <w:r w:rsidRPr="00516174">
              <w:rPr>
                <w:color w:val="000000" w:themeColor="text1"/>
                <w:sz w:val="20"/>
              </w:rPr>
              <w:t>Kanalizace pro veřejnou potřebu (bez převodů)</w:t>
            </w:r>
          </w:p>
        </w:tc>
        <w:tc>
          <w:tcPr>
            <w:tcW w:w="2835" w:type="dxa"/>
            <w:vAlign w:val="center"/>
          </w:tcPr>
          <w:p w14:paraId="5CAD1820" w14:textId="77777777" w:rsidR="00D449D5" w:rsidRPr="00516174" w:rsidRDefault="005068A1" w:rsidP="007C4955">
            <w:pPr>
              <w:contextualSpacing/>
              <w:rPr>
                <w:color w:val="000000" w:themeColor="text1"/>
                <w:sz w:val="20"/>
              </w:rPr>
            </w:pPr>
            <w:r w:rsidRPr="00516174">
              <w:rPr>
                <w:color w:val="000000" w:themeColor="text1"/>
                <w:sz w:val="20"/>
              </w:rPr>
              <w:t>CZ-</w:t>
            </w:r>
            <w:r w:rsidR="00D449D5" w:rsidRPr="00516174">
              <w:rPr>
                <w:color w:val="000000" w:themeColor="text1"/>
                <w:sz w:val="20"/>
              </w:rPr>
              <w:t>NACE 37</w:t>
            </w:r>
          </w:p>
        </w:tc>
      </w:tr>
      <w:tr w:rsidR="00844C18" w:rsidRPr="00516174" w14:paraId="228F5206" w14:textId="77777777" w:rsidTr="000E4F3A">
        <w:trPr>
          <w:trHeight w:val="283"/>
        </w:trPr>
        <w:tc>
          <w:tcPr>
            <w:tcW w:w="6804" w:type="dxa"/>
            <w:shd w:val="clear" w:color="auto" w:fill="D9D9D9"/>
            <w:vAlign w:val="center"/>
          </w:tcPr>
          <w:p w14:paraId="064668AA" w14:textId="77777777" w:rsidR="00D449D5" w:rsidRPr="00516174" w:rsidRDefault="00D449D5" w:rsidP="007C4955">
            <w:pPr>
              <w:contextualSpacing/>
              <w:rPr>
                <w:color w:val="000000" w:themeColor="text1"/>
                <w:sz w:val="20"/>
              </w:rPr>
            </w:pPr>
            <w:r w:rsidRPr="00516174">
              <w:rPr>
                <w:color w:val="000000" w:themeColor="text1"/>
                <w:sz w:val="20"/>
              </w:rPr>
              <w:t>Zemědělství (včetně závlah), lesnictví a rybářství</w:t>
            </w:r>
          </w:p>
        </w:tc>
        <w:tc>
          <w:tcPr>
            <w:tcW w:w="2835" w:type="dxa"/>
            <w:vAlign w:val="center"/>
          </w:tcPr>
          <w:p w14:paraId="5629F455" w14:textId="3BE2C470" w:rsidR="00D449D5" w:rsidRPr="00516174" w:rsidRDefault="005068A1" w:rsidP="007C4955">
            <w:pPr>
              <w:contextualSpacing/>
              <w:rPr>
                <w:color w:val="000000" w:themeColor="text1"/>
                <w:sz w:val="20"/>
              </w:rPr>
            </w:pPr>
            <w:r w:rsidRPr="00516174">
              <w:rPr>
                <w:color w:val="000000" w:themeColor="text1"/>
                <w:sz w:val="20"/>
              </w:rPr>
              <w:t>CZ-</w:t>
            </w:r>
            <w:r w:rsidR="00D449D5" w:rsidRPr="00516174">
              <w:rPr>
                <w:color w:val="000000" w:themeColor="text1"/>
                <w:sz w:val="20"/>
              </w:rPr>
              <w:t xml:space="preserve">NACE </w:t>
            </w:r>
            <w:r w:rsidR="006E792D" w:rsidRPr="00516174">
              <w:rPr>
                <w:color w:val="000000" w:themeColor="text1"/>
                <w:sz w:val="20"/>
              </w:rPr>
              <w:t>01–03</w:t>
            </w:r>
          </w:p>
        </w:tc>
      </w:tr>
      <w:tr w:rsidR="00844C18" w:rsidRPr="00516174" w14:paraId="70369040" w14:textId="77777777" w:rsidTr="000E4F3A">
        <w:trPr>
          <w:trHeight w:val="283"/>
        </w:trPr>
        <w:tc>
          <w:tcPr>
            <w:tcW w:w="6804" w:type="dxa"/>
            <w:shd w:val="clear" w:color="auto" w:fill="D9D9D9"/>
            <w:vAlign w:val="center"/>
          </w:tcPr>
          <w:p w14:paraId="6F4A6E4B" w14:textId="77777777" w:rsidR="00D449D5" w:rsidRPr="00516174" w:rsidRDefault="00D449D5" w:rsidP="007C4955">
            <w:pPr>
              <w:contextualSpacing/>
              <w:rPr>
                <w:color w:val="000000" w:themeColor="text1"/>
                <w:sz w:val="20"/>
              </w:rPr>
            </w:pPr>
            <w:r w:rsidRPr="00516174">
              <w:rPr>
                <w:color w:val="000000" w:themeColor="text1"/>
                <w:sz w:val="20"/>
              </w:rPr>
              <w:t>Energetika (výroba a rozvod elektřiny, plynu a tepla)</w:t>
            </w:r>
          </w:p>
        </w:tc>
        <w:tc>
          <w:tcPr>
            <w:tcW w:w="2835" w:type="dxa"/>
            <w:vAlign w:val="center"/>
          </w:tcPr>
          <w:p w14:paraId="15762357" w14:textId="77777777" w:rsidR="00D449D5" w:rsidRPr="00516174" w:rsidRDefault="005068A1" w:rsidP="007C4955">
            <w:pPr>
              <w:contextualSpacing/>
              <w:rPr>
                <w:color w:val="000000" w:themeColor="text1"/>
                <w:sz w:val="20"/>
              </w:rPr>
            </w:pPr>
            <w:r w:rsidRPr="00516174">
              <w:rPr>
                <w:color w:val="000000" w:themeColor="text1"/>
                <w:sz w:val="20"/>
              </w:rPr>
              <w:t>CZ-</w:t>
            </w:r>
            <w:r w:rsidR="00D449D5" w:rsidRPr="00516174">
              <w:rPr>
                <w:color w:val="000000" w:themeColor="text1"/>
                <w:sz w:val="20"/>
              </w:rPr>
              <w:t>NACE 35</w:t>
            </w:r>
          </w:p>
        </w:tc>
      </w:tr>
      <w:tr w:rsidR="00844C18" w:rsidRPr="00516174" w14:paraId="13587412" w14:textId="77777777" w:rsidTr="000E4F3A">
        <w:trPr>
          <w:trHeight w:val="283"/>
        </w:trPr>
        <w:tc>
          <w:tcPr>
            <w:tcW w:w="6804" w:type="dxa"/>
            <w:shd w:val="clear" w:color="auto" w:fill="D9D9D9"/>
            <w:vAlign w:val="center"/>
          </w:tcPr>
          <w:p w14:paraId="7848EAAC" w14:textId="77777777" w:rsidR="00D449D5" w:rsidRPr="00516174" w:rsidRDefault="00D449D5" w:rsidP="007C4955">
            <w:pPr>
              <w:contextualSpacing/>
              <w:rPr>
                <w:color w:val="000000" w:themeColor="text1"/>
                <w:sz w:val="20"/>
              </w:rPr>
            </w:pPr>
            <w:r w:rsidRPr="00516174">
              <w:rPr>
                <w:color w:val="000000" w:themeColor="text1"/>
                <w:sz w:val="20"/>
              </w:rPr>
              <w:t>Průmysl (včetně dobývání nerostných surovin – bez energetiky)</w:t>
            </w:r>
          </w:p>
        </w:tc>
        <w:tc>
          <w:tcPr>
            <w:tcW w:w="2835" w:type="dxa"/>
            <w:vAlign w:val="center"/>
          </w:tcPr>
          <w:p w14:paraId="205FB967" w14:textId="038ECECD" w:rsidR="00D449D5" w:rsidRPr="00516174" w:rsidRDefault="005068A1" w:rsidP="007C4955">
            <w:pPr>
              <w:contextualSpacing/>
              <w:rPr>
                <w:color w:val="000000" w:themeColor="text1"/>
                <w:sz w:val="20"/>
              </w:rPr>
            </w:pPr>
            <w:r w:rsidRPr="00516174">
              <w:rPr>
                <w:color w:val="000000" w:themeColor="text1"/>
                <w:sz w:val="20"/>
              </w:rPr>
              <w:t>CZ-</w:t>
            </w:r>
            <w:r w:rsidR="00D449D5" w:rsidRPr="00516174">
              <w:rPr>
                <w:color w:val="000000" w:themeColor="text1"/>
                <w:sz w:val="20"/>
              </w:rPr>
              <w:t xml:space="preserve">NACE </w:t>
            </w:r>
            <w:r w:rsidR="006E792D" w:rsidRPr="00516174">
              <w:rPr>
                <w:color w:val="000000" w:themeColor="text1"/>
                <w:sz w:val="20"/>
              </w:rPr>
              <w:t>05–33</w:t>
            </w:r>
          </w:p>
        </w:tc>
      </w:tr>
      <w:tr w:rsidR="00844C18" w:rsidRPr="00516174" w14:paraId="4166A750" w14:textId="77777777" w:rsidTr="000E4F3A">
        <w:trPr>
          <w:trHeight w:val="283"/>
        </w:trPr>
        <w:tc>
          <w:tcPr>
            <w:tcW w:w="6804" w:type="dxa"/>
            <w:shd w:val="clear" w:color="auto" w:fill="D9D9D9"/>
            <w:vAlign w:val="center"/>
          </w:tcPr>
          <w:p w14:paraId="43698D3D" w14:textId="77777777" w:rsidR="00D449D5" w:rsidRPr="00516174" w:rsidRDefault="00D449D5" w:rsidP="007C4955">
            <w:pPr>
              <w:contextualSpacing/>
              <w:rPr>
                <w:color w:val="000000" w:themeColor="text1"/>
                <w:sz w:val="20"/>
              </w:rPr>
            </w:pPr>
            <w:r w:rsidRPr="00516174">
              <w:rPr>
                <w:color w:val="000000" w:themeColor="text1"/>
                <w:sz w:val="20"/>
              </w:rPr>
              <w:t>Ostatní (včetně stavebnictví)</w:t>
            </w:r>
          </w:p>
        </w:tc>
        <w:tc>
          <w:tcPr>
            <w:tcW w:w="2835" w:type="dxa"/>
            <w:vAlign w:val="center"/>
          </w:tcPr>
          <w:p w14:paraId="435C2790" w14:textId="56D27BAA" w:rsidR="00D449D5" w:rsidRPr="00516174" w:rsidRDefault="005068A1" w:rsidP="007C4955">
            <w:pPr>
              <w:contextualSpacing/>
              <w:rPr>
                <w:color w:val="000000" w:themeColor="text1"/>
                <w:sz w:val="20"/>
              </w:rPr>
            </w:pPr>
            <w:r w:rsidRPr="00516174">
              <w:rPr>
                <w:color w:val="000000" w:themeColor="text1"/>
                <w:sz w:val="20"/>
              </w:rPr>
              <w:t>CZ-</w:t>
            </w:r>
            <w:r w:rsidR="00D449D5" w:rsidRPr="00516174">
              <w:rPr>
                <w:color w:val="000000" w:themeColor="text1"/>
                <w:sz w:val="20"/>
              </w:rPr>
              <w:t xml:space="preserve">NACE </w:t>
            </w:r>
            <w:r w:rsidR="006E792D" w:rsidRPr="00516174">
              <w:rPr>
                <w:color w:val="000000" w:themeColor="text1"/>
                <w:sz w:val="20"/>
              </w:rPr>
              <w:t>38–96</w:t>
            </w:r>
          </w:p>
        </w:tc>
      </w:tr>
      <w:tr w:rsidR="00844C18" w:rsidRPr="00516174" w14:paraId="4350E7AF" w14:textId="77777777" w:rsidTr="000E4F3A">
        <w:trPr>
          <w:trHeight w:val="283"/>
        </w:trPr>
        <w:tc>
          <w:tcPr>
            <w:tcW w:w="6804" w:type="dxa"/>
            <w:shd w:val="clear" w:color="auto" w:fill="D9D9D9"/>
            <w:vAlign w:val="center"/>
          </w:tcPr>
          <w:p w14:paraId="1A2D8666" w14:textId="77777777" w:rsidR="00D449D5" w:rsidRPr="00516174" w:rsidRDefault="00D449D5" w:rsidP="007C4955">
            <w:pPr>
              <w:contextualSpacing/>
              <w:rPr>
                <w:color w:val="000000" w:themeColor="text1"/>
                <w:sz w:val="20"/>
              </w:rPr>
            </w:pPr>
            <w:r w:rsidRPr="00516174">
              <w:rPr>
                <w:color w:val="000000" w:themeColor="text1"/>
                <w:sz w:val="20"/>
              </w:rPr>
              <w:t>Celkem (bez rybníků a převodů)</w:t>
            </w:r>
          </w:p>
        </w:tc>
        <w:tc>
          <w:tcPr>
            <w:tcW w:w="2835" w:type="dxa"/>
            <w:vAlign w:val="center"/>
          </w:tcPr>
          <w:p w14:paraId="5F89C4D4" w14:textId="7EDAC916" w:rsidR="00D449D5" w:rsidRPr="00516174" w:rsidRDefault="005068A1" w:rsidP="007C4955">
            <w:pPr>
              <w:contextualSpacing/>
              <w:rPr>
                <w:color w:val="000000" w:themeColor="text1"/>
                <w:sz w:val="20"/>
              </w:rPr>
            </w:pPr>
            <w:r w:rsidRPr="00516174">
              <w:rPr>
                <w:color w:val="000000" w:themeColor="text1"/>
                <w:sz w:val="20"/>
              </w:rPr>
              <w:t>CZ-</w:t>
            </w:r>
            <w:r w:rsidR="00D449D5" w:rsidRPr="00516174">
              <w:rPr>
                <w:color w:val="000000" w:themeColor="text1"/>
                <w:sz w:val="20"/>
              </w:rPr>
              <w:t xml:space="preserve">NACE </w:t>
            </w:r>
            <w:r w:rsidR="006E792D" w:rsidRPr="00516174">
              <w:rPr>
                <w:color w:val="000000" w:themeColor="text1"/>
                <w:sz w:val="20"/>
              </w:rPr>
              <w:t>01–96</w:t>
            </w:r>
          </w:p>
        </w:tc>
      </w:tr>
    </w:tbl>
    <w:p w14:paraId="11D50948" w14:textId="77777777" w:rsidR="00D449D5" w:rsidRPr="00516174" w:rsidRDefault="00D449D5" w:rsidP="007C4955">
      <w:pPr>
        <w:contextualSpacing/>
        <w:rPr>
          <w:i/>
          <w:color w:val="000000" w:themeColor="text1"/>
          <w:sz w:val="20"/>
          <w:szCs w:val="20"/>
        </w:rPr>
      </w:pPr>
      <w:r w:rsidRPr="00516174">
        <w:rPr>
          <w:i/>
          <w:color w:val="000000" w:themeColor="text1"/>
          <w:sz w:val="20"/>
          <w:szCs w:val="20"/>
        </w:rPr>
        <w:t>Pramen: ČSÚ</w:t>
      </w:r>
    </w:p>
    <w:p w14:paraId="34D1C76E" w14:textId="77777777" w:rsidR="00D449D5" w:rsidRPr="00104F7D" w:rsidRDefault="00D449D5" w:rsidP="007C4955">
      <w:pPr>
        <w:contextualSpacing/>
        <w:rPr>
          <w:color w:val="FF0000"/>
          <w:highlight w:val="yellow"/>
        </w:rPr>
      </w:pPr>
    </w:p>
    <w:p w14:paraId="6EDC8A3E" w14:textId="77777777" w:rsidR="004F69B3" w:rsidRPr="00CC0F8F" w:rsidRDefault="004F69B3">
      <w:pPr>
        <w:pStyle w:val="Nadpis2"/>
        <w:numPr>
          <w:ilvl w:val="1"/>
          <w:numId w:val="13"/>
        </w:numPr>
        <w:spacing w:before="0"/>
        <w:contextualSpacing/>
        <w:rPr>
          <w:color w:val="000000" w:themeColor="text1"/>
        </w:rPr>
      </w:pPr>
      <w:bookmarkStart w:id="29" w:name="_Toc10183411"/>
      <w:bookmarkStart w:id="30" w:name="_Toc236991615"/>
      <w:r w:rsidRPr="00CC0F8F">
        <w:rPr>
          <w:color w:val="000000" w:themeColor="text1"/>
        </w:rPr>
        <w:t>Odběry povrchových vod</w:t>
      </w:r>
      <w:bookmarkEnd w:id="29"/>
      <w:bookmarkEnd w:id="30"/>
    </w:p>
    <w:p w14:paraId="1DB07113" w14:textId="77777777" w:rsidR="004F3115" w:rsidRPr="00CC0F8F" w:rsidRDefault="004F3115" w:rsidP="00997D18">
      <w:pPr>
        <w:rPr>
          <w:color w:val="FF0000"/>
        </w:rPr>
      </w:pPr>
    </w:p>
    <w:p w14:paraId="2380DD79" w14:textId="77777777" w:rsidR="00CC0F8F" w:rsidRPr="00CC0F8F" w:rsidRDefault="00CC0F8F" w:rsidP="00CC0F8F">
      <w:pPr>
        <w:contextualSpacing/>
      </w:pPr>
      <w:r w:rsidRPr="00CC0F8F">
        <w:t>Z dlouhodobějšího sledování lze konstatovat, že od roku 2016 dochází s výjimkou roku 2022 k převážně klesajícímu trendu množství odebraných povrchových vod. V roce 2025 pokles pokračoval – odebrané množství povrchové vody se snížilo z 888,9 mil. m³ v roce 2024 na 801,5 mil. m³.</w:t>
      </w:r>
    </w:p>
    <w:p w14:paraId="07093C50" w14:textId="77777777" w:rsidR="00CC0F8F" w:rsidRPr="00CC0F8F" w:rsidRDefault="00CC0F8F" w:rsidP="00CC0F8F">
      <w:pPr>
        <w:contextualSpacing/>
      </w:pPr>
    </w:p>
    <w:p w14:paraId="21BD2D7F" w14:textId="1908F0C4" w:rsidR="00CC0F8F" w:rsidRPr="00CC0F8F" w:rsidRDefault="00CC0F8F" w:rsidP="00CC0F8F">
      <w:pPr>
        <w:contextualSpacing/>
      </w:pPr>
      <w:r w:rsidRPr="00CC0F8F">
        <w:t>Pokles odběrů povrchových vod oproti roku 2024 se týkal především kategorie energetika, kde došlo k meziročnímu snížení o 20,2 % (o 76,8 mil. m³). Nižší odběry byly vykázány také v kategorii zemědělství o 19,1 % (o 5,7 mil. m³), v kategorii průmysl o 4,9 % (o 7,5 mil. m³) a v kategorii ostatní včetně stavebnictví o 8,4 % (o 1,2 mil. m³). Naopak u vodovodů pro veřejnou potřebu došlo k mírnému nárůstu o 1,2 % (o 3,8 mil. m³).</w:t>
      </w:r>
    </w:p>
    <w:p w14:paraId="3AC534C9" w14:textId="77777777" w:rsidR="00CC0F8F" w:rsidRPr="00CC0F8F" w:rsidRDefault="00CC0F8F" w:rsidP="00CC0F8F">
      <w:pPr>
        <w:contextualSpacing/>
      </w:pPr>
    </w:p>
    <w:p w14:paraId="71872000" w14:textId="085B89E1" w:rsidR="00CC0F8F" w:rsidRPr="00CC0F8F" w:rsidRDefault="00CC0F8F" w:rsidP="00CC0F8F">
      <w:pPr>
        <w:contextualSpacing/>
      </w:pPr>
      <w:r w:rsidRPr="00CC0F8F">
        <w:t>U evidovaných odběrů povrchových vod byl v roce 2025 zaznamenán pokles ve většině územních působností státních podniků Povodí – nejvýrazněji u Povodí Moravy (o 37,2 %) a Povodí Labe (o 7,0 %). Mírný pokles byl dále zaznamenán u Povodí Ohře (o 0,6 %) a Povodí Odry (o 0,4 %). V územní působnosti Povodí Vltavy zůstaly odběry povrchových vod prakticky na úrovni předchozího roku (nárůst o 0,1 %).</w:t>
      </w:r>
    </w:p>
    <w:p w14:paraId="62103E63" w14:textId="77777777" w:rsidR="00CC0F8F" w:rsidRPr="00CC0F8F" w:rsidRDefault="00CC0F8F" w:rsidP="00CC0F8F">
      <w:pPr>
        <w:contextualSpacing/>
      </w:pPr>
    </w:p>
    <w:p w14:paraId="67E3890C" w14:textId="1FCD7368" w:rsidR="00CC0F8F" w:rsidRPr="00CC0F8F" w:rsidRDefault="0073113C" w:rsidP="00CC0F8F">
      <w:pPr>
        <w:contextualSpacing/>
      </w:pPr>
      <w:r w:rsidRPr="0073113C">
        <w:t>Pokles odběrů povrchové vody v kategorii energetika v územní působnosti Povodí Moravy souvisel zejména s metodickou úpravou vykazování vod u Elektrárny Hodonín</w:t>
      </w:r>
      <w:r w:rsidR="0077010E">
        <w:t xml:space="preserve"> </w:t>
      </w:r>
      <w:r w:rsidR="0077010E" w:rsidRPr="00A46D1A">
        <w:t>ve vodohospodářské bilanci</w:t>
      </w:r>
      <w:r w:rsidRPr="00A46D1A">
        <w:t xml:space="preserve">. Vody převáděné </w:t>
      </w:r>
      <w:r w:rsidR="0077010E" w:rsidRPr="00A46D1A">
        <w:t xml:space="preserve">od roku 2023 </w:t>
      </w:r>
      <w:r w:rsidRPr="0073113C">
        <w:t xml:space="preserve">přes areál elektrárny do Teplého járku byly při zpracování vodohospodářské bilance za rok 2025 vykázány podle faktického způsobu využití jako převod vody, nikoli jako odběr pro energetiku. </w:t>
      </w:r>
      <w:r w:rsidR="00CC0F8F" w:rsidRPr="00CC0F8F">
        <w:t xml:space="preserve">V územní působnosti Povodí Labe pokračoval pokles odběrů u významných energetických zdrojů, meziročně zejména u Elektrárny Opatovice (o 10,6 mil. m³) a Elektrárny Mělník (o 5,4 mil. m³). U Elektrárny Opatovice souvisí pokles s postupným přechodem na </w:t>
      </w:r>
      <w:r w:rsidR="00CC0F8F" w:rsidRPr="00CC0F8F">
        <w:lastRenderedPageBreak/>
        <w:t>cirkulaci odebíraných povrchových vod a technologickými opatřeními, u Elektrárny Mělník s pokračující transformací energetického provozu.</w:t>
      </w:r>
    </w:p>
    <w:p w14:paraId="1F0D84AD" w14:textId="77777777" w:rsidR="00CC0F8F" w:rsidRPr="00CC0F8F" w:rsidRDefault="00CC0F8F" w:rsidP="00CC0F8F">
      <w:pPr>
        <w:contextualSpacing/>
      </w:pPr>
      <w:r w:rsidRPr="00CC0F8F">
        <w:t>Po roce 1990 nastal v důsledku nápravy hodnotových vztahů za poskytované vodohospodářské služby a změnou struktury průmyslové a zemědělské výroby významný pokles míry exploatace vodních zdrojů ve všech oblastech užívání vody. Tento trend je zřejmý z grafu 4.1.1.</w:t>
      </w:r>
    </w:p>
    <w:p w14:paraId="506A1E1C" w14:textId="77777777" w:rsidR="00CC0F8F" w:rsidRPr="00CC0F8F" w:rsidRDefault="00CC0F8F" w:rsidP="00CC0F8F">
      <w:pPr>
        <w:contextualSpacing/>
      </w:pPr>
    </w:p>
    <w:p w14:paraId="64A7A93A" w14:textId="2436410C" w:rsidR="00CC0F8F" w:rsidRPr="00CC0F8F" w:rsidRDefault="00CC0F8F" w:rsidP="00CC0F8F">
      <w:pPr>
        <w:contextualSpacing/>
      </w:pPr>
      <w:r w:rsidRPr="00CC0F8F">
        <w:t>U odběrů povrchové vody pro vodovody pro veřejnou potřebu došlo v roce 2025 oproti roku 1990 ke snížení ze 744,9 mil. m³ na 313,9 mil. m³, což představuje 42,1 % množství z roku 1990. K poklesu došlo i v kategorii zemědělství, kde se odběr snížil z 97,2 mil. m³ na 24,3 mil. m³ (tj. na 25,0 %). Výrazný pokles nastal také v oblasti průmyslu – z 830,1 mil. m³ na 147,6 mil. m³ (tj. 17,8 % hodnot z roku 1990). V kategorii energetika se odběr snížil z 1 060,9 mil. m³ na 302,8 mil. m³, tj. na 28,5 %.</w:t>
      </w:r>
    </w:p>
    <w:p w14:paraId="0F1401BF" w14:textId="77777777" w:rsidR="00CC0F8F" w:rsidRPr="00CC0F8F" w:rsidRDefault="00CC0F8F" w:rsidP="00CC0F8F">
      <w:pPr>
        <w:contextualSpacing/>
      </w:pPr>
      <w:r w:rsidRPr="00CC0F8F">
        <w:t>Každoroční hodnocení ovlivnění vodních zdrojů je pravidelně prováděno v rámci vodní bilance sestavované podle vyhlášky č. 431/2001 Sb. Jejím principem je souhrnné zhodnocení požadavků na zachování minimálního bilančního průtoku v porovnání s průtoky v kontrolních profilech, které reflektují veškeré aktivity hospodaření s vodou.</w:t>
      </w:r>
    </w:p>
    <w:p w14:paraId="54C6370A" w14:textId="77777777" w:rsidR="00CC0F8F" w:rsidRPr="00CC0F8F" w:rsidRDefault="00CC0F8F" w:rsidP="00CC0F8F">
      <w:pPr>
        <w:contextualSpacing/>
      </w:pPr>
    </w:p>
    <w:p w14:paraId="0D93B08A" w14:textId="1211ED38" w:rsidR="00CC0F8F" w:rsidRPr="00CC0F8F" w:rsidRDefault="00CC0F8F" w:rsidP="00CC0F8F">
      <w:pPr>
        <w:contextualSpacing/>
      </w:pPr>
      <w:r w:rsidRPr="00CC0F8F">
        <w:t>Z dlouhodobějšího pohledu je patrný výrazný pokles množství odebírané povrchové vody po roce 1990, způsobený ekonomickými a ekologickými faktory, modernizací výroby, při které klesá potřeba vody a rovněž snížením ztrát ve vodovodní síti. V roce 2025 byl zaznamenán nový historicky nejnižší odběr povrchové vody, a to ve výši 801,5 mil. m³.</w:t>
      </w:r>
    </w:p>
    <w:p w14:paraId="27664244" w14:textId="77777777" w:rsidR="00CC0F8F" w:rsidRDefault="00CC0F8F" w:rsidP="007C4955">
      <w:pPr>
        <w:contextualSpacing/>
        <w:rPr>
          <w:b/>
          <w:i/>
          <w:color w:val="000000" w:themeColor="text1"/>
          <w:highlight w:val="yellow"/>
        </w:rPr>
      </w:pPr>
    </w:p>
    <w:p w14:paraId="0B2267F6" w14:textId="551F289F" w:rsidR="00D449D5" w:rsidRPr="00CC0F8F" w:rsidRDefault="00D449D5" w:rsidP="007C4955">
      <w:pPr>
        <w:contextualSpacing/>
        <w:rPr>
          <w:b/>
          <w:i/>
          <w:color w:val="000000" w:themeColor="text1"/>
        </w:rPr>
      </w:pPr>
      <w:r w:rsidRPr="00CC0F8F">
        <w:rPr>
          <w:b/>
          <w:i/>
          <w:color w:val="000000" w:themeColor="text1"/>
        </w:rPr>
        <w:t>Tabulka 4.1.1</w:t>
      </w:r>
    </w:p>
    <w:p w14:paraId="1D46DF46" w14:textId="592C3E8B" w:rsidR="001A459D" w:rsidRPr="00CC0F8F" w:rsidRDefault="00D449D5" w:rsidP="007C4955">
      <w:pPr>
        <w:contextualSpacing/>
        <w:rPr>
          <w:b/>
          <w:i/>
          <w:color w:val="000000" w:themeColor="text1"/>
        </w:rPr>
      </w:pPr>
      <w:r w:rsidRPr="00CC0F8F">
        <w:rPr>
          <w:b/>
          <w:i/>
          <w:color w:val="000000" w:themeColor="text1"/>
        </w:rPr>
        <w:t>Odběry povrchové vody odběrateli nad 6 000 m</w:t>
      </w:r>
      <w:r w:rsidRPr="00CC0F8F">
        <w:rPr>
          <w:b/>
          <w:i/>
          <w:color w:val="000000" w:themeColor="text1"/>
          <w:vertAlign w:val="superscript"/>
        </w:rPr>
        <w:t>3</w:t>
      </w:r>
      <w:r w:rsidRPr="00CC0F8F">
        <w:rPr>
          <w:b/>
          <w:i/>
          <w:color w:val="000000" w:themeColor="text1"/>
        </w:rPr>
        <w:t>/rok nebo 500 m</w:t>
      </w:r>
      <w:r w:rsidRPr="00CC0F8F">
        <w:rPr>
          <w:b/>
          <w:i/>
          <w:color w:val="000000" w:themeColor="text1"/>
          <w:vertAlign w:val="superscript"/>
        </w:rPr>
        <w:t>3</w:t>
      </w:r>
      <w:r w:rsidRPr="00CC0F8F">
        <w:rPr>
          <w:b/>
          <w:i/>
          <w:color w:val="000000" w:themeColor="text1"/>
        </w:rPr>
        <w:t>/měsíc v mil. m</w:t>
      </w:r>
      <w:r w:rsidRPr="00CC0F8F">
        <w:rPr>
          <w:b/>
          <w:i/>
          <w:color w:val="000000" w:themeColor="text1"/>
          <w:vertAlign w:val="superscript"/>
        </w:rPr>
        <w:t>3</w:t>
      </w:r>
      <w:r w:rsidR="009C1C30" w:rsidRPr="00CC0F8F">
        <w:rPr>
          <w:b/>
          <w:i/>
          <w:color w:val="000000" w:themeColor="text1"/>
          <w:vertAlign w:val="superscript"/>
        </w:rPr>
        <w:t xml:space="preserve"> </w:t>
      </w:r>
      <w:r w:rsidR="009C1C30" w:rsidRPr="00CC0F8F">
        <w:rPr>
          <w:b/>
          <w:i/>
          <w:color w:val="000000" w:themeColor="text1"/>
        </w:rPr>
        <w:t>v roce 20</w:t>
      </w:r>
      <w:r w:rsidR="00396477" w:rsidRPr="00CC0F8F">
        <w:rPr>
          <w:b/>
          <w:i/>
          <w:color w:val="000000" w:themeColor="text1"/>
        </w:rPr>
        <w:t>2</w:t>
      </w:r>
      <w:r w:rsidR="00E16B19">
        <w:rPr>
          <w:b/>
          <w:i/>
          <w:color w:val="000000" w:themeColor="text1"/>
        </w:rPr>
        <w:t>5</w:t>
      </w:r>
    </w:p>
    <w:tbl>
      <w:tblPr>
        <w:tblW w:w="10611"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684"/>
        <w:gridCol w:w="1056"/>
        <w:gridCol w:w="731"/>
        <w:gridCol w:w="997"/>
        <w:gridCol w:w="891"/>
        <w:gridCol w:w="976"/>
        <w:gridCol w:w="651"/>
        <w:gridCol w:w="1047"/>
        <w:gridCol w:w="615"/>
        <w:gridCol w:w="867"/>
        <w:gridCol w:w="615"/>
        <w:gridCol w:w="866"/>
        <w:gridCol w:w="615"/>
      </w:tblGrid>
      <w:tr w:rsidR="0020142E" w:rsidRPr="003B40B5" w14:paraId="302EF26B" w14:textId="77777777" w:rsidTr="00827DE2">
        <w:trPr>
          <w:cantSplit/>
          <w:trHeight w:val="543"/>
        </w:trPr>
        <w:tc>
          <w:tcPr>
            <w:tcW w:w="684" w:type="dxa"/>
            <w:vMerge w:val="restart"/>
            <w:shd w:val="clear" w:color="auto" w:fill="D9D9D9"/>
            <w:vAlign w:val="center"/>
          </w:tcPr>
          <w:p w14:paraId="54E15C09" w14:textId="77777777" w:rsidR="00D449D5" w:rsidRPr="003B40B5" w:rsidRDefault="00DB722A" w:rsidP="007C4955">
            <w:pPr>
              <w:contextualSpacing/>
              <w:jc w:val="center"/>
              <w:rPr>
                <w:b/>
                <w:bCs/>
                <w:color w:val="000000" w:themeColor="text1"/>
                <w:sz w:val="16"/>
                <w:szCs w:val="16"/>
              </w:rPr>
            </w:pPr>
            <w:r w:rsidRPr="003B40B5">
              <w:rPr>
                <w:b/>
                <w:bCs/>
                <w:color w:val="000000" w:themeColor="text1"/>
                <w:sz w:val="16"/>
                <w:szCs w:val="16"/>
              </w:rPr>
              <w:t>S</w:t>
            </w:r>
            <w:r w:rsidR="00D449D5" w:rsidRPr="003B40B5">
              <w:rPr>
                <w:b/>
                <w:bCs/>
                <w:color w:val="000000" w:themeColor="text1"/>
                <w:sz w:val="16"/>
                <w:szCs w:val="16"/>
              </w:rPr>
              <w:t>. p.</w:t>
            </w:r>
            <w:r w:rsidR="00D449D5" w:rsidRPr="003B40B5">
              <w:rPr>
                <w:b/>
                <w:bCs/>
                <w:color w:val="000000" w:themeColor="text1"/>
                <w:sz w:val="16"/>
                <w:szCs w:val="16"/>
              </w:rPr>
              <w:br/>
              <w:t>Povodí</w:t>
            </w:r>
          </w:p>
        </w:tc>
        <w:tc>
          <w:tcPr>
            <w:tcW w:w="1787" w:type="dxa"/>
            <w:gridSpan w:val="2"/>
            <w:shd w:val="clear" w:color="auto" w:fill="D9D9D9"/>
            <w:vAlign w:val="center"/>
          </w:tcPr>
          <w:p w14:paraId="6494AED7" w14:textId="77777777" w:rsidR="00D449D5" w:rsidRPr="003B40B5" w:rsidRDefault="00D449D5" w:rsidP="007C4955">
            <w:pPr>
              <w:contextualSpacing/>
              <w:jc w:val="center"/>
              <w:rPr>
                <w:b/>
                <w:bCs/>
                <w:color w:val="000000" w:themeColor="text1"/>
                <w:sz w:val="16"/>
                <w:szCs w:val="16"/>
              </w:rPr>
            </w:pPr>
            <w:r w:rsidRPr="003B40B5">
              <w:rPr>
                <w:b/>
                <w:bCs/>
                <w:color w:val="000000" w:themeColor="text1"/>
                <w:sz w:val="16"/>
                <w:szCs w:val="16"/>
              </w:rPr>
              <w:t>Vodovody pro veř. potřebu</w:t>
            </w:r>
          </w:p>
        </w:tc>
        <w:tc>
          <w:tcPr>
            <w:tcW w:w="1888" w:type="dxa"/>
            <w:gridSpan w:val="2"/>
            <w:shd w:val="clear" w:color="auto" w:fill="D9D9D9"/>
            <w:vAlign w:val="center"/>
          </w:tcPr>
          <w:p w14:paraId="37046BB0" w14:textId="77777777" w:rsidR="00D449D5" w:rsidRPr="003B40B5" w:rsidRDefault="00D449D5" w:rsidP="007C4955">
            <w:pPr>
              <w:contextualSpacing/>
              <w:jc w:val="center"/>
              <w:rPr>
                <w:b/>
                <w:bCs/>
                <w:color w:val="000000" w:themeColor="text1"/>
                <w:sz w:val="16"/>
                <w:szCs w:val="16"/>
              </w:rPr>
            </w:pPr>
            <w:r w:rsidRPr="003B40B5">
              <w:rPr>
                <w:b/>
                <w:bCs/>
                <w:color w:val="000000" w:themeColor="text1"/>
                <w:sz w:val="16"/>
                <w:szCs w:val="16"/>
              </w:rPr>
              <w:t>Zemědělství vč. závlah</w:t>
            </w:r>
          </w:p>
        </w:tc>
        <w:tc>
          <w:tcPr>
            <w:tcW w:w="1627" w:type="dxa"/>
            <w:gridSpan w:val="2"/>
            <w:shd w:val="clear" w:color="auto" w:fill="D9D9D9"/>
            <w:vAlign w:val="center"/>
          </w:tcPr>
          <w:p w14:paraId="3FA402E6" w14:textId="77777777" w:rsidR="00D449D5" w:rsidRPr="003B40B5" w:rsidRDefault="00D449D5" w:rsidP="007C4955">
            <w:pPr>
              <w:contextualSpacing/>
              <w:jc w:val="center"/>
              <w:rPr>
                <w:b/>
                <w:bCs/>
                <w:color w:val="000000" w:themeColor="text1"/>
                <w:sz w:val="16"/>
                <w:szCs w:val="16"/>
              </w:rPr>
            </w:pPr>
            <w:r w:rsidRPr="003B40B5">
              <w:rPr>
                <w:b/>
                <w:bCs/>
                <w:color w:val="000000" w:themeColor="text1"/>
                <w:sz w:val="16"/>
                <w:szCs w:val="16"/>
              </w:rPr>
              <w:t>Energetika</w:t>
            </w:r>
          </w:p>
        </w:tc>
        <w:tc>
          <w:tcPr>
            <w:tcW w:w="1662" w:type="dxa"/>
            <w:gridSpan w:val="2"/>
            <w:shd w:val="clear" w:color="auto" w:fill="D9D9D9"/>
            <w:vAlign w:val="center"/>
          </w:tcPr>
          <w:p w14:paraId="121001BB" w14:textId="77777777" w:rsidR="00D449D5" w:rsidRPr="003B40B5" w:rsidRDefault="00D449D5" w:rsidP="007C4955">
            <w:pPr>
              <w:contextualSpacing/>
              <w:jc w:val="center"/>
              <w:rPr>
                <w:b/>
                <w:bCs/>
                <w:color w:val="000000" w:themeColor="text1"/>
                <w:sz w:val="16"/>
                <w:szCs w:val="16"/>
              </w:rPr>
            </w:pPr>
            <w:r w:rsidRPr="003B40B5">
              <w:rPr>
                <w:b/>
                <w:bCs/>
                <w:color w:val="000000" w:themeColor="text1"/>
                <w:sz w:val="16"/>
                <w:szCs w:val="16"/>
              </w:rPr>
              <w:t>Průmysl vč. dobývání</w:t>
            </w:r>
          </w:p>
        </w:tc>
        <w:tc>
          <w:tcPr>
            <w:tcW w:w="1482" w:type="dxa"/>
            <w:gridSpan w:val="2"/>
            <w:shd w:val="clear" w:color="auto" w:fill="D9D9D9"/>
            <w:vAlign w:val="center"/>
          </w:tcPr>
          <w:p w14:paraId="0B1F240D" w14:textId="77777777" w:rsidR="00D449D5" w:rsidRPr="003B40B5" w:rsidRDefault="00D449D5" w:rsidP="007C4955">
            <w:pPr>
              <w:contextualSpacing/>
              <w:jc w:val="center"/>
              <w:rPr>
                <w:b/>
                <w:bCs/>
                <w:color w:val="000000" w:themeColor="text1"/>
                <w:sz w:val="16"/>
                <w:szCs w:val="16"/>
              </w:rPr>
            </w:pPr>
            <w:r w:rsidRPr="003B40B5">
              <w:rPr>
                <w:b/>
                <w:bCs/>
                <w:color w:val="000000" w:themeColor="text1"/>
                <w:sz w:val="16"/>
                <w:szCs w:val="16"/>
              </w:rPr>
              <w:t>Ostatní vč. stavebnictví</w:t>
            </w:r>
            <w:r w:rsidR="00EC4135" w:rsidRPr="003B40B5">
              <w:rPr>
                <w:b/>
                <w:bCs/>
                <w:color w:val="000000" w:themeColor="text1"/>
                <w:sz w:val="16"/>
                <w:szCs w:val="16"/>
              </w:rPr>
              <w:t xml:space="preserve"> a veř. kanalizací</w:t>
            </w:r>
          </w:p>
        </w:tc>
        <w:tc>
          <w:tcPr>
            <w:tcW w:w="1481" w:type="dxa"/>
            <w:gridSpan w:val="2"/>
            <w:shd w:val="clear" w:color="auto" w:fill="D9D9D9"/>
            <w:vAlign w:val="center"/>
          </w:tcPr>
          <w:p w14:paraId="44B6B447" w14:textId="77777777" w:rsidR="00D449D5" w:rsidRPr="003B40B5" w:rsidRDefault="00D449D5" w:rsidP="007C4955">
            <w:pPr>
              <w:contextualSpacing/>
              <w:jc w:val="center"/>
              <w:rPr>
                <w:b/>
                <w:bCs/>
                <w:color w:val="000000" w:themeColor="text1"/>
                <w:sz w:val="16"/>
                <w:szCs w:val="16"/>
              </w:rPr>
            </w:pPr>
            <w:r w:rsidRPr="003B40B5">
              <w:rPr>
                <w:b/>
                <w:bCs/>
                <w:color w:val="000000" w:themeColor="text1"/>
                <w:sz w:val="16"/>
                <w:szCs w:val="16"/>
              </w:rPr>
              <w:t>Celkem</w:t>
            </w:r>
          </w:p>
        </w:tc>
      </w:tr>
      <w:tr w:rsidR="0020142E" w:rsidRPr="003B40B5" w14:paraId="1A01D630" w14:textId="77777777" w:rsidTr="00827DE2">
        <w:trPr>
          <w:cantSplit/>
          <w:trHeight w:val="271"/>
        </w:trPr>
        <w:tc>
          <w:tcPr>
            <w:tcW w:w="684" w:type="dxa"/>
            <w:vMerge/>
            <w:shd w:val="clear" w:color="auto" w:fill="D9D9D9"/>
            <w:vAlign w:val="center"/>
          </w:tcPr>
          <w:p w14:paraId="1416B88F" w14:textId="77777777" w:rsidR="00D449D5" w:rsidRPr="003B40B5" w:rsidRDefault="00D449D5" w:rsidP="007C4955">
            <w:pPr>
              <w:contextualSpacing/>
              <w:rPr>
                <w:b/>
                <w:bCs/>
                <w:color w:val="000000" w:themeColor="text1"/>
                <w:sz w:val="16"/>
                <w:szCs w:val="16"/>
              </w:rPr>
            </w:pPr>
          </w:p>
        </w:tc>
        <w:tc>
          <w:tcPr>
            <w:tcW w:w="1056" w:type="dxa"/>
            <w:shd w:val="clear" w:color="auto" w:fill="D9D9D9"/>
            <w:noWrap/>
            <w:vAlign w:val="bottom"/>
          </w:tcPr>
          <w:p w14:paraId="46B2F694" w14:textId="77777777" w:rsidR="00D449D5" w:rsidRPr="003B40B5" w:rsidRDefault="00D449D5" w:rsidP="007C4955">
            <w:pPr>
              <w:contextualSpacing/>
              <w:jc w:val="center"/>
              <w:rPr>
                <w:b/>
                <w:bCs/>
                <w:color w:val="000000" w:themeColor="text1"/>
                <w:sz w:val="16"/>
                <w:szCs w:val="16"/>
              </w:rPr>
            </w:pPr>
            <w:r w:rsidRPr="003B40B5">
              <w:rPr>
                <w:b/>
                <w:bCs/>
                <w:color w:val="000000" w:themeColor="text1"/>
                <w:sz w:val="16"/>
                <w:szCs w:val="16"/>
              </w:rPr>
              <w:t>Množství</w:t>
            </w:r>
          </w:p>
        </w:tc>
        <w:tc>
          <w:tcPr>
            <w:tcW w:w="731" w:type="dxa"/>
            <w:shd w:val="clear" w:color="auto" w:fill="D9D9D9"/>
            <w:noWrap/>
            <w:vAlign w:val="bottom"/>
          </w:tcPr>
          <w:p w14:paraId="5AAA612F" w14:textId="77777777" w:rsidR="00D449D5" w:rsidRPr="003B40B5" w:rsidRDefault="00D449D5" w:rsidP="007C4955">
            <w:pPr>
              <w:contextualSpacing/>
              <w:jc w:val="center"/>
              <w:rPr>
                <w:b/>
                <w:bCs/>
                <w:color w:val="000000" w:themeColor="text1"/>
                <w:sz w:val="16"/>
                <w:szCs w:val="16"/>
              </w:rPr>
            </w:pPr>
            <w:r w:rsidRPr="003B40B5">
              <w:rPr>
                <w:b/>
                <w:bCs/>
                <w:color w:val="000000" w:themeColor="text1"/>
                <w:sz w:val="16"/>
                <w:szCs w:val="16"/>
              </w:rPr>
              <w:t>Počet</w:t>
            </w:r>
          </w:p>
        </w:tc>
        <w:tc>
          <w:tcPr>
            <w:tcW w:w="997" w:type="dxa"/>
            <w:shd w:val="clear" w:color="auto" w:fill="D9D9D9"/>
            <w:noWrap/>
            <w:vAlign w:val="bottom"/>
          </w:tcPr>
          <w:p w14:paraId="555F249C" w14:textId="77777777" w:rsidR="00D449D5" w:rsidRPr="003B40B5" w:rsidRDefault="00D449D5" w:rsidP="007C4955">
            <w:pPr>
              <w:contextualSpacing/>
              <w:jc w:val="center"/>
              <w:rPr>
                <w:b/>
                <w:bCs/>
                <w:color w:val="000000" w:themeColor="text1"/>
                <w:sz w:val="16"/>
                <w:szCs w:val="16"/>
              </w:rPr>
            </w:pPr>
            <w:r w:rsidRPr="003B40B5">
              <w:rPr>
                <w:b/>
                <w:bCs/>
                <w:color w:val="000000" w:themeColor="text1"/>
                <w:sz w:val="16"/>
                <w:szCs w:val="16"/>
              </w:rPr>
              <w:t>Množství</w:t>
            </w:r>
          </w:p>
        </w:tc>
        <w:tc>
          <w:tcPr>
            <w:tcW w:w="891" w:type="dxa"/>
            <w:shd w:val="clear" w:color="auto" w:fill="D9D9D9"/>
            <w:noWrap/>
            <w:vAlign w:val="bottom"/>
          </w:tcPr>
          <w:p w14:paraId="3E0C5B06" w14:textId="77777777" w:rsidR="00D449D5" w:rsidRPr="003B40B5" w:rsidRDefault="00D449D5" w:rsidP="007C4955">
            <w:pPr>
              <w:contextualSpacing/>
              <w:jc w:val="center"/>
              <w:rPr>
                <w:b/>
                <w:bCs/>
                <w:color w:val="000000" w:themeColor="text1"/>
                <w:sz w:val="16"/>
                <w:szCs w:val="16"/>
              </w:rPr>
            </w:pPr>
            <w:r w:rsidRPr="003B40B5">
              <w:rPr>
                <w:b/>
                <w:bCs/>
                <w:color w:val="000000" w:themeColor="text1"/>
                <w:sz w:val="16"/>
                <w:szCs w:val="16"/>
              </w:rPr>
              <w:t>Počet</w:t>
            </w:r>
          </w:p>
        </w:tc>
        <w:tc>
          <w:tcPr>
            <w:tcW w:w="976" w:type="dxa"/>
            <w:shd w:val="clear" w:color="auto" w:fill="D9D9D9"/>
            <w:noWrap/>
            <w:vAlign w:val="bottom"/>
          </w:tcPr>
          <w:p w14:paraId="7B0CD3A9" w14:textId="77777777" w:rsidR="00D449D5" w:rsidRPr="003B40B5" w:rsidRDefault="00D449D5" w:rsidP="007C4955">
            <w:pPr>
              <w:contextualSpacing/>
              <w:jc w:val="center"/>
              <w:rPr>
                <w:b/>
                <w:bCs/>
                <w:color w:val="000000" w:themeColor="text1"/>
                <w:sz w:val="16"/>
                <w:szCs w:val="16"/>
              </w:rPr>
            </w:pPr>
            <w:r w:rsidRPr="003B40B5">
              <w:rPr>
                <w:b/>
                <w:bCs/>
                <w:color w:val="000000" w:themeColor="text1"/>
                <w:sz w:val="16"/>
                <w:szCs w:val="16"/>
              </w:rPr>
              <w:t>Množství</w:t>
            </w:r>
          </w:p>
        </w:tc>
        <w:tc>
          <w:tcPr>
            <w:tcW w:w="651" w:type="dxa"/>
            <w:shd w:val="clear" w:color="auto" w:fill="D9D9D9"/>
            <w:noWrap/>
            <w:vAlign w:val="bottom"/>
          </w:tcPr>
          <w:p w14:paraId="3620FC79" w14:textId="77777777" w:rsidR="00D449D5" w:rsidRPr="003B40B5" w:rsidRDefault="00D449D5" w:rsidP="007C4955">
            <w:pPr>
              <w:contextualSpacing/>
              <w:jc w:val="center"/>
              <w:rPr>
                <w:b/>
                <w:bCs/>
                <w:color w:val="000000" w:themeColor="text1"/>
                <w:sz w:val="16"/>
                <w:szCs w:val="16"/>
              </w:rPr>
            </w:pPr>
            <w:r w:rsidRPr="003B40B5">
              <w:rPr>
                <w:b/>
                <w:bCs/>
                <w:color w:val="000000" w:themeColor="text1"/>
                <w:sz w:val="16"/>
                <w:szCs w:val="16"/>
              </w:rPr>
              <w:t>Počet</w:t>
            </w:r>
          </w:p>
        </w:tc>
        <w:tc>
          <w:tcPr>
            <w:tcW w:w="1047" w:type="dxa"/>
            <w:shd w:val="clear" w:color="auto" w:fill="D9D9D9"/>
            <w:noWrap/>
            <w:vAlign w:val="bottom"/>
          </w:tcPr>
          <w:p w14:paraId="2A826E06" w14:textId="77777777" w:rsidR="00D449D5" w:rsidRPr="003B40B5" w:rsidRDefault="00D449D5" w:rsidP="007C4955">
            <w:pPr>
              <w:contextualSpacing/>
              <w:jc w:val="center"/>
              <w:rPr>
                <w:b/>
                <w:bCs/>
                <w:color w:val="000000" w:themeColor="text1"/>
                <w:sz w:val="16"/>
                <w:szCs w:val="16"/>
              </w:rPr>
            </w:pPr>
            <w:r w:rsidRPr="003B40B5">
              <w:rPr>
                <w:b/>
                <w:bCs/>
                <w:color w:val="000000" w:themeColor="text1"/>
                <w:sz w:val="16"/>
                <w:szCs w:val="16"/>
              </w:rPr>
              <w:t>Množství</w:t>
            </w:r>
          </w:p>
        </w:tc>
        <w:tc>
          <w:tcPr>
            <w:tcW w:w="615" w:type="dxa"/>
            <w:shd w:val="clear" w:color="auto" w:fill="D9D9D9"/>
            <w:noWrap/>
            <w:vAlign w:val="bottom"/>
          </w:tcPr>
          <w:p w14:paraId="68C39B44" w14:textId="77777777" w:rsidR="00D449D5" w:rsidRPr="003B40B5" w:rsidRDefault="00D449D5" w:rsidP="007C4955">
            <w:pPr>
              <w:contextualSpacing/>
              <w:jc w:val="center"/>
              <w:rPr>
                <w:b/>
                <w:bCs/>
                <w:color w:val="000000" w:themeColor="text1"/>
                <w:sz w:val="16"/>
                <w:szCs w:val="16"/>
              </w:rPr>
            </w:pPr>
            <w:r w:rsidRPr="003B40B5">
              <w:rPr>
                <w:b/>
                <w:bCs/>
                <w:color w:val="000000" w:themeColor="text1"/>
                <w:sz w:val="16"/>
                <w:szCs w:val="16"/>
              </w:rPr>
              <w:t>Počet</w:t>
            </w:r>
          </w:p>
        </w:tc>
        <w:tc>
          <w:tcPr>
            <w:tcW w:w="867" w:type="dxa"/>
            <w:shd w:val="clear" w:color="auto" w:fill="D9D9D9"/>
            <w:noWrap/>
            <w:vAlign w:val="bottom"/>
          </w:tcPr>
          <w:p w14:paraId="33287DA9" w14:textId="77777777" w:rsidR="00D449D5" w:rsidRPr="003B40B5" w:rsidRDefault="00D449D5" w:rsidP="007C4955">
            <w:pPr>
              <w:contextualSpacing/>
              <w:jc w:val="center"/>
              <w:rPr>
                <w:b/>
                <w:bCs/>
                <w:color w:val="000000" w:themeColor="text1"/>
                <w:sz w:val="16"/>
                <w:szCs w:val="16"/>
              </w:rPr>
            </w:pPr>
            <w:r w:rsidRPr="003B40B5">
              <w:rPr>
                <w:b/>
                <w:bCs/>
                <w:color w:val="000000" w:themeColor="text1"/>
                <w:sz w:val="16"/>
                <w:szCs w:val="16"/>
              </w:rPr>
              <w:t>Množství</w:t>
            </w:r>
          </w:p>
        </w:tc>
        <w:tc>
          <w:tcPr>
            <w:tcW w:w="615" w:type="dxa"/>
            <w:shd w:val="clear" w:color="auto" w:fill="D9D9D9"/>
            <w:noWrap/>
            <w:vAlign w:val="bottom"/>
          </w:tcPr>
          <w:p w14:paraId="33697CD5" w14:textId="77777777" w:rsidR="00D449D5" w:rsidRPr="003B40B5" w:rsidRDefault="00D449D5" w:rsidP="007C4955">
            <w:pPr>
              <w:contextualSpacing/>
              <w:jc w:val="center"/>
              <w:rPr>
                <w:b/>
                <w:bCs/>
                <w:color w:val="000000" w:themeColor="text1"/>
                <w:sz w:val="16"/>
                <w:szCs w:val="16"/>
              </w:rPr>
            </w:pPr>
            <w:r w:rsidRPr="003B40B5">
              <w:rPr>
                <w:b/>
                <w:bCs/>
                <w:color w:val="000000" w:themeColor="text1"/>
                <w:sz w:val="16"/>
                <w:szCs w:val="16"/>
              </w:rPr>
              <w:t>Počet</w:t>
            </w:r>
          </w:p>
        </w:tc>
        <w:tc>
          <w:tcPr>
            <w:tcW w:w="866" w:type="dxa"/>
            <w:shd w:val="clear" w:color="auto" w:fill="D9D9D9"/>
            <w:noWrap/>
            <w:vAlign w:val="bottom"/>
          </w:tcPr>
          <w:p w14:paraId="70E6D94F" w14:textId="77777777" w:rsidR="00D449D5" w:rsidRPr="003B40B5" w:rsidRDefault="00D449D5" w:rsidP="007C4955">
            <w:pPr>
              <w:contextualSpacing/>
              <w:jc w:val="center"/>
              <w:rPr>
                <w:b/>
                <w:bCs/>
                <w:color w:val="000000" w:themeColor="text1"/>
                <w:sz w:val="16"/>
                <w:szCs w:val="16"/>
              </w:rPr>
            </w:pPr>
            <w:r w:rsidRPr="003B40B5">
              <w:rPr>
                <w:b/>
                <w:bCs/>
                <w:color w:val="000000" w:themeColor="text1"/>
                <w:sz w:val="16"/>
                <w:szCs w:val="16"/>
              </w:rPr>
              <w:t>Množství</w:t>
            </w:r>
          </w:p>
        </w:tc>
        <w:tc>
          <w:tcPr>
            <w:tcW w:w="615" w:type="dxa"/>
            <w:shd w:val="clear" w:color="auto" w:fill="D9D9D9"/>
            <w:noWrap/>
            <w:vAlign w:val="bottom"/>
          </w:tcPr>
          <w:p w14:paraId="632B950C" w14:textId="77777777" w:rsidR="00D449D5" w:rsidRPr="003B40B5" w:rsidRDefault="00D449D5" w:rsidP="007C4955">
            <w:pPr>
              <w:contextualSpacing/>
              <w:jc w:val="center"/>
              <w:rPr>
                <w:b/>
                <w:bCs/>
                <w:color w:val="000000" w:themeColor="text1"/>
                <w:sz w:val="16"/>
                <w:szCs w:val="16"/>
              </w:rPr>
            </w:pPr>
            <w:r w:rsidRPr="003B40B5">
              <w:rPr>
                <w:b/>
                <w:bCs/>
                <w:color w:val="000000" w:themeColor="text1"/>
                <w:sz w:val="16"/>
                <w:szCs w:val="16"/>
              </w:rPr>
              <w:t>Počet</w:t>
            </w:r>
          </w:p>
        </w:tc>
      </w:tr>
      <w:tr w:rsidR="0065176D" w:rsidRPr="003B40B5" w14:paraId="1C474048" w14:textId="77777777" w:rsidTr="000B09E7">
        <w:trPr>
          <w:trHeight w:val="256"/>
        </w:trPr>
        <w:tc>
          <w:tcPr>
            <w:tcW w:w="684" w:type="dxa"/>
            <w:noWrap/>
            <w:vAlign w:val="bottom"/>
          </w:tcPr>
          <w:p w14:paraId="5382A755" w14:textId="77777777" w:rsidR="0065176D" w:rsidRPr="003B40B5" w:rsidRDefault="0065176D" w:rsidP="0065176D">
            <w:pPr>
              <w:contextualSpacing/>
              <w:rPr>
                <w:b/>
                <w:bCs/>
                <w:color w:val="000000" w:themeColor="text1"/>
                <w:sz w:val="16"/>
                <w:szCs w:val="16"/>
              </w:rPr>
            </w:pPr>
            <w:r w:rsidRPr="003B40B5">
              <w:rPr>
                <w:b/>
                <w:bCs/>
                <w:color w:val="000000" w:themeColor="text1"/>
                <w:sz w:val="16"/>
                <w:szCs w:val="16"/>
              </w:rPr>
              <w:t>Labe</w:t>
            </w:r>
          </w:p>
        </w:tc>
        <w:tc>
          <w:tcPr>
            <w:tcW w:w="1056" w:type="dxa"/>
            <w:noWrap/>
            <w:vAlign w:val="bottom"/>
          </w:tcPr>
          <w:p w14:paraId="565A550C" w14:textId="476BFC06" w:rsidR="0065176D" w:rsidRPr="0065176D" w:rsidRDefault="0065176D" w:rsidP="0065176D">
            <w:pPr>
              <w:contextualSpacing/>
              <w:jc w:val="right"/>
              <w:rPr>
                <w:rFonts w:cs="Arial"/>
                <w:color w:val="000000" w:themeColor="text1"/>
                <w:sz w:val="18"/>
                <w:szCs w:val="18"/>
              </w:rPr>
            </w:pPr>
            <w:r w:rsidRPr="0065176D">
              <w:rPr>
                <w:sz w:val="18"/>
                <w:szCs w:val="18"/>
              </w:rPr>
              <w:t>33,271</w:t>
            </w:r>
          </w:p>
        </w:tc>
        <w:tc>
          <w:tcPr>
            <w:tcW w:w="731" w:type="dxa"/>
            <w:shd w:val="clear" w:color="000000" w:fill="FFFFFF"/>
            <w:noWrap/>
            <w:vAlign w:val="center"/>
          </w:tcPr>
          <w:p w14:paraId="627DA026" w14:textId="4CA8EA0E"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25</w:t>
            </w:r>
          </w:p>
        </w:tc>
        <w:tc>
          <w:tcPr>
            <w:tcW w:w="997" w:type="dxa"/>
            <w:noWrap/>
            <w:vAlign w:val="bottom"/>
          </w:tcPr>
          <w:p w14:paraId="0875B623" w14:textId="5E99AB7B" w:rsidR="0065176D" w:rsidRPr="0065176D" w:rsidRDefault="0065176D" w:rsidP="0065176D">
            <w:pPr>
              <w:contextualSpacing/>
              <w:jc w:val="right"/>
              <w:rPr>
                <w:rFonts w:cs="Arial"/>
                <w:color w:val="000000" w:themeColor="text1"/>
                <w:sz w:val="18"/>
                <w:szCs w:val="18"/>
              </w:rPr>
            </w:pPr>
            <w:r w:rsidRPr="0065176D">
              <w:rPr>
                <w:sz w:val="18"/>
                <w:szCs w:val="18"/>
              </w:rPr>
              <w:t>10,329</w:t>
            </w:r>
          </w:p>
        </w:tc>
        <w:tc>
          <w:tcPr>
            <w:tcW w:w="891" w:type="dxa"/>
            <w:shd w:val="clear" w:color="000000" w:fill="FFFFFF"/>
            <w:noWrap/>
            <w:vAlign w:val="center"/>
          </w:tcPr>
          <w:p w14:paraId="26D91882" w14:textId="12477340"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75</w:t>
            </w:r>
          </w:p>
        </w:tc>
        <w:tc>
          <w:tcPr>
            <w:tcW w:w="976" w:type="dxa"/>
            <w:noWrap/>
            <w:vAlign w:val="bottom"/>
          </w:tcPr>
          <w:p w14:paraId="718E0B1D" w14:textId="4C189933" w:rsidR="0065176D" w:rsidRPr="0065176D" w:rsidRDefault="0065176D" w:rsidP="0065176D">
            <w:pPr>
              <w:contextualSpacing/>
              <w:jc w:val="right"/>
              <w:rPr>
                <w:rFonts w:cs="Arial"/>
                <w:color w:val="000000" w:themeColor="text1"/>
                <w:sz w:val="18"/>
                <w:szCs w:val="18"/>
              </w:rPr>
            </w:pPr>
            <w:r w:rsidRPr="0065176D">
              <w:rPr>
                <w:sz w:val="18"/>
                <w:szCs w:val="18"/>
              </w:rPr>
              <w:t>162,984</w:t>
            </w:r>
          </w:p>
        </w:tc>
        <w:tc>
          <w:tcPr>
            <w:tcW w:w="651" w:type="dxa"/>
            <w:shd w:val="clear" w:color="000000" w:fill="FFFFFF"/>
            <w:noWrap/>
            <w:vAlign w:val="center"/>
          </w:tcPr>
          <w:p w14:paraId="714D5A35" w14:textId="5FE9AA48"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11</w:t>
            </w:r>
          </w:p>
        </w:tc>
        <w:tc>
          <w:tcPr>
            <w:tcW w:w="1047" w:type="dxa"/>
            <w:noWrap/>
            <w:vAlign w:val="bottom"/>
          </w:tcPr>
          <w:p w14:paraId="3F8A9B11" w14:textId="1BFACD42" w:rsidR="0065176D" w:rsidRPr="0065176D" w:rsidRDefault="0065176D" w:rsidP="0065176D">
            <w:pPr>
              <w:contextualSpacing/>
              <w:jc w:val="right"/>
              <w:rPr>
                <w:rFonts w:cs="Arial"/>
                <w:color w:val="000000" w:themeColor="text1"/>
                <w:sz w:val="18"/>
                <w:szCs w:val="18"/>
              </w:rPr>
            </w:pPr>
            <w:r w:rsidRPr="0065176D">
              <w:rPr>
                <w:sz w:val="18"/>
                <w:szCs w:val="18"/>
              </w:rPr>
              <w:t>68,372</w:t>
            </w:r>
          </w:p>
        </w:tc>
        <w:tc>
          <w:tcPr>
            <w:tcW w:w="615" w:type="dxa"/>
            <w:shd w:val="clear" w:color="000000" w:fill="FFFFFF"/>
            <w:noWrap/>
            <w:vAlign w:val="center"/>
          </w:tcPr>
          <w:p w14:paraId="436B9FBC" w14:textId="593BF3C3"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61</w:t>
            </w:r>
          </w:p>
        </w:tc>
        <w:tc>
          <w:tcPr>
            <w:tcW w:w="867" w:type="dxa"/>
            <w:noWrap/>
            <w:vAlign w:val="bottom"/>
          </w:tcPr>
          <w:p w14:paraId="12DBD0DB" w14:textId="4ECE89E8" w:rsidR="0065176D" w:rsidRPr="0065176D" w:rsidRDefault="0065176D" w:rsidP="0065176D">
            <w:pPr>
              <w:contextualSpacing/>
              <w:jc w:val="right"/>
              <w:rPr>
                <w:rFonts w:cs="Arial"/>
                <w:bCs/>
                <w:color w:val="000000" w:themeColor="text1"/>
                <w:sz w:val="18"/>
                <w:szCs w:val="18"/>
              </w:rPr>
            </w:pPr>
            <w:r w:rsidRPr="0065176D">
              <w:rPr>
                <w:sz w:val="18"/>
                <w:szCs w:val="18"/>
              </w:rPr>
              <w:t>2,724</w:t>
            </w:r>
          </w:p>
        </w:tc>
        <w:tc>
          <w:tcPr>
            <w:tcW w:w="615" w:type="dxa"/>
            <w:shd w:val="clear" w:color="000000" w:fill="FFFFFF"/>
            <w:noWrap/>
            <w:vAlign w:val="center"/>
          </w:tcPr>
          <w:p w14:paraId="15E82812" w14:textId="21CD664C"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91</w:t>
            </w:r>
          </w:p>
        </w:tc>
        <w:tc>
          <w:tcPr>
            <w:tcW w:w="866" w:type="dxa"/>
            <w:noWrap/>
            <w:vAlign w:val="bottom"/>
          </w:tcPr>
          <w:p w14:paraId="0655EB19" w14:textId="16474171" w:rsidR="0065176D" w:rsidRPr="0065176D" w:rsidRDefault="0065176D" w:rsidP="0065176D">
            <w:pPr>
              <w:contextualSpacing/>
              <w:jc w:val="right"/>
              <w:rPr>
                <w:rFonts w:cs="Arial"/>
                <w:b/>
                <w:color w:val="000000" w:themeColor="text1"/>
                <w:sz w:val="18"/>
                <w:szCs w:val="18"/>
              </w:rPr>
            </w:pPr>
            <w:r w:rsidRPr="0065176D">
              <w:rPr>
                <w:b/>
                <w:sz w:val="18"/>
                <w:szCs w:val="18"/>
              </w:rPr>
              <w:t>277,680</w:t>
            </w:r>
          </w:p>
        </w:tc>
        <w:tc>
          <w:tcPr>
            <w:tcW w:w="615" w:type="dxa"/>
            <w:shd w:val="clear" w:color="000000" w:fill="FFFFFF"/>
            <w:noWrap/>
            <w:vAlign w:val="center"/>
          </w:tcPr>
          <w:p w14:paraId="2928C62C" w14:textId="1D05F613"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263</w:t>
            </w:r>
          </w:p>
        </w:tc>
      </w:tr>
      <w:tr w:rsidR="0065176D" w:rsidRPr="003B40B5" w14:paraId="1E8E75DB" w14:textId="77777777" w:rsidTr="000B09E7">
        <w:trPr>
          <w:trHeight w:val="256"/>
        </w:trPr>
        <w:tc>
          <w:tcPr>
            <w:tcW w:w="684" w:type="dxa"/>
            <w:noWrap/>
            <w:vAlign w:val="bottom"/>
          </w:tcPr>
          <w:p w14:paraId="7479C9C4" w14:textId="77777777" w:rsidR="0065176D" w:rsidRPr="003B40B5" w:rsidRDefault="0065176D" w:rsidP="0065176D">
            <w:pPr>
              <w:contextualSpacing/>
              <w:rPr>
                <w:b/>
                <w:bCs/>
                <w:color w:val="000000" w:themeColor="text1"/>
                <w:sz w:val="16"/>
                <w:szCs w:val="16"/>
              </w:rPr>
            </w:pPr>
            <w:r w:rsidRPr="003B40B5">
              <w:rPr>
                <w:b/>
                <w:bCs/>
                <w:color w:val="000000" w:themeColor="text1"/>
                <w:sz w:val="16"/>
                <w:szCs w:val="16"/>
              </w:rPr>
              <w:t>Vltavy</w:t>
            </w:r>
          </w:p>
        </w:tc>
        <w:tc>
          <w:tcPr>
            <w:tcW w:w="1056" w:type="dxa"/>
            <w:noWrap/>
            <w:vAlign w:val="bottom"/>
          </w:tcPr>
          <w:p w14:paraId="7F3E6C92" w14:textId="47F4496C" w:rsidR="0065176D" w:rsidRPr="0065176D" w:rsidRDefault="0065176D" w:rsidP="0065176D">
            <w:pPr>
              <w:contextualSpacing/>
              <w:jc w:val="right"/>
              <w:rPr>
                <w:rFonts w:cs="Arial"/>
                <w:bCs/>
                <w:color w:val="000000" w:themeColor="text1"/>
                <w:sz w:val="18"/>
                <w:szCs w:val="18"/>
              </w:rPr>
            </w:pPr>
            <w:r w:rsidRPr="0065176D">
              <w:rPr>
                <w:sz w:val="18"/>
                <w:szCs w:val="18"/>
              </w:rPr>
              <w:t>144,760</w:t>
            </w:r>
          </w:p>
        </w:tc>
        <w:tc>
          <w:tcPr>
            <w:tcW w:w="731" w:type="dxa"/>
            <w:shd w:val="clear" w:color="000000" w:fill="FFFFFF"/>
            <w:noWrap/>
            <w:vAlign w:val="center"/>
          </w:tcPr>
          <w:p w14:paraId="18D80D5C" w14:textId="24C36490"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39</w:t>
            </w:r>
          </w:p>
        </w:tc>
        <w:tc>
          <w:tcPr>
            <w:tcW w:w="997" w:type="dxa"/>
            <w:noWrap/>
            <w:vAlign w:val="bottom"/>
          </w:tcPr>
          <w:p w14:paraId="338540B0" w14:textId="694AEEE4" w:rsidR="0065176D" w:rsidRPr="0065176D" w:rsidRDefault="0065176D" w:rsidP="0065176D">
            <w:pPr>
              <w:contextualSpacing/>
              <w:jc w:val="right"/>
              <w:rPr>
                <w:rFonts w:cs="Arial"/>
                <w:color w:val="000000" w:themeColor="text1"/>
                <w:sz w:val="18"/>
                <w:szCs w:val="18"/>
              </w:rPr>
            </w:pPr>
            <w:r w:rsidRPr="0065176D">
              <w:rPr>
                <w:sz w:val="18"/>
                <w:szCs w:val="18"/>
              </w:rPr>
              <w:t>1,611</w:t>
            </w:r>
          </w:p>
        </w:tc>
        <w:tc>
          <w:tcPr>
            <w:tcW w:w="891" w:type="dxa"/>
            <w:shd w:val="clear" w:color="000000" w:fill="FFFFFF"/>
            <w:noWrap/>
            <w:vAlign w:val="center"/>
          </w:tcPr>
          <w:p w14:paraId="1A0F779B" w14:textId="26AE5038"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20</w:t>
            </w:r>
          </w:p>
        </w:tc>
        <w:tc>
          <w:tcPr>
            <w:tcW w:w="976" w:type="dxa"/>
            <w:noWrap/>
            <w:vAlign w:val="bottom"/>
          </w:tcPr>
          <w:p w14:paraId="5E6C3CB7" w14:textId="0E0F7199" w:rsidR="0065176D" w:rsidRPr="0065176D" w:rsidRDefault="0065176D" w:rsidP="0065176D">
            <w:pPr>
              <w:contextualSpacing/>
              <w:jc w:val="right"/>
              <w:rPr>
                <w:rFonts w:cs="Arial"/>
                <w:color w:val="000000" w:themeColor="text1"/>
                <w:sz w:val="18"/>
                <w:szCs w:val="18"/>
              </w:rPr>
            </w:pPr>
            <w:r w:rsidRPr="0065176D">
              <w:rPr>
                <w:sz w:val="18"/>
                <w:szCs w:val="18"/>
              </w:rPr>
              <w:t>51,073</w:t>
            </w:r>
          </w:p>
        </w:tc>
        <w:tc>
          <w:tcPr>
            <w:tcW w:w="651" w:type="dxa"/>
            <w:shd w:val="clear" w:color="000000" w:fill="FFFFFF"/>
            <w:noWrap/>
            <w:vAlign w:val="center"/>
          </w:tcPr>
          <w:p w14:paraId="7962164A" w14:textId="1E973AEB"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12</w:t>
            </w:r>
          </w:p>
        </w:tc>
        <w:tc>
          <w:tcPr>
            <w:tcW w:w="1047" w:type="dxa"/>
            <w:noWrap/>
            <w:vAlign w:val="bottom"/>
          </w:tcPr>
          <w:p w14:paraId="42FDFE9B" w14:textId="607CC9C3" w:rsidR="0065176D" w:rsidRPr="0065176D" w:rsidRDefault="0065176D" w:rsidP="0065176D">
            <w:pPr>
              <w:contextualSpacing/>
              <w:jc w:val="right"/>
              <w:rPr>
                <w:rFonts w:cs="Arial"/>
                <w:color w:val="000000" w:themeColor="text1"/>
                <w:sz w:val="18"/>
                <w:szCs w:val="18"/>
              </w:rPr>
            </w:pPr>
            <w:r w:rsidRPr="0065176D">
              <w:rPr>
                <w:sz w:val="18"/>
                <w:szCs w:val="18"/>
              </w:rPr>
              <w:t>11,924</w:t>
            </w:r>
          </w:p>
        </w:tc>
        <w:tc>
          <w:tcPr>
            <w:tcW w:w="615" w:type="dxa"/>
            <w:shd w:val="clear" w:color="000000" w:fill="FFFFFF"/>
            <w:noWrap/>
            <w:vAlign w:val="center"/>
          </w:tcPr>
          <w:p w14:paraId="251D658A" w14:textId="5B402F98"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53</w:t>
            </w:r>
          </w:p>
        </w:tc>
        <w:tc>
          <w:tcPr>
            <w:tcW w:w="867" w:type="dxa"/>
            <w:noWrap/>
            <w:vAlign w:val="bottom"/>
          </w:tcPr>
          <w:p w14:paraId="73CD21D1" w14:textId="1E82550D" w:rsidR="0065176D" w:rsidRPr="0065176D" w:rsidRDefault="0065176D" w:rsidP="0065176D">
            <w:pPr>
              <w:contextualSpacing/>
              <w:jc w:val="right"/>
              <w:rPr>
                <w:rFonts w:cs="Arial"/>
                <w:color w:val="000000" w:themeColor="text1"/>
                <w:sz w:val="18"/>
                <w:szCs w:val="18"/>
              </w:rPr>
            </w:pPr>
            <w:r w:rsidRPr="0065176D">
              <w:rPr>
                <w:sz w:val="18"/>
                <w:szCs w:val="18"/>
              </w:rPr>
              <w:t>7,310</w:t>
            </w:r>
          </w:p>
        </w:tc>
        <w:tc>
          <w:tcPr>
            <w:tcW w:w="615" w:type="dxa"/>
            <w:shd w:val="clear" w:color="000000" w:fill="FFFFFF"/>
            <w:noWrap/>
            <w:vAlign w:val="center"/>
          </w:tcPr>
          <w:p w14:paraId="1F974218" w14:textId="4EEA4D5F"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86</w:t>
            </w:r>
          </w:p>
        </w:tc>
        <w:tc>
          <w:tcPr>
            <w:tcW w:w="866" w:type="dxa"/>
            <w:noWrap/>
            <w:vAlign w:val="bottom"/>
          </w:tcPr>
          <w:p w14:paraId="08CF4D3E" w14:textId="748F1C50" w:rsidR="0065176D" w:rsidRPr="0065176D" w:rsidRDefault="0065176D" w:rsidP="0065176D">
            <w:pPr>
              <w:contextualSpacing/>
              <w:jc w:val="right"/>
              <w:rPr>
                <w:rFonts w:cs="Arial"/>
                <w:b/>
                <w:color w:val="000000" w:themeColor="text1"/>
                <w:sz w:val="18"/>
                <w:szCs w:val="18"/>
              </w:rPr>
            </w:pPr>
            <w:r w:rsidRPr="0065176D">
              <w:rPr>
                <w:b/>
                <w:sz w:val="18"/>
                <w:szCs w:val="18"/>
              </w:rPr>
              <w:t>216,678</w:t>
            </w:r>
          </w:p>
        </w:tc>
        <w:tc>
          <w:tcPr>
            <w:tcW w:w="615" w:type="dxa"/>
            <w:shd w:val="clear" w:color="000000" w:fill="FFFFFF"/>
            <w:noWrap/>
            <w:vAlign w:val="center"/>
          </w:tcPr>
          <w:p w14:paraId="13D2F1AF" w14:textId="7B61DF8D"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210</w:t>
            </w:r>
          </w:p>
        </w:tc>
      </w:tr>
      <w:tr w:rsidR="0065176D" w:rsidRPr="003B40B5" w14:paraId="38CE2467" w14:textId="77777777" w:rsidTr="000B09E7">
        <w:trPr>
          <w:trHeight w:val="256"/>
        </w:trPr>
        <w:tc>
          <w:tcPr>
            <w:tcW w:w="684" w:type="dxa"/>
            <w:noWrap/>
            <w:vAlign w:val="bottom"/>
          </w:tcPr>
          <w:p w14:paraId="5A4C1DA3" w14:textId="77777777" w:rsidR="0065176D" w:rsidRPr="003B40B5" w:rsidRDefault="0065176D" w:rsidP="0065176D">
            <w:pPr>
              <w:contextualSpacing/>
              <w:rPr>
                <w:b/>
                <w:bCs/>
                <w:color w:val="000000" w:themeColor="text1"/>
                <w:sz w:val="16"/>
                <w:szCs w:val="16"/>
              </w:rPr>
            </w:pPr>
            <w:r w:rsidRPr="003B40B5">
              <w:rPr>
                <w:b/>
                <w:bCs/>
                <w:color w:val="000000" w:themeColor="text1"/>
                <w:sz w:val="16"/>
                <w:szCs w:val="16"/>
              </w:rPr>
              <w:t>Ohře</w:t>
            </w:r>
          </w:p>
        </w:tc>
        <w:tc>
          <w:tcPr>
            <w:tcW w:w="1056" w:type="dxa"/>
            <w:noWrap/>
            <w:vAlign w:val="bottom"/>
          </w:tcPr>
          <w:p w14:paraId="3519D034" w14:textId="14BDF3E7" w:rsidR="0065176D" w:rsidRPr="0065176D" w:rsidRDefault="0065176D" w:rsidP="0065176D">
            <w:pPr>
              <w:contextualSpacing/>
              <w:jc w:val="right"/>
              <w:rPr>
                <w:rFonts w:cs="Arial"/>
                <w:color w:val="000000" w:themeColor="text1"/>
                <w:sz w:val="18"/>
                <w:szCs w:val="18"/>
              </w:rPr>
            </w:pPr>
            <w:r w:rsidRPr="0065176D">
              <w:rPr>
                <w:sz w:val="18"/>
                <w:szCs w:val="18"/>
              </w:rPr>
              <w:t>39,076</w:t>
            </w:r>
          </w:p>
        </w:tc>
        <w:tc>
          <w:tcPr>
            <w:tcW w:w="731" w:type="dxa"/>
            <w:shd w:val="clear" w:color="000000" w:fill="FFFFFF"/>
            <w:noWrap/>
            <w:vAlign w:val="center"/>
          </w:tcPr>
          <w:p w14:paraId="3A553A80" w14:textId="484CFDDB"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17</w:t>
            </w:r>
          </w:p>
        </w:tc>
        <w:tc>
          <w:tcPr>
            <w:tcW w:w="997" w:type="dxa"/>
            <w:noWrap/>
            <w:vAlign w:val="bottom"/>
          </w:tcPr>
          <w:p w14:paraId="72B211A5" w14:textId="0ACFE513" w:rsidR="0065176D" w:rsidRPr="0065176D" w:rsidRDefault="0065176D" w:rsidP="0065176D">
            <w:pPr>
              <w:contextualSpacing/>
              <w:jc w:val="right"/>
              <w:rPr>
                <w:rFonts w:cs="Arial"/>
                <w:color w:val="000000" w:themeColor="text1"/>
                <w:sz w:val="18"/>
                <w:szCs w:val="18"/>
              </w:rPr>
            </w:pPr>
            <w:r w:rsidRPr="0065176D">
              <w:rPr>
                <w:sz w:val="18"/>
                <w:szCs w:val="18"/>
              </w:rPr>
              <w:t>1,743</w:t>
            </w:r>
          </w:p>
        </w:tc>
        <w:tc>
          <w:tcPr>
            <w:tcW w:w="891" w:type="dxa"/>
            <w:shd w:val="clear" w:color="000000" w:fill="FFFFFF"/>
            <w:noWrap/>
            <w:vAlign w:val="center"/>
          </w:tcPr>
          <w:p w14:paraId="345BDC48" w14:textId="5876580C"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45</w:t>
            </w:r>
          </w:p>
        </w:tc>
        <w:tc>
          <w:tcPr>
            <w:tcW w:w="976" w:type="dxa"/>
            <w:noWrap/>
            <w:vAlign w:val="bottom"/>
          </w:tcPr>
          <w:p w14:paraId="431E7B04" w14:textId="7EC9DA42" w:rsidR="0065176D" w:rsidRPr="0065176D" w:rsidRDefault="0065176D" w:rsidP="0065176D">
            <w:pPr>
              <w:contextualSpacing/>
              <w:jc w:val="right"/>
              <w:rPr>
                <w:rFonts w:cs="Arial"/>
                <w:color w:val="000000" w:themeColor="text1"/>
                <w:sz w:val="18"/>
                <w:szCs w:val="18"/>
              </w:rPr>
            </w:pPr>
            <w:r w:rsidRPr="0065176D">
              <w:rPr>
                <w:sz w:val="18"/>
                <w:szCs w:val="18"/>
              </w:rPr>
              <w:t>30,807</w:t>
            </w:r>
          </w:p>
        </w:tc>
        <w:tc>
          <w:tcPr>
            <w:tcW w:w="651" w:type="dxa"/>
            <w:shd w:val="clear" w:color="000000" w:fill="FFFFFF"/>
            <w:noWrap/>
            <w:vAlign w:val="center"/>
          </w:tcPr>
          <w:p w14:paraId="03621F86" w14:textId="0D27113C"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7</w:t>
            </w:r>
          </w:p>
        </w:tc>
        <w:tc>
          <w:tcPr>
            <w:tcW w:w="1047" w:type="dxa"/>
            <w:noWrap/>
            <w:vAlign w:val="bottom"/>
          </w:tcPr>
          <w:p w14:paraId="66600DB3" w14:textId="1112C48B" w:rsidR="0065176D" w:rsidRPr="0065176D" w:rsidRDefault="0065176D" w:rsidP="0065176D">
            <w:pPr>
              <w:contextualSpacing/>
              <w:jc w:val="right"/>
              <w:rPr>
                <w:rFonts w:cs="Arial"/>
                <w:color w:val="000000" w:themeColor="text1"/>
                <w:sz w:val="18"/>
                <w:szCs w:val="18"/>
              </w:rPr>
            </w:pPr>
            <w:r w:rsidRPr="0065176D">
              <w:rPr>
                <w:sz w:val="18"/>
                <w:szCs w:val="18"/>
              </w:rPr>
              <w:t>27,190</w:t>
            </w:r>
          </w:p>
        </w:tc>
        <w:tc>
          <w:tcPr>
            <w:tcW w:w="615" w:type="dxa"/>
            <w:shd w:val="clear" w:color="000000" w:fill="FFFFFF"/>
            <w:noWrap/>
            <w:vAlign w:val="center"/>
          </w:tcPr>
          <w:p w14:paraId="0DFA8ACF" w14:textId="59353E2C"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41</w:t>
            </w:r>
          </w:p>
        </w:tc>
        <w:tc>
          <w:tcPr>
            <w:tcW w:w="867" w:type="dxa"/>
            <w:noWrap/>
            <w:vAlign w:val="bottom"/>
          </w:tcPr>
          <w:p w14:paraId="5FABE790" w14:textId="3388280E" w:rsidR="0065176D" w:rsidRPr="0065176D" w:rsidRDefault="0065176D" w:rsidP="0065176D">
            <w:pPr>
              <w:contextualSpacing/>
              <w:jc w:val="right"/>
              <w:rPr>
                <w:rFonts w:cs="Arial"/>
                <w:color w:val="000000" w:themeColor="text1"/>
                <w:sz w:val="18"/>
                <w:szCs w:val="18"/>
              </w:rPr>
            </w:pPr>
            <w:r w:rsidRPr="0065176D">
              <w:rPr>
                <w:sz w:val="18"/>
                <w:szCs w:val="18"/>
              </w:rPr>
              <w:t>0,713</w:t>
            </w:r>
          </w:p>
        </w:tc>
        <w:tc>
          <w:tcPr>
            <w:tcW w:w="615" w:type="dxa"/>
            <w:shd w:val="clear" w:color="000000" w:fill="FFFFFF"/>
            <w:noWrap/>
            <w:vAlign w:val="center"/>
          </w:tcPr>
          <w:p w14:paraId="60DF5A46" w14:textId="5C86470E"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28</w:t>
            </w:r>
          </w:p>
        </w:tc>
        <w:tc>
          <w:tcPr>
            <w:tcW w:w="866" w:type="dxa"/>
            <w:noWrap/>
            <w:vAlign w:val="bottom"/>
          </w:tcPr>
          <w:p w14:paraId="73971CE6" w14:textId="3809EFBA" w:rsidR="0065176D" w:rsidRPr="0065176D" w:rsidRDefault="0065176D" w:rsidP="0065176D">
            <w:pPr>
              <w:contextualSpacing/>
              <w:jc w:val="right"/>
              <w:rPr>
                <w:rFonts w:cs="Arial"/>
                <w:b/>
                <w:color w:val="000000" w:themeColor="text1"/>
                <w:sz w:val="18"/>
                <w:szCs w:val="18"/>
              </w:rPr>
            </w:pPr>
            <w:r w:rsidRPr="0065176D">
              <w:rPr>
                <w:b/>
                <w:sz w:val="18"/>
                <w:szCs w:val="18"/>
              </w:rPr>
              <w:t>99,529</w:t>
            </w:r>
          </w:p>
        </w:tc>
        <w:tc>
          <w:tcPr>
            <w:tcW w:w="615" w:type="dxa"/>
            <w:shd w:val="clear" w:color="000000" w:fill="FFFFFF"/>
            <w:noWrap/>
            <w:vAlign w:val="center"/>
          </w:tcPr>
          <w:p w14:paraId="073C8BDC" w14:textId="079CB587"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138</w:t>
            </w:r>
          </w:p>
        </w:tc>
      </w:tr>
      <w:tr w:rsidR="0065176D" w:rsidRPr="003B40B5" w14:paraId="09CB52B8" w14:textId="77777777" w:rsidTr="000B09E7">
        <w:trPr>
          <w:trHeight w:val="256"/>
        </w:trPr>
        <w:tc>
          <w:tcPr>
            <w:tcW w:w="684" w:type="dxa"/>
            <w:noWrap/>
            <w:vAlign w:val="bottom"/>
          </w:tcPr>
          <w:p w14:paraId="57576712" w14:textId="77777777" w:rsidR="0065176D" w:rsidRPr="003B40B5" w:rsidRDefault="0065176D" w:rsidP="0065176D">
            <w:pPr>
              <w:contextualSpacing/>
              <w:rPr>
                <w:b/>
                <w:bCs/>
                <w:color w:val="000000" w:themeColor="text1"/>
                <w:sz w:val="16"/>
                <w:szCs w:val="16"/>
              </w:rPr>
            </w:pPr>
            <w:r w:rsidRPr="003B40B5">
              <w:rPr>
                <w:b/>
                <w:bCs/>
                <w:color w:val="000000" w:themeColor="text1"/>
                <w:sz w:val="16"/>
                <w:szCs w:val="16"/>
              </w:rPr>
              <w:t>Odry</w:t>
            </w:r>
          </w:p>
        </w:tc>
        <w:tc>
          <w:tcPr>
            <w:tcW w:w="1056" w:type="dxa"/>
            <w:noWrap/>
            <w:vAlign w:val="bottom"/>
          </w:tcPr>
          <w:p w14:paraId="4F1A0DB5" w14:textId="5683A4D8" w:rsidR="0065176D" w:rsidRPr="0065176D" w:rsidRDefault="0065176D" w:rsidP="0065176D">
            <w:pPr>
              <w:contextualSpacing/>
              <w:jc w:val="right"/>
              <w:rPr>
                <w:rFonts w:cs="Arial"/>
                <w:color w:val="000000" w:themeColor="text1"/>
                <w:sz w:val="18"/>
                <w:szCs w:val="18"/>
              </w:rPr>
            </w:pPr>
            <w:r w:rsidRPr="0065176D">
              <w:rPr>
                <w:sz w:val="18"/>
                <w:szCs w:val="18"/>
              </w:rPr>
              <w:t>60,583</w:t>
            </w:r>
          </w:p>
        </w:tc>
        <w:tc>
          <w:tcPr>
            <w:tcW w:w="731" w:type="dxa"/>
            <w:shd w:val="clear" w:color="000000" w:fill="FFFFFF"/>
            <w:noWrap/>
            <w:vAlign w:val="center"/>
          </w:tcPr>
          <w:p w14:paraId="358CAF5F" w14:textId="1FA1869E"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23</w:t>
            </w:r>
          </w:p>
        </w:tc>
        <w:tc>
          <w:tcPr>
            <w:tcW w:w="997" w:type="dxa"/>
            <w:noWrap/>
            <w:vAlign w:val="bottom"/>
          </w:tcPr>
          <w:p w14:paraId="7130A873" w14:textId="12340B28" w:rsidR="0065176D" w:rsidRPr="0065176D" w:rsidRDefault="0065176D" w:rsidP="0065176D">
            <w:pPr>
              <w:contextualSpacing/>
              <w:jc w:val="right"/>
              <w:rPr>
                <w:rFonts w:cs="Arial"/>
                <w:color w:val="000000" w:themeColor="text1"/>
                <w:sz w:val="18"/>
                <w:szCs w:val="18"/>
              </w:rPr>
            </w:pPr>
            <w:r w:rsidRPr="0065176D">
              <w:rPr>
                <w:sz w:val="18"/>
                <w:szCs w:val="18"/>
              </w:rPr>
              <w:t>0,049</w:t>
            </w:r>
          </w:p>
        </w:tc>
        <w:tc>
          <w:tcPr>
            <w:tcW w:w="891" w:type="dxa"/>
            <w:shd w:val="clear" w:color="000000" w:fill="FFFFFF"/>
            <w:noWrap/>
            <w:vAlign w:val="center"/>
          </w:tcPr>
          <w:p w14:paraId="72BB34EB" w14:textId="1A2FA235"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3</w:t>
            </w:r>
          </w:p>
        </w:tc>
        <w:tc>
          <w:tcPr>
            <w:tcW w:w="976" w:type="dxa"/>
            <w:noWrap/>
            <w:vAlign w:val="bottom"/>
          </w:tcPr>
          <w:p w14:paraId="12EA0001" w14:textId="10040780" w:rsidR="0065176D" w:rsidRPr="0065176D" w:rsidRDefault="0065176D" w:rsidP="0065176D">
            <w:pPr>
              <w:contextualSpacing/>
              <w:jc w:val="right"/>
              <w:rPr>
                <w:rFonts w:cs="Arial"/>
                <w:color w:val="000000" w:themeColor="text1"/>
                <w:sz w:val="18"/>
                <w:szCs w:val="18"/>
              </w:rPr>
            </w:pPr>
            <w:r w:rsidRPr="0065176D">
              <w:rPr>
                <w:sz w:val="18"/>
                <w:szCs w:val="18"/>
              </w:rPr>
              <w:t>4,619</w:t>
            </w:r>
          </w:p>
        </w:tc>
        <w:tc>
          <w:tcPr>
            <w:tcW w:w="651" w:type="dxa"/>
            <w:shd w:val="clear" w:color="000000" w:fill="FFFFFF"/>
            <w:noWrap/>
            <w:vAlign w:val="center"/>
          </w:tcPr>
          <w:p w14:paraId="360ED7BE" w14:textId="04D11119"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12</w:t>
            </w:r>
          </w:p>
        </w:tc>
        <w:tc>
          <w:tcPr>
            <w:tcW w:w="1047" w:type="dxa"/>
            <w:noWrap/>
            <w:vAlign w:val="bottom"/>
          </w:tcPr>
          <w:p w14:paraId="72776265" w14:textId="6E055AB2" w:rsidR="0065176D" w:rsidRPr="0065176D" w:rsidRDefault="0065176D" w:rsidP="0065176D">
            <w:pPr>
              <w:contextualSpacing/>
              <w:jc w:val="right"/>
              <w:rPr>
                <w:rFonts w:cs="Arial"/>
                <w:color w:val="000000" w:themeColor="text1"/>
                <w:sz w:val="18"/>
                <w:szCs w:val="18"/>
              </w:rPr>
            </w:pPr>
            <w:r w:rsidRPr="0065176D">
              <w:rPr>
                <w:sz w:val="18"/>
                <w:szCs w:val="18"/>
              </w:rPr>
              <w:t>30,539</w:t>
            </w:r>
          </w:p>
        </w:tc>
        <w:tc>
          <w:tcPr>
            <w:tcW w:w="615" w:type="dxa"/>
            <w:shd w:val="clear" w:color="000000" w:fill="FFFFFF"/>
            <w:noWrap/>
            <w:vAlign w:val="center"/>
          </w:tcPr>
          <w:p w14:paraId="6906BCBE" w14:textId="728189B2"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32</w:t>
            </w:r>
          </w:p>
        </w:tc>
        <w:tc>
          <w:tcPr>
            <w:tcW w:w="867" w:type="dxa"/>
            <w:noWrap/>
            <w:vAlign w:val="bottom"/>
          </w:tcPr>
          <w:p w14:paraId="4283AF32" w14:textId="79251CD9" w:rsidR="0065176D" w:rsidRPr="0065176D" w:rsidRDefault="0065176D" w:rsidP="0065176D">
            <w:pPr>
              <w:contextualSpacing/>
              <w:jc w:val="right"/>
              <w:rPr>
                <w:rFonts w:cs="Arial"/>
                <w:color w:val="000000" w:themeColor="text1"/>
                <w:sz w:val="18"/>
                <w:szCs w:val="18"/>
              </w:rPr>
            </w:pPr>
            <w:r w:rsidRPr="0065176D">
              <w:rPr>
                <w:sz w:val="18"/>
                <w:szCs w:val="18"/>
              </w:rPr>
              <w:t>0,659</w:t>
            </w:r>
          </w:p>
        </w:tc>
        <w:tc>
          <w:tcPr>
            <w:tcW w:w="615" w:type="dxa"/>
            <w:shd w:val="clear" w:color="000000" w:fill="FFFFFF"/>
            <w:noWrap/>
            <w:vAlign w:val="center"/>
          </w:tcPr>
          <w:p w14:paraId="50E4F9C3" w14:textId="6C7F0F6F"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26</w:t>
            </w:r>
          </w:p>
        </w:tc>
        <w:tc>
          <w:tcPr>
            <w:tcW w:w="866" w:type="dxa"/>
            <w:noWrap/>
            <w:vAlign w:val="bottom"/>
          </w:tcPr>
          <w:p w14:paraId="7B4E9D8E" w14:textId="2ADF86D8" w:rsidR="0065176D" w:rsidRPr="0065176D" w:rsidRDefault="0065176D" w:rsidP="0065176D">
            <w:pPr>
              <w:contextualSpacing/>
              <w:jc w:val="right"/>
              <w:rPr>
                <w:rFonts w:cs="Arial"/>
                <w:b/>
                <w:color w:val="000000" w:themeColor="text1"/>
                <w:sz w:val="18"/>
                <w:szCs w:val="18"/>
              </w:rPr>
            </w:pPr>
            <w:r w:rsidRPr="0065176D">
              <w:rPr>
                <w:b/>
                <w:sz w:val="18"/>
                <w:szCs w:val="18"/>
              </w:rPr>
              <w:t>96,449</w:t>
            </w:r>
          </w:p>
        </w:tc>
        <w:tc>
          <w:tcPr>
            <w:tcW w:w="615" w:type="dxa"/>
            <w:shd w:val="clear" w:color="000000" w:fill="FFFFFF"/>
            <w:noWrap/>
            <w:vAlign w:val="center"/>
          </w:tcPr>
          <w:p w14:paraId="11FF4A1F" w14:textId="0EEB6071"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96</w:t>
            </w:r>
          </w:p>
        </w:tc>
      </w:tr>
      <w:tr w:rsidR="0065176D" w:rsidRPr="003B40B5" w14:paraId="4688DD56" w14:textId="77777777" w:rsidTr="000B09E7">
        <w:trPr>
          <w:trHeight w:val="271"/>
        </w:trPr>
        <w:tc>
          <w:tcPr>
            <w:tcW w:w="684" w:type="dxa"/>
            <w:noWrap/>
            <w:vAlign w:val="bottom"/>
          </w:tcPr>
          <w:p w14:paraId="58310CF2" w14:textId="77777777" w:rsidR="0065176D" w:rsidRPr="003B40B5" w:rsidRDefault="0065176D" w:rsidP="0065176D">
            <w:pPr>
              <w:contextualSpacing/>
              <w:rPr>
                <w:b/>
                <w:bCs/>
                <w:color w:val="000000" w:themeColor="text1"/>
                <w:sz w:val="16"/>
                <w:szCs w:val="16"/>
              </w:rPr>
            </w:pPr>
            <w:r w:rsidRPr="003B40B5">
              <w:rPr>
                <w:b/>
                <w:bCs/>
                <w:color w:val="000000" w:themeColor="text1"/>
                <w:sz w:val="16"/>
                <w:szCs w:val="16"/>
              </w:rPr>
              <w:t>Moravy</w:t>
            </w:r>
          </w:p>
        </w:tc>
        <w:tc>
          <w:tcPr>
            <w:tcW w:w="1056" w:type="dxa"/>
            <w:noWrap/>
            <w:vAlign w:val="bottom"/>
          </w:tcPr>
          <w:p w14:paraId="6CCA9147" w14:textId="2C9309DC" w:rsidR="0065176D" w:rsidRPr="0065176D" w:rsidRDefault="0065176D" w:rsidP="0065176D">
            <w:pPr>
              <w:contextualSpacing/>
              <w:jc w:val="right"/>
              <w:rPr>
                <w:rFonts w:cs="Arial"/>
                <w:color w:val="000000" w:themeColor="text1"/>
                <w:sz w:val="18"/>
                <w:szCs w:val="18"/>
              </w:rPr>
            </w:pPr>
            <w:r w:rsidRPr="0065176D">
              <w:rPr>
                <w:sz w:val="18"/>
                <w:szCs w:val="18"/>
              </w:rPr>
              <w:t>36,226</w:t>
            </w:r>
          </w:p>
        </w:tc>
        <w:tc>
          <w:tcPr>
            <w:tcW w:w="731" w:type="dxa"/>
            <w:shd w:val="clear" w:color="000000" w:fill="FFFFFF"/>
            <w:noWrap/>
            <w:vAlign w:val="center"/>
          </w:tcPr>
          <w:p w14:paraId="32344A2E" w14:textId="7081B539"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36</w:t>
            </w:r>
          </w:p>
        </w:tc>
        <w:tc>
          <w:tcPr>
            <w:tcW w:w="997" w:type="dxa"/>
            <w:noWrap/>
            <w:vAlign w:val="bottom"/>
          </w:tcPr>
          <w:p w14:paraId="1B0E8414" w14:textId="23452B24" w:rsidR="0065176D" w:rsidRPr="0065176D" w:rsidRDefault="0065176D" w:rsidP="0065176D">
            <w:pPr>
              <w:contextualSpacing/>
              <w:jc w:val="right"/>
              <w:rPr>
                <w:rFonts w:cs="Arial"/>
                <w:color w:val="000000" w:themeColor="text1"/>
                <w:sz w:val="18"/>
                <w:szCs w:val="18"/>
              </w:rPr>
            </w:pPr>
            <w:r w:rsidRPr="0065176D">
              <w:rPr>
                <w:sz w:val="18"/>
                <w:szCs w:val="18"/>
              </w:rPr>
              <w:t>10,568</w:t>
            </w:r>
          </w:p>
        </w:tc>
        <w:tc>
          <w:tcPr>
            <w:tcW w:w="891" w:type="dxa"/>
            <w:shd w:val="clear" w:color="000000" w:fill="FFFFFF"/>
            <w:noWrap/>
            <w:vAlign w:val="center"/>
          </w:tcPr>
          <w:p w14:paraId="16EDC40B" w14:textId="1C48235B"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49</w:t>
            </w:r>
          </w:p>
        </w:tc>
        <w:tc>
          <w:tcPr>
            <w:tcW w:w="976" w:type="dxa"/>
            <w:noWrap/>
            <w:vAlign w:val="bottom"/>
          </w:tcPr>
          <w:p w14:paraId="3A868621" w14:textId="78A68BCA" w:rsidR="0065176D" w:rsidRPr="0065176D" w:rsidRDefault="0065176D" w:rsidP="0065176D">
            <w:pPr>
              <w:contextualSpacing/>
              <w:jc w:val="right"/>
              <w:rPr>
                <w:rFonts w:cs="Arial"/>
                <w:color w:val="000000" w:themeColor="text1"/>
                <w:sz w:val="18"/>
                <w:szCs w:val="18"/>
              </w:rPr>
            </w:pPr>
            <w:r w:rsidRPr="0065176D">
              <w:rPr>
                <w:sz w:val="18"/>
                <w:szCs w:val="18"/>
              </w:rPr>
              <w:t>53,363</w:t>
            </w:r>
          </w:p>
        </w:tc>
        <w:tc>
          <w:tcPr>
            <w:tcW w:w="651" w:type="dxa"/>
            <w:shd w:val="clear" w:color="000000" w:fill="FFFFFF"/>
            <w:noWrap/>
            <w:vAlign w:val="center"/>
          </w:tcPr>
          <w:p w14:paraId="55D4794D" w14:textId="2FC3F941"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9</w:t>
            </w:r>
          </w:p>
        </w:tc>
        <w:tc>
          <w:tcPr>
            <w:tcW w:w="1047" w:type="dxa"/>
            <w:noWrap/>
            <w:vAlign w:val="bottom"/>
          </w:tcPr>
          <w:p w14:paraId="533E6C98" w14:textId="57694088" w:rsidR="0065176D" w:rsidRPr="0065176D" w:rsidRDefault="0065176D" w:rsidP="0065176D">
            <w:pPr>
              <w:contextualSpacing/>
              <w:jc w:val="right"/>
              <w:rPr>
                <w:rFonts w:cs="Arial"/>
                <w:color w:val="000000" w:themeColor="text1"/>
                <w:sz w:val="18"/>
                <w:szCs w:val="18"/>
              </w:rPr>
            </w:pPr>
            <w:r w:rsidRPr="0065176D">
              <w:rPr>
                <w:sz w:val="18"/>
                <w:szCs w:val="18"/>
              </w:rPr>
              <w:t>9,591</w:t>
            </w:r>
          </w:p>
        </w:tc>
        <w:tc>
          <w:tcPr>
            <w:tcW w:w="615" w:type="dxa"/>
            <w:shd w:val="clear" w:color="000000" w:fill="FFFFFF"/>
            <w:noWrap/>
            <w:vAlign w:val="center"/>
          </w:tcPr>
          <w:p w14:paraId="1CD8D318" w14:textId="1D4F5F85"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49</w:t>
            </w:r>
          </w:p>
        </w:tc>
        <w:tc>
          <w:tcPr>
            <w:tcW w:w="867" w:type="dxa"/>
            <w:noWrap/>
            <w:vAlign w:val="bottom"/>
          </w:tcPr>
          <w:p w14:paraId="45270B52" w14:textId="2141B955" w:rsidR="0065176D" w:rsidRPr="0065176D" w:rsidRDefault="0065176D" w:rsidP="0065176D">
            <w:pPr>
              <w:contextualSpacing/>
              <w:jc w:val="right"/>
              <w:rPr>
                <w:rFonts w:cs="Arial"/>
                <w:color w:val="000000" w:themeColor="text1"/>
                <w:sz w:val="18"/>
                <w:szCs w:val="18"/>
              </w:rPr>
            </w:pPr>
            <w:r w:rsidRPr="0065176D">
              <w:rPr>
                <w:sz w:val="18"/>
                <w:szCs w:val="18"/>
              </w:rPr>
              <w:t>1,378</w:t>
            </w:r>
          </w:p>
        </w:tc>
        <w:tc>
          <w:tcPr>
            <w:tcW w:w="615" w:type="dxa"/>
            <w:shd w:val="clear" w:color="000000" w:fill="FFFFFF"/>
            <w:noWrap/>
            <w:vAlign w:val="center"/>
          </w:tcPr>
          <w:p w14:paraId="05EA2D32" w14:textId="07E3C385"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65</w:t>
            </w:r>
          </w:p>
        </w:tc>
        <w:tc>
          <w:tcPr>
            <w:tcW w:w="866" w:type="dxa"/>
            <w:noWrap/>
            <w:vAlign w:val="bottom"/>
          </w:tcPr>
          <w:p w14:paraId="03D499EE" w14:textId="5781162F" w:rsidR="0065176D" w:rsidRPr="0065176D" w:rsidRDefault="0065176D" w:rsidP="0065176D">
            <w:pPr>
              <w:contextualSpacing/>
              <w:jc w:val="right"/>
              <w:rPr>
                <w:rFonts w:cs="Arial"/>
                <w:b/>
                <w:color w:val="000000" w:themeColor="text1"/>
                <w:sz w:val="18"/>
                <w:szCs w:val="18"/>
              </w:rPr>
            </w:pPr>
            <w:r w:rsidRPr="0065176D">
              <w:rPr>
                <w:b/>
                <w:sz w:val="18"/>
                <w:szCs w:val="18"/>
              </w:rPr>
              <w:t>111,126</w:t>
            </w:r>
          </w:p>
        </w:tc>
        <w:tc>
          <w:tcPr>
            <w:tcW w:w="615" w:type="dxa"/>
            <w:shd w:val="clear" w:color="000000" w:fill="FFFFFF"/>
            <w:noWrap/>
            <w:vAlign w:val="center"/>
          </w:tcPr>
          <w:p w14:paraId="0E21ECDF" w14:textId="788AFC1B" w:rsidR="0065176D" w:rsidRPr="0065176D" w:rsidRDefault="0065176D" w:rsidP="0065176D">
            <w:pPr>
              <w:contextualSpacing/>
              <w:jc w:val="center"/>
              <w:rPr>
                <w:rFonts w:cs="Arial"/>
                <w:color w:val="000000" w:themeColor="text1"/>
                <w:sz w:val="18"/>
                <w:szCs w:val="18"/>
                <w:lang w:eastAsia="cs-CZ"/>
              </w:rPr>
            </w:pPr>
            <w:r w:rsidRPr="0065176D">
              <w:rPr>
                <w:rFonts w:cs="Arial"/>
                <w:color w:val="000000"/>
                <w:sz w:val="18"/>
                <w:szCs w:val="18"/>
              </w:rPr>
              <w:t>208</w:t>
            </w:r>
          </w:p>
        </w:tc>
      </w:tr>
      <w:tr w:rsidR="0065176D" w:rsidRPr="003B40B5" w14:paraId="106CF715" w14:textId="77777777" w:rsidTr="000B09E7">
        <w:trPr>
          <w:trHeight w:val="271"/>
        </w:trPr>
        <w:tc>
          <w:tcPr>
            <w:tcW w:w="684" w:type="dxa"/>
            <w:shd w:val="clear" w:color="auto" w:fill="D9D9D9"/>
            <w:noWrap/>
            <w:vAlign w:val="bottom"/>
          </w:tcPr>
          <w:p w14:paraId="0B9FFA2C" w14:textId="77777777" w:rsidR="0065176D" w:rsidRPr="003B40B5" w:rsidRDefault="0065176D" w:rsidP="0065176D">
            <w:pPr>
              <w:contextualSpacing/>
              <w:rPr>
                <w:b/>
                <w:bCs/>
                <w:color w:val="000000" w:themeColor="text1"/>
                <w:sz w:val="16"/>
                <w:szCs w:val="16"/>
              </w:rPr>
            </w:pPr>
            <w:r w:rsidRPr="003B40B5">
              <w:rPr>
                <w:b/>
                <w:bCs/>
                <w:color w:val="000000" w:themeColor="text1"/>
                <w:sz w:val="16"/>
                <w:szCs w:val="16"/>
              </w:rPr>
              <w:t>Celkem</w:t>
            </w:r>
          </w:p>
        </w:tc>
        <w:tc>
          <w:tcPr>
            <w:tcW w:w="1056" w:type="dxa"/>
            <w:shd w:val="clear" w:color="auto" w:fill="D9D9D9"/>
            <w:noWrap/>
            <w:vAlign w:val="bottom"/>
          </w:tcPr>
          <w:p w14:paraId="134D19DE" w14:textId="0BBB2AB7" w:rsidR="0065176D" w:rsidRPr="0065176D" w:rsidRDefault="0065176D" w:rsidP="0065176D">
            <w:pPr>
              <w:contextualSpacing/>
              <w:jc w:val="right"/>
              <w:rPr>
                <w:rFonts w:cs="Arial"/>
                <w:b/>
                <w:bCs/>
                <w:color w:val="000000" w:themeColor="text1"/>
                <w:sz w:val="18"/>
                <w:szCs w:val="18"/>
              </w:rPr>
            </w:pPr>
            <w:r w:rsidRPr="0065176D">
              <w:rPr>
                <w:b/>
                <w:sz w:val="18"/>
                <w:szCs w:val="18"/>
              </w:rPr>
              <w:t>313,916</w:t>
            </w:r>
          </w:p>
        </w:tc>
        <w:tc>
          <w:tcPr>
            <w:tcW w:w="731" w:type="dxa"/>
            <w:shd w:val="clear" w:color="auto" w:fill="D9D9D9"/>
            <w:noWrap/>
            <w:vAlign w:val="center"/>
          </w:tcPr>
          <w:p w14:paraId="0FE60FC0" w14:textId="438D4E4B" w:rsidR="0065176D" w:rsidRPr="0065176D" w:rsidRDefault="0065176D" w:rsidP="0065176D">
            <w:pPr>
              <w:contextualSpacing/>
              <w:jc w:val="center"/>
              <w:rPr>
                <w:rFonts w:cs="Arial"/>
                <w:b/>
                <w:bCs/>
                <w:color w:val="000000" w:themeColor="text1"/>
                <w:sz w:val="18"/>
                <w:szCs w:val="18"/>
                <w:lang w:eastAsia="cs-CZ"/>
              </w:rPr>
            </w:pPr>
            <w:r w:rsidRPr="0065176D">
              <w:rPr>
                <w:rFonts w:cs="Arial"/>
                <w:b/>
                <w:bCs/>
                <w:color w:val="000000"/>
                <w:sz w:val="18"/>
                <w:szCs w:val="18"/>
              </w:rPr>
              <w:t>140</w:t>
            </w:r>
          </w:p>
        </w:tc>
        <w:tc>
          <w:tcPr>
            <w:tcW w:w="997" w:type="dxa"/>
            <w:shd w:val="clear" w:color="auto" w:fill="D9D9D9"/>
            <w:noWrap/>
            <w:vAlign w:val="bottom"/>
          </w:tcPr>
          <w:p w14:paraId="07F6F1C6" w14:textId="7BC4E10B" w:rsidR="0065176D" w:rsidRPr="0065176D" w:rsidRDefault="0065176D" w:rsidP="0065176D">
            <w:pPr>
              <w:contextualSpacing/>
              <w:jc w:val="right"/>
              <w:rPr>
                <w:rFonts w:cs="Arial"/>
                <w:b/>
                <w:color w:val="000000" w:themeColor="text1"/>
                <w:sz w:val="18"/>
                <w:szCs w:val="18"/>
              </w:rPr>
            </w:pPr>
            <w:r w:rsidRPr="0065176D">
              <w:rPr>
                <w:b/>
                <w:sz w:val="18"/>
                <w:szCs w:val="18"/>
              </w:rPr>
              <w:t>24,300</w:t>
            </w:r>
          </w:p>
        </w:tc>
        <w:tc>
          <w:tcPr>
            <w:tcW w:w="891" w:type="dxa"/>
            <w:shd w:val="clear" w:color="auto" w:fill="D9D9D9"/>
            <w:noWrap/>
            <w:vAlign w:val="center"/>
          </w:tcPr>
          <w:p w14:paraId="27A5F52D" w14:textId="70FC6669" w:rsidR="0065176D" w:rsidRPr="0065176D" w:rsidRDefault="0065176D" w:rsidP="0065176D">
            <w:pPr>
              <w:contextualSpacing/>
              <w:jc w:val="center"/>
              <w:rPr>
                <w:rFonts w:cs="Arial"/>
                <w:b/>
                <w:bCs/>
                <w:color w:val="000000" w:themeColor="text1"/>
                <w:sz w:val="18"/>
                <w:szCs w:val="18"/>
                <w:lang w:eastAsia="cs-CZ"/>
              </w:rPr>
            </w:pPr>
            <w:r w:rsidRPr="0065176D">
              <w:rPr>
                <w:rFonts w:cs="Arial"/>
                <w:b/>
                <w:bCs/>
                <w:color w:val="000000"/>
                <w:sz w:val="18"/>
                <w:szCs w:val="18"/>
              </w:rPr>
              <w:t>192</w:t>
            </w:r>
          </w:p>
        </w:tc>
        <w:tc>
          <w:tcPr>
            <w:tcW w:w="976" w:type="dxa"/>
            <w:shd w:val="clear" w:color="auto" w:fill="D9D9D9"/>
            <w:noWrap/>
            <w:vAlign w:val="bottom"/>
          </w:tcPr>
          <w:p w14:paraId="24BB7453" w14:textId="47708336" w:rsidR="0065176D" w:rsidRPr="0065176D" w:rsidRDefault="0065176D" w:rsidP="0065176D">
            <w:pPr>
              <w:contextualSpacing/>
              <w:jc w:val="right"/>
              <w:rPr>
                <w:rFonts w:cs="Arial"/>
                <w:b/>
                <w:color w:val="000000" w:themeColor="text1"/>
                <w:sz w:val="18"/>
                <w:szCs w:val="18"/>
              </w:rPr>
            </w:pPr>
            <w:r w:rsidRPr="0065176D">
              <w:rPr>
                <w:b/>
                <w:sz w:val="18"/>
                <w:szCs w:val="18"/>
              </w:rPr>
              <w:t>302,846</w:t>
            </w:r>
          </w:p>
        </w:tc>
        <w:tc>
          <w:tcPr>
            <w:tcW w:w="651" w:type="dxa"/>
            <w:shd w:val="clear" w:color="auto" w:fill="D9D9D9"/>
            <w:noWrap/>
            <w:vAlign w:val="center"/>
          </w:tcPr>
          <w:p w14:paraId="466A57BD" w14:textId="42373DE9" w:rsidR="0065176D" w:rsidRPr="0065176D" w:rsidRDefault="0065176D" w:rsidP="0065176D">
            <w:pPr>
              <w:contextualSpacing/>
              <w:jc w:val="center"/>
              <w:rPr>
                <w:rFonts w:cs="Arial"/>
                <w:b/>
                <w:bCs/>
                <w:color w:val="000000" w:themeColor="text1"/>
                <w:sz w:val="18"/>
                <w:szCs w:val="18"/>
                <w:lang w:eastAsia="cs-CZ"/>
              </w:rPr>
            </w:pPr>
            <w:r w:rsidRPr="0065176D">
              <w:rPr>
                <w:rFonts w:cs="Arial"/>
                <w:b/>
                <w:bCs/>
                <w:color w:val="000000"/>
                <w:sz w:val="18"/>
                <w:szCs w:val="18"/>
              </w:rPr>
              <w:t>51</w:t>
            </w:r>
          </w:p>
        </w:tc>
        <w:tc>
          <w:tcPr>
            <w:tcW w:w="1047" w:type="dxa"/>
            <w:shd w:val="clear" w:color="auto" w:fill="D9D9D9"/>
            <w:noWrap/>
            <w:vAlign w:val="bottom"/>
          </w:tcPr>
          <w:p w14:paraId="78B4C15A" w14:textId="7E4BE956" w:rsidR="0065176D" w:rsidRPr="0065176D" w:rsidRDefault="0065176D" w:rsidP="0065176D">
            <w:pPr>
              <w:contextualSpacing/>
              <w:jc w:val="right"/>
              <w:rPr>
                <w:rFonts w:cs="Arial"/>
                <w:b/>
                <w:color w:val="000000" w:themeColor="text1"/>
                <w:sz w:val="18"/>
                <w:szCs w:val="18"/>
              </w:rPr>
            </w:pPr>
            <w:r w:rsidRPr="0065176D">
              <w:rPr>
                <w:b/>
                <w:sz w:val="18"/>
                <w:szCs w:val="18"/>
              </w:rPr>
              <w:t>147,616</w:t>
            </w:r>
          </w:p>
        </w:tc>
        <w:tc>
          <w:tcPr>
            <w:tcW w:w="615" w:type="dxa"/>
            <w:shd w:val="clear" w:color="auto" w:fill="D9D9D9"/>
            <w:noWrap/>
            <w:vAlign w:val="center"/>
          </w:tcPr>
          <w:p w14:paraId="496A95C7" w14:textId="4B1594C8" w:rsidR="0065176D" w:rsidRPr="0065176D" w:rsidRDefault="0065176D" w:rsidP="0065176D">
            <w:pPr>
              <w:contextualSpacing/>
              <w:jc w:val="center"/>
              <w:rPr>
                <w:rFonts w:cs="Arial"/>
                <w:b/>
                <w:bCs/>
                <w:color w:val="000000" w:themeColor="text1"/>
                <w:sz w:val="18"/>
                <w:szCs w:val="18"/>
                <w:lang w:eastAsia="cs-CZ"/>
              </w:rPr>
            </w:pPr>
            <w:r w:rsidRPr="0065176D">
              <w:rPr>
                <w:rFonts w:cs="Arial"/>
                <w:b/>
                <w:bCs/>
                <w:color w:val="000000"/>
                <w:sz w:val="18"/>
                <w:szCs w:val="18"/>
              </w:rPr>
              <w:t>236</w:t>
            </w:r>
          </w:p>
        </w:tc>
        <w:tc>
          <w:tcPr>
            <w:tcW w:w="867" w:type="dxa"/>
            <w:shd w:val="clear" w:color="auto" w:fill="D9D9D9"/>
            <w:noWrap/>
            <w:vAlign w:val="bottom"/>
          </w:tcPr>
          <w:p w14:paraId="1900C558" w14:textId="62EB0872" w:rsidR="0065176D" w:rsidRPr="0065176D" w:rsidRDefault="0065176D" w:rsidP="0065176D">
            <w:pPr>
              <w:contextualSpacing/>
              <w:jc w:val="right"/>
              <w:rPr>
                <w:rFonts w:cs="Arial"/>
                <w:b/>
                <w:color w:val="000000" w:themeColor="text1"/>
                <w:sz w:val="18"/>
                <w:szCs w:val="18"/>
              </w:rPr>
            </w:pPr>
            <w:r w:rsidRPr="0065176D">
              <w:rPr>
                <w:b/>
                <w:sz w:val="18"/>
                <w:szCs w:val="18"/>
              </w:rPr>
              <w:t>12,784</w:t>
            </w:r>
          </w:p>
        </w:tc>
        <w:tc>
          <w:tcPr>
            <w:tcW w:w="615" w:type="dxa"/>
            <w:shd w:val="clear" w:color="auto" w:fill="D9D9D9"/>
            <w:noWrap/>
            <w:vAlign w:val="center"/>
          </w:tcPr>
          <w:p w14:paraId="4D9F7079" w14:textId="24F5E711" w:rsidR="0065176D" w:rsidRPr="0065176D" w:rsidRDefault="0065176D" w:rsidP="0065176D">
            <w:pPr>
              <w:contextualSpacing/>
              <w:jc w:val="center"/>
              <w:rPr>
                <w:rFonts w:cs="Arial"/>
                <w:b/>
                <w:bCs/>
                <w:color w:val="000000" w:themeColor="text1"/>
                <w:sz w:val="18"/>
                <w:szCs w:val="18"/>
                <w:lang w:eastAsia="cs-CZ"/>
              </w:rPr>
            </w:pPr>
            <w:r w:rsidRPr="0065176D">
              <w:rPr>
                <w:rFonts w:cs="Arial"/>
                <w:b/>
                <w:bCs/>
                <w:color w:val="000000"/>
                <w:sz w:val="18"/>
                <w:szCs w:val="18"/>
              </w:rPr>
              <w:t>296</w:t>
            </w:r>
          </w:p>
        </w:tc>
        <w:tc>
          <w:tcPr>
            <w:tcW w:w="866" w:type="dxa"/>
            <w:shd w:val="clear" w:color="auto" w:fill="D9D9D9"/>
            <w:noWrap/>
            <w:vAlign w:val="bottom"/>
          </w:tcPr>
          <w:p w14:paraId="78AAB1F0" w14:textId="533B6143" w:rsidR="0065176D" w:rsidRPr="0065176D" w:rsidRDefault="0065176D" w:rsidP="0065176D">
            <w:pPr>
              <w:contextualSpacing/>
              <w:jc w:val="right"/>
              <w:rPr>
                <w:rFonts w:cs="Arial"/>
                <w:b/>
                <w:color w:val="000000" w:themeColor="text1"/>
                <w:sz w:val="18"/>
                <w:szCs w:val="18"/>
              </w:rPr>
            </w:pPr>
            <w:r w:rsidRPr="0065176D">
              <w:rPr>
                <w:b/>
                <w:sz w:val="18"/>
                <w:szCs w:val="18"/>
              </w:rPr>
              <w:t>801,462</w:t>
            </w:r>
          </w:p>
        </w:tc>
        <w:tc>
          <w:tcPr>
            <w:tcW w:w="615" w:type="dxa"/>
            <w:shd w:val="clear" w:color="auto" w:fill="D9D9D9"/>
            <w:noWrap/>
            <w:vAlign w:val="center"/>
          </w:tcPr>
          <w:p w14:paraId="4779382D" w14:textId="3E3AF0F0" w:rsidR="0065176D" w:rsidRPr="0065176D" w:rsidRDefault="0065176D" w:rsidP="0065176D">
            <w:pPr>
              <w:contextualSpacing/>
              <w:jc w:val="center"/>
              <w:rPr>
                <w:rFonts w:cs="Arial"/>
                <w:b/>
                <w:bCs/>
                <w:color w:val="000000" w:themeColor="text1"/>
                <w:sz w:val="18"/>
                <w:szCs w:val="18"/>
                <w:lang w:eastAsia="cs-CZ"/>
              </w:rPr>
            </w:pPr>
            <w:r w:rsidRPr="0065176D">
              <w:rPr>
                <w:rFonts w:cs="Arial"/>
                <w:b/>
                <w:bCs/>
                <w:color w:val="000000"/>
                <w:sz w:val="18"/>
                <w:szCs w:val="18"/>
              </w:rPr>
              <w:t>915</w:t>
            </w:r>
          </w:p>
        </w:tc>
      </w:tr>
    </w:tbl>
    <w:p w14:paraId="40B431DA" w14:textId="441527C7" w:rsidR="0027267B" w:rsidRPr="003B40B5" w:rsidRDefault="00D449D5" w:rsidP="0027267B">
      <w:pPr>
        <w:contextualSpacing/>
        <w:rPr>
          <w:i/>
          <w:color w:val="000000" w:themeColor="text1"/>
          <w:sz w:val="20"/>
          <w:szCs w:val="20"/>
        </w:rPr>
      </w:pPr>
      <w:r w:rsidRPr="003B40B5">
        <w:rPr>
          <w:i/>
          <w:color w:val="000000" w:themeColor="text1"/>
          <w:sz w:val="20"/>
          <w:szCs w:val="20"/>
        </w:rPr>
        <w:t xml:space="preserve">Pramen: </w:t>
      </w:r>
      <w:r w:rsidR="00CB70B5" w:rsidRPr="003B40B5">
        <w:rPr>
          <w:i/>
          <w:color w:val="000000" w:themeColor="text1"/>
          <w:sz w:val="20"/>
          <w:szCs w:val="20"/>
        </w:rPr>
        <w:t>s</w:t>
      </w:r>
      <w:r w:rsidRPr="003B40B5">
        <w:rPr>
          <w:i/>
          <w:color w:val="000000" w:themeColor="text1"/>
          <w:sz w:val="20"/>
          <w:szCs w:val="20"/>
        </w:rPr>
        <w:t>. p. Povodí</w:t>
      </w:r>
    </w:p>
    <w:p w14:paraId="1820CFDF" w14:textId="77777777" w:rsidR="005C6CFC" w:rsidRPr="003B40B5" w:rsidRDefault="005C6CFC" w:rsidP="0027267B">
      <w:pPr>
        <w:contextualSpacing/>
        <w:rPr>
          <w:b/>
          <w:i/>
          <w:color w:val="000000" w:themeColor="text1"/>
        </w:rPr>
      </w:pPr>
    </w:p>
    <w:p w14:paraId="6352E548" w14:textId="501A32EF" w:rsidR="0027267B" w:rsidRPr="001C40AA" w:rsidRDefault="00D449D5" w:rsidP="0027267B">
      <w:pPr>
        <w:contextualSpacing/>
        <w:rPr>
          <w:b/>
          <w:i/>
          <w:color w:val="000000" w:themeColor="text1"/>
        </w:rPr>
      </w:pPr>
      <w:r w:rsidRPr="001C40AA">
        <w:rPr>
          <w:b/>
          <w:i/>
          <w:color w:val="000000" w:themeColor="text1"/>
        </w:rPr>
        <w:t>Graf 4.1.1</w:t>
      </w:r>
    </w:p>
    <w:p w14:paraId="2AF03F32" w14:textId="5860CB43" w:rsidR="00BC5172" w:rsidRPr="001C40AA" w:rsidRDefault="00D449D5" w:rsidP="0027267B">
      <w:pPr>
        <w:contextualSpacing/>
        <w:rPr>
          <w:b/>
          <w:i/>
          <w:color w:val="000000" w:themeColor="text1"/>
        </w:rPr>
      </w:pPr>
      <w:r w:rsidRPr="001C40AA">
        <w:rPr>
          <w:b/>
          <w:i/>
          <w:color w:val="000000" w:themeColor="text1"/>
        </w:rPr>
        <w:t>Odběry povrchových vod v Če</w:t>
      </w:r>
      <w:r w:rsidR="00465B3F" w:rsidRPr="001C40AA">
        <w:rPr>
          <w:b/>
          <w:i/>
          <w:color w:val="000000" w:themeColor="text1"/>
        </w:rPr>
        <w:t>ské republice dle odvětví v letech 1980–</w:t>
      </w:r>
      <w:r w:rsidR="00A731F2" w:rsidRPr="001C40AA">
        <w:rPr>
          <w:b/>
          <w:i/>
          <w:color w:val="000000" w:themeColor="text1"/>
        </w:rPr>
        <w:t>202</w:t>
      </w:r>
      <w:r w:rsidR="001C40AA">
        <w:rPr>
          <w:b/>
          <w:i/>
          <w:color w:val="000000" w:themeColor="text1"/>
        </w:rPr>
        <w:t>5</w:t>
      </w:r>
    </w:p>
    <w:p w14:paraId="5DB51BD5" w14:textId="121B657D" w:rsidR="00DB722A" w:rsidRPr="00104F7D" w:rsidRDefault="00726AB8" w:rsidP="007C4955">
      <w:pPr>
        <w:keepNext/>
        <w:keepLines/>
        <w:contextualSpacing/>
        <w:rPr>
          <w:noProof/>
          <w:color w:val="FF0000"/>
          <w:highlight w:val="yellow"/>
          <w:lang w:eastAsia="cs-CZ"/>
        </w:rPr>
      </w:pPr>
      <w:r>
        <w:rPr>
          <w:noProof/>
        </w:rPr>
        <w:drawing>
          <wp:inline distT="0" distB="0" distL="0" distR="0" wp14:anchorId="401116AC" wp14:editId="5D614A11">
            <wp:extent cx="5314950" cy="2857868"/>
            <wp:effectExtent l="0" t="0" r="0" b="0"/>
            <wp:docPr id="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338501" cy="2870532"/>
                    </a:xfrm>
                    <a:prstGeom prst="rect">
                      <a:avLst/>
                    </a:prstGeom>
                    <a:noFill/>
                  </pic:spPr>
                </pic:pic>
              </a:graphicData>
            </a:graphic>
          </wp:inline>
        </w:drawing>
      </w:r>
    </w:p>
    <w:p w14:paraId="07F99CD7" w14:textId="77777777" w:rsidR="00D449D5" w:rsidRPr="00726AB8" w:rsidRDefault="00D449D5" w:rsidP="007C4955">
      <w:pPr>
        <w:keepNext/>
        <w:keepLines/>
        <w:contextualSpacing/>
        <w:rPr>
          <w:i/>
          <w:color w:val="000000" w:themeColor="text1"/>
          <w:sz w:val="20"/>
          <w:szCs w:val="20"/>
        </w:rPr>
      </w:pPr>
      <w:r w:rsidRPr="00726AB8">
        <w:rPr>
          <w:i/>
          <w:color w:val="000000" w:themeColor="text1"/>
          <w:sz w:val="20"/>
          <w:szCs w:val="20"/>
        </w:rPr>
        <w:t>Pramen: VÚV TGM z podkladů s. p. Povodí</w:t>
      </w:r>
    </w:p>
    <w:p w14:paraId="0E028B26" w14:textId="0A4C4E0A" w:rsidR="00382358" w:rsidRPr="00104F7D" w:rsidRDefault="00382358" w:rsidP="007C4955">
      <w:pPr>
        <w:contextualSpacing/>
        <w:rPr>
          <w:rFonts w:cs="Arial"/>
          <w:color w:val="FF0000"/>
          <w:highlight w:val="yellow"/>
        </w:rPr>
      </w:pPr>
    </w:p>
    <w:p w14:paraId="6AF997D9" w14:textId="6B47A06B" w:rsidR="004C1676" w:rsidRPr="005556C5" w:rsidRDefault="004C1676" w:rsidP="007C4955">
      <w:pPr>
        <w:contextualSpacing/>
        <w:rPr>
          <w:b/>
          <w:i/>
        </w:rPr>
      </w:pPr>
      <w:r w:rsidRPr="005556C5">
        <w:rPr>
          <w:b/>
          <w:i/>
        </w:rPr>
        <w:lastRenderedPageBreak/>
        <w:t>Graf 4.1.2</w:t>
      </w:r>
    </w:p>
    <w:p w14:paraId="62BEADF9" w14:textId="1E9F9943" w:rsidR="00860D5B" w:rsidRPr="005556C5" w:rsidRDefault="004C1676" w:rsidP="007C4955">
      <w:pPr>
        <w:contextualSpacing/>
        <w:rPr>
          <w:b/>
          <w:i/>
        </w:rPr>
      </w:pPr>
      <w:r w:rsidRPr="005556C5">
        <w:rPr>
          <w:b/>
          <w:i/>
        </w:rPr>
        <w:t>Odběry povrchové vody v České republice v letech 1980–20</w:t>
      </w:r>
      <w:r w:rsidR="0027754F" w:rsidRPr="005556C5">
        <w:rPr>
          <w:b/>
          <w:i/>
        </w:rPr>
        <w:t>2</w:t>
      </w:r>
      <w:r w:rsidR="005556C5" w:rsidRPr="005556C5">
        <w:rPr>
          <w:b/>
          <w:i/>
        </w:rPr>
        <w:t>5</w:t>
      </w:r>
    </w:p>
    <w:p w14:paraId="1615233B" w14:textId="78D6ACD5" w:rsidR="005556C5" w:rsidRPr="005556C5" w:rsidRDefault="00B26296" w:rsidP="007C4955">
      <w:pPr>
        <w:contextualSpacing/>
        <w:rPr>
          <w:b/>
          <w:i/>
        </w:rPr>
      </w:pPr>
      <w:r>
        <w:rPr>
          <w:b/>
          <w:i/>
          <w:noProof/>
        </w:rPr>
        <w:drawing>
          <wp:inline distT="0" distB="0" distL="0" distR="0" wp14:anchorId="6830674A" wp14:editId="53AB8198">
            <wp:extent cx="6448425" cy="3621405"/>
            <wp:effectExtent l="0" t="0" r="9525" b="0"/>
            <wp:docPr id="191152240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448425" cy="3621405"/>
                    </a:xfrm>
                    <a:prstGeom prst="rect">
                      <a:avLst/>
                    </a:prstGeom>
                    <a:noFill/>
                  </pic:spPr>
                </pic:pic>
              </a:graphicData>
            </a:graphic>
          </wp:inline>
        </w:drawing>
      </w:r>
    </w:p>
    <w:p w14:paraId="270A538E" w14:textId="25EA3E88" w:rsidR="008B7337" w:rsidRPr="005556C5" w:rsidRDefault="008B7337" w:rsidP="007C4955">
      <w:pPr>
        <w:contextualSpacing/>
        <w:rPr>
          <w:b/>
          <w:i/>
          <w:color w:val="FF0000"/>
        </w:rPr>
      </w:pPr>
    </w:p>
    <w:p w14:paraId="722871D6" w14:textId="77777777" w:rsidR="004C1676" w:rsidRPr="005556C5" w:rsidRDefault="004C1676" w:rsidP="007C4955">
      <w:pPr>
        <w:contextualSpacing/>
        <w:rPr>
          <w:i/>
          <w:sz w:val="20"/>
          <w:szCs w:val="20"/>
        </w:rPr>
      </w:pPr>
      <w:r w:rsidRPr="005556C5">
        <w:rPr>
          <w:i/>
          <w:sz w:val="20"/>
          <w:szCs w:val="20"/>
        </w:rPr>
        <w:t xml:space="preserve">Pramen: </w:t>
      </w:r>
      <w:r w:rsidR="00A6633D" w:rsidRPr="005556C5">
        <w:rPr>
          <w:i/>
          <w:sz w:val="20"/>
          <w:szCs w:val="20"/>
        </w:rPr>
        <w:t>MZe z podkladů VÚV TGM a s. p. Povodí</w:t>
      </w:r>
    </w:p>
    <w:p w14:paraId="14A40060" w14:textId="77777777" w:rsidR="008B7337" w:rsidRPr="00104F7D" w:rsidRDefault="008B7337" w:rsidP="007C4955">
      <w:pPr>
        <w:contextualSpacing/>
        <w:rPr>
          <w:b/>
          <w:i/>
          <w:color w:val="FF0000"/>
          <w:sz w:val="18"/>
          <w:highlight w:val="yellow"/>
        </w:rPr>
      </w:pPr>
    </w:p>
    <w:p w14:paraId="708D03DE" w14:textId="77777777" w:rsidR="00D770BB" w:rsidRPr="00D770BB" w:rsidRDefault="00D770BB" w:rsidP="00D770BB">
      <w:pPr>
        <w:contextualSpacing/>
        <w:rPr>
          <w:szCs w:val="24"/>
        </w:rPr>
      </w:pPr>
      <w:r w:rsidRPr="00D770BB">
        <w:rPr>
          <w:szCs w:val="24"/>
        </w:rPr>
        <w:t>Tabulka 4.1.2 ukazuje vykázané odběry povrchové vody pro technické zasněžování, kdy bylo odebráno více než 6 000 m³/rok nebo 500 m³/měsíc v tis. m³ v členění pro jednotlivé státní podniky Povodí.</w:t>
      </w:r>
    </w:p>
    <w:p w14:paraId="202A50EA" w14:textId="77777777" w:rsidR="001E1647" w:rsidRDefault="001E1647" w:rsidP="007C4955">
      <w:pPr>
        <w:contextualSpacing/>
        <w:rPr>
          <w:b/>
          <w:i/>
          <w:color w:val="000000" w:themeColor="text1"/>
          <w:sz w:val="18"/>
          <w:highlight w:val="yellow"/>
        </w:rPr>
      </w:pPr>
    </w:p>
    <w:p w14:paraId="7BAB7DA3" w14:textId="487847E4" w:rsidR="007F1376" w:rsidRPr="007E6920" w:rsidRDefault="007F1376" w:rsidP="007C4955">
      <w:pPr>
        <w:contextualSpacing/>
        <w:rPr>
          <w:b/>
          <w:i/>
          <w:color w:val="000000" w:themeColor="text1"/>
        </w:rPr>
      </w:pPr>
      <w:r w:rsidRPr="007E6920">
        <w:rPr>
          <w:b/>
          <w:i/>
          <w:color w:val="000000" w:themeColor="text1"/>
        </w:rPr>
        <w:t>Tabulka 4.1.2</w:t>
      </w:r>
    </w:p>
    <w:p w14:paraId="7CFFC1A9" w14:textId="23955F75" w:rsidR="007F1376" w:rsidRPr="007E6920" w:rsidRDefault="007F1376" w:rsidP="007C4955">
      <w:pPr>
        <w:contextualSpacing/>
        <w:rPr>
          <w:b/>
          <w:i/>
          <w:color w:val="000000" w:themeColor="text1"/>
        </w:rPr>
      </w:pPr>
      <w:r w:rsidRPr="007E6920">
        <w:rPr>
          <w:b/>
          <w:i/>
          <w:color w:val="000000" w:themeColor="text1"/>
        </w:rPr>
        <w:t>Odběry povrchové vody odběrateli nad 6 000 m</w:t>
      </w:r>
      <w:r w:rsidRPr="007E6920">
        <w:rPr>
          <w:b/>
          <w:i/>
          <w:color w:val="000000" w:themeColor="text1"/>
          <w:vertAlign w:val="superscript"/>
        </w:rPr>
        <w:t>3</w:t>
      </w:r>
      <w:r w:rsidRPr="007E6920">
        <w:rPr>
          <w:b/>
          <w:i/>
          <w:color w:val="000000" w:themeColor="text1"/>
        </w:rPr>
        <w:t>/rok nebo 500 m</w:t>
      </w:r>
      <w:r w:rsidRPr="007E6920">
        <w:rPr>
          <w:b/>
          <w:i/>
          <w:color w:val="000000" w:themeColor="text1"/>
          <w:vertAlign w:val="superscript"/>
        </w:rPr>
        <w:t>3</w:t>
      </w:r>
      <w:r w:rsidRPr="007E6920">
        <w:rPr>
          <w:b/>
          <w:i/>
          <w:color w:val="000000" w:themeColor="text1"/>
        </w:rPr>
        <w:t>/měsíc pro zasněžování</w:t>
      </w:r>
      <w:bookmarkStart w:id="31" w:name="_Toc10183412"/>
      <w:r w:rsidR="00C23AC0" w:rsidRPr="007E6920">
        <w:rPr>
          <w:b/>
          <w:i/>
          <w:color w:val="000000" w:themeColor="text1"/>
        </w:rPr>
        <w:t xml:space="preserve"> </w:t>
      </w:r>
      <w:r w:rsidR="00C8760C" w:rsidRPr="007E6920">
        <w:rPr>
          <w:b/>
          <w:i/>
          <w:color w:val="000000" w:themeColor="text1"/>
        </w:rPr>
        <w:t>v </w:t>
      </w:r>
      <w:r w:rsidR="00C23AC0" w:rsidRPr="007E6920">
        <w:rPr>
          <w:b/>
          <w:i/>
          <w:color w:val="000000" w:themeColor="text1"/>
        </w:rPr>
        <w:t>roce 20</w:t>
      </w:r>
      <w:r w:rsidR="0027754F" w:rsidRPr="007E6920">
        <w:rPr>
          <w:b/>
          <w:i/>
          <w:color w:val="000000" w:themeColor="text1"/>
        </w:rPr>
        <w:t>2</w:t>
      </w:r>
      <w:r w:rsidR="007E6920">
        <w:rPr>
          <w:b/>
          <w:i/>
          <w:color w:val="000000" w:themeColor="text1"/>
        </w:rPr>
        <w:t>5</w:t>
      </w:r>
    </w:p>
    <w:tbl>
      <w:tblPr>
        <w:tblW w:w="334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1248"/>
        <w:gridCol w:w="1134"/>
      </w:tblGrid>
      <w:tr w:rsidR="0020142E" w:rsidRPr="00A00429" w14:paraId="70304A01" w14:textId="77777777" w:rsidTr="00A00429">
        <w:trPr>
          <w:trHeight w:val="315"/>
        </w:trPr>
        <w:tc>
          <w:tcPr>
            <w:tcW w:w="960" w:type="dxa"/>
            <w:vMerge w:val="restart"/>
            <w:shd w:val="clear" w:color="000000" w:fill="D9D9D9"/>
            <w:vAlign w:val="center"/>
            <w:hideMark/>
          </w:tcPr>
          <w:p w14:paraId="7AB55C83" w14:textId="6C6B780E" w:rsidR="00C23AC0" w:rsidRPr="00A00429" w:rsidRDefault="00063A55" w:rsidP="007C4955">
            <w:pPr>
              <w:contextualSpacing/>
              <w:jc w:val="left"/>
              <w:rPr>
                <w:rFonts w:eastAsia="Times New Roman" w:cs="Arial"/>
                <w:b/>
                <w:bCs/>
                <w:color w:val="000000" w:themeColor="text1"/>
                <w:sz w:val="18"/>
                <w:szCs w:val="18"/>
                <w:lang w:eastAsia="cs-CZ"/>
              </w:rPr>
            </w:pPr>
            <w:r w:rsidRPr="00A00429">
              <w:rPr>
                <w:rFonts w:eastAsia="Times New Roman" w:cs="Arial"/>
                <w:b/>
                <w:bCs/>
                <w:color w:val="000000" w:themeColor="text1"/>
                <w:sz w:val="18"/>
                <w:szCs w:val="18"/>
                <w:lang w:eastAsia="cs-CZ"/>
              </w:rPr>
              <w:t>S</w:t>
            </w:r>
            <w:r w:rsidR="00C12D31" w:rsidRPr="00A00429">
              <w:rPr>
                <w:rFonts w:eastAsia="Times New Roman" w:cs="Arial"/>
                <w:b/>
                <w:bCs/>
                <w:color w:val="000000" w:themeColor="text1"/>
                <w:sz w:val="18"/>
                <w:szCs w:val="18"/>
                <w:lang w:eastAsia="cs-CZ"/>
              </w:rPr>
              <w:t>tátní podnik</w:t>
            </w:r>
            <w:r w:rsidR="00C23AC0" w:rsidRPr="00A00429">
              <w:rPr>
                <w:rFonts w:eastAsia="Times New Roman" w:cs="Arial"/>
                <w:b/>
                <w:bCs/>
                <w:color w:val="000000" w:themeColor="text1"/>
                <w:sz w:val="18"/>
                <w:szCs w:val="18"/>
                <w:lang w:eastAsia="cs-CZ"/>
              </w:rPr>
              <w:t xml:space="preserve"> Povodí</w:t>
            </w:r>
          </w:p>
          <w:p w14:paraId="1AAB11FE" w14:textId="77777777" w:rsidR="00C23AC0" w:rsidRPr="00A00429" w:rsidRDefault="00C23AC0" w:rsidP="007C4955">
            <w:pPr>
              <w:contextualSpacing/>
              <w:jc w:val="center"/>
              <w:rPr>
                <w:rFonts w:eastAsia="Times New Roman" w:cs="Arial"/>
                <w:b/>
                <w:bCs/>
                <w:color w:val="000000" w:themeColor="text1"/>
                <w:sz w:val="18"/>
                <w:szCs w:val="18"/>
                <w:lang w:eastAsia="cs-CZ"/>
              </w:rPr>
            </w:pPr>
          </w:p>
        </w:tc>
        <w:tc>
          <w:tcPr>
            <w:tcW w:w="2382" w:type="dxa"/>
            <w:gridSpan w:val="2"/>
            <w:shd w:val="clear" w:color="000000" w:fill="D9D9D9"/>
            <w:vAlign w:val="center"/>
            <w:hideMark/>
          </w:tcPr>
          <w:p w14:paraId="2FDDEF40" w14:textId="77777777" w:rsidR="00C23AC0" w:rsidRPr="00A00429" w:rsidRDefault="00C23AC0" w:rsidP="007C4955">
            <w:pPr>
              <w:contextualSpacing/>
              <w:jc w:val="center"/>
              <w:rPr>
                <w:rFonts w:eastAsia="Times New Roman" w:cs="Arial"/>
                <w:b/>
                <w:bCs/>
                <w:color w:val="000000" w:themeColor="text1"/>
                <w:sz w:val="18"/>
                <w:szCs w:val="18"/>
                <w:lang w:eastAsia="cs-CZ"/>
              </w:rPr>
            </w:pPr>
            <w:r w:rsidRPr="00A00429">
              <w:rPr>
                <w:rFonts w:eastAsia="Times New Roman" w:cs="Arial"/>
                <w:b/>
                <w:bCs/>
                <w:color w:val="000000" w:themeColor="text1"/>
                <w:sz w:val="18"/>
                <w:szCs w:val="18"/>
                <w:lang w:eastAsia="cs-CZ"/>
              </w:rPr>
              <w:t>Zasněžování</w:t>
            </w:r>
            <w:r w:rsidR="001E571C" w:rsidRPr="00A00429">
              <w:rPr>
                <w:rFonts w:eastAsia="Times New Roman" w:cs="Arial"/>
                <w:b/>
                <w:bCs/>
                <w:color w:val="000000" w:themeColor="text1"/>
                <w:sz w:val="18"/>
                <w:szCs w:val="18"/>
                <w:vertAlign w:val="superscript"/>
                <w:lang w:eastAsia="cs-CZ"/>
              </w:rPr>
              <w:t>*)</w:t>
            </w:r>
          </w:p>
        </w:tc>
      </w:tr>
      <w:tr w:rsidR="0020142E" w:rsidRPr="00A00429" w14:paraId="536A0684" w14:textId="77777777" w:rsidTr="00A00429">
        <w:trPr>
          <w:trHeight w:val="495"/>
        </w:trPr>
        <w:tc>
          <w:tcPr>
            <w:tcW w:w="960" w:type="dxa"/>
            <w:vMerge/>
            <w:shd w:val="clear" w:color="000000" w:fill="D9D9D9"/>
            <w:vAlign w:val="center"/>
            <w:hideMark/>
          </w:tcPr>
          <w:p w14:paraId="07940DD0" w14:textId="77777777" w:rsidR="00C23AC0" w:rsidRPr="00A00429" w:rsidRDefault="00C23AC0" w:rsidP="007C4955">
            <w:pPr>
              <w:contextualSpacing/>
              <w:jc w:val="center"/>
              <w:rPr>
                <w:rFonts w:eastAsia="Times New Roman" w:cs="Arial"/>
                <w:b/>
                <w:bCs/>
                <w:color w:val="000000" w:themeColor="text1"/>
                <w:sz w:val="18"/>
                <w:szCs w:val="18"/>
                <w:lang w:eastAsia="cs-CZ"/>
              </w:rPr>
            </w:pPr>
          </w:p>
        </w:tc>
        <w:tc>
          <w:tcPr>
            <w:tcW w:w="1248" w:type="dxa"/>
            <w:shd w:val="clear" w:color="000000" w:fill="D9D9D9"/>
            <w:vAlign w:val="center"/>
            <w:hideMark/>
          </w:tcPr>
          <w:p w14:paraId="55E2AB5E" w14:textId="77777777" w:rsidR="00C23AC0" w:rsidRPr="00A00429" w:rsidRDefault="00C23AC0" w:rsidP="007C4955">
            <w:pPr>
              <w:contextualSpacing/>
              <w:jc w:val="center"/>
              <w:rPr>
                <w:rFonts w:eastAsia="Times New Roman" w:cs="Arial"/>
                <w:b/>
                <w:bCs/>
                <w:color w:val="000000" w:themeColor="text1"/>
                <w:sz w:val="18"/>
                <w:szCs w:val="18"/>
                <w:lang w:eastAsia="cs-CZ"/>
              </w:rPr>
            </w:pPr>
            <w:r w:rsidRPr="00A00429">
              <w:rPr>
                <w:rFonts w:eastAsia="Times New Roman" w:cs="Arial"/>
                <w:b/>
                <w:bCs/>
                <w:color w:val="000000" w:themeColor="text1"/>
                <w:sz w:val="18"/>
                <w:szCs w:val="18"/>
                <w:lang w:eastAsia="cs-CZ"/>
              </w:rPr>
              <w:t>Množství tis. m</w:t>
            </w:r>
            <w:r w:rsidRPr="00A00429">
              <w:rPr>
                <w:rFonts w:eastAsia="Times New Roman" w:cs="Arial"/>
                <w:b/>
                <w:bCs/>
                <w:color w:val="000000" w:themeColor="text1"/>
                <w:sz w:val="18"/>
                <w:szCs w:val="18"/>
                <w:vertAlign w:val="superscript"/>
                <w:lang w:eastAsia="cs-CZ"/>
              </w:rPr>
              <w:t>3</w:t>
            </w:r>
          </w:p>
        </w:tc>
        <w:tc>
          <w:tcPr>
            <w:tcW w:w="1134" w:type="dxa"/>
            <w:shd w:val="clear" w:color="000000" w:fill="D9D9D9"/>
            <w:noWrap/>
            <w:vAlign w:val="center"/>
            <w:hideMark/>
          </w:tcPr>
          <w:p w14:paraId="73D527F0" w14:textId="77777777" w:rsidR="00C23AC0" w:rsidRPr="00A00429" w:rsidRDefault="00C23AC0" w:rsidP="007C4955">
            <w:pPr>
              <w:contextualSpacing/>
              <w:jc w:val="center"/>
              <w:rPr>
                <w:rFonts w:eastAsia="Times New Roman" w:cs="Arial"/>
                <w:b/>
                <w:bCs/>
                <w:color w:val="000000" w:themeColor="text1"/>
                <w:sz w:val="18"/>
                <w:szCs w:val="18"/>
                <w:lang w:eastAsia="cs-CZ"/>
              </w:rPr>
            </w:pPr>
            <w:r w:rsidRPr="00A00429">
              <w:rPr>
                <w:rFonts w:eastAsia="Times New Roman" w:cs="Arial"/>
                <w:b/>
                <w:bCs/>
                <w:color w:val="000000" w:themeColor="text1"/>
                <w:sz w:val="18"/>
                <w:szCs w:val="18"/>
                <w:lang w:eastAsia="cs-CZ"/>
              </w:rPr>
              <w:t>Počet</w:t>
            </w:r>
          </w:p>
        </w:tc>
      </w:tr>
      <w:tr w:rsidR="00A00429" w:rsidRPr="00A00429" w14:paraId="2DE3F947" w14:textId="77777777" w:rsidTr="00A00429">
        <w:trPr>
          <w:trHeight w:val="300"/>
        </w:trPr>
        <w:tc>
          <w:tcPr>
            <w:tcW w:w="960" w:type="dxa"/>
            <w:noWrap/>
            <w:vAlign w:val="center"/>
            <w:hideMark/>
          </w:tcPr>
          <w:p w14:paraId="2588D830" w14:textId="77777777" w:rsidR="00A00429" w:rsidRPr="00A00429" w:rsidRDefault="00A00429" w:rsidP="00A00429">
            <w:pPr>
              <w:contextualSpacing/>
              <w:rPr>
                <w:rFonts w:eastAsia="Times New Roman" w:cs="Arial"/>
                <w:b/>
                <w:bCs/>
                <w:color w:val="000000" w:themeColor="text1"/>
                <w:sz w:val="18"/>
                <w:szCs w:val="18"/>
                <w:lang w:eastAsia="cs-CZ"/>
              </w:rPr>
            </w:pPr>
            <w:r w:rsidRPr="00A00429">
              <w:rPr>
                <w:rFonts w:eastAsia="Times New Roman" w:cs="Arial"/>
                <w:b/>
                <w:bCs/>
                <w:color w:val="000000" w:themeColor="text1"/>
                <w:sz w:val="18"/>
                <w:szCs w:val="18"/>
                <w:lang w:eastAsia="cs-CZ"/>
              </w:rPr>
              <w:t>Labe</w:t>
            </w:r>
          </w:p>
        </w:tc>
        <w:tc>
          <w:tcPr>
            <w:tcW w:w="1248" w:type="dxa"/>
            <w:shd w:val="clear" w:color="000000" w:fill="FFFFFF"/>
            <w:noWrap/>
            <w:vAlign w:val="bottom"/>
            <w:hideMark/>
          </w:tcPr>
          <w:p w14:paraId="0DDA61F0" w14:textId="531BD3B1" w:rsidR="00A00429" w:rsidRPr="00A00429" w:rsidRDefault="00A00429" w:rsidP="00A00429">
            <w:pPr>
              <w:contextualSpacing/>
              <w:jc w:val="right"/>
              <w:rPr>
                <w:rFonts w:eastAsia="Times New Roman" w:cs="Arial"/>
                <w:color w:val="000000" w:themeColor="text1"/>
                <w:sz w:val="18"/>
                <w:szCs w:val="18"/>
                <w:lang w:eastAsia="cs-CZ"/>
              </w:rPr>
            </w:pPr>
            <w:r w:rsidRPr="00A00429">
              <w:rPr>
                <w:sz w:val="20"/>
              </w:rPr>
              <w:t>2</w:t>
            </w:r>
            <w:r>
              <w:rPr>
                <w:sz w:val="20"/>
              </w:rPr>
              <w:t xml:space="preserve"> </w:t>
            </w:r>
            <w:r w:rsidRPr="00A00429">
              <w:rPr>
                <w:sz w:val="20"/>
              </w:rPr>
              <w:t>497,338</w:t>
            </w:r>
          </w:p>
        </w:tc>
        <w:tc>
          <w:tcPr>
            <w:tcW w:w="1134" w:type="dxa"/>
            <w:shd w:val="clear" w:color="000000" w:fill="FFFFFF"/>
            <w:noWrap/>
            <w:vAlign w:val="bottom"/>
            <w:hideMark/>
          </w:tcPr>
          <w:p w14:paraId="0DEBE605" w14:textId="478543D9" w:rsidR="00A00429" w:rsidRPr="00A00429" w:rsidRDefault="00A00429" w:rsidP="00A00429">
            <w:pPr>
              <w:contextualSpacing/>
              <w:jc w:val="right"/>
              <w:rPr>
                <w:rFonts w:eastAsia="Times New Roman" w:cs="Arial"/>
                <w:color w:val="000000" w:themeColor="text1"/>
                <w:sz w:val="18"/>
                <w:szCs w:val="18"/>
                <w:lang w:eastAsia="cs-CZ"/>
              </w:rPr>
            </w:pPr>
            <w:r w:rsidRPr="00A00429">
              <w:rPr>
                <w:sz w:val="20"/>
              </w:rPr>
              <w:t>70</w:t>
            </w:r>
          </w:p>
        </w:tc>
      </w:tr>
      <w:tr w:rsidR="00A00429" w:rsidRPr="00A00429" w14:paraId="65A48572" w14:textId="77777777" w:rsidTr="00A00429">
        <w:trPr>
          <w:trHeight w:val="300"/>
        </w:trPr>
        <w:tc>
          <w:tcPr>
            <w:tcW w:w="960" w:type="dxa"/>
            <w:noWrap/>
            <w:vAlign w:val="center"/>
            <w:hideMark/>
          </w:tcPr>
          <w:p w14:paraId="1DDED9C2" w14:textId="05B783C3" w:rsidR="00A00429" w:rsidRPr="00A00429" w:rsidRDefault="00A00429" w:rsidP="00A00429">
            <w:pPr>
              <w:contextualSpacing/>
              <w:rPr>
                <w:rFonts w:eastAsia="Times New Roman" w:cs="Arial"/>
                <w:b/>
                <w:bCs/>
                <w:color w:val="000000" w:themeColor="text1"/>
                <w:sz w:val="18"/>
                <w:szCs w:val="18"/>
                <w:lang w:eastAsia="cs-CZ"/>
              </w:rPr>
            </w:pPr>
            <w:r w:rsidRPr="00A00429">
              <w:rPr>
                <w:rFonts w:eastAsia="Times New Roman" w:cs="Arial"/>
                <w:b/>
                <w:bCs/>
                <w:color w:val="000000" w:themeColor="text1"/>
                <w:sz w:val="18"/>
                <w:szCs w:val="18"/>
                <w:lang w:eastAsia="cs-CZ"/>
              </w:rPr>
              <w:t>Vltavy</w:t>
            </w:r>
          </w:p>
        </w:tc>
        <w:tc>
          <w:tcPr>
            <w:tcW w:w="1248" w:type="dxa"/>
            <w:shd w:val="clear" w:color="000000" w:fill="FFFFFF"/>
            <w:noWrap/>
            <w:vAlign w:val="bottom"/>
            <w:hideMark/>
          </w:tcPr>
          <w:p w14:paraId="0954AD77" w14:textId="263C1344" w:rsidR="00A00429" w:rsidRPr="00A00429" w:rsidRDefault="00A00429" w:rsidP="00A00429">
            <w:pPr>
              <w:contextualSpacing/>
              <w:jc w:val="right"/>
              <w:rPr>
                <w:rFonts w:eastAsia="Times New Roman" w:cs="Arial"/>
                <w:color w:val="000000" w:themeColor="text1"/>
                <w:sz w:val="18"/>
                <w:szCs w:val="18"/>
                <w:lang w:eastAsia="cs-CZ"/>
              </w:rPr>
            </w:pPr>
            <w:r w:rsidRPr="00A00429">
              <w:rPr>
                <w:sz w:val="20"/>
              </w:rPr>
              <w:t>1</w:t>
            </w:r>
            <w:r>
              <w:rPr>
                <w:sz w:val="20"/>
              </w:rPr>
              <w:t xml:space="preserve"> </w:t>
            </w:r>
            <w:r w:rsidRPr="00A00429">
              <w:rPr>
                <w:sz w:val="20"/>
              </w:rPr>
              <w:t>160,213</w:t>
            </w:r>
          </w:p>
        </w:tc>
        <w:tc>
          <w:tcPr>
            <w:tcW w:w="1134" w:type="dxa"/>
            <w:shd w:val="clear" w:color="000000" w:fill="FFFFFF"/>
            <w:noWrap/>
            <w:vAlign w:val="bottom"/>
            <w:hideMark/>
          </w:tcPr>
          <w:p w14:paraId="108F545F" w14:textId="45C9D883" w:rsidR="00A00429" w:rsidRPr="00A00429" w:rsidRDefault="00A00429" w:rsidP="00A00429">
            <w:pPr>
              <w:contextualSpacing/>
              <w:jc w:val="right"/>
              <w:rPr>
                <w:rFonts w:eastAsia="Times New Roman" w:cs="Arial"/>
                <w:color w:val="000000" w:themeColor="text1"/>
                <w:sz w:val="18"/>
                <w:szCs w:val="18"/>
                <w:lang w:eastAsia="cs-CZ"/>
              </w:rPr>
            </w:pPr>
            <w:r w:rsidRPr="00A00429">
              <w:rPr>
                <w:sz w:val="20"/>
              </w:rPr>
              <w:t>39</w:t>
            </w:r>
          </w:p>
        </w:tc>
      </w:tr>
      <w:tr w:rsidR="00A00429" w:rsidRPr="00A00429" w14:paraId="04CB8FF8" w14:textId="77777777" w:rsidTr="00A00429">
        <w:trPr>
          <w:trHeight w:val="300"/>
        </w:trPr>
        <w:tc>
          <w:tcPr>
            <w:tcW w:w="960" w:type="dxa"/>
            <w:noWrap/>
            <w:vAlign w:val="center"/>
            <w:hideMark/>
          </w:tcPr>
          <w:p w14:paraId="73A04472" w14:textId="77777777" w:rsidR="00A00429" w:rsidRPr="00A00429" w:rsidRDefault="00A00429" w:rsidP="00A00429">
            <w:pPr>
              <w:contextualSpacing/>
              <w:rPr>
                <w:rFonts w:eastAsia="Times New Roman" w:cs="Arial"/>
                <w:b/>
                <w:bCs/>
                <w:color w:val="000000" w:themeColor="text1"/>
                <w:sz w:val="18"/>
                <w:szCs w:val="18"/>
                <w:lang w:eastAsia="cs-CZ"/>
              </w:rPr>
            </w:pPr>
            <w:r w:rsidRPr="00A00429">
              <w:rPr>
                <w:rFonts w:eastAsia="Times New Roman" w:cs="Arial"/>
                <w:b/>
                <w:bCs/>
                <w:color w:val="000000" w:themeColor="text1"/>
                <w:sz w:val="18"/>
                <w:szCs w:val="18"/>
                <w:lang w:eastAsia="cs-CZ"/>
              </w:rPr>
              <w:t>Ohře</w:t>
            </w:r>
          </w:p>
        </w:tc>
        <w:tc>
          <w:tcPr>
            <w:tcW w:w="1248" w:type="dxa"/>
            <w:shd w:val="clear" w:color="000000" w:fill="FFFFFF"/>
            <w:noWrap/>
            <w:vAlign w:val="bottom"/>
            <w:hideMark/>
          </w:tcPr>
          <w:p w14:paraId="666EC80A" w14:textId="40C54D22" w:rsidR="00A00429" w:rsidRPr="00A00429" w:rsidRDefault="00A00429" w:rsidP="00A00429">
            <w:pPr>
              <w:contextualSpacing/>
              <w:jc w:val="right"/>
              <w:rPr>
                <w:rFonts w:eastAsia="Times New Roman" w:cs="Arial"/>
                <w:color w:val="000000" w:themeColor="text1"/>
                <w:sz w:val="18"/>
                <w:szCs w:val="18"/>
                <w:lang w:eastAsia="cs-CZ"/>
              </w:rPr>
            </w:pPr>
            <w:r w:rsidRPr="00A00429">
              <w:rPr>
                <w:sz w:val="20"/>
              </w:rPr>
              <w:t>650,983</w:t>
            </w:r>
          </w:p>
        </w:tc>
        <w:tc>
          <w:tcPr>
            <w:tcW w:w="1134" w:type="dxa"/>
            <w:shd w:val="clear" w:color="000000" w:fill="FFFFFF"/>
            <w:noWrap/>
            <w:vAlign w:val="bottom"/>
            <w:hideMark/>
          </w:tcPr>
          <w:p w14:paraId="42FD26F0" w14:textId="10E31883" w:rsidR="00A00429" w:rsidRPr="00A00429" w:rsidRDefault="00A00429" w:rsidP="00A00429">
            <w:pPr>
              <w:contextualSpacing/>
              <w:jc w:val="right"/>
              <w:rPr>
                <w:rFonts w:eastAsia="Times New Roman" w:cs="Arial"/>
                <w:color w:val="000000" w:themeColor="text1"/>
                <w:sz w:val="18"/>
                <w:szCs w:val="18"/>
                <w:lang w:eastAsia="cs-CZ"/>
              </w:rPr>
            </w:pPr>
            <w:r w:rsidRPr="00A00429">
              <w:rPr>
                <w:sz w:val="20"/>
              </w:rPr>
              <w:t>17</w:t>
            </w:r>
          </w:p>
        </w:tc>
      </w:tr>
      <w:tr w:rsidR="00A00429" w:rsidRPr="00A00429" w14:paraId="4FA3DB3E" w14:textId="77777777" w:rsidTr="00A00429">
        <w:trPr>
          <w:trHeight w:val="300"/>
        </w:trPr>
        <w:tc>
          <w:tcPr>
            <w:tcW w:w="960" w:type="dxa"/>
            <w:noWrap/>
            <w:vAlign w:val="center"/>
            <w:hideMark/>
          </w:tcPr>
          <w:p w14:paraId="105EDB36" w14:textId="73901B80" w:rsidR="00A00429" w:rsidRPr="00A00429" w:rsidRDefault="00A00429" w:rsidP="00A00429">
            <w:pPr>
              <w:contextualSpacing/>
              <w:rPr>
                <w:rFonts w:eastAsia="Times New Roman" w:cs="Arial"/>
                <w:b/>
                <w:bCs/>
                <w:color w:val="000000" w:themeColor="text1"/>
                <w:sz w:val="18"/>
                <w:szCs w:val="18"/>
                <w:lang w:eastAsia="cs-CZ"/>
              </w:rPr>
            </w:pPr>
            <w:r w:rsidRPr="00A00429">
              <w:rPr>
                <w:rFonts w:eastAsia="Times New Roman" w:cs="Arial"/>
                <w:b/>
                <w:bCs/>
                <w:color w:val="000000" w:themeColor="text1"/>
                <w:sz w:val="18"/>
                <w:szCs w:val="18"/>
                <w:lang w:eastAsia="cs-CZ"/>
              </w:rPr>
              <w:t>Odry</w:t>
            </w:r>
          </w:p>
        </w:tc>
        <w:tc>
          <w:tcPr>
            <w:tcW w:w="1248" w:type="dxa"/>
            <w:shd w:val="clear" w:color="000000" w:fill="FFFFFF"/>
            <w:noWrap/>
            <w:vAlign w:val="bottom"/>
            <w:hideMark/>
          </w:tcPr>
          <w:p w14:paraId="220C7059" w14:textId="173E0229" w:rsidR="00A00429" w:rsidRPr="00A00429" w:rsidRDefault="00A00429" w:rsidP="00A00429">
            <w:pPr>
              <w:contextualSpacing/>
              <w:jc w:val="right"/>
              <w:rPr>
                <w:rFonts w:eastAsia="Times New Roman" w:cs="Arial"/>
                <w:color w:val="000000" w:themeColor="text1"/>
                <w:sz w:val="18"/>
                <w:szCs w:val="18"/>
                <w:lang w:eastAsia="cs-CZ"/>
              </w:rPr>
            </w:pPr>
            <w:r w:rsidRPr="00A00429">
              <w:rPr>
                <w:sz w:val="20"/>
              </w:rPr>
              <w:t>534,964</w:t>
            </w:r>
          </w:p>
        </w:tc>
        <w:tc>
          <w:tcPr>
            <w:tcW w:w="1134" w:type="dxa"/>
            <w:shd w:val="clear" w:color="000000" w:fill="FFFFFF"/>
            <w:noWrap/>
            <w:vAlign w:val="bottom"/>
            <w:hideMark/>
          </w:tcPr>
          <w:p w14:paraId="523ED5FB" w14:textId="410DA51E" w:rsidR="00A00429" w:rsidRPr="00A00429" w:rsidRDefault="00A00429" w:rsidP="00A00429">
            <w:pPr>
              <w:contextualSpacing/>
              <w:jc w:val="right"/>
              <w:rPr>
                <w:rFonts w:eastAsia="Times New Roman" w:cs="Arial"/>
                <w:color w:val="000000" w:themeColor="text1"/>
                <w:sz w:val="18"/>
                <w:szCs w:val="18"/>
                <w:lang w:eastAsia="cs-CZ"/>
              </w:rPr>
            </w:pPr>
            <w:r w:rsidRPr="00A00429">
              <w:rPr>
                <w:sz w:val="20"/>
              </w:rPr>
              <w:t>15</w:t>
            </w:r>
          </w:p>
        </w:tc>
      </w:tr>
      <w:tr w:rsidR="00A00429" w:rsidRPr="00A00429" w14:paraId="41C64277" w14:textId="77777777" w:rsidTr="00A00429">
        <w:trPr>
          <w:trHeight w:val="315"/>
        </w:trPr>
        <w:tc>
          <w:tcPr>
            <w:tcW w:w="960" w:type="dxa"/>
            <w:noWrap/>
            <w:vAlign w:val="center"/>
            <w:hideMark/>
          </w:tcPr>
          <w:p w14:paraId="5C1ECA4A" w14:textId="11E47604" w:rsidR="00A00429" w:rsidRPr="00A00429" w:rsidRDefault="00A00429" w:rsidP="00A00429">
            <w:pPr>
              <w:contextualSpacing/>
              <w:rPr>
                <w:rFonts w:eastAsia="Times New Roman" w:cs="Arial"/>
                <w:b/>
                <w:bCs/>
                <w:color w:val="000000" w:themeColor="text1"/>
                <w:sz w:val="18"/>
                <w:szCs w:val="18"/>
                <w:lang w:eastAsia="cs-CZ"/>
              </w:rPr>
            </w:pPr>
            <w:r w:rsidRPr="00A00429">
              <w:rPr>
                <w:rFonts w:eastAsia="Times New Roman" w:cs="Arial"/>
                <w:b/>
                <w:bCs/>
                <w:color w:val="000000" w:themeColor="text1"/>
                <w:sz w:val="18"/>
                <w:szCs w:val="18"/>
                <w:lang w:eastAsia="cs-CZ"/>
              </w:rPr>
              <w:t>Moravy</w:t>
            </w:r>
          </w:p>
        </w:tc>
        <w:tc>
          <w:tcPr>
            <w:tcW w:w="1248" w:type="dxa"/>
            <w:shd w:val="clear" w:color="000000" w:fill="FFFFFF"/>
            <w:noWrap/>
            <w:vAlign w:val="bottom"/>
            <w:hideMark/>
          </w:tcPr>
          <w:p w14:paraId="244360E3" w14:textId="4380FB2E" w:rsidR="00A00429" w:rsidRPr="00A00429" w:rsidRDefault="00A00429" w:rsidP="00A00429">
            <w:pPr>
              <w:contextualSpacing/>
              <w:jc w:val="right"/>
              <w:rPr>
                <w:rFonts w:eastAsia="Times New Roman" w:cs="Arial"/>
                <w:color w:val="000000" w:themeColor="text1"/>
                <w:sz w:val="18"/>
                <w:szCs w:val="18"/>
                <w:lang w:eastAsia="cs-CZ"/>
              </w:rPr>
            </w:pPr>
            <w:r w:rsidRPr="00A00429">
              <w:rPr>
                <w:sz w:val="20"/>
              </w:rPr>
              <w:t>532,93</w:t>
            </w:r>
          </w:p>
        </w:tc>
        <w:tc>
          <w:tcPr>
            <w:tcW w:w="1134" w:type="dxa"/>
            <w:shd w:val="clear" w:color="000000" w:fill="FFFFFF"/>
            <w:noWrap/>
            <w:vAlign w:val="bottom"/>
            <w:hideMark/>
          </w:tcPr>
          <w:p w14:paraId="47E89C70" w14:textId="5D02184F" w:rsidR="00A00429" w:rsidRPr="00A00429" w:rsidRDefault="00A00429" w:rsidP="00A00429">
            <w:pPr>
              <w:contextualSpacing/>
              <w:jc w:val="right"/>
              <w:rPr>
                <w:rFonts w:eastAsia="Times New Roman" w:cs="Arial"/>
                <w:color w:val="000000" w:themeColor="text1"/>
                <w:sz w:val="18"/>
                <w:szCs w:val="18"/>
                <w:lang w:eastAsia="cs-CZ"/>
              </w:rPr>
            </w:pPr>
            <w:r w:rsidRPr="00A00429">
              <w:rPr>
                <w:sz w:val="20"/>
              </w:rPr>
              <w:t>18</w:t>
            </w:r>
          </w:p>
        </w:tc>
      </w:tr>
      <w:tr w:rsidR="00A00429" w:rsidRPr="00A00429" w14:paraId="2E0B4981" w14:textId="77777777" w:rsidTr="00A00429">
        <w:trPr>
          <w:trHeight w:val="315"/>
        </w:trPr>
        <w:tc>
          <w:tcPr>
            <w:tcW w:w="960" w:type="dxa"/>
            <w:shd w:val="clear" w:color="000000" w:fill="D9D9D9"/>
            <w:noWrap/>
            <w:vAlign w:val="center"/>
            <w:hideMark/>
          </w:tcPr>
          <w:p w14:paraId="6DF09789" w14:textId="77777777" w:rsidR="00A00429" w:rsidRPr="00A00429" w:rsidRDefault="00A00429" w:rsidP="00A00429">
            <w:pPr>
              <w:contextualSpacing/>
              <w:rPr>
                <w:rFonts w:eastAsia="Times New Roman" w:cs="Arial"/>
                <w:b/>
                <w:bCs/>
                <w:color w:val="000000" w:themeColor="text1"/>
                <w:sz w:val="18"/>
                <w:szCs w:val="18"/>
                <w:lang w:eastAsia="cs-CZ"/>
              </w:rPr>
            </w:pPr>
            <w:r w:rsidRPr="00A00429">
              <w:rPr>
                <w:rFonts w:eastAsia="Times New Roman" w:cs="Arial"/>
                <w:b/>
                <w:bCs/>
                <w:color w:val="000000" w:themeColor="text1"/>
                <w:sz w:val="18"/>
                <w:szCs w:val="18"/>
                <w:lang w:eastAsia="cs-CZ"/>
              </w:rPr>
              <w:t>Celkem</w:t>
            </w:r>
          </w:p>
        </w:tc>
        <w:tc>
          <w:tcPr>
            <w:tcW w:w="1248" w:type="dxa"/>
            <w:shd w:val="clear" w:color="auto" w:fill="D9D9D9"/>
            <w:noWrap/>
            <w:hideMark/>
          </w:tcPr>
          <w:p w14:paraId="41F24779" w14:textId="69BBDF08" w:rsidR="00A00429" w:rsidRPr="00A00429" w:rsidRDefault="00A00429" w:rsidP="00A00429">
            <w:pPr>
              <w:contextualSpacing/>
              <w:jc w:val="right"/>
              <w:rPr>
                <w:rFonts w:eastAsia="Times New Roman" w:cs="Arial"/>
                <w:b/>
                <w:bCs/>
                <w:color w:val="000000" w:themeColor="text1"/>
                <w:sz w:val="18"/>
                <w:szCs w:val="18"/>
                <w:lang w:eastAsia="cs-CZ"/>
              </w:rPr>
            </w:pPr>
            <w:r w:rsidRPr="00A00429">
              <w:rPr>
                <w:b/>
                <w:bCs/>
                <w:sz w:val="20"/>
              </w:rPr>
              <w:t>5</w:t>
            </w:r>
            <w:r>
              <w:rPr>
                <w:b/>
                <w:bCs/>
                <w:sz w:val="20"/>
              </w:rPr>
              <w:t xml:space="preserve"> </w:t>
            </w:r>
            <w:r w:rsidRPr="00A00429">
              <w:rPr>
                <w:b/>
                <w:bCs/>
                <w:sz w:val="20"/>
              </w:rPr>
              <w:t>376,428</w:t>
            </w:r>
          </w:p>
        </w:tc>
        <w:tc>
          <w:tcPr>
            <w:tcW w:w="1134" w:type="dxa"/>
            <w:shd w:val="clear" w:color="auto" w:fill="D9D9D9"/>
            <w:noWrap/>
            <w:hideMark/>
          </w:tcPr>
          <w:p w14:paraId="06ACCB98" w14:textId="63985585" w:rsidR="00A00429" w:rsidRPr="00A00429" w:rsidRDefault="00A00429" w:rsidP="00A00429">
            <w:pPr>
              <w:contextualSpacing/>
              <w:jc w:val="right"/>
              <w:rPr>
                <w:rFonts w:eastAsia="Times New Roman" w:cs="Arial"/>
                <w:b/>
                <w:bCs/>
                <w:color w:val="000000" w:themeColor="text1"/>
                <w:sz w:val="18"/>
                <w:szCs w:val="18"/>
                <w:lang w:eastAsia="cs-CZ"/>
              </w:rPr>
            </w:pPr>
            <w:r w:rsidRPr="00A00429">
              <w:rPr>
                <w:b/>
                <w:bCs/>
                <w:sz w:val="20"/>
              </w:rPr>
              <w:t>159</w:t>
            </w:r>
          </w:p>
        </w:tc>
      </w:tr>
    </w:tbl>
    <w:p w14:paraId="020FB80D" w14:textId="77777777" w:rsidR="007F1376" w:rsidRPr="00A00429" w:rsidRDefault="007F1376" w:rsidP="007C4955">
      <w:pPr>
        <w:contextualSpacing/>
        <w:rPr>
          <w:i/>
          <w:color w:val="000000" w:themeColor="text1"/>
          <w:sz w:val="20"/>
          <w:szCs w:val="20"/>
        </w:rPr>
      </w:pPr>
      <w:r w:rsidRPr="00A00429">
        <w:rPr>
          <w:i/>
          <w:color w:val="000000" w:themeColor="text1"/>
          <w:sz w:val="20"/>
          <w:szCs w:val="20"/>
        </w:rPr>
        <w:t xml:space="preserve">Pramen: </w:t>
      </w:r>
      <w:r w:rsidR="007557A9" w:rsidRPr="00A00429">
        <w:rPr>
          <w:i/>
          <w:color w:val="000000" w:themeColor="text1"/>
          <w:sz w:val="20"/>
          <w:szCs w:val="20"/>
        </w:rPr>
        <w:t>VÚV TGM z podkladů s. p. Povodí</w:t>
      </w:r>
    </w:p>
    <w:p w14:paraId="30148A90" w14:textId="5C03009C" w:rsidR="007557A9" w:rsidRPr="00A00429" w:rsidRDefault="001E571C" w:rsidP="007C4955">
      <w:pPr>
        <w:ind w:left="709" w:hanging="709"/>
        <w:contextualSpacing/>
        <w:rPr>
          <w:rFonts w:eastAsia="Times New Roman" w:cs="Arial"/>
          <w:i/>
          <w:color w:val="000000" w:themeColor="text1"/>
          <w:sz w:val="20"/>
          <w:szCs w:val="20"/>
          <w:lang w:eastAsia="cs-CZ"/>
        </w:rPr>
      </w:pPr>
      <w:r w:rsidRPr="00A00429">
        <w:rPr>
          <w:rFonts w:eastAsia="Times New Roman" w:cs="Arial"/>
          <w:i/>
          <w:color w:val="000000" w:themeColor="text1"/>
          <w:sz w:val="20"/>
          <w:szCs w:val="20"/>
          <w:lang w:eastAsia="cs-CZ"/>
        </w:rPr>
        <w:t xml:space="preserve">Pozn.: </w:t>
      </w:r>
      <w:r w:rsidR="007557A9" w:rsidRPr="00A00429">
        <w:rPr>
          <w:rFonts w:eastAsia="Times New Roman" w:cs="Arial"/>
          <w:i/>
          <w:color w:val="000000" w:themeColor="text1"/>
          <w:sz w:val="20"/>
          <w:szCs w:val="20"/>
          <w:vertAlign w:val="superscript"/>
          <w:lang w:eastAsia="cs-CZ"/>
        </w:rPr>
        <w:t>*</w:t>
      </w:r>
      <w:r w:rsidRPr="00A00429">
        <w:rPr>
          <w:rFonts w:eastAsia="Times New Roman" w:cs="Arial"/>
          <w:i/>
          <w:color w:val="000000" w:themeColor="text1"/>
          <w:sz w:val="20"/>
          <w:szCs w:val="20"/>
          <w:vertAlign w:val="superscript"/>
          <w:lang w:eastAsia="cs-CZ"/>
        </w:rPr>
        <w:t>)</w:t>
      </w:r>
      <w:r w:rsidR="007557A9" w:rsidRPr="00A00429">
        <w:rPr>
          <w:rFonts w:eastAsia="Times New Roman" w:cs="Arial"/>
          <w:i/>
          <w:color w:val="000000" w:themeColor="text1"/>
          <w:sz w:val="20"/>
          <w:szCs w:val="20"/>
          <w:lang w:eastAsia="cs-CZ"/>
        </w:rPr>
        <w:t xml:space="preserve"> </w:t>
      </w:r>
      <w:r w:rsidR="00ED3F1B" w:rsidRPr="00A00429">
        <w:rPr>
          <w:rFonts w:eastAsia="Times New Roman" w:cs="Arial"/>
          <w:i/>
          <w:color w:val="000000" w:themeColor="text1"/>
          <w:sz w:val="20"/>
          <w:szCs w:val="20"/>
          <w:lang w:eastAsia="cs-CZ"/>
        </w:rPr>
        <w:t>Z</w:t>
      </w:r>
      <w:r w:rsidR="0089223F" w:rsidRPr="00A00429">
        <w:rPr>
          <w:rFonts w:eastAsia="Times New Roman" w:cs="Arial"/>
          <w:i/>
          <w:color w:val="000000" w:themeColor="text1"/>
          <w:sz w:val="20"/>
          <w:szCs w:val="20"/>
          <w:lang w:eastAsia="cs-CZ"/>
        </w:rPr>
        <w:t xml:space="preserve">jištěno dle interního kódu VHB </w:t>
      </w:r>
      <w:r w:rsidR="00FD76EB" w:rsidRPr="00A00429">
        <w:rPr>
          <w:rFonts w:eastAsia="Times New Roman" w:cs="Arial"/>
          <w:i/>
          <w:color w:val="000000" w:themeColor="text1"/>
          <w:sz w:val="20"/>
          <w:szCs w:val="20"/>
          <w:lang w:eastAsia="cs-CZ"/>
        </w:rPr>
        <w:t>„</w:t>
      </w:r>
      <w:r w:rsidR="0089223F" w:rsidRPr="00A00429">
        <w:rPr>
          <w:rFonts w:eastAsia="Times New Roman" w:cs="Arial"/>
          <w:i/>
          <w:color w:val="000000" w:themeColor="text1"/>
          <w:sz w:val="20"/>
          <w:szCs w:val="20"/>
          <w:lang w:eastAsia="cs-CZ"/>
        </w:rPr>
        <w:t xml:space="preserve">410 </w:t>
      </w:r>
      <w:r w:rsidR="00BC5172" w:rsidRPr="00A00429">
        <w:rPr>
          <w:rFonts w:eastAsia="Times New Roman" w:cs="Arial"/>
          <w:i/>
          <w:color w:val="000000" w:themeColor="text1"/>
          <w:sz w:val="20"/>
          <w:szCs w:val="20"/>
          <w:lang w:eastAsia="cs-CZ"/>
        </w:rPr>
        <w:t>–</w:t>
      </w:r>
      <w:r w:rsidR="0089223F" w:rsidRPr="00A00429">
        <w:rPr>
          <w:rFonts w:eastAsia="Times New Roman" w:cs="Arial"/>
          <w:i/>
          <w:color w:val="000000" w:themeColor="text1"/>
          <w:sz w:val="20"/>
          <w:szCs w:val="20"/>
          <w:lang w:eastAsia="cs-CZ"/>
        </w:rPr>
        <w:t xml:space="preserve"> zasněžování technickým sněhem", který používají </w:t>
      </w:r>
      <w:r w:rsidR="00ED3F1B" w:rsidRPr="00A00429">
        <w:rPr>
          <w:rFonts w:eastAsia="Times New Roman" w:cs="Arial"/>
          <w:i/>
          <w:color w:val="000000" w:themeColor="text1"/>
          <w:sz w:val="20"/>
          <w:szCs w:val="20"/>
          <w:lang w:eastAsia="cs-CZ"/>
        </w:rPr>
        <w:t>s. p.</w:t>
      </w:r>
      <w:r w:rsidR="0089223F" w:rsidRPr="00A00429">
        <w:rPr>
          <w:rFonts w:eastAsia="Times New Roman" w:cs="Arial"/>
          <w:i/>
          <w:color w:val="000000" w:themeColor="text1"/>
          <w:sz w:val="20"/>
          <w:szCs w:val="20"/>
          <w:lang w:eastAsia="cs-CZ"/>
        </w:rPr>
        <w:t xml:space="preserve"> Povodí nebo dle názvu odběru</w:t>
      </w:r>
    </w:p>
    <w:p w14:paraId="1F1486DD" w14:textId="77777777" w:rsidR="00BC5172" w:rsidRPr="00104F7D" w:rsidRDefault="00BC5172" w:rsidP="00FB6210">
      <w:pPr>
        <w:ind w:left="709" w:hanging="709"/>
        <w:contextualSpacing/>
        <w:rPr>
          <w:rFonts w:eastAsia="Times New Roman" w:cs="Arial"/>
          <w:i/>
          <w:color w:val="FF0000"/>
          <w:sz w:val="20"/>
          <w:szCs w:val="20"/>
          <w:highlight w:val="yellow"/>
          <w:lang w:eastAsia="cs-CZ"/>
        </w:rPr>
      </w:pPr>
    </w:p>
    <w:p w14:paraId="7186A0E0" w14:textId="34147702" w:rsidR="007F1376" w:rsidRPr="005556C5" w:rsidRDefault="004F69B3">
      <w:pPr>
        <w:pStyle w:val="Nadpis2"/>
        <w:numPr>
          <w:ilvl w:val="1"/>
          <w:numId w:val="13"/>
        </w:numPr>
        <w:spacing w:before="0"/>
        <w:contextualSpacing/>
        <w:rPr>
          <w:color w:val="FF0000"/>
        </w:rPr>
      </w:pPr>
      <w:bookmarkStart w:id="32" w:name="_Toc236991616"/>
      <w:r w:rsidRPr="005556C5">
        <w:rPr>
          <w:color w:val="000000" w:themeColor="text1"/>
        </w:rPr>
        <w:t>Odběry podzemních vod</w:t>
      </w:r>
      <w:bookmarkEnd w:id="31"/>
      <w:bookmarkEnd w:id="32"/>
    </w:p>
    <w:p w14:paraId="54D6B459" w14:textId="6792861E" w:rsidR="004F3115" w:rsidRPr="00104F7D" w:rsidRDefault="004F3115" w:rsidP="00FB6210">
      <w:pPr>
        <w:rPr>
          <w:color w:val="FF0000"/>
          <w:highlight w:val="yellow"/>
        </w:rPr>
      </w:pPr>
    </w:p>
    <w:p w14:paraId="08F7C65C" w14:textId="77777777" w:rsidR="000D288E" w:rsidRPr="000D288E" w:rsidRDefault="000D288E" w:rsidP="000D288E">
      <w:pPr>
        <w:rPr>
          <w:b/>
          <w:bCs/>
        </w:rPr>
      </w:pPr>
      <w:r w:rsidRPr="000D288E">
        <w:rPr>
          <w:b/>
          <w:bCs/>
        </w:rPr>
        <w:t>V roce 2025 se odběr podzemních vod téměř nezměnil a činil 364,9 mil. m³. V roce 2024 činil odběr 365,0 mil. m³.</w:t>
      </w:r>
    </w:p>
    <w:p w14:paraId="3B95CB84" w14:textId="77777777" w:rsidR="000D288E" w:rsidRDefault="000D288E" w:rsidP="000D288E"/>
    <w:p w14:paraId="24817251" w14:textId="49361A25" w:rsidR="000D288E" w:rsidRPr="000D288E" w:rsidRDefault="000D288E" w:rsidP="000D288E">
      <w:r w:rsidRPr="000D288E">
        <w:t xml:space="preserve">Ve srovnání s rokem 2024 vzrostlo v roce 2025 množství odebrané podzemní vody v kategoriích energetika o 3,7 %, zemědělství o 2,1 % a vodovody pro veřejnou potřebu o 0,5 %. Pokles byl </w:t>
      </w:r>
      <w:r w:rsidRPr="000D288E">
        <w:lastRenderedPageBreak/>
        <w:t>zaznamenán v kategorii průmysl o 4,6 % a v kategorii ostatní včetně stavebnictví o 1,5 %. Celkový odběr podzemních vod tak zůstal prakticky na stejné úrovni jako v roce 2024.</w:t>
      </w:r>
    </w:p>
    <w:p w14:paraId="217779E1" w14:textId="77777777" w:rsidR="000D288E" w:rsidRDefault="000D288E" w:rsidP="000D288E"/>
    <w:p w14:paraId="150B5E6D" w14:textId="7F8B77BD" w:rsidR="000D288E" w:rsidRPr="000D288E" w:rsidRDefault="000D288E" w:rsidP="000D288E">
      <w:r w:rsidRPr="000D288E">
        <w:t>Nejvyšší podíl z celkových odběrů podzemních vod byl zaznamenán v územní působnosti státního podniku Povodí Moravy (34,2 %), naopak nejnižší podíl vykázalo Povodí Odry (4,5 %).</w:t>
      </w:r>
    </w:p>
    <w:p w14:paraId="75E23C49" w14:textId="77777777" w:rsidR="000D288E" w:rsidRDefault="000D288E" w:rsidP="000D288E"/>
    <w:p w14:paraId="70323CA2" w14:textId="407C269D" w:rsidR="000D288E" w:rsidRPr="000D288E" w:rsidRDefault="000D288E" w:rsidP="000D288E">
      <w:r w:rsidRPr="000D288E">
        <w:t>Z hlediska meziročního vývoje odběrů došlo k nárůstu v územní působnosti Povodí Odry o 1,9 %, Povodí Moravy o 1,0 % a Povodí Labe o 0,8 %. Ostatní s. p. Povodí ve svých územních působnostech zaznamenaly oproti předchozímu roku pokles odběrů u Povodí Vltavy o 3,2 % a u Povodí Ohře o 1,0 %.</w:t>
      </w:r>
    </w:p>
    <w:p w14:paraId="5562C540" w14:textId="77777777" w:rsidR="000D288E" w:rsidRDefault="000D288E" w:rsidP="000D288E"/>
    <w:p w14:paraId="65D4AF97" w14:textId="032FA1E7" w:rsidR="00755BE2" w:rsidRPr="000D288E" w:rsidRDefault="000D288E" w:rsidP="000D288E">
      <w:pPr>
        <w:rPr>
          <w:highlight w:val="yellow"/>
        </w:rPr>
      </w:pPr>
      <w:r w:rsidRPr="000D288E">
        <w:t>Z dlouhodobého hlediska vyplývá, že nejvyšší odběry podzemních vod byly zaznamenány v letech 1988 a 1989. Od té doby dochází k jejich postupnému poklesu. Od roku 2006 lze sledovat relativní stagnaci odběrů. Odběr podzemních vod v roce 2025 dosáhl 364,9 mil. m³, tedy prakticky stejně jako v roce 2024.</w:t>
      </w:r>
    </w:p>
    <w:p w14:paraId="7B3027B4" w14:textId="77777777" w:rsidR="00582494" w:rsidRPr="00104F7D" w:rsidRDefault="00582494" w:rsidP="00582494">
      <w:pPr>
        <w:rPr>
          <w:color w:val="FF0000"/>
          <w:highlight w:val="yellow"/>
        </w:rPr>
      </w:pPr>
    </w:p>
    <w:p w14:paraId="60F673C8" w14:textId="74BF0CDF" w:rsidR="00960D37" w:rsidRPr="003D3240" w:rsidRDefault="00960D37" w:rsidP="007C4955">
      <w:pPr>
        <w:contextualSpacing/>
        <w:rPr>
          <w:b/>
          <w:i/>
          <w:color w:val="000000" w:themeColor="text1"/>
        </w:rPr>
      </w:pPr>
      <w:r w:rsidRPr="003D3240">
        <w:rPr>
          <w:b/>
          <w:i/>
          <w:color w:val="000000" w:themeColor="text1"/>
        </w:rPr>
        <w:t>Tabulka 4.2.1</w:t>
      </w:r>
    </w:p>
    <w:p w14:paraId="7CD1FB7B" w14:textId="1C59B903" w:rsidR="003D3240" w:rsidRPr="003D3240" w:rsidRDefault="00960D37" w:rsidP="007C4955">
      <w:pPr>
        <w:contextualSpacing/>
        <w:rPr>
          <w:b/>
          <w:i/>
          <w:color w:val="000000" w:themeColor="text1"/>
        </w:rPr>
      </w:pPr>
      <w:r w:rsidRPr="003D3240">
        <w:rPr>
          <w:b/>
          <w:i/>
          <w:color w:val="000000" w:themeColor="text1"/>
        </w:rPr>
        <w:t xml:space="preserve">Odběry podzemní vody </w:t>
      </w:r>
      <w:r w:rsidR="00D610DD" w:rsidRPr="003D3240">
        <w:rPr>
          <w:b/>
          <w:i/>
          <w:color w:val="000000" w:themeColor="text1"/>
        </w:rPr>
        <w:t>(mil. m</w:t>
      </w:r>
      <w:r w:rsidR="00D610DD" w:rsidRPr="003D3240">
        <w:rPr>
          <w:b/>
          <w:i/>
          <w:color w:val="000000" w:themeColor="text1"/>
          <w:vertAlign w:val="superscript"/>
        </w:rPr>
        <w:t>3</w:t>
      </w:r>
      <w:r w:rsidR="00D610DD" w:rsidRPr="003D3240">
        <w:rPr>
          <w:b/>
          <w:i/>
          <w:color w:val="000000" w:themeColor="text1"/>
        </w:rPr>
        <w:t>)</w:t>
      </w:r>
      <w:r w:rsidRPr="003D3240">
        <w:rPr>
          <w:b/>
          <w:i/>
          <w:color w:val="000000" w:themeColor="text1"/>
        </w:rPr>
        <w:t xml:space="preserve"> odběrateli nad 6 000 m</w:t>
      </w:r>
      <w:r w:rsidRPr="003D3240">
        <w:rPr>
          <w:b/>
          <w:i/>
          <w:color w:val="000000" w:themeColor="text1"/>
          <w:vertAlign w:val="superscript"/>
        </w:rPr>
        <w:t>3</w:t>
      </w:r>
      <w:r w:rsidRPr="003D3240">
        <w:rPr>
          <w:b/>
          <w:i/>
          <w:color w:val="000000" w:themeColor="text1"/>
        </w:rPr>
        <w:t>/rok nebo 500 m</w:t>
      </w:r>
      <w:r w:rsidRPr="003D3240">
        <w:rPr>
          <w:b/>
          <w:i/>
          <w:color w:val="000000" w:themeColor="text1"/>
          <w:vertAlign w:val="superscript"/>
        </w:rPr>
        <w:t>3</w:t>
      </w:r>
      <w:r w:rsidRPr="003D3240">
        <w:rPr>
          <w:b/>
          <w:i/>
          <w:color w:val="000000" w:themeColor="text1"/>
        </w:rPr>
        <w:t xml:space="preserve">/měsíc </w:t>
      </w:r>
      <w:r w:rsidR="00D610DD" w:rsidRPr="003D3240">
        <w:rPr>
          <w:b/>
          <w:i/>
          <w:color w:val="000000" w:themeColor="text1"/>
        </w:rPr>
        <w:t>v roce 20</w:t>
      </w:r>
      <w:r w:rsidR="009B2BD2" w:rsidRPr="003D3240">
        <w:rPr>
          <w:b/>
          <w:i/>
          <w:color w:val="000000" w:themeColor="text1"/>
        </w:rPr>
        <w:t>2</w:t>
      </w:r>
      <w:r w:rsidR="003D3240">
        <w:rPr>
          <w:b/>
          <w:i/>
          <w:color w:val="000000" w:themeColor="text1"/>
        </w:rPr>
        <w:t>5</w:t>
      </w: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792"/>
        <w:gridCol w:w="966"/>
        <w:gridCol w:w="851"/>
        <w:gridCol w:w="709"/>
        <w:gridCol w:w="567"/>
        <w:gridCol w:w="850"/>
        <w:gridCol w:w="567"/>
        <w:gridCol w:w="851"/>
        <w:gridCol w:w="567"/>
        <w:gridCol w:w="850"/>
        <w:gridCol w:w="567"/>
        <w:gridCol w:w="851"/>
        <w:gridCol w:w="708"/>
      </w:tblGrid>
      <w:tr w:rsidR="00186037" w:rsidRPr="00BB3788" w14:paraId="195B72EA" w14:textId="77777777" w:rsidTr="00686F1C">
        <w:trPr>
          <w:cantSplit/>
          <w:trHeight w:val="540"/>
          <w:jc w:val="center"/>
        </w:trPr>
        <w:tc>
          <w:tcPr>
            <w:tcW w:w="792" w:type="dxa"/>
            <w:vMerge w:val="restart"/>
            <w:shd w:val="clear" w:color="auto" w:fill="D9D9D9"/>
            <w:vAlign w:val="center"/>
          </w:tcPr>
          <w:p w14:paraId="36051186" w14:textId="77777777" w:rsidR="00960D37" w:rsidRPr="00BB3788" w:rsidRDefault="00DB722A" w:rsidP="007C4955">
            <w:pPr>
              <w:contextualSpacing/>
              <w:jc w:val="center"/>
              <w:rPr>
                <w:b/>
                <w:bCs/>
                <w:color w:val="000000" w:themeColor="text1"/>
                <w:sz w:val="16"/>
                <w:szCs w:val="16"/>
              </w:rPr>
            </w:pPr>
            <w:r w:rsidRPr="00BB3788">
              <w:rPr>
                <w:b/>
                <w:bCs/>
                <w:color w:val="000000" w:themeColor="text1"/>
                <w:sz w:val="16"/>
                <w:szCs w:val="16"/>
              </w:rPr>
              <w:t>S</w:t>
            </w:r>
            <w:r w:rsidR="00960D37" w:rsidRPr="00BB3788">
              <w:rPr>
                <w:b/>
                <w:bCs/>
                <w:color w:val="000000" w:themeColor="text1"/>
                <w:sz w:val="16"/>
                <w:szCs w:val="16"/>
              </w:rPr>
              <w:t>. p.</w:t>
            </w:r>
            <w:r w:rsidR="00960D37" w:rsidRPr="00BB3788">
              <w:rPr>
                <w:b/>
                <w:bCs/>
                <w:color w:val="000000" w:themeColor="text1"/>
                <w:sz w:val="16"/>
                <w:szCs w:val="16"/>
              </w:rPr>
              <w:br/>
              <w:t>Povodí</w:t>
            </w:r>
          </w:p>
        </w:tc>
        <w:tc>
          <w:tcPr>
            <w:tcW w:w="1817" w:type="dxa"/>
            <w:gridSpan w:val="2"/>
            <w:shd w:val="clear" w:color="auto" w:fill="D9D9D9"/>
            <w:vAlign w:val="center"/>
          </w:tcPr>
          <w:p w14:paraId="7B7E24E2" w14:textId="77777777" w:rsidR="00960D37" w:rsidRPr="00BB3788" w:rsidRDefault="00960D37" w:rsidP="007C4955">
            <w:pPr>
              <w:contextualSpacing/>
              <w:jc w:val="center"/>
              <w:rPr>
                <w:b/>
                <w:bCs/>
                <w:color w:val="000000" w:themeColor="text1"/>
                <w:sz w:val="16"/>
                <w:szCs w:val="16"/>
              </w:rPr>
            </w:pPr>
            <w:r w:rsidRPr="00BB3788">
              <w:rPr>
                <w:b/>
                <w:bCs/>
                <w:color w:val="000000" w:themeColor="text1"/>
                <w:sz w:val="16"/>
                <w:szCs w:val="16"/>
              </w:rPr>
              <w:t>Vodovody pro veř. potřebu</w:t>
            </w:r>
          </w:p>
        </w:tc>
        <w:tc>
          <w:tcPr>
            <w:tcW w:w="1276" w:type="dxa"/>
            <w:gridSpan w:val="2"/>
            <w:shd w:val="clear" w:color="auto" w:fill="D9D9D9"/>
            <w:vAlign w:val="center"/>
          </w:tcPr>
          <w:p w14:paraId="3159DED3" w14:textId="77777777" w:rsidR="00960D37" w:rsidRPr="00BB3788" w:rsidRDefault="00960D37" w:rsidP="007C4955">
            <w:pPr>
              <w:contextualSpacing/>
              <w:jc w:val="center"/>
              <w:rPr>
                <w:b/>
                <w:bCs/>
                <w:color w:val="000000" w:themeColor="text1"/>
                <w:sz w:val="16"/>
                <w:szCs w:val="16"/>
              </w:rPr>
            </w:pPr>
            <w:r w:rsidRPr="00BB3788">
              <w:rPr>
                <w:b/>
                <w:bCs/>
                <w:color w:val="000000" w:themeColor="text1"/>
                <w:sz w:val="16"/>
                <w:szCs w:val="16"/>
              </w:rPr>
              <w:t>Zemědělství vč. závlah</w:t>
            </w:r>
          </w:p>
        </w:tc>
        <w:tc>
          <w:tcPr>
            <w:tcW w:w="1417" w:type="dxa"/>
            <w:gridSpan w:val="2"/>
            <w:shd w:val="clear" w:color="auto" w:fill="D9D9D9"/>
            <w:vAlign w:val="center"/>
          </w:tcPr>
          <w:p w14:paraId="5FC60DB5" w14:textId="77777777" w:rsidR="00960D37" w:rsidRPr="00BB3788" w:rsidRDefault="00960D37" w:rsidP="007C4955">
            <w:pPr>
              <w:contextualSpacing/>
              <w:jc w:val="center"/>
              <w:rPr>
                <w:b/>
                <w:bCs/>
                <w:color w:val="000000" w:themeColor="text1"/>
                <w:sz w:val="16"/>
                <w:szCs w:val="16"/>
              </w:rPr>
            </w:pPr>
            <w:r w:rsidRPr="00BB3788">
              <w:rPr>
                <w:b/>
                <w:bCs/>
                <w:color w:val="000000" w:themeColor="text1"/>
                <w:sz w:val="16"/>
                <w:szCs w:val="16"/>
              </w:rPr>
              <w:t>Energetika</w:t>
            </w:r>
          </w:p>
        </w:tc>
        <w:tc>
          <w:tcPr>
            <w:tcW w:w="1418" w:type="dxa"/>
            <w:gridSpan w:val="2"/>
            <w:shd w:val="clear" w:color="auto" w:fill="D9D9D9"/>
            <w:vAlign w:val="center"/>
          </w:tcPr>
          <w:p w14:paraId="4C08B66A" w14:textId="77777777" w:rsidR="00960D37" w:rsidRPr="00BB3788" w:rsidRDefault="00960D37" w:rsidP="007C4955">
            <w:pPr>
              <w:contextualSpacing/>
              <w:jc w:val="center"/>
              <w:rPr>
                <w:b/>
                <w:bCs/>
                <w:color w:val="000000" w:themeColor="text1"/>
                <w:sz w:val="16"/>
                <w:szCs w:val="16"/>
              </w:rPr>
            </w:pPr>
            <w:r w:rsidRPr="00BB3788">
              <w:rPr>
                <w:b/>
                <w:bCs/>
                <w:color w:val="000000" w:themeColor="text1"/>
                <w:sz w:val="16"/>
                <w:szCs w:val="16"/>
              </w:rPr>
              <w:t>Průmysl vč. dobývání</w:t>
            </w:r>
          </w:p>
        </w:tc>
        <w:tc>
          <w:tcPr>
            <w:tcW w:w="1417" w:type="dxa"/>
            <w:gridSpan w:val="2"/>
            <w:shd w:val="clear" w:color="auto" w:fill="D9D9D9"/>
            <w:vAlign w:val="center"/>
          </w:tcPr>
          <w:p w14:paraId="054ADC4D" w14:textId="77777777" w:rsidR="00960D37" w:rsidRPr="00BB3788" w:rsidRDefault="00960D37" w:rsidP="007C4955">
            <w:pPr>
              <w:contextualSpacing/>
              <w:jc w:val="center"/>
              <w:rPr>
                <w:b/>
                <w:bCs/>
                <w:color w:val="000000" w:themeColor="text1"/>
                <w:sz w:val="16"/>
                <w:szCs w:val="16"/>
              </w:rPr>
            </w:pPr>
            <w:r w:rsidRPr="00BB3788">
              <w:rPr>
                <w:b/>
                <w:bCs/>
                <w:color w:val="000000" w:themeColor="text1"/>
                <w:sz w:val="16"/>
                <w:szCs w:val="16"/>
              </w:rPr>
              <w:t>Ostatní vč. stavebnictví</w:t>
            </w:r>
            <w:r w:rsidR="00EC4135" w:rsidRPr="00BB3788">
              <w:rPr>
                <w:b/>
                <w:bCs/>
                <w:color w:val="000000" w:themeColor="text1"/>
                <w:sz w:val="16"/>
                <w:szCs w:val="16"/>
              </w:rPr>
              <w:t xml:space="preserve"> a veř. kanalizací</w:t>
            </w:r>
          </w:p>
        </w:tc>
        <w:tc>
          <w:tcPr>
            <w:tcW w:w="1559" w:type="dxa"/>
            <w:gridSpan w:val="2"/>
            <w:shd w:val="clear" w:color="auto" w:fill="D9D9D9"/>
            <w:vAlign w:val="center"/>
          </w:tcPr>
          <w:p w14:paraId="23F216A5" w14:textId="77777777" w:rsidR="00960D37" w:rsidRPr="00BB3788" w:rsidRDefault="00960D37" w:rsidP="007C4955">
            <w:pPr>
              <w:contextualSpacing/>
              <w:jc w:val="center"/>
              <w:rPr>
                <w:b/>
                <w:bCs/>
                <w:color w:val="000000" w:themeColor="text1"/>
                <w:sz w:val="16"/>
                <w:szCs w:val="16"/>
              </w:rPr>
            </w:pPr>
            <w:r w:rsidRPr="00BB3788">
              <w:rPr>
                <w:b/>
                <w:bCs/>
                <w:color w:val="000000" w:themeColor="text1"/>
                <w:sz w:val="16"/>
                <w:szCs w:val="16"/>
              </w:rPr>
              <w:t>Celkem</w:t>
            </w:r>
          </w:p>
        </w:tc>
      </w:tr>
      <w:tr w:rsidR="00186037" w:rsidRPr="00BB3788" w14:paraId="32245825" w14:textId="77777777" w:rsidTr="00686F1C">
        <w:trPr>
          <w:cantSplit/>
          <w:trHeight w:val="270"/>
          <w:jc w:val="center"/>
        </w:trPr>
        <w:tc>
          <w:tcPr>
            <w:tcW w:w="792" w:type="dxa"/>
            <w:vMerge/>
            <w:shd w:val="clear" w:color="auto" w:fill="D9D9D9"/>
            <w:vAlign w:val="center"/>
          </w:tcPr>
          <w:p w14:paraId="64542C9C" w14:textId="77777777" w:rsidR="00960D37" w:rsidRPr="00BB3788" w:rsidRDefault="00960D37" w:rsidP="007C4955">
            <w:pPr>
              <w:contextualSpacing/>
              <w:rPr>
                <w:b/>
                <w:bCs/>
                <w:color w:val="000000" w:themeColor="text1"/>
                <w:sz w:val="16"/>
                <w:szCs w:val="16"/>
              </w:rPr>
            </w:pPr>
          </w:p>
        </w:tc>
        <w:tc>
          <w:tcPr>
            <w:tcW w:w="966" w:type="dxa"/>
            <w:shd w:val="clear" w:color="auto" w:fill="D9D9D9"/>
            <w:noWrap/>
            <w:vAlign w:val="bottom"/>
          </w:tcPr>
          <w:p w14:paraId="0C403FF5" w14:textId="77777777" w:rsidR="00960D37" w:rsidRPr="00BB3788" w:rsidRDefault="00960D37" w:rsidP="007C4955">
            <w:pPr>
              <w:keepNext/>
              <w:keepLines/>
              <w:contextualSpacing/>
              <w:jc w:val="center"/>
              <w:rPr>
                <w:b/>
                <w:bCs/>
                <w:color w:val="000000" w:themeColor="text1"/>
                <w:sz w:val="16"/>
                <w:szCs w:val="16"/>
              </w:rPr>
            </w:pPr>
            <w:r w:rsidRPr="00BB3788">
              <w:rPr>
                <w:b/>
                <w:bCs/>
                <w:color w:val="000000" w:themeColor="text1"/>
                <w:sz w:val="16"/>
                <w:szCs w:val="16"/>
              </w:rPr>
              <w:t>Množství</w:t>
            </w:r>
            <w:r w:rsidR="00D610DD" w:rsidRPr="00BB3788">
              <w:rPr>
                <w:b/>
                <w:bCs/>
                <w:color w:val="000000" w:themeColor="text1"/>
                <w:sz w:val="16"/>
                <w:szCs w:val="16"/>
              </w:rPr>
              <w:t xml:space="preserve"> </w:t>
            </w:r>
          </w:p>
        </w:tc>
        <w:tc>
          <w:tcPr>
            <w:tcW w:w="851" w:type="dxa"/>
            <w:shd w:val="clear" w:color="auto" w:fill="D9D9D9"/>
            <w:noWrap/>
            <w:vAlign w:val="bottom"/>
          </w:tcPr>
          <w:p w14:paraId="17E240F8" w14:textId="77777777" w:rsidR="00960D37" w:rsidRPr="00BB3788" w:rsidRDefault="00960D37" w:rsidP="007C4955">
            <w:pPr>
              <w:keepNext/>
              <w:keepLines/>
              <w:contextualSpacing/>
              <w:jc w:val="center"/>
              <w:rPr>
                <w:b/>
                <w:bCs/>
                <w:color w:val="000000" w:themeColor="text1"/>
                <w:sz w:val="16"/>
                <w:szCs w:val="16"/>
              </w:rPr>
            </w:pPr>
            <w:r w:rsidRPr="00BB3788">
              <w:rPr>
                <w:b/>
                <w:bCs/>
                <w:color w:val="000000" w:themeColor="text1"/>
                <w:sz w:val="16"/>
                <w:szCs w:val="16"/>
              </w:rPr>
              <w:t>Počet</w:t>
            </w:r>
          </w:p>
        </w:tc>
        <w:tc>
          <w:tcPr>
            <w:tcW w:w="709" w:type="dxa"/>
            <w:shd w:val="clear" w:color="auto" w:fill="D9D9D9"/>
            <w:noWrap/>
            <w:vAlign w:val="bottom"/>
          </w:tcPr>
          <w:p w14:paraId="5DE32EF4" w14:textId="77777777" w:rsidR="00960D37" w:rsidRPr="00BB3788" w:rsidRDefault="00960D37" w:rsidP="007C4955">
            <w:pPr>
              <w:keepNext/>
              <w:keepLines/>
              <w:contextualSpacing/>
              <w:jc w:val="center"/>
              <w:rPr>
                <w:b/>
                <w:bCs/>
                <w:color w:val="000000" w:themeColor="text1"/>
                <w:sz w:val="16"/>
                <w:szCs w:val="16"/>
              </w:rPr>
            </w:pPr>
            <w:r w:rsidRPr="00BB3788">
              <w:rPr>
                <w:b/>
                <w:bCs/>
                <w:color w:val="000000" w:themeColor="text1"/>
                <w:sz w:val="16"/>
                <w:szCs w:val="16"/>
              </w:rPr>
              <w:t>Množství</w:t>
            </w:r>
          </w:p>
        </w:tc>
        <w:tc>
          <w:tcPr>
            <w:tcW w:w="567" w:type="dxa"/>
            <w:shd w:val="clear" w:color="auto" w:fill="D9D9D9"/>
            <w:noWrap/>
            <w:vAlign w:val="bottom"/>
          </w:tcPr>
          <w:p w14:paraId="6F8D1DB4" w14:textId="77777777" w:rsidR="00960D37" w:rsidRPr="00BB3788" w:rsidRDefault="00960D37" w:rsidP="007C4955">
            <w:pPr>
              <w:keepNext/>
              <w:keepLines/>
              <w:contextualSpacing/>
              <w:jc w:val="center"/>
              <w:rPr>
                <w:b/>
                <w:bCs/>
                <w:color w:val="000000" w:themeColor="text1"/>
                <w:sz w:val="16"/>
                <w:szCs w:val="16"/>
              </w:rPr>
            </w:pPr>
            <w:r w:rsidRPr="00BB3788">
              <w:rPr>
                <w:b/>
                <w:bCs/>
                <w:color w:val="000000" w:themeColor="text1"/>
                <w:sz w:val="16"/>
                <w:szCs w:val="16"/>
              </w:rPr>
              <w:t>Počet</w:t>
            </w:r>
          </w:p>
        </w:tc>
        <w:tc>
          <w:tcPr>
            <w:tcW w:w="850" w:type="dxa"/>
            <w:shd w:val="clear" w:color="auto" w:fill="D9D9D9"/>
            <w:noWrap/>
            <w:vAlign w:val="bottom"/>
          </w:tcPr>
          <w:p w14:paraId="13B98525" w14:textId="77777777" w:rsidR="00960D37" w:rsidRPr="00BB3788" w:rsidRDefault="00960D37" w:rsidP="007C4955">
            <w:pPr>
              <w:keepNext/>
              <w:keepLines/>
              <w:contextualSpacing/>
              <w:jc w:val="center"/>
              <w:rPr>
                <w:b/>
                <w:bCs/>
                <w:color w:val="000000" w:themeColor="text1"/>
                <w:sz w:val="16"/>
                <w:szCs w:val="16"/>
              </w:rPr>
            </w:pPr>
            <w:r w:rsidRPr="00BB3788">
              <w:rPr>
                <w:b/>
                <w:bCs/>
                <w:color w:val="000000" w:themeColor="text1"/>
                <w:sz w:val="16"/>
                <w:szCs w:val="16"/>
              </w:rPr>
              <w:t>Množství</w:t>
            </w:r>
          </w:p>
        </w:tc>
        <w:tc>
          <w:tcPr>
            <w:tcW w:w="567" w:type="dxa"/>
            <w:shd w:val="clear" w:color="auto" w:fill="D9D9D9"/>
            <w:noWrap/>
            <w:vAlign w:val="bottom"/>
          </w:tcPr>
          <w:p w14:paraId="4F358E91" w14:textId="77777777" w:rsidR="00960D37" w:rsidRPr="00BB3788" w:rsidRDefault="00960D37" w:rsidP="007C4955">
            <w:pPr>
              <w:keepNext/>
              <w:keepLines/>
              <w:contextualSpacing/>
              <w:jc w:val="center"/>
              <w:rPr>
                <w:b/>
                <w:bCs/>
                <w:color w:val="000000" w:themeColor="text1"/>
                <w:sz w:val="16"/>
                <w:szCs w:val="16"/>
              </w:rPr>
            </w:pPr>
            <w:r w:rsidRPr="00BB3788">
              <w:rPr>
                <w:b/>
                <w:bCs/>
                <w:color w:val="000000" w:themeColor="text1"/>
                <w:sz w:val="16"/>
                <w:szCs w:val="16"/>
              </w:rPr>
              <w:t>Počet</w:t>
            </w:r>
          </w:p>
        </w:tc>
        <w:tc>
          <w:tcPr>
            <w:tcW w:w="851" w:type="dxa"/>
            <w:shd w:val="clear" w:color="auto" w:fill="D9D9D9"/>
            <w:noWrap/>
            <w:vAlign w:val="bottom"/>
          </w:tcPr>
          <w:p w14:paraId="54AB3E5F" w14:textId="77777777" w:rsidR="00960D37" w:rsidRPr="00BB3788" w:rsidRDefault="00960D37" w:rsidP="007C4955">
            <w:pPr>
              <w:keepNext/>
              <w:keepLines/>
              <w:contextualSpacing/>
              <w:jc w:val="center"/>
              <w:rPr>
                <w:b/>
                <w:bCs/>
                <w:color w:val="000000" w:themeColor="text1"/>
                <w:sz w:val="16"/>
                <w:szCs w:val="16"/>
              </w:rPr>
            </w:pPr>
            <w:r w:rsidRPr="00BB3788">
              <w:rPr>
                <w:b/>
                <w:bCs/>
                <w:color w:val="000000" w:themeColor="text1"/>
                <w:sz w:val="16"/>
                <w:szCs w:val="16"/>
              </w:rPr>
              <w:t>Množství</w:t>
            </w:r>
          </w:p>
        </w:tc>
        <w:tc>
          <w:tcPr>
            <w:tcW w:w="567" w:type="dxa"/>
            <w:shd w:val="clear" w:color="auto" w:fill="D9D9D9"/>
            <w:noWrap/>
            <w:vAlign w:val="bottom"/>
          </w:tcPr>
          <w:p w14:paraId="4884995A" w14:textId="77777777" w:rsidR="00960D37" w:rsidRPr="00BB3788" w:rsidRDefault="00960D37" w:rsidP="007C4955">
            <w:pPr>
              <w:keepNext/>
              <w:keepLines/>
              <w:contextualSpacing/>
              <w:jc w:val="center"/>
              <w:rPr>
                <w:b/>
                <w:bCs/>
                <w:color w:val="000000" w:themeColor="text1"/>
                <w:sz w:val="16"/>
                <w:szCs w:val="16"/>
              </w:rPr>
            </w:pPr>
            <w:r w:rsidRPr="00BB3788">
              <w:rPr>
                <w:b/>
                <w:bCs/>
                <w:color w:val="000000" w:themeColor="text1"/>
                <w:sz w:val="16"/>
                <w:szCs w:val="16"/>
              </w:rPr>
              <w:t>Počet</w:t>
            </w:r>
          </w:p>
        </w:tc>
        <w:tc>
          <w:tcPr>
            <w:tcW w:w="850" w:type="dxa"/>
            <w:shd w:val="clear" w:color="auto" w:fill="D9D9D9"/>
            <w:noWrap/>
            <w:vAlign w:val="bottom"/>
          </w:tcPr>
          <w:p w14:paraId="21FBFF8B" w14:textId="77777777" w:rsidR="00960D37" w:rsidRPr="00BB3788" w:rsidRDefault="00960D37" w:rsidP="007C4955">
            <w:pPr>
              <w:keepNext/>
              <w:keepLines/>
              <w:contextualSpacing/>
              <w:jc w:val="center"/>
              <w:rPr>
                <w:b/>
                <w:bCs/>
                <w:color w:val="000000" w:themeColor="text1"/>
                <w:sz w:val="16"/>
                <w:szCs w:val="16"/>
              </w:rPr>
            </w:pPr>
            <w:r w:rsidRPr="00BB3788">
              <w:rPr>
                <w:b/>
                <w:bCs/>
                <w:color w:val="000000" w:themeColor="text1"/>
                <w:sz w:val="16"/>
                <w:szCs w:val="16"/>
              </w:rPr>
              <w:t>Množství</w:t>
            </w:r>
          </w:p>
        </w:tc>
        <w:tc>
          <w:tcPr>
            <w:tcW w:w="567" w:type="dxa"/>
            <w:shd w:val="clear" w:color="auto" w:fill="D9D9D9"/>
            <w:noWrap/>
            <w:vAlign w:val="bottom"/>
          </w:tcPr>
          <w:p w14:paraId="5B8735E9" w14:textId="77777777" w:rsidR="00960D37" w:rsidRPr="00BB3788" w:rsidRDefault="00960D37" w:rsidP="007C4955">
            <w:pPr>
              <w:keepNext/>
              <w:keepLines/>
              <w:contextualSpacing/>
              <w:jc w:val="center"/>
              <w:rPr>
                <w:b/>
                <w:bCs/>
                <w:color w:val="000000" w:themeColor="text1"/>
                <w:sz w:val="16"/>
                <w:szCs w:val="16"/>
              </w:rPr>
            </w:pPr>
            <w:r w:rsidRPr="00BB3788">
              <w:rPr>
                <w:b/>
                <w:bCs/>
                <w:color w:val="000000" w:themeColor="text1"/>
                <w:sz w:val="16"/>
                <w:szCs w:val="16"/>
              </w:rPr>
              <w:t>Počet</w:t>
            </w:r>
          </w:p>
        </w:tc>
        <w:tc>
          <w:tcPr>
            <w:tcW w:w="851" w:type="dxa"/>
            <w:shd w:val="clear" w:color="auto" w:fill="D9D9D9"/>
            <w:noWrap/>
            <w:vAlign w:val="bottom"/>
          </w:tcPr>
          <w:p w14:paraId="6D2C113F" w14:textId="77777777" w:rsidR="00960D37" w:rsidRPr="00BB3788" w:rsidRDefault="00960D37" w:rsidP="007C4955">
            <w:pPr>
              <w:keepNext/>
              <w:keepLines/>
              <w:contextualSpacing/>
              <w:jc w:val="center"/>
              <w:rPr>
                <w:b/>
                <w:bCs/>
                <w:color w:val="000000" w:themeColor="text1"/>
                <w:sz w:val="16"/>
                <w:szCs w:val="16"/>
              </w:rPr>
            </w:pPr>
            <w:r w:rsidRPr="00BB3788">
              <w:rPr>
                <w:b/>
                <w:bCs/>
                <w:color w:val="000000" w:themeColor="text1"/>
                <w:sz w:val="16"/>
                <w:szCs w:val="16"/>
              </w:rPr>
              <w:t>Množství</w:t>
            </w:r>
          </w:p>
        </w:tc>
        <w:tc>
          <w:tcPr>
            <w:tcW w:w="708" w:type="dxa"/>
            <w:shd w:val="clear" w:color="auto" w:fill="D9D9D9"/>
            <w:noWrap/>
            <w:vAlign w:val="bottom"/>
          </w:tcPr>
          <w:p w14:paraId="4E9E836A" w14:textId="77777777" w:rsidR="00960D37" w:rsidRPr="00BB3788" w:rsidRDefault="00960D37" w:rsidP="007C4955">
            <w:pPr>
              <w:keepNext/>
              <w:keepLines/>
              <w:contextualSpacing/>
              <w:jc w:val="center"/>
              <w:rPr>
                <w:b/>
                <w:bCs/>
                <w:color w:val="000000" w:themeColor="text1"/>
                <w:sz w:val="16"/>
                <w:szCs w:val="16"/>
              </w:rPr>
            </w:pPr>
            <w:r w:rsidRPr="00BB3788">
              <w:rPr>
                <w:b/>
                <w:bCs/>
                <w:color w:val="000000" w:themeColor="text1"/>
                <w:sz w:val="16"/>
                <w:szCs w:val="16"/>
              </w:rPr>
              <w:t>Počet</w:t>
            </w:r>
          </w:p>
        </w:tc>
      </w:tr>
      <w:tr w:rsidR="00686F1C" w:rsidRPr="00BB3788" w14:paraId="7E7B9EB3" w14:textId="77777777" w:rsidTr="00686F1C">
        <w:trPr>
          <w:trHeight w:val="255"/>
          <w:jc w:val="center"/>
        </w:trPr>
        <w:tc>
          <w:tcPr>
            <w:tcW w:w="792" w:type="dxa"/>
            <w:noWrap/>
            <w:vAlign w:val="bottom"/>
          </w:tcPr>
          <w:p w14:paraId="375646BA" w14:textId="77777777" w:rsidR="00686F1C" w:rsidRPr="00BB3788" w:rsidRDefault="00686F1C" w:rsidP="00686F1C">
            <w:pPr>
              <w:contextualSpacing/>
              <w:rPr>
                <w:rFonts w:cs="Arial"/>
                <w:b/>
                <w:bCs/>
                <w:color w:val="000000" w:themeColor="text1"/>
                <w:sz w:val="16"/>
                <w:szCs w:val="16"/>
              </w:rPr>
            </w:pPr>
            <w:r w:rsidRPr="00BB3788">
              <w:rPr>
                <w:rFonts w:cs="Arial"/>
                <w:b/>
                <w:bCs/>
                <w:color w:val="000000" w:themeColor="text1"/>
                <w:sz w:val="16"/>
                <w:szCs w:val="16"/>
              </w:rPr>
              <w:t>Labe</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3E42BC2" w14:textId="0087141B" w:rsidR="00686F1C" w:rsidRPr="00686F1C" w:rsidRDefault="00686F1C" w:rsidP="00686F1C">
            <w:pPr>
              <w:contextualSpacing/>
              <w:jc w:val="right"/>
              <w:rPr>
                <w:rFonts w:cs="Arial"/>
                <w:sz w:val="18"/>
                <w:szCs w:val="18"/>
              </w:rPr>
            </w:pPr>
            <w:r w:rsidRPr="00686F1C">
              <w:rPr>
                <w:sz w:val="18"/>
                <w:szCs w:val="18"/>
              </w:rPr>
              <w:t>95,815</w:t>
            </w:r>
          </w:p>
        </w:tc>
        <w:tc>
          <w:tcPr>
            <w:tcW w:w="851" w:type="dxa"/>
            <w:tcBorders>
              <w:top w:val="single" w:sz="4" w:space="0" w:color="auto"/>
              <w:left w:val="nil"/>
              <w:bottom w:val="single" w:sz="4" w:space="0" w:color="auto"/>
              <w:right w:val="single" w:sz="4" w:space="0" w:color="auto"/>
            </w:tcBorders>
            <w:shd w:val="clear" w:color="000000" w:fill="FFFFFF"/>
            <w:noWrap/>
            <w:vAlign w:val="center"/>
          </w:tcPr>
          <w:p w14:paraId="636F7150" w14:textId="1F837797" w:rsidR="00686F1C" w:rsidRPr="00686F1C" w:rsidRDefault="00686F1C" w:rsidP="00686F1C">
            <w:pPr>
              <w:contextualSpacing/>
              <w:jc w:val="center"/>
              <w:rPr>
                <w:rFonts w:cs="Arial"/>
                <w:sz w:val="18"/>
                <w:szCs w:val="18"/>
                <w:lang w:eastAsia="cs-CZ"/>
              </w:rPr>
            </w:pPr>
            <w:r w:rsidRPr="00686F1C">
              <w:rPr>
                <w:rFonts w:cs="Arial"/>
                <w:color w:val="000000"/>
                <w:sz w:val="18"/>
                <w:szCs w:val="18"/>
              </w:rPr>
              <w:t>722</w:t>
            </w:r>
          </w:p>
        </w:tc>
        <w:tc>
          <w:tcPr>
            <w:tcW w:w="709" w:type="dxa"/>
            <w:tcBorders>
              <w:top w:val="single" w:sz="4" w:space="0" w:color="auto"/>
              <w:left w:val="nil"/>
              <w:bottom w:val="single" w:sz="4" w:space="0" w:color="auto"/>
              <w:right w:val="single" w:sz="4" w:space="0" w:color="auto"/>
            </w:tcBorders>
            <w:shd w:val="clear" w:color="000000" w:fill="FFFFFF"/>
            <w:noWrap/>
            <w:vAlign w:val="bottom"/>
          </w:tcPr>
          <w:p w14:paraId="455B00F9" w14:textId="74D57165" w:rsidR="00686F1C" w:rsidRPr="00686F1C" w:rsidRDefault="00686F1C" w:rsidP="00686F1C">
            <w:pPr>
              <w:contextualSpacing/>
              <w:jc w:val="right"/>
              <w:rPr>
                <w:rFonts w:cs="Arial"/>
                <w:bCs/>
                <w:sz w:val="18"/>
                <w:szCs w:val="18"/>
              </w:rPr>
            </w:pPr>
            <w:r w:rsidRPr="00686F1C">
              <w:rPr>
                <w:sz w:val="18"/>
                <w:szCs w:val="18"/>
              </w:rPr>
              <w:t>3,770</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14:paraId="4F413469" w14:textId="6230EBEE" w:rsidR="00686F1C" w:rsidRPr="00686F1C" w:rsidRDefault="00686F1C" w:rsidP="00686F1C">
            <w:pPr>
              <w:contextualSpacing/>
              <w:jc w:val="center"/>
              <w:rPr>
                <w:rFonts w:cs="Arial"/>
                <w:sz w:val="18"/>
                <w:szCs w:val="18"/>
                <w:lang w:eastAsia="cs-CZ"/>
              </w:rPr>
            </w:pPr>
            <w:r w:rsidRPr="00686F1C">
              <w:rPr>
                <w:rFonts w:cs="Arial"/>
                <w:color w:val="000000"/>
                <w:sz w:val="18"/>
                <w:szCs w:val="18"/>
              </w:rPr>
              <w:t>249</w:t>
            </w:r>
          </w:p>
        </w:tc>
        <w:tc>
          <w:tcPr>
            <w:tcW w:w="850" w:type="dxa"/>
            <w:tcBorders>
              <w:top w:val="single" w:sz="4" w:space="0" w:color="auto"/>
              <w:left w:val="nil"/>
              <w:bottom w:val="single" w:sz="4" w:space="0" w:color="auto"/>
              <w:right w:val="single" w:sz="4" w:space="0" w:color="auto"/>
            </w:tcBorders>
            <w:shd w:val="clear" w:color="000000" w:fill="FFFFFF"/>
            <w:noWrap/>
            <w:vAlign w:val="bottom"/>
          </w:tcPr>
          <w:p w14:paraId="138485D3" w14:textId="7C54CCEA" w:rsidR="00686F1C" w:rsidRPr="00686F1C" w:rsidRDefault="00686F1C" w:rsidP="00686F1C">
            <w:pPr>
              <w:contextualSpacing/>
              <w:jc w:val="right"/>
              <w:rPr>
                <w:rFonts w:cs="Arial"/>
                <w:sz w:val="18"/>
                <w:szCs w:val="18"/>
              </w:rPr>
            </w:pPr>
            <w:r w:rsidRPr="00686F1C">
              <w:rPr>
                <w:sz w:val="18"/>
                <w:szCs w:val="18"/>
              </w:rPr>
              <w:t>0,701</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14:paraId="5E0EB5C9" w14:textId="02F001A0" w:rsidR="00686F1C" w:rsidRPr="00686F1C" w:rsidRDefault="00686F1C" w:rsidP="00686F1C">
            <w:pPr>
              <w:contextualSpacing/>
              <w:jc w:val="center"/>
              <w:rPr>
                <w:rFonts w:cs="Arial"/>
                <w:sz w:val="18"/>
                <w:szCs w:val="18"/>
                <w:lang w:eastAsia="cs-CZ"/>
              </w:rPr>
            </w:pPr>
            <w:r w:rsidRPr="00686F1C">
              <w:rPr>
                <w:rFonts w:cs="Arial"/>
                <w:color w:val="000000"/>
                <w:sz w:val="18"/>
                <w:szCs w:val="18"/>
              </w:rPr>
              <w:t>10</w:t>
            </w:r>
          </w:p>
        </w:tc>
        <w:tc>
          <w:tcPr>
            <w:tcW w:w="851" w:type="dxa"/>
            <w:tcBorders>
              <w:top w:val="single" w:sz="4" w:space="0" w:color="auto"/>
              <w:left w:val="nil"/>
              <w:bottom w:val="single" w:sz="4" w:space="0" w:color="auto"/>
              <w:right w:val="single" w:sz="4" w:space="0" w:color="auto"/>
            </w:tcBorders>
            <w:shd w:val="clear" w:color="000000" w:fill="FFFFFF"/>
            <w:noWrap/>
            <w:vAlign w:val="bottom"/>
          </w:tcPr>
          <w:p w14:paraId="7560BA74" w14:textId="10C56334" w:rsidR="00686F1C" w:rsidRPr="00686F1C" w:rsidRDefault="00686F1C" w:rsidP="00686F1C">
            <w:pPr>
              <w:contextualSpacing/>
              <w:jc w:val="right"/>
              <w:rPr>
                <w:rFonts w:cs="Arial"/>
                <w:sz w:val="18"/>
                <w:szCs w:val="18"/>
              </w:rPr>
            </w:pPr>
            <w:r w:rsidRPr="00686F1C">
              <w:rPr>
                <w:sz w:val="18"/>
                <w:szCs w:val="18"/>
              </w:rPr>
              <w:t>7,743</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14:paraId="1ADDFD90" w14:textId="2B837A00" w:rsidR="00686F1C" w:rsidRPr="00686F1C" w:rsidRDefault="00686F1C" w:rsidP="00686F1C">
            <w:pPr>
              <w:contextualSpacing/>
              <w:jc w:val="center"/>
              <w:rPr>
                <w:rFonts w:cs="Arial"/>
                <w:sz w:val="18"/>
                <w:szCs w:val="18"/>
                <w:lang w:eastAsia="cs-CZ"/>
              </w:rPr>
            </w:pPr>
            <w:r w:rsidRPr="00686F1C">
              <w:rPr>
                <w:rFonts w:cs="Arial"/>
                <w:color w:val="000000"/>
                <w:sz w:val="18"/>
                <w:szCs w:val="18"/>
              </w:rPr>
              <w:t>126</w:t>
            </w:r>
          </w:p>
        </w:tc>
        <w:tc>
          <w:tcPr>
            <w:tcW w:w="850" w:type="dxa"/>
            <w:tcBorders>
              <w:top w:val="single" w:sz="4" w:space="0" w:color="auto"/>
              <w:left w:val="nil"/>
              <w:bottom w:val="single" w:sz="4" w:space="0" w:color="auto"/>
              <w:right w:val="single" w:sz="4" w:space="0" w:color="auto"/>
            </w:tcBorders>
            <w:shd w:val="clear" w:color="000000" w:fill="FFFFFF"/>
            <w:noWrap/>
            <w:vAlign w:val="bottom"/>
          </w:tcPr>
          <w:p w14:paraId="515535E2" w14:textId="49E82D04" w:rsidR="00686F1C" w:rsidRPr="00686F1C" w:rsidRDefault="00686F1C" w:rsidP="00686F1C">
            <w:pPr>
              <w:contextualSpacing/>
              <w:jc w:val="right"/>
              <w:rPr>
                <w:rFonts w:cs="Arial"/>
                <w:sz w:val="18"/>
                <w:szCs w:val="18"/>
              </w:rPr>
            </w:pPr>
            <w:r w:rsidRPr="00686F1C">
              <w:rPr>
                <w:sz w:val="18"/>
                <w:szCs w:val="18"/>
              </w:rPr>
              <w:t>2,384</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14:paraId="4D00FE43" w14:textId="31C1E392" w:rsidR="00686F1C" w:rsidRPr="00686F1C" w:rsidRDefault="00686F1C" w:rsidP="00686F1C">
            <w:pPr>
              <w:contextualSpacing/>
              <w:jc w:val="center"/>
              <w:rPr>
                <w:rFonts w:cs="Arial"/>
                <w:sz w:val="18"/>
                <w:szCs w:val="18"/>
                <w:lang w:eastAsia="cs-CZ"/>
              </w:rPr>
            </w:pPr>
            <w:r w:rsidRPr="00686F1C">
              <w:rPr>
                <w:rFonts w:cs="Arial"/>
                <w:color w:val="000000"/>
                <w:sz w:val="18"/>
                <w:szCs w:val="18"/>
              </w:rPr>
              <w:t>119</w:t>
            </w:r>
          </w:p>
        </w:tc>
        <w:tc>
          <w:tcPr>
            <w:tcW w:w="851" w:type="dxa"/>
            <w:tcBorders>
              <w:top w:val="single" w:sz="4" w:space="0" w:color="auto"/>
              <w:left w:val="nil"/>
              <w:bottom w:val="single" w:sz="4" w:space="0" w:color="auto"/>
              <w:right w:val="single" w:sz="4" w:space="0" w:color="auto"/>
            </w:tcBorders>
            <w:noWrap/>
            <w:vAlign w:val="bottom"/>
          </w:tcPr>
          <w:p w14:paraId="3A271E0B" w14:textId="7F6EFFA5" w:rsidR="00686F1C" w:rsidRPr="00686F1C" w:rsidRDefault="00686F1C" w:rsidP="00686F1C">
            <w:pPr>
              <w:contextualSpacing/>
              <w:jc w:val="right"/>
              <w:rPr>
                <w:rFonts w:cs="Arial"/>
                <w:b/>
                <w:sz w:val="18"/>
                <w:szCs w:val="18"/>
              </w:rPr>
            </w:pPr>
            <w:r w:rsidRPr="00686F1C">
              <w:rPr>
                <w:b/>
                <w:sz w:val="18"/>
                <w:szCs w:val="18"/>
              </w:rPr>
              <w:t>110,413</w:t>
            </w:r>
          </w:p>
        </w:tc>
        <w:tc>
          <w:tcPr>
            <w:tcW w:w="708" w:type="dxa"/>
            <w:tcBorders>
              <w:top w:val="single" w:sz="4" w:space="0" w:color="auto"/>
              <w:left w:val="nil"/>
              <w:bottom w:val="single" w:sz="4" w:space="0" w:color="auto"/>
              <w:right w:val="single" w:sz="4" w:space="0" w:color="auto"/>
            </w:tcBorders>
            <w:noWrap/>
            <w:vAlign w:val="center"/>
          </w:tcPr>
          <w:p w14:paraId="09B84D56" w14:textId="49C7F690" w:rsidR="00686F1C" w:rsidRPr="00686F1C" w:rsidRDefault="00686F1C" w:rsidP="00686F1C">
            <w:pPr>
              <w:contextualSpacing/>
              <w:jc w:val="center"/>
              <w:rPr>
                <w:rFonts w:cs="Arial"/>
                <w:sz w:val="18"/>
                <w:szCs w:val="18"/>
                <w:lang w:eastAsia="cs-CZ"/>
              </w:rPr>
            </w:pPr>
            <w:r w:rsidRPr="00686F1C">
              <w:rPr>
                <w:rFonts w:cs="Arial"/>
                <w:color w:val="000000"/>
                <w:sz w:val="18"/>
                <w:szCs w:val="18"/>
              </w:rPr>
              <w:t>1 226</w:t>
            </w:r>
          </w:p>
        </w:tc>
      </w:tr>
      <w:tr w:rsidR="00686F1C" w:rsidRPr="00BB3788" w14:paraId="3E988E1E" w14:textId="77777777" w:rsidTr="00686F1C">
        <w:trPr>
          <w:trHeight w:val="255"/>
          <w:jc w:val="center"/>
        </w:trPr>
        <w:tc>
          <w:tcPr>
            <w:tcW w:w="792" w:type="dxa"/>
            <w:noWrap/>
            <w:vAlign w:val="bottom"/>
          </w:tcPr>
          <w:p w14:paraId="67843DA6" w14:textId="77777777" w:rsidR="00686F1C" w:rsidRPr="00BB3788" w:rsidRDefault="00686F1C" w:rsidP="00686F1C">
            <w:pPr>
              <w:contextualSpacing/>
              <w:rPr>
                <w:rFonts w:cs="Arial"/>
                <w:b/>
                <w:bCs/>
                <w:color w:val="000000" w:themeColor="text1"/>
                <w:sz w:val="16"/>
                <w:szCs w:val="16"/>
              </w:rPr>
            </w:pPr>
            <w:r w:rsidRPr="00BB3788">
              <w:rPr>
                <w:rFonts w:cs="Arial"/>
                <w:b/>
                <w:bCs/>
                <w:color w:val="000000" w:themeColor="text1"/>
                <w:sz w:val="16"/>
                <w:szCs w:val="16"/>
              </w:rPr>
              <w:t>Vltavy</w:t>
            </w:r>
          </w:p>
        </w:tc>
        <w:tc>
          <w:tcPr>
            <w:tcW w:w="966" w:type="dxa"/>
            <w:tcBorders>
              <w:top w:val="single" w:sz="8" w:space="0" w:color="auto"/>
              <w:left w:val="single" w:sz="8" w:space="0" w:color="auto"/>
              <w:bottom w:val="single" w:sz="8" w:space="0" w:color="auto"/>
              <w:right w:val="single" w:sz="8" w:space="0" w:color="auto"/>
            </w:tcBorders>
            <w:shd w:val="clear" w:color="000000" w:fill="FFFFFF"/>
            <w:noWrap/>
            <w:vAlign w:val="bottom"/>
          </w:tcPr>
          <w:p w14:paraId="573DF6A0" w14:textId="7E87801A" w:rsidR="00686F1C" w:rsidRPr="00686F1C" w:rsidRDefault="00686F1C" w:rsidP="00686F1C">
            <w:pPr>
              <w:contextualSpacing/>
              <w:jc w:val="right"/>
              <w:rPr>
                <w:rFonts w:cs="Arial"/>
                <w:sz w:val="18"/>
                <w:szCs w:val="18"/>
              </w:rPr>
            </w:pPr>
            <w:r w:rsidRPr="00686F1C">
              <w:rPr>
                <w:sz w:val="18"/>
                <w:szCs w:val="18"/>
              </w:rPr>
              <w:t>32,531</w:t>
            </w:r>
          </w:p>
        </w:tc>
        <w:tc>
          <w:tcPr>
            <w:tcW w:w="851" w:type="dxa"/>
            <w:tcBorders>
              <w:top w:val="single" w:sz="8" w:space="0" w:color="auto"/>
              <w:left w:val="nil"/>
              <w:bottom w:val="single" w:sz="8" w:space="0" w:color="auto"/>
              <w:right w:val="single" w:sz="8" w:space="0" w:color="auto"/>
            </w:tcBorders>
            <w:shd w:val="clear" w:color="000000" w:fill="FFFFFF"/>
            <w:noWrap/>
            <w:vAlign w:val="center"/>
          </w:tcPr>
          <w:p w14:paraId="7F2B327C" w14:textId="4E68BFCC" w:rsidR="00686F1C" w:rsidRPr="00686F1C" w:rsidRDefault="00686F1C" w:rsidP="00686F1C">
            <w:pPr>
              <w:contextualSpacing/>
              <w:jc w:val="center"/>
              <w:rPr>
                <w:rFonts w:cs="Arial"/>
                <w:sz w:val="18"/>
                <w:szCs w:val="18"/>
                <w:lang w:eastAsia="cs-CZ"/>
              </w:rPr>
            </w:pPr>
            <w:r w:rsidRPr="00686F1C">
              <w:rPr>
                <w:rFonts w:cs="Arial"/>
                <w:color w:val="000000"/>
                <w:sz w:val="18"/>
                <w:szCs w:val="18"/>
              </w:rPr>
              <w:t>587</w:t>
            </w:r>
          </w:p>
        </w:tc>
        <w:tc>
          <w:tcPr>
            <w:tcW w:w="709" w:type="dxa"/>
            <w:tcBorders>
              <w:top w:val="single" w:sz="8" w:space="0" w:color="auto"/>
              <w:left w:val="nil"/>
              <w:bottom w:val="single" w:sz="8" w:space="0" w:color="auto"/>
              <w:right w:val="single" w:sz="8" w:space="0" w:color="auto"/>
            </w:tcBorders>
            <w:shd w:val="clear" w:color="000000" w:fill="FFFFFF"/>
            <w:noWrap/>
            <w:vAlign w:val="bottom"/>
          </w:tcPr>
          <w:p w14:paraId="373CC17F" w14:textId="3C74042F" w:rsidR="00686F1C" w:rsidRPr="00686F1C" w:rsidRDefault="00686F1C" w:rsidP="00686F1C">
            <w:pPr>
              <w:contextualSpacing/>
              <w:jc w:val="right"/>
              <w:rPr>
                <w:rFonts w:cs="Arial"/>
                <w:sz w:val="18"/>
                <w:szCs w:val="18"/>
              </w:rPr>
            </w:pPr>
            <w:r w:rsidRPr="00686F1C">
              <w:rPr>
                <w:sz w:val="18"/>
                <w:szCs w:val="18"/>
              </w:rPr>
              <w:t>6,564</w:t>
            </w:r>
          </w:p>
        </w:tc>
        <w:tc>
          <w:tcPr>
            <w:tcW w:w="567" w:type="dxa"/>
            <w:tcBorders>
              <w:top w:val="single" w:sz="8" w:space="0" w:color="auto"/>
              <w:left w:val="nil"/>
              <w:bottom w:val="single" w:sz="8" w:space="0" w:color="auto"/>
              <w:right w:val="single" w:sz="8" w:space="0" w:color="auto"/>
            </w:tcBorders>
            <w:shd w:val="clear" w:color="000000" w:fill="FFFFFF"/>
            <w:noWrap/>
            <w:vAlign w:val="center"/>
          </w:tcPr>
          <w:p w14:paraId="30D8081E" w14:textId="3B74046B" w:rsidR="00686F1C" w:rsidRPr="00686F1C" w:rsidRDefault="00686F1C" w:rsidP="00686F1C">
            <w:pPr>
              <w:contextualSpacing/>
              <w:jc w:val="center"/>
              <w:rPr>
                <w:rFonts w:cs="Arial"/>
                <w:sz w:val="18"/>
                <w:szCs w:val="18"/>
                <w:lang w:eastAsia="cs-CZ"/>
              </w:rPr>
            </w:pPr>
            <w:r w:rsidRPr="00686F1C">
              <w:rPr>
                <w:rFonts w:cs="Arial"/>
                <w:color w:val="000000"/>
                <w:sz w:val="18"/>
                <w:szCs w:val="18"/>
              </w:rPr>
              <w:t>410</w:t>
            </w:r>
          </w:p>
        </w:tc>
        <w:tc>
          <w:tcPr>
            <w:tcW w:w="850" w:type="dxa"/>
            <w:tcBorders>
              <w:top w:val="single" w:sz="8" w:space="0" w:color="auto"/>
              <w:left w:val="nil"/>
              <w:bottom w:val="single" w:sz="8" w:space="0" w:color="auto"/>
              <w:right w:val="single" w:sz="8" w:space="0" w:color="auto"/>
            </w:tcBorders>
            <w:shd w:val="clear" w:color="000000" w:fill="FFFFFF"/>
            <w:noWrap/>
            <w:vAlign w:val="bottom"/>
          </w:tcPr>
          <w:p w14:paraId="6ABC3EB6" w14:textId="0BF09A67" w:rsidR="00686F1C" w:rsidRPr="00686F1C" w:rsidRDefault="00686F1C" w:rsidP="00686F1C">
            <w:pPr>
              <w:contextualSpacing/>
              <w:jc w:val="right"/>
              <w:rPr>
                <w:rFonts w:cs="Arial"/>
                <w:sz w:val="18"/>
                <w:szCs w:val="18"/>
              </w:rPr>
            </w:pPr>
            <w:r w:rsidRPr="00686F1C">
              <w:rPr>
                <w:sz w:val="18"/>
                <w:szCs w:val="18"/>
              </w:rPr>
              <w:t>0,236</w:t>
            </w:r>
          </w:p>
        </w:tc>
        <w:tc>
          <w:tcPr>
            <w:tcW w:w="567" w:type="dxa"/>
            <w:tcBorders>
              <w:top w:val="single" w:sz="8" w:space="0" w:color="auto"/>
              <w:left w:val="nil"/>
              <w:bottom w:val="single" w:sz="8" w:space="0" w:color="auto"/>
              <w:right w:val="single" w:sz="8" w:space="0" w:color="auto"/>
            </w:tcBorders>
            <w:shd w:val="clear" w:color="000000" w:fill="FFFFFF"/>
            <w:noWrap/>
            <w:vAlign w:val="center"/>
          </w:tcPr>
          <w:p w14:paraId="52BEC7D3" w14:textId="274FA7C0" w:rsidR="00686F1C" w:rsidRPr="00686F1C" w:rsidRDefault="00686F1C" w:rsidP="00686F1C">
            <w:pPr>
              <w:contextualSpacing/>
              <w:jc w:val="center"/>
              <w:rPr>
                <w:rFonts w:cs="Arial"/>
                <w:sz w:val="18"/>
                <w:szCs w:val="18"/>
                <w:lang w:eastAsia="cs-CZ"/>
              </w:rPr>
            </w:pPr>
            <w:r w:rsidRPr="00686F1C">
              <w:rPr>
                <w:rFonts w:cs="Arial"/>
                <w:color w:val="000000"/>
                <w:sz w:val="18"/>
                <w:szCs w:val="18"/>
              </w:rPr>
              <w:t>9</w:t>
            </w:r>
          </w:p>
        </w:tc>
        <w:tc>
          <w:tcPr>
            <w:tcW w:w="851" w:type="dxa"/>
            <w:tcBorders>
              <w:top w:val="single" w:sz="8" w:space="0" w:color="auto"/>
              <w:left w:val="nil"/>
              <w:bottom w:val="single" w:sz="8" w:space="0" w:color="auto"/>
              <w:right w:val="single" w:sz="8" w:space="0" w:color="auto"/>
            </w:tcBorders>
            <w:shd w:val="clear" w:color="000000" w:fill="FFFFFF"/>
            <w:noWrap/>
            <w:vAlign w:val="bottom"/>
          </w:tcPr>
          <w:p w14:paraId="7C04BF38" w14:textId="420F9DC1" w:rsidR="00686F1C" w:rsidRPr="00686F1C" w:rsidRDefault="00686F1C" w:rsidP="00686F1C">
            <w:pPr>
              <w:contextualSpacing/>
              <w:jc w:val="right"/>
              <w:rPr>
                <w:rFonts w:cs="Arial"/>
                <w:sz w:val="18"/>
                <w:szCs w:val="18"/>
              </w:rPr>
            </w:pPr>
            <w:r w:rsidRPr="00686F1C">
              <w:rPr>
                <w:sz w:val="18"/>
                <w:szCs w:val="18"/>
              </w:rPr>
              <w:t>8,720</w:t>
            </w:r>
          </w:p>
        </w:tc>
        <w:tc>
          <w:tcPr>
            <w:tcW w:w="567" w:type="dxa"/>
            <w:tcBorders>
              <w:top w:val="single" w:sz="8" w:space="0" w:color="auto"/>
              <w:left w:val="nil"/>
              <w:bottom w:val="single" w:sz="8" w:space="0" w:color="auto"/>
              <w:right w:val="single" w:sz="8" w:space="0" w:color="auto"/>
            </w:tcBorders>
            <w:shd w:val="clear" w:color="000000" w:fill="FFFFFF"/>
            <w:noWrap/>
            <w:vAlign w:val="center"/>
          </w:tcPr>
          <w:p w14:paraId="5D28B1D1" w14:textId="16833DFD" w:rsidR="00686F1C" w:rsidRPr="00686F1C" w:rsidRDefault="00686F1C" w:rsidP="00686F1C">
            <w:pPr>
              <w:contextualSpacing/>
              <w:jc w:val="center"/>
              <w:rPr>
                <w:rFonts w:cs="Arial"/>
                <w:sz w:val="18"/>
                <w:szCs w:val="18"/>
                <w:lang w:eastAsia="cs-CZ"/>
              </w:rPr>
            </w:pPr>
            <w:r w:rsidRPr="00686F1C">
              <w:rPr>
                <w:rFonts w:cs="Arial"/>
                <w:color w:val="000000"/>
                <w:sz w:val="18"/>
                <w:szCs w:val="18"/>
              </w:rPr>
              <w:t>121</w:t>
            </w:r>
          </w:p>
        </w:tc>
        <w:tc>
          <w:tcPr>
            <w:tcW w:w="850" w:type="dxa"/>
            <w:tcBorders>
              <w:top w:val="single" w:sz="8" w:space="0" w:color="auto"/>
              <w:left w:val="nil"/>
              <w:bottom w:val="single" w:sz="8" w:space="0" w:color="auto"/>
              <w:right w:val="single" w:sz="8" w:space="0" w:color="auto"/>
            </w:tcBorders>
            <w:shd w:val="clear" w:color="000000" w:fill="FFFFFF"/>
            <w:noWrap/>
            <w:vAlign w:val="bottom"/>
          </w:tcPr>
          <w:p w14:paraId="7D3A7D1B" w14:textId="7015BBFD" w:rsidR="00686F1C" w:rsidRPr="00686F1C" w:rsidRDefault="00686F1C" w:rsidP="00686F1C">
            <w:pPr>
              <w:contextualSpacing/>
              <w:jc w:val="right"/>
              <w:rPr>
                <w:rFonts w:cs="Arial"/>
                <w:bCs/>
                <w:sz w:val="18"/>
                <w:szCs w:val="18"/>
              </w:rPr>
            </w:pPr>
            <w:r w:rsidRPr="00686F1C">
              <w:rPr>
                <w:sz w:val="18"/>
                <w:szCs w:val="18"/>
              </w:rPr>
              <w:t>10,909</w:t>
            </w:r>
          </w:p>
        </w:tc>
        <w:tc>
          <w:tcPr>
            <w:tcW w:w="567" w:type="dxa"/>
            <w:tcBorders>
              <w:top w:val="single" w:sz="8" w:space="0" w:color="auto"/>
              <w:left w:val="nil"/>
              <w:bottom w:val="single" w:sz="8" w:space="0" w:color="auto"/>
              <w:right w:val="single" w:sz="8" w:space="0" w:color="auto"/>
            </w:tcBorders>
            <w:shd w:val="clear" w:color="000000" w:fill="FFFFFF"/>
            <w:noWrap/>
            <w:vAlign w:val="center"/>
          </w:tcPr>
          <w:p w14:paraId="47DE8160" w14:textId="2E9F746A" w:rsidR="00686F1C" w:rsidRPr="00686F1C" w:rsidRDefault="00686F1C" w:rsidP="00686F1C">
            <w:pPr>
              <w:contextualSpacing/>
              <w:jc w:val="center"/>
              <w:rPr>
                <w:rFonts w:cs="Arial"/>
                <w:sz w:val="18"/>
                <w:szCs w:val="18"/>
                <w:lang w:eastAsia="cs-CZ"/>
              </w:rPr>
            </w:pPr>
            <w:r w:rsidRPr="00686F1C">
              <w:rPr>
                <w:rFonts w:cs="Arial"/>
                <w:color w:val="000000"/>
                <w:sz w:val="18"/>
                <w:szCs w:val="18"/>
              </w:rPr>
              <w:t>525</w:t>
            </w:r>
          </w:p>
        </w:tc>
        <w:tc>
          <w:tcPr>
            <w:tcW w:w="851" w:type="dxa"/>
            <w:tcBorders>
              <w:top w:val="nil"/>
              <w:left w:val="single" w:sz="4" w:space="0" w:color="auto"/>
              <w:bottom w:val="single" w:sz="4" w:space="0" w:color="auto"/>
              <w:right w:val="single" w:sz="4" w:space="0" w:color="auto"/>
            </w:tcBorders>
            <w:shd w:val="clear" w:color="000000" w:fill="FFFFFF"/>
            <w:noWrap/>
            <w:vAlign w:val="bottom"/>
          </w:tcPr>
          <w:p w14:paraId="3E16106C" w14:textId="52381CCF" w:rsidR="00686F1C" w:rsidRPr="00686F1C" w:rsidRDefault="00686F1C" w:rsidP="00686F1C">
            <w:pPr>
              <w:contextualSpacing/>
              <w:jc w:val="right"/>
              <w:rPr>
                <w:rFonts w:cs="Arial"/>
                <w:b/>
                <w:sz w:val="18"/>
                <w:szCs w:val="18"/>
              </w:rPr>
            </w:pPr>
            <w:r w:rsidRPr="00686F1C">
              <w:rPr>
                <w:b/>
                <w:sz w:val="18"/>
                <w:szCs w:val="18"/>
              </w:rPr>
              <w:t>58,960</w:t>
            </w:r>
          </w:p>
        </w:tc>
        <w:tc>
          <w:tcPr>
            <w:tcW w:w="708" w:type="dxa"/>
            <w:tcBorders>
              <w:top w:val="single" w:sz="8" w:space="0" w:color="auto"/>
              <w:left w:val="nil"/>
              <w:bottom w:val="single" w:sz="8" w:space="0" w:color="auto"/>
              <w:right w:val="single" w:sz="8" w:space="0" w:color="auto"/>
            </w:tcBorders>
            <w:shd w:val="clear" w:color="000000" w:fill="FFFFFF"/>
            <w:noWrap/>
            <w:vAlign w:val="center"/>
          </w:tcPr>
          <w:p w14:paraId="6F80E330" w14:textId="174ACA48" w:rsidR="00686F1C" w:rsidRPr="00686F1C" w:rsidRDefault="00686F1C" w:rsidP="00686F1C">
            <w:pPr>
              <w:contextualSpacing/>
              <w:jc w:val="center"/>
              <w:rPr>
                <w:rFonts w:cs="Arial"/>
                <w:sz w:val="18"/>
                <w:szCs w:val="18"/>
                <w:lang w:eastAsia="cs-CZ"/>
              </w:rPr>
            </w:pPr>
            <w:r w:rsidRPr="00686F1C">
              <w:rPr>
                <w:rFonts w:cs="Arial"/>
                <w:color w:val="000000"/>
                <w:sz w:val="18"/>
                <w:szCs w:val="18"/>
              </w:rPr>
              <w:t>1 652</w:t>
            </w:r>
          </w:p>
        </w:tc>
      </w:tr>
      <w:tr w:rsidR="00686F1C" w:rsidRPr="00BB3788" w14:paraId="396E1047" w14:textId="77777777" w:rsidTr="00686F1C">
        <w:trPr>
          <w:trHeight w:val="255"/>
          <w:jc w:val="center"/>
        </w:trPr>
        <w:tc>
          <w:tcPr>
            <w:tcW w:w="792" w:type="dxa"/>
            <w:noWrap/>
            <w:vAlign w:val="bottom"/>
          </w:tcPr>
          <w:p w14:paraId="7D90DB1A" w14:textId="77777777" w:rsidR="00686F1C" w:rsidRPr="00BB3788" w:rsidRDefault="00686F1C" w:rsidP="00686F1C">
            <w:pPr>
              <w:contextualSpacing/>
              <w:rPr>
                <w:rFonts w:cs="Arial"/>
                <w:b/>
                <w:bCs/>
                <w:color w:val="000000" w:themeColor="text1"/>
                <w:sz w:val="16"/>
                <w:szCs w:val="16"/>
              </w:rPr>
            </w:pPr>
            <w:r w:rsidRPr="00BB3788">
              <w:rPr>
                <w:rFonts w:cs="Arial"/>
                <w:b/>
                <w:bCs/>
                <w:color w:val="000000" w:themeColor="text1"/>
                <w:sz w:val="16"/>
                <w:szCs w:val="16"/>
              </w:rPr>
              <w:t>Ohře</w:t>
            </w:r>
          </w:p>
        </w:tc>
        <w:tc>
          <w:tcPr>
            <w:tcW w:w="966" w:type="dxa"/>
            <w:tcBorders>
              <w:top w:val="nil"/>
              <w:left w:val="single" w:sz="8" w:space="0" w:color="auto"/>
              <w:bottom w:val="single" w:sz="8" w:space="0" w:color="auto"/>
              <w:right w:val="single" w:sz="8" w:space="0" w:color="auto"/>
            </w:tcBorders>
            <w:noWrap/>
            <w:vAlign w:val="bottom"/>
          </w:tcPr>
          <w:p w14:paraId="39327C37" w14:textId="50FCE793" w:rsidR="00686F1C" w:rsidRPr="00686F1C" w:rsidRDefault="00686F1C" w:rsidP="00686F1C">
            <w:pPr>
              <w:contextualSpacing/>
              <w:jc w:val="right"/>
              <w:rPr>
                <w:rFonts w:cs="Arial"/>
                <w:sz w:val="18"/>
                <w:szCs w:val="18"/>
              </w:rPr>
            </w:pPr>
            <w:r w:rsidRPr="00686F1C">
              <w:rPr>
                <w:sz w:val="18"/>
                <w:szCs w:val="18"/>
              </w:rPr>
              <w:t>43,327</w:t>
            </w:r>
          </w:p>
        </w:tc>
        <w:tc>
          <w:tcPr>
            <w:tcW w:w="851" w:type="dxa"/>
            <w:tcBorders>
              <w:top w:val="nil"/>
              <w:left w:val="nil"/>
              <w:bottom w:val="single" w:sz="8" w:space="0" w:color="auto"/>
              <w:right w:val="single" w:sz="8" w:space="0" w:color="auto"/>
            </w:tcBorders>
            <w:noWrap/>
            <w:vAlign w:val="center"/>
          </w:tcPr>
          <w:p w14:paraId="60D428EA" w14:textId="51D2352E" w:rsidR="00686F1C" w:rsidRPr="00686F1C" w:rsidRDefault="00686F1C" w:rsidP="00686F1C">
            <w:pPr>
              <w:contextualSpacing/>
              <w:jc w:val="center"/>
              <w:rPr>
                <w:rFonts w:cs="Arial"/>
                <w:sz w:val="18"/>
                <w:szCs w:val="18"/>
                <w:lang w:eastAsia="cs-CZ"/>
              </w:rPr>
            </w:pPr>
            <w:r w:rsidRPr="00686F1C">
              <w:rPr>
                <w:rFonts w:cs="Arial"/>
                <w:color w:val="000000"/>
                <w:sz w:val="18"/>
                <w:szCs w:val="18"/>
              </w:rPr>
              <w:t>309</w:t>
            </w:r>
          </w:p>
        </w:tc>
        <w:tc>
          <w:tcPr>
            <w:tcW w:w="709" w:type="dxa"/>
            <w:tcBorders>
              <w:top w:val="nil"/>
              <w:left w:val="nil"/>
              <w:bottom w:val="single" w:sz="8" w:space="0" w:color="auto"/>
              <w:right w:val="single" w:sz="8" w:space="0" w:color="auto"/>
            </w:tcBorders>
            <w:noWrap/>
            <w:vAlign w:val="bottom"/>
          </w:tcPr>
          <w:p w14:paraId="4632782B" w14:textId="7D950E77" w:rsidR="00686F1C" w:rsidRPr="00686F1C" w:rsidRDefault="00686F1C" w:rsidP="00686F1C">
            <w:pPr>
              <w:contextualSpacing/>
              <w:jc w:val="right"/>
              <w:rPr>
                <w:rFonts w:cs="Arial"/>
                <w:sz w:val="18"/>
                <w:szCs w:val="18"/>
              </w:rPr>
            </w:pPr>
            <w:r w:rsidRPr="00686F1C">
              <w:rPr>
                <w:sz w:val="18"/>
                <w:szCs w:val="18"/>
              </w:rPr>
              <w:t>0,786</w:t>
            </w:r>
          </w:p>
        </w:tc>
        <w:tc>
          <w:tcPr>
            <w:tcW w:w="567" w:type="dxa"/>
            <w:tcBorders>
              <w:top w:val="nil"/>
              <w:left w:val="nil"/>
              <w:bottom w:val="single" w:sz="8" w:space="0" w:color="auto"/>
              <w:right w:val="single" w:sz="8" w:space="0" w:color="auto"/>
            </w:tcBorders>
            <w:noWrap/>
            <w:vAlign w:val="center"/>
          </w:tcPr>
          <w:p w14:paraId="1938D753" w14:textId="103A4A69" w:rsidR="00686F1C" w:rsidRPr="00686F1C" w:rsidRDefault="00686F1C" w:rsidP="00686F1C">
            <w:pPr>
              <w:contextualSpacing/>
              <w:jc w:val="center"/>
              <w:rPr>
                <w:rFonts w:cs="Arial"/>
                <w:sz w:val="18"/>
                <w:szCs w:val="18"/>
                <w:lang w:eastAsia="cs-CZ"/>
              </w:rPr>
            </w:pPr>
            <w:r w:rsidRPr="00686F1C">
              <w:rPr>
                <w:rFonts w:cs="Arial"/>
                <w:color w:val="000000"/>
                <w:sz w:val="18"/>
                <w:szCs w:val="18"/>
              </w:rPr>
              <w:t>33</w:t>
            </w:r>
          </w:p>
        </w:tc>
        <w:tc>
          <w:tcPr>
            <w:tcW w:w="850" w:type="dxa"/>
            <w:tcBorders>
              <w:top w:val="nil"/>
              <w:left w:val="nil"/>
              <w:bottom w:val="single" w:sz="8" w:space="0" w:color="auto"/>
              <w:right w:val="single" w:sz="8" w:space="0" w:color="auto"/>
            </w:tcBorders>
            <w:noWrap/>
            <w:vAlign w:val="bottom"/>
          </w:tcPr>
          <w:p w14:paraId="34A94C7E" w14:textId="0B8F6A07" w:rsidR="00686F1C" w:rsidRPr="00686F1C" w:rsidRDefault="00686F1C" w:rsidP="00686F1C">
            <w:pPr>
              <w:contextualSpacing/>
              <w:jc w:val="right"/>
              <w:rPr>
                <w:rFonts w:cs="Arial"/>
                <w:sz w:val="18"/>
                <w:szCs w:val="18"/>
              </w:rPr>
            </w:pPr>
            <w:r w:rsidRPr="00686F1C">
              <w:rPr>
                <w:sz w:val="18"/>
                <w:szCs w:val="18"/>
              </w:rPr>
              <w:t>0,610</w:t>
            </w:r>
          </w:p>
        </w:tc>
        <w:tc>
          <w:tcPr>
            <w:tcW w:w="567" w:type="dxa"/>
            <w:tcBorders>
              <w:top w:val="nil"/>
              <w:left w:val="nil"/>
              <w:bottom w:val="single" w:sz="8" w:space="0" w:color="auto"/>
              <w:right w:val="single" w:sz="8" w:space="0" w:color="auto"/>
            </w:tcBorders>
            <w:noWrap/>
            <w:vAlign w:val="center"/>
          </w:tcPr>
          <w:p w14:paraId="5DE8403C" w14:textId="69F0E8B3" w:rsidR="00686F1C" w:rsidRPr="00686F1C" w:rsidRDefault="00686F1C" w:rsidP="00686F1C">
            <w:pPr>
              <w:contextualSpacing/>
              <w:jc w:val="center"/>
              <w:rPr>
                <w:rFonts w:cs="Arial"/>
                <w:sz w:val="18"/>
                <w:szCs w:val="18"/>
                <w:lang w:eastAsia="cs-CZ"/>
              </w:rPr>
            </w:pPr>
            <w:r w:rsidRPr="00686F1C">
              <w:rPr>
                <w:rFonts w:cs="Arial"/>
                <w:color w:val="000000"/>
                <w:sz w:val="18"/>
                <w:szCs w:val="18"/>
              </w:rPr>
              <w:t>5</w:t>
            </w:r>
          </w:p>
        </w:tc>
        <w:tc>
          <w:tcPr>
            <w:tcW w:w="851" w:type="dxa"/>
            <w:tcBorders>
              <w:top w:val="nil"/>
              <w:left w:val="nil"/>
              <w:bottom w:val="single" w:sz="8" w:space="0" w:color="auto"/>
              <w:right w:val="single" w:sz="8" w:space="0" w:color="auto"/>
            </w:tcBorders>
            <w:noWrap/>
            <w:vAlign w:val="bottom"/>
          </w:tcPr>
          <w:p w14:paraId="31F51C0F" w14:textId="360929D4" w:rsidR="00686F1C" w:rsidRPr="00686F1C" w:rsidRDefault="00686F1C" w:rsidP="00686F1C">
            <w:pPr>
              <w:contextualSpacing/>
              <w:jc w:val="right"/>
              <w:rPr>
                <w:rFonts w:cs="Arial"/>
                <w:bCs/>
                <w:sz w:val="18"/>
                <w:szCs w:val="18"/>
              </w:rPr>
            </w:pPr>
            <w:r w:rsidRPr="00686F1C">
              <w:rPr>
                <w:sz w:val="18"/>
                <w:szCs w:val="18"/>
              </w:rPr>
              <w:t>8,062</w:t>
            </w:r>
          </w:p>
        </w:tc>
        <w:tc>
          <w:tcPr>
            <w:tcW w:w="567" w:type="dxa"/>
            <w:tcBorders>
              <w:top w:val="nil"/>
              <w:left w:val="nil"/>
              <w:bottom w:val="single" w:sz="8" w:space="0" w:color="auto"/>
              <w:right w:val="single" w:sz="8" w:space="0" w:color="auto"/>
            </w:tcBorders>
            <w:noWrap/>
            <w:vAlign w:val="center"/>
          </w:tcPr>
          <w:p w14:paraId="23423242" w14:textId="17616D4A" w:rsidR="00686F1C" w:rsidRPr="00686F1C" w:rsidRDefault="00686F1C" w:rsidP="00686F1C">
            <w:pPr>
              <w:contextualSpacing/>
              <w:jc w:val="center"/>
              <w:rPr>
                <w:rFonts w:cs="Arial"/>
                <w:sz w:val="18"/>
                <w:szCs w:val="18"/>
                <w:lang w:eastAsia="cs-CZ"/>
              </w:rPr>
            </w:pPr>
            <w:r w:rsidRPr="00686F1C">
              <w:rPr>
                <w:rFonts w:cs="Arial"/>
                <w:color w:val="000000"/>
                <w:sz w:val="18"/>
                <w:szCs w:val="18"/>
              </w:rPr>
              <w:t>109</w:t>
            </w:r>
          </w:p>
        </w:tc>
        <w:tc>
          <w:tcPr>
            <w:tcW w:w="850" w:type="dxa"/>
            <w:tcBorders>
              <w:top w:val="nil"/>
              <w:left w:val="nil"/>
              <w:bottom w:val="single" w:sz="8" w:space="0" w:color="auto"/>
              <w:right w:val="single" w:sz="8" w:space="0" w:color="auto"/>
            </w:tcBorders>
            <w:noWrap/>
            <w:vAlign w:val="bottom"/>
          </w:tcPr>
          <w:p w14:paraId="3D8EDA67" w14:textId="17A8361E" w:rsidR="00686F1C" w:rsidRPr="00686F1C" w:rsidRDefault="00686F1C" w:rsidP="00686F1C">
            <w:pPr>
              <w:contextualSpacing/>
              <w:jc w:val="right"/>
              <w:rPr>
                <w:rFonts w:cs="Arial"/>
                <w:sz w:val="18"/>
                <w:szCs w:val="18"/>
              </w:rPr>
            </w:pPr>
            <w:r w:rsidRPr="00686F1C">
              <w:rPr>
                <w:sz w:val="18"/>
                <w:szCs w:val="18"/>
              </w:rPr>
              <w:t>1,815</w:t>
            </w:r>
          </w:p>
        </w:tc>
        <w:tc>
          <w:tcPr>
            <w:tcW w:w="567" w:type="dxa"/>
            <w:tcBorders>
              <w:top w:val="nil"/>
              <w:left w:val="nil"/>
              <w:bottom w:val="single" w:sz="8" w:space="0" w:color="auto"/>
              <w:right w:val="single" w:sz="8" w:space="0" w:color="auto"/>
            </w:tcBorders>
            <w:noWrap/>
            <w:vAlign w:val="center"/>
          </w:tcPr>
          <w:p w14:paraId="2C5D85C0" w14:textId="17CA0DB2" w:rsidR="00686F1C" w:rsidRPr="00686F1C" w:rsidRDefault="00686F1C" w:rsidP="00686F1C">
            <w:pPr>
              <w:contextualSpacing/>
              <w:jc w:val="center"/>
              <w:rPr>
                <w:rFonts w:cs="Arial"/>
                <w:sz w:val="18"/>
                <w:szCs w:val="18"/>
                <w:lang w:eastAsia="cs-CZ"/>
              </w:rPr>
            </w:pPr>
            <w:r w:rsidRPr="00686F1C">
              <w:rPr>
                <w:rFonts w:cs="Arial"/>
                <w:color w:val="000000"/>
                <w:sz w:val="18"/>
                <w:szCs w:val="18"/>
              </w:rPr>
              <w:t>33</w:t>
            </w:r>
          </w:p>
        </w:tc>
        <w:tc>
          <w:tcPr>
            <w:tcW w:w="851" w:type="dxa"/>
            <w:tcBorders>
              <w:top w:val="nil"/>
              <w:left w:val="single" w:sz="4" w:space="0" w:color="auto"/>
              <w:bottom w:val="single" w:sz="4" w:space="0" w:color="auto"/>
              <w:right w:val="single" w:sz="4" w:space="0" w:color="auto"/>
            </w:tcBorders>
            <w:noWrap/>
            <w:vAlign w:val="bottom"/>
          </w:tcPr>
          <w:p w14:paraId="1AE0D28C" w14:textId="5F5607D3" w:rsidR="00686F1C" w:rsidRPr="00686F1C" w:rsidRDefault="00686F1C" w:rsidP="00686F1C">
            <w:pPr>
              <w:contextualSpacing/>
              <w:jc w:val="right"/>
              <w:rPr>
                <w:rFonts w:cs="Arial"/>
                <w:b/>
                <w:sz w:val="18"/>
                <w:szCs w:val="18"/>
              </w:rPr>
            </w:pPr>
            <w:r w:rsidRPr="00686F1C">
              <w:rPr>
                <w:b/>
                <w:sz w:val="18"/>
                <w:szCs w:val="18"/>
              </w:rPr>
              <w:t>54,600</w:t>
            </w:r>
          </w:p>
        </w:tc>
        <w:tc>
          <w:tcPr>
            <w:tcW w:w="708" w:type="dxa"/>
            <w:tcBorders>
              <w:top w:val="nil"/>
              <w:left w:val="nil"/>
              <w:bottom w:val="single" w:sz="8" w:space="0" w:color="auto"/>
              <w:right w:val="single" w:sz="8" w:space="0" w:color="auto"/>
            </w:tcBorders>
            <w:noWrap/>
            <w:vAlign w:val="center"/>
          </w:tcPr>
          <w:p w14:paraId="3DF9F663" w14:textId="5442B5C7" w:rsidR="00686F1C" w:rsidRPr="00686F1C" w:rsidRDefault="00686F1C" w:rsidP="00686F1C">
            <w:pPr>
              <w:contextualSpacing/>
              <w:jc w:val="center"/>
              <w:rPr>
                <w:rFonts w:cs="Arial"/>
                <w:sz w:val="18"/>
                <w:szCs w:val="18"/>
                <w:lang w:eastAsia="cs-CZ"/>
              </w:rPr>
            </w:pPr>
            <w:r w:rsidRPr="00686F1C">
              <w:rPr>
                <w:rFonts w:cs="Arial"/>
                <w:color w:val="000000"/>
                <w:sz w:val="18"/>
                <w:szCs w:val="18"/>
              </w:rPr>
              <w:t>489</w:t>
            </w:r>
          </w:p>
        </w:tc>
      </w:tr>
      <w:tr w:rsidR="00686F1C" w:rsidRPr="00BB3788" w14:paraId="49A62FC0" w14:textId="77777777" w:rsidTr="00686F1C">
        <w:trPr>
          <w:trHeight w:val="255"/>
          <w:jc w:val="center"/>
        </w:trPr>
        <w:tc>
          <w:tcPr>
            <w:tcW w:w="792" w:type="dxa"/>
            <w:noWrap/>
            <w:vAlign w:val="bottom"/>
          </w:tcPr>
          <w:p w14:paraId="4E73453D" w14:textId="77777777" w:rsidR="00686F1C" w:rsidRPr="00BB3788" w:rsidRDefault="00686F1C" w:rsidP="00686F1C">
            <w:pPr>
              <w:contextualSpacing/>
              <w:rPr>
                <w:rFonts w:cs="Arial"/>
                <w:b/>
                <w:bCs/>
                <w:color w:val="000000" w:themeColor="text1"/>
                <w:sz w:val="16"/>
                <w:szCs w:val="16"/>
              </w:rPr>
            </w:pPr>
            <w:r w:rsidRPr="00BB3788">
              <w:rPr>
                <w:rFonts w:cs="Arial"/>
                <w:b/>
                <w:bCs/>
                <w:color w:val="000000" w:themeColor="text1"/>
                <w:sz w:val="16"/>
                <w:szCs w:val="16"/>
              </w:rPr>
              <w:t>Odry</w:t>
            </w:r>
          </w:p>
        </w:tc>
        <w:tc>
          <w:tcPr>
            <w:tcW w:w="966" w:type="dxa"/>
            <w:tcBorders>
              <w:top w:val="single" w:sz="4" w:space="0" w:color="auto"/>
              <w:left w:val="single" w:sz="4" w:space="0" w:color="auto"/>
              <w:bottom w:val="single" w:sz="4" w:space="0" w:color="auto"/>
              <w:right w:val="single" w:sz="4" w:space="0" w:color="auto"/>
            </w:tcBorders>
            <w:noWrap/>
            <w:vAlign w:val="bottom"/>
          </w:tcPr>
          <w:p w14:paraId="37342002" w14:textId="4C803E76" w:rsidR="00686F1C" w:rsidRPr="00686F1C" w:rsidRDefault="00686F1C" w:rsidP="00686F1C">
            <w:pPr>
              <w:contextualSpacing/>
              <w:jc w:val="right"/>
              <w:rPr>
                <w:rFonts w:cs="Arial"/>
                <w:sz w:val="18"/>
                <w:szCs w:val="18"/>
              </w:rPr>
            </w:pPr>
            <w:r w:rsidRPr="00686F1C">
              <w:rPr>
                <w:sz w:val="18"/>
                <w:szCs w:val="18"/>
              </w:rPr>
              <w:t>14,468</w:t>
            </w:r>
          </w:p>
        </w:tc>
        <w:tc>
          <w:tcPr>
            <w:tcW w:w="851" w:type="dxa"/>
            <w:tcBorders>
              <w:top w:val="single" w:sz="4" w:space="0" w:color="auto"/>
              <w:left w:val="nil"/>
              <w:bottom w:val="single" w:sz="4" w:space="0" w:color="auto"/>
              <w:right w:val="single" w:sz="4" w:space="0" w:color="auto"/>
            </w:tcBorders>
            <w:noWrap/>
            <w:vAlign w:val="center"/>
          </w:tcPr>
          <w:p w14:paraId="65BCC750" w14:textId="5D8E4947" w:rsidR="00686F1C" w:rsidRPr="00686F1C" w:rsidRDefault="00686F1C" w:rsidP="00686F1C">
            <w:pPr>
              <w:contextualSpacing/>
              <w:jc w:val="center"/>
              <w:rPr>
                <w:rFonts w:cs="Arial"/>
                <w:sz w:val="18"/>
                <w:szCs w:val="18"/>
                <w:lang w:eastAsia="cs-CZ"/>
              </w:rPr>
            </w:pPr>
            <w:r w:rsidRPr="00686F1C">
              <w:rPr>
                <w:rFonts w:cs="Arial"/>
                <w:color w:val="000000"/>
                <w:sz w:val="18"/>
                <w:szCs w:val="18"/>
              </w:rPr>
              <w:t>155</w:t>
            </w:r>
          </w:p>
        </w:tc>
        <w:tc>
          <w:tcPr>
            <w:tcW w:w="709" w:type="dxa"/>
            <w:tcBorders>
              <w:top w:val="single" w:sz="4" w:space="0" w:color="auto"/>
              <w:left w:val="nil"/>
              <w:bottom w:val="single" w:sz="4" w:space="0" w:color="auto"/>
              <w:right w:val="single" w:sz="4" w:space="0" w:color="auto"/>
            </w:tcBorders>
            <w:noWrap/>
            <w:vAlign w:val="bottom"/>
          </w:tcPr>
          <w:p w14:paraId="1637390F" w14:textId="1CFCD926" w:rsidR="00686F1C" w:rsidRPr="00686F1C" w:rsidRDefault="00686F1C" w:rsidP="00686F1C">
            <w:pPr>
              <w:contextualSpacing/>
              <w:jc w:val="right"/>
              <w:rPr>
                <w:rFonts w:cs="Arial"/>
                <w:sz w:val="18"/>
                <w:szCs w:val="18"/>
              </w:rPr>
            </w:pPr>
            <w:r w:rsidRPr="00686F1C">
              <w:rPr>
                <w:sz w:val="18"/>
                <w:szCs w:val="18"/>
              </w:rPr>
              <w:t>0,567</w:t>
            </w:r>
          </w:p>
        </w:tc>
        <w:tc>
          <w:tcPr>
            <w:tcW w:w="567" w:type="dxa"/>
            <w:tcBorders>
              <w:top w:val="single" w:sz="4" w:space="0" w:color="auto"/>
              <w:left w:val="nil"/>
              <w:bottom w:val="single" w:sz="4" w:space="0" w:color="auto"/>
              <w:right w:val="single" w:sz="4" w:space="0" w:color="auto"/>
            </w:tcBorders>
            <w:noWrap/>
            <w:vAlign w:val="center"/>
          </w:tcPr>
          <w:p w14:paraId="5F94A4A0" w14:textId="2C726EBE" w:rsidR="00686F1C" w:rsidRPr="00686F1C" w:rsidRDefault="00686F1C" w:rsidP="00686F1C">
            <w:pPr>
              <w:contextualSpacing/>
              <w:jc w:val="center"/>
              <w:rPr>
                <w:rFonts w:cs="Arial"/>
                <w:sz w:val="18"/>
                <w:szCs w:val="18"/>
                <w:lang w:eastAsia="cs-CZ"/>
              </w:rPr>
            </w:pPr>
            <w:r w:rsidRPr="00686F1C">
              <w:rPr>
                <w:rFonts w:cs="Arial"/>
                <w:color w:val="000000"/>
                <w:sz w:val="18"/>
                <w:szCs w:val="18"/>
              </w:rPr>
              <w:t>29</w:t>
            </w:r>
          </w:p>
        </w:tc>
        <w:tc>
          <w:tcPr>
            <w:tcW w:w="850" w:type="dxa"/>
            <w:tcBorders>
              <w:top w:val="single" w:sz="4" w:space="0" w:color="auto"/>
              <w:left w:val="nil"/>
              <w:bottom w:val="single" w:sz="4" w:space="0" w:color="auto"/>
              <w:right w:val="single" w:sz="4" w:space="0" w:color="auto"/>
            </w:tcBorders>
            <w:noWrap/>
            <w:vAlign w:val="bottom"/>
          </w:tcPr>
          <w:p w14:paraId="647C8675" w14:textId="0499694B" w:rsidR="00686F1C" w:rsidRPr="00686F1C" w:rsidRDefault="00686F1C" w:rsidP="00686F1C">
            <w:pPr>
              <w:contextualSpacing/>
              <w:jc w:val="right"/>
              <w:rPr>
                <w:rFonts w:cs="Arial"/>
                <w:sz w:val="18"/>
                <w:szCs w:val="18"/>
              </w:rPr>
            </w:pPr>
            <w:r w:rsidRPr="00686F1C">
              <w:rPr>
                <w:sz w:val="18"/>
                <w:szCs w:val="18"/>
              </w:rPr>
              <w:t>0,000</w:t>
            </w:r>
          </w:p>
        </w:tc>
        <w:tc>
          <w:tcPr>
            <w:tcW w:w="567" w:type="dxa"/>
            <w:tcBorders>
              <w:top w:val="single" w:sz="4" w:space="0" w:color="auto"/>
              <w:left w:val="nil"/>
              <w:bottom w:val="single" w:sz="4" w:space="0" w:color="auto"/>
              <w:right w:val="single" w:sz="4" w:space="0" w:color="auto"/>
            </w:tcBorders>
            <w:noWrap/>
            <w:vAlign w:val="center"/>
          </w:tcPr>
          <w:p w14:paraId="183F2BC5" w14:textId="01D7C8EC" w:rsidR="00686F1C" w:rsidRPr="00686F1C" w:rsidRDefault="00686F1C" w:rsidP="00686F1C">
            <w:pPr>
              <w:contextualSpacing/>
              <w:jc w:val="center"/>
              <w:rPr>
                <w:rFonts w:cs="Arial"/>
                <w:sz w:val="18"/>
                <w:szCs w:val="18"/>
                <w:lang w:eastAsia="cs-CZ"/>
              </w:rPr>
            </w:pPr>
            <w:r w:rsidRPr="00686F1C">
              <w:rPr>
                <w:rFonts w:cs="Arial"/>
                <w:color w:val="000000"/>
                <w:sz w:val="18"/>
                <w:szCs w:val="18"/>
              </w:rPr>
              <w:t>0</w:t>
            </w:r>
          </w:p>
        </w:tc>
        <w:tc>
          <w:tcPr>
            <w:tcW w:w="851" w:type="dxa"/>
            <w:tcBorders>
              <w:top w:val="single" w:sz="4" w:space="0" w:color="auto"/>
              <w:left w:val="nil"/>
              <w:bottom w:val="single" w:sz="4" w:space="0" w:color="auto"/>
              <w:right w:val="single" w:sz="4" w:space="0" w:color="auto"/>
            </w:tcBorders>
            <w:noWrap/>
            <w:vAlign w:val="bottom"/>
          </w:tcPr>
          <w:p w14:paraId="4A7EE24F" w14:textId="6113BCD1" w:rsidR="00686F1C" w:rsidRPr="00686F1C" w:rsidRDefault="00686F1C" w:rsidP="00686F1C">
            <w:pPr>
              <w:contextualSpacing/>
              <w:jc w:val="right"/>
              <w:rPr>
                <w:rFonts w:cs="Arial"/>
                <w:sz w:val="18"/>
                <w:szCs w:val="18"/>
              </w:rPr>
            </w:pPr>
            <w:r w:rsidRPr="00686F1C">
              <w:rPr>
                <w:sz w:val="18"/>
                <w:szCs w:val="18"/>
              </w:rPr>
              <w:t>1,036</w:t>
            </w:r>
          </w:p>
        </w:tc>
        <w:tc>
          <w:tcPr>
            <w:tcW w:w="567" w:type="dxa"/>
            <w:tcBorders>
              <w:top w:val="single" w:sz="4" w:space="0" w:color="auto"/>
              <w:left w:val="nil"/>
              <w:bottom w:val="single" w:sz="4" w:space="0" w:color="auto"/>
              <w:right w:val="single" w:sz="4" w:space="0" w:color="auto"/>
            </w:tcBorders>
            <w:noWrap/>
            <w:vAlign w:val="center"/>
          </w:tcPr>
          <w:p w14:paraId="00BCBDF4" w14:textId="196A32CD" w:rsidR="00686F1C" w:rsidRPr="00686F1C" w:rsidRDefault="00686F1C" w:rsidP="00686F1C">
            <w:pPr>
              <w:contextualSpacing/>
              <w:jc w:val="center"/>
              <w:rPr>
                <w:rFonts w:cs="Arial"/>
                <w:sz w:val="18"/>
                <w:szCs w:val="18"/>
                <w:lang w:eastAsia="cs-CZ"/>
              </w:rPr>
            </w:pPr>
            <w:r w:rsidRPr="00686F1C">
              <w:rPr>
                <w:rFonts w:cs="Arial"/>
                <w:color w:val="000000"/>
                <w:sz w:val="18"/>
                <w:szCs w:val="18"/>
              </w:rPr>
              <w:t>23</w:t>
            </w:r>
          </w:p>
        </w:tc>
        <w:tc>
          <w:tcPr>
            <w:tcW w:w="850" w:type="dxa"/>
            <w:tcBorders>
              <w:top w:val="single" w:sz="4" w:space="0" w:color="auto"/>
              <w:left w:val="nil"/>
              <w:bottom w:val="single" w:sz="4" w:space="0" w:color="auto"/>
              <w:right w:val="single" w:sz="4" w:space="0" w:color="auto"/>
            </w:tcBorders>
            <w:noWrap/>
            <w:vAlign w:val="bottom"/>
          </w:tcPr>
          <w:p w14:paraId="63CFF788" w14:textId="0ED5B516" w:rsidR="00686F1C" w:rsidRPr="00686F1C" w:rsidRDefault="00686F1C" w:rsidP="00686F1C">
            <w:pPr>
              <w:contextualSpacing/>
              <w:jc w:val="right"/>
              <w:rPr>
                <w:rFonts w:cs="Arial"/>
                <w:sz w:val="18"/>
                <w:szCs w:val="18"/>
              </w:rPr>
            </w:pPr>
            <w:r w:rsidRPr="00686F1C">
              <w:rPr>
                <w:sz w:val="18"/>
                <w:szCs w:val="18"/>
              </w:rPr>
              <w:t>0,248</w:t>
            </w:r>
          </w:p>
        </w:tc>
        <w:tc>
          <w:tcPr>
            <w:tcW w:w="567" w:type="dxa"/>
            <w:tcBorders>
              <w:top w:val="single" w:sz="4" w:space="0" w:color="auto"/>
              <w:left w:val="nil"/>
              <w:bottom w:val="single" w:sz="4" w:space="0" w:color="auto"/>
              <w:right w:val="single" w:sz="4" w:space="0" w:color="auto"/>
            </w:tcBorders>
            <w:noWrap/>
            <w:vAlign w:val="center"/>
          </w:tcPr>
          <w:p w14:paraId="3C57F798" w14:textId="60F95C6A" w:rsidR="00686F1C" w:rsidRPr="00686F1C" w:rsidRDefault="00686F1C" w:rsidP="00686F1C">
            <w:pPr>
              <w:contextualSpacing/>
              <w:jc w:val="center"/>
              <w:rPr>
                <w:rFonts w:cs="Arial"/>
                <w:sz w:val="18"/>
                <w:szCs w:val="18"/>
                <w:lang w:eastAsia="cs-CZ"/>
              </w:rPr>
            </w:pPr>
            <w:r w:rsidRPr="00686F1C">
              <w:rPr>
                <w:rFonts w:cs="Arial"/>
                <w:color w:val="000000"/>
                <w:sz w:val="18"/>
                <w:szCs w:val="18"/>
              </w:rPr>
              <w:t>26</w:t>
            </w:r>
          </w:p>
        </w:tc>
        <w:tc>
          <w:tcPr>
            <w:tcW w:w="851" w:type="dxa"/>
            <w:tcBorders>
              <w:top w:val="nil"/>
              <w:left w:val="nil"/>
              <w:bottom w:val="single" w:sz="4" w:space="0" w:color="auto"/>
              <w:right w:val="single" w:sz="4" w:space="0" w:color="auto"/>
            </w:tcBorders>
            <w:noWrap/>
            <w:vAlign w:val="bottom"/>
          </w:tcPr>
          <w:p w14:paraId="15C269B3" w14:textId="2CE75243" w:rsidR="00686F1C" w:rsidRPr="00686F1C" w:rsidRDefault="00686F1C" w:rsidP="00686F1C">
            <w:pPr>
              <w:contextualSpacing/>
              <w:jc w:val="right"/>
              <w:rPr>
                <w:rFonts w:cs="Arial"/>
                <w:b/>
                <w:sz w:val="18"/>
                <w:szCs w:val="18"/>
              </w:rPr>
            </w:pPr>
            <w:r w:rsidRPr="00686F1C">
              <w:rPr>
                <w:b/>
                <w:sz w:val="18"/>
                <w:szCs w:val="18"/>
              </w:rPr>
              <w:t>16,319</w:t>
            </w:r>
          </w:p>
        </w:tc>
        <w:tc>
          <w:tcPr>
            <w:tcW w:w="708" w:type="dxa"/>
            <w:tcBorders>
              <w:top w:val="single" w:sz="4" w:space="0" w:color="auto"/>
              <w:left w:val="nil"/>
              <w:bottom w:val="single" w:sz="4" w:space="0" w:color="auto"/>
              <w:right w:val="single" w:sz="4" w:space="0" w:color="auto"/>
            </w:tcBorders>
            <w:noWrap/>
            <w:vAlign w:val="center"/>
          </w:tcPr>
          <w:p w14:paraId="5E5DA595" w14:textId="44DEA336" w:rsidR="00686F1C" w:rsidRPr="00686F1C" w:rsidRDefault="00686F1C" w:rsidP="00686F1C">
            <w:pPr>
              <w:contextualSpacing/>
              <w:jc w:val="center"/>
              <w:rPr>
                <w:rFonts w:cs="Arial"/>
                <w:sz w:val="18"/>
                <w:szCs w:val="18"/>
                <w:lang w:eastAsia="cs-CZ"/>
              </w:rPr>
            </w:pPr>
            <w:r w:rsidRPr="00686F1C">
              <w:rPr>
                <w:rFonts w:cs="Arial"/>
                <w:color w:val="000000"/>
                <w:sz w:val="18"/>
                <w:szCs w:val="18"/>
              </w:rPr>
              <w:t>233</w:t>
            </w:r>
          </w:p>
        </w:tc>
      </w:tr>
      <w:tr w:rsidR="00686F1C" w:rsidRPr="00BB3788" w14:paraId="78FF3EFA" w14:textId="77777777" w:rsidTr="00686F1C">
        <w:trPr>
          <w:trHeight w:val="270"/>
          <w:jc w:val="center"/>
        </w:trPr>
        <w:tc>
          <w:tcPr>
            <w:tcW w:w="792" w:type="dxa"/>
            <w:noWrap/>
            <w:vAlign w:val="bottom"/>
          </w:tcPr>
          <w:p w14:paraId="0782C4CD" w14:textId="77777777" w:rsidR="00686F1C" w:rsidRPr="00BB3788" w:rsidRDefault="00686F1C" w:rsidP="00686F1C">
            <w:pPr>
              <w:contextualSpacing/>
              <w:rPr>
                <w:rFonts w:cs="Arial"/>
                <w:b/>
                <w:bCs/>
                <w:color w:val="000000" w:themeColor="text1"/>
                <w:sz w:val="16"/>
                <w:szCs w:val="16"/>
              </w:rPr>
            </w:pPr>
            <w:r w:rsidRPr="00BB3788">
              <w:rPr>
                <w:rFonts w:cs="Arial"/>
                <w:b/>
                <w:bCs/>
                <w:color w:val="000000" w:themeColor="text1"/>
                <w:sz w:val="16"/>
                <w:szCs w:val="16"/>
              </w:rPr>
              <w:t>Moravy</w:t>
            </w:r>
          </w:p>
        </w:tc>
        <w:tc>
          <w:tcPr>
            <w:tcW w:w="966" w:type="dxa"/>
            <w:tcBorders>
              <w:top w:val="nil"/>
              <w:left w:val="single" w:sz="4" w:space="0" w:color="auto"/>
              <w:bottom w:val="single" w:sz="4" w:space="0" w:color="auto"/>
              <w:right w:val="single" w:sz="4" w:space="0" w:color="auto"/>
            </w:tcBorders>
            <w:noWrap/>
            <w:vAlign w:val="bottom"/>
          </w:tcPr>
          <w:p w14:paraId="3EC49D1A" w14:textId="7BAA0129" w:rsidR="00686F1C" w:rsidRPr="00686F1C" w:rsidRDefault="00686F1C" w:rsidP="00686F1C">
            <w:pPr>
              <w:contextualSpacing/>
              <w:jc w:val="right"/>
              <w:rPr>
                <w:rFonts w:cs="Arial"/>
                <w:sz w:val="18"/>
                <w:szCs w:val="18"/>
              </w:rPr>
            </w:pPr>
            <w:r w:rsidRPr="00686F1C">
              <w:rPr>
                <w:sz w:val="18"/>
                <w:szCs w:val="18"/>
              </w:rPr>
              <w:t>108,577</w:t>
            </w:r>
          </w:p>
        </w:tc>
        <w:tc>
          <w:tcPr>
            <w:tcW w:w="851" w:type="dxa"/>
            <w:tcBorders>
              <w:top w:val="nil"/>
              <w:left w:val="nil"/>
              <w:bottom w:val="single" w:sz="4" w:space="0" w:color="auto"/>
              <w:right w:val="single" w:sz="4" w:space="0" w:color="auto"/>
            </w:tcBorders>
            <w:noWrap/>
            <w:vAlign w:val="center"/>
          </w:tcPr>
          <w:p w14:paraId="17CBC3DE" w14:textId="666D774E" w:rsidR="00686F1C" w:rsidRPr="00686F1C" w:rsidRDefault="00686F1C" w:rsidP="00686F1C">
            <w:pPr>
              <w:contextualSpacing/>
              <w:jc w:val="center"/>
              <w:rPr>
                <w:rFonts w:cs="Arial"/>
                <w:sz w:val="18"/>
                <w:szCs w:val="18"/>
                <w:lang w:eastAsia="cs-CZ"/>
              </w:rPr>
            </w:pPr>
            <w:r w:rsidRPr="00686F1C">
              <w:rPr>
                <w:rFonts w:cs="Arial"/>
                <w:color w:val="000000"/>
                <w:sz w:val="18"/>
                <w:szCs w:val="18"/>
              </w:rPr>
              <w:t>704</w:t>
            </w:r>
          </w:p>
        </w:tc>
        <w:tc>
          <w:tcPr>
            <w:tcW w:w="709" w:type="dxa"/>
            <w:tcBorders>
              <w:top w:val="nil"/>
              <w:left w:val="nil"/>
              <w:bottom w:val="single" w:sz="4" w:space="0" w:color="auto"/>
              <w:right w:val="single" w:sz="4" w:space="0" w:color="auto"/>
            </w:tcBorders>
            <w:noWrap/>
            <w:vAlign w:val="bottom"/>
          </w:tcPr>
          <w:p w14:paraId="7F25D1D1" w14:textId="056520F5" w:rsidR="00686F1C" w:rsidRPr="00686F1C" w:rsidRDefault="00686F1C" w:rsidP="00686F1C">
            <w:pPr>
              <w:contextualSpacing/>
              <w:jc w:val="right"/>
              <w:rPr>
                <w:rFonts w:cs="Arial"/>
                <w:sz w:val="18"/>
                <w:szCs w:val="18"/>
              </w:rPr>
            </w:pPr>
            <w:r w:rsidRPr="00686F1C">
              <w:rPr>
                <w:sz w:val="18"/>
                <w:szCs w:val="18"/>
              </w:rPr>
              <w:t>6,518</w:t>
            </w:r>
          </w:p>
        </w:tc>
        <w:tc>
          <w:tcPr>
            <w:tcW w:w="567" w:type="dxa"/>
            <w:tcBorders>
              <w:top w:val="nil"/>
              <w:left w:val="nil"/>
              <w:bottom w:val="single" w:sz="4" w:space="0" w:color="auto"/>
              <w:right w:val="single" w:sz="4" w:space="0" w:color="auto"/>
            </w:tcBorders>
            <w:noWrap/>
            <w:vAlign w:val="center"/>
          </w:tcPr>
          <w:p w14:paraId="68EF4BA4" w14:textId="0A9F83AC" w:rsidR="00686F1C" w:rsidRPr="00686F1C" w:rsidRDefault="00686F1C" w:rsidP="00686F1C">
            <w:pPr>
              <w:contextualSpacing/>
              <w:jc w:val="center"/>
              <w:rPr>
                <w:rFonts w:cs="Arial"/>
                <w:sz w:val="18"/>
                <w:szCs w:val="18"/>
                <w:lang w:eastAsia="cs-CZ"/>
              </w:rPr>
            </w:pPr>
            <w:r w:rsidRPr="00686F1C">
              <w:rPr>
                <w:rFonts w:cs="Arial"/>
                <w:color w:val="000000"/>
                <w:sz w:val="18"/>
                <w:szCs w:val="18"/>
              </w:rPr>
              <w:t>353</w:t>
            </w:r>
          </w:p>
        </w:tc>
        <w:tc>
          <w:tcPr>
            <w:tcW w:w="850" w:type="dxa"/>
            <w:tcBorders>
              <w:top w:val="nil"/>
              <w:left w:val="nil"/>
              <w:bottom w:val="single" w:sz="4" w:space="0" w:color="auto"/>
              <w:right w:val="single" w:sz="4" w:space="0" w:color="auto"/>
            </w:tcBorders>
            <w:noWrap/>
            <w:vAlign w:val="bottom"/>
          </w:tcPr>
          <w:p w14:paraId="3F35B137" w14:textId="3761C125" w:rsidR="00686F1C" w:rsidRPr="00686F1C" w:rsidRDefault="00686F1C" w:rsidP="00686F1C">
            <w:pPr>
              <w:contextualSpacing/>
              <w:jc w:val="right"/>
              <w:rPr>
                <w:rFonts w:cs="Arial"/>
                <w:sz w:val="18"/>
                <w:szCs w:val="18"/>
              </w:rPr>
            </w:pPr>
            <w:r w:rsidRPr="00686F1C">
              <w:rPr>
                <w:sz w:val="18"/>
                <w:szCs w:val="18"/>
              </w:rPr>
              <w:t>0,069</w:t>
            </w:r>
          </w:p>
        </w:tc>
        <w:tc>
          <w:tcPr>
            <w:tcW w:w="567" w:type="dxa"/>
            <w:tcBorders>
              <w:top w:val="nil"/>
              <w:left w:val="nil"/>
              <w:bottom w:val="single" w:sz="4" w:space="0" w:color="auto"/>
              <w:right w:val="single" w:sz="4" w:space="0" w:color="auto"/>
            </w:tcBorders>
            <w:noWrap/>
            <w:vAlign w:val="center"/>
          </w:tcPr>
          <w:p w14:paraId="09DC4E45" w14:textId="16E02166" w:rsidR="00686F1C" w:rsidRPr="00686F1C" w:rsidRDefault="00686F1C" w:rsidP="00686F1C">
            <w:pPr>
              <w:contextualSpacing/>
              <w:jc w:val="center"/>
              <w:rPr>
                <w:rFonts w:cs="Arial"/>
                <w:sz w:val="18"/>
                <w:szCs w:val="18"/>
                <w:lang w:eastAsia="cs-CZ"/>
              </w:rPr>
            </w:pPr>
            <w:r w:rsidRPr="00686F1C">
              <w:rPr>
                <w:rFonts w:cs="Arial"/>
                <w:color w:val="000000"/>
                <w:sz w:val="18"/>
                <w:szCs w:val="18"/>
              </w:rPr>
              <w:t>7</w:t>
            </w:r>
          </w:p>
        </w:tc>
        <w:tc>
          <w:tcPr>
            <w:tcW w:w="851" w:type="dxa"/>
            <w:tcBorders>
              <w:top w:val="nil"/>
              <w:left w:val="nil"/>
              <w:bottom w:val="single" w:sz="4" w:space="0" w:color="auto"/>
              <w:right w:val="single" w:sz="4" w:space="0" w:color="auto"/>
            </w:tcBorders>
            <w:noWrap/>
            <w:vAlign w:val="bottom"/>
          </w:tcPr>
          <w:p w14:paraId="63B364E3" w14:textId="17ABA2D3" w:rsidR="00686F1C" w:rsidRPr="00686F1C" w:rsidRDefault="00686F1C" w:rsidP="00686F1C">
            <w:pPr>
              <w:contextualSpacing/>
              <w:jc w:val="right"/>
              <w:rPr>
                <w:rFonts w:cs="Arial"/>
                <w:sz w:val="18"/>
                <w:szCs w:val="18"/>
              </w:rPr>
            </w:pPr>
            <w:r w:rsidRPr="00686F1C">
              <w:rPr>
                <w:sz w:val="18"/>
                <w:szCs w:val="18"/>
              </w:rPr>
              <w:t>7,237</w:t>
            </w:r>
          </w:p>
        </w:tc>
        <w:tc>
          <w:tcPr>
            <w:tcW w:w="567" w:type="dxa"/>
            <w:tcBorders>
              <w:top w:val="nil"/>
              <w:left w:val="nil"/>
              <w:bottom w:val="single" w:sz="4" w:space="0" w:color="auto"/>
              <w:right w:val="single" w:sz="4" w:space="0" w:color="auto"/>
            </w:tcBorders>
            <w:noWrap/>
            <w:vAlign w:val="center"/>
          </w:tcPr>
          <w:p w14:paraId="74323EAA" w14:textId="1518DD78" w:rsidR="00686F1C" w:rsidRPr="00686F1C" w:rsidRDefault="00686F1C" w:rsidP="00686F1C">
            <w:pPr>
              <w:contextualSpacing/>
              <w:jc w:val="center"/>
              <w:rPr>
                <w:rFonts w:cs="Arial"/>
                <w:sz w:val="18"/>
                <w:szCs w:val="18"/>
                <w:lang w:eastAsia="cs-CZ"/>
              </w:rPr>
            </w:pPr>
            <w:r w:rsidRPr="00686F1C">
              <w:rPr>
                <w:rFonts w:cs="Arial"/>
                <w:color w:val="000000"/>
                <w:sz w:val="18"/>
                <w:szCs w:val="18"/>
              </w:rPr>
              <w:t>160</w:t>
            </w:r>
          </w:p>
        </w:tc>
        <w:tc>
          <w:tcPr>
            <w:tcW w:w="850" w:type="dxa"/>
            <w:tcBorders>
              <w:top w:val="nil"/>
              <w:left w:val="nil"/>
              <w:bottom w:val="single" w:sz="4" w:space="0" w:color="auto"/>
              <w:right w:val="single" w:sz="4" w:space="0" w:color="auto"/>
            </w:tcBorders>
            <w:noWrap/>
            <w:vAlign w:val="bottom"/>
          </w:tcPr>
          <w:p w14:paraId="469AF6AB" w14:textId="4A7347E4" w:rsidR="00686F1C" w:rsidRPr="00686F1C" w:rsidRDefault="00686F1C" w:rsidP="00686F1C">
            <w:pPr>
              <w:contextualSpacing/>
              <w:jc w:val="right"/>
              <w:rPr>
                <w:rFonts w:cs="Arial"/>
                <w:sz w:val="18"/>
                <w:szCs w:val="18"/>
              </w:rPr>
            </w:pPr>
            <w:r w:rsidRPr="00686F1C">
              <w:rPr>
                <w:sz w:val="18"/>
                <w:szCs w:val="18"/>
              </w:rPr>
              <w:t>2,253</w:t>
            </w:r>
          </w:p>
        </w:tc>
        <w:tc>
          <w:tcPr>
            <w:tcW w:w="567" w:type="dxa"/>
            <w:tcBorders>
              <w:top w:val="nil"/>
              <w:left w:val="nil"/>
              <w:bottom w:val="single" w:sz="4" w:space="0" w:color="auto"/>
              <w:right w:val="single" w:sz="4" w:space="0" w:color="auto"/>
            </w:tcBorders>
            <w:noWrap/>
            <w:vAlign w:val="center"/>
          </w:tcPr>
          <w:p w14:paraId="41F5E227" w14:textId="1D048385" w:rsidR="00686F1C" w:rsidRPr="00686F1C" w:rsidRDefault="00686F1C" w:rsidP="00686F1C">
            <w:pPr>
              <w:contextualSpacing/>
              <w:jc w:val="center"/>
              <w:rPr>
                <w:rFonts w:cs="Arial"/>
                <w:sz w:val="18"/>
                <w:szCs w:val="18"/>
                <w:lang w:eastAsia="cs-CZ"/>
              </w:rPr>
            </w:pPr>
            <w:r w:rsidRPr="00686F1C">
              <w:rPr>
                <w:rFonts w:cs="Arial"/>
                <w:color w:val="000000"/>
                <w:sz w:val="18"/>
                <w:szCs w:val="18"/>
              </w:rPr>
              <w:t>106</w:t>
            </w:r>
          </w:p>
        </w:tc>
        <w:tc>
          <w:tcPr>
            <w:tcW w:w="851" w:type="dxa"/>
            <w:tcBorders>
              <w:top w:val="nil"/>
              <w:left w:val="nil"/>
              <w:bottom w:val="single" w:sz="4" w:space="0" w:color="auto"/>
              <w:right w:val="single" w:sz="4" w:space="0" w:color="auto"/>
            </w:tcBorders>
            <w:noWrap/>
            <w:vAlign w:val="bottom"/>
          </w:tcPr>
          <w:p w14:paraId="10F1B874" w14:textId="0ED369FC" w:rsidR="00686F1C" w:rsidRPr="00686F1C" w:rsidRDefault="00686F1C" w:rsidP="00686F1C">
            <w:pPr>
              <w:contextualSpacing/>
              <w:jc w:val="right"/>
              <w:rPr>
                <w:rFonts w:cs="Arial"/>
                <w:b/>
                <w:sz w:val="18"/>
                <w:szCs w:val="18"/>
              </w:rPr>
            </w:pPr>
            <w:r w:rsidRPr="00686F1C">
              <w:rPr>
                <w:b/>
                <w:sz w:val="18"/>
                <w:szCs w:val="18"/>
              </w:rPr>
              <w:t>124,654</w:t>
            </w:r>
          </w:p>
        </w:tc>
        <w:tc>
          <w:tcPr>
            <w:tcW w:w="708" w:type="dxa"/>
            <w:tcBorders>
              <w:top w:val="nil"/>
              <w:left w:val="nil"/>
              <w:bottom w:val="single" w:sz="4" w:space="0" w:color="auto"/>
              <w:right w:val="single" w:sz="4" w:space="0" w:color="auto"/>
            </w:tcBorders>
            <w:noWrap/>
            <w:vAlign w:val="center"/>
          </w:tcPr>
          <w:p w14:paraId="243DFC28" w14:textId="2B3EE913" w:rsidR="00686F1C" w:rsidRPr="00686F1C" w:rsidRDefault="00686F1C" w:rsidP="00686F1C">
            <w:pPr>
              <w:contextualSpacing/>
              <w:jc w:val="center"/>
              <w:rPr>
                <w:rFonts w:cs="Arial"/>
                <w:sz w:val="18"/>
                <w:szCs w:val="18"/>
                <w:lang w:eastAsia="cs-CZ"/>
              </w:rPr>
            </w:pPr>
            <w:r w:rsidRPr="00686F1C">
              <w:rPr>
                <w:rFonts w:cs="Arial"/>
                <w:color w:val="000000"/>
                <w:sz w:val="18"/>
                <w:szCs w:val="18"/>
              </w:rPr>
              <w:t>1 330</w:t>
            </w:r>
          </w:p>
        </w:tc>
      </w:tr>
      <w:tr w:rsidR="00686F1C" w:rsidRPr="00BB3788" w14:paraId="6AE376D5" w14:textId="77777777" w:rsidTr="00686F1C">
        <w:trPr>
          <w:trHeight w:val="270"/>
          <w:jc w:val="center"/>
        </w:trPr>
        <w:tc>
          <w:tcPr>
            <w:tcW w:w="792" w:type="dxa"/>
            <w:shd w:val="clear" w:color="auto" w:fill="D9D9D9"/>
            <w:noWrap/>
            <w:vAlign w:val="bottom"/>
          </w:tcPr>
          <w:p w14:paraId="732002B7" w14:textId="77777777" w:rsidR="00686F1C" w:rsidRPr="00BB3788" w:rsidRDefault="00686F1C" w:rsidP="00686F1C">
            <w:pPr>
              <w:contextualSpacing/>
              <w:rPr>
                <w:rFonts w:cs="Arial"/>
                <w:b/>
                <w:bCs/>
                <w:color w:val="000000" w:themeColor="text1"/>
                <w:sz w:val="16"/>
                <w:szCs w:val="16"/>
              </w:rPr>
            </w:pPr>
            <w:r w:rsidRPr="00BB3788">
              <w:rPr>
                <w:rFonts w:cs="Arial"/>
                <w:b/>
                <w:bCs/>
                <w:color w:val="000000" w:themeColor="text1"/>
                <w:sz w:val="16"/>
                <w:szCs w:val="16"/>
              </w:rPr>
              <w:t>Celkem</w:t>
            </w:r>
          </w:p>
        </w:tc>
        <w:tc>
          <w:tcPr>
            <w:tcW w:w="966"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2E151719" w14:textId="1F1774BC" w:rsidR="00686F1C" w:rsidRPr="00686F1C" w:rsidRDefault="00686F1C" w:rsidP="00686F1C">
            <w:pPr>
              <w:contextualSpacing/>
              <w:jc w:val="right"/>
              <w:rPr>
                <w:rFonts w:cs="Arial"/>
                <w:b/>
                <w:sz w:val="18"/>
                <w:szCs w:val="18"/>
              </w:rPr>
            </w:pPr>
            <w:r w:rsidRPr="00686F1C">
              <w:rPr>
                <w:b/>
                <w:sz w:val="18"/>
                <w:szCs w:val="18"/>
              </w:rPr>
              <w:t>294,718</w:t>
            </w:r>
          </w:p>
        </w:tc>
        <w:tc>
          <w:tcPr>
            <w:tcW w:w="851" w:type="dxa"/>
            <w:tcBorders>
              <w:top w:val="nil"/>
              <w:left w:val="nil"/>
              <w:bottom w:val="single" w:sz="4" w:space="0" w:color="auto"/>
              <w:right w:val="single" w:sz="4" w:space="0" w:color="auto"/>
            </w:tcBorders>
            <w:shd w:val="clear" w:color="auto" w:fill="BFBFBF" w:themeFill="background1" w:themeFillShade="BF"/>
            <w:noWrap/>
            <w:vAlign w:val="center"/>
          </w:tcPr>
          <w:p w14:paraId="7A23F438" w14:textId="2A64824E" w:rsidR="00686F1C" w:rsidRPr="00686F1C" w:rsidRDefault="00686F1C" w:rsidP="00686F1C">
            <w:pPr>
              <w:contextualSpacing/>
              <w:jc w:val="center"/>
              <w:rPr>
                <w:rFonts w:cs="Arial"/>
                <w:b/>
                <w:bCs/>
                <w:sz w:val="18"/>
                <w:szCs w:val="18"/>
                <w:lang w:eastAsia="cs-CZ"/>
              </w:rPr>
            </w:pPr>
            <w:r w:rsidRPr="00686F1C">
              <w:rPr>
                <w:rFonts w:cs="Arial"/>
                <w:b/>
                <w:bCs/>
                <w:color w:val="000000"/>
                <w:sz w:val="18"/>
                <w:szCs w:val="18"/>
              </w:rPr>
              <w:t>2 477</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tcPr>
          <w:p w14:paraId="505CF5E3" w14:textId="152E555F" w:rsidR="00686F1C" w:rsidRPr="00686F1C" w:rsidRDefault="00686F1C" w:rsidP="00686F1C">
            <w:pPr>
              <w:contextualSpacing/>
              <w:jc w:val="right"/>
              <w:rPr>
                <w:rFonts w:cs="Arial"/>
                <w:b/>
                <w:sz w:val="18"/>
                <w:szCs w:val="18"/>
              </w:rPr>
            </w:pPr>
            <w:r w:rsidRPr="00686F1C">
              <w:rPr>
                <w:b/>
                <w:sz w:val="18"/>
                <w:szCs w:val="18"/>
              </w:rPr>
              <w:t>18,205</w:t>
            </w:r>
          </w:p>
        </w:tc>
        <w:tc>
          <w:tcPr>
            <w:tcW w:w="567" w:type="dxa"/>
            <w:tcBorders>
              <w:top w:val="nil"/>
              <w:left w:val="nil"/>
              <w:bottom w:val="single" w:sz="4" w:space="0" w:color="auto"/>
              <w:right w:val="single" w:sz="4" w:space="0" w:color="auto"/>
            </w:tcBorders>
            <w:shd w:val="clear" w:color="auto" w:fill="BFBFBF" w:themeFill="background1" w:themeFillShade="BF"/>
            <w:noWrap/>
            <w:vAlign w:val="center"/>
          </w:tcPr>
          <w:p w14:paraId="1951F4E3" w14:textId="21E35B68" w:rsidR="00686F1C" w:rsidRPr="00686F1C" w:rsidRDefault="00686F1C" w:rsidP="00686F1C">
            <w:pPr>
              <w:contextualSpacing/>
              <w:jc w:val="center"/>
              <w:rPr>
                <w:rFonts w:cs="Arial"/>
                <w:b/>
                <w:bCs/>
                <w:sz w:val="18"/>
                <w:szCs w:val="18"/>
                <w:lang w:eastAsia="cs-CZ"/>
              </w:rPr>
            </w:pPr>
            <w:r w:rsidRPr="00686F1C">
              <w:rPr>
                <w:rFonts w:cs="Arial"/>
                <w:b/>
                <w:bCs/>
                <w:color w:val="000000"/>
                <w:sz w:val="18"/>
                <w:szCs w:val="18"/>
              </w:rPr>
              <w:t>1 074</w:t>
            </w:r>
          </w:p>
        </w:tc>
        <w:tc>
          <w:tcPr>
            <w:tcW w:w="850" w:type="dxa"/>
            <w:tcBorders>
              <w:top w:val="nil"/>
              <w:left w:val="nil"/>
              <w:bottom w:val="single" w:sz="4" w:space="0" w:color="auto"/>
              <w:right w:val="single" w:sz="4" w:space="0" w:color="auto"/>
            </w:tcBorders>
            <w:shd w:val="clear" w:color="auto" w:fill="BFBFBF" w:themeFill="background1" w:themeFillShade="BF"/>
            <w:noWrap/>
            <w:vAlign w:val="center"/>
          </w:tcPr>
          <w:p w14:paraId="782C5FC2" w14:textId="526C310B" w:rsidR="00686F1C" w:rsidRPr="00686F1C" w:rsidRDefault="00686F1C" w:rsidP="00686F1C">
            <w:pPr>
              <w:contextualSpacing/>
              <w:jc w:val="right"/>
              <w:rPr>
                <w:rFonts w:cs="Arial"/>
                <w:b/>
                <w:sz w:val="18"/>
                <w:szCs w:val="18"/>
              </w:rPr>
            </w:pPr>
            <w:r w:rsidRPr="00686F1C">
              <w:rPr>
                <w:b/>
                <w:sz w:val="18"/>
                <w:szCs w:val="18"/>
              </w:rPr>
              <w:t>1,616</w:t>
            </w:r>
          </w:p>
        </w:tc>
        <w:tc>
          <w:tcPr>
            <w:tcW w:w="567" w:type="dxa"/>
            <w:tcBorders>
              <w:top w:val="nil"/>
              <w:left w:val="nil"/>
              <w:bottom w:val="single" w:sz="4" w:space="0" w:color="auto"/>
              <w:right w:val="single" w:sz="4" w:space="0" w:color="auto"/>
            </w:tcBorders>
            <w:shd w:val="clear" w:color="auto" w:fill="BFBFBF" w:themeFill="background1" w:themeFillShade="BF"/>
            <w:noWrap/>
            <w:vAlign w:val="center"/>
          </w:tcPr>
          <w:p w14:paraId="596297A0" w14:textId="29FEFD16" w:rsidR="00686F1C" w:rsidRPr="00686F1C" w:rsidRDefault="00686F1C" w:rsidP="00686F1C">
            <w:pPr>
              <w:contextualSpacing/>
              <w:jc w:val="center"/>
              <w:rPr>
                <w:rFonts w:cs="Arial"/>
                <w:b/>
                <w:bCs/>
                <w:sz w:val="18"/>
                <w:szCs w:val="18"/>
                <w:lang w:eastAsia="cs-CZ"/>
              </w:rPr>
            </w:pPr>
            <w:r w:rsidRPr="00686F1C">
              <w:rPr>
                <w:rFonts w:cs="Arial"/>
                <w:b/>
                <w:bCs/>
                <w:color w:val="000000"/>
                <w:sz w:val="18"/>
                <w:szCs w:val="18"/>
              </w:rPr>
              <w:t>31</w:t>
            </w:r>
          </w:p>
        </w:tc>
        <w:tc>
          <w:tcPr>
            <w:tcW w:w="851" w:type="dxa"/>
            <w:tcBorders>
              <w:top w:val="nil"/>
              <w:left w:val="nil"/>
              <w:bottom w:val="single" w:sz="4" w:space="0" w:color="auto"/>
              <w:right w:val="single" w:sz="4" w:space="0" w:color="auto"/>
            </w:tcBorders>
            <w:shd w:val="clear" w:color="auto" w:fill="BFBFBF" w:themeFill="background1" w:themeFillShade="BF"/>
            <w:noWrap/>
            <w:vAlign w:val="center"/>
          </w:tcPr>
          <w:p w14:paraId="365FC299" w14:textId="3B65A09F" w:rsidR="00686F1C" w:rsidRPr="00686F1C" w:rsidRDefault="00686F1C" w:rsidP="00686F1C">
            <w:pPr>
              <w:contextualSpacing/>
              <w:jc w:val="right"/>
              <w:rPr>
                <w:rFonts w:cs="Arial"/>
                <w:b/>
                <w:sz w:val="18"/>
                <w:szCs w:val="18"/>
              </w:rPr>
            </w:pPr>
            <w:r w:rsidRPr="00686F1C">
              <w:rPr>
                <w:b/>
                <w:sz w:val="18"/>
                <w:szCs w:val="18"/>
              </w:rPr>
              <w:t>32,798</w:t>
            </w:r>
          </w:p>
        </w:tc>
        <w:tc>
          <w:tcPr>
            <w:tcW w:w="567" w:type="dxa"/>
            <w:tcBorders>
              <w:top w:val="nil"/>
              <w:left w:val="nil"/>
              <w:bottom w:val="single" w:sz="4" w:space="0" w:color="auto"/>
              <w:right w:val="single" w:sz="4" w:space="0" w:color="auto"/>
            </w:tcBorders>
            <w:shd w:val="clear" w:color="auto" w:fill="BFBFBF" w:themeFill="background1" w:themeFillShade="BF"/>
            <w:noWrap/>
            <w:vAlign w:val="center"/>
          </w:tcPr>
          <w:p w14:paraId="12B92986" w14:textId="5444C089" w:rsidR="00686F1C" w:rsidRPr="00686F1C" w:rsidRDefault="00686F1C" w:rsidP="00686F1C">
            <w:pPr>
              <w:contextualSpacing/>
              <w:jc w:val="center"/>
              <w:rPr>
                <w:rFonts w:cs="Arial"/>
                <w:b/>
                <w:bCs/>
                <w:sz w:val="18"/>
                <w:szCs w:val="18"/>
                <w:lang w:eastAsia="cs-CZ"/>
              </w:rPr>
            </w:pPr>
            <w:r w:rsidRPr="00686F1C">
              <w:rPr>
                <w:rFonts w:cs="Arial"/>
                <w:b/>
                <w:bCs/>
                <w:color w:val="000000"/>
                <w:sz w:val="18"/>
                <w:szCs w:val="18"/>
              </w:rPr>
              <w:t>539</w:t>
            </w:r>
          </w:p>
        </w:tc>
        <w:tc>
          <w:tcPr>
            <w:tcW w:w="850" w:type="dxa"/>
            <w:tcBorders>
              <w:top w:val="nil"/>
              <w:left w:val="nil"/>
              <w:bottom w:val="single" w:sz="4" w:space="0" w:color="auto"/>
              <w:right w:val="single" w:sz="4" w:space="0" w:color="auto"/>
            </w:tcBorders>
            <w:shd w:val="clear" w:color="auto" w:fill="BFBFBF" w:themeFill="background1" w:themeFillShade="BF"/>
            <w:noWrap/>
            <w:vAlign w:val="center"/>
          </w:tcPr>
          <w:p w14:paraId="647AA729" w14:textId="7E6D488A" w:rsidR="00686F1C" w:rsidRPr="00686F1C" w:rsidRDefault="00686F1C" w:rsidP="00686F1C">
            <w:pPr>
              <w:contextualSpacing/>
              <w:jc w:val="right"/>
              <w:rPr>
                <w:rFonts w:cs="Arial"/>
                <w:b/>
                <w:sz w:val="18"/>
                <w:szCs w:val="18"/>
              </w:rPr>
            </w:pPr>
            <w:r w:rsidRPr="00686F1C">
              <w:rPr>
                <w:b/>
                <w:sz w:val="18"/>
                <w:szCs w:val="18"/>
              </w:rPr>
              <w:t>17,609</w:t>
            </w:r>
          </w:p>
        </w:tc>
        <w:tc>
          <w:tcPr>
            <w:tcW w:w="567" w:type="dxa"/>
            <w:tcBorders>
              <w:top w:val="nil"/>
              <w:left w:val="nil"/>
              <w:bottom w:val="single" w:sz="4" w:space="0" w:color="auto"/>
              <w:right w:val="single" w:sz="4" w:space="0" w:color="auto"/>
            </w:tcBorders>
            <w:shd w:val="clear" w:color="auto" w:fill="BFBFBF" w:themeFill="background1" w:themeFillShade="BF"/>
            <w:noWrap/>
            <w:vAlign w:val="center"/>
          </w:tcPr>
          <w:p w14:paraId="506BB38C" w14:textId="28615318" w:rsidR="00686F1C" w:rsidRPr="00686F1C" w:rsidRDefault="00686F1C" w:rsidP="00686F1C">
            <w:pPr>
              <w:contextualSpacing/>
              <w:jc w:val="center"/>
              <w:rPr>
                <w:rFonts w:cs="Arial"/>
                <w:b/>
                <w:bCs/>
                <w:sz w:val="18"/>
                <w:szCs w:val="18"/>
                <w:lang w:eastAsia="cs-CZ"/>
              </w:rPr>
            </w:pPr>
            <w:r w:rsidRPr="00686F1C">
              <w:rPr>
                <w:rFonts w:cs="Arial"/>
                <w:b/>
                <w:bCs/>
                <w:color w:val="000000"/>
                <w:sz w:val="18"/>
                <w:szCs w:val="18"/>
              </w:rPr>
              <w:t>809</w:t>
            </w:r>
          </w:p>
        </w:tc>
        <w:tc>
          <w:tcPr>
            <w:tcW w:w="851" w:type="dxa"/>
            <w:tcBorders>
              <w:top w:val="nil"/>
              <w:left w:val="nil"/>
              <w:bottom w:val="single" w:sz="4" w:space="0" w:color="auto"/>
              <w:right w:val="single" w:sz="4" w:space="0" w:color="auto"/>
            </w:tcBorders>
            <w:shd w:val="clear" w:color="auto" w:fill="BFBFBF" w:themeFill="background1" w:themeFillShade="BF"/>
            <w:noWrap/>
            <w:vAlign w:val="center"/>
          </w:tcPr>
          <w:p w14:paraId="4ED3F207" w14:textId="0AE29498" w:rsidR="00686F1C" w:rsidRPr="00686F1C" w:rsidRDefault="00686F1C" w:rsidP="00686F1C">
            <w:pPr>
              <w:contextualSpacing/>
              <w:jc w:val="right"/>
              <w:rPr>
                <w:rFonts w:cs="Arial"/>
                <w:b/>
                <w:sz w:val="18"/>
                <w:szCs w:val="18"/>
              </w:rPr>
            </w:pPr>
            <w:r w:rsidRPr="00686F1C">
              <w:rPr>
                <w:b/>
                <w:sz w:val="18"/>
                <w:szCs w:val="18"/>
              </w:rPr>
              <w:t>364,946</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tcPr>
          <w:p w14:paraId="33F8CD29" w14:textId="27804B3B" w:rsidR="00686F1C" w:rsidRPr="00686F1C" w:rsidRDefault="00686F1C" w:rsidP="00686F1C">
            <w:pPr>
              <w:contextualSpacing/>
              <w:jc w:val="center"/>
              <w:rPr>
                <w:rFonts w:cs="Arial"/>
                <w:b/>
                <w:bCs/>
                <w:sz w:val="18"/>
                <w:szCs w:val="18"/>
                <w:lang w:eastAsia="cs-CZ"/>
              </w:rPr>
            </w:pPr>
            <w:r w:rsidRPr="00686F1C">
              <w:rPr>
                <w:rFonts w:cs="Arial"/>
                <w:b/>
                <w:bCs/>
                <w:color w:val="000000"/>
                <w:sz w:val="18"/>
                <w:szCs w:val="18"/>
              </w:rPr>
              <w:t>4 930</w:t>
            </w:r>
          </w:p>
        </w:tc>
      </w:tr>
    </w:tbl>
    <w:p w14:paraId="03CF2E7C" w14:textId="7CBFEB28" w:rsidR="008F263F" w:rsidRPr="00343FE1" w:rsidRDefault="00960D37" w:rsidP="008F263F">
      <w:pPr>
        <w:contextualSpacing/>
        <w:rPr>
          <w:rFonts w:cs="Arial"/>
          <w:i/>
          <w:color w:val="000000" w:themeColor="text1"/>
          <w:sz w:val="20"/>
          <w:szCs w:val="20"/>
        </w:rPr>
      </w:pPr>
      <w:r w:rsidRPr="00BB3788">
        <w:rPr>
          <w:rFonts w:cs="Arial"/>
          <w:i/>
          <w:color w:val="000000" w:themeColor="text1"/>
          <w:sz w:val="20"/>
          <w:szCs w:val="20"/>
        </w:rPr>
        <w:t xml:space="preserve">Pramen: </w:t>
      </w:r>
      <w:r w:rsidR="00CB70B5" w:rsidRPr="00BB3788">
        <w:rPr>
          <w:rFonts w:cs="Arial"/>
          <w:i/>
          <w:color w:val="000000" w:themeColor="text1"/>
          <w:sz w:val="20"/>
          <w:szCs w:val="20"/>
        </w:rPr>
        <w:t>s</w:t>
      </w:r>
      <w:r w:rsidRPr="00BB3788">
        <w:rPr>
          <w:rFonts w:cs="Arial"/>
          <w:i/>
          <w:color w:val="000000" w:themeColor="text1"/>
          <w:sz w:val="20"/>
          <w:szCs w:val="20"/>
        </w:rPr>
        <w:t>. p. Povodí</w:t>
      </w:r>
    </w:p>
    <w:p w14:paraId="566B04EF" w14:textId="77777777" w:rsidR="00734BCD" w:rsidRPr="00104F7D" w:rsidRDefault="00734BCD" w:rsidP="008F263F">
      <w:pPr>
        <w:contextualSpacing/>
        <w:rPr>
          <w:rFonts w:cs="Arial"/>
          <w:i/>
          <w:color w:val="000000" w:themeColor="text1"/>
          <w:sz w:val="20"/>
          <w:szCs w:val="20"/>
          <w:highlight w:val="yellow"/>
        </w:rPr>
      </w:pPr>
    </w:p>
    <w:p w14:paraId="692FEC64" w14:textId="77777777" w:rsidR="00A912CD" w:rsidRPr="00343FE1" w:rsidRDefault="00960D37" w:rsidP="00A912CD">
      <w:pPr>
        <w:contextualSpacing/>
        <w:rPr>
          <w:rFonts w:cs="Arial"/>
          <w:i/>
          <w:color w:val="000000" w:themeColor="text1"/>
          <w:sz w:val="20"/>
          <w:szCs w:val="20"/>
        </w:rPr>
      </w:pPr>
      <w:r w:rsidRPr="00343FE1">
        <w:rPr>
          <w:b/>
          <w:i/>
          <w:color w:val="000000" w:themeColor="text1"/>
        </w:rPr>
        <w:t>Graf 4.2.1</w:t>
      </w:r>
      <w:r w:rsidRPr="00343FE1">
        <w:rPr>
          <w:b/>
          <w:i/>
          <w:color w:val="000000" w:themeColor="text1"/>
        </w:rPr>
        <w:tab/>
      </w:r>
    </w:p>
    <w:p w14:paraId="6BB86E89" w14:textId="081A61B3" w:rsidR="00960D37" w:rsidRPr="00343FE1" w:rsidRDefault="00960D37" w:rsidP="00A912CD">
      <w:pPr>
        <w:contextualSpacing/>
        <w:rPr>
          <w:rFonts w:cs="Arial"/>
          <w:i/>
          <w:color w:val="000000" w:themeColor="text1"/>
          <w:sz w:val="20"/>
          <w:szCs w:val="20"/>
        </w:rPr>
      </w:pPr>
      <w:r w:rsidRPr="00343FE1">
        <w:rPr>
          <w:b/>
          <w:i/>
          <w:color w:val="000000" w:themeColor="text1"/>
        </w:rPr>
        <w:t xml:space="preserve">Odběry podzemních vod v České republice </w:t>
      </w:r>
      <w:r w:rsidR="00465B3F" w:rsidRPr="00343FE1">
        <w:rPr>
          <w:b/>
          <w:i/>
          <w:color w:val="000000" w:themeColor="text1"/>
        </w:rPr>
        <w:t xml:space="preserve">dle odvětví </w:t>
      </w:r>
      <w:r w:rsidRPr="00343FE1">
        <w:rPr>
          <w:b/>
          <w:i/>
          <w:color w:val="000000" w:themeColor="text1"/>
        </w:rPr>
        <w:t>v letech 1980–20</w:t>
      </w:r>
      <w:r w:rsidR="009B2BD2" w:rsidRPr="00343FE1">
        <w:rPr>
          <w:b/>
          <w:i/>
          <w:color w:val="000000" w:themeColor="text1"/>
        </w:rPr>
        <w:t>2</w:t>
      </w:r>
      <w:r w:rsidR="00343FE1">
        <w:rPr>
          <w:b/>
          <w:i/>
          <w:color w:val="000000" w:themeColor="text1"/>
        </w:rPr>
        <w:t>5</w:t>
      </w:r>
    </w:p>
    <w:p w14:paraId="1D755BA8" w14:textId="0D482E15" w:rsidR="00960D37" w:rsidRPr="00343FE1" w:rsidRDefault="0060281B" w:rsidP="007C4955">
      <w:pPr>
        <w:contextualSpacing/>
        <w:rPr>
          <w:color w:val="FF0000"/>
          <w:sz w:val="20"/>
        </w:rPr>
      </w:pPr>
      <w:r>
        <w:rPr>
          <w:noProof/>
        </w:rPr>
        <w:drawing>
          <wp:inline distT="0" distB="0" distL="0" distR="0" wp14:anchorId="251C93C1" wp14:editId="7AF9D366">
            <wp:extent cx="6120130" cy="3197225"/>
            <wp:effectExtent l="0" t="0" r="0" b="3175"/>
            <wp:docPr id="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6"/>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20130" cy="3197225"/>
                    </a:xfrm>
                    <a:prstGeom prst="rect">
                      <a:avLst/>
                    </a:prstGeom>
                    <a:noFill/>
                  </pic:spPr>
                </pic:pic>
              </a:graphicData>
            </a:graphic>
          </wp:inline>
        </w:drawing>
      </w:r>
    </w:p>
    <w:p w14:paraId="313E8098" w14:textId="103D3CCC" w:rsidR="001F6417" w:rsidRPr="00343FE1" w:rsidRDefault="00960D37" w:rsidP="001F6417">
      <w:pPr>
        <w:contextualSpacing/>
        <w:rPr>
          <w:i/>
          <w:color w:val="000000" w:themeColor="text1"/>
          <w:sz w:val="20"/>
          <w:szCs w:val="20"/>
        </w:rPr>
      </w:pPr>
      <w:r w:rsidRPr="00343FE1">
        <w:rPr>
          <w:i/>
          <w:color w:val="000000" w:themeColor="text1"/>
          <w:sz w:val="20"/>
          <w:szCs w:val="20"/>
        </w:rPr>
        <w:t>Pramen: VÚV TGM z podkladů s. p. Povod</w:t>
      </w:r>
      <w:r w:rsidR="008F263F" w:rsidRPr="00343FE1">
        <w:rPr>
          <w:i/>
          <w:color w:val="000000" w:themeColor="text1"/>
          <w:sz w:val="20"/>
          <w:szCs w:val="20"/>
        </w:rPr>
        <w:t>í</w:t>
      </w:r>
    </w:p>
    <w:p w14:paraId="2093E0B5" w14:textId="77777777" w:rsidR="000719AC" w:rsidRDefault="000719AC" w:rsidP="001F6417">
      <w:pPr>
        <w:contextualSpacing/>
        <w:rPr>
          <w:b/>
          <w:i/>
          <w:highlight w:val="yellow"/>
        </w:rPr>
      </w:pPr>
    </w:p>
    <w:p w14:paraId="71021ED2" w14:textId="77777777" w:rsidR="0091366E" w:rsidRDefault="0091366E" w:rsidP="001F6417">
      <w:pPr>
        <w:contextualSpacing/>
        <w:rPr>
          <w:b/>
          <w:i/>
          <w:highlight w:val="yellow"/>
        </w:rPr>
      </w:pPr>
    </w:p>
    <w:p w14:paraId="3DE19C62" w14:textId="77777777" w:rsidR="0091366E" w:rsidRPr="00104F7D" w:rsidRDefault="0091366E" w:rsidP="001F6417">
      <w:pPr>
        <w:contextualSpacing/>
        <w:rPr>
          <w:b/>
          <w:i/>
          <w:highlight w:val="yellow"/>
        </w:rPr>
      </w:pPr>
    </w:p>
    <w:p w14:paraId="5B91E8F5" w14:textId="77777777" w:rsidR="00686F1C" w:rsidRDefault="00686F1C" w:rsidP="001F6417">
      <w:pPr>
        <w:contextualSpacing/>
        <w:rPr>
          <w:b/>
          <w:i/>
        </w:rPr>
      </w:pPr>
    </w:p>
    <w:p w14:paraId="764A21B9" w14:textId="01A96B9C" w:rsidR="004C1676" w:rsidRPr="00D04FC7" w:rsidRDefault="004C1676" w:rsidP="001F6417">
      <w:pPr>
        <w:contextualSpacing/>
        <w:rPr>
          <w:b/>
          <w:i/>
        </w:rPr>
      </w:pPr>
      <w:r w:rsidRPr="00D04FC7">
        <w:rPr>
          <w:b/>
          <w:i/>
        </w:rPr>
        <w:lastRenderedPageBreak/>
        <w:t>Graf 4.2.2</w:t>
      </w:r>
    </w:p>
    <w:p w14:paraId="14FCBB35" w14:textId="718A0425" w:rsidR="004C1676" w:rsidRPr="00D04FC7" w:rsidRDefault="004C1676" w:rsidP="001F6417">
      <w:pPr>
        <w:contextualSpacing/>
        <w:rPr>
          <w:b/>
          <w:i/>
        </w:rPr>
      </w:pPr>
      <w:r w:rsidRPr="00D04FC7">
        <w:rPr>
          <w:b/>
          <w:i/>
        </w:rPr>
        <w:t>Odběry podzemní vody v České republice v letech 1980–</w:t>
      </w:r>
      <w:r w:rsidR="00ED011A" w:rsidRPr="00D04FC7">
        <w:rPr>
          <w:b/>
          <w:i/>
        </w:rPr>
        <w:t>202</w:t>
      </w:r>
      <w:r w:rsidR="00D04FC7" w:rsidRPr="00D04FC7">
        <w:rPr>
          <w:b/>
          <w:i/>
        </w:rPr>
        <w:t>5</w:t>
      </w:r>
    </w:p>
    <w:p w14:paraId="33B91E06" w14:textId="32F41FDE" w:rsidR="00D04FC7" w:rsidRPr="00D04FC7" w:rsidRDefault="00D04FC7" w:rsidP="001F6417">
      <w:pPr>
        <w:contextualSpacing/>
        <w:rPr>
          <w:b/>
          <w:i/>
        </w:rPr>
      </w:pPr>
      <w:r w:rsidRPr="00D04FC7">
        <w:rPr>
          <w:noProof/>
        </w:rPr>
        <w:drawing>
          <wp:inline distT="0" distB="0" distL="0" distR="0" wp14:anchorId="5A7751AD" wp14:editId="2E85455F">
            <wp:extent cx="6010275" cy="2743200"/>
            <wp:effectExtent l="0" t="0" r="9525" b="0"/>
            <wp:docPr id="1988225887" name="Graf 1">
              <a:extLst xmlns:a="http://schemas.openxmlformats.org/drawingml/2006/main">
                <a:ext uri="{FF2B5EF4-FFF2-40B4-BE49-F238E27FC236}">
                  <a16:creationId xmlns:a16="http://schemas.microsoft.com/office/drawing/2014/main" id="{1142FD10-1734-6A66-B631-B70A109EFF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EA6A39D" w14:textId="0BAF8DC3" w:rsidR="004C1676" w:rsidRPr="00D04FC7" w:rsidRDefault="004C1676" w:rsidP="007C4955">
      <w:pPr>
        <w:contextualSpacing/>
        <w:rPr>
          <w:b/>
          <w:i/>
          <w:color w:val="FF0000"/>
        </w:rPr>
      </w:pPr>
    </w:p>
    <w:p w14:paraId="50245BBE" w14:textId="77777777" w:rsidR="004C1676" w:rsidRPr="00D04FC7" w:rsidRDefault="004C1676" w:rsidP="007C4955">
      <w:pPr>
        <w:contextualSpacing/>
        <w:rPr>
          <w:i/>
          <w:sz w:val="20"/>
          <w:szCs w:val="20"/>
        </w:rPr>
      </w:pPr>
      <w:r w:rsidRPr="00D04FC7">
        <w:rPr>
          <w:i/>
          <w:sz w:val="20"/>
          <w:szCs w:val="20"/>
        </w:rPr>
        <w:t xml:space="preserve">Pramen: </w:t>
      </w:r>
      <w:r w:rsidR="00A6633D" w:rsidRPr="00D04FC7">
        <w:rPr>
          <w:i/>
          <w:sz w:val="20"/>
          <w:szCs w:val="20"/>
        </w:rPr>
        <w:t>MZe z podkladů VÚV TGM a s. p. Povodí</w:t>
      </w:r>
    </w:p>
    <w:p w14:paraId="1DE075CC" w14:textId="77777777" w:rsidR="007557A9" w:rsidRPr="00104F7D" w:rsidRDefault="007557A9" w:rsidP="007C4955">
      <w:pPr>
        <w:contextualSpacing/>
        <w:rPr>
          <w:b/>
          <w:i/>
          <w:color w:val="FF0000"/>
          <w:sz w:val="18"/>
          <w:highlight w:val="yellow"/>
        </w:rPr>
      </w:pPr>
    </w:p>
    <w:p w14:paraId="60E0C4EB" w14:textId="77777777" w:rsidR="00E469C2" w:rsidRPr="00E469C2" w:rsidRDefault="00E469C2" w:rsidP="00E469C2">
      <w:pPr>
        <w:contextualSpacing/>
        <w:rPr>
          <w:szCs w:val="24"/>
        </w:rPr>
      </w:pPr>
      <w:r w:rsidRPr="00E469C2">
        <w:rPr>
          <w:szCs w:val="24"/>
        </w:rPr>
        <w:t>Tabulka 4.2.2 ukazuje vykázané odběry podzemní vody pro technické zasněžování, kdy bylo odebráno více než 6 000 m³/rok nebo 500 m³/měsíc v tis. m³ v členění pro jednotlivé státní podniky Povodí.</w:t>
      </w:r>
    </w:p>
    <w:p w14:paraId="24FF1EF5" w14:textId="77777777" w:rsidR="00E469C2" w:rsidRPr="00104F7D" w:rsidRDefault="00E469C2" w:rsidP="007C4955">
      <w:pPr>
        <w:contextualSpacing/>
        <w:rPr>
          <w:b/>
          <w:i/>
          <w:color w:val="FF0000"/>
          <w:highlight w:val="yellow"/>
        </w:rPr>
      </w:pPr>
    </w:p>
    <w:p w14:paraId="2A7622DB" w14:textId="77777777" w:rsidR="007557A9" w:rsidRPr="00E469C2" w:rsidRDefault="007557A9" w:rsidP="007C4955">
      <w:pPr>
        <w:contextualSpacing/>
        <w:rPr>
          <w:b/>
          <w:i/>
          <w:color w:val="000000" w:themeColor="text1"/>
        </w:rPr>
      </w:pPr>
      <w:r w:rsidRPr="00E469C2">
        <w:rPr>
          <w:b/>
          <w:i/>
          <w:color w:val="000000" w:themeColor="text1"/>
        </w:rPr>
        <w:t xml:space="preserve">Tabulka 4.2.2 </w:t>
      </w:r>
    </w:p>
    <w:p w14:paraId="1123E748" w14:textId="6380DEA4" w:rsidR="007557A9" w:rsidRPr="00E469C2" w:rsidRDefault="007557A9" w:rsidP="007C4955">
      <w:pPr>
        <w:contextualSpacing/>
        <w:rPr>
          <w:b/>
          <w:i/>
          <w:color w:val="000000" w:themeColor="text1"/>
        </w:rPr>
      </w:pPr>
      <w:r w:rsidRPr="00E469C2">
        <w:rPr>
          <w:b/>
          <w:i/>
          <w:color w:val="000000" w:themeColor="text1"/>
        </w:rPr>
        <w:t>Odběry podzemní vody odběrateli nad 6 000 m</w:t>
      </w:r>
      <w:r w:rsidRPr="00E469C2">
        <w:rPr>
          <w:b/>
          <w:i/>
          <w:color w:val="000000" w:themeColor="text1"/>
          <w:vertAlign w:val="superscript"/>
        </w:rPr>
        <w:t>3</w:t>
      </w:r>
      <w:r w:rsidRPr="00E469C2">
        <w:rPr>
          <w:b/>
          <w:i/>
          <w:color w:val="000000" w:themeColor="text1"/>
        </w:rPr>
        <w:t>/rok nebo 500 m</w:t>
      </w:r>
      <w:r w:rsidRPr="00E469C2">
        <w:rPr>
          <w:b/>
          <w:i/>
          <w:color w:val="000000" w:themeColor="text1"/>
          <w:vertAlign w:val="superscript"/>
        </w:rPr>
        <w:t>3</w:t>
      </w:r>
      <w:r w:rsidRPr="00E469C2">
        <w:rPr>
          <w:b/>
          <w:i/>
          <w:color w:val="000000" w:themeColor="text1"/>
        </w:rPr>
        <w:t>/měsíc pro zasněžování</w:t>
      </w:r>
      <w:r w:rsidR="001E571C" w:rsidRPr="00E469C2">
        <w:rPr>
          <w:b/>
          <w:i/>
          <w:color w:val="000000" w:themeColor="text1"/>
        </w:rPr>
        <w:t xml:space="preserve"> </w:t>
      </w:r>
      <w:r w:rsidR="00B96A8E" w:rsidRPr="00E469C2">
        <w:rPr>
          <w:b/>
          <w:i/>
          <w:color w:val="000000" w:themeColor="text1"/>
        </w:rPr>
        <w:t>v </w:t>
      </w:r>
      <w:r w:rsidR="001E571C" w:rsidRPr="00E469C2">
        <w:rPr>
          <w:b/>
          <w:i/>
          <w:color w:val="000000" w:themeColor="text1"/>
        </w:rPr>
        <w:t>roce 20</w:t>
      </w:r>
      <w:r w:rsidR="009B2BD2" w:rsidRPr="00E469C2">
        <w:rPr>
          <w:b/>
          <w:i/>
          <w:color w:val="000000" w:themeColor="text1"/>
        </w:rPr>
        <w:t>2</w:t>
      </w:r>
      <w:r w:rsidR="0091366E">
        <w:rPr>
          <w:b/>
          <w:i/>
          <w:color w:val="000000" w:themeColor="text1"/>
        </w:rPr>
        <w:t>5</w:t>
      </w:r>
    </w:p>
    <w:tbl>
      <w:tblPr>
        <w:tblW w:w="291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996"/>
        <w:gridCol w:w="960"/>
      </w:tblGrid>
      <w:tr w:rsidR="008F263F" w:rsidRPr="00E469C2" w14:paraId="24168EA3" w14:textId="77777777" w:rsidTr="00ED011A">
        <w:trPr>
          <w:trHeight w:val="315"/>
        </w:trPr>
        <w:tc>
          <w:tcPr>
            <w:tcW w:w="960" w:type="dxa"/>
            <w:vMerge w:val="restart"/>
            <w:shd w:val="clear" w:color="000000" w:fill="D9D9D9"/>
            <w:vAlign w:val="center"/>
            <w:hideMark/>
          </w:tcPr>
          <w:p w14:paraId="296C5FB8" w14:textId="2B0DD704" w:rsidR="001E571C" w:rsidRPr="00E469C2" w:rsidRDefault="00C12D31" w:rsidP="007C4955">
            <w:pPr>
              <w:contextualSpacing/>
              <w:jc w:val="center"/>
              <w:rPr>
                <w:rFonts w:eastAsia="Times New Roman" w:cs="Arial"/>
                <w:b/>
                <w:bCs/>
                <w:color w:val="000000" w:themeColor="text1"/>
                <w:sz w:val="20"/>
                <w:szCs w:val="20"/>
                <w:lang w:eastAsia="cs-CZ"/>
              </w:rPr>
            </w:pPr>
            <w:r w:rsidRPr="00E469C2">
              <w:rPr>
                <w:rFonts w:eastAsia="Times New Roman" w:cs="Arial"/>
                <w:b/>
                <w:bCs/>
                <w:color w:val="000000" w:themeColor="text1"/>
                <w:sz w:val="20"/>
                <w:szCs w:val="20"/>
                <w:lang w:eastAsia="cs-CZ"/>
              </w:rPr>
              <w:t>Státní podnik</w:t>
            </w:r>
            <w:r w:rsidR="001E571C" w:rsidRPr="00E469C2">
              <w:rPr>
                <w:rFonts w:eastAsia="Times New Roman" w:cs="Arial"/>
                <w:b/>
                <w:bCs/>
                <w:color w:val="000000" w:themeColor="text1"/>
                <w:sz w:val="20"/>
                <w:szCs w:val="20"/>
                <w:lang w:eastAsia="cs-CZ"/>
              </w:rPr>
              <w:t xml:space="preserve"> Povodí</w:t>
            </w:r>
          </w:p>
          <w:p w14:paraId="3DA0CFEA" w14:textId="77777777" w:rsidR="001E571C" w:rsidRPr="00E469C2" w:rsidRDefault="001E571C" w:rsidP="007C4955">
            <w:pPr>
              <w:contextualSpacing/>
              <w:jc w:val="center"/>
              <w:rPr>
                <w:rFonts w:eastAsia="Times New Roman" w:cs="Arial"/>
                <w:b/>
                <w:bCs/>
                <w:color w:val="000000" w:themeColor="text1"/>
                <w:sz w:val="20"/>
                <w:szCs w:val="20"/>
                <w:lang w:eastAsia="cs-CZ"/>
              </w:rPr>
            </w:pPr>
          </w:p>
        </w:tc>
        <w:tc>
          <w:tcPr>
            <w:tcW w:w="1956" w:type="dxa"/>
            <w:gridSpan w:val="2"/>
            <w:shd w:val="clear" w:color="000000" w:fill="D9D9D9"/>
            <w:vAlign w:val="center"/>
            <w:hideMark/>
          </w:tcPr>
          <w:p w14:paraId="5D551514" w14:textId="77777777" w:rsidR="001E571C" w:rsidRPr="00E469C2" w:rsidRDefault="001E571C" w:rsidP="007C4955">
            <w:pPr>
              <w:contextualSpacing/>
              <w:jc w:val="center"/>
              <w:rPr>
                <w:rFonts w:eastAsia="Times New Roman" w:cs="Arial"/>
                <w:b/>
                <w:bCs/>
                <w:color w:val="000000" w:themeColor="text1"/>
                <w:sz w:val="20"/>
                <w:szCs w:val="20"/>
                <w:lang w:eastAsia="cs-CZ"/>
              </w:rPr>
            </w:pPr>
            <w:r w:rsidRPr="00E469C2">
              <w:rPr>
                <w:rFonts w:eastAsia="Times New Roman" w:cs="Arial"/>
                <w:b/>
                <w:bCs/>
                <w:color w:val="000000" w:themeColor="text1"/>
                <w:sz w:val="20"/>
                <w:szCs w:val="20"/>
                <w:lang w:eastAsia="cs-CZ"/>
              </w:rPr>
              <w:t xml:space="preserve">Zasněžování </w:t>
            </w:r>
            <w:r w:rsidRPr="00E469C2">
              <w:rPr>
                <w:rFonts w:eastAsia="Times New Roman" w:cs="Arial"/>
                <w:b/>
                <w:bCs/>
                <w:color w:val="000000" w:themeColor="text1"/>
                <w:sz w:val="20"/>
                <w:szCs w:val="20"/>
                <w:vertAlign w:val="superscript"/>
                <w:lang w:eastAsia="cs-CZ"/>
              </w:rPr>
              <w:t>*)</w:t>
            </w:r>
          </w:p>
        </w:tc>
      </w:tr>
      <w:tr w:rsidR="008F263F" w:rsidRPr="00E469C2" w14:paraId="12D55F00" w14:textId="77777777" w:rsidTr="00ED011A">
        <w:trPr>
          <w:trHeight w:val="480"/>
        </w:trPr>
        <w:tc>
          <w:tcPr>
            <w:tcW w:w="960" w:type="dxa"/>
            <w:vMerge/>
            <w:shd w:val="clear" w:color="000000" w:fill="D9D9D9"/>
            <w:vAlign w:val="center"/>
            <w:hideMark/>
          </w:tcPr>
          <w:p w14:paraId="106ACC0C" w14:textId="77777777" w:rsidR="001E571C" w:rsidRPr="00E469C2" w:rsidRDefault="001E571C" w:rsidP="007C4955">
            <w:pPr>
              <w:contextualSpacing/>
              <w:jc w:val="center"/>
              <w:rPr>
                <w:rFonts w:eastAsia="Times New Roman" w:cs="Arial"/>
                <w:b/>
                <w:bCs/>
                <w:color w:val="000000" w:themeColor="text1"/>
                <w:sz w:val="20"/>
                <w:szCs w:val="20"/>
                <w:lang w:eastAsia="cs-CZ"/>
              </w:rPr>
            </w:pPr>
          </w:p>
        </w:tc>
        <w:tc>
          <w:tcPr>
            <w:tcW w:w="996" w:type="dxa"/>
            <w:shd w:val="clear" w:color="000000" w:fill="D9D9D9"/>
            <w:vAlign w:val="center"/>
            <w:hideMark/>
          </w:tcPr>
          <w:p w14:paraId="6C22B11D" w14:textId="77777777" w:rsidR="001E571C" w:rsidRPr="00E469C2" w:rsidRDefault="001E571C" w:rsidP="007C4955">
            <w:pPr>
              <w:contextualSpacing/>
              <w:jc w:val="center"/>
              <w:rPr>
                <w:rFonts w:eastAsia="Times New Roman" w:cs="Arial"/>
                <w:b/>
                <w:bCs/>
                <w:color w:val="000000" w:themeColor="text1"/>
                <w:sz w:val="20"/>
                <w:szCs w:val="20"/>
                <w:lang w:eastAsia="cs-CZ"/>
              </w:rPr>
            </w:pPr>
            <w:r w:rsidRPr="00E469C2">
              <w:rPr>
                <w:rFonts w:eastAsia="Times New Roman" w:cs="Arial"/>
                <w:b/>
                <w:bCs/>
                <w:color w:val="000000" w:themeColor="text1"/>
                <w:sz w:val="20"/>
                <w:szCs w:val="20"/>
                <w:lang w:eastAsia="cs-CZ"/>
              </w:rPr>
              <w:t>Množství tis. m</w:t>
            </w:r>
            <w:r w:rsidRPr="00E469C2">
              <w:rPr>
                <w:rFonts w:eastAsia="Times New Roman" w:cs="Arial"/>
                <w:b/>
                <w:bCs/>
                <w:color w:val="000000" w:themeColor="text1"/>
                <w:sz w:val="20"/>
                <w:szCs w:val="20"/>
                <w:vertAlign w:val="superscript"/>
                <w:lang w:eastAsia="cs-CZ"/>
              </w:rPr>
              <w:t>3</w:t>
            </w:r>
          </w:p>
        </w:tc>
        <w:tc>
          <w:tcPr>
            <w:tcW w:w="960" w:type="dxa"/>
            <w:shd w:val="clear" w:color="000000" w:fill="D9D9D9"/>
            <w:noWrap/>
            <w:vAlign w:val="center"/>
            <w:hideMark/>
          </w:tcPr>
          <w:p w14:paraId="09F18DB0" w14:textId="77777777" w:rsidR="001E571C" w:rsidRPr="00E469C2" w:rsidRDefault="001E571C" w:rsidP="007C4955">
            <w:pPr>
              <w:contextualSpacing/>
              <w:jc w:val="center"/>
              <w:rPr>
                <w:rFonts w:eastAsia="Times New Roman" w:cs="Arial"/>
                <w:b/>
                <w:bCs/>
                <w:color w:val="000000" w:themeColor="text1"/>
                <w:sz w:val="20"/>
                <w:szCs w:val="20"/>
                <w:lang w:eastAsia="cs-CZ"/>
              </w:rPr>
            </w:pPr>
            <w:r w:rsidRPr="00E469C2">
              <w:rPr>
                <w:rFonts w:eastAsia="Times New Roman" w:cs="Arial"/>
                <w:b/>
                <w:bCs/>
                <w:color w:val="000000" w:themeColor="text1"/>
                <w:sz w:val="20"/>
                <w:szCs w:val="20"/>
                <w:lang w:eastAsia="cs-CZ"/>
              </w:rPr>
              <w:t>Počet</w:t>
            </w:r>
          </w:p>
        </w:tc>
      </w:tr>
      <w:tr w:rsidR="00F919E7" w:rsidRPr="00E469C2" w14:paraId="7046FABF" w14:textId="77777777" w:rsidTr="00ED011A">
        <w:trPr>
          <w:trHeight w:val="300"/>
        </w:trPr>
        <w:tc>
          <w:tcPr>
            <w:tcW w:w="960" w:type="dxa"/>
            <w:noWrap/>
            <w:vAlign w:val="center"/>
            <w:hideMark/>
          </w:tcPr>
          <w:p w14:paraId="1EAA301C" w14:textId="77777777" w:rsidR="00F919E7" w:rsidRPr="00E469C2" w:rsidRDefault="00F919E7" w:rsidP="00F919E7">
            <w:pPr>
              <w:contextualSpacing/>
              <w:rPr>
                <w:rFonts w:eastAsia="Times New Roman" w:cs="Arial"/>
                <w:b/>
                <w:bCs/>
                <w:color w:val="000000" w:themeColor="text1"/>
                <w:sz w:val="20"/>
                <w:szCs w:val="20"/>
                <w:lang w:eastAsia="cs-CZ"/>
              </w:rPr>
            </w:pPr>
            <w:r w:rsidRPr="00E469C2">
              <w:rPr>
                <w:rFonts w:eastAsia="Times New Roman" w:cs="Arial"/>
                <w:b/>
                <w:bCs/>
                <w:color w:val="000000" w:themeColor="text1"/>
                <w:sz w:val="20"/>
                <w:szCs w:val="20"/>
                <w:lang w:eastAsia="cs-CZ"/>
              </w:rPr>
              <w:t>Labe</w:t>
            </w:r>
          </w:p>
        </w:tc>
        <w:tc>
          <w:tcPr>
            <w:tcW w:w="996" w:type="dxa"/>
            <w:shd w:val="clear" w:color="000000" w:fill="FFFFFF"/>
            <w:noWrap/>
          </w:tcPr>
          <w:p w14:paraId="020462FD" w14:textId="58A3CE07" w:rsidR="00F919E7" w:rsidRPr="00E469C2" w:rsidRDefault="00F919E7" w:rsidP="00F919E7">
            <w:pPr>
              <w:contextualSpacing/>
              <w:jc w:val="right"/>
              <w:rPr>
                <w:rFonts w:eastAsia="Times New Roman" w:cs="Arial"/>
                <w:color w:val="000000" w:themeColor="text1"/>
                <w:sz w:val="20"/>
                <w:szCs w:val="20"/>
                <w:lang w:eastAsia="cs-CZ"/>
              </w:rPr>
            </w:pPr>
            <w:r>
              <w:rPr>
                <w:sz w:val="20"/>
              </w:rPr>
              <w:t>10,596</w:t>
            </w:r>
          </w:p>
        </w:tc>
        <w:tc>
          <w:tcPr>
            <w:tcW w:w="960" w:type="dxa"/>
            <w:shd w:val="clear" w:color="000000" w:fill="FFFFFF"/>
            <w:noWrap/>
          </w:tcPr>
          <w:p w14:paraId="7D563BF4" w14:textId="3B2C742F" w:rsidR="00F919E7" w:rsidRPr="00E469C2" w:rsidRDefault="00F919E7" w:rsidP="00F919E7">
            <w:pPr>
              <w:contextualSpacing/>
              <w:jc w:val="right"/>
              <w:rPr>
                <w:rFonts w:eastAsia="Times New Roman" w:cs="Arial"/>
                <w:color w:val="000000" w:themeColor="text1"/>
                <w:sz w:val="20"/>
                <w:szCs w:val="20"/>
                <w:lang w:eastAsia="cs-CZ"/>
              </w:rPr>
            </w:pPr>
            <w:r>
              <w:rPr>
                <w:sz w:val="20"/>
              </w:rPr>
              <w:t>2</w:t>
            </w:r>
          </w:p>
        </w:tc>
      </w:tr>
      <w:tr w:rsidR="00F919E7" w:rsidRPr="00E469C2" w14:paraId="224F58F6" w14:textId="77777777" w:rsidTr="00ED011A">
        <w:trPr>
          <w:trHeight w:val="315"/>
        </w:trPr>
        <w:tc>
          <w:tcPr>
            <w:tcW w:w="960" w:type="dxa"/>
            <w:noWrap/>
            <w:vAlign w:val="center"/>
            <w:hideMark/>
          </w:tcPr>
          <w:p w14:paraId="6E0E72EF" w14:textId="405A1975" w:rsidR="00F919E7" w:rsidRPr="00E469C2" w:rsidRDefault="00F919E7" w:rsidP="00F919E7">
            <w:pPr>
              <w:contextualSpacing/>
              <w:rPr>
                <w:rFonts w:eastAsia="Times New Roman" w:cs="Arial"/>
                <w:b/>
                <w:bCs/>
                <w:color w:val="000000" w:themeColor="text1"/>
                <w:sz w:val="20"/>
                <w:szCs w:val="20"/>
                <w:lang w:eastAsia="cs-CZ"/>
              </w:rPr>
            </w:pPr>
            <w:r w:rsidRPr="00E469C2">
              <w:rPr>
                <w:rFonts w:eastAsia="Times New Roman" w:cs="Arial"/>
                <w:b/>
                <w:bCs/>
                <w:color w:val="000000" w:themeColor="text1"/>
                <w:sz w:val="20"/>
                <w:szCs w:val="20"/>
                <w:lang w:eastAsia="cs-CZ"/>
              </w:rPr>
              <w:t>Vltavy</w:t>
            </w:r>
          </w:p>
        </w:tc>
        <w:tc>
          <w:tcPr>
            <w:tcW w:w="996" w:type="dxa"/>
            <w:shd w:val="clear" w:color="000000" w:fill="FFFFFF"/>
            <w:noWrap/>
          </w:tcPr>
          <w:p w14:paraId="3B5C3D46" w14:textId="39A740DA" w:rsidR="00F919E7" w:rsidRPr="00E469C2" w:rsidRDefault="00F919E7" w:rsidP="00F919E7">
            <w:pPr>
              <w:contextualSpacing/>
              <w:jc w:val="right"/>
              <w:rPr>
                <w:rFonts w:eastAsia="Times New Roman" w:cs="Arial"/>
                <w:color w:val="000000" w:themeColor="text1"/>
                <w:sz w:val="20"/>
                <w:szCs w:val="20"/>
                <w:lang w:eastAsia="cs-CZ"/>
              </w:rPr>
            </w:pPr>
            <w:r>
              <w:rPr>
                <w:sz w:val="20"/>
              </w:rPr>
              <w:t>7,811</w:t>
            </w:r>
          </w:p>
        </w:tc>
        <w:tc>
          <w:tcPr>
            <w:tcW w:w="960" w:type="dxa"/>
            <w:shd w:val="clear" w:color="000000" w:fill="FFFFFF"/>
            <w:noWrap/>
          </w:tcPr>
          <w:p w14:paraId="5CA78969" w14:textId="39E40795" w:rsidR="00F919E7" w:rsidRPr="00E469C2" w:rsidRDefault="00F919E7" w:rsidP="00F919E7">
            <w:pPr>
              <w:contextualSpacing/>
              <w:jc w:val="right"/>
              <w:rPr>
                <w:rFonts w:eastAsia="Times New Roman" w:cs="Arial"/>
                <w:color w:val="000000" w:themeColor="text1"/>
                <w:sz w:val="20"/>
                <w:szCs w:val="20"/>
                <w:lang w:eastAsia="cs-CZ"/>
              </w:rPr>
            </w:pPr>
            <w:r>
              <w:rPr>
                <w:sz w:val="20"/>
              </w:rPr>
              <w:t>2</w:t>
            </w:r>
          </w:p>
        </w:tc>
      </w:tr>
      <w:tr w:rsidR="00F919E7" w:rsidRPr="00E469C2" w14:paraId="25A2BE37" w14:textId="77777777" w:rsidTr="00ED011A">
        <w:trPr>
          <w:trHeight w:val="315"/>
        </w:trPr>
        <w:tc>
          <w:tcPr>
            <w:tcW w:w="960" w:type="dxa"/>
            <w:noWrap/>
            <w:vAlign w:val="center"/>
          </w:tcPr>
          <w:p w14:paraId="15CC4D2B" w14:textId="4FDDBCD3" w:rsidR="00F919E7" w:rsidRPr="00E469C2" w:rsidRDefault="00F919E7" w:rsidP="00F919E7">
            <w:pPr>
              <w:contextualSpacing/>
              <w:rPr>
                <w:rFonts w:eastAsia="Times New Roman" w:cs="Arial"/>
                <w:b/>
                <w:bCs/>
                <w:color w:val="000000" w:themeColor="text1"/>
                <w:sz w:val="20"/>
                <w:szCs w:val="20"/>
                <w:lang w:eastAsia="cs-CZ"/>
              </w:rPr>
            </w:pPr>
            <w:r w:rsidRPr="00E469C2">
              <w:rPr>
                <w:rFonts w:eastAsia="Times New Roman" w:cs="Arial"/>
                <w:b/>
                <w:bCs/>
                <w:color w:val="000000" w:themeColor="text1"/>
                <w:sz w:val="20"/>
                <w:szCs w:val="20"/>
                <w:lang w:eastAsia="cs-CZ"/>
              </w:rPr>
              <w:t>Morava</w:t>
            </w:r>
          </w:p>
        </w:tc>
        <w:tc>
          <w:tcPr>
            <w:tcW w:w="996" w:type="dxa"/>
            <w:shd w:val="clear" w:color="000000" w:fill="FFFFFF"/>
            <w:noWrap/>
          </w:tcPr>
          <w:p w14:paraId="59B92E0E" w14:textId="33E1EA87" w:rsidR="00F919E7" w:rsidRPr="00E469C2" w:rsidRDefault="00F919E7" w:rsidP="00F919E7">
            <w:pPr>
              <w:contextualSpacing/>
              <w:jc w:val="right"/>
              <w:rPr>
                <w:color w:val="000000" w:themeColor="text1"/>
                <w:sz w:val="20"/>
              </w:rPr>
            </w:pPr>
            <w:r>
              <w:rPr>
                <w:sz w:val="20"/>
              </w:rPr>
              <w:t>3,746</w:t>
            </w:r>
          </w:p>
        </w:tc>
        <w:tc>
          <w:tcPr>
            <w:tcW w:w="960" w:type="dxa"/>
            <w:shd w:val="clear" w:color="000000" w:fill="FFFFFF"/>
            <w:noWrap/>
          </w:tcPr>
          <w:p w14:paraId="3028BB35" w14:textId="7AB8347F" w:rsidR="00F919E7" w:rsidRPr="00E469C2" w:rsidRDefault="00F919E7" w:rsidP="00F919E7">
            <w:pPr>
              <w:contextualSpacing/>
              <w:jc w:val="right"/>
              <w:rPr>
                <w:color w:val="000000" w:themeColor="text1"/>
                <w:sz w:val="20"/>
              </w:rPr>
            </w:pPr>
            <w:r>
              <w:rPr>
                <w:sz w:val="20"/>
              </w:rPr>
              <w:t>1</w:t>
            </w:r>
          </w:p>
        </w:tc>
      </w:tr>
      <w:tr w:rsidR="00F919E7" w:rsidRPr="00E469C2" w14:paraId="5B424378" w14:textId="77777777" w:rsidTr="00EC1043">
        <w:trPr>
          <w:trHeight w:val="315"/>
        </w:trPr>
        <w:tc>
          <w:tcPr>
            <w:tcW w:w="960" w:type="dxa"/>
            <w:shd w:val="clear" w:color="000000" w:fill="D9D9D9"/>
            <w:noWrap/>
            <w:vAlign w:val="center"/>
            <w:hideMark/>
          </w:tcPr>
          <w:p w14:paraId="5914AAB6" w14:textId="77777777" w:rsidR="00F919E7" w:rsidRPr="00E469C2" w:rsidRDefault="00F919E7" w:rsidP="00F919E7">
            <w:pPr>
              <w:contextualSpacing/>
              <w:rPr>
                <w:rFonts w:eastAsia="Times New Roman" w:cs="Arial"/>
                <w:b/>
                <w:bCs/>
                <w:color w:val="000000" w:themeColor="text1"/>
                <w:sz w:val="20"/>
                <w:szCs w:val="20"/>
                <w:lang w:eastAsia="cs-CZ"/>
              </w:rPr>
            </w:pPr>
            <w:r w:rsidRPr="00E469C2">
              <w:rPr>
                <w:rFonts w:eastAsia="Times New Roman" w:cs="Arial"/>
                <w:b/>
                <w:bCs/>
                <w:color w:val="000000" w:themeColor="text1"/>
                <w:sz w:val="20"/>
                <w:szCs w:val="20"/>
                <w:lang w:eastAsia="cs-CZ"/>
              </w:rPr>
              <w:t>Celkem</w:t>
            </w:r>
          </w:p>
        </w:tc>
        <w:tc>
          <w:tcPr>
            <w:tcW w:w="996" w:type="dxa"/>
            <w:shd w:val="clear" w:color="auto" w:fill="D9D9D9"/>
            <w:noWrap/>
          </w:tcPr>
          <w:p w14:paraId="08E5DDB0" w14:textId="5984B349" w:rsidR="00F919E7" w:rsidRPr="00E469C2" w:rsidRDefault="00F919E7" w:rsidP="00F919E7">
            <w:pPr>
              <w:contextualSpacing/>
              <w:jc w:val="right"/>
              <w:rPr>
                <w:rFonts w:eastAsia="Times New Roman" w:cs="Arial"/>
                <w:b/>
                <w:bCs/>
                <w:color w:val="000000" w:themeColor="text1"/>
                <w:sz w:val="20"/>
                <w:szCs w:val="20"/>
                <w:lang w:eastAsia="cs-CZ"/>
              </w:rPr>
            </w:pPr>
            <w:r>
              <w:rPr>
                <w:b/>
                <w:sz w:val="20"/>
              </w:rPr>
              <w:t>22,153</w:t>
            </w:r>
          </w:p>
        </w:tc>
        <w:tc>
          <w:tcPr>
            <w:tcW w:w="960" w:type="dxa"/>
            <w:shd w:val="clear" w:color="auto" w:fill="D9D9D9"/>
            <w:noWrap/>
          </w:tcPr>
          <w:p w14:paraId="75766D0B" w14:textId="4B378F64" w:rsidR="00F919E7" w:rsidRPr="00E469C2" w:rsidRDefault="00F919E7" w:rsidP="00F919E7">
            <w:pPr>
              <w:contextualSpacing/>
              <w:jc w:val="right"/>
              <w:rPr>
                <w:rFonts w:eastAsia="Times New Roman" w:cs="Arial"/>
                <w:b/>
                <w:bCs/>
                <w:color w:val="000000" w:themeColor="text1"/>
                <w:sz w:val="20"/>
                <w:szCs w:val="20"/>
                <w:lang w:eastAsia="cs-CZ"/>
              </w:rPr>
            </w:pPr>
            <w:r>
              <w:rPr>
                <w:b/>
                <w:sz w:val="20"/>
              </w:rPr>
              <w:t>5</w:t>
            </w:r>
          </w:p>
        </w:tc>
      </w:tr>
    </w:tbl>
    <w:p w14:paraId="182331D5" w14:textId="77777777" w:rsidR="007557A9" w:rsidRPr="00E469C2" w:rsidRDefault="007557A9" w:rsidP="007C4955">
      <w:pPr>
        <w:contextualSpacing/>
        <w:rPr>
          <w:i/>
          <w:color w:val="000000" w:themeColor="text1"/>
          <w:sz w:val="20"/>
          <w:szCs w:val="20"/>
        </w:rPr>
      </w:pPr>
      <w:r w:rsidRPr="00E469C2">
        <w:rPr>
          <w:i/>
          <w:color w:val="000000" w:themeColor="text1"/>
          <w:sz w:val="20"/>
          <w:szCs w:val="20"/>
        </w:rPr>
        <w:t>Pramen: VÚV TGM z podkladů s. p. Povodí</w:t>
      </w:r>
    </w:p>
    <w:p w14:paraId="193B66B0" w14:textId="7066AE35" w:rsidR="007557A9" w:rsidRPr="00E469C2" w:rsidRDefault="001E571C" w:rsidP="007C4955">
      <w:pPr>
        <w:ind w:left="709" w:hanging="709"/>
        <w:contextualSpacing/>
        <w:rPr>
          <w:rFonts w:eastAsia="Times New Roman" w:cs="Arial"/>
          <w:i/>
          <w:color w:val="000000" w:themeColor="text1"/>
          <w:sz w:val="20"/>
          <w:szCs w:val="20"/>
          <w:lang w:eastAsia="cs-CZ"/>
        </w:rPr>
      </w:pPr>
      <w:bookmarkStart w:id="33" w:name="_Hlk135299407"/>
      <w:r w:rsidRPr="00E469C2">
        <w:rPr>
          <w:rFonts w:eastAsia="Times New Roman" w:cs="Arial"/>
          <w:i/>
          <w:color w:val="000000" w:themeColor="text1"/>
          <w:sz w:val="20"/>
          <w:szCs w:val="20"/>
          <w:lang w:eastAsia="cs-CZ"/>
        </w:rPr>
        <w:t xml:space="preserve">Pozn.: </w:t>
      </w:r>
      <w:r w:rsidR="007557A9" w:rsidRPr="00E469C2">
        <w:rPr>
          <w:rFonts w:eastAsia="Times New Roman" w:cs="Arial"/>
          <w:i/>
          <w:color w:val="000000" w:themeColor="text1"/>
          <w:sz w:val="20"/>
          <w:szCs w:val="20"/>
          <w:vertAlign w:val="superscript"/>
          <w:lang w:eastAsia="cs-CZ"/>
        </w:rPr>
        <w:t>*</w:t>
      </w:r>
      <w:r w:rsidRPr="00E469C2">
        <w:rPr>
          <w:rFonts w:eastAsia="Times New Roman" w:cs="Arial"/>
          <w:i/>
          <w:color w:val="000000" w:themeColor="text1"/>
          <w:sz w:val="20"/>
          <w:szCs w:val="20"/>
          <w:vertAlign w:val="superscript"/>
          <w:lang w:eastAsia="cs-CZ"/>
        </w:rPr>
        <w:t>)</w:t>
      </w:r>
      <w:r w:rsidR="007557A9" w:rsidRPr="00E469C2">
        <w:rPr>
          <w:rFonts w:eastAsia="Times New Roman" w:cs="Arial"/>
          <w:i/>
          <w:color w:val="000000" w:themeColor="text1"/>
          <w:sz w:val="20"/>
          <w:szCs w:val="20"/>
          <w:lang w:eastAsia="cs-CZ"/>
        </w:rPr>
        <w:t xml:space="preserve"> </w:t>
      </w:r>
      <w:r w:rsidR="0089223F" w:rsidRPr="00E469C2">
        <w:rPr>
          <w:i/>
          <w:color w:val="000000" w:themeColor="text1"/>
          <w:sz w:val="20"/>
          <w:szCs w:val="20"/>
        </w:rPr>
        <w:t xml:space="preserve">Zjištěno dle interního kódu </w:t>
      </w:r>
      <w:r w:rsidR="005711AA" w:rsidRPr="00E469C2">
        <w:rPr>
          <w:i/>
          <w:color w:val="000000" w:themeColor="text1"/>
          <w:sz w:val="20"/>
          <w:szCs w:val="20"/>
        </w:rPr>
        <w:t>VHB „</w:t>
      </w:r>
      <w:r w:rsidR="0089223F" w:rsidRPr="00E469C2">
        <w:rPr>
          <w:i/>
          <w:color w:val="000000" w:themeColor="text1"/>
          <w:sz w:val="20"/>
          <w:szCs w:val="20"/>
        </w:rPr>
        <w:t xml:space="preserve">410 - zasněžování technickým sněhem", který používají </w:t>
      </w:r>
      <w:r w:rsidR="00ED3F1B" w:rsidRPr="00E469C2">
        <w:rPr>
          <w:i/>
          <w:color w:val="000000" w:themeColor="text1"/>
          <w:sz w:val="20"/>
          <w:szCs w:val="20"/>
        </w:rPr>
        <w:t>s. p.</w:t>
      </w:r>
      <w:r w:rsidR="0089223F" w:rsidRPr="00E469C2">
        <w:rPr>
          <w:i/>
          <w:color w:val="000000" w:themeColor="text1"/>
          <w:sz w:val="20"/>
          <w:szCs w:val="20"/>
        </w:rPr>
        <w:t xml:space="preserve"> Povodí nebo dle názvu odběru</w:t>
      </w:r>
      <w:r w:rsidR="0089223F" w:rsidRPr="00E469C2" w:rsidDel="0089223F">
        <w:rPr>
          <w:rFonts w:eastAsia="Times New Roman" w:cs="Arial"/>
          <w:i/>
          <w:color w:val="000000" w:themeColor="text1"/>
          <w:sz w:val="20"/>
          <w:szCs w:val="20"/>
          <w:lang w:eastAsia="cs-CZ"/>
        </w:rPr>
        <w:t xml:space="preserve"> </w:t>
      </w:r>
      <w:r w:rsidR="005711AA" w:rsidRPr="00E469C2">
        <w:rPr>
          <w:rFonts w:eastAsia="Times New Roman" w:cs="Arial"/>
          <w:i/>
          <w:color w:val="000000" w:themeColor="text1"/>
          <w:sz w:val="20"/>
          <w:szCs w:val="20"/>
          <w:lang w:eastAsia="cs-CZ"/>
        </w:rPr>
        <w:t xml:space="preserve"> </w:t>
      </w:r>
    </w:p>
    <w:bookmarkEnd w:id="33"/>
    <w:p w14:paraId="16DF2B28" w14:textId="77777777" w:rsidR="00ED011A" w:rsidRPr="00D367F4" w:rsidRDefault="00ED011A" w:rsidP="007C4955">
      <w:pPr>
        <w:ind w:left="709" w:hanging="709"/>
        <w:contextualSpacing/>
        <w:rPr>
          <w:b/>
          <w:i/>
          <w:color w:val="000000" w:themeColor="text1"/>
          <w:sz w:val="20"/>
          <w:szCs w:val="20"/>
        </w:rPr>
      </w:pPr>
    </w:p>
    <w:p w14:paraId="0A87605F" w14:textId="77777777" w:rsidR="004F69B3" w:rsidRPr="00D367F4" w:rsidRDefault="004F69B3">
      <w:pPr>
        <w:pStyle w:val="Nadpis2"/>
        <w:numPr>
          <w:ilvl w:val="1"/>
          <w:numId w:val="13"/>
        </w:numPr>
        <w:spacing w:before="0"/>
        <w:contextualSpacing/>
        <w:rPr>
          <w:color w:val="000000" w:themeColor="text1"/>
        </w:rPr>
      </w:pPr>
      <w:bookmarkStart w:id="34" w:name="_Toc10183413"/>
      <w:bookmarkStart w:id="35" w:name="_Toc236991617"/>
      <w:r w:rsidRPr="00D367F4">
        <w:rPr>
          <w:color w:val="000000" w:themeColor="text1"/>
        </w:rPr>
        <w:t>Vypouštění odpadních vod</w:t>
      </w:r>
      <w:bookmarkEnd w:id="34"/>
      <w:bookmarkEnd w:id="35"/>
    </w:p>
    <w:p w14:paraId="59F227E9" w14:textId="77777777" w:rsidR="000719AC" w:rsidRPr="00104F7D" w:rsidRDefault="000719AC" w:rsidP="000719AC">
      <w:pPr>
        <w:rPr>
          <w:b/>
          <w:bCs/>
          <w:highlight w:val="yellow"/>
        </w:rPr>
      </w:pPr>
    </w:p>
    <w:p w14:paraId="5E2E0AEC" w14:textId="77777777" w:rsidR="000350C1" w:rsidRPr="0088065F" w:rsidRDefault="000350C1" w:rsidP="000350C1">
      <w:pPr>
        <w:tabs>
          <w:tab w:val="left" w:pos="5103"/>
        </w:tabs>
        <w:contextualSpacing/>
        <w:rPr>
          <w:b/>
          <w:bCs/>
        </w:rPr>
      </w:pPr>
      <w:r w:rsidRPr="0088065F">
        <w:rPr>
          <w:b/>
          <w:bCs/>
        </w:rPr>
        <w:t>V roce 2025 bylo do vodních toků vypuštěno 1 235,1 mil. m³ odpadních a důlních vod, což představuje meziroční pokles o přibližně 15,7 % oproti roku 2024.</w:t>
      </w:r>
    </w:p>
    <w:p w14:paraId="6CD02F4C" w14:textId="77777777" w:rsidR="000350C1" w:rsidRDefault="000350C1" w:rsidP="000350C1">
      <w:pPr>
        <w:tabs>
          <w:tab w:val="left" w:pos="5103"/>
        </w:tabs>
        <w:contextualSpacing/>
      </w:pPr>
    </w:p>
    <w:p w14:paraId="2765E317" w14:textId="6D915B6F" w:rsidR="000350C1" w:rsidRPr="000350C1" w:rsidRDefault="000350C1" w:rsidP="000350C1">
      <w:pPr>
        <w:tabs>
          <w:tab w:val="left" w:pos="5103"/>
        </w:tabs>
        <w:contextualSpacing/>
      </w:pPr>
      <w:r w:rsidRPr="000350C1">
        <w:t xml:space="preserve">Podobně jako v předchozích letech </w:t>
      </w:r>
      <w:r w:rsidR="0088065F" w:rsidRPr="000350C1">
        <w:t>nebyly s</w:t>
      </w:r>
      <w:r w:rsidRPr="000350C1">
        <w:t xml:space="preserve"> ohledem na sjednocení údajů jednotlivých státních podniků </w:t>
      </w:r>
      <w:r w:rsidR="0088065F" w:rsidRPr="000350C1">
        <w:t>Povodí do</w:t>
      </w:r>
      <w:r w:rsidRPr="000350C1">
        <w:t xml:space="preserve"> celkového objemu zahrnuty vody vypouštěné z rybničních soustav.</w:t>
      </w:r>
    </w:p>
    <w:p w14:paraId="40C8AA97" w14:textId="77777777" w:rsidR="000350C1" w:rsidRDefault="000350C1" w:rsidP="000350C1">
      <w:pPr>
        <w:tabs>
          <w:tab w:val="left" w:pos="5103"/>
        </w:tabs>
        <w:contextualSpacing/>
      </w:pPr>
    </w:p>
    <w:p w14:paraId="0AC5BDA7" w14:textId="09B35B77" w:rsidR="000350C1" w:rsidRPr="000350C1" w:rsidRDefault="000350C1" w:rsidP="000350C1">
      <w:pPr>
        <w:tabs>
          <w:tab w:val="left" w:pos="5103"/>
        </w:tabs>
        <w:contextualSpacing/>
      </w:pPr>
      <w:r w:rsidRPr="000350C1">
        <w:t>K nárůstu množství vypouštěných vod v roce 2025 došlo pouze v kategorii zemědělství (o 27,4 %, tj. o 0,5 mil. m³). Ke snížení vypouštěného množství odpadních a důlních vod oproti roku 2024 došlo zejména v kategoriích energetika (o 27,6 %, tj. o 78,1 mil. m³), kanalizace pro veřejnou potřebu (o 12,7 %, tj. o 115,5 mil. m³), průmysl (o 13,5 %, tj. o 29,9 mil. m³) a ostatní včetně stavebnictví (o 13,3 %, tj. o 6,3 mil. m³).</w:t>
      </w:r>
    </w:p>
    <w:p w14:paraId="76970276" w14:textId="77777777" w:rsidR="0088065F" w:rsidRDefault="0088065F" w:rsidP="000350C1">
      <w:pPr>
        <w:tabs>
          <w:tab w:val="left" w:pos="5103"/>
        </w:tabs>
        <w:contextualSpacing/>
      </w:pPr>
    </w:p>
    <w:p w14:paraId="5F097068" w14:textId="20945BEB" w:rsidR="000350C1" w:rsidRPr="000350C1" w:rsidRDefault="000350C1" w:rsidP="000350C1">
      <w:pPr>
        <w:tabs>
          <w:tab w:val="left" w:pos="5103"/>
        </w:tabs>
        <w:contextualSpacing/>
      </w:pPr>
      <w:r w:rsidRPr="000350C1">
        <w:t xml:space="preserve">Z hlediska územní působnosti státních podniků Povodí došlo ke snížení vypouštěného množství ve všech územních působnostech. Nejvýraznější pokles byl zaznamenán u Povodí Moravy (o 27,6 %) </w:t>
      </w:r>
      <w:r w:rsidRPr="000350C1">
        <w:lastRenderedPageBreak/>
        <w:t>a Povodí Ohře (o 21,8 %), dále u Povodí Vltavy (o 11,2 %), Povodí Labe (o 10,2 %) a Povodí Odry (o 7,1 %).</w:t>
      </w:r>
    </w:p>
    <w:p w14:paraId="185C7EC2" w14:textId="77777777" w:rsidR="0088065F" w:rsidRDefault="0088065F" w:rsidP="000350C1">
      <w:pPr>
        <w:tabs>
          <w:tab w:val="left" w:pos="5103"/>
        </w:tabs>
        <w:contextualSpacing/>
      </w:pPr>
    </w:p>
    <w:p w14:paraId="082A1D3A" w14:textId="143C161E" w:rsidR="000350C1" w:rsidRPr="000350C1" w:rsidRDefault="00C30F80" w:rsidP="000350C1">
      <w:pPr>
        <w:tabs>
          <w:tab w:val="left" w:pos="5103"/>
        </w:tabs>
        <w:contextualSpacing/>
      </w:pPr>
      <w:r w:rsidRPr="00196E21">
        <w:t>Pokles vypouštění v kategorii energetika v územní působnosti Povodí Moravy byl ovlivněn metodickou úpravou vykazování vod</w:t>
      </w:r>
      <w:r w:rsidR="00E27E19" w:rsidRPr="00196E21">
        <w:t xml:space="preserve"> od roku 2023</w:t>
      </w:r>
      <w:r w:rsidRPr="00196E21">
        <w:t xml:space="preserve"> převáděných přes Elektrárnu Hodonín do tzv. Teplého járku</w:t>
      </w:r>
      <w:r w:rsidR="00E27E19" w:rsidRPr="00196E21">
        <w:t xml:space="preserve"> ve vodohospodářské bilanci</w:t>
      </w:r>
      <w:r w:rsidRPr="00196E21">
        <w:t xml:space="preserve">, které byly za rok 2025 </w:t>
      </w:r>
      <w:r w:rsidR="00913D81" w:rsidRPr="00196E21">
        <w:t xml:space="preserve">nově </w:t>
      </w:r>
      <w:r w:rsidRPr="00196E21">
        <w:t>vykázány podle faktického způsobu využití jako převod vody.</w:t>
      </w:r>
      <w:r w:rsidR="000350C1" w:rsidRPr="000350C1">
        <w:t xml:space="preserve"> </w:t>
      </w:r>
      <w:r w:rsidR="00675399">
        <w:t>V</w:t>
      </w:r>
      <w:r w:rsidR="00675399" w:rsidRPr="000350C1">
        <w:t xml:space="preserve"> územní působnosti Povodí Labe </w:t>
      </w:r>
      <w:r w:rsidR="005977D9">
        <w:t xml:space="preserve">byl pokles vypouštění způsoben </w:t>
      </w:r>
      <w:r w:rsidR="000350C1" w:rsidRPr="000350C1">
        <w:t>nižšími objemy u energetických zdrojů. V územní působnosti Povodí Ohře byl pokles vypouštěných vod způsoben zejména nižším množstvím srážkových vod. Největší poklesy byly vykázány v kategorii důlních vod, kde se vedle hydrologických podmínek projevuje také postupný útlum těžby hnědého uhlí a snižování čerpání důlních vod.</w:t>
      </w:r>
    </w:p>
    <w:p w14:paraId="1843C130" w14:textId="77777777" w:rsidR="0088065F" w:rsidRDefault="0088065F" w:rsidP="000350C1">
      <w:pPr>
        <w:tabs>
          <w:tab w:val="left" w:pos="5103"/>
        </w:tabs>
        <w:contextualSpacing/>
      </w:pPr>
    </w:p>
    <w:p w14:paraId="52AFEC92" w14:textId="2F778C07" w:rsidR="000350C1" w:rsidRPr="000350C1" w:rsidRDefault="000350C1" w:rsidP="000350C1">
      <w:pPr>
        <w:tabs>
          <w:tab w:val="left" w:pos="5103"/>
        </w:tabs>
        <w:contextualSpacing/>
      </w:pPr>
      <w:r w:rsidRPr="000350C1">
        <w:t xml:space="preserve">Z dlouhodobého vývoje vypouštění odpadních a důlních vod je zřejmý pokles evidovaného vypouštění. V posledních letech je to dáno především snížením odběrů povrchové vody pro energetiku, dále také systémem vykazování vypouštění, kdy dříve převažovaly volné výusti přímo do povrchové vody bez napojení na ČOV a vypouštění se většinou odhadovalo z fakturované spotřeby vody. Postupným odkanalizováním území, výstavbou nových ČOV s přesným měřením vypouštěného množství vody a přijetím nového zákona o vodách v roce 2001 dochází ke zpřesnění vykazovaného množství vypouštěných vod. </w:t>
      </w:r>
    </w:p>
    <w:p w14:paraId="7641E791" w14:textId="77777777" w:rsidR="0088065F" w:rsidRDefault="0088065F" w:rsidP="000350C1">
      <w:pPr>
        <w:tabs>
          <w:tab w:val="left" w:pos="5103"/>
        </w:tabs>
        <w:contextualSpacing/>
      </w:pPr>
    </w:p>
    <w:p w14:paraId="42138736" w14:textId="7A56FD57" w:rsidR="000350C1" w:rsidRPr="000350C1" w:rsidRDefault="000350C1" w:rsidP="000350C1">
      <w:pPr>
        <w:tabs>
          <w:tab w:val="left" w:pos="5103"/>
        </w:tabs>
        <w:contextualSpacing/>
      </w:pPr>
      <w:r w:rsidRPr="000350C1">
        <w:t>V roce 2025 bylo zaznamenáno další snížení množství vypouštěných odpadních a důlních vod, a to na 1 235,1 mil. m³. Jedná se o nejnižší hodnotu ve sledované časové řadě.</w:t>
      </w:r>
    </w:p>
    <w:p w14:paraId="30A41604" w14:textId="77777777" w:rsidR="000719AC" w:rsidRPr="00104F7D" w:rsidRDefault="000719AC" w:rsidP="007C4955">
      <w:pPr>
        <w:tabs>
          <w:tab w:val="left" w:pos="5103"/>
        </w:tabs>
        <w:contextualSpacing/>
        <w:rPr>
          <w:b/>
          <w:i/>
          <w:highlight w:val="yellow"/>
        </w:rPr>
      </w:pPr>
    </w:p>
    <w:p w14:paraId="6796E9CE" w14:textId="45C4F97D" w:rsidR="00960D37" w:rsidRPr="007027A0" w:rsidRDefault="00960D37" w:rsidP="007C4955">
      <w:pPr>
        <w:tabs>
          <w:tab w:val="left" w:pos="5103"/>
        </w:tabs>
        <w:contextualSpacing/>
        <w:rPr>
          <w:b/>
          <w:i/>
        </w:rPr>
      </w:pPr>
      <w:r w:rsidRPr="007027A0">
        <w:rPr>
          <w:b/>
          <w:i/>
        </w:rPr>
        <w:t>Tabulka 4.3.1</w:t>
      </w:r>
    </w:p>
    <w:p w14:paraId="048C1644" w14:textId="36516775" w:rsidR="003B26A4" w:rsidRPr="007027A0" w:rsidRDefault="00960D37" w:rsidP="007C4955">
      <w:pPr>
        <w:contextualSpacing/>
        <w:rPr>
          <w:b/>
          <w:i/>
        </w:rPr>
      </w:pPr>
      <w:r w:rsidRPr="007027A0">
        <w:rPr>
          <w:b/>
          <w:i/>
        </w:rPr>
        <w:t xml:space="preserve">Vypouštění odpadních a důlních vod do vod povrchových </w:t>
      </w:r>
      <w:r w:rsidR="00D610DD" w:rsidRPr="007027A0">
        <w:rPr>
          <w:b/>
          <w:i/>
        </w:rPr>
        <w:t>(mil. m</w:t>
      </w:r>
      <w:r w:rsidR="00D610DD" w:rsidRPr="007027A0">
        <w:rPr>
          <w:b/>
          <w:i/>
          <w:vertAlign w:val="superscript"/>
        </w:rPr>
        <w:t>3</w:t>
      </w:r>
      <w:r w:rsidR="00D610DD" w:rsidRPr="007027A0">
        <w:rPr>
          <w:b/>
          <w:i/>
        </w:rPr>
        <w:t>)</w:t>
      </w:r>
      <w:r w:rsidRPr="007027A0">
        <w:rPr>
          <w:b/>
          <w:i/>
        </w:rPr>
        <w:t xml:space="preserve"> u zdrojů nad </w:t>
      </w:r>
      <w:r w:rsidR="001411FE" w:rsidRPr="007027A0">
        <w:rPr>
          <w:b/>
          <w:i/>
        </w:rPr>
        <w:t>6 000 </w:t>
      </w:r>
      <w:r w:rsidRPr="007027A0">
        <w:rPr>
          <w:b/>
          <w:i/>
        </w:rPr>
        <w:t>m</w:t>
      </w:r>
      <w:r w:rsidRPr="007027A0">
        <w:rPr>
          <w:b/>
          <w:i/>
          <w:vertAlign w:val="superscript"/>
        </w:rPr>
        <w:t>3</w:t>
      </w:r>
      <w:r w:rsidRPr="007027A0">
        <w:rPr>
          <w:b/>
          <w:i/>
        </w:rPr>
        <w:t>/rok nebo 500 m</w:t>
      </w:r>
      <w:r w:rsidRPr="007027A0">
        <w:rPr>
          <w:b/>
          <w:i/>
          <w:vertAlign w:val="superscript"/>
        </w:rPr>
        <w:t>3</w:t>
      </w:r>
      <w:r w:rsidRPr="007027A0">
        <w:rPr>
          <w:b/>
          <w:i/>
        </w:rPr>
        <w:t>/měsíc v </w:t>
      </w:r>
      <w:r w:rsidR="00D610DD" w:rsidRPr="007027A0">
        <w:rPr>
          <w:b/>
          <w:i/>
        </w:rPr>
        <w:t>roce 20</w:t>
      </w:r>
      <w:r w:rsidR="009B2BD2" w:rsidRPr="007027A0">
        <w:rPr>
          <w:b/>
          <w:i/>
        </w:rPr>
        <w:t>2</w:t>
      </w:r>
      <w:r w:rsidR="00414288">
        <w:rPr>
          <w:b/>
          <w:i/>
        </w:rPr>
        <w:t>5</w:t>
      </w:r>
    </w:p>
    <w:tbl>
      <w:tblPr>
        <w:tblW w:w="10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03"/>
        <w:gridCol w:w="748"/>
        <w:gridCol w:w="748"/>
        <w:gridCol w:w="748"/>
        <w:gridCol w:w="748"/>
        <w:gridCol w:w="748"/>
        <w:gridCol w:w="749"/>
        <w:gridCol w:w="748"/>
        <w:gridCol w:w="748"/>
        <w:gridCol w:w="748"/>
        <w:gridCol w:w="748"/>
        <w:gridCol w:w="868"/>
        <w:gridCol w:w="851"/>
      </w:tblGrid>
      <w:tr w:rsidR="00653A52" w:rsidRPr="00104F7D" w14:paraId="3B371FA2" w14:textId="77777777" w:rsidTr="00FF00CA">
        <w:trPr>
          <w:cantSplit/>
          <w:trHeight w:val="657"/>
          <w:jc w:val="center"/>
        </w:trPr>
        <w:tc>
          <w:tcPr>
            <w:tcW w:w="803" w:type="dxa"/>
            <w:vMerge w:val="restart"/>
            <w:shd w:val="clear" w:color="auto" w:fill="D9D9D9"/>
            <w:vAlign w:val="center"/>
          </w:tcPr>
          <w:p w14:paraId="0FE2D01D" w14:textId="22B14E06" w:rsidR="00960D37" w:rsidRPr="00B26296" w:rsidRDefault="008C2E1C" w:rsidP="007C4955">
            <w:pPr>
              <w:contextualSpacing/>
              <w:jc w:val="center"/>
              <w:rPr>
                <w:rFonts w:cs="Arial"/>
                <w:b/>
                <w:bCs/>
                <w:sz w:val="16"/>
                <w:szCs w:val="16"/>
              </w:rPr>
            </w:pPr>
            <w:r w:rsidRPr="00B26296">
              <w:rPr>
                <w:rFonts w:cs="Arial"/>
                <w:b/>
                <w:bCs/>
                <w:sz w:val="16"/>
                <w:szCs w:val="16"/>
              </w:rPr>
              <w:t>Státní podnik</w:t>
            </w:r>
            <w:r w:rsidR="00960D37" w:rsidRPr="00B26296">
              <w:rPr>
                <w:rFonts w:cs="Arial"/>
                <w:b/>
                <w:bCs/>
                <w:sz w:val="16"/>
                <w:szCs w:val="16"/>
              </w:rPr>
              <w:br/>
              <w:t>Povodí</w:t>
            </w:r>
          </w:p>
        </w:tc>
        <w:tc>
          <w:tcPr>
            <w:tcW w:w="1496" w:type="dxa"/>
            <w:gridSpan w:val="2"/>
            <w:shd w:val="clear" w:color="auto" w:fill="D9D9D9"/>
            <w:vAlign w:val="center"/>
          </w:tcPr>
          <w:p w14:paraId="0B56B0EB" w14:textId="77777777" w:rsidR="00960D37" w:rsidRPr="00B26296" w:rsidRDefault="00960D37" w:rsidP="007C4955">
            <w:pPr>
              <w:contextualSpacing/>
              <w:jc w:val="center"/>
              <w:rPr>
                <w:rFonts w:cs="Arial"/>
                <w:b/>
                <w:bCs/>
                <w:sz w:val="16"/>
                <w:szCs w:val="16"/>
              </w:rPr>
            </w:pPr>
            <w:r w:rsidRPr="00B26296">
              <w:rPr>
                <w:rFonts w:cs="Arial"/>
                <w:b/>
                <w:bCs/>
                <w:sz w:val="16"/>
                <w:szCs w:val="16"/>
              </w:rPr>
              <w:t>Kanalizace pro veř. potřebu</w:t>
            </w:r>
          </w:p>
        </w:tc>
        <w:tc>
          <w:tcPr>
            <w:tcW w:w="1496" w:type="dxa"/>
            <w:gridSpan w:val="2"/>
            <w:shd w:val="clear" w:color="auto" w:fill="D9D9D9"/>
            <w:vAlign w:val="center"/>
          </w:tcPr>
          <w:p w14:paraId="17CDECAF" w14:textId="77777777" w:rsidR="00960D37" w:rsidRPr="00B26296" w:rsidRDefault="00960D37" w:rsidP="007C4955">
            <w:pPr>
              <w:contextualSpacing/>
              <w:jc w:val="center"/>
              <w:rPr>
                <w:rFonts w:cs="Arial"/>
                <w:b/>
                <w:bCs/>
                <w:sz w:val="16"/>
                <w:szCs w:val="16"/>
              </w:rPr>
            </w:pPr>
            <w:r w:rsidRPr="00B26296">
              <w:rPr>
                <w:rFonts w:cs="Arial"/>
                <w:b/>
                <w:bCs/>
                <w:sz w:val="16"/>
                <w:szCs w:val="16"/>
              </w:rPr>
              <w:t>Zemědělství vč. závlah</w:t>
            </w:r>
          </w:p>
        </w:tc>
        <w:tc>
          <w:tcPr>
            <w:tcW w:w="1497" w:type="dxa"/>
            <w:gridSpan w:val="2"/>
            <w:shd w:val="clear" w:color="auto" w:fill="D9D9D9"/>
            <w:vAlign w:val="center"/>
          </w:tcPr>
          <w:p w14:paraId="51FDA9B9" w14:textId="77777777" w:rsidR="00960D37" w:rsidRPr="00B26296" w:rsidRDefault="00960D37" w:rsidP="007C4955">
            <w:pPr>
              <w:contextualSpacing/>
              <w:jc w:val="center"/>
              <w:rPr>
                <w:rFonts w:cs="Arial"/>
                <w:b/>
                <w:bCs/>
                <w:sz w:val="16"/>
                <w:szCs w:val="16"/>
              </w:rPr>
            </w:pPr>
            <w:r w:rsidRPr="00B26296">
              <w:rPr>
                <w:rFonts w:cs="Arial"/>
                <w:b/>
                <w:bCs/>
                <w:sz w:val="16"/>
                <w:szCs w:val="16"/>
              </w:rPr>
              <w:t>Energetika</w:t>
            </w:r>
          </w:p>
        </w:tc>
        <w:tc>
          <w:tcPr>
            <w:tcW w:w="1496" w:type="dxa"/>
            <w:gridSpan w:val="2"/>
            <w:shd w:val="clear" w:color="auto" w:fill="D9D9D9"/>
            <w:vAlign w:val="center"/>
          </w:tcPr>
          <w:p w14:paraId="0B65083C" w14:textId="77777777" w:rsidR="00960D37" w:rsidRPr="00B26296" w:rsidRDefault="00960D37" w:rsidP="007C4955">
            <w:pPr>
              <w:contextualSpacing/>
              <w:jc w:val="center"/>
              <w:rPr>
                <w:rFonts w:cs="Arial"/>
                <w:b/>
                <w:bCs/>
                <w:sz w:val="16"/>
                <w:szCs w:val="16"/>
              </w:rPr>
            </w:pPr>
            <w:r w:rsidRPr="00B26296">
              <w:rPr>
                <w:rFonts w:cs="Arial"/>
                <w:b/>
                <w:bCs/>
                <w:sz w:val="16"/>
                <w:szCs w:val="16"/>
              </w:rPr>
              <w:t>Průmysl vč. dobývání</w:t>
            </w:r>
          </w:p>
        </w:tc>
        <w:tc>
          <w:tcPr>
            <w:tcW w:w="1496" w:type="dxa"/>
            <w:gridSpan w:val="2"/>
            <w:shd w:val="clear" w:color="auto" w:fill="D9D9D9"/>
            <w:vAlign w:val="center"/>
          </w:tcPr>
          <w:p w14:paraId="3DF99A19" w14:textId="77777777" w:rsidR="00960D37" w:rsidRPr="00B26296" w:rsidRDefault="00960D37" w:rsidP="007C4955">
            <w:pPr>
              <w:contextualSpacing/>
              <w:jc w:val="center"/>
              <w:rPr>
                <w:rFonts w:cs="Arial"/>
                <w:b/>
                <w:bCs/>
                <w:sz w:val="16"/>
                <w:szCs w:val="16"/>
              </w:rPr>
            </w:pPr>
            <w:r w:rsidRPr="00B26296">
              <w:rPr>
                <w:rFonts w:cs="Arial"/>
                <w:b/>
                <w:bCs/>
                <w:sz w:val="16"/>
                <w:szCs w:val="16"/>
              </w:rPr>
              <w:t>Ostatní vč. stavebnictví</w:t>
            </w:r>
            <w:r w:rsidR="00F64B2C" w:rsidRPr="00B26296">
              <w:rPr>
                <w:rFonts w:cs="Arial"/>
                <w:b/>
                <w:bCs/>
                <w:sz w:val="16"/>
                <w:szCs w:val="16"/>
              </w:rPr>
              <w:t xml:space="preserve"> a veř. vodovodů</w:t>
            </w:r>
          </w:p>
        </w:tc>
        <w:tc>
          <w:tcPr>
            <w:tcW w:w="1719" w:type="dxa"/>
            <w:gridSpan w:val="2"/>
            <w:shd w:val="clear" w:color="auto" w:fill="D9D9D9"/>
            <w:vAlign w:val="center"/>
          </w:tcPr>
          <w:p w14:paraId="2B9982AE" w14:textId="77777777" w:rsidR="00960D37" w:rsidRPr="00B26296" w:rsidRDefault="00960D37" w:rsidP="007C4955">
            <w:pPr>
              <w:contextualSpacing/>
              <w:jc w:val="center"/>
              <w:rPr>
                <w:rFonts w:cs="Arial"/>
                <w:b/>
                <w:bCs/>
                <w:sz w:val="16"/>
                <w:szCs w:val="16"/>
              </w:rPr>
            </w:pPr>
            <w:r w:rsidRPr="00B26296">
              <w:rPr>
                <w:rFonts w:cs="Arial"/>
                <w:b/>
                <w:bCs/>
                <w:sz w:val="16"/>
                <w:szCs w:val="16"/>
              </w:rPr>
              <w:t>Celkem</w:t>
            </w:r>
          </w:p>
        </w:tc>
      </w:tr>
      <w:tr w:rsidR="00653A52" w:rsidRPr="00104F7D" w14:paraId="567A376B" w14:textId="77777777" w:rsidTr="00FF00CA">
        <w:trPr>
          <w:cantSplit/>
          <w:trHeight w:val="328"/>
          <w:jc w:val="center"/>
        </w:trPr>
        <w:tc>
          <w:tcPr>
            <w:tcW w:w="803" w:type="dxa"/>
            <w:vMerge/>
            <w:shd w:val="clear" w:color="auto" w:fill="D9D9D9"/>
            <w:vAlign w:val="center"/>
          </w:tcPr>
          <w:p w14:paraId="4CC55C33" w14:textId="77777777" w:rsidR="00960D37" w:rsidRPr="00B26296" w:rsidRDefault="00960D37" w:rsidP="007C4955">
            <w:pPr>
              <w:contextualSpacing/>
              <w:rPr>
                <w:rFonts w:cs="Arial"/>
                <w:b/>
                <w:bCs/>
                <w:sz w:val="16"/>
                <w:szCs w:val="16"/>
              </w:rPr>
            </w:pPr>
          </w:p>
        </w:tc>
        <w:tc>
          <w:tcPr>
            <w:tcW w:w="748" w:type="dxa"/>
            <w:shd w:val="clear" w:color="auto" w:fill="D9D9D9"/>
            <w:noWrap/>
            <w:vAlign w:val="bottom"/>
          </w:tcPr>
          <w:p w14:paraId="4A6EDBE8" w14:textId="77777777" w:rsidR="00960D37" w:rsidRPr="00B26296" w:rsidRDefault="00960D37" w:rsidP="007C4955">
            <w:pPr>
              <w:keepNext/>
              <w:keepLines/>
              <w:contextualSpacing/>
              <w:jc w:val="center"/>
              <w:rPr>
                <w:rFonts w:cs="Arial"/>
                <w:b/>
                <w:bCs/>
                <w:sz w:val="16"/>
                <w:szCs w:val="16"/>
              </w:rPr>
            </w:pPr>
            <w:r w:rsidRPr="00B26296">
              <w:rPr>
                <w:rFonts w:cs="Arial"/>
                <w:b/>
                <w:bCs/>
                <w:sz w:val="16"/>
                <w:szCs w:val="16"/>
              </w:rPr>
              <w:t>Množství</w:t>
            </w:r>
          </w:p>
        </w:tc>
        <w:tc>
          <w:tcPr>
            <w:tcW w:w="748" w:type="dxa"/>
            <w:shd w:val="clear" w:color="auto" w:fill="D9D9D9"/>
            <w:noWrap/>
            <w:vAlign w:val="bottom"/>
          </w:tcPr>
          <w:p w14:paraId="19F722C8" w14:textId="77777777" w:rsidR="00960D37" w:rsidRPr="00B26296" w:rsidRDefault="00960D37" w:rsidP="007C4955">
            <w:pPr>
              <w:keepNext/>
              <w:keepLines/>
              <w:contextualSpacing/>
              <w:jc w:val="center"/>
              <w:rPr>
                <w:rFonts w:cs="Arial"/>
                <w:b/>
                <w:bCs/>
                <w:sz w:val="16"/>
                <w:szCs w:val="16"/>
              </w:rPr>
            </w:pPr>
            <w:r w:rsidRPr="00B26296">
              <w:rPr>
                <w:rFonts w:cs="Arial"/>
                <w:b/>
                <w:bCs/>
                <w:sz w:val="16"/>
                <w:szCs w:val="16"/>
              </w:rPr>
              <w:t>Počet</w:t>
            </w:r>
          </w:p>
        </w:tc>
        <w:tc>
          <w:tcPr>
            <w:tcW w:w="748" w:type="dxa"/>
            <w:shd w:val="clear" w:color="auto" w:fill="D9D9D9"/>
            <w:noWrap/>
            <w:vAlign w:val="bottom"/>
          </w:tcPr>
          <w:p w14:paraId="38FE21C8" w14:textId="77777777" w:rsidR="00960D37" w:rsidRPr="00B26296" w:rsidRDefault="00960D37" w:rsidP="007C4955">
            <w:pPr>
              <w:keepNext/>
              <w:keepLines/>
              <w:contextualSpacing/>
              <w:jc w:val="center"/>
              <w:rPr>
                <w:rFonts w:cs="Arial"/>
                <w:b/>
                <w:bCs/>
                <w:sz w:val="16"/>
                <w:szCs w:val="16"/>
              </w:rPr>
            </w:pPr>
            <w:r w:rsidRPr="00B26296">
              <w:rPr>
                <w:rFonts w:cs="Arial"/>
                <w:b/>
                <w:bCs/>
                <w:sz w:val="16"/>
                <w:szCs w:val="16"/>
              </w:rPr>
              <w:t>Množství</w:t>
            </w:r>
          </w:p>
        </w:tc>
        <w:tc>
          <w:tcPr>
            <w:tcW w:w="748" w:type="dxa"/>
            <w:shd w:val="clear" w:color="auto" w:fill="D9D9D9"/>
            <w:noWrap/>
            <w:vAlign w:val="bottom"/>
          </w:tcPr>
          <w:p w14:paraId="0862C84E" w14:textId="77777777" w:rsidR="00960D37" w:rsidRPr="00B26296" w:rsidRDefault="00960D37" w:rsidP="007C4955">
            <w:pPr>
              <w:keepNext/>
              <w:keepLines/>
              <w:contextualSpacing/>
              <w:jc w:val="center"/>
              <w:rPr>
                <w:rFonts w:cs="Arial"/>
                <w:b/>
                <w:bCs/>
                <w:sz w:val="16"/>
                <w:szCs w:val="16"/>
              </w:rPr>
            </w:pPr>
            <w:r w:rsidRPr="00B26296">
              <w:rPr>
                <w:rFonts w:cs="Arial"/>
                <w:b/>
                <w:bCs/>
                <w:sz w:val="16"/>
                <w:szCs w:val="16"/>
              </w:rPr>
              <w:t>Počet</w:t>
            </w:r>
          </w:p>
        </w:tc>
        <w:tc>
          <w:tcPr>
            <w:tcW w:w="748" w:type="dxa"/>
            <w:shd w:val="clear" w:color="auto" w:fill="D9D9D9"/>
            <w:noWrap/>
            <w:vAlign w:val="bottom"/>
          </w:tcPr>
          <w:p w14:paraId="50AB1939" w14:textId="77777777" w:rsidR="00960D37" w:rsidRPr="00B26296" w:rsidRDefault="00960D37" w:rsidP="007C4955">
            <w:pPr>
              <w:keepNext/>
              <w:keepLines/>
              <w:contextualSpacing/>
              <w:jc w:val="center"/>
              <w:rPr>
                <w:rFonts w:cs="Arial"/>
                <w:b/>
                <w:bCs/>
                <w:sz w:val="16"/>
                <w:szCs w:val="16"/>
              </w:rPr>
            </w:pPr>
            <w:r w:rsidRPr="00B26296">
              <w:rPr>
                <w:rFonts w:cs="Arial"/>
                <w:b/>
                <w:bCs/>
                <w:sz w:val="16"/>
                <w:szCs w:val="16"/>
              </w:rPr>
              <w:t>Množství</w:t>
            </w:r>
          </w:p>
        </w:tc>
        <w:tc>
          <w:tcPr>
            <w:tcW w:w="749" w:type="dxa"/>
            <w:shd w:val="clear" w:color="auto" w:fill="D9D9D9"/>
            <w:noWrap/>
            <w:vAlign w:val="bottom"/>
          </w:tcPr>
          <w:p w14:paraId="4EF38516" w14:textId="77777777" w:rsidR="00960D37" w:rsidRPr="00B26296" w:rsidRDefault="00960D37" w:rsidP="007C4955">
            <w:pPr>
              <w:keepNext/>
              <w:keepLines/>
              <w:contextualSpacing/>
              <w:jc w:val="center"/>
              <w:rPr>
                <w:rFonts w:cs="Arial"/>
                <w:b/>
                <w:bCs/>
                <w:sz w:val="16"/>
                <w:szCs w:val="16"/>
              </w:rPr>
            </w:pPr>
            <w:r w:rsidRPr="00B26296">
              <w:rPr>
                <w:rFonts w:cs="Arial"/>
                <w:b/>
                <w:bCs/>
                <w:sz w:val="16"/>
                <w:szCs w:val="16"/>
              </w:rPr>
              <w:t>Počet</w:t>
            </w:r>
          </w:p>
        </w:tc>
        <w:tc>
          <w:tcPr>
            <w:tcW w:w="748" w:type="dxa"/>
            <w:shd w:val="clear" w:color="auto" w:fill="D9D9D9"/>
            <w:noWrap/>
            <w:vAlign w:val="bottom"/>
          </w:tcPr>
          <w:p w14:paraId="6F456D9D" w14:textId="77777777" w:rsidR="00960D37" w:rsidRPr="00B26296" w:rsidRDefault="00960D37" w:rsidP="007C4955">
            <w:pPr>
              <w:keepNext/>
              <w:keepLines/>
              <w:contextualSpacing/>
              <w:jc w:val="center"/>
              <w:rPr>
                <w:rFonts w:cs="Arial"/>
                <w:b/>
                <w:bCs/>
                <w:sz w:val="16"/>
                <w:szCs w:val="16"/>
              </w:rPr>
            </w:pPr>
            <w:r w:rsidRPr="00B26296">
              <w:rPr>
                <w:rFonts w:cs="Arial"/>
                <w:b/>
                <w:bCs/>
                <w:sz w:val="16"/>
                <w:szCs w:val="16"/>
              </w:rPr>
              <w:t>Množství</w:t>
            </w:r>
          </w:p>
        </w:tc>
        <w:tc>
          <w:tcPr>
            <w:tcW w:w="748" w:type="dxa"/>
            <w:shd w:val="clear" w:color="auto" w:fill="D9D9D9"/>
            <w:noWrap/>
            <w:vAlign w:val="bottom"/>
          </w:tcPr>
          <w:p w14:paraId="558B0AF5" w14:textId="77777777" w:rsidR="00960D37" w:rsidRPr="00B26296" w:rsidRDefault="00960D37" w:rsidP="007C4955">
            <w:pPr>
              <w:keepNext/>
              <w:keepLines/>
              <w:contextualSpacing/>
              <w:jc w:val="center"/>
              <w:rPr>
                <w:rFonts w:cs="Arial"/>
                <w:b/>
                <w:bCs/>
                <w:sz w:val="16"/>
                <w:szCs w:val="16"/>
              </w:rPr>
            </w:pPr>
            <w:r w:rsidRPr="00B26296">
              <w:rPr>
                <w:rFonts w:cs="Arial"/>
                <w:b/>
                <w:bCs/>
                <w:sz w:val="16"/>
                <w:szCs w:val="16"/>
              </w:rPr>
              <w:t>Počet</w:t>
            </w:r>
          </w:p>
        </w:tc>
        <w:tc>
          <w:tcPr>
            <w:tcW w:w="748" w:type="dxa"/>
            <w:shd w:val="clear" w:color="auto" w:fill="D9D9D9"/>
            <w:noWrap/>
            <w:vAlign w:val="bottom"/>
          </w:tcPr>
          <w:p w14:paraId="52303AA2" w14:textId="77777777" w:rsidR="00960D37" w:rsidRPr="00B26296" w:rsidRDefault="00960D37" w:rsidP="007C4955">
            <w:pPr>
              <w:keepNext/>
              <w:keepLines/>
              <w:contextualSpacing/>
              <w:jc w:val="center"/>
              <w:rPr>
                <w:rFonts w:cs="Arial"/>
                <w:b/>
                <w:bCs/>
                <w:sz w:val="16"/>
                <w:szCs w:val="16"/>
              </w:rPr>
            </w:pPr>
            <w:r w:rsidRPr="00B26296">
              <w:rPr>
                <w:rFonts w:cs="Arial"/>
                <w:b/>
                <w:bCs/>
                <w:sz w:val="16"/>
                <w:szCs w:val="16"/>
              </w:rPr>
              <w:t>Množství</w:t>
            </w:r>
          </w:p>
        </w:tc>
        <w:tc>
          <w:tcPr>
            <w:tcW w:w="748" w:type="dxa"/>
            <w:shd w:val="clear" w:color="auto" w:fill="D9D9D9"/>
            <w:noWrap/>
            <w:vAlign w:val="bottom"/>
          </w:tcPr>
          <w:p w14:paraId="1F464CB1" w14:textId="77777777" w:rsidR="00960D37" w:rsidRPr="00B26296" w:rsidRDefault="00960D37" w:rsidP="007C4955">
            <w:pPr>
              <w:keepNext/>
              <w:keepLines/>
              <w:contextualSpacing/>
              <w:jc w:val="center"/>
              <w:rPr>
                <w:rFonts w:cs="Arial"/>
                <w:b/>
                <w:bCs/>
                <w:sz w:val="16"/>
                <w:szCs w:val="16"/>
              </w:rPr>
            </w:pPr>
            <w:r w:rsidRPr="00B26296">
              <w:rPr>
                <w:rFonts w:cs="Arial"/>
                <w:b/>
                <w:bCs/>
                <w:sz w:val="16"/>
                <w:szCs w:val="16"/>
              </w:rPr>
              <w:t>Počet</w:t>
            </w:r>
          </w:p>
        </w:tc>
        <w:tc>
          <w:tcPr>
            <w:tcW w:w="868" w:type="dxa"/>
            <w:shd w:val="clear" w:color="auto" w:fill="D9D9D9"/>
            <w:noWrap/>
            <w:vAlign w:val="bottom"/>
          </w:tcPr>
          <w:p w14:paraId="66F8F518" w14:textId="77777777" w:rsidR="00960D37" w:rsidRPr="00B26296" w:rsidRDefault="00960D37" w:rsidP="007C4955">
            <w:pPr>
              <w:keepNext/>
              <w:keepLines/>
              <w:contextualSpacing/>
              <w:jc w:val="center"/>
              <w:rPr>
                <w:rFonts w:cs="Arial"/>
                <w:b/>
                <w:bCs/>
                <w:sz w:val="16"/>
                <w:szCs w:val="16"/>
              </w:rPr>
            </w:pPr>
            <w:r w:rsidRPr="00B26296">
              <w:rPr>
                <w:rFonts w:cs="Arial"/>
                <w:b/>
                <w:bCs/>
                <w:sz w:val="16"/>
                <w:szCs w:val="16"/>
              </w:rPr>
              <w:t>Množství</w:t>
            </w:r>
          </w:p>
        </w:tc>
        <w:tc>
          <w:tcPr>
            <w:tcW w:w="851" w:type="dxa"/>
            <w:shd w:val="clear" w:color="auto" w:fill="D9D9D9"/>
            <w:noWrap/>
            <w:vAlign w:val="bottom"/>
          </w:tcPr>
          <w:p w14:paraId="77DF8EE7" w14:textId="77777777" w:rsidR="00960D37" w:rsidRPr="00B26296" w:rsidRDefault="00960D37" w:rsidP="007C4955">
            <w:pPr>
              <w:keepNext/>
              <w:keepLines/>
              <w:contextualSpacing/>
              <w:jc w:val="center"/>
              <w:rPr>
                <w:rFonts w:cs="Arial"/>
                <w:b/>
                <w:bCs/>
                <w:sz w:val="16"/>
                <w:szCs w:val="16"/>
              </w:rPr>
            </w:pPr>
            <w:r w:rsidRPr="00B26296">
              <w:rPr>
                <w:rFonts w:cs="Arial"/>
                <w:b/>
                <w:bCs/>
                <w:sz w:val="16"/>
                <w:szCs w:val="16"/>
              </w:rPr>
              <w:t>Počet</w:t>
            </w:r>
          </w:p>
        </w:tc>
      </w:tr>
      <w:tr w:rsidR="0004484C" w:rsidRPr="00104F7D" w14:paraId="55904557" w14:textId="77777777" w:rsidTr="00FF00CA">
        <w:trPr>
          <w:trHeight w:val="310"/>
          <w:jc w:val="center"/>
        </w:trPr>
        <w:tc>
          <w:tcPr>
            <w:tcW w:w="803" w:type="dxa"/>
            <w:noWrap/>
            <w:vAlign w:val="bottom"/>
          </w:tcPr>
          <w:p w14:paraId="29ACD552" w14:textId="77777777" w:rsidR="0004484C" w:rsidRPr="00B26296" w:rsidRDefault="0004484C" w:rsidP="0004484C">
            <w:pPr>
              <w:contextualSpacing/>
              <w:rPr>
                <w:rFonts w:cs="Arial"/>
                <w:b/>
                <w:bCs/>
                <w:sz w:val="16"/>
                <w:szCs w:val="16"/>
              </w:rPr>
            </w:pPr>
            <w:r w:rsidRPr="00B26296">
              <w:rPr>
                <w:rFonts w:cs="Arial"/>
                <w:b/>
                <w:bCs/>
                <w:sz w:val="16"/>
                <w:szCs w:val="16"/>
              </w:rPr>
              <w:t>Labe</w:t>
            </w:r>
          </w:p>
        </w:tc>
        <w:tc>
          <w:tcPr>
            <w:tcW w:w="748" w:type="dxa"/>
            <w:noWrap/>
            <w:vAlign w:val="bottom"/>
          </w:tcPr>
          <w:p w14:paraId="66806F46" w14:textId="3A3F64A5" w:rsidR="0004484C" w:rsidRPr="0004484C" w:rsidRDefault="0004484C" w:rsidP="0004484C">
            <w:pPr>
              <w:contextualSpacing/>
              <w:jc w:val="right"/>
              <w:rPr>
                <w:rFonts w:cs="Arial"/>
                <w:bCs/>
                <w:sz w:val="16"/>
                <w:szCs w:val="16"/>
              </w:rPr>
            </w:pPr>
            <w:r w:rsidRPr="0004484C">
              <w:rPr>
                <w:sz w:val="16"/>
                <w:szCs w:val="16"/>
              </w:rPr>
              <w:t>167,926</w:t>
            </w:r>
          </w:p>
        </w:tc>
        <w:tc>
          <w:tcPr>
            <w:tcW w:w="748" w:type="dxa"/>
            <w:shd w:val="clear" w:color="000000" w:fill="FFFFFF"/>
            <w:noWrap/>
            <w:vAlign w:val="center"/>
          </w:tcPr>
          <w:p w14:paraId="6839AB04" w14:textId="40A60A15" w:rsidR="0004484C" w:rsidRPr="0004484C" w:rsidRDefault="0004484C" w:rsidP="0004484C">
            <w:pPr>
              <w:contextualSpacing/>
              <w:jc w:val="center"/>
              <w:rPr>
                <w:rFonts w:cs="Arial"/>
                <w:sz w:val="16"/>
                <w:szCs w:val="16"/>
                <w:lang w:eastAsia="cs-CZ"/>
              </w:rPr>
            </w:pPr>
            <w:r w:rsidRPr="0004484C">
              <w:rPr>
                <w:rFonts w:cs="Arial"/>
                <w:color w:val="000000"/>
                <w:sz w:val="16"/>
                <w:szCs w:val="16"/>
              </w:rPr>
              <w:t>807</w:t>
            </w:r>
          </w:p>
        </w:tc>
        <w:tc>
          <w:tcPr>
            <w:tcW w:w="748" w:type="dxa"/>
            <w:noWrap/>
            <w:vAlign w:val="bottom"/>
          </w:tcPr>
          <w:p w14:paraId="0762A973" w14:textId="2B8DBDA3" w:rsidR="0004484C" w:rsidRPr="0004484C" w:rsidRDefault="0004484C" w:rsidP="0004484C">
            <w:pPr>
              <w:contextualSpacing/>
              <w:jc w:val="right"/>
              <w:rPr>
                <w:rFonts w:cs="Arial"/>
                <w:sz w:val="16"/>
                <w:szCs w:val="16"/>
              </w:rPr>
            </w:pPr>
            <w:r w:rsidRPr="0004484C">
              <w:rPr>
                <w:sz w:val="16"/>
                <w:szCs w:val="16"/>
              </w:rPr>
              <w:t>0,022</w:t>
            </w:r>
          </w:p>
        </w:tc>
        <w:tc>
          <w:tcPr>
            <w:tcW w:w="748" w:type="dxa"/>
            <w:shd w:val="clear" w:color="000000" w:fill="FFFFFF"/>
            <w:noWrap/>
            <w:vAlign w:val="center"/>
          </w:tcPr>
          <w:p w14:paraId="6F0B50F4" w14:textId="2053F3FB" w:rsidR="0004484C" w:rsidRPr="0004484C" w:rsidRDefault="0004484C" w:rsidP="0004484C">
            <w:pPr>
              <w:contextualSpacing/>
              <w:jc w:val="center"/>
              <w:rPr>
                <w:rFonts w:cs="Arial"/>
                <w:sz w:val="16"/>
                <w:szCs w:val="16"/>
                <w:lang w:eastAsia="cs-CZ"/>
              </w:rPr>
            </w:pPr>
            <w:r w:rsidRPr="0004484C">
              <w:rPr>
                <w:rFonts w:cs="Arial"/>
                <w:color w:val="000000"/>
                <w:sz w:val="16"/>
                <w:szCs w:val="16"/>
              </w:rPr>
              <w:t>2</w:t>
            </w:r>
          </w:p>
        </w:tc>
        <w:tc>
          <w:tcPr>
            <w:tcW w:w="748" w:type="dxa"/>
            <w:noWrap/>
            <w:vAlign w:val="bottom"/>
          </w:tcPr>
          <w:p w14:paraId="202D98FA" w14:textId="52AFDBBE" w:rsidR="0004484C" w:rsidRPr="0004484C" w:rsidRDefault="0004484C" w:rsidP="0004484C">
            <w:pPr>
              <w:contextualSpacing/>
              <w:jc w:val="right"/>
              <w:rPr>
                <w:rFonts w:cs="Arial"/>
                <w:sz w:val="16"/>
                <w:szCs w:val="16"/>
              </w:rPr>
            </w:pPr>
            <w:r w:rsidRPr="0004484C">
              <w:rPr>
                <w:sz w:val="16"/>
                <w:szCs w:val="16"/>
              </w:rPr>
              <w:t>147,884</w:t>
            </w:r>
          </w:p>
        </w:tc>
        <w:tc>
          <w:tcPr>
            <w:tcW w:w="749" w:type="dxa"/>
            <w:shd w:val="clear" w:color="000000" w:fill="FFFFFF"/>
            <w:noWrap/>
            <w:vAlign w:val="center"/>
          </w:tcPr>
          <w:p w14:paraId="10527DDF" w14:textId="4B20BCBB" w:rsidR="0004484C" w:rsidRPr="0004484C" w:rsidRDefault="0004484C" w:rsidP="0004484C">
            <w:pPr>
              <w:contextualSpacing/>
              <w:jc w:val="center"/>
              <w:rPr>
                <w:rFonts w:cs="Arial"/>
                <w:sz w:val="16"/>
                <w:szCs w:val="16"/>
                <w:lang w:eastAsia="cs-CZ"/>
              </w:rPr>
            </w:pPr>
            <w:r w:rsidRPr="0004484C">
              <w:rPr>
                <w:rFonts w:cs="Arial"/>
                <w:color w:val="000000"/>
                <w:sz w:val="16"/>
                <w:szCs w:val="16"/>
              </w:rPr>
              <w:t>19</w:t>
            </w:r>
          </w:p>
        </w:tc>
        <w:tc>
          <w:tcPr>
            <w:tcW w:w="748" w:type="dxa"/>
            <w:noWrap/>
            <w:vAlign w:val="bottom"/>
          </w:tcPr>
          <w:p w14:paraId="47B39FB0" w14:textId="392C6310" w:rsidR="0004484C" w:rsidRPr="0004484C" w:rsidRDefault="0004484C" w:rsidP="0004484C">
            <w:pPr>
              <w:contextualSpacing/>
              <w:jc w:val="right"/>
              <w:rPr>
                <w:rFonts w:cs="Arial"/>
                <w:sz w:val="16"/>
                <w:szCs w:val="16"/>
              </w:rPr>
            </w:pPr>
            <w:r w:rsidRPr="0004484C">
              <w:rPr>
                <w:sz w:val="16"/>
                <w:szCs w:val="16"/>
              </w:rPr>
              <w:t>67,767</w:t>
            </w:r>
          </w:p>
        </w:tc>
        <w:tc>
          <w:tcPr>
            <w:tcW w:w="748" w:type="dxa"/>
            <w:shd w:val="clear" w:color="000000" w:fill="FFFFFF"/>
            <w:noWrap/>
            <w:vAlign w:val="center"/>
          </w:tcPr>
          <w:p w14:paraId="51020E4F" w14:textId="155585D6" w:rsidR="0004484C" w:rsidRPr="0004484C" w:rsidRDefault="0004484C" w:rsidP="0004484C">
            <w:pPr>
              <w:contextualSpacing/>
              <w:jc w:val="center"/>
              <w:rPr>
                <w:rFonts w:cs="Arial"/>
                <w:sz w:val="16"/>
                <w:szCs w:val="16"/>
                <w:lang w:eastAsia="cs-CZ"/>
              </w:rPr>
            </w:pPr>
            <w:r w:rsidRPr="0004484C">
              <w:rPr>
                <w:rFonts w:cs="Arial"/>
                <w:color w:val="000000"/>
                <w:sz w:val="16"/>
                <w:szCs w:val="16"/>
              </w:rPr>
              <w:t>158</w:t>
            </w:r>
          </w:p>
        </w:tc>
        <w:tc>
          <w:tcPr>
            <w:tcW w:w="748" w:type="dxa"/>
            <w:noWrap/>
            <w:vAlign w:val="bottom"/>
          </w:tcPr>
          <w:p w14:paraId="56EBD1B4" w14:textId="3D5A0BC4" w:rsidR="0004484C" w:rsidRPr="0004484C" w:rsidRDefault="0004484C" w:rsidP="0004484C">
            <w:pPr>
              <w:contextualSpacing/>
              <w:jc w:val="right"/>
              <w:rPr>
                <w:rFonts w:cs="Arial"/>
                <w:bCs/>
                <w:sz w:val="16"/>
                <w:szCs w:val="16"/>
              </w:rPr>
            </w:pPr>
            <w:r w:rsidRPr="0004484C">
              <w:rPr>
                <w:sz w:val="16"/>
                <w:szCs w:val="16"/>
              </w:rPr>
              <w:t>2,677</w:t>
            </w:r>
          </w:p>
        </w:tc>
        <w:tc>
          <w:tcPr>
            <w:tcW w:w="748" w:type="dxa"/>
            <w:shd w:val="clear" w:color="000000" w:fill="FFFFFF"/>
            <w:noWrap/>
            <w:vAlign w:val="center"/>
          </w:tcPr>
          <w:p w14:paraId="2FD8BA89" w14:textId="201244A6" w:rsidR="0004484C" w:rsidRPr="0004484C" w:rsidRDefault="0004484C" w:rsidP="0004484C">
            <w:pPr>
              <w:contextualSpacing/>
              <w:jc w:val="center"/>
              <w:rPr>
                <w:rFonts w:cs="Arial"/>
                <w:sz w:val="16"/>
                <w:szCs w:val="16"/>
                <w:lang w:eastAsia="cs-CZ"/>
              </w:rPr>
            </w:pPr>
            <w:r w:rsidRPr="0004484C">
              <w:rPr>
                <w:rFonts w:cs="Arial"/>
                <w:color w:val="000000"/>
                <w:sz w:val="16"/>
                <w:szCs w:val="16"/>
              </w:rPr>
              <w:t>87</w:t>
            </w:r>
          </w:p>
        </w:tc>
        <w:tc>
          <w:tcPr>
            <w:tcW w:w="868" w:type="dxa"/>
            <w:noWrap/>
            <w:vAlign w:val="bottom"/>
          </w:tcPr>
          <w:p w14:paraId="2878F2F0" w14:textId="06FDA90E" w:rsidR="0004484C" w:rsidRPr="0004484C" w:rsidRDefault="0004484C" w:rsidP="0004484C">
            <w:pPr>
              <w:contextualSpacing/>
              <w:jc w:val="right"/>
              <w:rPr>
                <w:rFonts w:cs="Arial"/>
                <w:b/>
                <w:sz w:val="16"/>
                <w:szCs w:val="16"/>
              </w:rPr>
            </w:pPr>
            <w:r w:rsidRPr="0004484C">
              <w:rPr>
                <w:b/>
                <w:sz w:val="16"/>
                <w:szCs w:val="16"/>
              </w:rPr>
              <w:t>386,276</w:t>
            </w:r>
          </w:p>
        </w:tc>
        <w:tc>
          <w:tcPr>
            <w:tcW w:w="851" w:type="dxa"/>
            <w:shd w:val="clear" w:color="000000" w:fill="FFFFFF"/>
            <w:noWrap/>
            <w:vAlign w:val="center"/>
          </w:tcPr>
          <w:p w14:paraId="430C9A82" w14:textId="53EA14C8" w:rsidR="0004484C" w:rsidRPr="0004484C" w:rsidRDefault="0004484C" w:rsidP="0004484C">
            <w:pPr>
              <w:contextualSpacing/>
              <w:jc w:val="center"/>
              <w:rPr>
                <w:rFonts w:cs="Arial"/>
                <w:sz w:val="16"/>
                <w:szCs w:val="16"/>
                <w:lang w:eastAsia="cs-CZ"/>
              </w:rPr>
            </w:pPr>
            <w:r w:rsidRPr="0004484C">
              <w:rPr>
                <w:rFonts w:cs="Arial"/>
                <w:color w:val="000000"/>
                <w:sz w:val="16"/>
                <w:szCs w:val="16"/>
              </w:rPr>
              <w:t>1 073</w:t>
            </w:r>
          </w:p>
        </w:tc>
      </w:tr>
      <w:tr w:rsidR="0004484C" w:rsidRPr="00104F7D" w14:paraId="1A8C5C1A" w14:textId="77777777" w:rsidTr="00FF00CA">
        <w:trPr>
          <w:trHeight w:val="310"/>
          <w:jc w:val="center"/>
        </w:trPr>
        <w:tc>
          <w:tcPr>
            <w:tcW w:w="803" w:type="dxa"/>
            <w:noWrap/>
            <w:vAlign w:val="bottom"/>
          </w:tcPr>
          <w:p w14:paraId="1AC10BD3" w14:textId="77777777" w:rsidR="0004484C" w:rsidRPr="00B26296" w:rsidRDefault="0004484C" w:rsidP="0004484C">
            <w:pPr>
              <w:contextualSpacing/>
              <w:rPr>
                <w:rFonts w:cs="Arial"/>
                <w:b/>
                <w:bCs/>
                <w:sz w:val="16"/>
                <w:szCs w:val="16"/>
              </w:rPr>
            </w:pPr>
            <w:r w:rsidRPr="00B26296">
              <w:rPr>
                <w:rFonts w:cs="Arial"/>
                <w:b/>
                <w:bCs/>
                <w:sz w:val="16"/>
                <w:szCs w:val="16"/>
              </w:rPr>
              <w:t>Vltavy</w:t>
            </w:r>
          </w:p>
        </w:tc>
        <w:tc>
          <w:tcPr>
            <w:tcW w:w="748" w:type="dxa"/>
            <w:noWrap/>
            <w:vAlign w:val="bottom"/>
          </w:tcPr>
          <w:p w14:paraId="7AEF62BC" w14:textId="2DF81D51" w:rsidR="0004484C" w:rsidRPr="0004484C" w:rsidRDefault="0004484C" w:rsidP="0004484C">
            <w:pPr>
              <w:contextualSpacing/>
              <w:jc w:val="right"/>
              <w:rPr>
                <w:rFonts w:cs="Arial"/>
                <w:sz w:val="16"/>
                <w:szCs w:val="16"/>
              </w:rPr>
            </w:pPr>
            <w:r w:rsidRPr="0004484C">
              <w:rPr>
                <w:sz w:val="16"/>
                <w:szCs w:val="16"/>
              </w:rPr>
              <w:t>260,899</w:t>
            </w:r>
          </w:p>
        </w:tc>
        <w:tc>
          <w:tcPr>
            <w:tcW w:w="748" w:type="dxa"/>
            <w:noWrap/>
            <w:vAlign w:val="center"/>
          </w:tcPr>
          <w:p w14:paraId="4CABB245" w14:textId="1AF32803" w:rsidR="0004484C" w:rsidRPr="0004484C" w:rsidRDefault="0004484C" w:rsidP="0004484C">
            <w:pPr>
              <w:contextualSpacing/>
              <w:jc w:val="center"/>
              <w:rPr>
                <w:rFonts w:cs="Arial"/>
                <w:sz w:val="16"/>
                <w:szCs w:val="16"/>
                <w:lang w:eastAsia="cs-CZ"/>
              </w:rPr>
            </w:pPr>
            <w:r w:rsidRPr="0004484C">
              <w:rPr>
                <w:rFonts w:cs="Arial"/>
                <w:color w:val="000000"/>
                <w:sz w:val="16"/>
                <w:szCs w:val="16"/>
              </w:rPr>
              <w:t>796</w:t>
            </w:r>
          </w:p>
        </w:tc>
        <w:tc>
          <w:tcPr>
            <w:tcW w:w="748" w:type="dxa"/>
            <w:noWrap/>
            <w:vAlign w:val="bottom"/>
          </w:tcPr>
          <w:p w14:paraId="71E2D129" w14:textId="5A6355D8" w:rsidR="0004484C" w:rsidRPr="0004484C" w:rsidRDefault="0004484C" w:rsidP="0004484C">
            <w:pPr>
              <w:contextualSpacing/>
              <w:jc w:val="right"/>
              <w:rPr>
                <w:rFonts w:cs="Arial"/>
                <w:sz w:val="16"/>
                <w:szCs w:val="16"/>
              </w:rPr>
            </w:pPr>
            <w:r w:rsidRPr="0004484C">
              <w:rPr>
                <w:sz w:val="16"/>
                <w:szCs w:val="16"/>
              </w:rPr>
              <w:t>0,624</w:t>
            </w:r>
          </w:p>
        </w:tc>
        <w:tc>
          <w:tcPr>
            <w:tcW w:w="748" w:type="dxa"/>
            <w:noWrap/>
            <w:vAlign w:val="center"/>
          </w:tcPr>
          <w:p w14:paraId="257F18C4" w14:textId="1F476CEE" w:rsidR="0004484C" w:rsidRPr="0004484C" w:rsidRDefault="0004484C" w:rsidP="0004484C">
            <w:pPr>
              <w:contextualSpacing/>
              <w:jc w:val="center"/>
              <w:rPr>
                <w:rFonts w:cs="Arial"/>
                <w:sz w:val="16"/>
                <w:szCs w:val="16"/>
                <w:lang w:eastAsia="cs-CZ"/>
              </w:rPr>
            </w:pPr>
            <w:r w:rsidRPr="0004484C">
              <w:rPr>
                <w:rFonts w:cs="Arial"/>
                <w:color w:val="000000"/>
                <w:sz w:val="16"/>
                <w:szCs w:val="16"/>
              </w:rPr>
              <w:t>4</w:t>
            </w:r>
          </w:p>
        </w:tc>
        <w:tc>
          <w:tcPr>
            <w:tcW w:w="748" w:type="dxa"/>
            <w:noWrap/>
            <w:vAlign w:val="bottom"/>
          </w:tcPr>
          <w:p w14:paraId="17E5EF3F" w14:textId="440A0B55" w:rsidR="0004484C" w:rsidRPr="0004484C" w:rsidRDefault="0004484C" w:rsidP="0004484C">
            <w:pPr>
              <w:contextualSpacing/>
              <w:jc w:val="right"/>
              <w:rPr>
                <w:rFonts w:cs="Arial"/>
                <w:sz w:val="16"/>
                <w:szCs w:val="16"/>
              </w:rPr>
            </w:pPr>
            <w:r w:rsidRPr="0004484C">
              <w:rPr>
                <w:sz w:val="16"/>
                <w:szCs w:val="16"/>
              </w:rPr>
              <w:t>18,126</w:t>
            </w:r>
          </w:p>
        </w:tc>
        <w:tc>
          <w:tcPr>
            <w:tcW w:w="749" w:type="dxa"/>
            <w:noWrap/>
            <w:vAlign w:val="center"/>
          </w:tcPr>
          <w:p w14:paraId="6B1807C5" w14:textId="7820FFA1" w:rsidR="0004484C" w:rsidRPr="0004484C" w:rsidRDefault="0004484C" w:rsidP="0004484C">
            <w:pPr>
              <w:contextualSpacing/>
              <w:jc w:val="center"/>
              <w:rPr>
                <w:rFonts w:cs="Arial"/>
                <w:sz w:val="16"/>
                <w:szCs w:val="16"/>
                <w:lang w:eastAsia="cs-CZ"/>
              </w:rPr>
            </w:pPr>
            <w:r w:rsidRPr="0004484C">
              <w:rPr>
                <w:rFonts w:cs="Arial"/>
                <w:color w:val="000000"/>
                <w:sz w:val="16"/>
                <w:szCs w:val="16"/>
              </w:rPr>
              <w:t>18</w:t>
            </w:r>
          </w:p>
        </w:tc>
        <w:tc>
          <w:tcPr>
            <w:tcW w:w="748" w:type="dxa"/>
            <w:noWrap/>
            <w:vAlign w:val="bottom"/>
          </w:tcPr>
          <w:p w14:paraId="13EF0023" w14:textId="3933F3C1" w:rsidR="0004484C" w:rsidRPr="0004484C" w:rsidRDefault="0004484C" w:rsidP="0004484C">
            <w:pPr>
              <w:contextualSpacing/>
              <w:jc w:val="right"/>
              <w:rPr>
                <w:rFonts w:cs="Arial"/>
                <w:sz w:val="16"/>
                <w:szCs w:val="16"/>
              </w:rPr>
            </w:pPr>
            <w:r w:rsidRPr="0004484C">
              <w:rPr>
                <w:sz w:val="16"/>
                <w:szCs w:val="16"/>
              </w:rPr>
              <w:t>17,655</w:t>
            </w:r>
          </w:p>
        </w:tc>
        <w:tc>
          <w:tcPr>
            <w:tcW w:w="748" w:type="dxa"/>
            <w:noWrap/>
            <w:vAlign w:val="center"/>
          </w:tcPr>
          <w:p w14:paraId="52E50406" w14:textId="408AF5E2" w:rsidR="0004484C" w:rsidRPr="0004484C" w:rsidRDefault="0004484C" w:rsidP="0004484C">
            <w:pPr>
              <w:contextualSpacing/>
              <w:jc w:val="center"/>
              <w:rPr>
                <w:rFonts w:cs="Arial"/>
                <w:sz w:val="16"/>
                <w:szCs w:val="16"/>
                <w:lang w:eastAsia="cs-CZ"/>
              </w:rPr>
            </w:pPr>
            <w:r w:rsidRPr="0004484C">
              <w:rPr>
                <w:rFonts w:cs="Arial"/>
                <w:color w:val="000000"/>
                <w:sz w:val="16"/>
                <w:szCs w:val="16"/>
              </w:rPr>
              <w:t>138</w:t>
            </w:r>
          </w:p>
        </w:tc>
        <w:tc>
          <w:tcPr>
            <w:tcW w:w="748" w:type="dxa"/>
            <w:noWrap/>
            <w:vAlign w:val="bottom"/>
          </w:tcPr>
          <w:p w14:paraId="36D834B2" w14:textId="16990799" w:rsidR="0004484C" w:rsidRPr="0004484C" w:rsidRDefault="0004484C" w:rsidP="0004484C">
            <w:pPr>
              <w:contextualSpacing/>
              <w:jc w:val="right"/>
              <w:rPr>
                <w:rFonts w:cs="Arial"/>
                <w:sz w:val="16"/>
                <w:szCs w:val="16"/>
              </w:rPr>
            </w:pPr>
            <w:r w:rsidRPr="0004484C">
              <w:rPr>
                <w:sz w:val="16"/>
                <w:szCs w:val="16"/>
              </w:rPr>
              <w:t>26,260</w:t>
            </w:r>
          </w:p>
        </w:tc>
        <w:tc>
          <w:tcPr>
            <w:tcW w:w="748" w:type="dxa"/>
            <w:noWrap/>
            <w:vAlign w:val="center"/>
          </w:tcPr>
          <w:p w14:paraId="1F6A5454" w14:textId="73D52250" w:rsidR="0004484C" w:rsidRPr="0004484C" w:rsidRDefault="0004484C" w:rsidP="0004484C">
            <w:pPr>
              <w:contextualSpacing/>
              <w:jc w:val="center"/>
              <w:rPr>
                <w:rFonts w:cs="Arial"/>
                <w:sz w:val="16"/>
                <w:szCs w:val="16"/>
                <w:lang w:eastAsia="cs-CZ"/>
              </w:rPr>
            </w:pPr>
            <w:r w:rsidRPr="0004484C">
              <w:rPr>
                <w:rFonts w:cs="Arial"/>
                <w:color w:val="000000"/>
                <w:sz w:val="16"/>
                <w:szCs w:val="16"/>
              </w:rPr>
              <w:t>776</w:t>
            </w:r>
          </w:p>
        </w:tc>
        <w:tc>
          <w:tcPr>
            <w:tcW w:w="868" w:type="dxa"/>
            <w:noWrap/>
            <w:vAlign w:val="bottom"/>
          </w:tcPr>
          <w:p w14:paraId="4D31CED1" w14:textId="7D685F95" w:rsidR="0004484C" w:rsidRPr="0004484C" w:rsidRDefault="0004484C" w:rsidP="0004484C">
            <w:pPr>
              <w:contextualSpacing/>
              <w:jc w:val="right"/>
              <w:rPr>
                <w:rFonts w:cs="Arial"/>
                <w:b/>
                <w:sz w:val="16"/>
                <w:szCs w:val="16"/>
              </w:rPr>
            </w:pPr>
            <w:r w:rsidRPr="0004484C">
              <w:rPr>
                <w:b/>
                <w:sz w:val="16"/>
                <w:szCs w:val="16"/>
              </w:rPr>
              <w:t>323,564</w:t>
            </w:r>
          </w:p>
        </w:tc>
        <w:tc>
          <w:tcPr>
            <w:tcW w:w="851" w:type="dxa"/>
            <w:noWrap/>
            <w:vAlign w:val="center"/>
          </w:tcPr>
          <w:p w14:paraId="0AD7F987" w14:textId="562C2E65" w:rsidR="0004484C" w:rsidRPr="0004484C" w:rsidRDefault="0004484C" w:rsidP="0004484C">
            <w:pPr>
              <w:contextualSpacing/>
              <w:jc w:val="center"/>
              <w:rPr>
                <w:rFonts w:cs="Arial"/>
                <w:sz w:val="16"/>
                <w:szCs w:val="16"/>
                <w:lang w:eastAsia="cs-CZ"/>
              </w:rPr>
            </w:pPr>
            <w:r w:rsidRPr="0004484C">
              <w:rPr>
                <w:rFonts w:cs="Arial"/>
                <w:color w:val="000000"/>
                <w:sz w:val="16"/>
                <w:szCs w:val="16"/>
              </w:rPr>
              <w:t>1 732</w:t>
            </w:r>
          </w:p>
        </w:tc>
      </w:tr>
      <w:tr w:rsidR="0004484C" w:rsidRPr="00104F7D" w14:paraId="0A15F4C5" w14:textId="77777777" w:rsidTr="00FF00CA">
        <w:trPr>
          <w:trHeight w:val="310"/>
          <w:jc w:val="center"/>
        </w:trPr>
        <w:tc>
          <w:tcPr>
            <w:tcW w:w="803" w:type="dxa"/>
            <w:noWrap/>
            <w:vAlign w:val="bottom"/>
          </w:tcPr>
          <w:p w14:paraId="15B623CB" w14:textId="77777777" w:rsidR="0004484C" w:rsidRPr="00B26296" w:rsidRDefault="0004484C" w:rsidP="0004484C">
            <w:pPr>
              <w:contextualSpacing/>
              <w:rPr>
                <w:rFonts w:cs="Arial"/>
                <w:b/>
                <w:bCs/>
                <w:sz w:val="16"/>
                <w:szCs w:val="16"/>
              </w:rPr>
            </w:pPr>
            <w:r w:rsidRPr="00B26296">
              <w:rPr>
                <w:rFonts w:cs="Arial"/>
                <w:b/>
                <w:bCs/>
                <w:sz w:val="16"/>
                <w:szCs w:val="16"/>
              </w:rPr>
              <w:t>Ohře</w:t>
            </w:r>
          </w:p>
        </w:tc>
        <w:tc>
          <w:tcPr>
            <w:tcW w:w="748" w:type="dxa"/>
            <w:noWrap/>
            <w:vAlign w:val="bottom"/>
          </w:tcPr>
          <w:p w14:paraId="0787EE21" w14:textId="0CDD3F53" w:rsidR="0004484C" w:rsidRPr="0004484C" w:rsidRDefault="0004484C" w:rsidP="0004484C">
            <w:pPr>
              <w:contextualSpacing/>
              <w:jc w:val="right"/>
              <w:rPr>
                <w:rFonts w:cs="Arial"/>
                <w:sz w:val="16"/>
                <w:szCs w:val="16"/>
              </w:rPr>
            </w:pPr>
            <w:r w:rsidRPr="0004484C">
              <w:rPr>
                <w:sz w:val="16"/>
                <w:szCs w:val="16"/>
              </w:rPr>
              <w:t>68,898</w:t>
            </w:r>
          </w:p>
        </w:tc>
        <w:tc>
          <w:tcPr>
            <w:tcW w:w="748" w:type="dxa"/>
            <w:shd w:val="clear" w:color="000000" w:fill="FFFFFF"/>
            <w:noWrap/>
            <w:vAlign w:val="center"/>
          </w:tcPr>
          <w:p w14:paraId="04C71121" w14:textId="6BFF144E" w:rsidR="0004484C" w:rsidRPr="0004484C" w:rsidRDefault="0004484C" w:rsidP="0004484C">
            <w:pPr>
              <w:contextualSpacing/>
              <w:jc w:val="center"/>
              <w:rPr>
                <w:rFonts w:cs="Arial"/>
                <w:sz w:val="16"/>
                <w:szCs w:val="16"/>
                <w:lang w:eastAsia="cs-CZ"/>
              </w:rPr>
            </w:pPr>
            <w:r w:rsidRPr="0004484C">
              <w:rPr>
                <w:rFonts w:cs="Arial"/>
                <w:color w:val="000000"/>
                <w:sz w:val="16"/>
                <w:szCs w:val="16"/>
              </w:rPr>
              <w:t>290</w:t>
            </w:r>
          </w:p>
        </w:tc>
        <w:tc>
          <w:tcPr>
            <w:tcW w:w="748" w:type="dxa"/>
            <w:noWrap/>
            <w:vAlign w:val="bottom"/>
          </w:tcPr>
          <w:p w14:paraId="63E8C7BF" w14:textId="690AC394" w:rsidR="0004484C" w:rsidRPr="0004484C" w:rsidRDefault="0004484C" w:rsidP="0004484C">
            <w:pPr>
              <w:contextualSpacing/>
              <w:jc w:val="right"/>
              <w:rPr>
                <w:rFonts w:cs="Arial"/>
                <w:sz w:val="16"/>
                <w:szCs w:val="16"/>
              </w:rPr>
            </w:pPr>
            <w:r w:rsidRPr="0004484C">
              <w:rPr>
                <w:sz w:val="16"/>
                <w:szCs w:val="16"/>
              </w:rPr>
              <w:t>1,306</w:t>
            </w:r>
          </w:p>
        </w:tc>
        <w:tc>
          <w:tcPr>
            <w:tcW w:w="748" w:type="dxa"/>
            <w:shd w:val="clear" w:color="000000" w:fill="FFFFFF"/>
            <w:noWrap/>
            <w:vAlign w:val="center"/>
          </w:tcPr>
          <w:p w14:paraId="7443E365" w14:textId="07E497EA" w:rsidR="0004484C" w:rsidRPr="0004484C" w:rsidRDefault="0004484C" w:rsidP="0004484C">
            <w:pPr>
              <w:contextualSpacing/>
              <w:jc w:val="center"/>
              <w:rPr>
                <w:rFonts w:cs="Arial"/>
                <w:sz w:val="16"/>
                <w:szCs w:val="16"/>
                <w:lang w:eastAsia="cs-CZ"/>
              </w:rPr>
            </w:pPr>
            <w:r w:rsidRPr="0004484C">
              <w:rPr>
                <w:rFonts w:cs="Arial"/>
                <w:color w:val="000000"/>
                <w:sz w:val="16"/>
                <w:szCs w:val="16"/>
              </w:rPr>
              <w:t>2</w:t>
            </w:r>
          </w:p>
        </w:tc>
        <w:tc>
          <w:tcPr>
            <w:tcW w:w="748" w:type="dxa"/>
            <w:noWrap/>
            <w:vAlign w:val="bottom"/>
          </w:tcPr>
          <w:p w14:paraId="6B7780F1" w14:textId="4B0FC1A3" w:rsidR="0004484C" w:rsidRPr="0004484C" w:rsidRDefault="0004484C" w:rsidP="0004484C">
            <w:pPr>
              <w:contextualSpacing/>
              <w:jc w:val="right"/>
              <w:rPr>
                <w:rFonts w:cs="Arial"/>
                <w:sz w:val="16"/>
                <w:szCs w:val="16"/>
              </w:rPr>
            </w:pPr>
            <w:r w:rsidRPr="0004484C">
              <w:rPr>
                <w:sz w:val="16"/>
                <w:szCs w:val="16"/>
              </w:rPr>
              <w:t>11,417</w:t>
            </w:r>
          </w:p>
        </w:tc>
        <w:tc>
          <w:tcPr>
            <w:tcW w:w="749" w:type="dxa"/>
            <w:shd w:val="clear" w:color="000000" w:fill="FFFFFF"/>
            <w:noWrap/>
            <w:vAlign w:val="center"/>
          </w:tcPr>
          <w:p w14:paraId="629A8314" w14:textId="6921F3F6" w:rsidR="0004484C" w:rsidRPr="0004484C" w:rsidRDefault="0004484C" w:rsidP="0004484C">
            <w:pPr>
              <w:contextualSpacing/>
              <w:jc w:val="center"/>
              <w:rPr>
                <w:rFonts w:cs="Arial"/>
                <w:sz w:val="16"/>
                <w:szCs w:val="16"/>
                <w:lang w:eastAsia="cs-CZ"/>
              </w:rPr>
            </w:pPr>
            <w:r w:rsidRPr="0004484C">
              <w:rPr>
                <w:rFonts w:cs="Arial"/>
                <w:color w:val="000000"/>
                <w:sz w:val="16"/>
                <w:szCs w:val="16"/>
              </w:rPr>
              <w:t>21</w:t>
            </w:r>
          </w:p>
        </w:tc>
        <w:tc>
          <w:tcPr>
            <w:tcW w:w="748" w:type="dxa"/>
            <w:noWrap/>
            <w:vAlign w:val="bottom"/>
          </w:tcPr>
          <w:p w14:paraId="5CA374E6" w14:textId="3CE6C8A9" w:rsidR="0004484C" w:rsidRPr="0004484C" w:rsidRDefault="0004484C" w:rsidP="0004484C">
            <w:pPr>
              <w:contextualSpacing/>
              <w:jc w:val="right"/>
              <w:rPr>
                <w:rFonts w:cs="Arial"/>
                <w:sz w:val="16"/>
                <w:szCs w:val="16"/>
              </w:rPr>
            </w:pPr>
            <w:r w:rsidRPr="0004484C">
              <w:rPr>
                <w:sz w:val="16"/>
                <w:szCs w:val="16"/>
              </w:rPr>
              <w:t>49,300</w:t>
            </w:r>
          </w:p>
        </w:tc>
        <w:tc>
          <w:tcPr>
            <w:tcW w:w="748" w:type="dxa"/>
            <w:shd w:val="clear" w:color="000000" w:fill="FFFFFF"/>
            <w:noWrap/>
            <w:vAlign w:val="center"/>
          </w:tcPr>
          <w:p w14:paraId="05C88535" w14:textId="791269EF" w:rsidR="0004484C" w:rsidRPr="0004484C" w:rsidRDefault="0004484C" w:rsidP="0004484C">
            <w:pPr>
              <w:contextualSpacing/>
              <w:jc w:val="center"/>
              <w:rPr>
                <w:rFonts w:cs="Arial"/>
                <w:sz w:val="16"/>
                <w:szCs w:val="16"/>
                <w:lang w:eastAsia="cs-CZ"/>
              </w:rPr>
            </w:pPr>
            <w:r w:rsidRPr="0004484C">
              <w:rPr>
                <w:rFonts w:cs="Arial"/>
                <w:color w:val="000000"/>
                <w:sz w:val="16"/>
                <w:szCs w:val="16"/>
              </w:rPr>
              <w:t>125</w:t>
            </w:r>
          </w:p>
        </w:tc>
        <w:tc>
          <w:tcPr>
            <w:tcW w:w="748" w:type="dxa"/>
            <w:noWrap/>
            <w:vAlign w:val="bottom"/>
          </w:tcPr>
          <w:p w14:paraId="78AAFA13" w14:textId="316BF64E" w:rsidR="0004484C" w:rsidRPr="0004484C" w:rsidRDefault="0004484C" w:rsidP="0004484C">
            <w:pPr>
              <w:contextualSpacing/>
              <w:jc w:val="right"/>
              <w:rPr>
                <w:rFonts w:cs="Arial"/>
                <w:sz w:val="16"/>
                <w:szCs w:val="16"/>
              </w:rPr>
            </w:pPr>
            <w:r w:rsidRPr="0004484C">
              <w:rPr>
                <w:sz w:val="16"/>
                <w:szCs w:val="16"/>
              </w:rPr>
              <w:t>5,110</w:t>
            </w:r>
          </w:p>
        </w:tc>
        <w:tc>
          <w:tcPr>
            <w:tcW w:w="748" w:type="dxa"/>
            <w:shd w:val="clear" w:color="000000" w:fill="FFFFFF"/>
            <w:noWrap/>
            <w:vAlign w:val="center"/>
          </w:tcPr>
          <w:p w14:paraId="5248911B" w14:textId="544FD042" w:rsidR="0004484C" w:rsidRPr="0004484C" w:rsidRDefault="0004484C" w:rsidP="0004484C">
            <w:pPr>
              <w:contextualSpacing/>
              <w:jc w:val="center"/>
              <w:rPr>
                <w:rFonts w:cs="Arial"/>
                <w:sz w:val="16"/>
                <w:szCs w:val="16"/>
                <w:lang w:eastAsia="cs-CZ"/>
              </w:rPr>
            </w:pPr>
            <w:r w:rsidRPr="0004484C">
              <w:rPr>
                <w:rFonts w:cs="Arial"/>
                <w:color w:val="000000"/>
                <w:sz w:val="16"/>
                <w:szCs w:val="16"/>
              </w:rPr>
              <w:t>33</w:t>
            </w:r>
          </w:p>
        </w:tc>
        <w:tc>
          <w:tcPr>
            <w:tcW w:w="868" w:type="dxa"/>
            <w:noWrap/>
            <w:vAlign w:val="bottom"/>
          </w:tcPr>
          <w:p w14:paraId="44F3895B" w14:textId="1AC4B1E8" w:rsidR="0004484C" w:rsidRPr="0004484C" w:rsidRDefault="0004484C" w:rsidP="0004484C">
            <w:pPr>
              <w:contextualSpacing/>
              <w:jc w:val="right"/>
              <w:rPr>
                <w:rFonts w:cs="Arial"/>
                <w:b/>
                <w:sz w:val="16"/>
                <w:szCs w:val="16"/>
              </w:rPr>
            </w:pPr>
            <w:r w:rsidRPr="0004484C">
              <w:rPr>
                <w:b/>
                <w:sz w:val="16"/>
                <w:szCs w:val="16"/>
              </w:rPr>
              <w:t>136,031</w:t>
            </w:r>
          </w:p>
        </w:tc>
        <w:tc>
          <w:tcPr>
            <w:tcW w:w="851" w:type="dxa"/>
            <w:shd w:val="clear" w:color="000000" w:fill="FFFFFF"/>
            <w:noWrap/>
            <w:vAlign w:val="center"/>
          </w:tcPr>
          <w:p w14:paraId="4DE94C03" w14:textId="616ECF32" w:rsidR="0004484C" w:rsidRPr="0004484C" w:rsidRDefault="0004484C" w:rsidP="0004484C">
            <w:pPr>
              <w:contextualSpacing/>
              <w:jc w:val="center"/>
              <w:rPr>
                <w:rFonts w:cs="Arial"/>
                <w:sz w:val="16"/>
                <w:szCs w:val="16"/>
                <w:lang w:eastAsia="cs-CZ"/>
              </w:rPr>
            </w:pPr>
            <w:r w:rsidRPr="0004484C">
              <w:rPr>
                <w:rFonts w:cs="Arial"/>
                <w:color w:val="000000"/>
                <w:sz w:val="16"/>
                <w:szCs w:val="16"/>
              </w:rPr>
              <w:t>471</w:t>
            </w:r>
          </w:p>
        </w:tc>
      </w:tr>
      <w:tr w:rsidR="0004484C" w:rsidRPr="00104F7D" w14:paraId="3817576C" w14:textId="77777777" w:rsidTr="00FF00CA">
        <w:trPr>
          <w:trHeight w:val="310"/>
          <w:jc w:val="center"/>
        </w:trPr>
        <w:tc>
          <w:tcPr>
            <w:tcW w:w="803" w:type="dxa"/>
            <w:noWrap/>
            <w:vAlign w:val="bottom"/>
          </w:tcPr>
          <w:p w14:paraId="075BEFB4" w14:textId="77777777" w:rsidR="0004484C" w:rsidRPr="00B26296" w:rsidRDefault="0004484C" w:rsidP="0004484C">
            <w:pPr>
              <w:contextualSpacing/>
              <w:rPr>
                <w:rFonts w:cs="Arial"/>
                <w:b/>
                <w:bCs/>
                <w:sz w:val="16"/>
                <w:szCs w:val="16"/>
              </w:rPr>
            </w:pPr>
            <w:r w:rsidRPr="00B26296">
              <w:rPr>
                <w:rFonts w:cs="Arial"/>
                <w:b/>
                <w:bCs/>
                <w:sz w:val="16"/>
                <w:szCs w:val="16"/>
              </w:rPr>
              <w:t>Odry</w:t>
            </w:r>
          </w:p>
        </w:tc>
        <w:tc>
          <w:tcPr>
            <w:tcW w:w="748" w:type="dxa"/>
            <w:noWrap/>
            <w:vAlign w:val="bottom"/>
          </w:tcPr>
          <w:p w14:paraId="6D078077" w14:textId="20984154" w:rsidR="0004484C" w:rsidRPr="0004484C" w:rsidRDefault="0004484C" w:rsidP="0004484C">
            <w:pPr>
              <w:contextualSpacing/>
              <w:jc w:val="right"/>
              <w:rPr>
                <w:rFonts w:cs="Arial"/>
                <w:sz w:val="16"/>
                <w:szCs w:val="16"/>
              </w:rPr>
            </w:pPr>
            <w:r w:rsidRPr="0004484C">
              <w:rPr>
                <w:sz w:val="16"/>
                <w:szCs w:val="16"/>
              </w:rPr>
              <w:t>90,723</w:t>
            </w:r>
          </w:p>
        </w:tc>
        <w:tc>
          <w:tcPr>
            <w:tcW w:w="748" w:type="dxa"/>
            <w:noWrap/>
            <w:vAlign w:val="center"/>
          </w:tcPr>
          <w:p w14:paraId="53D83849" w14:textId="24D4346F" w:rsidR="0004484C" w:rsidRPr="0004484C" w:rsidRDefault="0004484C" w:rsidP="0004484C">
            <w:pPr>
              <w:contextualSpacing/>
              <w:jc w:val="center"/>
              <w:rPr>
                <w:rFonts w:cs="Arial"/>
                <w:sz w:val="16"/>
                <w:szCs w:val="16"/>
                <w:lang w:eastAsia="cs-CZ"/>
              </w:rPr>
            </w:pPr>
            <w:r w:rsidRPr="0004484C">
              <w:rPr>
                <w:rFonts w:cs="Arial"/>
                <w:color w:val="000000"/>
                <w:sz w:val="16"/>
                <w:szCs w:val="16"/>
              </w:rPr>
              <w:t>298</w:t>
            </w:r>
          </w:p>
        </w:tc>
        <w:tc>
          <w:tcPr>
            <w:tcW w:w="748" w:type="dxa"/>
            <w:noWrap/>
            <w:vAlign w:val="bottom"/>
          </w:tcPr>
          <w:p w14:paraId="28F42775" w14:textId="1326686A" w:rsidR="0004484C" w:rsidRPr="0004484C" w:rsidRDefault="0004484C" w:rsidP="0004484C">
            <w:pPr>
              <w:contextualSpacing/>
              <w:jc w:val="right"/>
              <w:rPr>
                <w:rFonts w:cs="Arial"/>
                <w:sz w:val="16"/>
                <w:szCs w:val="16"/>
              </w:rPr>
            </w:pPr>
            <w:r w:rsidRPr="0004484C">
              <w:rPr>
                <w:sz w:val="16"/>
                <w:szCs w:val="16"/>
              </w:rPr>
              <w:t>0,012</w:t>
            </w:r>
          </w:p>
        </w:tc>
        <w:tc>
          <w:tcPr>
            <w:tcW w:w="748" w:type="dxa"/>
            <w:noWrap/>
            <w:vAlign w:val="center"/>
          </w:tcPr>
          <w:p w14:paraId="399A6C4D" w14:textId="31CC269E" w:rsidR="0004484C" w:rsidRPr="0004484C" w:rsidRDefault="0004484C" w:rsidP="0004484C">
            <w:pPr>
              <w:contextualSpacing/>
              <w:jc w:val="center"/>
              <w:rPr>
                <w:rFonts w:cs="Arial"/>
                <w:sz w:val="16"/>
                <w:szCs w:val="16"/>
                <w:lang w:eastAsia="cs-CZ"/>
              </w:rPr>
            </w:pPr>
            <w:r w:rsidRPr="0004484C">
              <w:rPr>
                <w:rFonts w:cs="Arial"/>
                <w:color w:val="000000"/>
                <w:sz w:val="16"/>
                <w:szCs w:val="16"/>
              </w:rPr>
              <w:t>1</w:t>
            </w:r>
          </w:p>
        </w:tc>
        <w:tc>
          <w:tcPr>
            <w:tcW w:w="748" w:type="dxa"/>
            <w:noWrap/>
            <w:vAlign w:val="bottom"/>
          </w:tcPr>
          <w:p w14:paraId="743993AC" w14:textId="0EA64E48" w:rsidR="0004484C" w:rsidRPr="0004484C" w:rsidRDefault="0004484C" w:rsidP="0004484C">
            <w:pPr>
              <w:contextualSpacing/>
              <w:jc w:val="right"/>
              <w:rPr>
                <w:rFonts w:cs="Arial"/>
                <w:sz w:val="16"/>
                <w:szCs w:val="16"/>
              </w:rPr>
            </w:pPr>
            <w:r w:rsidRPr="0004484C">
              <w:rPr>
                <w:sz w:val="16"/>
                <w:szCs w:val="16"/>
              </w:rPr>
              <w:t>6,110</w:t>
            </w:r>
          </w:p>
        </w:tc>
        <w:tc>
          <w:tcPr>
            <w:tcW w:w="749" w:type="dxa"/>
            <w:noWrap/>
            <w:vAlign w:val="center"/>
          </w:tcPr>
          <w:p w14:paraId="5FE3152F" w14:textId="47CFD83E" w:rsidR="0004484C" w:rsidRPr="0004484C" w:rsidRDefault="0004484C" w:rsidP="0004484C">
            <w:pPr>
              <w:contextualSpacing/>
              <w:jc w:val="center"/>
              <w:rPr>
                <w:rFonts w:cs="Arial"/>
                <w:sz w:val="16"/>
                <w:szCs w:val="16"/>
                <w:lang w:eastAsia="cs-CZ"/>
              </w:rPr>
            </w:pPr>
            <w:r w:rsidRPr="0004484C">
              <w:rPr>
                <w:rFonts w:cs="Arial"/>
                <w:color w:val="000000"/>
                <w:sz w:val="16"/>
                <w:szCs w:val="16"/>
              </w:rPr>
              <w:t>15</w:t>
            </w:r>
          </w:p>
        </w:tc>
        <w:tc>
          <w:tcPr>
            <w:tcW w:w="748" w:type="dxa"/>
            <w:noWrap/>
            <w:vAlign w:val="bottom"/>
          </w:tcPr>
          <w:p w14:paraId="25B094E7" w14:textId="0B160C26" w:rsidR="0004484C" w:rsidRPr="0004484C" w:rsidRDefault="0004484C" w:rsidP="0004484C">
            <w:pPr>
              <w:contextualSpacing/>
              <w:jc w:val="right"/>
              <w:rPr>
                <w:rFonts w:cs="Arial"/>
                <w:sz w:val="16"/>
                <w:szCs w:val="16"/>
              </w:rPr>
            </w:pPr>
            <w:r w:rsidRPr="0004484C">
              <w:rPr>
                <w:sz w:val="16"/>
                <w:szCs w:val="16"/>
              </w:rPr>
              <w:t>35,861</w:t>
            </w:r>
          </w:p>
        </w:tc>
        <w:tc>
          <w:tcPr>
            <w:tcW w:w="748" w:type="dxa"/>
            <w:noWrap/>
            <w:vAlign w:val="center"/>
          </w:tcPr>
          <w:p w14:paraId="024D19D2" w14:textId="3A308C0D" w:rsidR="0004484C" w:rsidRPr="0004484C" w:rsidRDefault="0004484C" w:rsidP="0004484C">
            <w:pPr>
              <w:contextualSpacing/>
              <w:jc w:val="center"/>
              <w:rPr>
                <w:rFonts w:cs="Arial"/>
                <w:sz w:val="16"/>
                <w:szCs w:val="16"/>
                <w:lang w:eastAsia="cs-CZ"/>
              </w:rPr>
            </w:pPr>
            <w:r w:rsidRPr="0004484C">
              <w:rPr>
                <w:rFonts w:cs="Arial"/>
                <w:color w:val="000000"/>
                <w:sz w:val="16"/>
                <w:szCs w:val="16"/>
              </w:rPr>
              <w:t>77</w:t>
            </w:r>
          </w:p>
        </w:tc>
        <w:tc>
          <w:tcPr>
            <w:tcW w:w="748" w:type="dxa"/>
            <w:noWrap/>
            <w:vAlign w:val="bottom"/>
          </w:tcPr>
          <w:p w14:paraId="62E42DBB" w14:textId="21A59180" w:rsidR="0004484C" w:rsidRPr="0004484C" w:rsidRDefault="0004484C" w:rsidP="0004484C">
            <w:pPr>
              <w:contextualSpacing/>
              <w:jc w:val="right"/>
              <w:rPr>
                <w:rFonts w:cs="Arial"/>
                <w:sz w:val="16"/>
                <w:szCs w:val="16"/>
              </w:rPr>
            </w:pPr>
            <w:r w:rsidRPr="0004484C">
              <w:rPr>
                <w:sz w:val="16"/>
                <w:szCs w:val="16"/>
              </w:rPr>
              <w:t>4,436</w:t>
            </w:r>
          </w:p>
        </w:tc>
        <w:tc>
          <w:tcPr>
            <w:tcW w:w="748" w:type="dxa"/>
            <w:shd w:val="clear" w:color="auto" w:fill="FFFFFF"/>
            <w:noWrap/>
            <w:vAlign w:val="center"/>
          </w:tcPr>
          <w:p w14:paraId="66BB51B9" w14:textId="22F06E81" w:rsidR="0004484C" w:rsidRPr="0004484C" w:rsidRDefault="0004484C" w:rsidP="0004484C">
            <w:pPr>
              <w:contextualSpacing/>
              <w:jc w:val="center"/>
              <w:rPr>
                <w:rFonts w:cs="Arial"/>
                <w:sz w:val="16"/>
                <w:szCs w:val="16"/>
                <w:lang w:eastAsia="cs-CZ"/>
              </w:rPr>
            </w:pPr>
            <w:r w:rsidRPr="0004484C">
              <w:rPr>
                <w:rFonts w:cs="Arial"/>
                <w:color w:val="000000"/>
                <w:sz w:val="16"/>
                <w:szCs w:val="16"/>
              </w:rPr>
              <w:t>69</w:t>
            </w:r>
          </w:p>
        </w:tc>
        <w:tc>
          <w:tcPr>
            <w:tcW w:w="868" w:type="dxa"/>
            <w:noWrap/>
            <w:vAlign w:val="bottom"/>
          </w:tcPr>
          <w:p w14:paraId="3B3B218A" w14:textId="5170352C" w:rsidR="0004484C" w:rsidRPr="0004484C" w:rsidRDefault="0004484C" w:rsidP="0004484C">
            <w:pPr>
              <w:contextualSpacing/>
              <w:jc w:val="right"/>
              <w:rPr>
                <w:rFonts w:cs="Arial"/>
                <w:b/>
                <w:sz w:val="16"/>
                <w:szCs w:val="16"/>
              </w:rPr>
            </w:pPr>
            <w:r w:rsidRPr="0004484C">
              <w:rPr>
                <w:b/>
                <w:sz w:val="16"/>
                <w:szCs w:val="16"/>
              </w:rPr>
              <w:t>137,142</w:t>
            </w:r>
          </w:p>
        </w:tc>
        <w:tc>
          <w:tcPr>
            <w:tcW w:w="851" w:type="dxa"/>
            <w:noWrap/>
            <w:vAlign w:val="center"/>
          </w:tcPr>
          <w:p w14:paraId="66828438" w14:textId="37A4C7E8" w:rsidR="0004484C" w:rsidRPr="0004484C" w:rsidRDefault="0004484C" w:rsidP="0004484C">
            <w:pPr>
              <w:contextualSpacing/>
              <w:jc w:val="center"/>
              <w:rPr>
                <w:rFonts w:cs="Arial"/>
                <w:sz w:val="16"/>
                <w:szCs w:val="16"/>
                <w:lang w:eastAsia="cs-CZ"/>
              </w:rPr>
            </w:pPr>
            <w:r w:rsidRPr="0004484C">
              <w:rPr>
                <w:rFonts w:cs="Arial"/>
                <w:color w:val="000000"/>
                <w:sz w:val="16"/>
                <w:szCs w:val="16"/>
              </w:rPr>
              <w:t>460</w:t>
            </w:r>
          </w:p>
        </w:tc>
      </w:tr>
      <w:tr w:rsidR="0004484C" w:rsidRPr="00104F7D" w14:paraId="36E326A0" w14:textId="77777777" w:rsidTr="00FF00CA">
        <w:trPr>
          <w:trHeight w:val="328"/>
          <w:jc w:val="center"/>
        </w:trPr>
        <w:tc>
          <w:tcPr>
            <w:tcW w:w="803" w:type="dxa"/>
            <w:noWrap/>
            <w:vAlign w:val="bottom"/>
          </w:tcPr>
          <w:p w14:paraId="7281A678" w14:textId="77777777" w:rsidR="0004484C" w:rsidRPr="00B26296" w:rsidRDefault="0004484C" w:rsidP="0004484C">
            <w:pPr>
              <w:contextualSpacing/>
              <w:rPr>
                <w:rFonts w:cs="Arial"/>
                <w:b/>
                <w:bCs/>
                <w:sz w:val="16"/>
                <w:szCs w:val="16"/>
              </w:rPr>
            </w:pPr>
            <w:r w:rsidRPr="00B26296">
              <w:rPr>
                <w:rFonts w:cs="Arial"/>
                <w:b/>
                <w:bCs/>
                <w:sz w:val="16"/>
                <w:szCs w:val="16"/>
              </w:rPr>
              <w:t>Moravy</w:t>
            </w:r>
          </w:p>
        </w:tc>
        <w:tc>
          <w:tcPr>
            <w:tcW w:w="748" w:type="dxa"/>
            <w:noWrap/>
            <w:vAlign w:val="bottom"/>
          </w:tcPr>
          <w:p w14:paraId="72DC3A6F" w14:textId="327E52EC" w:rsidR="0004484C" w:rsidRPr="0004484C" w:rsidRDefault="0004484C" w:rsidP="0004484C">
            <w:pPr>
              <w:contextualSpacing/>
              <w:jc w:val="right"/>
              <w:rPr>
                <w:rFonts w:cs="Arial"/>
                <w:color w:val="000000" w:themeColor="text1"/>
                <w:sz w:val="16"/>
                <w:szCs w:val="16"/>
              </w:rPr>
            </w:pPr>
            <w:r w:rsidRPr="0004484C">
              <w:rPr>
                <w:sz w:val="16"/>
                <w:szCs w:val="16"/>
              </w:rPr>
              <w:t>205,735</w:t>
            </w:r>
          </w:p>
        </w:tc>
        <w:tc>
          <w:tcPr>
            <w:tcW w:w="748" w:type="dxa"/>
            <w:noWrap/>
            <w:vAlign w:val="center"/>
          </w:tcPr>
          <w:p w14:paraId="05BAA372" w14:textId="35BC223C" w:rsidR="0004484C" w:rsidRPr="0004484C" w:rsidRDefault="0004484C" w:rsidP="0004484C">
            <w:pPr>
              <w:contextualSpacing/>
              <w:jc w:val="center"/>
              <w:rPr>
                <w:rFonts w:cs="Arial"/>
                <w:color w:val="000000" w:themeColor="text1"/>
                <w:sz w:val="16"/>
                <w:szCs w:val="16"/>
                <w:lang w:eastAsia="cs-CZ"/>
              </w:rPr>
            </w:pPr>
            <w:r w:rsidRPr="0004484C">
              <w:rPr>
                <w:rFonts w:cs="Arial"/>
                <w:color w:val="000000" w:themeColor="text1"/>
                <w:sz w:val="16"/>
                <w:szCs w:val="16"/>
              </w:rPr>
              <w:t>1 201</w:t>
            </w:r>
          </w:p>
        </w:tc>
        <w:tc>
          <w:tcPr>
            <w:tcW w:w="748" w:type="dxa"/>
            <w:noWrap/>
            <w:vAlign w:val="bottom"/>
          </w:tcPr>
          <w:p w14:paraId="641D0E46" w14:textId="2EDBDBA2" w:rsidR="0004484C" w:rsidRPr="0004484C" w:rsidRDefault="0004484C" w:rsidP="0004484C">
            <w:pPr>
              <w:contextualSpacing/>
              <w:jc w:val="right"/>
              <w:rPr>
                <w:rFonts w:cs="Arial"/>
                <w:color w:val="000000" w:themeColor="text1"/>
                <w:sz w:val="16"/>
                <w:szCs w:val="16"/>
              </w:rPr>
            </w:pPr>
            <w:r w:rsidRPr="0004484C">
              <w:rPr>
                <w:sz w:val="16"/>
                <w:szCs w:val="16"/>
              </w:rPr>
              <w:t>0,227</w:t>
            </w:r>
          </w:p>
        </w:tc>
        <w:tc>
          <w:tcPr>
            <w:tcW w:w="748" w:type="dxa"/>
            <w:noWrap/>
            <w:vAlign w:val="center"/>
          </w:tcPr>
          <w:p w14:paraId="49B986AB" w14:textId="0B58BDE4" w:rsidR="0004484C" w:rsidRPr="0004484C" w:rsidRDefault="0004484C" w:rsidP="0004484C">
            <w:pPr>
              <w:contextualSpacing/>
              <w:jc w:val="center"/>
              <w:rPr>
                <w:rFonts w:cs="Arial"/>
                <w:color w:val="000000" w:themeColor="text1"/>
                <w:sz w:val="16"/>
                <w:szCs w:val="16"/>
                <w:lang w:eastAsia="cs-CZ"/>
              </w:rPr>
            </w:pPr>
            <w:r w:rsidRPr="0004484C">
              <w:rPr>
                <w:rFonts w:cs="Arial"/>
                <w:color w:val="000000" w:themeColor="text1"/>
                <w:sz w:val="16"/>
                <w:szCs w:val="16"/>
              </w:rPr>
              <w:t>6</w:t>
            </w:r>
          </w:p>
        </w:tc>
        <w:tc>
          <w:tcPr>
            <w:tcW w:w="748" w:type="dxa"/>
            <w:noWrap/>
            <w:vAlign w:val="bottom"/>
          </w:tcPr>
          <w:p w14:paraId="6D7035E5" w14:textId="68B2878A" w:rsidR="0004484C" w:rsidRPr="0004484C" w:rsidRDefault="0004484C" w:rsidP="0004484C">
            <w:pPr>
              <w:contextualSpacing/>
              <w:jc w:val="right"/>
              <w:rPr>
                <w:rFonts w:cs="Arial"/>
                <w:color w:val="000000" w:themeColor="text1"/>
                <w:sz w:val="16"/>
                <w:szCs w:val="16"/>
              </w:rPr>
            </w:pPr>
            <w:r w:rsidRPr="0004484C">
              <w:rPr>
                <w:sz w:val="16"/>
                <w:szCs w:val="16"/>
              </w:rPr>
              <w:t>21,527</w:t>
            </w:r>
          </w:p>
        </w:tc>
        <w:tc>
          <w:tcPr>
            <w:tcW w:w="749" w:type="dxa"/>
            <w:noWrap/>
            <w:vAlign w:val="center"/>
          </w:tcPr>
          <w:p w14:paraId="04D081FD" w14:textId="38E704CB" w:rsidR="0004484C" w:rsidRPr="0004484C" w:rsidRDefault="0004484C" w:rsidP="0004484C">
            <w:pPr>
              <w:contextualSpacing/>
              <w:jc w:val="center"/>
              <w:rPr>
                <w:rFonts w:cs="Arial"/>
                <w:color w:val="000000" w:themeColor="text1"/>
                <w:sz w:val="16"/>
                <w:szCs w:val="16"/>
                <w:lang w:eastAsia="cs-CZ"/>
              </w:rPr>
            </w:pPr>
            <w:r w:rsidRPr="0004484C">
              <w:rPr>
                <w:rFonts w:cs="Arial"/>
                <w:color w:val="000000" w:themeColor="text1"/>
                <w:sz w:val="16"/>
                <w:szCs w:val="16"/>
              </w:rPr>
              <w:t>13</w:t>
            </w:r>
          </w:p>
        </w:tc>
        <w:tc>
          <w:tcPr>
            <w:tcW w:w="748" w:type="dxa"/>
            <w:noWrap/>
            <w:vAlign w:val="bottom"/>
          </w:tcPr>
          <w:p w14:paraId="4E177AAF" w14:textId="1ACD3A62" w:rsidR="0004484C" w:rsidRPr="0004484C" w:rsidRDefault="0004484C" w:rsidP="0004484C">
            <w:pPr>
              <w:contextualSpacing/>
              <w:jc w:val="right"/>
              <w:rPr>
                <w:rFonts w:cs="Arial"/>
                <w:bCs/>
                <w:color w:val="000000" w:themeColor="text1"/>
                <w:sz w:val="16"/>
                <w:szCs w:val="16"/>
              </w:rPr>
            </w:pPr>
            <w:r w:rsidRPr="0004484C">
              <w:rPr>
                <w:sz w:val="16"/>
                <w:szCs w:val="16"/>
              </w:rPr>
              <w:t>21,551</w:t>
            </w:r>
          </w:p>
        </w:tc>
        <w:tc>
          <w:tcPr>
            <w:tcW w:w="748" w:type="dxa"/>
            <w:noWrap/>
            <w:vAlign w:val="center"/>
          </w:tcPr>
          <w:p w14:paraId="75CA791E" w14:textId="1ABDAB16" w:rsidR="0004484C" w:rsidRPr="0004484C" w:rsidRDefault="0004484C" w:rsidP="0004484C">
            <w:pPr>
              <w:contextualSpacing/>
              <w:jc w:val="center"/>
              <w:rPr>
                <w:rFonts w:cs="Arial"/>
                <w:color w:val="000000" w:themeColor="text1"/>
                <w:sz w:val="16"/>
                <w:szCs w:val="16"/>
                <w:lang w:eastAsia="cs-CZ"/>
              </w:rPr>
            </w:pPr>
            <w:r w:rsidRPr="0004484C">
              <w:rPr>
                <w:rFonts w:cs="Arial"/>
                <w:color w:val="000000" w:themeColor="text1"/>
                <w:sz w:val="16"/>
                <w:szCs w:val="16"/>
              </w:rPr>
              <w:t>134</w:t>
            </w:r>
          </w:p>
        </w:tc>
        <w:tc>
          <w:tcPr>
            <w:tcW w:w="748" w:type="dxa"/>
            <w:noWrap/>
            <w:vAlign w:val="bottom"/>
          </w:tcPr>
          <w:p w14:paraId="7395632A" w14:textId="0816348A" w:rsidR="0004484C" w:rsidRPr="0004484C" w:rsidRDefault="0004484C" w:rsidP="0004484C">
            <w:pPr>
              <w:contextualSpacing/>
              <w:jc w:val="right"/>
              <w:rPr>
                <w:rFonts w:cs="Arial"/>
                <w:color w:val="000000" w:themeColor="text1"/>
                <w:sz w:val="16"/>
                <w:szCs w:val="16"/>
              </w:rPr>
            </w:pPr>
            <w:r w:rsidRPr="0004484C">
              <w:rPr>
                <w:sz w:val="16"/>
                <w:szCs w:val="16"/>
              </w:rPr>
              <w:t>3,010</w:t>
            </w:r>
          </w:p>
        </w:tc>
        <w:tc>
          <w:tcPr>
            <w:tcW w:w="748" w:type="dxa"/>
            <w:noWrap/>
            <w:vAlign w:val="center"/>
          </w:tcPr>
          <w:p w14:paraId="450A386B" w14:textId="3A842EC9" w:rsidR="0004484C" w:rsidRPr="0004484C" w:rsidRDefault="0004484C" w:rsidP="0004484C">
            <w:pPr>
              <w:contextualSpacing/>
              <w:jc w:val="center"/>
              <w:rPr>
                <w:rFonts w:cs="Arial"/>
                <w:sz w:val="16"/>
                <w:szCs w:val="16"/>
                <w:lang w:eastAsia="cs-CZ"/>
              </w:rPr>
            </w:pPr>
            <w:r w:rsidRPr="0004484C">
              <w:rPr>
                <w:rFonts w:cs="Arial"/>
                <w:color w:val="000000"/>
                <w:sz w:val="16"/>
                <w:szCs w:val="16"/>
              </w:rPr>
              <w:t>97</w:t>
            </w:r>
          </w:p>
        </w:tc>
        <w:tc>
          <w:tcPr>
            <w:tcW w:w="868" w:type="dxa"/>
            <w:noWrap/>
            <w:vAlign w:val="bottom"/>
          </w:tcPr>
          <w:p w14:paraId="34234BF2" w14:textId="2A36D80E" w:rsidR="0004484C" w:rsidRPr="0004484C" w:rsidRDefault="0004484C" w:rsidP="0004484C">
            <w:pPr>
              <w:contextualSpacing/>
              <w:jc w:val="right"/>
              <w:rPr>
                <w:rFonts w:cs="Arial"/>
                <w:b/>
                <w:sz w:val="16"/>
                <w:szCs w:val="16"/>
              </w:rPr>
            </w:pPr>
            <w:r w:rsidRPr="0004484C">
              <w:rPr>
                <w:b/>
                <w:sz w:val="16"/>
                <w:szCs w:val="16"/>
              </w:rPr>
              <w:t>252,050</w:t>
            </w:r>
          </w:p>
        </w:tc>
        <w:tc>
          <w:tcPr>
            <w:tcW w:w="851" w:type="dxa"/>
            <w:noWrap/>
            <w:vAlign w:val="center"/>
          </w:tcPr>
          <w:p w14:paraId="49254C0B" w14:textId="77FCCE8D" w:rsidR="0004484C" w:rsidRPr="0004484C" w:rsidRDefault="0004484C" w:rsidP="0004484C">
            <w:pPr>
              <w:contextualSpacing/>
              <w:jc w:val="center"/>
              <w:rPr>
                <w:rFonts w:cs="Arial"/>
                <w:sz w:val="16"/>
                <w:szCs w:val="16"/>
                <w:lang w:eastAsia="cs-CZ"/>
              </w:rPr>
            </w:pPr>
            <w:r w:rsidRPr="0004484C">
              <w:rPr>
                <w:rFonts w:cs="Arial"/>
                <w:color w:val="000000"/>
                <w:sz w:val="16"/>
                <w:szCs w:val="16"/>
              </w:rPr>
              <w:t>1 451</w:t>
            </w:r>
          </w:p>
        </w:tc>
      </w:tr>
      <w:tr w:rsidR="0004484C" w:rsidRPr="00104F7D" w14:paraId="57C1E760" w14:textId="77777777" w:rsidTr="00FF00CA">
        <w:trPr>
          <w:trHeight w:val="328"/>
          <w:jc w:val="center"/>
        </w:trPr>
        <w:tc>
          <w:tcPr>
            <w:tcW w:w="803" w:type="dxa"/>
            <w:shd w:val="clear" w:color="auto" w:fill="D9D9D9"/>
            <w:noWrap/>
            <w:vAlign w:val="bottom"/>
          </w:tcPr>
          <w:p w14:paraId="434D9FCB" w14:textId="77777777" w:rsidR="0004484C" w:rsidRPr="00B26296" w:rsidRDefault="0004484C" w:rsidP="0004484C">
            <w:pPr>
              <w:contextualSpacing/>
              <w:rPr>
                <w:rFonts w:cs="Arial"/>
                <w:b/>
                <w:bCs/>
                <w:sz w:val="16"/>
                <w:szCs w:val="16"/>
              </w:rPr>
            </w:pPr>
            <w:r w:rsidRPr="00B26296">
              <w:rPr>
                <w:rFonts w:cs="Arial"/>
                <w:b/>
                <w:bCs/>
                <w:sz w:val="16"/>
                <w:szCs w:val="16"/>
              </w:rPr>
              <w:t>Celkem</w:t>
            </w:r>
          </w:p>
        </w:tc>
        <w:tc>
          <w:tcPr>
            <w:tcW w:w="748" w:type="dxa"/>
            <w:shd w:val="clear" w:color="auto" w:fill="D9D9D9"/>
            <w:noWrap/>
            <w:vAlign w:val="center"/>
          </w:tcPr>
          <w:p w14:paraId="13F7F628" w14:textId="366CF9E6" w:rsidR="0004484C" w:rsidRPr="0004484C" w:rsidRDefault="0004484C" w:rsidP="0004484C">
            <w:pPr>
              <w:contextualSpacing/>
              <w:jc w:val="right"/>
              <w:rPr>
                <w:rFonts w:cs="Arial"/>
                <w:b/>
                <w:sz w:val="16"/>
                <w:szCs w:val="16"/>
              </w:rPr>
            </w:pPr>
            <w:r w:rsidRPr="0004484C">
              <w:rPr>
                <w:b/>
                <w:sz w:val="16"/>
                <w:szCs w:val="16"/>
              </w:rPr>
              <w:t>794,181</w:t>
            </w:r>
          </w:p>
        </w:tc>
        <w:tc>
          <w:tcPr>
            <w:tcW w:w="748" w:type="dxa"/>
            <w:shd w:val="clear" w:color="auto" w:fill="D9D9D9"/>
            <w:noWrap/>
            <w:vAlign w:val="center"/>
          </w:tcPr>
          <w:p w14:paraId="2AAB13FB" w14:textId="49450AF3" w:rsidR="0004484C" w:rsidRPr="0004484C" w:rsidRDefault="0004484C" w:rsidP="0004484C">
            <w:pPr>
              <w:contextualSpacing/>
              <w:jc w:val="center"/>
              <w:rPr>
                <w:rFonts w:cs="Arial"/>
                <w:b/>
                <w:bCs/>
                <w:sz w:val="16"/>
                <w:szCs w:val="16"/>
                <w:lang w:eastAsia="cs-CZ"/>
              </w:rPr>
            </w:pPr>
            <w:r w:rsidRPr="0004484C">
              <w:rPr>
                <w:rFonts w:cs="Arial"/>
                <w:b/>
                <w:bCs/>
                <w:color w:val="000000"/>
                <w:sz w:val="16"/>
                <w:szCs w:val="16"/>
              </w:rPr>
              <w:t>3 392</w:t>
            </w:r>
          </w:p>
        </w:tc>
        <w:tc>
          <w:tcPr>
            <w:tcW w:w="748" w:type="dxa"/>
            <w:shd w:val="clear" w:color="auto" w:fill="D9D9D9"/>
            <w:noWrap/>
            <w:vAlign w:val="center"/>
          </w:tcPr>
          <w:p w14:paraId="002A478C" w14:textId="79C63593" w:rsidR="0004484C" w:rsidRPr="0004484C" w:rsidRDefault="0004484C" w:rsidP="0004484C">
            <w:pPr>
              <w:contextualSpacing/>
              <w:jc w:val="right"/>
              <w:rPr>
                <w:rFonts w:cs="Arial"/>
                <w:b/>
                <w:sz w:val="16"/>
                <w:szCs w:val="16"/>
              </w:rPr>
            </w:pPr>
            <w:r w:rsidRPr="0004484C">
              <w:rPr>
                <w:b/>
                <w:sz w:val="16"/>
                <w:szCs w:val="16"/>
              </w:rPr>
              <w:t>2,191</w:t>
            </w:r>
          </w:p>
        </w:tc>
        <w:tc>
          <w:tcPr>
            <w:tcW w:w="748" w:type="dxa"/>
            <w:shd w:val="clear" w:color="auto" w:fill="D9D9D9"/>
            <w:noWrap/>
            <w:vAlign w:val="center"/>
          </w:tcPr>
          <w:p w14:paraId="710784A6" w14:textId="61C0F08E" w:rsidR="0004484C" w:rsidRPr="0004484C" w:rsidRDefault="0004484C" w:rsidP="0004484C">
            <w:pPr>
              <w:contextualSpacing/>
              <w:jc w:val="center"/>
              <w:rPr>
                <w:rFonts w:cs="Arial"/>
                <w:b/>
                <w:bCs/>
                <w:sz w:val="16"/>
                <w:szCs w:val="16"/>
                <w:lang w:eastAsia="cs-CZ"/>
              </w:rPr>
            </w:pPr>
            <w:r w:rsidRPr="0004484C">
              <w:rPr>
                <w:rFonts w:cs="Arial"/>
                <w:b/>
                <w:bCs/>
                <w:color w:val="000000"/>
                <w:sz w:val="16"/>
                <w:szCs w:val="16"/>
              </w:rPr>
              <w:t>15</w:t>
            </w:r>
          </w:p>
        </w:tc>
        <w:tc>
          <w:tcPr>
            <w:tcW w:w="748" w:type="dxa"/>
            <w:shd w:val="clear" w:color="auto" w:fill="D9D9D9"/>
            <w:noWrap/>
            <w:vAlign w:val="center"/>
          </w:tcPr>
          <w:p w14:paraId="4878B663" w14:textId="2EFB8132" w:rsidR="0004484C" w:rsidRPr="0004484C" w:rsidRDefault="0004484C" w:rsidP="0004484C">
            <w:pPr>
              <w:contextualSpacing/>
              <w:jc w:val="right"/>
              <w:rPr>
                <w:rFonts w:cs="Arial"/>
                <w:b/>
                <w:sz w:val="16"/>
                <w:szCs w:val="16"/>
              </w:rPr>
            </w:pPr>
            <w:r w:rsidRPr="0004484C">
              <w:rPr>
                <w:b/>
                <w:sz w:val="16"/>
                <w:szCs w:val="16"/>
              </w:rPr>
              <w:t>205,064</w:t>
            </w:r>
          </w:p>
        </w:tc>
        <w:tc>
          <w:tcPr>
            <w:tcW w:w="749" w:type="dxa"/>
            <w:shd w:val="clear" w:color="auto" w:fill="D9D9D9"/>
            <w:noWrap/>
            <w:vAlign w:val="center"/>
          </w:tcPr>
          <w:p w14:paraId="59F9D359" w14:textId="1C3BEF01" w:rsidR="0004484C" w:rsidRPr="0004484C" w:rsidRDefault="0004484C" w:rsidP="0004484C">
            <w:pPr>
              <w:contextualSpacing/>
              <w:jc w:val="center"/>
              <w:rPr>
                <w:rFonts w:cs="Arial"/>
                <w:b/>
                <w:bCs/>
                <w:sz w:val="16"/>
                <w:szCs w:val="16"/>
                <w:lang w:eastAsia="cs-CZ"/>
              </w:rPr>
            </w:pPr>
            <w:r w:rsidRPr="0004484C">
              <w:rPr>
                <w:rFonts w:cs="Arial"/>
                <w:b/>
                <w:bCs/>
                <w:color w:val="000000"/>
                <w:sz w:val="16"/>
                <w:szCs w:val="16"/>
              </w:rPr>
              <w:t>86</w:t>
            </w:r>
          </w:p>
        </w:tc>
        <w:tc>
          <w:tcPr>
            <w:tcW w:w="748" w:type="dxa"/>
            <w:shd w:val="clear" w:color="auto" w:fill="D9D9D9"/>
            <w:noWrap/>
            <w:vAlign w:val="center"/>
          </w:tcPr>
          <w:p w14:paraId="602DDFF0" w14:textId="5B417F92" w:rsidR="0004484C" w:rsidRPr="0004484C" w:rsidRDefault="0004484C" w:rsidP="0004484C">
            <w:pPr>
              <w:contextualSpacing/>
              <w:jc w:val="right"/>
              <w:rPr>
                <w:rFonts w:cs="Arial"/>
                <w:b/>
                <w:sz w:val="16"/>
                <w:szCs w:val="16"/>
              </w:rPr>
            </w:pPr>
            <w:r w:rsidRPr="0004484C">
              <w:rPr>
                <w:b/>
                <w:sz w:val="16"/>
                <w:szCs w:val="16"/>
              </w:rPr>
              <w:t>192,134</w:t>
            </w:r>
          </w:p>
        </w:tc>
        <w:tc>
          <w:tcPr>
            <w:tcW w:w="748" w:type="dxa"/>
            <w:shd w:val="clear" w:color="auto" w:fill="D9D9D9"/>
            <w:noWrap/>
            <w:vAlign w:val="center"/>
          </w:tcPr>
          <w:p w14:paraId="5AF4D586" w14:textId="6BDE68A9" w:rsidR="0004484C" w:rsidRPr="0004484C" w:rsidRDefault="0004484C" w:rsidP="0004484C">
            <w:pPr>
              <w:contextualSpacing/>
              <w:jc w:val="center"/>
              <w:rPr>
                <w:rFonts w:cs="Arial"/>
                <w:b/>
                <w:bCs/>
                <w:sz w:val="16"/>
                <w:szCs w:val="16"/>
                <w:lang w:eastAsia="cs-CZ"/>
              </w:rPr>
            </w:pPr>
            <w:r w:rsidRPr="0004484C">
              <w:rPr>
                <w:rFonts w:cs="Arial"/>
                <w:b/>
                <w:bCs/>
                <w:color w:val="000000"/>
                <w:sz w:val="16"/>
                <w:szCs w:val="16"/>
              </w:rPr>
              <w:t>632</w:t>
            </w:r>
          </w:p>
        </w:tc>
        <w:tc>
          <w:tcPr>
            <w:tcW w:w="748" w:type="dxa"/>
            <w:shd w:val="clear" w:color="auto" w:fill="D9D9D9"/>
            <w:noWrap/>
            <w:vAlign w:val="center"/>
          </w:tcPr>
          <w:p w14:paraId="7DB05FA0" w14:textId="72DC7618" w:rsidR="0004484C" w:rsidRPr="0004484C" w:rsidRDefault="0004484C" w:rsidP="0004484C">
            <w:pPr>
              <w:contextualSpacing/>
              <w:jc w:val="right"/>
              <w:rPr>
                <w:rFonts w:cs="Arial"/>
                <w:b/>
                <w:sz w:val="16"/>
                <w:szCs w:val="16"/>
              </w:rPr>
            </w:pPr>
            <w:r w:rsidRPr="0004484C">
              <w:rPr>
                <w:b/>
                <w:sz w:val="16"/>
                <w:szCs w:val="16"/>
              </w:rPr>
              <w:t>41,493</w:t>
            </w:r>
          </w:p>
        </w:tc>
        <w:tc>
          <w:tcPr>
            <w:tcW w:w="748" w:type="dxa"/>
            <w:shd w:val="clear" w:color="auto" w:fill="D9D9D9"/>
            <w:noWrap/>
            <w:vAlign w:val="center"/>
          </w:tcPr>
          <w:p w14:paraId="7251772E" w14:textId="56B2AC62" w:rsidR="0004484C" w:rsidRPr="0004484C" w:rsidRDefault="0004484C" w:rsidP="0004484C">
            <w:pPr>
              <w:contextualSpacing/>
              <w:jc w:val="center"/>
              <w:rPr>
                <w:rFonts w:cs="Arial"/>
                <w:b/>
                <w:bCs/>
                <w:sz w:val="16"/>
                <w:szCs w:val="16"/>
                <w:lang w:eastAsia="cs-CZ"/>
              </w:rPr>
            </w:pPr>
            <w:r w:rsidRPr="0004484C">
              <w:rPr>
                <w:rFonts w:cs="Arial"/>
                <w:b/>
                <w:bCs/>
                <w:color w:val="000000"/>
                <w:sz w:val="16"/>
                <w:szCs w:val="16"/>
              </w:rPr>
              <w:t>1 062</w:t>
            </w:r>
          </w:p>
        </w:tc>
        <w:tc>
          <w:tcPr>
            <w:tcW w:w="868" w:type="dxa"/>
            <w:shd w:val="clear" w:color="auto" w:fill="D9D9D9"/>
            <w:noWrap/>
            <w:vAlign w:val="center"/>
          </w:tcPr>
          <w:p w14:paraId="3A561BDE" w14:textId="1161D4C4" w:rsidR="0004484C" w:rsidRPr="0004484C" w:rsidRDefault="0004484C" w:rsidP="0004484C">
            <w:pPr>
              <w:contextualSpacing/>
              <w:jc w:val="right"/>
              <w:rPr>
                <w:rFonts w:cs="Arial"/>
                <w:b/>
                <w:sz w:val="16"/>
                <w:szCs w:val="16"/>
              </w:rPr>
            </w:pPr>
            <w:r w:rsidRPr="0004484C">
              <w:rPr>
                <w:b/>
                <w:sz w:val="16"/>
                <w:szCs w:val="16"/>
              </w:rPr>
              <w:t>1 235,063</w:t>
            </w:r>
          </w:p>
        </w:tc>
        <w:tc>
          <w:tcPr>
            <w:tcW w:w="851" w:type="dxa"/>
            <w:shd w:val="clear" w:color="auto" w:fill="D9D9D9"/>
            <w:noWrap/>
            <w:vAlign w:val="center"/>
          </w:tcPr>
          <w:p w14:paraId="1477ECBE" w14:textId="388CECB6" w:rsidR="0004484C" w:rsidRPr="0004484C" w:rsidRDefault="0004484C" w:rsidP="0004484C">
            <w:pPr>
              <w:contextualSpacing/>
              <w:jc w:val="center"/>
              <w:rPr>
                <w:rFonts w:cs="Arial"/>
                <w:b/>
                <w:bCs/>
                <w:sz w:val="16"/>
                <w:szCs w:val="16"/>
                <w:lang w:eastAsia="cs-CZ"/>
              </w:rPr>
            </w:pPr>
            <w:r w:rsidRPr="0004484C">
              <w:rPr>
                <w:rFonts w:cs="Arial"/>
                <w:b/>
                <w:bCs/>
                <w:color w:val="000000"/>
                <w:sz w:val="16"/>
                <w:szCs w:val="16"/>
              </w:rPr>
              <w:t>5 187</w:t>
            </w:r>
          </w:p>
        </w:tc>
      </w:tr>
    </w:tbl>
    <w:p w14:paraId="3804EA49" w14:textId="77777777" w:rsidR="00414288" w:rsidRDefault="00960D37" w:rsidP="00414288">
      <w:pPr>
        <w:contextualSpacing/>
        <w:rPr>
          <w:i/>
          <w:sz w:val="20"/>
          <w:szCs w:val="20"/>
        </w:rPr>
      </w:pPr>
      <w:r w:rsidRPr="003B26A4">
        <w:rPr>
          <w:i/>
          <w:sz w:val="20"/>
          <w:szCs w:val="20"/>
        </w:rPr>
        <w:t xml:space="preserve">Pramen: </w:t>
      </w:r>
      <w:r w:rsidR="00340859" w:rsidRPr="003B26A4">
        <w:rPr>
          <w:i/>
          <w:sz w:val="20"/>
          <w:szCs w:val="20"/>
        </w:rPr>
        <w:t>s</w:t>
      </w:r>
      <w:r w:rsidRPr="003B26A4">
        <w:rPr>
          <w:i/>
          <w:sz w:val="20"/>
          <w:szCs w:val="20"/>
        </w:rPr>
        <w:t>. p. Povodí</w:t>
      </w:r>
    </w:p>
    <w:p w14:paraId="294B05C8" w14:textId="77777777" w:rsidR="00414288" w:rsidRDefault="00414288" w:rsidP="00414288">
      <w:pPr>
        <w:contextualSpacing/>
        <w:rPr>
          <w:i/>
          <w:sz w:val="20"/>
          <w:szCs w:val="20"/>
        </w:rPr>
      </w:pPr>
    </w:p>
    <w:p w14:paraId="285A394A" w14:textId="77777777" w:rsidR="00271B8A" w:rsidRDefault="00960D37" w:rsidP="00271B8A">
      <w:pPr>
        <w:contextualSpacing/>
        <w:rPr>
          <w:b/>
          <w:i/>
          <w:color w:val="000000" w:themeColor="text1"/>
        </w:rPr>
      </w:pPr>
      <w:r w:rsidRPr="003B26A4">
        <w:rPr>
          <w:b/>
          <w:i/>
          <w:color w:val="000000" w:themeColor="text1"/>
        </w:rPr>
        <w:t>Graf 4.3.1</w:t>
      </w:r>
    </w:p>
    <w:p w14:paraId="36C200AA" w14:textId="4329742A" w:rsidR="00960D37" w:rsidRPr="00271B8A" w:rsidRDefault="00960D37" w:rsidP="00271B8A">
      <w:pPr>
        <w:contextualSpacing/>
        <w:rPr>
          <w:i/>
          <w:sz w:val="20"/>
          <w:szCs w:val="20"/>
        </w:rPr>
      </w:pPr>
      <w:r w:rsidRPr="003B26A4">
        <w:rPr>
          <w:b/>
          <w:i/>
          <w:color w:val="000000" w:themeColor="text1"/>
        </w:rPr>
        <w:t>Vypouštění odpadních vod v České republice v letech 1980–20</w:t>
      </w:r>
      <w:r w:rsidR="009B2BD2" w:rsidRPr="003B26A4">
        <w:rPr>
          <w:b/>
          <w:i/>
          <w:color w:val="000000" w:themeColor="text1"/>
        </w:rPr>
        <w:t>2</w:t>
      </w:r>
      <w:r w:rsidR="00414288">
        <w:rPr>
          <w:b/>
          <w:i/>
          <w:color w:val="000000" w:themeColor="text1"/>
        </w:rPr>
        <w:t>5</w:t>
      </w:r>
    </w:p>
    <w:p w14:paraId="4BA047E8" w14:textId="680C06D4" w:rsidR="00465B3F" w:rsidRPr="00104F7D" w:rsidRDefault="00A1627C" w:rsidP="007C4955">
      <w:pPr>
        <w:keepNext/>
        <w:keepLines/>
        <w:contextualSpacing/>
        <w:rPr>
          <w:b/>
          <w:i/>
          <w:color w:val="FF0000"/>
          <w:highlight w:val="yellow"/>
        </w:rPr>
      </w:pPr>
      <w:r>
        <w:rPr>
          <w:noProof/>
        </w:rPr>
        <w:drawing>
          <wp:inline distT="0" distB="0" distL="0" distR="0" wp14:anchorId="306EED86" wp14:editId="22585749">
            <wp:extent cx="3648075" cy="2195356"/>
            <wp:effectExtent l="0" t="0" r="0" b="0"/>
            <wp:docPr id="1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687429" cy="2219039"/>
                    </a:xfrm>
                    <a:prstGeom prst="rect">
                      <a:avLst/>
                    </a:prstGeom>
                    <a:noFill/>
                  </pic:spPr>
                </pic:pic>
              </a:graphicData>
            </a:graphic>
          </wp:inline>
        </w:drawing>
      </w:r>
    </w:p>
    <w:p w14:paraId="3362DBCA" w14:textId="77777777" w:rsidR="00AA4865" w:rsidRDefault="00960D37" w:rsidP="007C4955">
      <w:pPr>
        <w:contextualSpacing/>
        <w:rPr>
          <w:i/>
          <w:color w:val="000000" w:themeColor="text1"/>
          <w:sz w:val="20"/>
          <w:szCs w:val="20"/>
        </w:rPr>
      </w:pPr>
      <w:r w:rsidRPr="003B26A4">
        <w:rPr>
          <w:i/>
          <w:color w:val="000000" w:themeColor="text1"/>
          <w:sz w:val="20"/>
          <w:szCs w:val="20"/>
        </w:rPr>
        <w:t>Pramen: VÚV TGM z podkladů s. p. Povodí</w:t>
      </w:r>
    </w:p>
    <w:p w14:paraId="2ADAF03F" w14:textId="1EB8D227" w:rsidR="004C1676" w:rsidRPr="00AA4865" w:rsidRDefault="004C1676" w:rsidP="007C4955">
      <w:pPr>
        <w:contextualSpacing/>
        <w:rPr>
          <w:i/>
          <w:color w:val="000000" w:themeColor="text1"/>
          <w:sz w:val="20"/>
          <w:szCs w:val="20"/>
        </w:rPr>
      </w:pPr>
      <w:r w:rsidRPr="00375B51">
        <w:rPr>
          <w:b/>
          <w:i/>
        </w:rPr>
        <w:lastRenderedPageBreak/>
        <w:t>Graf 4.</w:t>
      </w:r>
      <w:r w:rsidR="006E07F8" w:rsidRPr="00375B51">
        <w:rPr>
          <w:b/>
          <w:i/>
        </w:rPr>
        <w:t>3</w:t>
      </w:r>
      <w:r w:rsidRPr="00375B51">
        <w:rPr>
          <w:b/>
          <w:i/>
        </w:rPr>
        <w:t>.2</w:t>
      </w:r>
    </w:p>
    <w:p w14:paraId="2C3F6A3E" w14:textId="04F465CE" w:rsidR="004C1676" w:rsidRPr="00375B51" w:rsidRDefault="003E3FE0" w:rsidP="007C4955">
      <w:pPr>
        <w:contextualSpacing/>
        <w:rPr>
          <w:b/>
          <w:i/>
        </w:rPr>
      </w:pPr>
      <w:r w:rsidRPr="00375B51">
        <w:rPr>
          <w:b/>
          <w:i/>
        </w:rPr>
        <w:t>Vypouštění odpadních vod</w:t>
      </w:r>
      <w:r w:rsidR="004C1676" w:rsidRPr="00375B51">
        <w:rPr>
          <w:b/>
          <w:i/>
        </w:rPr>
        <w:t xml:space="preserve"> v České republice v letech 1980–20</w:t>
      </w:r>
      <w:r w:rsidR="00E11AA4" w:rsidRPr="00375B51">
        <w:rPr>
          <w:b/>
          <w:i/>
        </w:rPr>
        <w:t>2</w:t>
      </w:r>
      <w:r w:rsidR="00375B51" w:rsidRPr="00375B51">
        <w:rPr>
          <w:b/>
          <w:i/>
        </w:rPr>
        <w:t>5</w:t>
      </w:r>
    </w:p>
    <w:p w14:paraId="17DB9FB2" w14:textId="0B827CDC" w:rsidR="004F3115" w:rsidRPr="00375B51" w:rsidRDefault="00375B51" w:rsidP="004F3115">
      <w:pPr>
        <w:rPr>
          <w:color w:val="FF0000"/>
        </w:rPr>
      </w:pPr>
      <w:bookmarkStart w:id="36" w:name="_Toc10183414"/>
      <w:r>
        <w:rPr>
          <w:noProof/>
        </w:rPr>
        <w:drawing>
          <wp:inline distT="0" distB="0" distL="0" distR="0" wp14:anchorId="27FCB467" wp14:editId="3932EEB4">
            <wp:extent cx="6115050" cy="2743200"/>
            <wp:effectExtent l="0" t="0" r="0" b="0"/>
            <wp:docPr id="2057378320" name="Graf 1">
              <a:extLst xmlns:a="http://schemas.openxmlformats.org/drawingml/2006/main">
                <a:ext uri="{FF2B5EF4-FFF2-40B4-BE49-F238E27FC236}">
                  <a16:creationId xmlns:a16="http://schemas.microsoft.com/office/drawing/2014/main" id="{1332B464-262D-F03A-79BB-B93262B706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5F8A3AF7" w14:textId="77777777" w:rsidR="00F06FA3" w:rsidRPr="00104F7D" w:rsidRDefault="00F06FA3" w:rsidP="00F06FA3">
      <w:pPr>
        <w:contextualSpacing/>
        <w:rPr>
          <w:i/>
          <w:sz w:val="20"/>
          <w:szCs w:val="20"/>
          <w:highlight w:val="yellow"/>
        </w:rPr>
      </w:pPr>
      <w:r w:rsidRPr="00375B51">
        <w:rPr>
          <w:i/>
          <w:sz w:val="20"/>
          <w:szCs w:val="20"/>
        </w:rPr>
        <w:t>Pramen: MZe z podkladů VÚV TGM a s. p. Povodí</w:t>
      </w:r>
    </w:p>
    <w:p w14:paraId="550504A0" w14:textId="77777777" w:rsidR="00F06FA3" w:rsidRPr="00104F7D" w:rsidRDefault="00F06FA3" w:rsidP="004F3115">
      <w:pPr>
        <w:rPr>
          <w:highlight w:val="yellow"/>
        </w:rPr>
      </w:pPr>
    </w:p>
    <w:p w14:paraId="3C8F415F" w14:textId="77777777" w:rsidR="004F69B3" w:rsidRPr="00AA4865" w:rsidRDefault="004F69B3">
      <w:pPr>
        <w:pStyle w:val="Nadpis2"/>
        <w:numPr>
          <w:ilvl w:val="1"/>
          <w:numId w:val="13"/>
        </w:numPr>
        <w:spacing w:before="0"/>
        <w:contextualSpacing/>
      </w:pPr>
      <w:bookmarkStart w:id="37" w:name="_Toc236991618"/>
      <w:r w:rsidRPr="00AA4865">
        <w:t>Celkové porovnání nakládání s</w:t>
      </w:r>
      <w:r w:rsidR="004F3115" w:rsidRPr="00AA4865">
        <w:t> </w:t>
      </w:r>
      <w:r w:rsidRPr="00AA4865">
        <w:t>vodami</w:t>
      </w:r>
      <w:bookmarkEnd w:id="36"/>
      <w:bookmarkEnd w:id="37"/>
    </w:p>
    <w:p w14:paraId="5ECBABC8" w14:textId="77777777" w:rsidR="004F3115" w:rsidRPr="00104F7D" w:rsidRDefault="004F3115" w:rsidP="004F3115">
      <w:pPr>
        <w:ind w:left="792"/>
        <w:rPr>
          <w:color w:val="FF0000"/>
          <w:highlight w:val="yellow"/>
        </w:rPr>
      </w:pPr>
    </w:p>
    <w:p w14:paraId="002F86C6" w14:textId="77777777" w:rsidR="0012330F" w:rsidRPr="000D1DFF" w:rsidRDefault="0012330F" w:rsidP="0012330F">
      <w:pPr>
        <w:contextualSpacing/>
        <w:rPr>
          <w:b/>
          <w:bCs/>
        </w:rPr>
      </w:pPr>
      <w:r w:rsidRPr="000D1DFF">
        <w:rPr>
          <w:b/>
          <w:bCs/>
        </w:rPr>
        <w:t>V období 1980–2025 došlo po roce 1990 k výraznému poklesu odběrů i vypouštění vod. Po roce 2001 lze zaznamenat mírné zvýšení těchto hodnot, zatímco po roce 2010 nastal opětovný pokles jak u odběrů, tak i u vypouštěného množství. V roce 2025 se množství odebrané povrchové vody oproti předchozímu roku dále snížilo na nové historické minimum 801,5 mil. m³. Odběr podzemních vod zůstal prakticky stejný, když se změnil z 365,0 mil. m³ v roce 2024 na 364,9 mil. m³. Celkové množství vypouštěné vody se v roce 2025 snížilo o 229,4 mil. m³ oproti roku 2024. Přesto vypouštěné množství i nadále převýšilo celkový objem odebrané vody. Meziroční pokles byl významně ovlivněn zejména poklesem odběrů a vypouštění pro energetiku v územní působnosti Povodí Moravy a Povodí Labe a u Povodí Ohře také nižšími objemy vypouštěných důlních a srážkových vod.</w:t>
      </w:r>
    </w:p>
    <w:p w14:paraId="3694D3F3" w14:textId="77777777" w:rsidR="000D1DFF" w:rsidRDefault="000D1DFF" w:rsidP="0012330F">
      <w:pPr>
        <w:contextualSpacing/>
      </w:pPr>
    </w:p>
    <w:p w14:paraId="3A521B45" w14:textId="7716890E" w:rsidR="0012330F" w:rsidRPr="000D1DFF" w:rsidRDefault="0012330F" w:rsidP="0012330F">
      <w:pPr>
        <w:contextualSpacing/>
      </w:pPr>
      <w:r w:rsidRPr="000D1DFF">
        <w:t>Významný rozdíl mezi odebíraným a vypouštěným množstvím do roku 1995 lze přičíst rozdílnému způsobu vykazování vypouštění, vyššími úniky z vodovodních sítí i nejednotnou kanalizační sítí v řadě menších měst (aglomerace nad 2 000 ekvivalentních obyvatel byly vybaveny kanalizacemi až po vstupu do EU, tedy po r. 2004).</w:t>
      </w:r>
    </w:p>
    <w:p w14:paraId="721781EF" w14:textId="77777777" w:rsidR="000D1DFF" w:rsidRDefault="000D1DFF" w:rsidP="0012330F">
      <w:pPr>
        <w:contextualSpacing/>
      </w:pPr>
    </w:p>
    <w:p w14:paraId="7AECE887" w14:textId="0693E07B" w:rsidR="0012330F" w:rsidRPr="000D1DFF" w:rsidRDefault="0012330F" w:rsidP="0012330F">
      <w:pPr>
        <w:contextualSpacing/>
      </w:pPr>
      <w:r w:rsidRPr="000D1DFF">
        <w:t>V suchých letech bývá objem odebrané a vypouštěné vody vyrovnaný, zatímco ve vodných letech bývá množství vypouštěné vody vyšší, což souvisí se zachycením části dešťových vod kanalizačními systémy – mimo rámec měřené spotřeby ve vodovodní síti.</w:t>
      </w:r>
    </w:p>
    <w:p w14:paraId="6425C677" w14:textId="77777777" w:rsidR="000D1DFF" w:rsidRDefault="000D1DFF" w:rsidP="0012330F">
      <w:pPr>
        <w:contextualSpacing/>
      </w:pPr>
    </w:p>
    <w:p w14:paraId="6DA16FB0" w14:textId="0AE090F5" w:rsidR="0012330F" w:rsidRPr="000D1DFF" w:rsidRDefault="0012330F" w:rsidP="0012330F">
      <w:pPr>
        <w:contextualSpacing/>
      </w:pPr>
      <w:r w:rsidRPr="000D1DFF">
        <w:t>V roce 2025 bylo množství vypouštěné vody nadále vyšší než množství vody odebrané, rozdíl se však oproti roku 2024 výrazně zmenšil. Celkem bylo vypuštěno 1,24 miliardy m³, zatímco odebráno bylo 1,17 miliardy m³ povrchových a podzemních vod.</w:t>
      </w:r>
    </w:p>
    <w:p w14:paraId="468A026E" w14:textId="77777777" w:rsidR="00CE2412" w:rsidRPr="00104F7D" w:rsidRDefault="00CE2412" w:rsidP="000719AC">
      <w:pPr>
        <w:contextualSpacing/>
        <w:rPr>
          <w:b/>
          <w:bCs/>
          <w:color w:val="FF0000"/>
          <w:highlight w:val="yellow"/>
        </w:rPr>
      </w:pPr>
    </w:p>
    <w:p w14:paraId="6532AE50" w14:textId="77777777" w:rsidR="00A53BBF" w:rsidRDefault="00A53BBF" w:rsidP="007C4955">
      <w:pPr>
        <w:contextualSpacing/>
        <w:rPr>
          <w:rFonts w:cs="Arial"/>
          <w:b/>
          <w:i/>
        </w:rPr>
      </w:pPr>
    </w:p>
    <w:p w14:paraId="585B9BFF" w14:textId="77777777" w:rsidR="00A53BBF" w:rsidRDefault="00A53BBF" w:rsidP="007C4955">
      <w:pPr>
        <w:contextualSpacing/>
        <w:rPr>
          <w:rFonts w:cs="Arial"/>
          <w:b/>
          <w:i/>
        </w:rPr>
      </w:pPr>
    </w:p>
    <w:p w14:paraId="3A083EBB" w14:textId="77777777" w:rsidR="00A53BBF" w:rsidRDefault="00A53BBF" w:rsidP="007C4955">
      <w:pPr>
        <w:contextualSpacing/>
        <w:rPr>
          <w:rFonts w:cs="Arial"/>
          <w:b/>
          <w:i/>
        </w:rPr>
      </w:pPr>
    </w:p>
    <w:p w14:paraId="7181B86D" w14:textId="77777777" w:rsidR="00A53BBF" w:rsidRDefault="00A53BBF" w:rsidP="007C4955">
      <w:pPr>
        <w:contextualSpacing/>
        <w:rPr>
          <w:rFonts w:cs="Arial"/>
          <w:b/>
          <w:i/>
        </w:rPr>
      </w:pPr>
    </w:p>
    <w:p w14:paraId="7C031921" w14:textId="77777777" w:rsidR="00A53BBF" w:rsidRDefault="00A53BBF" w:rsidP="007C4955">
      <w:pPr>
        <w:contextualSpacing/>
        <w:rPr>
          <w:rFonts w:cs="Arial"/>
          <w:b/>
          <w:i/>
        </w:rPr>
      </w:pPr>
    </w:p>
    <w:p w14:paraId="6835224F" w14:textId="77777777" w:rsidR="00A53BBF" w:rsidRDefault="00A53BBF" w:rsidP="007C4955">
      <w:pPr>
        <w:contextualSpacing/>
        <w:rPr>
          <w:rFonts w:cs="Arial"/>
          <w:b/>
          <w:i/>
        </w:rPr>
      </w:pPr>
    </w:p>
    <w:p w14:paraId="09D121DD" w14:textId="77777777" w:rsidR="00A53BBF" w:rsidRDefault="00A53BBF" w:rsidP="007C4955">
      <w:pPr>
        <w:contextualSpacing/>
        <w:rPr>
          <w:rFonts w:cs="Arial"/>
          <w:b/>
          <w:i/>
        </w:rPr>
      </w:pPr>
    </w:p>
    <w:p w14:paraId="0402A262" w14:textId="77777777" w:rsidR="00A53BBF" w:rsidRDefault="00A53BBF" w:rsidP="007C4955">
      <w:pPr>
        <w:contextualSpacing/>
        <w:rPr>
          <w:rFonts w:cs="Arial"/>
          <w:b/>
          <w:i/>
        </w:rPr>
      </w:pPr>
    </w:p>
    <w:p w14:paraId="7A239CA6" w14:textId="77777777" w:rsidR="00A53BBF" w:rsidRDefault="00A53BBF" w:rsidP="007C4955">
      <w:pPr>
        <w:contextualSpacing/>
        <w:rPr>
          <w:rFonts w:cs="Arial"/>
          <w:b/>
          <w:i/>
        </w:rPr>
      </w:pPr>
    </w:p>
    <w:p w14:paraId="1E12F611" w14:textId="77777777" w:rsidR="00A32AFB" w:rsidRDefault="00A32AFB" w:rsidP="007C4955">
      <w:pPr>
        <w:contextualSpacing/>
        <w:rPr>
          <w:rFonts w:cs="Arial"/>
          <w:b/>
          <w:i/>
        </w:rPr>
      </w:pPr>
    </w:p>
    <w:p w14:paraId="75A1EADE" w14:textId="1A2F27B4" w:rsidR="00CE2412" w:rsidRPr="00584FAF" w:rsidRDefault="00CE2412" w:rsidP="007C4955">
      <w:pPr>
        <w:contextualSpacing/>
        <w:rPr>
          <w:rFonts w:cs="Arial"/>
          <w:b/>
          <w:i/>
        </w:rPr>
      </w:pPr>
      <w:r w:rsidRPr="00584FAF">
        <w:rPr>
          <w:rFonts w:cs="Arial"/>
          <w:b/>
          <w:i/>
        </w:rPr>
        <w:lastRenderedPageBreak/>
        <w:t>Graf 4.4.1</w:t>
      </w:r>
    </w:p>
    <w:p w14:paraId="5FBC4C18" w14:textId="0CDF8540" w:rsidR="00CE2412" w:rsidRPr="00584FAF" w:rsidRDefault="00CE2412" w:rsidP="007C4955">
      <w:pPr>
        <w:contextualSpacing/>
        <w:rPr>
          <w:rFonts w:cs="Arial"/>
          <w:b/>
          <w:i/>
        </w:rPr>
      </w:pPr>
      <w:r w:rsidRPr="00584FAF">
        <w:rPr>
          <w:rFonts w:cs="Arial"/>
          <w:b/>
          <w:i/>
        </w:rPr>
        <w:t>Odběry vod a vypouštění v České republice v letech 1980–20</w:t>
      </w:r>
      <w:r w:rsidR="00854B93" w:rsidRPr="00584FAF">
        <w:rPr>
          <w:rFonts w:cs="Arial"/>
          <w:b/>
          <w:i/>
        </w:rPr>
        <w:t>2</w:t>
      </w:r>
      <w:r w:rsidR="00E04068" w:rsidRPr="00584FAF">
        <w:rPr>
          <w:rFonts w:cs="Arial"/>
          <w:b/>
          <w:i/>
        </w:rPr>
        <w:t>5</w:t>
      </w:r>
    </w:p>
    <w:p w14:paraId="55C021E3" w14:textId="28C8A04A" w:rsidR="00CE2412" w:rsidRPr="00584FAF" w:rsidRDefault="00F06FA3" w:rsidP="007C4955">
      <w:pPr>
        <w:contextualSpacing/>
        <w:rPr>
          <w:rFonts w:cs="Arial"/>
          <w:b/>
          <w:i/>
          <w:color w:val="FF0000"/>
        </w:rPr>
      </w:pPr>
      <w:r w:rsidRPr="00584FAF">
        <w:rPr>
          <w:noProof/>
          <w:color w:val="FF0000"/>
          <w:lang w:eastAsia="cs-CZ"/>
        </w:rPr>
        <w:t xml:space="preserve"> </w:t>
      </w:r>
      <w:r w:rsidR="00D01040" w:rsidRPr="00584FAF">
        <w:rPr>
          <w:noProof/>
        </w:rPr>
        <w:drawing>
          <wp:inline distT="0" distB="0" distL="0" distR="0" wp14:anchorId="33BA064F" wp14:editId="1BED5C45">
            <wp:extent cx="4946650" cy="2563143"/>
            <wp:effectExtent l="0" t="0" r="6350" b="8890"/>
            <wp:docPr id="163889285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 11"/>
                    <pic:cNvPicPr>
                      <a:picLocks noChangeAspect="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951269" cy="2565536"/>
                    </a:xfrm>
                    <a:prstGeom prst="rect">
                      <a:avLst/>
                    </a:prstGeom>
                    <a:noFill/>
                  </pic:spPr>
                </pic:pic>
              </a:graphicData>
            </a:graphic>
          </wp:inline>
        </w:drawing>
      </w:r>
    </w:p>
    <w:p w14:paraId="46E0F441" w14:textId="77777777" w:rsidR="00CE2412" w:rsidRPr="00D01040" w:rsidRDefault="00CE2412" w:rsidP="007C4955">
      <w:pPr>
        <w:contextualSpacing/>
        <w:rPr>
          <w:rFonts w:cs="Arial"/>
          <w:i/>
          <w:sz w:val="20"/>
          <w:szCs w:val="20"/>
        </w:rPr>
      </w:pPr>
      <w:r w:rsidRPr="00584FAF">
        <w:rPr>
          <w:rFonts w:cs="Arial"/>
          <w:i/>
          <w:sz w:val="20"/>
          <w:szCs w:val="20"/>
        </w:rPr>
        <w:t xml:space="preserve">Pramen: </w:t>
      </w:r>
      <w:r w:rsidR="00A6633D" w:rsidRPr="00584FAF">
        <w:rPr>
          <w:rFonts w:cs="Arial"/>
          <w:i/>
          <w:sz w:val="20"/>
          <w:szCs w:val="20"/>
        </w:rPr>
        <w:t>MZe z podkladů VÚV TGM a s. p. Povodí</w:t>
      </w:r>
    </w:p>
    <w:p w14:paraId="3F0745F1" w14:textId="77777777" w:rsidR="00854B93" w:rsidRPr="00104F7D" w:rsidRDefault="00854B93" w:rsidP="007C4955">
      <w:pPr>
        <w:contextualSpacing/>
        <w:rPr>
          <w:b/>
          <w:bCs/>
          <w:color w:val="FF0000"/>
          <w:highlight w:val="yellow"/>
        </w:rPr>
      </w:pPr>
    </w:p>
    <w:p w14:paraId="19F3297A" w14:textId="77777777" w:rsidR="009C14C3" w:rsidRPr="00104F7D" w:rsidRDefault="009C14C3" w:rsidP="007C4955">
      <w:pPr>
        <w:contextualSpacing/>
        <w:rPr>
          <w:b/>
          <w:bCs/>
          <w:highlight w:val="yellow"/>
        </w:rPr>
      </w:pPr>
    </w:p>
    <w:p w14:paraId="3E986D19" w14:textId="77777777" w:rsidR="009C5B41" w:rsidRPr="009C5B41" w:rsidRDefault="009C5B41" w:rsidP="009C5B41">
      <w:pPr>
        <w:contextualSpacing/>
        <w:rPr>
          <w:b/>
          <w:bCs/>
        </w:rPr>
      </w:pPr>
      <w:r w:rsidRPr="009C5B41">
        <w:rPr>
          <w:b/>
          <w:bCs/>
        </w:rPr>
        <w:t>Při porovnání odběrů povrchových a podzemních vod pro jednotlivá odvětví lze konstatovat, že odběry pro vodárenství jsou téměř vyrovnané. Energetika využívá téměř výhradně vodu povrchovou, výrazná převaha povrchové vody je patrná také v průmyslových odvětvích. Zemědělství využívá větší část vody z povrchových zdrojů, zatímco v kategorii ostatní včetně stavebnictví převažují odběry podzemních vod.</w:t>
      </w:r>
    </w:p>
    <w:p w14:paraId="15347638" w14:textId="77777777" w:rsidR="000719AC" w:rsidRPr="00104F7D" w:rsidRDefault="000719AC" w:rsidP="007C4955">
      <w:pPr>
        <w:contextualSpacing/>
        <w:rPr>
          <w:rFonts w:cs="Arial"/>
          <w:b/>
          <w:i/>
          <w:highlight w:val="yellow"/>
        </w:rPr>
      </w:pPr>
    </w:p>
    <w:p w14:paraId="761BE140" w14:textId="761EC33A" w:rsidR="00CE2412" w:rsidRPr="008D550F" w:rsidRDefault="00CE2412" w:rsidP="007C4955">
      <w:pPr>
        <w:contextualSpacing/>
        <w:rPr>
          <w:rFonts w:cs="Arial"/>
          <w:b/>
          <w:i/>
        </w:rPr>
      </w:pPr>
      <w:r w:rsidRPr="008D550F">
        <w:rPr>
          <w:rFonts w:cs="Arial"/>
          <w:b/>
          <w:i/>
        </w:rPr>
        <w:t>Graf 4.4.2</w:t>
      </w:r>
    </w:p>
    <w:p w14:paraId="269D4C10" w14:textId="51754421" w:rsidR="00CE2412" w:rsidRPr="008D550F" w:rsidRDefault="00CE2412" w:rsidP="007C4955">
      <w:pPr>
        <w:contextualSpacing/>
        <w:rPr>
          <w:rFonts w:cs="Arial"/>
          <w:b/>
          <w:i/>
        </w:rPr>
      </w:pPr>
      <w:r w:rsidRPr="008D550F">
        <w:rPr>
          <w:rFonts w:cs="Arial"/>
          <w:b/>
          <w:i/>
        </w:rPr>
        <w:t xml:space="preserve">Porovnání odběrů povrchových a podzemních vod dle odvětví </w:t>
      </w:r>
      <w:r w:rsidR="004C03EA" w:rsidRPr="008D550F">
        <w:rPr>
          <w:rFonts w:cs="Arial"/>
          <w:b/>
          <w:i/>
        </w:rPr>
        <w:t>v</w:t>
      </w:r>
      <w:r w:rsidRPr="008D550F">
        <w:rPr>
          <w:rFonts w:cs="Arial"/>
          <w:b/>
          <w:i/>
        </w:rPr>
        <w:t xml:space="preserve"> ro</w:t>
      </w:r>
      <w:r w:rsidR="004C03EA" w:rsidRPr="008D550F">
        <w:rPr>
          <w:rFonts w:cs="Arial"/>
          <w:b/>
          <w:i/>
        </w:rPr>
        <w:t>ce</w:t>
      </w:r>
      <w:r w:rsidRPr="008D550F">
        <w:rPr>
          <w:rFonts w:cs="Arial"/>
          <w:b/>
          <w:i/>
        </w:rPr>
        <w:t xml:space="preserve"> 20</w:t>
      </w:r>
      <w:r w:rsidR="00854B93" w:rsidRPr="008D550F">
        <w:rPr>
          <w:rFonts w:cs="Arial"/>
          <w:b/>
          <w:i/>
        </w:rPr>
        <w:t>2</w:t>
      </w:r>
      <w:r w:rsidR="008D550F">
        <w:rPr>
          <w:rFonts w:cs="Arial"/>
          <w:b/>
          <w:i/>
        </w:rPr>
        <w:t>5</w:t>
      </w:r>
    </w:p>
    <w:p w14:paraId="639D192C" w14:textId="3B42E007" w:rsidR="00A24F44" w:rsidRPr="008D550F" w:rsidRDefault="008D550F" w:rsidP="007C4955">
      <w:pPr>
        <w:contextualSpacing/>
        <w:rPr>
          <w:rFonts w:cs="Arial"/>
          <w:b/>
          <w:i/>
        </w:rPr>
      </w:pPr>
      <w:r w:rsidRPr="008D550F">
        <w:rPr>
          <w:noProof/>
        </w:rPr>
        <w:drawing>
          <wp:inline distT="0" distB="0" distL="0" distR="0" wp14:anchorId="0F99445D" wp14:editId="087F1831">
            <wp:extent cx="3876675" cy="2524125"/>
            <wp:effectExtent l="0" t="0" r="9525" b="9525"/>
            <wp:docPr id="1956251416" name="Graf 1">
              <a:extLst xmlns:a="http://schemas.openxmlformats.org/drawingml/2006/main">
                <a:ext uri="{FF2B5EF4-FFF2-40B4-BE49-F238E27FC236}">
                  <a16:creationId xmlns:a16="http://schemas.microsoft.com/office/drawing/2014/main" id="{FBEA2ECC-CA35-BA3B-577F-7F4C0C2B19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031EE95F" w14:textId="77777777" w:rsidR="00354DD5" w:rsidRPr="008D550F" w:rsidRDefault="003066A2" w:rsidP="00354DD5">
      <w:pPr>
        <w:contextualSpacing/>
        <w:rPr>
          <w:rFonts w:cs="Arial"/>
          <w:b/>
          <w:i/>
          <w:color w:val="FF0000"/>
          <w:sz w:val="18"/>
        </w:rPr>
      </w:pPr>
      <w:r w:rsidRPr="008D550F">
        <w:rPr>
          <w:rFonts w:cs="Arial"/>
          <w:i/>
          <w:sz w:val="20"/>
          <w:szCs w:val="20"/>
        </w:rPr>
        <w:t xml:space="preserve">Pramen: </w:t>
      </w:r>
      <w:r w:rsidR="00A6633D" w:rsidRPr="008D550F">
        <w:rPr>
          <w:rFonts w:cs="Arial"/>
          <w:i/>
          <w:sz w:val="20"/>
          <w:szCs w:val="20"/>
        </w:rPr>
        <w:t>MZe z podkladů VÚV TGM a s. p. Povodí</w:t>
      </w:r>
    </w:p>
    <w:p w14:paraId="0F6383BA" w14:textId="77777777" w:rsidR="00354DD5" w:rsidRPr="008D550F" w:rsidRDefault="00354DD5" w:rsidP="00354DD5">
      <w:pPr>
        <w:contextualSpacing/>
        <w:rPr>
          <w:rFonts w:cs="Arial"/>
          <w:b/>
          <w:i/>
          <w:color w:val="FF0000"/>
          <w:sz w:val="18"/>
        </w:rPr>
      </w:pPr>
    </w:p>
    <w:p w14:paraId="48E3D02F" w14:textId="77777777" w:rsidR="00354DD5" w:rsidRPr="00354DD5" w:rsidRDefault="00354DD5" w:rsidP="00354DD5">
      <w:pPr>
        <w:contextualSpacing/>
        <w:rPr>
          <w:rFonts w:cs="Arial"/>
          <w:b/>
          <w:i/>
          <w:color w:val="FF0000"/>
          <w:sz w:val="18"/>
        </w:rPr>
      </w:pPr>
      <w:r w:rsidRPr="00354DD5">
        <w:rPr>
          <w:noProof/>
        </w:rPr>
        <w:t>V roce 2025 bylo pro vodovody pro veřejnou potřebu odebráno téměř stejné množství vody z povrchových a podzemních zdrojů; podíl povrchové vody činil přibližně 52 %. Pro energetické účely byla téměř výhradně využívána voda povrchová (cca 99,5 %), obdobně převažovala povrchová voda i v průmyslových odvětvích (cca 82 %). Zemědělství využilo na pokrytí svých potřeb zhruba z 57 % vodu povrchovou. Jediné odvětví – ostatní včetně stavebnictví – odebralo větší množství podzemní vody než povrchové. Je to způsobeno pravděpodobně i sazbou poplatku za odběr podzemní vody, která je výrazně nižší než cena vody povrchové.</w:t>
      </w:r>
    </w:p>
    <w:p w14:paraId="7EC75CA9" w14:textId="77777777" w:rsidR="00354DD5" w:rsidRPr="00354DD5" w:rsidRDefault="00354DD5" w:rsidP="00354DD5">
      <w:pPr>
        <w:contextualSpacing/>
        <w:rPr>
          <w:rFonts w:cs="Arial"/>
          <w:b/>
          <w:i/>
          <w:color w:val="FF0000"/>
          <w:sz w:val="18"/>
        </w:rPr>
      </w:pPr>
    </w:p>
    <w:p w14:paraId="53EED3F4" w14:textId="66B6682C" w:rsidR="00354DD5" w:rsidRPr="00354DD5" w:rsidRDefault="00354DD5" w:rsidP="00354DD5">
      <w:pPr>
        <w:contextualSpacing/>
        <w:rPr>
          <w:rFonts w:cs="Arial"/>
          <w:b/>
          <w:i/>
          <w:color w:val="FF0000"/>
          <w:sz w:val="18"/>
        </w:rPr>
      </w:pPr>
      <w:r w:rsidRPr="00354DD5">
        <w:rPr>
          <w:noProof/>
        </w:rPr>
        <w:t>Z grafu 4.4.3 je patrné, že větší část odběrů je realizována z povrchových vod, přičemž odběry z povrchových vod od roku 1990 klesly výrazněji než odběry z vod podzemních.</w:t>
      </w:r>
    </w:p>
    <w:p w14:paraId="5B8262C8" w14:textId="77777777" w:rsidR="00D1651E" w:rsidRPr="00104F7D" w:rsidRDefault="00D1651E" w:rsidP="00D1651E">
      <w:pPr>
        <w:ind w:firstLine="708"/>
        <w:rPr>
          <w:noProof/>
          <w:highlight w:val="yellow"/>
        </w:rPr>
      </w:pPr>
    </w:p>
    <w:p w14:paraId="34146AEC" w14:textId="77777777" w:rsidR="00D1651E" w:rsidRPr="00171900" w:rsidRDefault="00D1651E" w:rsidP="00D1651E">
      <w:pPr>
        <w:rPr>
          <w:rFonts w:cs="Arial"/>
          <w:b/>
          <w:i/>
          <w:color w:val="000000" w:themeColor="text1"/>
        </w:rPr>
      </w:pPr>
      <w:r w:rsidRPr="00171900">
        <w:rPr>
          <w:rFonts w:cs="Arial"/>
          <w:b/>
          <w:i/>
          <w:color w:val="000000" w:themeColor="text1"/>
        </w:rPr>
        <w:t>Graf 4.4.3</w:t>
      </w:r>
    </w:p>
    <w:p w14:paraId="2FF1CFE3" w14:textId="58D29BD1" w:rsidR="00D1651E" w:rsidRPr="00171900" w:rsidRDefault="00D1651E" w:rsidP="00D1651E">
      <w:pPr>
        <w:rPr>
          <w:rFonts w:cs="Arial"/>
          <w:b/>
          <w:i/>
          <w:color w:val="000000" w:themeColor="text1"/>
        </w:rPr>
      </w:pPr>
      <w:r w:rsidRPr="00171900">
        <w:rPr>
          <w:rFonts w:cs="Arial"/>
          <w:b/>
          <w:i/>
          <w:color w:val="000000" w:themeColor="text1"/>
        </w:rPr>
        <w:t>Odběry vod ČR 1980</w:t>
      </w:r>
      <w:r w:rsidR="00C0736E" w:rsidRPr="00171900">
        <w:rPr>
          <w:noProof/>
        </w:rPr>
        <w:t>–</w:t>
      </w:r>
      <w:r w:rsidRPr="00171900">
        <w:rPr>
          <w:rFonts w:cs="Arial"/>
          <w:b/>
          <w:i/>
          <w:color w:val="000000" w:themeColor="text1"/>
        </w:rPr>
        <w:t>202</w:t>
      </w:r>
      <w:r w:rsidR="00171900">
        <w:rPr>
          <w:rFonts w:cs="Arial"/>
          <w:b/>
          <w:i/>
          <w:color w:val="000000" w:themeColor="text1"/>
        </w:rPr>
        <w:t>5</w:t>
      </w:r>
      <w:r w:rsidRPr="00171900">
        <w:rPr>
          <w:rFonts w:cs="Arial"/>
          <w:b/>
          <w:i/>
          <w:color w:val="000000" w:themeColor="text1"/>
        </w:rPr>
        <w:t xml:space="preserve"> (podzemní, povrchové, celkem)</w:t>
      </w:r>
    </w:p>
    <w:p w14:paraId="6AC0FDD2" w14:textId="12979183" w:rsidR="00D1651E" w:rsidRPr="00171900" w:rsidRDefault="00171900" w:rsidP="00D1651E">
      <w:r w:rsidRPr="00171900">
        <w:rPr>
          <w:noProof/>
        </w:rPr>
        <w:drawing>
          <wp:inline distT="0" distB="0" distL="0" distR="0" wp14:anchorId="5BB61698" wp14:editId="06FE1B13">
            <wp:extent cx="5726958" cy="2451100"/>
            <wp:effectExtent l="0" t="0" r="7620" b="6350"/>
            <wp:docPr id="1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2"/>
                    <pic:cNvPicPr>
                      <a:picLocks noChangeAspect="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30019" cy="2452410"/>
                    </a:xfrm>
                    <a:prstGeom prst="rect">
                      <a:avLst/>
                    </a:prstGeom>
                    <a:noFill/>
                  </pic:spPr>
                </pic:pic>
              </a:graphicData>
            </a:graphic>
          </wp:inline>
        </w:drawing>
      </w:r>
    </w:p>
    <w:p w14:paraId="4799FD12" w14:textId="67F9DDA9" w:rsidR="00D1651E" w:rsidRPr="00171900" w:rsidRDefault="00D1651E" w:rsidP="00C0736E">
      <w:pPr>
        <w:jc w:val="left"/>
        <w:rPr>
          <w:i/>
          <w:iCs/>
          <w:sz w:val="20"/>
        </w:rPr>
      </w:pPr>
      <w:r w:rsidRPr="00171900">
        <w:rPr>
          <w:i/>
          <w:iCs/>
          <w:sz w:val="20"/>
        </w:rPr>
        <w:t>Pramen: VÚV TGM z podkladů s. p. Povodí</w:t>
      </w:r>
    </w:p>
    <w:p w14:paraId="3850BA06" w14:textId="77777777" w:rsidR="004F69B3" w:rsidRPr="001E6ABA" w:rsidRDefault="00BC6010">
      <w:pPr>
        <w:pStyle w:val="Nadpis1"/>
        <w:numPr>
          <w:ilvl w:val="0"/>
          <w:numId w:val="13"/>
        </w:numPr>
        <w:spacing w:before="0"/>
        <w:contextualSpacing/>
      </w:pPr>
      <w:r w:rsidRPr="00171900">
        <w:rPr>
          <w:color w:val="FF0000"/>
        </w:rPr>
        <w:br w:type="page"/>
      </w:r>
      <w:bookmarkStart w:id="38" w:name="_Toc10183415"/>
      <w:bookmarkStart w:id="39" w:name="_Toc236991619"/>
      <w:r w:rsidR="004F69B3" w:rsidRPr="001E6ABA">
        <w:lastRenderedPageBreak/>
        <w:t>ZDROJE ZNEČIŠTĚNÍ</w:t>
      </w:r>
      <w:bookmarkEnd w:id="38"/>
      <w:bookmarkEnd w:id="39"/>
    </w:p>
    <w:p w14:paraId="0BFD5997" w14:textId="77777777" w:rsidR="004F3115" w:rsidRPr="001E6ABA" w:rsidRDefault="004F3115" w:rsidP="004F3115">
      <w:pPr>
        <w:ind w:left="720"/>
        <w:rPr>
          <w:color w:val="FF0000"/>
        </w:rPr>
      </w:pPr>
    </w:p>
    <w:p w14:paraId="1162AE6E" w14:textId="77777777" w:rsidR="004F69B3" w:rsidRPr="001E6ABA" w:rsidRDefault="004F69B3">
      <w:pPr>
        <w:pStyle w:val="Nadpis2"/>
        <w:numPr>
          <w:ilvl w:val="1"/>
          <w:numId w:val="13"/>
        </w:numPr>
        <w:spacing w:before="0"/>
        <w:contextualSpacing/>
      </w:pPr>
      <w:bookmarkStart w:id="40" w:name="_Toc10183416"/>
      <w:bookmarkStart w:id="41" w:name="_Toc236991620"/>
      <w:r w:rsidRPr="001E6ABA">
        <w:t>Bodové zdroje znečištění</w:t>
      </w:r>
      <w:bookmarkEnd w:id="40"/>
      <w:bookmarkEnd w:id="41"/>
    </w:p>
    <w:p w14:paraId="11CA6AC2" w14:textId="77777777" w:rsidR="004F3115" w:rsidRPr="00104F7D" w:rsidRDefault="004F3115" w:rsidP="004F3115">
      <w:pPr>
        <w:ind w:left="792"/>
        <w:rPr>
          <w:color w:val="FF0000"/>
          <w:highlight w:val="yellow"/>
        </w:rPr>
      </w:pPr>
    </w:p>
    <w:p w14:paraId="20030C5F" w14:textId="77777777" w:rsidR="001E6ABA" w:rsidRPr="001E6ABA" w:rsidRDefault="001E6ABA" w:rsidP="00C57415">
      <w:pPr>
        <w:pStyle w:val="bn-text"/>
        <w:spacing w:before="0" w:after="0"/>
        <w:ind w:firstLine="0"/>
        <w:rPr>
          <w:rFonts w:ascii="Arial" w:hAnsi="Arial" w:cs="Arial"/>
          <w:b/>
          <w:sz w:val="22"/>
          <w:szCs w:val="22"/>
        </w:rPr>
      </w:pPr>
      <w:r w:rsidRPr="001E6ABA">
        <w:rPr>
          <w:rFonts w:ascii="Arial" w:hAnsi="Arial" w:cs="Arial"/>
          <w:b/>
          <w:sz w:val="22"/>
          <w:szCs w:val="22"/>
        </w:rPr>
        <w:t>Jakost povrchových vod je ovlivňována především bodovými zdroji znečištění, mezi které patří města a obce, průmyslové závody, objekty soustředěné zemědělské živočišné výroby, brownfieldy a další kontaminovaná místa. Úroveň ochrany vod před znečištěním se nejčastěji hodnotí podle vývoje množství produkovaného a vypouštěného znečištění.</w:t>
      </w:r>
    </w:p>
    <w:p w14:paraId="4CE83879" w14:textId="77777777" w:rsidR="00C57415" w:rsidRDefault="00C57415" w:rsidP="00C57415">
      <w:pPr>
        <w:rPr>
          <w:rFonts w:cs="Arial"/>
        </w:rPr>
      </w:pPr>
    </w:p>
    <w:p w14:paraId="2FFE5D5F" w14:textId="4F716979" w:rsidR="001E6ABA" w:rsidRPr="001E6ABA" w:rsidRDefault="001E6ABA" w:rsidP="00C57415">
      <w:pPr>
        <w:rPr>
          <w:rFonts w:cs="Arial"/>
        </w:rPr>
      </w:pPr>
      <w:r w:rsidRPr="001E6ABA">
        <w:rPr>
          <w:rFonts w:cs="Arial"/>
        </w:rPr>
        <w:t>Produkované znečištění označuje množství znečišťujících látek obsažených v produkovaných (nečištěných) odpadních vodách. V souvislosti s požadavky Evropské unie je v České republice v posledních letech věnována zvýšená pozornost sběru údajů a analýze vývoje tohoto znečištění. V rámci tzv. vodohospodářské bilance je zajišťován rozšířený soubor vykazovaných dat od většího počtu subjektů, a to v souladu s vyhláškou č. 431/2001 Sb., o obsahu vodní bilance, způsobu jejího sestavení a údajích pro vodní bilanci.</w:t>
      </w:r>
    </w:p>
    <w:p w14:paraId="2B6B9E7F" w14:textId="77777777" w:rsidR="00C57415" w:rsidRDefault="00C57415" w:rsidP="00C57415">
      <w:pPr>
        <w:rPr>
          <w:rFonts w:cs="Arial"/>
        </w:rPr>
      </w:pPr>
    </w:p>
    <w:p w14:paraId="552AF627" w14:textId="127ED81F" w:rsidR="001E6ABA" w:rsidRPr="001E6ABA" w:rsidRDefault="001E6ABA" w:rsidP="00C57415">
      <w:pPr>
        <w:rPr>
          <w:rFonts w:cs="Arial"/>
        </w:rPr>
      </w:pPr>
      <w:r w:rsidRPr="001E6ABA">
        <w:rPr>
          <w:rFonts w:cs="Arial"/>
        </w:rPr>
        <w:t xml:space="preserve">V roce 2025 se v porovnání s předchozím rokem snížilo produkované znečištění ve čtyřech ze šesti sledovaných ukazatelů. Nejvýraznější pokles byl zaznamenán u NL (nerozpuštěné látky sušené při 105 °C), a to o 9,7 %, dále u RAS (rozpuštěné anorganické soli) o 2,4 %, </w:t>
      </w:r>
      <w:proofErr w:type="spellStart"/>
      <w:r w:rsidRPr="001E6ABA">
        <w:rPr>
          <w:rFonts w:cs="Arial"/>
        </w:rPr>
        <w:t>CHSK</w:t>
      </w:r>
      <w:r w:rsidRPr="001E6ABA">
        <w:rPr>
          <w:rFonts w:cs="Arial"/>
          <w:vertAlign w:val="subscript"/>
        </w:rPr>
        <w:t>Cr</w:t>
      </w:r>
      <w:proofErr w:type="spellEnd"/>
      <w:r w:rsidRPr="001E6ABA">
        <w:rPr>
          <w:rFonts w:cs="Arial"/>
        </w:rPr>
        <w:t xml:space="preserve"> (chemická </w:t>
      </w:r>
      <w:r w:rsidR="001E6A4F" w:rsidRPr="001E6ABA">
        <w:rPr>
          <w:rFonts w:cs="Arial"/>
        </w:rPr>
        <w:t>spotřeba kyslíku</w:t>
      </w:r>
      <w:r w:rsidRPr="001E6ABA">
        <w:rPr>
          <w:rFonts w:cs="Arial"/>
        </w:rPr>
        <w:t>) o 2,0 % a BSK</w:t>
      </w:r>
      <w:r w:rsidRPr="001E6ABA">
        <w:rPr>
          <w:rFonts w:cs="Arial"/>
          <w:vertAlign w:val="subscript"/>
        </w:rPr>
        <w:t>5</w:t>
      </w:r>
      <w:r w:rsidRPr="001E6ABA">
        <w:rPr>
          <w:rFonts w:cs="Arial"/>
        </w:rPr>
        <w:t xml:space="preserve"> (biochemická spotřeba kyslíku) o 1,7 %.</w:t>
      </w:r>
      <w:r w:rsidR="00E937FD">
        <w:rPr>
          <w:rFonts w:cs="Arial"/>
        </w:rPr>
        <w:t xml:space="preserve"> </w:t>
      </w:r>
      <w:r w:rsidRPr="001E6ABA">
        <w:rPr>
          <w:rFonts w:cs="Arial"/>
        </w:rPr>
        <w:t xml:space="preserve">Naopak produkované množství vzrostlo u </w:t>
      </w:r>
      <w:proofErr w:type="spellStart"/>
      <w:r w:rsidRPr="001E6ABA">
        <w:rPr>
          <w:rFonts w:cs="Arial"/>
        </w:rPr>
        <w:t>P</w:t>
      </w:r>
      <w:r w:rsidRPr="001E6ABA">
        <w:rPr>
          <w:rFonts w:cs="Arial"/>
          <w:vertAlign w:val="subscript"/>
        </w:rPr>
        <w:t>celk</w:t>
      </w:r>
      <w:proofErr w:type="spellEnd"/>
      <w:r w:rsidRPr="001E6ABA">
        <w:rPr>
          <w:rFonts w:cs="Arial"/>
        </w:rPr>
        <w:t xml:space="preserve"> (celkový fosfor) o 1,5 % a </w:t>
      </w:r>
      <w:proofErr w:type="spellStart"/>
      <w:r w:rsidRPr="001E6ABA">
        <w:rPr>
          <w:rFonts w:cs="Arial"/>
        </w:rPr>
        <w:t>N</w:t>
      </w:r>
      <w:r w:rsidRPr="001E6ABA">
        <w:rPr>
          <w:rFonts w:cs="Arial"/>
          <w:vertAlign w:val="subscript"/>
        </w:rPr>
        <w:t>anorg</w:t>
      </w:r>
      <w:proofErr w:type="spellEnd"/>
      <w:r w:rsidRPr="001E6ABA">
        <w:rPr>
          <w:rFonts w:cs="Arial"/>
        </w:rPr>
        <w:t xml:space="preserve"> (anorganický dusík) o 0,8 %.</w:t>
      </w:r>
    </w:p>
    <w:p w14:paraId="1D1301DA" w14:textId="77777777" w:rsidR="00C57415" w:rsidRDefault="00C57415" w:rsidP="00C57415">
      <w:pPr>
        <w:rPr>
          <w:rFonts w:cs="Arial"/>
        </w:rPr>
      </w:pPr>
    </w:p>
    <w:p w14:paraId="6C320E95" w14:textId="5AAC3FA8" w:rsidR="001E6ABA" w:rsidRPr="001E6ABA" w:rsidRDefault="001E6ABA" w:rsidP="00C57415">
      <w:pPr>
        <w:rPr>
          <w:rFonts w:cs="Arial"/>
        </w:rPr>
      </w:pPr>
      <w:r w:rsidRPr="001E6ABA">
        <w:rPr>
          <w:rFonts w:cs="Arial"/>
        </w:rPr>
        <w:t>U vypouštěného znečištění, tj. znečištění obsaženého v odpadních vodách vypouštěných do vod povrchových, došlo v roce 2025 k poklesu u většiny sledovaných ukazatelů. Nejvýrazněji se snížilo vypouštěné množství BSK</w:t>
      </w:r>
      <w:r w:rsidRPr="001E6ABA">
        <w:rPr>
          <w:rFonts w:cs="Arial"/>
          <w:vertAlign w:val="subscript"/>
        </w:rPr>
        <w:t>5</w:t>
      </w:r>
      <w:r w:rsidRPr="001E6ABA">
        <w:rPr>
          <w:rFonts w:cs="Arial"/>
        </w:rPr>
        <w:t xml:space="preserve"> o 21,5 %, dále </w:t>
      </w:r>
      <w:proofErr w:type="spellStart"/>
      <w:r w:rsidRPr="001E6ABA">
        <w:rPr>
          <w:rFonts w:cs="Arial"/>
        </w:rPr>
        <w:t>CHSK</w:t>
      </w:r>
      <w:r w:rsidRPr="001E6ABA">
        <w:rPr>
          <w:rFonts w:cs="Arial"/>
          <w:vertAlign w:val="subscript"/>
        </w:rPr>
        <w:t>Cr</w:t>
      </w:r>
      <w:proofErr w:type="spellEnd"/>
      <w:r w:rsidRPr="001E6ABA">
        <w:rPr>
          <w:rFonts w:cs="Arial"/>
        </w:rPr>
        <w:t xml:space="preserve"> o 6,9 %, </w:t>
      </w:r>
      <w:proofErr w:type="spellStart"/>
      <w:r w:rsidRPr="001E6ABA">
        <w:rPr>
          <w:rFonts w:cs="Arial"/>
        </w:rPr>
        <w:t>P</w:t>
      </w:r>
      <w:r w:rsidRPr="001E6ABA">
        <w:rPr>
          <w:rFonts w:cs="Arial"/>
          <w:vertAlign w:val="subscript"/>
        </w:rPr>
        <w:t>celk</w:t>
      </w:r>
      <w:proofErr w:type="spellEnd"/>
      <w:r w:rsidRPr="001E6ABA">
        <w:rPr>
          <w:rFonts w:cs="Arial"/>
        </w:rPr>
        <w:t xml:space="preserve"> o 6,2 %, </w:t>
      </w:r>
      <w:proofErr w:type="spellStart"/>
      <w:r w:rsidRPr="001E6ABA">
        <w:rPr>
          <w:rFonts w:cs="Arial"/>
        </w:rPr>
        <w:t>N</w:t>
      </w:r>
      <w:r w:rsidRPr="001E6ABA">
        <w:rPr>
          <w:rFonts w:cs="Arial"/>
          <w:vertAlign w:val="subscript"/>
        </w:rPr>
        <w:t>anorg</w:t>
      </w:r>
      <w:proofErr w:type="spellEnd"/>
      <w:r w:rsidRPr="001E6ABA">
        <w:rPr>
          <w:rFonts w:cs="Arial"/>
        </w:rPr>
        <w:t xml:space="preserve"> o 4,2 % a RAS o 2,6 %. Množství vypouštěných NL zůstalo prakticky na úrovni předchozího roku, když vzrostlo o 0,2 %. Vývoj vypouštěného a zpoplatněného znečištění u jednotlivých ukazatelů od roku 1990 dokládá graf 5.1.1.</w:t>
      </w:r>
    </w:p>
    <w:p w14:paraId="50BD2CFA" w14:textId="77777777" w:rsidR="00C57415" w:rsidRDefault="00C57415" w:rsidP="00C57415">
      <w:pPr>
        <w:rPr>
          <w:rFonts w:cs="Arial"/>
        </w:rPr>
      </w:pPr>
    </w:p>
    <w:p w14:paraId="576650DB" w14:textId="7D3AB84C" w:rsidR="001E6ABA" w:rsidRPr="001E6ABA" w:rsidRDefault="001E6ABA" w:rsidP="00C57415">
      <w:pPr>
        <w:rPr>
          <w:rFonts w:cs="Arial"/>
          <w:b/>
        </w:rPr>
      </w:pPr>
      <w:r w:rsidRPr="001E6ABA">
        <w:rPr>
          <w:rFonts w:cs="Arial"/>
        </w:rPr>
        <w:t>Mezi roky 1990 a 2025 došlo k poklesu vypouštěného znečištění v ukazatelích BSK</w:t>
      </w:r>
      <w:r w:rsidRPr="001E6ABA">
        <w:rPr>
          <w:rFonts w:cs="Arial"/>
          <w:vertAlign w:val="subscript"/>
        </w:rPr>
        <w:t>5</w:t>
      </w:r>
      <w:r w:rsidRPr="001E6ABA">
        <w:rPr>
          <w:rFonts w:cs="Arial"/>
        </w:rPr>
        <w:t xml:space="preserve"> o 96,7 %, NL o 95,1 % a </w:t>
      </w:r>
      <w:proofErr w:type="spellStart"/>
      <w:r w:rsidRPr="001E6ABA">
        <w:rPr>
          <w:rFonts w:cs="Arial"/>
        </w:rPr>
        <w:t>CHSK</w:t>
      </w:r>
      <w:r w:rsidRPr="001E6ABA">
        <w:rPr>
          <w:rFonts w:cs="Arial"/>
          <w:vertAlign w:val="subscript"/>
        </w:rPr>
        <w:t>Cr</w:t>
      </w:r>
      <w:proofErr w:type="spellEnd"/>
      <w:r w:rsidRPr="001E6ABA">
        <w:rPr>
          <w:rFonts w:cs="Arial"/>
        </w:rPr>
        <w:t xml:space="preserve"> o 91 %. Současně se podařilo výrazně snížit také vypouštěné množství nebezpečných a zvlášť nebezpečných závadných látek. K poklesu zatížení makronutrienty (dusíkem a fosforem) přispělo cílené uplatňování biologického odstraňování dusíku a biologického či chemického odstraňování fosforu v technologiích čištění odpadních vod u nových a intenzifikovaných ČOV.</w:t>
      </w:r>
    </w:p>
    <w:p w14:paraId="554E0CB4" w14:textId="77777777" w:rsidR="00C57415" w:rsidRDefault="00C57415" w:rsidP="00C57415">
      <w:pPr>
        <w:rPr>
          <w:rFonts w:cs="Arial"/>
        </w:rPr>
      </w:pPr>
    </w:p>
    <w:p w14:paraId="0B38BC9A" w14:textId="047345EB" w:rsidR="001E6ABA" w:rsidRPr="001E6ABA" w:rsidRDefault="001E6ABA" w:rsidP="00C57415">
      <w:pPr>
        <w:rPr>
          <w:rFonts w:cs="Arial"/>
          <w:b/>
        </w:rPr>
      </w:pPr>
      <w:r w:rsidRPr="001E6ABA">
        <w:rPr>
          <w:rFonts w:cs="Arial"/>
        </w:rPr>
        <w:t>Z tabulky 5.1.1 je patrné, že v územní působnosti Povodí Vltavy a Povodí Odry jsou hodnoty vypouštěného znečištění v ukazateli RAS vyšší než hodnoty produkovaného znečištění. Odchylka může souviset s dávkováním solí při chemickém srážení fosforu nebo s používáním odpěňovacích prostředků, které se promítají až do výsledné hodnoty na odtoku. Dalším důvodem může být rozdílná četnost nebo typ vzorkování na přítoku a odtoku z ČOV, případně neúplné údaje o produkovaném znečištění.</w:t>
      </w:r>
    </w:p>
    <w:p w14:paraId="39FC3001" w14:textId="77777777" w:rsidR="00167CB5" w:rsidRPr="00104F7D" w:rsidRDefault="00167CB5" w:rsidP="00C40A3D">
      <w:pPr>
        <w:pStyle w:val="bn-text"/>
        <w:spacing w:before="0" w:after="0"/>
        <w:ind w:firstLine="0"/>
        <w:contextualSpacing/>
        <w:rPr>
          <w:rFonts w:ascii="Arial" w:hAnsi="Arial" w:cs="Arial"/>
          <w:color w:val="FF0000"/>
          <w:sz w:val="22"/>
          <w:szCs w:val="22"/>
          <w:highlight w:val="yellow"/>
        </w:rPr>
      </w:pPr>
    </w:p>
    <w:p w14:paraId="5C528B4B" w14:textId="1D90A393" w:rsidR="00F37925" w:rsidRPr="001E6ABA" w:rsidRDefault="004A243D" w:rsidP="007C4955">
      <w:pPr>
        <w:pStyle w:val="bn-text"/>
        <w:spacing w:before="0" w:after="0"/>
        <w:ind w:firstLine="0"/>
        <w:contextualSpacing/>
        <w:rPr>
          <w:rFonts w:ascii="Arial" w:hAnsi="Arial"/>
          <w:b/>
          <w:i/>
          <w:color w:val="000000" w:themeColor="text1"/>
          <w:sz w:val="22"/>
        </w:rPr>
      </w:pPr>
      <w:r w:rsidRPr="001E6ABA">
        <w:rPr>
          <w:rFonts w:ascii="Arial" w:hAnsi="Arial"/>
          <w:b/>
          <w:i/>
          <w:color w:val="000000" w:themeColor="text1"/>
          <w:sz w:val="22"/>
        </w:rPr>
        <w:t>Tabulka 5.1.1</w:t>
      </w:r>
      <w:r w:rsidRPr="001E6ABA">
        <w:rPr>
          <w:rFonts w:ascii="Arial" w:hAnsi="Arial"/>
          <w:b/>
          <w:i/>
          <w:color w:val="000000" w:themeColor="text1"/>
          <w:sz w:val="22"/>
        </w:rPr>
        <w:tab/>
      </w:r>
    </w:p>
    <w:p w14:paraId="65B6A811" w14:textId="2799B1A3" w:rsidR="004A243D" w:rsidRPr="001E6ABA" w:rsidRDefault="004A243D" w:rsidP="007C4955">
      <w:pPr>
        <w:pStyle w:val="bn-text"/>
        <w:spacing w:before="0" w:after="0"/>
        <w:ind w:firstLine="0"/>
        <w:contextualSpacing/>
        <w:rPr>
          <w:rFonts w:ascii="Arial" w:hAnsi="Arial"/>
          <w:b/>
          <w:i/>
          <w:color w:val="000000" w:themeColor="text1"/>
          <w:sz w:val="22"/>
        </w:rPr>
      </w:pPr>
      <w:r w:rsidRPr="001E6ABA">
        <w:rPr>
          <w:rFonts w:ascii="Arial" w:hAnsi="Arial"/>
          <w:b/>
          <w:i/>
          <w:color w:val="000000" w:themeColor="text1"/>
          <w:sz w:val="22"/>
        </w:rPr>
        <w:t>Produkované a vypouštěné znečištění v roce 20</w:t>
      </w:r>
      <w:r w:rsidR="005E175E" w:rsidRPr="001E6ABA">
        <w:rPr>
          <w:rFonts w:ascii="Arial" w:hAnsi="Arial"/>
          <w:b/>
          <w:i/>
          <w:color w:val="000000" w:themeColor="text1"/>
          <w:sz w:val="22"/>
        </w:rPr>
        <w:t>2</w:t>
      </w:r>
      <w:r w:rsidR="001E6ABA">
        <w:rPr>
          <w:rFonts w:ascii="Arial" w:hAnsi="Arial"/>
          <w:b/>
          <w:i/>
          <w:color w:val="000000" w:themeColor="text1"/>
          <w:sz w:val="22"/>
        </w:rPr>
        <w:t>5</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980"/>
        <w:gridCol w:w="708"/>
        <w:gridCol w:w="851"/>
        <w:gridCol w:w="709"/>
        <w:gridCol w:w="776"/>
        <w:gridCol w:w="721"/>
        <w:gridCol w:w="709"/>
        <w:gridCol w:w="567"/>
        <w:gridCol w:w="708"/>
        <w:gridCol w:w="709"/>
        <w:gridCol w:w="851"/>
        <w:gridCol w:w="708"/>
        <w:gridCol w:w="567"/>
      </w:tblGrid>
      <w:tr w:rsidR="00186037" w:rsidRPr="00E27DF7" w14:paraId="35519938" w14:textId="77777777" w:rsidTr="00C40A3D">
        <w:trPr>
          <w:cantSplit/>
          <w:trHeight w:val="164"/>
        </w:trPr>
        <w:tc>
          <w:tcPr>
            <w:tcW w:w="980" w:type="dxa"/>
            <w:vMerge w:val="restart"/>
            <w:shd w:val="clear" w:color="auto" w:fill="BFBFBF"/>
            <w:noWrap/>
            <w:vAlign w:val="center"/>
            <w:hideMark/>
          </w:tcPr>
          <w:p w14:paraId="2B5A7CA1" w14:textId="7E1DC5AA" w:rsidR="004A243D" w:rsidRPr="00E27DF7" w:rsidRDefault="00C12D31" w:rsidP="007C4955">
            <w:pPr>
              <w:keepNext/>
              <w:keepLines/>
              <w:contextualSpacing/>
              <w:rPr>
                <w:rFonts w:eastAsia="Times New Roman" w:cs="Arial"/>
                <w:b/>
                <w:color w:val="000000" w:themeColor="text1"/>
                <w:sz w:val="18"/>
                <w:szCs w:val="18"/>
              </w:rPr>
            </w:pPr>
            <w:r w:rsidRPr="00E27DF7">
              <w:rPr>
                <w:rFonts w:cs="Arial"/>
                <w:b/>
                <w:color w:val="000000" w:themeColor="text1"/>
                <w:sz w:val="18"/>
                <w:szCs w:val="18"/>
              </w:rPr>
              <w:t xml:space="preserve">Státní podnik </w:t>
            </w:r>
            <w:r w:rsidR="004A243D" w:rsidRPr="00E27DF7">
              <w:rPr>
                <w:rFonts w:cs="Arial"/>
                <w:b/>
                <w:color w:val="000000" w:themeColor="text1"/>
                <w:sz w:val="18"/>
                <w:szCs w:val="18"/>
              </w:rPr>
              <w:t>Povodí</w:t>
            </w:r>
          </w:p>
        </w:tc>
        <w:tc>
          <w:tcPr>
            <w:tcW w:w="4474" w:type="dxa"/>
            <w:gridSpan w:val="6"/>
            <w:shd w:val="clear" w:color="auto" w:fill="BFBFBF"/>
            <w:noWrap/>
            <w:vAlign w:val="bottom"/>
            <w:hideMark/>
          </w:tcPr>
          <w:p w14:paraId="496BE7E8" w14:textId="77777777" w:rsidR="004A243D" w:rsidRPr="00E27DF7" w:rsidRDefault="004A243D" w:rsidP="007C4955">
            <w:pPr>
              <w:keepNext/>
              <w:keepLines/>
              <w:contextualSpacing/>
              <w:jc w:val="center"/>
              <w:rPr>
                <w:rFonts w:eastAsia="Times New Roman" w:cs="Arial"/>
                <w:b/>
                <w:color w:val="000000" w:themeColor="text1"/>
                <w:sz w:val="18"/>
                <w:szCs w:val="18"/>
              </w:rPr>
            </w:pPr>
            <w:r w:rsidRPr="00E27DF7">
              <w:rPr>
                <w:rFonts w:cs="Arial"/>
                <w:b/>
                <w:color w:val="000000" w:themeColor="text1"/>
                <w:sz w:val="18"/>
                <w:szCs w:val="18"/>
              </w:rPr>
              <w:t>Produkované znečištění v t/rok</w:t>
            </w:r>
          </w:p>
        </w:tc>
        <w:tc>
          <w:tcPr>
            <w:tcW w:w="4110" w:type="dxa"/>
            <w:gridSpan w:val="6"/>
            <w:shd w:val="clear" w:color="auto" w:fill="BFBFBF"/>
            <w:noWrap/>
            <w:vAlign w:val="bottom"/>
            <w:hideMark/>
          </w:tcPr>
          <w:p w14:paraId="4BAC8AB2" w14:textId="77777777" w:rsidR="004A243D" w:rsidRPr="00E27DF7" w:rsidRDefault="004A243D" w:rsidP="007C4955">
            <w:pPr>
              <w:keepNext/>
              <w:keepLines/>
              <w:contextualSpacing/>
              <w:jc w:val="center"/>
              <w:rPr>
                <w:rFonts w:eastAsia="Times New Roman" w:cs="Arial"/>
                <w:b/>
                <w:color w:val="000000" w:themeColor="text1"/>
                <w:sz w:val="18"/>
                <w:szCs w:val="18"/>
              </w:rPr>
            </w:pPr>
            <w:r w:rsidRPr="00E27DF7">
              <w:rPr>
                <w:rFonts w:cs="Arial"/>
                <w:b/>
                <w:color w:val="000000" w:themeColor="text1"/>
                <w:sz w:val="18"/>
                <w:szCs w:val="18"/>
              </w:rPr>
              <w:t>Vypouštěné znečištění v t/rok</w:t>
            </w:r>
          </w:p>
        </w:tc>
      </w:tr>
      <w:tr w:rsidR="00186037" w:rsidRPr="00E27DF7" w14:paraId="0E8CBE7A" w14:textId="77777777" w:rsidTr="00C40A3D">
        <w:trPr>
          <w:cantSplit/>
          <w:trHeight w:val="126"/>
        </w:trPr>
        <w:tc>
          <w:tcPr>
            <w:tcW w:w="980" w:type="dxa"/>
            <w:vMerge/>
            <w:shd w:val="clear" w:color="auto" w:fill="BFBFBF"/>
            <w:vAlign w:val="center"/>
            <w:hideMark/>
          </w:tcPr>
          <w:p w14:paraId="166FC8EC" w14:textId="77777777" w:rsidR="004A243D" w:rsidRPr="00E27DF7" w:rsidRDefault="004A243D" w:rsidP="007C4955">
            <w:pPr>
              <w:contextualSpacing/>
              <w:rPr>
                <w:rFonts w:eastAsia="Times New Roman" w:cs="Arial"/>
                <w:b/>
                <w:color w:val="000000" w:themeColor="text1"/>
                <w:sz w:val="18"/>
                <w:szCs w:val="18"/>
              </w:rPr>
            </w:pPr>
          </w:p>
        </w:tc>
        <w:tc>
          <w:tcPr>
            <w:tcW w:w="708" w:type="dxa"/>
            <w:shd w:val="clear" w:color="auto" w:fill="BFBFBF"/>
            <w:noWrap/>
            <w:vAlign w:val="bottom"/>
            <w:hideMark/>
          </w:tcPr>
          <w:p w14:paraId="597BB576" w14:textId="77777777" w:rsidR="004A243D" w:rsidRPr="00E27DF7" w:rsidRDefault="004A243D" w:rsidP="007C4955">
            <w:pPr>
              <w:keepNext/>
              <w:keepLines/>
              <w:contextualSpacing/>
              <w:jc w:val="center"/>
              <w:rPr>
                <w:rFonts w:eastAsia="Times New Roman" w:cs="Arial"/>
                <w:b/>
                <w:color w:val="000000" w:themeColor="text1"/>
                <w:sz w:val="18"/>
                <w:szCs w:val="18"/>
              </w:rPr>
            </w:pPr>
            <w:r w:rsidRPr="00E27DF7">
              <w:rPr>
                <w:rFonts w:cs="Arial"/>
                <w:b/>
                <w:color w:val="000000" w:themeColor="text1"/>
                <w:sz w:val="18"/>
                <w:szCs w:val="18"/>
              </w:rPr>
              <w:t>BSK</w:t>
            </w:r>
            <w:r w:rsidRPr="00E27DF7">
              <w:rPr>
                <w:rFonts w:cs="Arial"/>
                <w:b/>
                <w:color w:val="000000" w:themeColor="text1"/>
                <w:sz w:val="18"/>
                <w:szCs w:val="18"/>
                <w:vertAlign w:val="subscript"/>
              </w:rPr>
              <w:t>5</w:t>
            </w:r>
          </w:p>
        </w:tc>
        <w:tc>
          <w:tcPr>
            <w:tcW w:w="851" w:type="dxa"/>
            <w:shd w:val="clear" w:color="auto" w:fill="BFBFBF"/>
            <w:noWrap/>
            <w:vAlign w:val="bottom"/>
            <w:hideMark/>
          </w:tcPr>
          <w:p w14:paraId="79ED64C1" w14:textId="77777777" w:rsidR="004A243D" w:rsidRPr="00E27DF7" w:rsidRDefault="004A243D" w:rsidP="007C4955">
            <w:pPr>
              <w:keepNext/>
              <w:keepLines/>
              <w:contextualSpacing/>
              <w:jc w:val="center"/>
              <w:rPr>
                <w:rFonts w:eastAsia="Times New Roman" w:cs="Arial"/>
                <w:b/>
                <w:color w:val="000000" w:themeColor="text1"/>
                <w:sz w:val="18"/>
                <w:szCs w:val="18"/>
              </w:rPr>
            </w:pPr>
            <w:r w:rsidRPr="00E27DF7">
              <w:rPr>
                <w:rFonts w:cs="Arial"/>
                <w:b/>
                <w:color w:val="000000" w:themeColor="text1"/>
                <w:sz w:val="18"/>
                <w:szCs w:val="18"/>
              </w:rPr>
              <w:t>CHSK</w:t>
            </w:r>
          </w:p>
        </w:tc>
        <w:tc>
          <w:tcPr>
            <w:tcW w:w="709" w:type="dxa"/>
            <w:shd w:val="clear" w:color="auto" w:fill="BFBFBF"/>
            <w:noWrap/>
            <w:vAlign w:val="bottom"/>
            <w:hideMark/>
          </w:tcPr>
          <w:p w14:paraId="233F27BE" w14:textId="77777777" w:rsidR="004A243D" w:rsidRPr="00E27DF7" w:rsidRDefault="004A243D" w:rsidP="007C4955">
            <w:pPr>
              <w:keepNext/>
              <w:keepLines/>
              <w:contextualSpacing/>
              <w:jc w:val="center"/>
              <w:rPr>
                <w:rFonts w:eastAsia="Times New Roman" w:cs="Arial"/>
                <w:b/>
                <w:color w:val="000000" w:themeColor="text1"/>
                <w:sz w:val="18"/>
                <w:szCs w:val="18"/>
              </w:rPr>
            </w:pPr>
            <w:r w:rsidRPr="00E27DF7">
              <w:rPr>
                <w:rFonts w:cs="Arial"/>
                <w:b/>
                <w:color w:val="000000" w:themeColor="text1"/>
                <w:sz w:val="18"/>
                <w:szCs w:val="18"/>
              </w:rPr>
              <w:t>NL</w:t>
            </w:r>
          </w:p>
        </w:tc>
        <w:tc>
          <w:tcPr>
            <w:tcW w:w="776" w:type="dxa"/>
            <w:shd w:val="clear" w:color="auto" w:fill="BFBFBF"/>
            <w:noWrap/>
            <w:vAlign w:val="bottom"/>
            <w:hideMark/>
          </w:tcPr>
          <w:p w14:paraId="48E45F97" w14:textId="77777777" w:rsidR="004A243D" w:rsidRPr="00E27DF7" w:rsidRDefault="004A243D" w:rsidP="007C4955">
            <w:pPr>
              <w:keepNext/>
              <w:keepLines/>
              <w:contextualSpacing/>
              <w:jc w:val="center"/>
              <w:rPr>
                <w:rFonts w:eastAsia="Times New Roman" w:cs="Arial"/>
                <w:b/>
                <w:color w:val="000000" w:themeColor="text1"/>
                <w:sz w:val="18"/>
                <w:szCs w:val="18"/>
              </w:rPr>
            </w:pPr>
            <w:r w:rsidRPr="00E27DF7">
              <w:rPr>
                <w:rFonts w:cs="Arial"/>
                <w:b/>
                <w:color w:val="000000" w:themeColor="text1"/>
                <w:sz w:val="18"/>
                <w:szCs w:val="18"/>
              </w:rPr>
              <w:t>RAS</w:t>
            </w:r>
          </w:p>
        </w:tc>
        <w:tc>
          <w:tcPr>
            <w:tcW w:w="721" w:type="dxa"/>
            <w:shd w:val="clear" w:color="auto" w:fill="BFBFBF"/>
            <w:noWrap/>
            <w:vAlign w:val="bottom"/>
            <w:hideMark/>
          </w:tcPr>
          <w:p w14:paraId="7C340D34" w14:textId="77777777" w:rsidR="004A243D" w:rsidRPr="00E27DF7" w:rsidRDefault="004A243D" w:rsidP="007C4955">
            <w:pPr>
              <w:keepNext/>
              <w:keepLines/>
              <w:contextualSpacing/>
              <w:jc w:val="center"/>
              <w:rPr>
                <w:rFonts w:eastAsia="Times New Roman" w:cs="Arial"/>
                <w:b/>
                <w:color w:val="000000" w:themeColor="text1"/>
                <w:sz w:val="18"/>
                <w:szCs w:val="18"/>
              </w:rPr>
            </w:pPr>
            <w:proofErr w:type="spellStart"/>
            <w:r w:rsidRPr="00E27DF7">
              <w:rPr>
                <w:rFonts w:cs="Arial"/>
                <w:b/>
                <w:color w:val="000000" w:themeColor="text1"/>
                <w:sz w:val="18"/>
                <w:szCs w:val="18"/>
              </w:rPr>
              <w:t>N</w:t>
            </w:r>
            <w:r w:rsidRPr="00E27DF7">
              <w:rPr>
                <w:rFonts w:cs="Arial"/>
                <w:b/>
                <w:color w:val="000000" w:themeColor="text1"/>
                <w:sz w:val="18"/>
                <w:szCs w:val="18"/>
                <w:vertAlign w:val="subscript"/>
              </w:rPr>
              <w:t>anorg</w:t>
            </w:r>
            <w:proofErr w:type="spellEnd"/>
          </w:p>
        </w:tc>
        <w:tc>
          <w:tcPr>
            <w:tcW w:w="709" w:type="dxa"/>
            <w:shd w:val="clear" w:color="auto" w:fill="BFBFBF"/>
            <w:noWrap/>
            <w:vAlign w:val="bottom"/>
            <w:hideMark/>
          </w:tcPr>
          <w:p w14:paraId="73EB6C90" w14:textId="77777777" w:rsidR="004A243D" w:rsidRPr="00E27DF7" w:rsidRDefault="004A243D" w:rsidP="007C4955">
            <w:pPr>
              <w:keepNext/>
              <w:keepLines/>
              <w:contextualSpacing/>
              <w:jc w:val="center"/>
              <w:rPr>
                <w:rFonts w:eastAsia="Times New Roman" w:cs="Arial"/>
                <w:b/>
                <w:color w:val="000000" w:themeColor="text1"/>
                <w:sz w:val="18"/>
                <w:szCs w:val="18"/>
              </w:rPr>
            </w:pPr>
            <w:proofErr w:type="spellStart"/>
            <w:r w:rsidRPr="00E27DF7">
              <w:rPr>
                <w:rFonts w:cs="Arial"/>
                <w:b/>
                <w:color w:val="000000" w:themeColor="text1"/>
                <w:sz w:val="18"/>
                <w:szCs w:val="18"/>
              </w:rPr>
              <w:t>P</w:t>
            </w:r>
            <w:r w:rsidRPr="00E27DF7">
              <w:rPr>
                <w:rFonts w:cs="Arial"/>
                <w:b/>
                <w:color w:val="000000" w:themeColor="text1"/>
                <w:sz w:val="18"/>
                <w:szCs w:val="18"/>
                <w:vertAlign w:val="subscript"/>
              </w:rPr>
              <w:t>celk</w:t>
            </w:r>
            <w:proofErr w:type="spellEnd"/>
          </w:p>
        </w:tc>
        <w:tc>
          <w:tcPr>
            <w:tcW w:w="567" w:type="dxa"/>
            <w:shd w:val="clear" w:color="auto" w:fill="BFBFBF"/>
            <w:noWrap/>
            <w:vAlign w:val="bottom"/>
            <w:hideMark/>
          </w:tcPr>
          <w:p w14:paraId="29B0C713" w14:textId="77777777" w:rsidR="004A243D" w:rsidRPr="00E27DF7" w:rsidRDefault="004A243D" w:rsidP="007C4955">
            <w:pPr>
              <w:keepNext/>
              <w:keepLines/>
              <w:contextualSpacing/>
              <w:jc w:val="center"/>
              <w:rPr>
                <w:rFonts w:eastAsia="Times New Roman" w:cs="Arial"/>
                <w:b/>
                <w:color w:val="000000" w:themeColor="text1"/>
                <w:sz w:val="18"/>
                <w:szCs w:val="18"/>
              </w:rPr>
            </w:pPr>
            <w:r w:rsidRPr="00E27DF7">
              <w:rPr>
                <w:rFonts w:cs="Arial"/>
                <w:b/>
                <w:color w:val="000000" w:themeColor="text1"/>
                <w:sz w:val="18"/>
                <w:szCs w:val="18"/>
              </w:rPr>
              <w:t>BSK</w:t>
            </w:r>
            <w:r w:rsidRPr="00E27DF7">
              <w:rPr>
                <w:rFonts w:cs="Arial"/>
                <w:b/>
                <w:color w:val="000000" w:themeColor="text1"/>
                <w:sz w:val="18"/>
                <w:szCs w:val="18"/>
                <w:vertAlign w:val="subscript"/>
              </w:rPr>
              <w:t>5</w:t>
            </w:r>
          </w:p>
        </w:tc>
        <w:tc>
          <w:tcPr>
            <w:tcW w:w="708" w:type="dxa"/>
            <w:shd w:val="clear" w:color="auto" w:fill="BFBFBF"/>
            <w:noWrap/>
            <w:vAlign w:val="bottom"/>
            <w:hideMark/>
          </w:tcPr>
          <w:p w14:paraId="7DD1F9FE" w14:textId="77777777" w:rsidR="004A243D" w:rsidRPr="00E27DF7" w:rsidRDefault="004A243D" w:rsidP="007C4955">
            <w:pPr>
              <w:keepNext/>
              <w:keepLines/>
              <w:contextualSpacing/>
              <w:jc w:val="center"/>
              <w:rPr>
                <w:rFonts w:eastAsia="Times New Roman" w:cs="Arial"/>
                <w:b/>
                <w:color w:val="000000" w:themeColor="text1"/>
                <w:sz w:val="18"/>
                <w:szCs w:val="18"/>
              </w:rPr>
            </w:pPr>
            <w:r w:rsidRPr="00E27DF7">
              <w:rPr>
                <w:rFonts w:cs="Arial"/>
                <w:b/>
                <w:color w:val="000000" w:themeColor="text1"/>
                <w:sz w:val="18"/>
                <w:szCs w:val="18"/>
              </w:rPr>
              <w:t>CHSK</w:t>
            </w:r>
          </w:p>
        </w:tc>
        <w:tc>
          <w:tcPr>
            <w:tcW w:w="709" w:type="dxa"/>
            <w:shd w:val="clear" w:color="auto" w:fill="BFBFBF"/>
            <w:noWrap/>
            <w:vAlign w:val="bottom"/>
            <w:hideMark/>
          </w:tcPr>
          <w:p w14:paraId="7B707A29" w14:textId="77777777" w:rsidR="004A243D" w:rsidRPr="00E27DF7" w:rsidRDefault="004A243D" w:rsidP="007C4955">
            <w:pPr>
              <w:keepNext/>
              <w:keepLines/>
              <w:contextualSpacing/>
              <w:jc w:val="center"/>
              <w:rPr>
                <w:rFonts w:eastAsia="Times New Roman" w:cs="Arial"/>
                <w:b/>
                <w:color w:val="000000" w:themeColor="text1"/>
                <w:sz w:val="18"/>
                <w:szCs w:val="18"/>
              </w:rPr>
            </w:pPr>
            <w:r w:rsidRPr="00E27DF7">
              <w:rPr>
                <w:rFonts w:cs="Arial"/>
                <w:b/>
                <w:color w:val="000000" w:themeColor="text1"/>
                <w:sz w:val="18"/>
                <w:szCs w:val="18"/>
              </w:rPr>
              <w:t>NL</w:t>
            </w:r>
          </w:p>
        </w:tc>
        <w:tc>
          <w:tcPr>
            <w:tcW w:w="851" w:type="dxa"/>
            <w:shd w:val="clear" w:color="auto" w:fill="BFBFBF"/>
            <w:noWrap/>
            <w:vAlign w:val="bottom"/>
            <w:hideMark/>
          </w:tcPr>
          <w:p w14:paraId="250B5E86" w14:textId="77777777" w:rsidR="004A243D" w:rsidRPr="00E27DF7" w:rsidRDefault="004A243D" w:rsidP="007C4955">
            <w:pPr>
              <w:keepNext/>
              <w:keepLines/>
              <w:contextualSpacing/>
              <w:jc w:val="center"/>
              <w:rPr>
                <w:rFonts w:eastAsia="Times New Roman" w:cs="Arial"/>
                <w:b/>
                <w:color w:val="000000" w:themeColor="text1"/>
                <w:sz w:val="18"/>
                <w:szCs w:val="18"/>
              </w:rPr>
            </w:pPr>
            <w:r w:rsidRPr="00E27DF7">
              <w:rPr>
                <w:rFonts w:cs="Arial"/>
                <w:b/>
                <w:color w:val="000000" w:themeColor="text1"/>
                <w:sz w:val="18"/>
                <w:szCs w:val="18"/>
              </w:rPr>
              <w:t>RAS</w:t>
            </w:r>
          </w:p>
        </w:tc>
        <w:tc>
          <w:tcPr>
            <w:tcW w:w="708" w:type="dxa"/>
            <w:shd w:val="clear" w:color="auto" w:fill="BFBFBF"/>
            <w:noWrap/>
            <w:vAlign w:val="bottom"/>
            <w:hideMark/>
          </w:tcPr>
          <w:p w14:paraId="4035F63F" w14:textId="77777777" w:rsidR="004A243D" w:rsidRPr="00E27DF7" w:rsidRDefault="004A243D" w:rsidP="007C4955">
            <w:pPr>
              <w:keepNext/>
              <w:keepLines/>
              <w:contextualSpacing/>
              <w:jc w:val="center"/>
              <w:rPr>
                <w:rFonts w:eastAsia="Times New Roman" w:cs="Arial"/>
                <w:b/>
                <w:color w:val="000000" w:themeColor="text1"/>
                <w:sz w:val="18"/>
                <w:szCs w:val="18"/>
              </w:rPr>
            </w:pPr>
            <w:proofErr w:type="spellStart"/>
            <w:r w:rsidRPr="00E27DF7">
              <w:rPr>
                <w:rFonts w:cs="Arial"/>
                <w:b/>
                <w:color w:val="000000" w:themeColor="text1"/>
                <w:sz w:val="18"/>
                <w:szCs w:val="18"/>
              </w:rPr>
              <w:t>N</w:t>
            </w:r>
            <w:r w:rsidRPr="00E27DF7">
              <w:rPr>
                <w:rFonts w:cs="Arial"/>
                <w:b/>
                <w:color w:val="000000" w:themeColor="text1"/>
                <w:sz w:val="18"/>
                <w:szCs w:val="18"/>
                <w:vertAlign w:val="subscript"/>
              </w:rPr>
              <w:t>anorg</w:t>
            </w:r>
            <w:proofErr w:type="spellEnd"/>
          </w:p>
        </w:tc>
        <w:tc>
          <w:tcPr>
            <w:tcW w:w="567" w:type="dxa"/>
            <w:shd w:val="clear" w:color="auto" w:fill="BFBFBF"/>
            <w:noWrap/>
            <w:vAlign w:val="bottom"/>
            <w:hideMark/>
          </w:tcPr>
          <w:p w14:paraId="7134B83C" w14:textId="77777777" w:rsidR="004A243D" w:rsidRPr="00E27DF7" w:rsidRDefault="004A243D" w:rsidP="007C4955">
            <w:pPr>
              <w:keepNext/>
              <w:keepLines/>
              <w:contextualSpacing/>
              <w:jc w:val="center"/>
              <w:rPr>
                <w:rFonts w:eastAsia="Times New Roman" w:cs="Arial"/>
                <w:b/>
                <w:color w:val="000000" w:themeColor="text1"/>
                <w:sz w:val="18"/>
                <w:szCs w:val="18"/>
              </w:rPr>
            </w:pPr>
            <w:proofErr w:type="spellStart"/>
            <w:r w:rsidRPr="00E27DF7">
              <w:rPr>
                <w:rFonts w:cs="Arial"/>
                <w:b/>
                <w:color w:val="000000" w:themeColor="text1"/>
                <w:sz w:val="18"/>
                <w:szCs w:val="18"/>
              </w:rPr>
              <w:t>P</w:t>
            </w:r>
            <w:r w:rsidRPr="00E27DF7">
              <w:rPr>
                <w:rFonts w:cs="Arial"/>
                <w:b/>
                <w:color w:val="000000" w:themeColor="text1"/>
                <w:sz w:val="18"/>
                <w:szCs w:val="18"/>
                <w:vertAlign w:val="subscript"/>
              </w:rPr>
              <w:t>celk</w:t>
            </w:r>
            <w:proofErr w:type="spellEnd"/>
          </w:p>
        </w:tc>
      </w:tr>
      <w:tr w:rsidR="00E27DF7" w:rsidRPr="00E27DF7" w14:paraId="269BF7A3" w14:textId="77777777" w:rsidTr="00C40A3D">
        <w:trPr>
          <w:trHeight w:val="57"/>
        </w:trPr>
        <w:tc>
          <w:tcPr>
            <w:tcW w:w="980" w:type="dxa"/>
            <w:noWrap/>
            <w:vAlign w:val="bottom"/>
            <w:hideMark/>
          </w:tcPr>
          <w:p w14:paraId="4873F85B" w14:textId="77777777" w:rsidR="00E27DF7" w:rsidRPr="00E27DF7" w:rsidRDefault="00E27DF7" w:rsidP="00E27DF7">
            <w:pPr>
              <w:keepNext/>
              <w:keepLines/>
              <w:contextualSpacing/>
              <w:rPr>
                <w:rFonts w:eastAsia="Times New Roman" w:cs="Arial"/>
                <w:b/>
                <w:color w:val="000000" w:themeColor="text1"/>
                <w:sz w:val="18"/>
                <w:szCs w:val="18"/>
              </w:rPr>
            </w:pPr>
            <w:r w:rsidRPr="00E27DF7">
              <w:rPr>
                <w:rFonts w:cs="Arial"/>
                <w:b/>
                <w:color w:val="000000" w:themeColor="text1"/>
                <w:sz w:val="18"/>
                <w:szCs w:val="18"/>
              </w:rPr>
              <w:t xml:space="preserve">Labe </w:t>
            </w:r>
            <w:r w:rsidRPr="00E27DF7">
              <w:rPr>
                <w:rFonts w:cs="Arial"/>
                <w:b/>
                <w:color w:val="000000" w:themeColor="text1"/>
                <w:sz w:val="18"/>
                <w:szCs w:val="18"/>
                <w:vertAlign w:val="superscript"/>
              </w:rPr>
              <w:t>*)</w:t>
            </w:r>
          </w:p>
        </w:tc>
        <w:tc>
          <w:tcPr>
            <w:tcW w:w="708" w:type="dxa"/>
            <w:noWrap/>
            <w:hideMark/>
          </w:tcPr>
          <w:p w14:paraId="240B9114" w14:textId="1A879F8F"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54 143</w:t>
            </w:r>
          </w:p>
        </w:tc>
        <w:tc>
          <w:tcPr>
            <w:tcW w:w="851" w:type="dxa"/>
            <w:noWrap/>
            <w:hideMark/>
          </w:tcPr>
          <w:p w14:paraId="6AC973D2" w14:textId="1E6D2E15"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125 874</w:t>
            </w:r>
          </w:p>
        </w:tc>
        <w:tc>
          <w:tcPr>
            <w:tcW w:w="709" w:type="dxa"/>
            <w:noWrap/>
            <w:hideMark/>
          </w:tcPr>
          <w:p w14:paraId="4D6D2B09" w14:textId="1AE5CE6A"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50 275</w:t>
            </w:r>
          </w:p>
        </w:tc>
        <w:tc>
          <w:tcPr>
            <w:tcW w:w="776" w:type="dxa"/>
            <w:noWrap/>
            <w:hideMark/>
          </w:tcPr>
          <w:p w14:paraId="7018D9E6" w14:textId="2DC42260"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199 499</w:t>
            </w:r>
          </w:p>
        </w:tc>
        <w:tc>
          <w:tcPr>
            <w:tcW w:w="721" w:type="dxa"/>
            <w:noWrap/>
            <w:hideMark/>
          </w:tcPr>
          <w:p w14:paraId="046C4066" w14:textId="143F7382"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7 939</w:t>
            </w:r>
          </w:p>
        </w:tc>
        <w:tc>
          <w:tcPr>
            <w:tcW w:w="709" w:type="dxa"/>
            <w:noWrap/>
            <w:hideMark/>
          </w:tcPr>
          <w:p w14:paraId="47EF35A3" w14:textId="47310E64"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1 533</w:t>
            </w:r>
          </w:p>
        </w:tc>
        <w:tc>
          <w:tcPr>
            <w:tcW w:w="567" w:type="dxa"/>
            <w:noWrap/>
            <w:hideMark/>
          </w:tcPr>
          <w:p w14:paraId="3EE98AFA" w14:textId="245B0478"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979</w:t>
            </w:r>
          </w:p>
        </w:tc>
        <w:tc>
          <w:tcPr>
            <w:tcW w:w="708" w:type="dxa"/>
            <w:noWrap/>
            <w:hideMark/>
          </w:tcPr>
          <w:p w14:paraId="20856DB7" w14:textId="3E3CE854"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10 747</w:t>
            </w:r>
          </w:p>
        </w:tc>
        <w:tc>
          <w:tcPr>
            <w:tcW w:w="709" w:type="dxa"/>
            <w:noWrap/>
            <w:hideMark/>
          </w:tcPr>
          <w:p w14:paraId="39CED79A" w14:textId="28D2B88F"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2 491</w:t>
            </w:r>
          </w:p>
        </w:tc>
        <w:tc>
          <w:tcPr>
            <w:tcW w:w="851" w:type="dxa"/>
            <w:noWrap/>
            <w:hideMark/>
          </w:tcPr>
          <w:p w14:paraId="4F320BC8" w14:textId="7006CD02"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185 323</w:t>
            </w:r>
          </w:p>
        </w:tc>
        <w:tc>
          <w:tcPr>
            <w:tcW w:w="708" w:type="dxa"/>
            <w:noWrap/>
            <w:hideMark/>
          </w:tcPr>
          <w:p w14:paraId="4DFAD385" w14:textId="52093ABB"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1 974</w:t>
            </w:r>
          </w:p>
        </w:tc>
        <w:tc>
          <w:tcPr>
            <w:tcW w:w="567" w:type="dxa"/>
            <w:noWrap/>
            <w:hideMark/>
          </w:tcPr>
          <w:p w14:paraId="2A916352" w14:textId="09142BC5"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221</w:t>
            </w:r>
          </w:p>
        </w:tc>
      </w:tr>
      <w:tr w:rsidR="00E27DF7" w:rsidRPr="00E27DF7" w14:paraId="13B89E7B" w14:textId="77777777" w:rsidTr="00C40A3D">
        <w:trPr>
          <w:trHeight w:val="57"/>
        </w:trPr>
        <w:tc>
          <w:tcPr>
            <w:tcW w:w="980" w:type="dxa"/>
            <w:noWrap/>
            <w:vAlign w:val="bottom"/>
            <w:hideMark/>
          </w:tcPr>
          <w:p w14:paraId="4878008E" w14:textId="07BADDC5" w:rsidR="00E27DF7" w:rsidRPr="00E27DF7" w:rsidRDefault="00E27DF7" w:rsidP="00E27DF7">
            <w:pPr>
              <w:keepNext/>
              <w:keepLines/>
              <w:contextualSpacing/>
              <w:rPr>
                <w:rFonts w:eastAsia="Times New Roman" w:cs="Arial"/>
                <w:b/>
                <w:color w:val="000000" w:themeColor="text1"/>
                <w:sz w:val="18"/>
                <w:szCs w:val="18"/>
              </w:rPr>
            </w:pPr>
            <w:r w:rsidRPr="00E27DF7">
              <w:rPr>
                <w:rFonts w:cs="Arial"/>
                <w:b/>
                <w:color w:val="000000" w:themeColor="text1"/>
                <w:sz w:val="18"/>
                <w:szCs w:val="18"/>
              </w:rPr>
              <w:t>Vltavy</w:t>
            </w:r>
          </w:p>
        </w:tc>
        <w:tc>
          <w:tcPr>
            <w:tcW w:w="708" w:type="dxa"/>
            <w:noWrap/>
            <w:hideMark/>
          </w:tcPr>
          <w:p w14:paraId="3EBA2758" w14:textId="572DD2A4"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84 378</w:t>
            </w:r>
          </w:p>
        </w:tc>
        <w:tc>
          <w:tcPr>
            <w:tcW w:w="851" w:type="dxa"/>
            <w:noWrap/>
            <w:hideMark/>
          </w:tcPr>
          <w:p w14:paraId="06843A0E" w14:textId="7D8AD726"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201 075</w:t>
            </w:r>
          </w:p>
        </w:tc>
        <w:tc>
          <w:tcPr>
            <w:tcW w:w="709" w:type="dxa"/>
            <w:noWrap/>
            <w:hideMark/>
          </w:tcPr>
          <w:p w14:paraId="19B3F1D2" w14:textId="31890857"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91 311</w:t>
            </w:r>
          </w:p>
        </w:tc>
        <w:tc>
          <w:tcPr>
            <w:tcW w:w="776" w:type="dxa"/>
            <w:noWrap/>
            <w:hideMark/>
          </w:tcPr>
          <w:p w14:paraId="2750CAC0" w14:textId="530FC213"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123 024</w:t>
            </w:r>
          </w:p>
        </w:tc>
        <w:tc>
          <w:tcPr>
            <w:tcW w:w="721" w:type="dxa"/>
            <w:noWrap/>
            <w:hideMark/>
          </w:tcPr>
          <w:p w14:paraId="617EE9D6" w14:textId="5FADDAFB"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10 814</w:t>
            </w:r>
          </w:p>
        </w:tc>
        <w:tc>
          <w:tcPr>
            <w:tcW w:w="709" w:type="dxa"/>
            <w:noWrap/>
            <w:hideMark/>
          </w:tcPr>
          <w:p w14:paraId="5CDD9886" w14:textId="1D676FD9"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2 356</w:t>
            </w:r>
          </w:p>
        </w:tc>
        <w:tc>
          <w:tcPr>
            <w:tcW w:w="567" w:type="dxa"/>
            <w:noWrap/>
            <w:hideMark/>
          </w:tcPr>
          <w:p w14:paraId="3C312818" w14:textId="787A3F47"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1 257</w:t>
            </w:r>
          </w:p>
        </w:tc>
        <w:tc>
          <w:tcPr>
            <w:tcW w:w="708" w:type="dxa"/>
            <w:noWrap/>
            <w:hideMark/>
          </w:tcPr>
          <w:p w14:paraId="44DBEB46" w14:textId="4CADCB13"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9 262</w:t>
            </w:r>
          </w:p>
        </w:tc>
        <w:tc>
          <w:tcPr>
            <w:tcW w:w="709" w:type="dxa"/>
            <w:noWrap/>
            <w:hideMark/>
          </w:tcPr>
          <w:p w14:paraId="43DDAC01" w14:textId="3EAA6007"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2 016</w:t>
            </w:r>
          </w:p>
        </w:tc>
        <w:tc>
          <w:tcPr>
            <w:tcW w:w="851" w:type="dxa"/>
            <w:noWrap/>
            <w:hideMark/>
          </w:tcPr>
          <w:p w14:paraId="2A1C7875" w14:textId="1DD7396B"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134 523</w:t>
            </w:r>
          </w:p>
        </w:tc>
        <w:tc>
          <w:tcPr>
            <w:tcW w:w="708" w:type="dxa"/>
            <w:noWrap/>
            <w:hideMark/>
          </w:tcPr>
          <w:p w14:paraId="2145EF08" w14:textId="174E9DC9"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2 903</w:t>
            </w:r>
          </w:p>
        </w:tc>
        <w:tc>
          <w:tcPr>
            <w:tcW w:w="567" w:type="dxa"/>
            <w:noWrap/>
            <w:hideMark/>
          </w:tcPr>
          <w:p w14:paraId="12EFC72C" w14:textId="4F2BC0EB"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271</w:t>
            </w:r>
          </w:p>
        </w:tc>
      </w:tr>
      <w:tr w:rsidR="00E27DF7" w:rsidRPr="00E27DF7" w14:paraId="2DE88EE7" w14:textId="77777777" w:rsidTr="00C40A3D">
        <w:trPr>
          <w:trHeight w:val="57"/>
        </w:trPr>
        <w:tc>
          <w:tcPr>
            <w:tcW w:w="980" w:type="dxa"/>
            <w:noWrap/>
            <w:vAlign w:val="bottom"/>
            <w:hideMark/>
          </w:tcPr>
          <w:p w14:paraId="2CA490B4" w14:textId="77777777" w:rsidR="00E27DF7" w:rsidRPr="00E27DF7" w:rsidRDefault="00E27DF7" w:rsidP="00E27DF7">
            <w:pPr>
              <w:keepNext/>
              <w:keepLines/>
              <w:contextualSpacing/>
              <w:rPr>
                <w:rFonts w:eastAsia="Times New Roman" w:cs="Arial"/>
                <w:b/>
                <w:color w:val="000000" w:themeColor="text1"/>
                <w:sz w:val="18"/>
                <w:szCs w:val="18"/>
              </w:rPr>
            </w:pPr>
            <w:r w:rsidRPr="00E27DF7">
              <w:rPr>
                <w:rFonts w:cs="Arial"/>
                <w:b/>
                <w:color w:val="000000" w:themeColor="text1"/>
                <w:sz w:val="18"/>
                <w:szCs w:val="18"/>
              </w:rPr>
              <w:t xml:space="preserve">Ohře </w:t>
            </w:r>
            <w:r w:rsidRPr="00E27DF7">
              <w:rPr>
                <w:rFonts w:cs="Arial"/>
                <w:b/>
                <w:color w:val="000000" w:themeColor="text1"/>
                <w:sz w:val="18"/>
                <w:szCs w:val="18"/>
                <w:vertAlign w:val="superscript"/>
              </w:rPr>
              <w:t>*)</w:t>
            </w:r>
          </w:p>
        </w:tc>
        <w:tc>
          <w:tcPr>
            <w:tcW w:w="708" w:type="dxa"/>
            <w:noWrap/>
            <w:hideMark/>
          </w:tcPr>
          <w:p w14:paraId="40500FD3" w14:textId="56ABD973"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16 484</w:t>
            </w:r>
          </w:p>
        </w:tc>
        <w:tc>
          <w:tcPr>
            <w:tcW w:w="851" w:type="dxa"/>
            <w:noWrap/>
            <w:hideMark/>
          </w:tcPr>
          <w:p w14:paraId="5A7BE199" w14:textId="3F835EDF"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32 475</w:t>
            </w:r>
          </w:p>
        </w:tc>
        <w:tc>
          <w:tcPr>
            <w:tcW w:w="709" w:type="dxa"/>
            <w:noWrap/>
            <w:hideMark/>
          </w:tcPr>
          <w:p w14:paraId="5D8AA384" w14:textId="568D9422"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14 121</w:t>
            </w:r>
          </w:p>
        </w:tc>
        <w:tc>
          <w:tcPr>
            <w:tcW w:w="776" w:type="dxa"/>
            <w:noWrap/>
            <w:hideMark/>
          </w:tcPr>
          <w:p w14:paraId="2AAFDF3D" w14:textId="025CA2B1"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60 399</w:t>
            </w:r>
          </w:p>
        </w:tc>
        <w:tc>
          <w:tcPr>
            <w:tcW w:w="721" w:type="dxa"/>
            <w:noWrap/>
            <w:hideMark/>
          </w:tcPr>
          <w:p w14:paraId="3813EA4C" w14:textId="6749AA0F"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2 061</w:t>
            </w:r>
          </w:p>
        </w:tc>
        <w:tc>
          <w:tcPr>
            <w:tcW w:w="709" w:type="dxa"/>
            <w:noWrap/>
            <w:hideMark/>
          </w:tcPr>
          <w:p w14:paraId="6F1035DB" w14:textId="0370C035"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673</w:t>
            </w:r>
          </w:p>
        </w:tc>
        <w:tc>
          <w:tcPr>
            <w:tcW w:w="567" w:type="dxa"/>
            <w:noWrap/>
            <w:hideMark/>
          </w:tcPr>
          <w:p w14:paraId="5BEF0100" w14:textId="33586AD5"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338</w:t>
            </w:r>
          </w:p>
        </w:tc>
        <w:tc>
          <w:tcPr>
            <w:tcW w:w="708" w:type="dxa"/>
            <w:noWrap/>
            <w:hideMark/>
          </w:tcPr>
          <w:p w14:paraId="7B06534F" w14:textId="487E2C78"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2 694</w:t>
            </w:r>
          </w:p>
        </w:tc>
        <w:tc>
          <w:tcPr>
            <w:tcW w:w="709" w:type="dxa"/>
            <w:noWrap/>
            <w:hideMark/>
          </w:tcPr>
          <w:p w14:paraId="3CB6F6A2" w14:textId="6EF41B90"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904</w:t>
            </w:r>
          </w:p>
        </w:tc>
        <w:tc>
          <w:tcPr>
            <w:tcW w:w="851" w:type="dxa"/>
            <w:noWrap/>
            <w:hideMark/>
          </w:tcPr>
          <w:p w14:paraId="52208549" w14:textId="103E335D"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59 143</w:t>
            </w:r>
          </w:p>
        </w:tc>
        <w:tc>
          <w:tcPr>
            <w:tcW w:w="708" w:type="dxa"/>
            <w:noWrap/>
            <w:hideMark/>
          </w:tcPr>
          <w:p w14:paraId="44A61298" w14:textId="2136C0BB"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1 145</w:t>
            </w:r>
          </w:p>
        </w:tc>
        <w:tc>
          <w:tcPr>
            <w:tcW w:w="567" w:type="dxa"/>
            <w:noWrap/>
            <w:hideMark/>
          </w:tcPr>
          <w:p w14:paraId="3224193A" w14:textId="4581D2A7"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224</w:t>
            </w:r>
          </w:p>
        </w:tc>
      </w:tr>
      <w:tr w:rsidR="00E27DF7" w:rsidRPr="00E27DF7" w14:paraId="0DF3DDFC" w14:textId="77777777" w:rsidTr="00C40A3D">
        <w:trPr>
          <w:trHeight w:val="57"/>
        </w:trPr>
        <w:tc>
          <w:tcPr>
            <w:tcW w:w="980" w:type="dxa"/>
            <w:noWrap/>
            <w:vAlign w:val="bottom"/>
            <w:hideMark/>
          </w:tcPr>
          <w:p w14:paraId="4DBEFCAC" w14:textId="4D59E209" w:rsidR="00E27DF7" w:rsidRPr="00E27DF7" w:rsidRDefault="00E27DF7" w:rsidP="00E27DF7">
            <w:pPr>
              <w:keepNext/>
              <w:keepLines/>
              <w:contextualSpacing/>
              <w:rPr>
                <w:rFonts w:eastAsia="Times New Roman" w:cs="Arial"/>
                <w:b/>
                <w:color w:val="000000" w:themeColor="text1"/>
                <w:sz w:val="18"/>
                <w:szCs w:val="18"/>
              </w:rPr>
            </w:pPr>
            <w:r w:rsidRPr="00E27DF7">
              <w:rPr>
                <w:rFonts w:cs="Arial"/>
                <w:b/>
                <w:color w:val="000000" w:themeColor="text1"/>
                <w:sz w:val="18"/>
                <w:szCs w:val="18"/>
              </w:rPr>
              <w:t xml:space="preserve">Odry </w:t>
            </w:r>
            <w:r w:rsidRPr="00E27DF7">
              <w:rPr>
                <w:rFonts w:cs="Arial"/>
                <w:b/>
                <w:color w:val="000000" w:themeColor="text1"/>
                <w:sz w:val="18"/>
                <w:szCs w:val="18"/>
                <w:vertAlign w:val="superscript"/>
              </w:rPr>
              <w:t>*)</w:t>
            </w:r>
          </w:p>
        </w:tc>
        <w:tc>
          <w:tcPr>
            <w:tcW w:w="708" w:type="dxa"/>
            <w:noWrap/>
            <w:hideMark/>
          </w:tcPr>
          <w:p w14:paraId="32F03AA3" w14:textId="2D93CC00"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31 727</w:t>
            </w:r>
          </w:p>
        </w:tc>
        <w:tc>
          <w:tcPr>
            <w:tcW w:w="851" w:type="dxa"/>
            <w:noWrap/>
            <w:hideMark/>
          </w:tcPr>
          <w:p w14:paraId="4506451F" w14:textId="6CDE2284"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66 338</w:t>
            </w:r>
          </w:p>
        </w:tc>
        <w:tc>
          <w:tcPr>
            <w:tcW w:w="709" w:type="dxa"/>
            <w:noWrap/>
            <w:hideMark/>
          </w:tcPr>
          <w:p w14:paraId="1C96A229" w14:textId="2714F98F"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24 424</w:t>
            </w:r>
          </w:p>
        </w:tc>
        <w:tc>
          <w:tcPr>
            <w:tcW w:w="776" w:type="dxa"/>
            <w:noWrap/>
            <w:hideMark/>
          </w:tcPr>
          <w:p w14:paraId="59D7C7F3" w14:textId="7CEEA026"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117 901</w:t>
            </w:r>
          </w:p>
        </w:tc>
        <w:tc>
          <w:tcPr>
            <w:tcW w:w="721" w:type="dxa"/>
            <w:noWrap/>
            <w:hideMark/>
          </w:tcPr>
          <w:p w14:paraId="461E92F0" w14:textId="5BA83DEC"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3 798</w:t>
            </w:r>
          </w:p>
        </w:tc>
        <w:tc>
          <w:tcPr>
            <w:tcW w:w="709" w:type="dxa"/>
            <w:noWrap/>
            <w:hideMark/>
          </w:tcPr>
          <w:p w14:paraId="1DF7DCFA" w14:textId="54984610"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690</w:t>
            </w:r>
          </w:p>
        </w:tc>
        <w:tc>
          <w:tcPr>
            <w:tcW w:w="567" w:type="dxa"/>
            <w:noWrap/>
            <w:hideMark/>
          </w:tcPr>
          <w:p w14:paraId="48E529DA" w14:textId="45690447"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1 233</w:t>
            </w:r>
          </w:p>
        </w:tc>
        <w:tc>
          <w:tcPr>
            <w:tcW w:w="708" w:type="dxa"/>
            <w:noWrap/>
            <w:hideMark/>
          </w:tcPr>
          <w:p w14:paraId="1A837188" w14:textId="73729C36"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6 151</w:t>
            </w:r>
          </w:p>
        </w:tc>
        <w:tc>
          <w:tcPr>
            <w:tcW w:w="709" w:type="dxa"/>
            <w:noWrap/>
            <w:hideMark/>
          </w:tcPr>
          <w:p w14:paraId="3FA72002" w14:textId="351E1270"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2 387</w:t>
            </w:r>
          </w:p>
        </w:tc>
        <w:tc>
          <w:tcPr>
            <w:tcW w:w="851" w:type="dxa"/>
            <w:noWrap/>
            <w:hideMark/>
          </w:tcPr>
          <w:p w14:paraId="0983D003" w14:textId="3204DB23"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133 452</w:t>
            </w:r>
          </w:p>
        </w:tc>
        <w:tc>
          <w:tcPr>
            <w:tcW w:w="708" w:type="dxa"/>
            <w:noWrap/>
            <w:hideMark/>
          </w:tcPr>
          <w:p w14:paraId="20CFAA0E" w14:textId="5F177787"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1 112</w:t>
            </w:r>
          </w:p>
        </w:tc>
        <w:tc>
          <w:tcPr>
            <w:tcW w:w="567" w:type="dxa"/>
            <w:noWrap/>
            <w:hideMark/>
          </w:tcPr>
          <w:p w14:paraId="59BB9FF2" w14:textId="246CA309"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150</w:t>
            </w:r>
          </w:p>
        </w:tc>
      </w:tr>
      <w:tr w:rsidR="00E27DF7" w:rsidRPr="00E27DF7" w14:paraId="4D29EE4E" w14:textId="77777777" w:rsidTr="00C40A3D">
        <w:trPr>
          <w:trHeight w:val="57"/>
        </w:trPr>
        <w:tc>
          <w:tcPr>
            <w:tcW w:w="980" w:type="dxa"/>
            <w:noWrap/>
            <w:vAlign w:val="bottom"/>
            <w:hideMark/>
          </w:tcPr>
          <w:p w14:paraId="5F97C292" w14:textId="40A6D5EE" w:rsidR="00E27DF7" w:rsidRPr="00E27DF7" w:rsidRDefault="00E27DF7" w:rsidP="00E27DF7">
            <w:pPr>
              <w:keepNext/>
              <w:keepLines/>
              <w:contextualSpacing/>
              <w:rPr>
                <w:rFonts w:eastAsia="Times New Roman" w:cs="Arial"/>
                <w:b/>
                <w:color w:val="000000" w:themeColor="text1"/>
                <w:sz w:val="18"/>
                <w:szCs w:val="18"/>
              </w:rPr>
            </w:pPr>
            <w:r w:rsidRPr="00E27DF7">
              <w:rPr>
                <w:rFonts w:cs="Arial"/>
                <w:b/>
                <w:color w:val="000000" w:themeColor="text1"/>
                <w:sz w:val="18"/>
                <w:szCs w:val="18"/>
              </w:rPr>
              <w:t xml:space="preserve">Moravy </w:t>
            </w:r>
            <w:r w:rsidRPr="00E27DF7">
              <w:rPr>
                <w:rFonts w:cs="Arial"/>
                <w:b/>
                <w:color w:val="000000" w:themeColor="text1"/>
                <w:sz w:val="18"/>
                <w:szCs w:val="18"/>
                <w:vertAlign w:val="superscript"/>
              </w:rPr>
              <w:t>*)</w:t>
            </w:r>
          </w:p>
        </w:tc>
        <w:tc>
          <w:tcPr>
            <w:tcW w:w="708" w:type="dxa"/>
            <w:noWrap/>
            <w:hideMark/>
          </w:tcPr>
          <w:p w14:paraId="5C103374" w14:textId="70D9BA9B"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65 123</w:t>
            </w:r>
          </w:p>
        </w:tc>
        <w:tc>
          <w:tcPr>
            <w:tcW w:w="851" w:type="dxa"/>
            <w:noWrap/>
            <w:hideMark/>
          </w:tcPr>
          <w:p w14:paraId="7492CFDD" w14:textId="76221B3B"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157 005</w:t>
            </w:r>
          </w:p>
        </w:tc>
        <w:tc>
          <w:tcPr>
            <w:tcW w:w="709" w:type="dxa"/>
            <w:noWrap/>
            <w:hideMark/>
          </w:tcPr>
          <w:p w14:paraId="3F3D529D" w14:textId="44050957"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75 658</w:t>
            </w:r>
          </w:p>
        </w:tc>
        <w:tc>
          <w:tcPr>
            <w:tcW w:w="776" w:type="dxa"/>
            <w:noWrap/>
            <w:hideMark/>
          </w:tcPr>
          <w:p w14:paraId="2E97184B" w14:textId="22BF045B"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151 353</w:t>
            </w:r>
          </w:p>
        </w:tc>
        <w:tc>
          <w:tcPr>
            <w:tcW w:w="721" w:type="dxa"/>
            <w:noWrap/>
            <w:hideMark/>
          </w:tcPr>
          <w:p w14:paraId="758BC51E" w14:textId="26CF16A8"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8 438</w:t>
            </w:r>
          </w:p>
        </w:tc>
        <w:tc>
          <w:tcPr>
            <w:tcW w:w="709" w:type="dxa"/>
            <w:noWrap/>
            <w:hideMark/>
          </w:tcPr>
          <w:p w14:paraId="0E1601DE" w14:textId="62CCCFC7"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1 786</w:t>
            </w:r>
          </w:p>
        </w:tc>
        <w:tc>
          <w:tcPr>
            <w:tcW w:w="567" w:type="dxa"/>
            <w:noWrap/>
            <w:hideMark/>
          </w:tcPr>
          <w:p w14:paraId="7D525FC3" w14:textId="091A9D40"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1 016</w:t>
            </w:r>
          </w:p>
        </w:tc>
        <w:tc>
          <w:tcPr>
            <w:tcW w:w="708" w:type="dxa"/>
            <w:noWrap/>
            <w:hideMark/>
          </w:tcPr>
          <w:p w14:paraId="5C30ABEE" w14:textId="2F5F6001"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7 621</w:t>
            </w:r>
          </w:p>
        </w:tc>
        <w:tc>
          <w:tcPr>
            <w:tcW w:w="709" w:type="dxa"/>
            <w:noWrap/>
            <w:hideMark/>
          </w:tcPr>
          <w:p w14:paraId="5240BF79" w14:textId="154E6212"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1 475</w:t>
            </w:r>
          </w:p>
        </w:tc>
        <w:tc>
          <w:tcPr>
            <w:tcW w:w="851" w:type="dxa"/>
            <w:noWrap/>
            <w:hideMark/>
          </w:tcPr>
          <w:p w14:paraId="18FE6205" w14:textId="707D61D0"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137 849</w:t>
            </w:r>
          </w:p>
        </w:tc>
        <w:tc>
          <w:tcPr>
            <w:tcW w:w="708" w:type="dxa"/>
            <w:noWrap/>
            <w:hideMark/>
          </w:tcPr>
          <w:p w14:paraId="72032438" w14:textId="4661AA18"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2 276</w:t>
            </w:r>
          </w:p>
        </w:tc>
        <w:tc>
          <w:tcPr>
            <w:tcW w:w="567" w:type="dxa"/>
            <w:noWrap/>
            <w:hideMark/>
          </w:tcPr>
          <w:p w14:paraId="7D916057" w14:textId="1429C445" w:rsidR="00E27DF7" w:rsidRPr="00E27DF7" w:rsidRDefault="00E27DF7" w:rsidP="00E27DF7">
            <w:pPr>
              <w:contextualSpacing/>
              <w:jc w:val="right"/>
              <w:rPr>
                <w:rFonts w:eastAsia="Times New Roman" w:cs="Arial"/>
                <w:color w:val="000000" w:themeColor="text1"/>
                <w:sz w:val="18"/>
                <w:szCs w:val="18"/>
              </w:rPr>
            </w:pPr>
            <w:r w:rsidRPr="00E27DF7">
              <w:rPr>
                <w:rFonts w:cs="Arial"/>
                <w:sz w:val="18"/>
                <w:szCs w:val="18"/>
              </w:rPr>
              <w:t>215</w:t>
            </w:r>
          </w:p>
        </w:tc>
      </w:tr>
    </w:tbl>
    <w:p w14:paraId="5CA7F42F" w14:textId="77777777" w:rsidR="004A243D" w:rsidRPr="00E27DF7" w:rsidRDefault="004A243D" w:rsidP="007C4955">
      <w:pPr>
        <w:tabs>
          <w:tab w:val="left" w:pos="4820"/>
        </w:tabs>
        <w:contextualSpacing/>
        <w:rPr>
          <w:i/>
          <w:color w:val="000000" w:themeColor="text1"/>
          <w:sz w:val="20"/>
          <w:szCs w:val="20"/>
        </w:rPr>
      </w:pPr>
      <w:r w:rsidRPr="00E27DF7">
        <w:rPr>
          <w:i/>
          <w:color w:val="000000" w:themeColor="text1"/>
          <w:sz w:val="20"/>
          <w:szCs w:val="20"/>
        </w:rPr>
        <w:t>Pramen: VÚV TGM, z podkladů ČSÚ a s. p. Povodí</w:t>
      </w:r>
    </w:p>
    <w:p w14:paraId="346EBAB3" w14:textId="69A46625" w:rsidR="005E175E" w:rsidRPr="001E6A4F" w:rsidRDefault="005E175E" w:rsidP="001E6A4F">
      <w:pPr>
        <w:tabs>
          <w:tab w:val="left" w:pos="4962"/>
        </w:tabs>
        <w:ind w:left="851" w:hanging="851"/>
        <w:contextualSpacing/>
        <w:rPr>
          <w:i/>
          <w:color w:val="000000" w:themeColor="text1"/>
          <w:sz w:val="20"/>
          <w:szCs w:val="20"/>
        </w:rPr>
      </w:pPr>
      <w:r w:rsidRPr="00E27DF7">
        <w:rPr>
          <w:i/>
          <w:color w:val="000000" w:themeColor="text1"/>
          <w:sz w:val="20"/>
          <w:szCs w:val="20"/>
        </w:rPr>
        <w:lastRenderedPageBreak/>
        <w:t xml:space="preserve">Pozn: </w:t>
      </w:r>
      <w:r w:rsidRPr="00E27DF7">
        <w:rPr>
          <w:i/>
          <w:color w:val="000000" w:themeColor="text1"/>
          <w:sz w:val="20"/>
          <w:szCs w:val="20"/>
          <w:vertAlign w:val="superscript"/>
        </w:rPr>
        <w:t>*)</w:t>
      </w:r>
      <w:r w:rsidRPr="00E27DF7">
        <w:rPr>
          <w:i/>
          <w:color w:val="000000" w:themeColor="text1"/>
          <w:sz w:val="20"/>
          <w:szCs w:val="20"/>
        </w:rPr>
        <w:t xml:space="preserve"> U vykazovaného množství produkovaného znečištění </w:t>
      </w:r>
      <w:r w:rsidR="00735AD3" w:rsidRPr="00E27DF7">
        <w:rPr>
          <w:i/>
          <w:color w:val="000000" w:themeColor="text1"/>
          <w:sz w:val="20"/>
          <w:szCs w:val="20"/>
        </w:rPr>
        <w:t xml:space="preserve">byly </w:t>
      </w:r>
      <w:r w:rsidRPr="00E27DF7">
        <w:rPr>
          <w:i/>
          <w:color w:val="000000" w:themeColor="text1"/>
          <w:sz w:val="20"/>
          <w:szCs w:val="20"/>
        </w:rPr>
        <w:t>z důvodu nevyplnění produkovaného znečištění některými ohlašovateli</w:t>
      </w:r>
      <w:r w:rsidR="00735AD3" w:rsidRPr="00E27DF7">
        <w:rPr>
          <w:i/>
          <w:color w:val="000000" w:themeColor="text1"/>
          <w:sz w:val="20"/>
          <w:szCs w:val="20"/>
        </w:rPr>
        <w:t xml:space="preserve"> hodnoty </w:t>
      </w:r>
      <w:r w:rsidRPr="00E27DF7">
        <w:rPr>
          <w:i/>
          <w:color w:val="000000" w:themeColor="text1"/>
          <w:sz w:val="20"/>
          <w:szCs w:val="20"/>
        </w:rPr>
        <w:t xml:space="preserve">dopočteny </w:t>
      </w:r>
      <w:r w:rsidR="00735AD3" w:rsidRPr="00E27DF7">
        <w:rPr>
          <w:i/>
          <w:color w:val="000000" w:themeColor="text1"/>
          <w:sz w:val="20"/>
          <w:szCs w:val="20"/>
        </w:rPr>
        <w:t>na základě</w:t>
      </w:r>
      <w:r w:rsidRPr="00E27DF7">
        <w:rPr>
          <w:i/>
          <w:color w:val="000000" w:themeColor="text1"/>
          <w:sz w:val="20"/>
          <w:szCs w:val="20"/>
        </w:rPr>
        <w:t xml:space="preserve"> z</w:t>
      </w:r>
      <w:r w:rsidR="00735AD3" w:rsidRPr="00E27DF7">
        <w:rPr>
          <w:i/>
          <w:color w:val="000000" w:themeColor="text1"/>
          <w:sz w:val="20"/>
          <w:szCs w:val="20"/>
        </w:rPr>
        <w:t xml:space="preserve"> hodnot z </w:t>
      </w:r>
      <w:r w:rsidRPr="00E27DF7">
        <w:rPr>
          <w:i/>
          <w:color w:val="000000" w:themeColor="text1"/>
          <w:sz w:val="20"/>
          <w:szCs w:val="20"/>
        </w:rPr>
        <w:t>vypouštěného znečištění.</w:t>
      </w:r>
    </w:p>
    <w:p w14:paraId="16FD440A" w14:textId="77777777" w:rsidR="00F37925" w:rsidRPr="003212C9" w:rsidRDefault="004A6803" w:rsidP="007C4955">
      <w:pPr>
        <w:pStyle w:val="Nadpisobrzku"/>
        <w:spacing w:before="0" w:after="0"/>
        <w:contextualSpacing/>
        <w:rPr>
          <w:rFonts w:ascii="Arial" w:hAnsi="Arial" w:cs="Arial"/>
          <w:i/>
          <w:color w:val="000000" w:themeColor="text1"/>
          <w:sz w:val="22"/>
          <w:szCs w:val="22"/>
          <w:lang w:val="cs-CZ"/>
        </w:rPr>
      </w:pPr>
      <w:bookmarkStart w:id="42" w:name="OLE_LINK1"/>
      <w:r w:rsidRPr="003212C9">
        <w:rPr>
          <w:rFonts w:ascii="Arial" w:hAnsi="Arial" w:cs="Arial"/>
          <w:i/>
          <w:color w:val="000000" w:themeColor="text1"/>
          <w:sz w:val="22"/>
          <w:szCs w:val="22"/>
        </w:rPr>
        <w:t>Graf 5.1.1</w:t>
      </w:r>
    </w:p>
    <w:p w14:paraId="0D27F366" w14:textId="14CE8678" w:rsidR="004A243D" w:rsidRPr="003212C9" w:rsidRDefault="004A243D" w:rsidP="007C4955">
      <w:pPr>
        <w:pStyle w:val="Nadpisobrzku"/>
        <w:spacing w:before="0" w:after="0"/>
        <w:contextualSpacing/>
        <w:rPr>
          <w:rFonts w:ascii="Arial" w:hAnsi="Arial" w:cs="Arial"/>
          <w:i/>
          <w:color w:val="000000" w:themeColor="text1"/>
          <w:sz w:val="22"/>
          <w:szCs w:val="22"/>
          <w:lang w:val="cs-CZ"/>
        </w:rPr>
      </w:pPr>
      <w:r w:rsidRPr="003212C9">
        <w:rPr>
          <w:rFonts w:ascii="Arial" w:hAnsi="Arial" w:cs="Arial"/>
          <w:i/>
          <w:color w:val="000000" w:themeColor="text1"/>
          <w:sz w:val="22"/>
          <w:szCs w:val="22"/>
        </w:rPr>
        <w:t>Vypouštěné a zpoplatněné znečištění v letech 1990–20</w:t>
      </w:r>
      <w:bookmarkEnd w:id="42"/>
      <w:r w:rsidR="005E175E" w:rsidRPr="003212C9">
        <w:rPr>
          <w:rFonts w:ascii="Arial" w:hAnsi="Arial" w:cs="Arial"/>
          <w:i/>
          <w:color w:val="000000" w:themeColor="text1"/>
          <w:sz w:val="22"/>
          <w:szCs w:val="22"/>
          <w:lang w:val="cs-CZ"/>
        </w:rPr>
        <w:t>2</w:t>
      </w:r>
      <w:r w:rsidR="00A33994">
        <w:rPr>
          <w:rFonts w:ascii="Arial" w:hAnsi="Arial" w:cs="Arial"/>
          <w:i/>
          <w:color w:val="000000" w:themeColor="text1"/>
          <w:sz w:val="22"/>
          <w:szCs w:val="22"/>
          <w:lang w:val="cs-CZ"/>
        </w:rPr>
        <w:t>5</w:t>
      </w:r>
    </w:p>
    <w:tbl>
      <w:tblPr>
        <w:tblW w:w="9180" w:type="dxa"/>
        <w:tblInd w:w="70" w:type="dxa"/>
        <w:tblLayout w:type="fixed"/>
        <w:tblCellMar>
          <w:left w:w="0" w:type="dxa"/>
          <w:right w:w="0" w:type="dxa"/>
        </w:tblCellMar>
        <w:tblLook w:val="01E0" w:firstRow="1" w:lastRow="1" w:firstColumn="1" w:lastColumn="1" w:noHBand="0" w:noVBand="0"/>
      </w:tblPr>
      <w:tblGrid>
        <w:gridCol w:w="4476"/>
        <w:gridCol w:w="227"/>
        <w:gridCol w:w="4477"/>
      </w:tblGrid>
      <w:tr w:rsidR="00186037" w:rsidRPr="003212C9" w14:paraId="3C6E3913" w14:textId="77777777" w:rsidTr="00C11DC0">
        <w:tc>
          <w:tcPr>
            <w:tcW w:w="4476" w:type="dxa"/>
          </w:tcPr>
          <w:p w14:paraId="50B159A2" w14:textId="77777777" w:rsidR="00C11DC0" w:rsidRPr="003212C9" w:rsidRDefault="00C11DC0" w:rsidP="00C11DC0">
            <w:pPr>
              <w:contextualSpacing/>
              <w:rPr>
                <w:rFonts w:cs="Arial"/>
                <w:noProof/>
                <w:color w:val="FF0000"/>
                <w:sz w:val="16"/>
                <w:szCs w:val="16"/>
                <w:lang w:eastAsia="cs-CZ"/>
              </w:rPr>
            </w:pPr>
          </w:p>
        </w:tc>
        <w:tc>
          <w:tcPr>
            <w:tcW w:w="227" w:type="dxa"/>
          </w:tcPr>
          <w:p w14:paraId="3EC883ED" w14:textId="77777777" w:rsidR="00C11DC0" w:rsidRPr="003212C9" w:rsidRDefault="00C11DC0" w:rsidP="00C11DC0">
            <w:pPr>
              <w:contextualSpacing/>
              <w:rPr>
                <w:color w:val="FF0000"/>
              </w:rPr>
            </w:pPr>
          </w:p>
        </w:tc>
        <w:tc>
          <w:tcPr>
            <w:tcW w:w="4477" w:type="dxa"/>
          </w:tcPr>
          <w:p w14:paraId="2D7A0067" w14:textId="77777777" w:rsidR="00C11DC0" w:rsidRPr="003212C9" w:rsidRDefault="00C11DC0" w:rsidP="00C11DC0">
            <w:pPr>
              <w:contextualSpacing/>
              <w:rPr>
                <w:noProof/>
                <w:color w:val="FF0000"/>
                <w:lang w:eastAsia="cs-CZ"/>
              </w:rPr>
            </w:pPr>
          </w:p>
        </w:tc>
      </w:tr>
      <w:tr w:rsidR="00186037" w:rsidRPr="00104F7D" w14:paraId="321C3535" w14:textId="77777777" w:rsidTr="00C11DC0">
        <w:tc>
          <w:tcPr>
            <w:tcW w:w="4476" w:type="dxa"/>
          </w:tcPr>
          <w:p w14:paraId="6B905695" w14:textId="5FE1EE18" w:rsidR="00C11DC0" w:rsidRPr="003212C9" w:rsidRDefault="0060479D" w:rsidP="00C11DC0">
            <w:pPr>
              <w:contextualSpacing/>
              <w:rPr>
                <w:rFonts w:cs="Arial"/>
                <w:noProof/>
                <w:color w:val="FF0000"/>
                <w:sz w:val="16"/>
                <w:szCs w:val="16"/>
                <w:lang w:eastAsia="cs-CZ"/>
              </w:rPr>
            </w:pPr>
            <w:r w:rsidRPr="003212C9">
              <w:rPr>
                <w:rFonts w:cs="Arial"/>
                <w:noProof/>
                <w:color w:val="FF0000"/>
                <w:sz w:val="16"/>
                <w:szCs w:val="16"/>
                <w:lang w:eastAsia="cs-CZ"/>
              </w:rPr>
              <w:drawing>
                <wp:inline distT="0" distB="0" distL="0" distR="0" wp14:anchorId="76A7D34C" wp14:editId="17B04208">
                  <wp:extent cx="2822575" cy="3828415"/>
                  <wp:effectExtent l="0" t="0" r="0" b="635"/>
                  <wp:docPr id="124154297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822575" cy="3828415"/>
                          </a:xfrm>
                          <a:prstGeom prst="rect">
                            <a:avLst/>
                          </a:prstGeom>
                          <a:noFill/>
                        </pic:spPr>
                      </pic:pic>
                    </a:graphicData>
                  </a:graphic>
                </wp:inline>
              </w:drawing>
            </w:r>
          </w:p>
        </w:tc>
        <w:tc>
          <w:tcPr>
            <w:tcW w:w="227" w:type="dxa"/>
          </w:tcPr>
          <w:p w14:paraId="1B567350" w14:textId="77777777" w:rsidR="00C11DC0" w:rsidRPr="003212C9" w:rsidRDefault="00C11DC0" w:rsidP="00C11DC0">
            <w:pPr>
              <w:contextualSpacing/>
              <w:rPr>
                <w:color w:val="FF0000"/>
              </w:rPr>
            </w:pPr>
          </w:p>
        </w:tc>
        <w:tc>
          <w:tcPr>
            <w:tcW w:w="4477" w:type="dxa"/>
          </w:tcPr>
          <w:p w14:paraId="5E928E2A" w14:textId="7977E99B" w:rsidR="00C11DC0" w:rsidRPr="003212C9" w:rsidRDefault="00C11DC0" w:rsidP="00C11DC0">
            <w:pPr>
              <w:contextualSpacing/>
              <w:rPr>
                <w:noProof/>
                <w:color w:val="FF0000"/>
                <w:lang w:eastAsia="cs-CZ"/>
              </w:rPr>
            </w:pPr>
          </w:p>
          <w:p w14:paraId="3764D3C0" w14:textId="2A46E7D5" w:rsidR="00C11DC0" w:rsidRPr="003212C9" w:rsidRDefault="003212C9" w:rsidP="00C11DC0">
            <w:pPr>
              <w:contextualSpacing/>
              <w:rPr>
                <w:noProof/>
                <w:color w:val="FF0000"/>
                <w:lang w:eastAsia="cs-CZ"/>
              </w:rPr>
            </w:pPr>
            <w:r w:rsidRPr="003212C9">
              <w:rPr>
                <w:noProof/>
                <w:color w:val="FF0000"/>
                <w:lang w:eastAsia="cs-CZ"/>
              </w:rPr>
              <w:drawing>
                <wp:inline distT="0" distB="0" distL="0" distR="0" wp14:anchorId="3EB3FD24" wp14:editId="435B8D42">
                  <wp:extent cx="3267710" cy="3816350"/>
                  <wp:effectExtent l="0" t="0" r="8890" b="0"/>
                  <wp:docPr id="141794405"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67710" cy="3816350"/>
                          </a:xfrm>
                          <a:prstGeom prst="rect">
                            <a:avLst/>
                          </a:prstGeom>
                          <a:noFill/>
                        </pic:spPr>
                      </pic:pic>
                    </a:graphicData>
                  </a:graphic>
                </wp:inline>
              </w:drawing>
            </w:r>
          </w:p>
        </w:tc>
      </w:tr>
      <w:tr w:rsidR="00186037" w:rsidRPr="00104F7D" w14:paraId="2E70633E" w14:textId="77777777" w:rsidTr="0070423C">
        <w:tc>
          <w:tcPr>
            <w:tcW w:w="4476" w:type="dxa"/>
          </w:tcPr>
          <w:p w14:paraId="7F31FE87" w14:textId="55C01D89" w:rsidR="005E175E" w:rsidRPr="00104F7D" w:rsidRDefault="00C92F15" w:rsidP="007C4955">
            <w:pPr>
              <w:contextualSpacing/>
              <w:rPr>
                <w:color w:val="FF0000"/>
                <w:highlight w:val="yellow"/>
              </w:rPr>
            </w:pPr>
            <w:r>
              <w:rPr>
                <w:noProof/>
              </w:rPr>
              <w:lastRenderedPageBreak/>
              <w:drawing>
                <wp:inline distT="0" distB="0" distL="0" distR="0" wp14:anchorId="4639F699" wp14:editId="20D07538">
                  <wp:extent cx="2870200" cy="4457700"/>
                  <wp:effectExtent l="0" t="0" r="6350" b="0"/>
                  <wp:docPr id="794112492" name="Graf 794112492">
                    <a:extLst xmlns:a="http://schemas.openxmlformats.org/drawingml/2006/main">
                      <a:ext uri="{FF2B5EF4-FFF2-40B4-BE49-F238E27FC236}">
                        <a16:creationId xmlns:a16="http://schemas.microsoft.com/office/drawing/2014/main" id="{EA6F2458-66B4-4E28-A488-69A55EE6A1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tc>
        <w:tc>
          <w:tcPr>
            <w:tcW w:w="227" w:type="dxa"/>
          </w:tcPr>
          <w:p w14:paraId="3BFE7DCD" w14:textId="77777777" w:rsidR="005E175E" w:rsidRPr="00104F7D" w:rsidRDefault="005E175E" w:rsidP="007C4955">
            <w:pPr>
              <w:contextualSpacing/>
              <w:rPr>
                <w:color w:val="FF0000"/>
                <w:highlight w:val="yellow"/>
              </w:rPr>
            </w:pPr>
          </w:p>
        </w:tc>
        <w:tc>
          <w:tcPr>
            <w:tcW w:w="4477" w:type="dxa"/>
          </w:tcPr>
          <w:p w14:paraId="2D2CE595" w14:textId="0D50A367" w:rsidR="005E175E" w:rsidRPr="00104F7D" w:rsidRDefault="005A50EE" w:rsidP="007C4955">
            <w:pPr>
              <w:contextualSpacing/>
              <w:rPr>
                <w:color w:val="FF0000"/>
                <w:highlight w:val="yellow"/>
              </w:rPr>
            </w:pPr>
            <w:r>
              <w:rPr>
                <w:noProof/>
              </w:rPr>
              <w:drawing>
                <wp:inline distT="0" distB="0" distL="0" distR="0" wp14:anchorId="69996B0D" wp14:editId="6F08A073">
                  <wp:extent cx="2814320" cy="4457700"/>
                  <wp:effectExtent l="0" t="0" r="5080" b="0"/>
                  <wp:docPr id="224261574" name="Graf 224261574">
                    <a:extLst xmlns:a="http://schemas.openxmlformats.org/drawingml/2006/main">
                      <a:ext uri="{FF2B5EF4-FFF2-40B4-BE49-F238E27FC236}">
                        <a16:creationId xmlns:a16="http://schemas.microsoft.com/office/drawing/2014/main" id="{8B9CE5AE-0063-4D12-81A7-9BA57AFAA4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tc>
      </w:tr>
    </w:tbl>
    <w:p w14:paraId="02E1C95D" w14:textId="5F62B8C6" w:rsidR="004A243D" w:rsidRPr="005A50EE" w:rsidRDefault="004A243D" w:rsidP="007C4955">
      <w:pPr>
        <w:contextualSpacing/>
        <w:rPr>
          <w:i/>
          <w:color w:val="000000" w:themeColor="text1"/>
          <w:sz w:val="20"/>
          <w:szCs w:val="20"/>
        </w:rPr>
      </w:pPr>
      <w:r w:rsidRPr="005A50EE">
        <w:rPr>
          <w:i/>
          <w:color w:val="000000" w:themeColor="text1"/>
          <w:sz w:val="20"/>
          <w:szCs w:val="20"/>
        </w:rPr>
        <w:t>Pramen: VÚV TGM, z podkladů ČSÚ a s. p. Povodí</w:t>
      </w:r>
    </w:p>
    <w:p w14:paraId="18588CBD" w14:textId="77777777" w:rsidR="00FB05AF" w:rsidRPr="00104F7D" w:rsidRDefault="00FB05AF" w:rsidP="007C4955">
      <w:pPr>
        <w:contextualSpacing/>
        <w:rPr>
          <w:i/>
          <w:color w:val="000000" w:themeColor="text1"/>
          <w:sz w:val="20"/>
          <w:szCs w:val="20"/>
          <w:highlight w:val="yellow"/>
        </w:rPr>
      </w:pPr>
    </w:p>
    <w:p w14:paraId="2AF6B201" w14:textId="77777777" w:rsidR="004F3115" w:rsidRPr="00475296" w:rsidRDefault="00AB564E">
      <w:pPr>
        <w:pStyle w:val="Nadpis2"/>
        <w:numPr>
          <w:ilvl w:val="1"/>
          <w:numId w:val="13"/>
        </w:numPr>
        <w:spacing w:before="0"/>
        <w:contextualSpacing/>
        <w:rPr>
          <w:color w:val="000000" w:themeColor="text1"/>
        </w:rPr>
      </w:pPr>
      <w:bookmarkStart w:id="43" w:name="_Toc236991621"/>
      <w:bookmarkStart w:id="44" w:name="_Hlk170119502"/>
      <w:r w:rsidRPr="00475296">
        <w:rPr>
          <w:color w:val="000000" w:themeColor="text1"/>
        </w:rPr>
        <w:t>Plošné znečištění</w:t>
      </w:r>
      <w:bookmarkEnd w:id="43"/>
    </w:p>
    <w:p w14:paraId="55179333" w14:textId="77777777" w:rsidR="00AB564E" w:rsidRPr="00104F7D" w:rsidRDefault="00AB564E" w:rsidP="007C4955">
      <w:pPr>
        <w:contextualSpacing/>
        <w:rPr>
          <w:color w:val="FF0000"/>
          <w:highlight w:val="yellow"/>
        </w:rPr>
      </w:pPr>
    </w:p>
    <w:p w14:paraId="3E5C8602" w14:textId="77777777" w:rsidR="00475296" w:rsidRPr="00006A65" w:rsidRDefault="00475296" w:rsidP="006F5D87">
      <w:pPr>
        <w:rPr>
          <w:b/>
        </w:rPr>
      </w:pPr>
      <w:r w:rsidRPr="00006A65">
        <w:rPr>
          <w:b/>
        </w:rPr>
        <w:t>Jakost povrchových i podzemních vod významně ovlivňuje také plošné znečištění, které nevstupuje do vodního prostředí z jednoho konkrétního místa, ale je rozptýleno v krajině. Jeho hlavními zdroji jsou zemědělské hospodaření, atmosférická depozice a erozní smyvy.</w:t>
      </w:r>
    </w:p>
    <w:p w14:paraId="1E09B718" w14:textId="77777777" w:rsidR="006F5D87" w:rsidRDefault="006F5D87" w:rsidP="006F5D87"/>
    <w:p w14:paraId="7E8DD131" w14:textId="1B6F75DF" w:rsidR="00475296" w:rsidRPr="00006A65" w:rsidRDefault="00475296" w:rsidP="006F5D87">
      <w:r w:rsidRPr="00006A65">
        <w:t>Jeho intenzita závisí na způsobu hospodaření, vlastnostech půdy, sklonitosti pozemků a průběhu srážek. S poklesem zatížení z bodových zdrojů roste relativní význam plošných vstupů, zejména dusičnanů a pesticidů; podílejí se také na přísunu fosforu a acidifikaci vod.</w:t>
      </w:r>
    </w:p>
    <w:p w14:paraId="26095A94" w14:textId="77777777" w:rsidR="006F5D87" w:rsidRDefault="006F5D87" w:rsidP="006F5D87"/>
    <w:p w14:paraId="219F362B" w14:textId="75C1C757" w:rsidR="00475296" w:rsidRPr="00006A65" w:rsidRDefault="00475296" w:rsidP="006F5D87">
      <w:r w:rsidRPr="00006A65">
        <w:t>Základním právním nástrojem pro omezování znečištění vod dusičnany ze zemědělských zdrojů je nařízení vlády č. 262/2012 Sb., o stanovení zranitelných oblastí a akčním programu, ve znění pozdějších předpisů. Poslední revize zranitelných oblastí a akčního programu byla provedena nařízením vlády č. 193/2024 Sb.</w:t>
      </w:r>
    </w:p>
    <w:p w14:paraId="1363CFFC" w14:textId="77777777" w:rsidR="006F5D87" w:rsidRDefault="006F5D87" w:rsidP="006F5D87"/>
    <w:p w14:paraId="6B1F5086" w14:textId="7958B7E5" w:rsidR="00FB2038" w:rsidRDefault="00475296" w:rsidP="00B16386">
      <w:r w:rsidRPr="00006A65">
        <w:t>Akční program upravuje zejména používání a skladování dusíkatých hnojiv, období zákazu jejich aplikace a hospodaření na svažitých či podmáčených pozemcích. Ke snížení plošného znečištění přispívají také protierozní opatření, ochranné pásy podél toků, vhodné osevní postupy a lepší zadržení vody a živin v krajině.</w:t>
      </w:r>
    </w:p>
    <w:p w14:paraId="6CFAF9A2" w14:textId="77777777" w:rsidR="00B16386" w:rsidRDefault="00B16386" w:rsidP="00B16386"/>
    <w:p w14:paraId="7DE4812B" w14:textId="760D141D" w:rsidR="00514DEE" w:rsidRPr="00B86902" w:rsidRDefault="00882443" w:rsidP="00054249">
      <w:pPr>
        <w:rPr>
          <w:b/>
          <w:i/>
        </w:rPr>
      </w:pPr>
      <w:r w:rsidRPr="00B86902">
        <w:rPr>
          <w:b/>
          <w:i/>
        </w:rPr>
        <w:t xml:space="preserve">Eroze zemědělské půdy a aspekty </w:t>
      </w:r>
      <w:proofErr w:type="spellStart"/>
      <w:r w:rsidRPr="00B86902">
        <w:rPr>
          <w:b/>
          <w:i/>
        </w:rPr>
        <w:t>hydromeliorací</w:t>
      </w:r>
      <w:proofErr w:type="spellEnd"/>
    </w:p>
    <w:p w14:paraId="39F64F23" w14:textId="77777777" w:rsidR="00B86902" w:rsidRPr="00DC7D7F" w:rsidRDefault="00B86902" w:rsidP="00B86902">
      <w:pPr>
        <w:spacing w:before="240" w:after="240"/>
        <w:rPr>
          <w:rFonts w:cs="Arial"/>
          <w:b/>
        </w:rPr>
      </w:pPr>
      <w:r w:rsidRPr="00B86902">
        <w:rPr>
          <w:rFonts w:cs="Arial"/>
          <w:b/>
        </w:rPr>
        <w:t>Česká republika, stejně jako ostatní státy, je stále ča</w:t>
      </w:r>
      <w:r w:rsidRPr="00DC7D7F">
        <w:rPr>
          <w:rFonts w:cs="Arial"/>
          <w:b/>
        </w:rPr>
        <w:t xml:space="preserve">stěji </w:t>
      </w:r>
      <w:r>
        <w:rPr>
          <w:rFonts w:cs="Arial"/>
          <w:b/>
        </w:rPr>
        <w:t>vlivem klimatické změny</w:t>
      </w:r>
      <w:r w:rsidRPr="00DC7D7F">
        <w:rPr>
          <w:rFonts w:cs="Arial"/>
          <w:b/>
        </w:rPr>
        <w:t xml:space="preserve"> vystavován</w:t>
      </w:r>
      <w:r>
        <w:rPr>
          <w:rFonts w:cs="Arial"/>
          <w:b/>
        </w:rPr>
        <w:t>a</w:t>
      </w:r>
      <w:r w:rsidRPr="00DC7D7F">
        <w:rPr>
          <w:rFonts w:cs="Arial"/>
          <w:b/>
        </w:rPr>
        <w:t xml:space="preserve"> působení hydrologických extrémů</w:t>
      </w:r>
      <w:r>
        <w:rPr>
          <w:b/>
          <w:color w:val="000000"/>
        </w:rPr>
        <w:t xml:space="preserve">. </w:t>
      </w:r>
      <w:r>
        <w:rPr>
          <w:rFonts w:cs="Arial"/>
          <w:b/>
        </w:rPr>
        <w:t xml:space="preserve">Lze předpokládat, že území zasažená těmito extrémy se </w:t>
      </w:r>
      <w:r w:rsidRPr="00DC7D7F">
        <w:rPr>
          <w:rFonts w:cs="Arial"/>
          <w:b/>
        </w:rPr>
        <w:t xml:space="preserve">budou významně rozšiřovat. </w:t>
      </w:r>
      <w:r>
        <w:rPr>
          <w:rFonts w:cs="Arial"/>
          <w:b/>
        </w:rPr>
        <w:t>J</w:t>
      </w:r>
      <w:r w:rsidRPr="00DC7D7F">
        <w:rPr>
          <w:rFonts w:cs="Arial"/>
          <w:b/>
        </w:rPr>
        <w:t>edním z klíčových faktorů, kterými lze zmírňovat dopady změn klimatu</w:t>
      </w:r>
      <w:r>
        <w:rPr>
          <w:rFonts w:cs="Arial"/>
          <w:b/>
        </w:rPr>
        <w:t>, je vhodné hospodaření na zemědělské půdě</w:t>
      </w:r>
      <w:r w:rsidRPr="00DC7D7F">
        <w:rPr>
          <w:rFonts w:cs="Arial"/>
          <w:b/>
        </w:rPr>
        <w:t>.</w:t>
      </w:r>
    </w:p>
    <w:p w14:paraId="3946D020" w14:textId="77777777" w:rsidR="00B86902" w:rsidRDefault="00B86902" w:rsidP="00B86902">
      <w:pPr>
        <w:spacing w:after="240"/>
        <w:rPr>
          <w:rFonts w:cs="Arial"/>
        </w:rPr>
      </w:pPr>
      <w:r>
        <w:rPr>
          <w:rFonts w:cs="Arial"/>
        </w:rPr>
        <w:lastRenderedPageBreak/>
        <w:t>V</w:t>
      </w:r>
      <w:r w:rsidRPr="00555468">
        <w:rPr>
          <w:rFonts w:cs="Arial"/>
        </w:rPr>
        <w:t xml:space="preserve">ýskyt vodní eroze </w:t>
      </w:r>
      <w:r>
        <w:rPr>
          <w:rFonts w:cs="Arial"/>
        </w:rPr>
        <w:t>na našem území</w:t>
      </w:r>
      <w:r w:rsidRPr="00555468" w:rsidDel="00B72251">
        <w:rPr>
          <w:rFonts w:cs="Arial"/>
        </w:rPr>
        <w:t xml:space="preserve"> </w:t>
      </w:r>
      <w:r>
        <w:rPr>
          <w:rFonts w:cs="Arial"/>
        </w:rPr>
        <w:t>významně ovlivňuje řada faktorů, zejména n</w:t>
      </w:r>
      <w:r w:rsidRPr="00555468">
        <w:rPr>
          <w:rFonts w:cs="Arial"/>
        </w:rPr>
        <w:t xml:space="preserve">ejvětší velikost půdních bloků v rámci států EU, nedostatek organické hmoty v půdě, velmi nízká míra zastoupení krajinných prvků s </w:t>
      </w:r>
      <w:proofErr w:type="spellStart"/>
      <w:r w:rsidRPr="00555468">
        <w:rPr>
          <w:rFonts w:cs="Arial"/>
        </w:rPr>
        <w:t>půdoochrannou</w:t>
      </w:r>
      <w:proofErr w:type="spellEnd"/>
      <w:r w:rsidRPr="00555468">
        <w:rPr>
          <w:rFonts w:cs="Arial"/>
        </w:rPr>
        <w:t xml:space="preserve"> (protierozní) funkcí a nevhodně nastavený vztah hospodařících subjektů k obdělávané zemědělské půdě</w:t>
      </w:r>
      <w:r>
        <w:rPr>
          <w:rFonts w:cs="Arial"/>
        </w:rPr>
        <w:t xml:space="preserve">. </w:t>
      </w:r>
      <w:r w:rsidRPr="00DC7D7F">
        <w:rPr>
          <w:rFonts w:cs="Arial"/>
        </w:rPr>
        <w:t>V</w:t>
      </w:r>
      <w:r>
        <w:rPr>
          <w:rFonts w:cs="Arial"/>
        </w:rPr>
        <w:t>livem v</w:t>
      </w:r>
      <w:r w:rsidRPr="00DC7D7F">
        <w:rPr>
          <w:rFonts w:cs="Arial"/>
        </w:rPr>
        <w:t xml:space="preserve">odní eroze </w:t>
      </w:r>
      <w:r>
        <w:rPr>
          <w:rFonts w:cs="Arial"/>
        </w:rPr>
        <w:t xml:space="preserve">dochází ke ztrátě půdy a k jejímu </w:t>
      </w:r>
      <w:r w:rsidRPr="00DC7D7F">
        <w:rPr>
          <w:rFonts w:cs="Arial"/>
        </w:rPr>
        <w:t>ochuz</w:t>
      </w:r>
      <w:r>
        <w:rPr>
          <w:rFonts w:cs="Arial"/>
        </w:rPr>
        <w:t>ení</w:t>
      </w:r>
      <w:r w:rsidRPr="00DC7D7F">
        <w:rPr>
          <w:rFonts w:cs="Arial"/>
        </w:rPr>
        <w:t xml:space="preserve"> o ornici</w:t>
      </w:r>
      <w:r>
        <w:rPr>
          <w:rFonts w:cs="Arial"/>
        </w:rPr>
        <w:t xml:space="preserve">, k </w:t>
      </w:r>
      <w:r w:rsidRPr="00DC7D7F">
        <w:rPr>
          <w:rFonts w:cs="Arial"/>
        </w:rPr>
        <w:t>zanášení koryt toků</w:t>
      </w:r>
      <w:r>
        <w:rPr>
          <w:rFonts w:cs="Arial"/>
        </w:rPr>
        <w:t xml:space="preserve"> a</w:t>
      </w:r>
      <w:r w:rsidRPr="00DC7D7F">
        <w:rPr>
          <w:rFonts w:cs="Arial"/>
        </w:rPr>
        <w:t xml:space="preserve"> nádrží</w:t>
      </w:r>
      <w:r>
        <w:rPr>
          <w:rFonts w:cs="Arial"/>
        </w:rPr>
        <w:t>.</w:t>
      </w:r>
      <w:r w:rsidRPr="00DC7D7F">
        <w:rPr>
          <w:rFonts w:cs="Arial"/>
        </w:rPr>
        <w:t xml:space="preserve"> </w:t>
      </w:r>
      <w:r>
        <w:rPr>
          <w:rFonts w:cs="Arial"/>
        </w:rPr>
        <w:t>P</w:t>
      </w:r>
      <w:r w:rsidRPr="00DC7D7F">
        <w:rPr>
          <w:rFonts w:cs="Arial"/>
        </w:rPr>
        <w:t>ři dlouhodobém období sucha</w:t>
      </w:r>
      <w:r>
        <w:rPr>
          <w:rFonts w:cs="Arial"/>
        </w:rPr>
        <w:t xml:space="preserve"> mohou sedimenty ve vodních tocích</w:t>
      </w:r>
      <w:r w:rsidRPr="00DC7D7F">
        <w:rPr>
          <w:rFonts w:cs="Arial"/>
        </w:rPr>
        <w:t xml:space="preserve"> </w:t>
      </w:r>
      <w:r>
        <w:rPr>
          <w:rFonts w:cs="Arial"/>
        </w:rPr>
        <w:t>podléhat</w:t>
      </w:r>
      <w:r w:rsidRPr="00DC7D7F">
        <w:rPr>
          <w:rFonts w:cs="Arial"/>
        </w:rPr>
        <w:t xml:space="preserve"> zrychlené mineralizac</w:t>
      </w:r>
      <w:r>
        <w:rPr>
          <w:rFonts w:cs="Arial"/>
        </w:rPr>
        <w:t>i</w:t>
      </w:r>
      <w:r w:rsidRPr="00DC7D7F">
        <w:rPr>
          <w:rFonts w:cs="Arial"/>
        </w:rPr>
        <w:t xml:space="preserve">, přičemž jakost vody se po </w:t>
      </w:r>
      <w:r>
        <w:rPr>
          <w:rFonts w:cs="Arial"/>
        </w:rPr>
        <w:t xml:space="preserve">jejich </w:t>
      </w:r>
      <w:r w:rsidRPr="00DC7D7F">
        <w:rPr>
          <w:rFonts w:cs="Arial"/>
        </w:rPr>
        <w:t xml:space="preserve">opětovném zatopení zhoršuje. </w:t>
      </w:r>
      <w:r>
        <w:rPr>
          <w:rFonts w:cs="Arial"/>
        </w:rPr>
        <w:t>Vodní eroze tak způsobuje</w:t>
      </w:r>
      <w:r w:rsidRPr="00F41446">
        <w:rPr>
          <w:rFonts w:cs="Arial"/>
        </w:rPr>
        <w:t xml:space="preserve"> zhoršení</w:t>
      </w:r>
      <w:r w:rsidRPr="0089033F">
        <w:rPr>
          <w:rFonts w:cs="Arial"/>
        </w:rPr>
        <w:t xml:space="preserve"> </w:t>
      </w:r>
      <w:r>
        <w:rPr>
          <w:rFonts w:cs="Arial"/>
        </w:rPr>
        <w:t>jakosti</w:t>
      </w:r>
      <w:r w:rsidRPr="00DC7D7F">
        <w:rPr>
          <w:rFonts w:cs="Arial"/>
        </w:rPr>
        <w:t xml:space="preserve"> vody, </w:t>
      </w:r>
      <w:r>
        <w:rPr>
          <w:rFonts w:cs="Arial"/>
        </w:rPr>
        <w:t>přispívá k</w:t>
      </w:r>
      <w:r w:rsidRPr="00DC7D7F">
        <w:rPr>
          <w:rFonts w:cs="Arial"/>
        </w:rPr>
        <w:t xml:space="preserve"> eutrofizaci</w:t>
      </w:r>
      <w:r>
        <w:rPr>
          <w:rFonts w:cs="Arial"/>
        </w:rPr>
        <w:t xml:space="preserve"> a</w:t>
      </w:r>
      <w:r w:rsidRPr="00DC7D7F">
        <w:rPr>
          <w:rFonts w:cs="Arial"/>
        </w:rPr>
        <w:t xml:space="preserve"> </w:t>
      </w:r>
      <w:r>
        <w:rPr>
          <w:rFonts w:cs="Arial"/>
        </w:rPr>
        <w:t xml:space="preserve">zhoršení možností jejího </w:t>
      </w:r>
      <w:r w:rsidRPr="00DC7D7F">
        <w:rPr>
          <w:rFonts w:cs="Arial"/>
        </w:rPr>
        <w:t>využití.</w:t>
      </w:r>
      <w:r w:rsidRPr="00432D49">
        <w:rPr>
          <w:rFonts w:cs="Arial"/>
        </w:rPr>
        <w:t xml:space="preserve"> </w:t>
      </w:r>
      <w:r>
        <w:rPr>
          <w:rFonts w:cs="Arial"/>
        </w:rPr>
        <w:t xml:space="preserve">Spolu s některými rozsáhlými jedno-funkčními systémy odvodnění je vodní erozí </w:t>
      </w:r>
      <w:r w:rsidRPr="00DC7D7F">
        <w:rPr>
          <w:rFonts w:cs="Arial"/>
        </w:rPr>
        <w:t>sniž</w:t>
      </w:r>
      <w:r>
        <w:rPr>
          <w:rFonts w:cs="Arial"/>
        </w:rPr>
        <w:t>ována</w:t>
      </w:r>
      <w:r w:rsidRPr="00DC7D7F">
        <w:rPr>
          <w:rFonts w:cs="Arial"/>
        </w:rPr>
        <w:t xml:space="preserve"> </w:t>
      </w:r>
      <w:r>
        <w:rPr>
          <w:rFonts w:cs="Arial"/>
        </w:rPr>
        <w:t xml:space="preserve">retence a </w:t>
      </w:r>
      <w:r w:rsidRPr="00DC7D7F">
        <w:rPr>
          <w:rFonts w:cs="Arial"/>
        </w:rPr>
        <w:t>akumulace vody v</w:t>
      </w:r>
      <w:r>
        <w:rPr>
          <w:rFonts w:cs="Arial"/>
        </w:rPr>
        <w:t> </w:t>
      </w:r>
      <w:r w:rsidRPr="00DC7D7F">
        <w:rPr>
          <w:rFonts w:cs="Arial"/>
        </w:rPr>
        <w:t>území</w:t>
      </w:r>
      <w:r>
        <w:rPr>
          <w:rFonts w:cs="Arial"/>
        </w:rPr>
        <w:t>.</w:t>
      </w:r>
    </w:p>
    <w:p w14:paraId="6CAB305E" w14:textId="77777777" w:rsidR="00B86902" w:rsidRDefault="00B86902" w:rsidP="00B86902">
      <w:pPr>
        <w:spacing w:before="240" w:after="240"/>
        <w:rPr>
          <w:rFonts w:cs="Arial"/>
        </w:rPr>
      </w:pPr>
      <w:r w:rsidRPr="00DC7D7F">
        <w:rPr>
          <w:rFonts w:cs="Arial"/>
        </w:rPr>
        <w:t xml:space="preserve">Od roku 2012 provádí </w:t>
      </w:r>
      <w:r>
        <w:rPr>
          <w:rFonts w:cs="Arial"/>
        </w:rPr>
        <w:t xml:space="preserve">Výzkumný ústav monitoringu a ochrany půdy, v. v. i., </w:t>
      </w:r>
      <w:r w:rsidRPr="00DC7D7F">
        <w:rPr>
          <w:rFonts w:cs="Arial"/>
        </w:rPr>
        <w:t>monitoring eroze zemědělské půdy</w:t>
      </w:r>
      <w:r>
        <w:rPr>
          <w:rFonts w:cs="Arial"/>
        </w:rPr>
        <w:t xml:space="preserve"> (</w:t>
      </w:r>
      <w:hyperlink r:id="rId75" w:history="1">
        <w:r w:rsidRPr="00AA7F53">
          <w:rPr>
            <w:rStyle w:val="Hypertextovodkaz"/>
            <w:rFonts w:cs="Arial"/>
          </w:rPr>
          <w:t>https://me.vumop.cz</w:t>
        </w:r>
      </w:hyperlink>
      <w:r>
        <w:rPr>
          <w:rFonts w:cs="Arial"/>
        </w:rPr>
        <w:t xml:space="preserve"> )</w:t>
      </w:r>
      <w:r w:rsidRPr="00DC7D7F">
        <w:rPr>
          <w:rFonts w:cs="Arial"/>
        </w:rPr>
        <w:t>, jehož hlavním cílem je zajistit relevantní podklady o</w:t>
      </w:r>
      <w:r>
        <w:rPr>
          <w:rFonts w:cs="Arial"/>
        </w:rPr>
        <w:t> r</w:t>
      </w:r>
      <w:r w:rsidRPr="00DC7D7F">
        <w:rPr>
          <w:rFonts w:cs="Arial"/>
        </w:rPr>
        <w:t xml:space="preserve">ozsahu problému s erozí zemědělské půdy, o příčinách </w:t>
      </w:r>
      <w:r>
        <w:rPr>
          <w:rFonts w:cs="Arial"/>
        </w:rPr>
        <w:t>eroze</w:t>
      </w:r>
      <w:r w:rsidRPr="00DC7D7F">
        <w:rPr>
          <w:rFonts w:cs="Arial"/>
        </w:rPr>
        <w:t>, o správnosti zacílení stávajících politik v oblasti boje proti erozi a o účinnosti, resp. neúčinnosti ně</w:t>
      </w:r>
      <w:r>
        <w:rPr>
          <w:rFonts w:cs="Arial"/>
        </w:rPr>
        <w:t>kterých protierozních opatření.</w:t>
      </w:r>
    </w:p>
    <w:p w14:paraId="7E6B70B1" w14:textId="2ED8A6F1" w:rsidR="00B86902" w:rsidRDefault="00B86902" w:rsidP="00B86902">
      <w:pPr>
        <w:spacing w:before="240" w:after="240"/>
        <w:rPr>
          <w:rFonts w:cs="Arial"/>
        </w:rPr>
      </w:pPr>
      <w:r w:rsidRPr="001A3581">
        <w:rPr>
          <w:rFonts w:cs="Arial"/>
        </w:rPr>
        <w:t xml:space="preserve">V roce 2021 vešla v účinnost </w:t>
      </w:r>
      <w:r w:rsidR="008E73B2">
        <w:rPr>
          <w:rFonts w:cs="Arial"/>
        </w:rPr>
        <w:t>v</w:t>
      </w:r>
      <w:r w:rsidRPr="001A3581">
        <w:rPr>
          <w:rFonts w:cs="Arial"/>
        </w:rPr>
        <w:t>yhláška č. 240/2021 Sb.</w:t>
      </w:r>
      <w:r w:rsidR="001A3581">
        <w:rPr>
          <w:rFonts w:cs="Arial"/>
        </w:rPr>
        <w:t>,</w:t>
      </w:r>
      <w:r w:rsidRPr="001A3581">
        <w:rPr>
          <w:rFonts w:cs="Arial"/>
        </w:rPr>
        <w:t xml:space="preserve"> </w:t>
      </w:r>
      <w:r>
        <w:rPr>
          <w:rFonts w:cs="Arial"/>
        </w:rPr>
        <w:t>o ochraně zemědělské půdy před erozí, která přímo navazuje na tento systém. V následujících letech tak bude možné hodnotit dopady této legislativní normy na oblast znečištění vod.</w:t>
      </w:r>
    </w:p>
    <w:p w14:paraId="6D0FE524" w14:textId="1B59DC36" w:rsidR="00B01379" w:rsidRDefault="00B86902" w:rsidP="00B86902">
      <w:pPr>
        <w:spacing w:before="240" w:after="240"/>
        <w:rPr>
          <w:b/>
          <w:bCs/>
        </w:rPr>
      </w:pPr>
      <w:r w:rsidRPr="00C2505D">
        <w:rPr>
          <w:b/>
          <w:bCs/>
        </w:rPr>
        <w:t xml:space="preserve">U monitorovaných událostí </w:t>
      </w:r>
      <w:r>
        <w:rPr>
          <w:b/>
          <w:bCs/>
        </w:rPr>
        <w:t xml:space="preserve">z roku 2025 </w:t>
      </w:r>
      <w:r w:rsidRPr="00C2505D">
        <w:rPr>
          <w:b/>
          <w:bCs/>
        </w:rPr>
        <w:t>byly evidovány škody na vodních útvarech v</w:t>
      </w:r>
      <w:r>
        <w:rPr>
          <w:b/>
          <w:bCs/>
        </w:rPr>
        <w:t> 16 %</w:t>
      </w:r>
      <w:r w:rsidRPr="00C2505D">
        <w:rPr>
          <w:b/>
          <w:bCs/>
        </w:rPr>
        <w:t xml:space="preserve"> případů. </w:t>
      </w:r>
      <w:r>
        <w:rPr>
          <w:b/>
          <w:bCs/>
        </w:rPr>
        <w:t xml:space="preserve">Zastoupení škod na vodních útvarech způsobených erozními událostmi se oproti předchozímu roku mírně zvýšilo, s tím že na podíl této kategorie má vliv celkový počet erozních událostí za danou sezónu. Obecně se roční podíl škod na vodních útvarech za posledních šest let pohybuje od 11 % (2024) do 26 % (2023), tudíž letošní rok je již druhý po sobě se spíše nižším podílem tohoto typu škod. </w:t>
      </w:r>
    </w:p>
    <w:p w14:paraId="7ACF41E4" w14:textId="4CB23E61" w:rsidR="00B86902" w:rsidRDefault="00B86902" w:rsidP="00B86902">
      <w:pPr>
        <w:spacing w:before="240" w:after="240"/>
      </w:pPr>
      <w:r w:rsidRPr="00CC6E38">
        <w:t>Po</w:t>
      </w:r>
      <w:r>
        <w:t xml:space="preserve">kud se </w:t>
      </w:r>
      <w:r w:rsidRPr="0070532C">
        <w:t>jedná o reálný pokles</w:t>
      </w:r>
      <w:r>
        <w:t>,</w:t>
      </w:r>
      <w:r w:rsidRPr="0070532C">
        <w:t xml:space="preserve"> a</w:t>
      </w:r>
      <w:r>
        <w:t xml:space="preserve"> tedy i změnu v ochraně vod, </w:t>
      </w:r>
      <w:r w:rsidRPr="0070532C">
        <w:t>musí být potvrzen i v příštích letech.</w:t>
      </w:r>
      <w:r>
        <w:t xml:space="preserve"> Monitoringem byly</w:t>
      </w:r>
      <w:r w:rsidRPr="00C46884">
        <w:t xml:space="preserve"> identifikovány hlavně viditelné škody</w:t>
      </w:r>
      <w:r>
        <w:t xml:space="preserve"> </w:t>
      </w:r>
      <w:r w:rsidRPr="0070532C">
        <w:t>– akumulace sedimentu.</w:t>
      </w:r>
      <w:r w:rsidRPr="00C46884">
        <w:t xml:space="preserve"> Splachy erozních sedimentů </w:t>
      </w:r>
      <w:r>
        <w:t>spolu unáší</w:t>
      </w:r>
      <w:r w:rsidRPr="00C46884">
        <w:t xml:space="preserve"> další látk</w:t>
      </w:r>
      <w:r>
        <w:t>y</w:t>
      </w:r>
      <w:r w:rsidRPr="00C46884">
        <w:t xml:space="preserve"> (pesticidy, hnojiva, živiny apod.), které se hydrografickou sítí mohou dostávat až do vodních zdrojů</w:t>
      </w:r>
      <w:r>
        <w:t>.</w:t>
      </w:r>
      <w:r w:rsidRPr="00C46884">
        <w:t xml:space="preserve"> </w:t>
      </w:r>
      <w:r>
        <w:t>N</w:t>
      </w:r>
      <w:r w:rsidRPr="00C46884">
        <w:t xml:space="preserve">egativní </w:t>
      </w:r>
      <w:r>
        <w:t>dopad</w:t>
      </w:r>
      <w:r w:rsidRPr="00C46884">
        <w:t xml:space="preserve"> </w:t>
      </w:r>
      <w:r>
        <w:t xml:space="preserve">erozních událostí </w:t>
      </w:r>
      <w:r w:rsidRPr="00C46884">
        <w:t xml:space="preserve">na kvalitu vodních zdrojů </w:t>
      </w:r>
      <w:r>
        <w:t>je tak</w:t>
      </w:r>
      <w:r w:rsidRPr="00C46884">
        <w:t xml:space="preserve"> </w:t>
      </w:r>
      <w:r>
        <w:t>v několika úrovních</w:t>
      </w:r>
      <w:r w:rsidRPr="00C46884">
        <w:t>.</w:t>
      </w:r>
    </w:p>
    <w:p w14:paraId="7C1FB0F3" w14:textId="77777777" w:rsidR="00B86902" w:rsidRPr="00B01379" w:rsidRDefault="00B86902" w:rsidP="00B86902">
      <w:pPr>
        <w:spacing w:before="240" w:after="240"/>
      </w:pPr>
      <w:r w:rsidRPr="00C46884">
        <w:t>Jak vyplývá z grafu 5.</w:t>
      </w:r>
      <w:r>
        <w:rPr>
          <w:rFonts w:cs="Arial"/>
        </w:rPr>
        <w:t>2</w:t>
      </w:r>
      <w:r w:rsidRPr="00C46884">
        <w:t xml:space="preserve">.1, </w:t>
      </w:r>
      <w:r>
        <w:t xml:space="preserve">v roce 2025 se </w:t>
      </w:r>
      <w:r w:rsidRPr="00B01379">
        <w:t>25,1 % zasažených půdních bloků nacházelo do vzdálenosti 500 m od ochranného pásma vodních zdrojů, přičemž 6,9 % těchto bloků se nacházelo přímo v těchto pásmech. V roce 2025 došlo ke snížení ohrožení v ochranných pásem a nejbližšího okolí (do 100 m). V rámci tohoto hodnocení ve srovnání s loňským rokem došlo k poklesu podílu o téměř polovinu.</w:t>
      </w:r>
    </w:p>
    <w:p w14:paraId="66D4547C" w14:textId="77777777" w:rsidR="00B86902" w:rsidRPr="0089033F" w:rsidRDefault="00B86902" w:rsidP="00B86902">
      <w:pPr>
        <w:spacing w:before="240" w:after="240"/>
        <w:rPr>
          <w:rFonts w:cs="Arial"/>
        </w:rPr>
      </w:pPr>
      <w:r>
        <w:t xml:space="preserve">Vlivem splachu erozních sedimentů </w:t>
      </w:r>
      <w:r>
        <w:rPr>
          <w:rFonts w:cs="Arial"/>
        </w:rPr>
        <w:t>(dle provedených analýz za rok doputuje do vodních toků až 1 400 000 m</w:t>
      </w:r>
      <w:r>
        <w:rPr>
          <w:rFonts w:cs="Arial"/>
          <w:vertAlign w:val="superscript"/>
        </w:rPr>
        <w:t>3</w:t>
      </w:r>
      <w:r>
        <w:rPr>
          <w:rFonts w:cs="Arial"/>
        </w:rPr>
        <w:t xml:space="preserve"> sedimentů ze zemědělského půdního fondu) </w:t>
      </w:r>
      <w:r>
        <w:t>a vnos dalších látek (pesticidy, živiny), které hydrografickou sítí a drenážními systémy vstupují do vodních zdrojů, je negativně ovlivněna kvalita vodních zdrojů. Negativní vliv na kvalitu vodních zdrojů má větší část erozních událostí i vstupy znečištění drenážemi, kdy se z hlediska odnosu N-NO</w:t>
      </w:r>
      <w:r w:rsidRPr="00C2505D">
        <w:rPr>
          <w:vertAlign w:val="subscript"/>
        </w:rPr>
        <w:t>3</w:t>
      </w:r>
      <w:r>
        <w:t xml:space="preserve"> z orné odvodněné půdy v dlouhodobém průměru jedná o cca 30 kg.ha</w:t>
      </w:r>
      <w:r>
        <w:rPr>
          <w:vertAlign w:val="superscript"/>
        </w:rPr>
        <w:t>-1</w:t>
      </w:r>
      <w:r>
        <w:t>.rok</w:t>
      </w:r>
      <w:r w:rsidRPr="00C2505D">
        <w:rPr>
          <w:vertAlign w:val="superscript"/>
        </w:rPr>
        <w:t>-1</w:t>
      </w:r>
      <w:r>
        <w:t xml:space="preserve"> (Zajíček a kol. 2019).</w:t>
      </w:r>
    </w:p>
    <w:p w14:paraId="7AB9FCC6" w14:textId="77777777" w:rsidR="00B86902" w:rsidRPr="00B169EE" w:rsidRDefault="00B86902" w:rsidP="00B86902">
      <w:pPr>
        <w:spacing w:before="240" w:after="240"/>
      </w:pPr>
      <w:r>
        <w:rPr>
          <w:rFonts w:cs="Arial"/>
        </w:rPr>
        <w:t xml:space="preserve">Ke zmírnění dopadů a působení hydrologických extrémů v krajině je třeba adaptovat způsoby hospodaření a využívání zemědělské krajiny. K návrhu takovýchto opatření je možné využít např. nástroje publikované na </w:t>
      </w:r>
      <w:hyperlink r:id="rId76" w:history="1">
        <w:r w:rsidRPr="00AA7F53">
          <w:rPr>
            <w:rStyle w:val="Hypertextovodkaz"/>
            <w:rFonts w:cs="Arial"/>
          </w:rPr>
          <w:t>https://geoportal.vumop.cz</w:t>
        </w:r>
      </w:hyperlink>
      <w:r w:rsidRPr="00786CC0">
        <w:rPr>
          <w:rFonts w:cs="Arial"/>
        </w:rPr>
        <w:t xml:space="preserve">, zejména Kalkulačku vláhové potřeby </w:t>
      </w:r>
      <w:r>
        <w:rPr>
          <w:rFonts w:cs="Arial"/>
        </w:rPr>
        <w:t>(KVP)</w:t>
      </w:r>
      <w:r w:rsidRPr="00786CC0">
        <w:rPr>
          <w:rFonts w:cs="Arial"/>
        </w:rPr>
        <w:t xml:space="preserve"> </w:t>
      </w:r>
      <w:hyperlink r:id="rId77" w:history="1">
        <w:r w:rsidRPr="00AA7F53">
          <w:rPr>
            <w:rStyle w:val="Hypertextovodkaz"/>
            <w:rFonts w:cs="Arial"/>
          </w:rPr>
          <w:t>https://vlaha.vumop.cz</w:t>
        </w:r>
      </w:hyperlink>
      <w:r w:rsidRPr="00786CC0">
        <w:rPr>
          <w:rFonts w:cs="Arial"/>
        </w:rPr>
        <w:t>,</w:t>
      </w:r>
      <w:r>
        <w:rPr>
          <w:rFonts w:cs="Arial"/>
        </w:rPr>
        <w:t xml:space="preserve"> s jejíž pomocí lze pro konkrétní osevní postupy a lokality (s přesností na půdní blok) provádět vláhovou bilanci, vymezit enklávy ohrožené různou mírou sucha, určit hodnoty vláhové potřeby, popř. závlahového množství</w:t>
      </w:r>
      <w:r>
        <w:rPr>
          <w:rFonts w:eastAsiaTheme="minorHAnsi" w:cs="Arial"/>
          <w:color w:val="000000" w:themeColor="text1"/>
        </w:rPr>
        <w:t>.</w:t>
      </w:r>
    </w:p>
    <w:p w14:paraId="4C232F11" w14:textId="090A7F0D" w:rsidR="00B86902" w:rsidRPr="00641DDE" w:rsidRDefault="00B86902" w:rsidP="00B86902">
      <w:pPr>
        <w:spacing w:before="240" w:after="240"/>
        <w:rPr>
          <w:rFonts w:cs="Arial"/>
        </w:rPr>
      </w:pPr>
      <w:r>
        <w:rPr>
          <w:rFonts w:cs="Arial"/>
        </w:rPr>
        <w:t xml:space="preserve">V rámci studie </w:t>
      </w:r>
      <w:r w:rsidRPr="00E82C87">
        <w:rPr>
          <w:rFonts w:cs="Arial"/>
        </w:rPr>
        <w:t>Analýza možností závlahy chmele v ČR s důrazem na Žatecko a Rakovnicko</w:t>
      </w:r>
      <w:r>
        <w:rPr>
          <w:rFonts w:cs="Arial"/>
        </w:rPr>
        <w:t>, zpracované ve VÚMOP pro MZe v r. 2025, byla hodnocena vláhová potřeba chmele otáčivého (</w:t>
      </w:r>
      <w:proofErr w:type="spellStart"/>
      <w:r w:rsidRPr="006771E4">
        <w:rPr>
          <w:rFonts w:cs="Arial"/>
          <w:i/>
          <w:iCs/>
        </w:rPr>
        <w:t>Humulus</w:t>
      </w:r>
      <w:proofErr w:type="spellEnd"/>
      <w:r w:rsidRPr="006771E4">
        <w:rPr>
          <w:rFonts w:cs="Arial"/>
          <w:i/>
          <w:iCs/>
        </w:rPr>
        <w:t xml:space="preserve"> </w:t>
      </w:r>
      <w:proofErr w:type="spellStart"/>
      <w:r w:rsidR="00EB7AF4">
        <w:rPr>
          <w:rFonts w:cs="Arial"/>
          <w:i/>
          <w:iCs/>
        </w:rPr>
        <w:t>l</w:t>
      </w:r>
      <w:r w:rsidRPr="006771E4">
        <w:rPr>
          <w:rFonts w:cs="Arial"/>
          <w:i/>
          <w:iCs/>
        </w:rPr>
        <w:t>upulus</w:t>
      </w:r>
      <w:proofErr w:type="spellEnd"/>
      <w:r>
        <w:rPr>
          <w:rFonts w:cs="Arial"/>
        </w:rPr>
        <w:t xml:space="preserve">) jako klíčové zemědělské komodity v ČR. Pomocí Kalkulačky vláhové potřeby bylo hodnoceno celkem 10 klimatických období – viz níže. </w:t>
      </w:r>
      <w:r w:rsidRPr="004162B1">
        <w:rPr>
          <w:rFonts w:cs="Arial"/>
        </w:rPr>
        <w:t xml:space="preserve">Klíčovým krokem </w:t>
      </w:r>
      <w:r>
        <w:rPr>
          <w:rFonts w:cs="Arial"/>
        </w:rPr>
        <w:t xml:space="preserve">v analýze </w:t>
      </w:r>
      <w:r w:rsidRPr="004162B1">
        <w:rPr>
          <w:rFonts w:cs="Arial"/>
        </w:rPr>
        <w:t xml:space="preserve">bylo </w:t>
      </w:r>
      <w:r w:rsidRPr="00641DDE">
        <w:rPr>
          <w:rFonts w:cs="Arial"/>
        </w:rPr>
        <w:t>zpřesnění přiřazení chmelnic k předpokládaným hlavním závlahovým odběrným místům soustavy Nechranice-</w:t>
      </w:r>
      <w:r w:rsidRPr="00641DDE">
        <w:rPr>
          <w:rFonts w:cs="Arial"/>
        </w:rPr>
        <w:lastRenderedPageBreak/>
        <w:t>Kryry-Vidhostice-Rakovnický p., n</w:t>
      </w:r>
      <w:r w:rsidRPr="004162B1">
        <w:rPr>
          <w:rFonts w:cs="Arial"/>
        </w:rPr>
        <w:t>a základě komunikace s</w:t>
      </w:r>
      <w:r>
        <w:rPr>
          <w:rFonts w:cs="Arial"/>
        </w:rPr>
        <w:t xml:space="preserve">e zástupci MZe, podniky Povodí, projektanty a </w:t>
      </w:r>
      <w:r w:rsidRPr="004162B1">
        <w:rPr>
          <w:rFonts w:cs="Arial"/>
        </w:rPr>
        <w:t>pěstiteli</w:t>
      </w:r>
      <w:r>
        <w:rPr>
          <w:rFonts w:cs="Arial"/>
        </w:rPr>
        <w:t xml:space="preserve"> chmele</w:t>
      </w:r>
      <w:r w:rsidRPr="004162B1">
        <w:rPr>
          <w:rFonts w:cs="Arial"/>
        </w:rPr>
        <w:t xml:space="preserve">. Byla vytvořena </w:t>
      </w:r>
      <w:r w:rsidRPr="00641DDE">
        <w:rPr>
          <w:rFonts w:cs="Arial"/>
        </w:rPr>
        <w:t>validovaná GIS vrstva DPB, použitá pro všechny výpočty vláhové bilance. Výpočty ukázaly, že vláhové potřeby chmelnic rostou, zejména ve srovnání normálů 1981–2010 a 1991–2020 i dekád 2009–2018 a 2011–2020, které potvrzují trend zvyšující se evapotranspirace a pokles efektivních srážek. Suché roky 2015 a 2018 přinesly extrémní deficity, rok 2018 nejvyšší (cca 6 mil. m³) a vlhké roky 2013 a 2017 představují dolní hranici potřeb závlahy. Budoucí klimatický scénář CMCC</w:t>
      </w:r>
      <w:r w:rsidRPr="00641DDE">
        <w:rPr>
          <w:rFonts w:cs="Arial"/>
        </w:rPr>
        <w:noBreakHyphen/>
        <w:t>ESM2 (SSP5</w:t>
      </w:r>
      <w:r w:rsidRPr="00641DDE">
        <w:rPr>
          <w:rFonts w:cs="Arial"/>
        </w:rPr>
        <w:noBreakHyphen/>
        <w:t>8.5) predikuje výrazné zvýšení teplot a pokles srážek, tedy další růst vláhového deficitu, byť nižší než extrémní rok 2018. Studie doporučuje využívat metodiku výpočtu operativních závlahových množství i předpokládaných vláhových potřeb podle plodinové evapotranspirace (</w:t>
      </w:r>
      <w:proofErr w:type="spellStart"/>
      <w:r w:rsidRPr="00641DDE">
        <w:rPr>
          <w:rFonts w:cs="Arial"/>
        </w:rPr>
        <w:t>Etc</w:t>
      </w:r>
      <w:proofErr w:type="spellEnd"/>
      <w:r w:rsidRPr="00641DDE">
        <w:rPr>
          <w:rFonts w:cs="Arial"/>
        </w:rPr>
        <w:t xml:space="preserve">), srážek, </w:t>
      </w:r>
      <w:proofErr w:type="spellStart"/>
      <w:r w:rsidRPr="00641DDE">
        <w:rPr>
          <w:rFonts w:cs="Arial"/>
        </w:rPr>
        <w:t>fenofází</w:t>
      </w:r>
      <w:proofErr w:type="spellEnd"/>
      <w:r w:rsidRPr="00641DDE">
        <w:rPr>
          <w:rFonts w:cs="Arial"/>
        </w:rPr>
        <w:t xml:space="preserve"> a používané technologie závlah. Navrženy byly také další kroky ve vazbě na vodohospodářské řešení, kapacitní návrhy soustavy, dimenzování lokálních akumulačních nádrží, etapizace investic a digitalizace dat.</w:t>
      </w:r>
    </w:p>
    <w:p w14:paraId="2BEC3E01" w14:textId="2D7CA1F1" w:rsidR="00954019" w:rsidRPr="00B86902" w:rsidRDefault="008F5078" w:rsidP="00954019">
      <w:pPr>
        <w:rPr>
          <w:rFonts w:cs="Arial"/>
          <w:b/>
          <w:i/>
        </w:rPr>
      </w:pPr>
      <w:r w:rsidRPr="00B86902">
        <w:rPr>
          <w:rFonts w:cs="Arial"/>
          <w:b/>
          <w:i/>
        </w:rPr>
        <w:t>Graf 5.2.1</w:t>
      </w:r>
    </w:p>
    <w:p w14:paraId="324C3B7A" w14:textId="55DB264B" w:rsidR="008F5078" w:rsidRPr="00B86902" w:rsidRDefault="008F5078" w:rsidP="00954019">
      <w:pPr>
        <w:rPr>
          <w:rFonts w:cs="Arial"/>
          <w:b/>
          <w:i/>
        </w:rPr>
      </w:pPr>
      <w:r w:rsidRPr="00B86902">
        <w:rPr>
          <w:rFonts w:cs="Arial"/>
          <w:b/>
          <w:i/>
        </w:rPr>
        <w:t xml:space="preserve">Evidované erozní události dle vzdálenosti od ochranného </w:t>
      </w:r>
      <w:r w:rsidR="00AF4BA9" w:rsidRPr="00B86902">
        <w:rPr>
          <w:rFonts w:cs="Arial"/>
          <w:b/>
          <w:i/>
        </w:rPr>
        <w:t>pásma vodních zdrojů v roce 202</w:t>
      </w:r>
      <w:r w:rsidR="00B86902">
        <w:rPr>
          <w:rFonts w:cs="Arial"/>
          <w:b/>
          <w:i/>
        </w:rPr>
        <w:t>5</w:t>
      </w:r>
    </w:p>
    <w:p w14:paraId="31929821" w14:textId="3C02CAD8" w:rsidR="008F5078" w:rsidRPr="00104F7D" w:rsidRDefault="002F1939" w:rsidP="007C4955">
      <w:pPr>
        <w:contextualSpacing/>
        <w:rPr>
          <w:rFonts w:cs="Arial"/>
          <w:b/>
          <w:i/>
          <w:noProof/>
          <w:color w:val="FF0000"/>
          <w:sz w:val="20"/>
          <w:szCs w:val="20"/>
          <w:highlight w:val="yellow"/>
          <w:lang w:eastAsia="cs-CZ"/>
        </w:rPr>
      </w:pPr>
      <w:r>
        <w:rPr>
          <w:b/>
          <w:i/>
          <w:noProof/>
          <w:sz w:val="18"/>
          <w:szCs w:val="18"/>
        </w:rPr>
        <w:drawing>
          <wp:inline distT="0" distB="0" distL="0" distR="0" wp14:anchorId="522C9510" wp14:editId="5E46C094">
            <wp:extent cx="4514850" cy="2742795"/>
            <wp:effectExtent l="0" t="0" r="0" b="635"/>
            <wp:docPr id="187534874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348741" name="Obrázek 1"/>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t="8874"/>
                    <a:stretch>
                      <a:fillRect/>
                    </a:stretch>
                  </pic:blipFill>
                  <pic:spPr bwMode="auto">
                    <a:xfrm>
                      <a:off x="0" y="0"/>
                      <a:ext cx="4528443" cy="2751053"/>
                    </a:xfrm>
                    <a:prstGeom prst="rect">
                      <a:avLst/>
                    </a:prstGeom>
                    <a:noFill/>
                    <a:ln>
                      <a:noFill/>
                    </a:ln>
                    <a:extLst>
                      <a:ext uri="{53640926-AAD7-44D8-BBD7-CCE9431645EC}">
                        <a14:shadowObscured xmlns:a14="http://schemas.microsoft.com/office/drawing/2010/main"/>
                      </a:ext>
                    </a:extLst>
                  </pic:spPr>
                </pic:pic>
              </a:graphicData>
            </a:graphic>
          </wp:inline>
        </w:drawing>
      </w:r>
    </w:p>
    <w:p w14:paraId="5FE2F78A" w14:textId="77777777" w:rsidR="008F5078" w:rsidRPr="002F1939" w:rsidRDefault="008F5078" w:rsidP="007C4955">
      <w:pPr>
        <w:contextualSpacing/>
        <w:rPr>
          <w:rFonts w:cs="Arial"/>
          <w:i/>
          <w:noProof/>
          <w:sz w:val="20"/>
          <w:szCs w:val="20"/>
          <w:lang w:eastAsia="cs-CZ"/>
        </w:rPr>
      </w:pPr>
      <w:r w:rsidRPr="002F1939">
        <w:rPr>
          <w:i/>
          <w:sz w:val="20"/>
          <w:szCs w:val="20"/>
        </w:rPr>
        <w:t>Pramen: VÚMOP</w:t>
      </w:r>
    </w:p>
    <w:p w14:paraId="213F42E6" w14:textId="77777777" w:rsidR="00E368CC" w:rsidRPr="002F1939" w:rsidRDefault="00E368CC" w:rsidP="007C4955">
      <w:pPr>
        <w:contextualSpacing/>
        <w:rPr>
          <w:i/>
          <w:sz w:val="20"/>
          <w:szCs w:val="20"/>
        </w:rPr>
      </w:pPr>
      <w:r w:rsidRPr="002F1939">
        <w:rPr>
          <w:i/>
          <w:sz w:val="20"/>
          <w:szCs w:val="20"/>
        </w:rPr>
        <w:t>Pozn.: Počet postižených DPB = počet dílů půdních bloků, na kterých byla evidována eroze</w:t>
      </w:r>
    </w:p>
    <w:p w14:paraId="02F3CE69" w14:textId="77777777" w:rsidR="007211C5" w:rsidRPr="00104F7D" w:rsidRDefault="007211C5" w:rsidP="007C4955">
      <w:pPr>
        <w:contextualSpacing/>
        <w:rPr>
          <w:b/>
          <w:i/>
          <w:highlight w:val="yellow"/>
        </w:rPr>
      </w:pPr>
    </w:p>
    <w:p w14:paraId="0B728D7E" w14:textId="11301BD8" w:rsidR="008F5078" w:rsidRPr="000826EA" w:rsidRDefault="008F5078" w:rsidP="007C4955">
      <w:pPr>
        <w:contextualSpacing/>
        <w:rPr>
          <w:b/>
          <w:i/>
        </w:rPr>
      </w:pPr>
      <w:r w:rsidRPr="000826EA">
        <w:rPr>
          <w:b/>
          <w:i/>
        </w:rPr>
        <w:t>Obrázek 5.2.1</w:t>
      </w:r>
    </w:p>
    <w:p w14:paraId="44AAC243" w14:textId="4930AEC0" w:rsidR="008F5078" w:rsidRPr="000826EA" w:rsidRDefault="008F5078" w:rsidP="007C4955">
      <w:pPr>
        <w:contextualSpacing/>
        <w:rPr>
          <w:b/>
          <w:i/>
        </w:rPr>
      </w:pPr>
      <w:r w:rsidRPr="000826EA">
        <w:rPr>
          <w:b/>
          <w:i/>
        </w:rPr>
        <w:t>Přehled erozních událostí v roce 202</w:t>
      </w:r>
      <w:r w:rsidR="00F55CCC">
        <w:rPr>
          <w:b/>
          <w:i/>
        </w:rPr>
        <w:t>5</w:t>
      </w:r>
    </w:p>
    <w:p w14:paraId="65EB539D" w14:textId="1FED120E" w:rsidR="008F5078" w:rsidRPr="000826EA" w:rsidRDefault="000826EA" w:rsidP="007C4955">
      <w:pPr>
        <w:contextualSpacing/>
        <w:rPr>
          <w:color w:val="FF0000"/>
        </w:rPr>
      </w:pPr>
      <w:r w:rsidRPr="000826EA">
        <w:rPr>
          <w:noProof/>
        </w:rPr>
        <w:drawing>
          <wp:inline distT="0" distB="0" distL="0" distR="0" wp14:anchorId="64DA714F" wp14:editId="7613DFF2">
            <wp:extent cx="4438650" cy="2838175"/>
            <wp:effectExtent l="0" t="0" r="0" b="635"/>
            <wp:docPr id="73783154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831540" name="Obrázek 2"/>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4485642" cy="2868223"/>
                    </a:xfrm>
                    <a:prstGeom prst="rect">
                      <a:avLst/>
                    </a:prstGeom>
                    <a:noFill/>
                    <a:ln>
                      <a:noFill/>
                    </a:ln>
                  </pic:spPr>
                </pic:pic>
              </a:graphicData>
            </a:graphic>
          </wp:inline>
        </w:drawing>
      </w:r>
    </w:p>
    <w:p w14:paraId="0FF38E9F" w14:textId="6C79759E" w:rsidR="008F5078" w:rsidRDefault="008F5078" w:rsidP="007C4955">
      <w:pPr>
        <w:contextualSpacing/>
        <w:rPr>
          <w:i/>
          <w:color w:val="000000" w:themeColor="text1"/>
          <w:sz w:val="20"/>
          <w:szCs w:val="20"/>
        </w:rPr>
      </w:pPr>
      <w:r w:rsidRPr="000826EA">
        <w:rPr>
          <w:i/>
          <w:color w:val="000000" w:themeColor="text1"/>
          <w:sz w:val="20"/>
          <w:szCs w:val="20"/>
        </w:rPr>
        <w:t>Pramen: VÚMOP</w:t>
      </w:r>
    </w:p>
    <w:p w14:paraId="5FC7795D" w14:textId="77777777" w:rsidR="00630E06" w:rsidRDefault="00630E06" w:rsidP="007C4955">
      <w:pPr>
        <w:contextualSpacing/>
        <w:rPr>
          <w:i/>
          <w:color w:val="000000" w:themeColor="text1"/>
          <w:sz w:val="20"/>
          <w:szCs w:val="20"/>
        </w:rPr>
      </w:pPr>
    </w:p>
    <w:p w14:paraId="08AB94E9" w14:textId="77777777" w:rsidR="00D95A72" w:rsidRPr="00C46884" w:rsidRDefault="00D95A72" w:rsidP="00D95A72">
      <w:pPr>
        <w:rPr>
          <w:b/>
          <w:i/>
        </w:rPr>
      </w:pPr>
      <w:r w:rsidRPr="00C46884">
        <w:rPr>
          <w:b/>
          <w:i/>
        </w:rPr>
        <w:lastRenderedPageBreak/>
        <w:t>Obrázek 5.2.</w:t>
      </w:r>
      <w:r>
        <w:rPr>
          <w:b/>
          <w:i/>
        </w:rPr>
        <w:t>2</w:t>
      </w:r>
    </w:p>
    <w:p w14:paraId="397C5FF3" w14:textId="77777777" w:rsidR="00D95A72" w:rsidRPr="007C0E47" w:rsidRDefault="00D95A72" w:rsidP="00D95A72">
      <w:pPr>
        <w:rPr>
          <w:sz w:val="18"/>
        </w:rPr>
      </w:pPr>
      <w:r w:rsidRPr="004162B1">
        <w:rPr>
          <w:b/>
          <w:i/>
        </w:rPr>
        <w:t>Ukázka KVP pro vodní bilanci chmele (Kounov)</w:t>
      </w:r>
    </w:p>
    <w:p w14:paraId="7379B4AE" w14:textId="77777777" w:rsidR="00D95A72" w:rsidRDefault="00D95A72" w:rsidP="00D95A72">
      <w:pPr>
        <w:rPr>
          <w:sz w:val="18"/>
          <w:szCs w:val="18"/>
        </w:rPr>
      </w:pPr>
    </w:p>
    <w:p w14:paraId="162B4854" w14:textId="532F7274" w:rsidR="00D95A72" w:rsidRPr="00093C0E" w:rsidRDefault="00D95A72" w:rsidP="00D95A72">
      <w:pPr>
        <w:rPr>
          <w:sz w:val="18"/>
          <w:szCs w:val="18"/>
        </w:rPr>
      </w:pPr>
      <w:r>
        <w:rPr>
          <w:noProof/>
        </w:rPr>
        <w:drawing>
          <wp:inline distT="0" distB="0" distL="0" distR="0" wp14:anchorId="4A0DFB6B" wp14:editId="2E3694CA">
            <wp:extent cx="4257675" cy="2017263"/>
            <wp:effectExtent l="0" t="0" r="0" b="2540"/>
            <wp:docPr id="22063618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636180" name=""/>
                    <pic:cNvPicPr/>
                  </pic:nvPicPr>
                  <pic:blipFill rotWithShape="1">
                    <a:blip r:embed="rId80"/>
                    <a:srcRect l="17859" t="25930" r="3263" b="14270"/>
                    <a:stretch>
                      <a:fillRect/>
                    </a:stretch>
                  </pic:blipFill>
                  <pic:spPr bwMode="auto">
                    <a:xfrm>
                      <a:off x="0" y="0"/>
                      <a:ext cx="4279954" cy="2027819"/>
                    </a:xfrm>
                    <a:prstGeom prst="rect">
                      <a:avLst/>
                    </a:prstGeom>
                    <a:ln>
                      <a:noFill/>
                    </a:ln>
                    <a:extLst>
                      <a:ext uri="{53640926-AAD7-44D8-BBD7-CCE9431645EC}">
                        <a14:shadowObscured xmlns:a14="http://schemas.microsoft.com/office/drawing/2010/main"/>
                      </a:ext>
                    </a:extLst>
                  </pic:spPr>
                </pic:pic>
              </a:graphicData>
            </a:graphic>
          </wp:inline>
        </w:drawing>
      </w:r>
    </w:p>
    <w:p w14:paraId="15827D4F" w14:textId="77777777" w:rsidR="00D95A72" w:rsidRPr="00D95A72" w:rsidRDefault="00D95A72" w:rsidP="00D95A72">
      <w:pPr>
        <w:contextualSpacing/>
        <w:rPr>
          <w:i/>
          <w:color w:val="000000" w:themeColor="text1"/>
          <w:sz w:val="20"/>
          <w:szCs w:val="20"/>
        </w:rPr>
      </w:pPr>
      <w:r w:rsidRPr="00D95A72">
        <w:rPr>
          <w:i/>
          <w:color w:val="000000" w:themeColor="text1"/>
          <w:sz w:val="20"/>
          <w:szCs w:val="20"/>
        </w:rPr>
        <w:t>Pramen: VÚMOP</w:t>
      </w:r>
    </w:p>
    <w:p w14:paraId="2EFD60F1" w14:textId="76305B7F" w:rsidR="00630E06" w:rsidRPr="000826EA" w:rsidRDefault="00630E06" w:rsidP="007C4955">
      <w:pPr>
        <w:contextualSpacing/>
        <w:rPr>
          <w:i/>
          <w:color w:val="000000" w:themeColor="text1"/>
          <w:sz w:val="20"/>
          <w:szCs w:val="20"/>
        </w:rPr>
      </w:pPr>
    </w:p>
    <w:bookmarkEnd w:id="44"/>
    <w:p w14:paraId="00FBF27D" w14:textId="77777777" w:rsidR="00057199" w:rsidRPr="00104F7D" w:rsidRDefault="00057199" w:rsidP="007C4955">
      <w:pPr>
        <w:contextualSpacing/>
        <w:rPr>
          <w:i/>
          <w:color w:val="FF0000"/>
          <w:sz w:val="20"/>
          <w:szCs w:val="20"/>
          <w:highlight w:val="yellow"/>
        </w:rPr>
      </w:pPr>
    </w:p>
    <w:p w14:paraId="2C3BD5E9" w14:textId="30F0FB31" w:rsidR="004F69B3" w:rsidRPr="00094402" w:rsidRDefault="00547C0E">
      <w:pPr>
        <w:pStyle w:val="Nadpis2"/>
        <w:numPr>
          <w:ilvl w:val="1"/>
          <w:numId w:val="13"/>
        </w:numPr>
        <w:spacing w:before="0"/>
        <w:contextualSpacing/>
        <w:rPr>
          <w:color w:val="000000" w:themeColor="text1"/>
        </w:rPr>
      </w:pPr>
      <w:bookmarkStart w:id="45" w:name="_Toc10183418"/>
      <w:bookmarkStart w:id="46" w:name="_Toc236991622"/>
      <w:r w:rsidRPr="00094402">
        <w:rPr>
          <w:color w:val="000000" w:themeColor="text1"/>
        </w:rPr>
        <w:t>Havarijní znečištění</w:t>
      </w:r>
      <w:bookmarkEnd w:id="45"/>
      <w:bookmarkEnd w:id="46"/>
    </w:p>
    <w:p w14:paraId="42CC943D" w14:textId="3D5FC6CC" w:rsidR="00A06722" w:rsidRDefault="00A06722" w:rsidP="00A06722">
      <w:pPr>
        <w:rPr>
          <w:highlight w:val="yellow"/>
        </w:rPr>
      </w:pPr>
    </w:p>
    <w:p w14:paraId="77E463A7" w14:textId="77777777" w:rsidR="001F5AD8" w:rsidRPr="001F5AD8" w:rsidRDefault="001F5AD8" w:rsidP="001F5AD8">
      <w:pPr>
        <w:pStyle w:val="tun-vod"/>
        <w:spacing w:before="0" w:after="0"/>
        <w:rPr>
          <w:rFonts w:ascii="Arial" w:hAnsi="Arial" w:cs="Arial"/>
          <w:sz w:val="22"/>
          <w:szCs w:val="22"/>
        </w:rPr>
      </w:pPr>
      <w:r w:rsidRPr="001F5AD8">
        <w:rPr>
          <w:rFonts w:ascii="Arial" w:hAnsi="Arial" w:cs="Arial"/>
          <w:sz w:val="22"/>
          <w:szCs w:val="22"/>
        </w:rPr>
        <w:t>Negativním faktorem ovlivňujícím jakost povrchových a podzemních vod je také havarijní znečištění. V roce 2025 evidovala Česká inspekce životního prostředí 225 havárií, o tři méně než v roce 2024. Z tohoto počtu bylo 151 případů spojeno se znečištěním povrchových vod, 6 se znečištěním podzemních vod a 2 se současným znečištěním povrchových i podzemních vod. V oblasti vodního hospodářství ČIŽP uložila celkem 458 pokut (z nichž 420 v roce 2025 nabylo právní moci) ve výši 21,74 mil. Kč.</w:t>
      </w:r>
    </w:p>
    <w:p w14:paraId="06934969" w14:textId="77777777" w:rsidR="001F5AD8" w:rsidRDefault="001F5AD8" w:rsidP="001F5AD8">
      <w:pPr>
        <w:rPr>
          <w:rFonts w:cs="Arial"/>
        </w:rPr>
      </w:pPr>
    </w:p>
    <w:p w14:paraId="0FD0048B" w14:textId="42886B90" w:rsidR="001F5AD8" w:rsidRPr="001F5AD8" w:rsidRDefault="001F5AD8" w:rsidP="001F5AD8">
      <w:pPr>
        <w:rPr>
          <w:rFonts w:cs="Arial"/>
        </w:rPr>
      </w:pPr>
      <w:r w:rsidRPr="001F5AD8">
        <w:rPr>
          <w:rFonts w:cs="Arial"/>
        </w:rPr>
        <w:t>Podle zákona č. 254/2001 Sb., o vodách vede ČIŽP od roku 2002 centrální evidenci havárií. V roce 2025 bylo do této evidence zapsáno 225 havárií, které naplnily definici havárie podle § 40 vodního zákona.</w:t>
      </w:r>
    </w:p>
    <w:p w14:paraId="5258EEF8" w14:textId="77777777" w:rsidR="006F7B28" w:rsidRDefault="006F7B28" w:rsidP="001F5AD8">
      <w:pPr>
        <w:rPr>
          <w:rFonts w:cs="Arial"/>
        </w:rPr>
      </w:pPr>
    </w:p>
    <w:p w14:paraId="3A4B1141" w14:textId="754AD1A0" w:rsidR="001F5AD8" w:rsidRPr="001F5AD8" w:rsidRDefault="001F5AD8" w:rsidP="001F5AD8">
      <w:pPr>
        <w:rPr>
          <w:rFonts w:cs="Arial"/>
        </w:rPr>
      </w:pPr>
      <w:r w:rsidRPr="001F5AD8">
        <w:rPr>
          <w:rFonts w:cs="Arial"/>
        </w:rPr>
        <w:t xml:space="preserve">Kdo způsobí nebo zjistí havárii na vodách, je povinen ji neprodleně hlásit na telefonní číslo 150 Hasičskému záchrannému sboru České republiky. Hasičský záchranný sbor České republiky následně kontaktuje ČIŽP. Ohlašovací povinnost se týká i úhynu ryb nebo </w:t>
      </w:r>
      <w:proofErr w:type="gramStart"/>
      <w:r w:rsidRPr="001F5AD8">
        <w:rPr>
          <w:rFonts w:cs="Arial"/>
        </w:rPr>
        <w:t>organizmů</w:t>
      </w:r>
      <w:proofErr w:type="gramEnd"/>
      <w:r w:rsidRPr="001F5AD8">
        <w:rPr>
          <w:rFonts w:cs="Arial"/>
        </w:rPr>
        <w:t xml:space="preserve"> vázaných na vodní prostředí, pokud tento úhyn byl způsoben havárií na vodách.</w:t>
      </w:r>
    </w:p>
    <w:p w14:paraId="08CA3CF7" w14:textId="77777777" w:rsidR="001F5AD8" w:rsidRDefault="001F5AD8" w:rsidP="001F5AD8">
      <w:pPr>
        <w:rPr>
          <w:rFonts w:cs="Arial"/>
        </w:rPr>
      </w:pPr>
    </w:p>
    <w:p w14:paraId="6CE1AC66" w14:textId="5B73E94E" w:rsidR="001F5AD8" w:rsidRPr="001F5AD8" w:rsidRDefault="001F5AD8" w:rsidP="001F5AD8">
      <w:pPr>
        <w:rPr>
          <w:rFonts w:cs="Arial"/>
        </w:rPr>
      </w:pPr>
      <w:r w:rsidRPr="001F5AD8">
        <w:rPr>
          <w:rFonts w:cs="Arial"/>
        </w:rPr>
        <w:t>V roce 2025 bylo evidováno 42 havárií způsobených dopravou, což představuje 19 % celkového počtu, v roce 2024 šlo o 56 případů (25 %). Úhyn ryb byl průvodním jevem ve 43 případech (19 %), tedy častěji než v roce 2024, kdy byl zaznamenán ve 29 případech (13 %).</w:t>
      </w:r>
    </w:p>
    <w:p w14:paraId="4C28428B" w14:textId="77777777" w:rsidR="006F7B28" w:rsidRDefault="006F7B28" w:rsidP="001F5AD8">
      <w:pPr>
        <w:pStyle w:val="tun-vod"/>
        <w:spacing w:before="0" w:after="0"/>
        <w:rPr>
          <w:rFonts w:ascii="Arial" w:hAnsi="Arial" w:cs="Arial"/>
          <w:b w:val="0"/>
          <w:sz w:val="22"/>
          <w:szCs w:val="22"/>
        </w:rPr>
      </w:pPr>
    </w:p>
    <w:p w14:paraId="289FB154" w14:textId="38D48612" w:rsidR="001F5AD8" w:rsidRPr="001F5AD8" w:rsidRDefault="001F5AD8" w:rsidP="001F5AD8">
      <w:pPr>
        <w:pStyle w:val="tun-vod"/>
        <w:spacing w:before="0" w:after="0"/>
        <w:rPr>
          <w:rFonts w:ascii="Arial" w:hAnsi="Arial" w:cs="Arial"/>
          <w:b w:val="0"/>
          <w:sz w:val="22"/>
          <w:szCs w:val="22"/>
        </w:rPr>
      </w:pPr>
      <w:r w:rsidRPr="001F5AD8">
        <w:rPr>
          <w:rFonts w:ascii="Arial" w:hAnsi="Arial" w:cs="Arial"/>
          <w:b w:val="0"/>
          <w:sz w:val="22"/>
          <w:szCs w:val="22"/>
        </w:rPr>
        <w:t>Ke znečištění podzemních vod došlo v 6 případech, ve 2 dalších případech došlo současně ke znečištění podzemních i povrchových vod. ČIŽP samostatně šetřila nebo se na šetření aktivně podílela v 50 případech, oproti 70 případům v roce 2024. Původce havárie byl znám u 119 případů, zatímco v roce 2024 byl znám u 145 případů.</w:t>
      </w:r>
    </w:p>
    <w:p w14:paraId="5796EC16" w14:textId="77777777" w:rsidR="001F5AD8" w:rsidRDefault="001F5AD8" w:rsidP="001F5AD8">
      <w:pPr>
        <w:pStyle w:val="tun-vod"/>
        <w:spacing w:before="0" w:after="0"/>
        <w:rPr>
          <w:rFonts w:ascii="Arial" w:hAnsi="Arial" w:cs="Arial"/>
          <w:b w:val="0"/>
          <w:sz w:val="22"/>
          <w:szCs w:val="22"/>
        </w:rPr>
      </w:pPr>
    </w:p>
    <w:p w14:paraId="1162A921" w14:textId="51918B39" w:rsidR="001F5AD8" w:rsidRPr="001F5AD8" w:rsidRDefault="001F5AD8" w:rsidP="001F5AD8">
      <w:pPr>
        <w:pStyle w:val="tun-vod"/>
        <w:spacing w:before="0" w:after="0"/>
        <w:rPr>
          <w:rFonts w:ascii="Arial" w:hAnsi="Arial" w:cs="Arial"/>
          <w:b w:val="0"/>
          <w:sz w:val="22"/>
          <w:szCs w:val="22"/>
        </w:rPr>
      </w:pPr>
      <w:r w:rsidRPr="001F5AD8">
        <w:rPr>
          <w:rFonts w:ascii="Arial" w:hAnsi="Arial" w:cs="Arial"/>
          <w:b w:val="0"/>
          <w:sz w:val="22"/>
          <w:szCs w:val="22"/>
        </w:rPr>
        <w:t>Během roku 2025 byly nahlášeny také další události, které nebyly do centrální evidence havárií zařazeny z důvodu nevýznamného rozsahu a absence dopadu na jakost vod.</w:t>
      </w:r>
    </w:p>
    <w:p w14:paraId="10FF00A7" w14:textId="77777777" w:rsidR="001F5AD8" w:rsidRPr="001F5AD8" w:rsidRDefault="001F5AD8" w:rsidP="001F5AD8">
      <w:pPr>
        <w:pStyle w:val="tun-vod"/>
        <w:spacing w:before="0" w:after="0"/>
        <w:rPr>
          <w:rFonts w:ascii="Arial" w:hAnsi="Arial" w:cs="Arial"/>
          <w:b w:val="0"/>
          <w:sz w:val="22"/>
          <w:szCs w:val="22"/>
        </w:rPr>
      </w:pPr>
      <w:r w:rsidRPr="001F5AD8">
        <w:rPr>
          <w:rFonts w:ascii="Arial" w:hAnsi="Arial" w:cs="Arial"/>
          <w:b w:val="0"/>
          <w:sz w:val="22"/>
          <w:szCs w:val="22"/>
        </w:rPr>
        <w:t xml:space="preserve">Z celkového počtu 225 evidovaných případů byly nejpočetnější skupinou znečišťujících látek ropné látky 107 evidovaných případů, což činí 47,6 %. Následovaly chemické látky (mimo těžkých kovů) 23 případů (10,2 %) a odpadní vody 15 případů (6,7 %). Charakter znečišťujících látek nebyl zjištěn u 35 havárií (15,6 %). </w:t>
      </w:r>
    </w:p>
    <w:p w14:paraId="1E1AB955" w14:textId="77777777" w:rsidR="001F5AD8" w:rsidRDefault="001F5AD8" w:rsidP="001F5AD8">
      <w:pPr>
        <w:pStyle w:val="tun-vod"/>
        <w:spacing w:before="0" w:after="0"/>
        <w:rPr>
          <w:rFonts w:ascii="Arial" w:hAnsi="Arial" w:cs="Arial"/>
          <w:b w:val="0"/>
          <w:sz w:val="22"/>
          <w:szCs w:val="22"/>
        </w:rPr>
      </w:pPr>
    </w:p>
    <w:p w14:paraId="21C8B9D9" w14:textId="3BF6856C" w:rsidR="001F5AD8" w:rsidRPr="001F5AD8" w:rsidRDefault="001F5AD8" w:rsidP="001F5AD8">
      <w:pPr>
        <w:pStyle w:val="tun-vod"/>
        <w:spacing w:before="0" w:after="0"/>
        <w:rPr>
          <w:rFonts w:ascii="Arial" w:hAnsi="Arial" w:cs="Arial"/>
          <w:b w:val="0"/>
          <w:sz w:val="22"/>
          <w:szCs w:val="22"/>
        </w:rPr>
      </w:pPr>
      <w:r w:rsidRPr="001F5AD8">
        <w:rPr>
          <w:rFonts w:ascii="Arial" w:hAnsi="Arial" w:cs="Arial"/>
          <w:b w:val="0"/>
          <w:sz w:val="22"/>
          <w:szCs w:val="22"/>
        </w:rPr>
        <w:t xml:space="preserve">Z hlediska členění podle oborů původců havárií (CZ-NACE) byla nejpočetnější sekce H – doprava a skladování s 28 případy (12,5 %). Následovaly havárie sekce A – zemědělství, lesnictví a rybářství s 21 případy (9,3 %), C – zpracovatelský průmysl s 18 případy (8 %) a havárie v sekci </w:t>
      </w:r>
      <w:r>
        <w:rPr>
          <w:rFonts w:ascii="Arial" w:hAnsi="Arial" w:cs="Arial"/>
          <w:b w:val="0"/>
          <w:sz w:val="22"/>
          <w:szCs w:val="22"/>
        </w:rPr>
        <w:br/>
      </w:r>
      <w:r w:rsidRPr="001F5AD8">
        <w:rPr>
          <w:rFonts w:ascii="Arial" w:hAnsi="Arial" w:cs="Arial"/>
          <w:b w:val="0"/>
          <w:sz w:val="22"/>
          <w:szCs w:val="22"/>
        </w:rPr>
        <w:lastRenderedPageBreak/>
        <w:t xml:space="preserve">E – zásobování vodou; činnosti související s odpady a sanacemi s 13 případy (5,8 %). Obor činnosti původce havárií nebylo možné zařadit u 110 havárií (49 %). </w:t>
      </w:r>
    </w:p>
    <w:p w14:paraId="23315010" w14:textId="77777777" w:rsidR="001F5AD8" w:rsidRDefault="001F5AD8" w:rsidP="001F5AD8">
      <w:pPr>
        <w:pStyle w:val="tun-vod"/>
        <w:spacing w:before="0" w:after="0"/>
        <w:rPr>
          <w:rFonts w:ascii="Arial" w:hAnsi="Arial" w:cs="Arial"/>
          <w:b w:val="0"/>
          <w:sz w:val="22"/>
          <w:szCs w:val="22"/>
        </w:rPr>
      </w:pPr>
    </w:p>
    <w:p w14:paraId="2C8E6FA2" w14:textId="0244C474" w:rsidR="001F5AD8" w:rsidRPr="001F5AD8" w:rsidRDefault="001F5AD8" w:rsidP="001F5AD8">
      <w:pPr>
        <w:pStyle w:val="tun-vod"/>
        <w:spacing w:before="0" w:after="0"/>
        <w:rPr>
          <w:rFonts w:ascii="Arial" w:hAnsi="Arial" w:cs="Arial"/>
          <w:b w:val="0"/>
          <w:sz w:val="22"/>
          <w:szCs w:val="22"/>
        </w:rPr>
      </w:pPr>
      <w:r w:rsidRPr="001F5AD8">
        <w:rPr>
          <w:rFonts w:ascii="Arial" w:hAnsi="Arial" w:cs="Arial"/>
          <w:b w:val="0"/>
          <w:sz w:val="22"/>
          <w:szCs w:val="22"/>
        </w:rPr>
        <w:t>ČIŽP v roce 2025 uložila za porušení právních předpisů v oblasti vodního hospodářství celkem 458 pokut, o 8 více než v roce 2024. Právní moci nabylo 420 pokut. Celková částka pokut z rozhodnutí, která nabyla právní moci v roce 2025 bez ohledu na datum jejich vydání, včetně rozhodnutí odvolacích orgánů, činila 21,74 mil. Kč, oproti roku 2024 se snížila o 2,67 mil. Kč.</w:t>
      </w:r>
    </w:p>
    <w:p w14:paraId="0FCD0380" w14:textId="77777777" w:rsidR="001F5AD8" w:rsidRDefault="001F5AD8" w:rsidP="001F5AD8">
      <w:pPr>
        <w:rPr>
          <w:highlight w:val="yellow"/>
        </w:rPr>
      </w:pPr>
    </w:p>
    <w:p w14:paraId="0ACB26E1" w14:textId="77777777" w:rsidR="001F5AD8" w:rsidRDefault="001F5AD8" w:rsidP="001F5AD8">
      <w:pPr>
        <w:rPr>
          <w:highlight w:val="yellow"/>
        </w:rPr>
      </w:pPr>
    </w:p>
    <w:p w14:paraId="308D602F" w14:textId="77777777" w:rsidR="001F5AD8" w:rsidRDefault="001F5AD8" w:rsidP="00A06722">
      <w:pPr>
        <w:rPr>
          <w:highlight w:val="yellow"/>
        </w:rPr>
      </w:pPr>
    </w:p>
    <w:p w14:paraId="0261AADC" w14:textId="77777777" w:rsidR="001F5AD8" w:rsidRPr="00104F7D" w:rsidRDefault="001F5AD8" w:rsidP="00A06722">
      <w:pPr>
        <w:rPr>
          <w:highlight w:val="yellow"/>
        </w:rPr>
      </w:pPr>
    </w:p>
    <w:p w14:paraId="71E67D07" w14:textId="01A44AEB" w:rsidR="00547C0E" w:rsidRPr="00094402" w:rsidRDefault="00BC6010">
      <w:pPr>
        <w:pStyle w:val="Nadpis1"/>
        <w:numPr>
          <w:ilvl w:val="0"/>
          <w:numId w:val="13"/>
        </w:numPr>
        <w:spacing w:before="0"/>
        <w:contextualSpacing/>
      </w:pPr>
      <w:r w:rsidRPr="00104F7D">
        <w:rPr>
          <w:color w:val="FF0000"/>
          <w:highlight w:val="yellow"/>
        </w:rPr>
        <w:br w:type="page"/>
      </w:r>
      <w:bookmarkStart w:id="47" w:name="_Toc10183419"/>
      <w:bookmarkStart w:id="48" w:name="_Toc236991623"/>
      <w:bookmarkStart w:id="49" w:name="_Hlk165022738"/>
      <w:bookmarkStart w:id="50" w:name="_Hlk168396409"/>
      <w:r w:rsidR="00547C0E" w:rsidRPr="00094402">
        <w:lastRenderedPageBreak/>
        <w:t>SPRÁVA VODNÍCH TOKŮ</w:t>
      </w:r>
      <w:bookmarkEnd w:id="47"/>
      <w:bookmarkEnd w:id="48"/>
    </w:p>
    <w:p w14:paraId="32577526" w14:textId="77777777" w:rsidR="004F3115" w:rsidRPr="00094402" w:rsidRDefault="004F3115" w:rsidP="004F3115">
      <w:pPr>
        <w:ind w:left="720"/>
      </w:pPr>
    </w:p>
    <w:p w14:paraId="6035F32B" w14:textId="77777777" w:rsidR="004F3115" w:rsidRPr="00094402" w:rsidRDefault="00547C0E">
      <w:pPr>
        <w:pStyle w:val="Nadpis2"/>
        <w:numPr>
          <w:ilvl w:val="1"/>
          <w:numId w:val="13"/>
        </w:numPr>
        <w:spacing w:before="0"/>
        <w:contextualSpacing/>
      </w:pPr>
      <w:bookmarkStart w:id="51" w:name="_Toc10183420"/>
      <w:bookmarkStart w:id="52" w:name="_Toc236991624"/>
      <w:r w:rsidRPr="00094402">
        <w:t>Odborná správa vodních toků</w:t>
      </w:r>
      <w:bookmarkEnd w:id="51"/>
      <w:bookmarkEnd w:id="52"/>
    </w:p>
    <w:p w14:paraId="10BE9396" w14:textId="77777777" w:rsidR="003A5ED5" w:rsidRPr="00094402" w:rsidRDefault="003A5ED5" w:rsidP="007C4955">
      <w:pPr>
        <w:contextualSpacing/>
        <w:rPr>
          <w:rFonts w:cs="Arial"/>
          <w:b/>
        </w:rPr>
      </w:pPr>
    </w:p>
    <w:p w14:paraId="7A30A899" w14:textId="77777777" w:rsidR="005C3DF4" w:rsidRPr="00094402" w:rsidRDefault="00B01290" w:rsidP="007C4955">
      <w:pPr>
        <w:contextualSpacing/>
        <w:rPr>
          <w:rFonts w:cs="Arial"/>
          <w:b/>
        </w:rPr>
      </w:pPr>
      <w:r w:rsidRPr="00094402">
        <w:rPr>
          <w:rFonts w:cs="Arial"/>
          <w:b/>
        </w:rPr>
        <w:t xml:space="preserve">Vnitrozemská poloha </w:t>
      </w:r>
      <w:r w:rsidR="005C3DF4" w:rsidRPr="00094402">
        <w:rPr>
          <w:rFonts w:cs="Arial"/>
          <w:b/>
        </w:rPr>
        <w:t xml:space="preserve">v srdci střední Evropy předurčuje vztah </w:t>
      </w:r>
      <w:r w:rsidRPr="00094402">
        <w:rPr>
          <w:rFonts w:cs="Arial"/>
          <w:b/>
        </w:rPr>
        <w:t xml:space="preserve">České republiky </w:t>
      </w:r>
      <w:r w:rsidR="005C3DF4" w:rsidRPr="00094402">
        <w:rPr>
          <w:rFonts w:cs="Arial"/>
          <w:b/>
        </w:rPr>
        <w:t xml:space="preserve">k evropské říční síti. Základní hydrografickou síť tvoří téměř 100 tisíc km vodních toků s přirozenými i upravenými koryty. </w:t>
      </w:r>
      <w:r w:rsidRPr="00094402">
        <w:rPr>
          <w:rFonts w:cs="Arial"/>
          <w:b/>
        </w:rPr>
        <w:t xml:space="preserve">Vodní </w:t>
      </w:r>
      <w:r w:rsidR="005C3DF4" w:rsidRPr="00094402">
        <w:rPr>
          <w:rFonts w:cs="Arial"/>
          <w:b/>
        </w:rPr>
        <w:t xml:space="preserve">toky České republiky </w:t>
      </w:r>
      <w:r w:rsidRPr="00094402">
        <w:rPr>
          <w:rFonts w:cs="Arial"/>
          <w:b/>
        </w:rPr>
        <w:t xml:space="preserve">se podle vodního zákona dělí </w:t>
      </w:r>
      <w:r w:rsidR="005C3DF4" w:rsidRPr="00094402">
        <w:rPr>
          <w:rFonts w:cs="Arial"/>
          <w:b/>
        </w:rPr>
        <w:t xml:space="preserve">na významné a drobné, jejich odborná správa probíhá v souladu s ustanovením § 47 vodního zákona. </w:t>
      </w:r>
    </w:p>
    <w:p w14:paraId="37C0DDE2" w14:textId="77777777" w:rsidR="003A5ED5" w:rsidRPr="00104F7D" w:rsidRDefault="003A5ED5" w:rsidP="007C4955">
      <w:pPr>
        <w:contextualSpacing/>
        <w:rPr>
          <w:rFonts w:cs="Arial"/>
          <w:highlight w:val="yellow"/>
        </w:rPr>
      </w:pPr>
    </w:p>
    <w:p w14:paraId="7D0CFAF1" w14:textId="57214F93" w:rsidR="005109CB" w:rsidRPr="00205C76" w:rsidRDefault="005109CB" w:rsidP="007C4955">
      <w:pPr>
        <w:contextualSpacing/>
        <w:rPr>
          <w:rFonts w:cs="Arial"/>
        </w:rPr>
      </w:pPr>
      <w:r w:rsidRPr="00205C76">
        <w:rPr>
          <w:rFonts w:cs="Arial"/>
        </w:rPr>
        <w:t xml:space="preserve">Významnými správci vodních toků v působnosti MZe jsou státní podniky Povodí – Povodí Labe, státní podnik, Povodí Moravy, </w:t>
      </w:r>
      <w:proofErr w:type="spellStart"/>
      <w:r w:rsidRPr="00205C76">
        <w:rPr>
          <w:rFonts w:cs="Arial"/>
        </w:rPr>
        <w:t>s.p</w:t>
      </w:r>
      <w:proofErr w:type="spellEnd"/>
      <w:r w:rsidRPr="00205C76">
        <w:rPr>
          <w:rFonts w:cs="Arial"/>
        </w:rPr>
        <w:t xml:space="preserve">., Povodí Odry, státní podnik, Povodí Ohře, státní podnik, Povodí Vltavy, státní podnik – a státní podnik Lesy České republiky, (dále </w:t>
      </w:r>
      <w:r w:rsidR="00683820" w:rsidRPr="00205C76">
        <w:rPr>
          <w:rFonts w:cs="Arial"/>
        </w:rPr>
        <w:t xml:space="preserve">též </w:t>
      </w:r>
      <w:r w:rsidRPr="00205C76">
        <w:rPr>
          <w:rFonts w:cs="Arial"/>
        </w:rPr>
        <w:t>„LČR“). Tito správci zajišťují správu 9</w:t>
      </w:r>
      <w:r w:rsidR="000943A9" w:rsidRPr="00205C76">
        <w:rPr>
          <w:rFonts w:cs="Arial"/>
        </w:rPr>
        <w:t>4,</w:t>
      </w:r>
      <w:r w:rsidR="00B0626D" w:rsidRPr="00205C76">
        <w:rPr>
          <w:rFonts w:cs="Arial"/>
        </w:rPr>
        <w:t>4</w:t>
      </w:r>
      <w:r w:rsidRPr="00205C76">
        <w:rPr>
          <w:rFonts w:cs="Arial"/>
        </w:rPr>
        <w:t xml:space="preserve"> % celkové délky vodních toků v ČR. Zbývajících </w:t>
      </w:r>
      <w:r w:rsidR="00474183" w:rsidRPr="00205C76">
        <w:rPr>
          <w:rFonts w:cs="Arial"/>
        </w:rPr>
        <w:t>5</w:t>
      </w:r>
      <w:r w:rsidR="000943A9" w:rsidRPr="00205C76">
        <w:rPr>
          <w:rFonts w:cs="Arial"/>
        </w:rPr>
        <w:t>,</w:t>
      </w:r>
      <w:r w:rsidR="00B0626D" w:rsidRPr="00205C76">
        <w:rPr>
          <w:rFonts w:cs="Arial"/>
        </w:rPr>
        <w:t>6</w:t>
      </w:r>
      <w:r w:rsidRPr="00205C76">
        <w:rPr>
          <w:rFonts w:cs="Arial"/>
        </w:rPr>
        <w:t xml:space="preserve"> % délky vodních toků spravují ostatní správci (Ministerstvo obrany, správy národních parků, obce, ostatní fyzické a právnické osoby). </w:t>
      </w:r>
    </w:p>
    <w:p w14:paraId="7603F991" w14:textId="77777777" w:rsidR="0070423C" w:rsidRPr="00104F7D" w:rsidRDefault="0070423C" w:rsidP="007C4955">
      <w:pPr>
        <w:contextualSpacing/>
        <w:rPr>
          <w:b/>
          <w:i/>
          <w:color w:val="FF0000"/>
          <w:highlight w:val="yellow"/>
        </w:rPr>
      </w:pPr>
      <w:bookmarkStart w:id="53" w:name="_Toc482564942"/>
    </w:p>
    <w:p w14:paraId="118A1FFF" w14:textId="77777777" w:rsidR="005C3DF4" w:rsidRPr="00CB0C07" w:rsidRDefault="005C3DF4" w:rsidP="007C4955">
      <w:pPr>
        <w:contextualSpacing/>
        <w:rPr>
          <w:b/>
          <w:i/>
        </w:rPr>
      </w:pPr>
      <w:r w:rsidRPr="00CB0C07">
        <w:rPr>
          <w:b/>
          <w:i/>
        </w:rPr>
        <w:t>Tabulka 6.1.1</w:t>
      </w:r>
      <w:bookmarkEnd w:id="53"/>
      <w:r w:rsidRPr="00CB0C07">
        <w:rPr>
          <w:b/>
          <w:i/>
        </w:rPr>
        <w:t xml:space="preserve"> </w:t>
      </w:r>
    </w:p>
    <w:p w14:paraId="7AFA37E6" w14:textId="77777777" w:rsidR="005C3DF4" w:rsidRPr="00CB0C07" w:rsidRDefault="005C3DF4" w:rsidP="007C4955">
      <w:pPr>
        <w:contextualSpacing/>
        <w:rPr>
          <w:b/>
          <w:i/>
        </w:rPr>
      </w:pPr>
      <w:bookmarkStart w:id="54" w:name="_Toc482564943"/>
      <w:r w:rsidRPr="00CB0C07">
        <w:rPr>
          <w:b/>
          <w:i/>
        </w:rPr>
        <w:t>Odborná správa vodních toků</w:t>
      </w:r>
      <w:bookmarkEnd w:id="54"/>
    </w:p>
    <w:tbl>
      <w:tblPr>
        <w:tblW w:w="979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9"/>
        <w:gridCol w:w="4740"/>
        <w:gridCol w:w="1913"/>
        <w:gridCol w:w="1914"/>
      </w:tblGrid>
      <w:tr w:rsidR="00AF262A" w:rsidRPr="00CB0C07" w14:paraId="2FE2A72A" w14:textId="77777777" w:rsidTr="000943A9">
        <w:trPr>
          <w:trHeight w:val="20"/>
        </w:trPr>
        <w:tc>
          <w:tcPr>
            <w:tcW w:w="1229" w:type="dxa"/>
            <w:vMerge w:val="restart"/>
            <w:shd w:val="clear" w:color="auto" w:fill="BFBFBF"/>
            <w:vAlign w:val="center"/>
            <w:hideMark/>
          </w:tcPr>
          <w:p w14:paraId="6C3F7095" w14:textId="77777777" w:rsidR="005C3DF4" w:rsidRPr="00CB0C07" w:rsidRDefault="005C3DF4" w:rsidP="007C4955">
            <w:pPr>
              <w:contextualSpacing/>
              <w:rPr>
                <w:rFonts w:cs="Arial"/>
                <w:b/>
                <w:bCs/>
                <w:sz w:val="18"/>
                <w:szCs w:val="18"/>
              </w:rPr>
            </w:pPr>
            <w:r w:rsidRPr="00CB0C07">
              <w:rPr>
                <w:rFonts w:cs="Arial"/>
                <w:b/>
                <w:bCs/>
                <w:sz w:val="18"/>
                <w:szCs w:val="18"/>
              </w:rPr>
              <w:t>Kategorie</w:t>
            </w:r>
          </w:p>
        </w:tc>
        <w:tc>
          <w:tcPr>
            <w:tcW w:w="4740" w:type="dxa"/>
            <w:vMerge w:val="restart"/>
            <w:shd w:val="clear" w:color="auto" w:fill="BFBFBF"/>
            <w:vAlign w:val="center"/>
            <w:hideMark/>
          </w:tcPr>
          <w:p w14:paraId="58CEF20C" w14:textId="77777777" w:rsidR="005C3DF4" w:rsidRPr="00CB0C07" w:rsidRDefault="005C3DF4" w:rsidP="007C4955">
            <w:pPr>
              <w:contextualSpacing/>
              <w:jc w:val="center"/>
              <w:rPr>
                <w:rFonts w:cs="Arial"/>
                <w:b/>
                <w:bCs/>
                <w:sz w:val="18"/>
                <w:szCs w:val="18"/>
              </w:rPr>
            </w:pPr>
            <w:r w:rsidRPr="00CB0C07">
              <w:rPr>
                <w:rFonts w:cs="Arial"/>
                <w:b/>
                <w:bCs/>
                <w:sz w:val="18"/>
                <w:szCs w:val="18"/>
              </w:rPr>
              <w:t>Správce</w:t>
            </w:r>
          </w:p>
        </w:tc>
        <w:tc>
          <w:tcPr>
            <w:tcW w:w="3827" w:type="dxa"/>
            <w:gridSpan w:val="2"/>
            <w:shd w:val="clear" w:color="auto" w:fill="BFBFBF"/>
            <w:vAlign w:val="center"/>
            <w:hideMark/>
          </w:tcPr>
          <w:p w14:paraId="1628A22F" w14:textId="77777777" w:rsidR="005C3DF4" w:rsidRPr="00CB0C07" w:rsidRDefault="005C3DF4" w:rsidP="007C4955">
            <w:pPr>
              <w:contextualSpacing/>
              <w:jc w:val="center"/>
              <w:rPr>
                <w:rFonts w:cs="Arial"/>
                <w:b/>
                <w:bCs/>
                <w:sz w:val="18"/>
                <w:szCs w:val="18"/>
              </w:rPr>
            </w:pPr>
            <w:r w:rsidRPr="00CB0C07">
              <w:rPr>
                <w:rFonts w:cs="Arial"/>
                <w:b/>
                <w:bCs/>
                <w:sz w:val="18"/>
                <w:szCs w:val="18"/>
              </w:rPr>
              <w:t>Délka vodních toků (km)</w:t>
            </w:r>
          </w:p>
        </w:tc>
      </w:tr>
      <w:tr w:rsidR="00AF262A" w:rsidRPr="00CB0C07" w14:paraId="3CE5B24C" w14:textId="77777777" w:rsidTr="000943A9">
        <w:trPr>
          <w:trHeight w:val="20"/>
        </w:trPr>
        <w:tc>
          <w:tcPr>
            <w:tcW w:w="1229" w:type="dxa"/>
            <w:vMerge/>
            <w:shd w:val="clear" w:color="auto" w:fill="BFBFBF"/>
            <w:vAlign w:val="center"/>
            <w:hideMark/>
          </w:tcPr>
          <w:p w14:paraId="2533B1AE" w14:textId="77777777" w:rsidR="000943A9" w:rsidRPr="00CB0C07" w:rsidRDefault="000943A9" w:rsidP="000943A9">
            <w:pPr>
              <w:contextualSpacing/>
              <w:rPr>
                <w:rFonts w:cs="Arial"/>
                <w:b/>
                <w:bCs/>
                <w:sz w:val="18"/>
                <w:szCs w:val="18"/>
              </w:rPr>
            </w:pPr>
          </w:p>
        </w:tc>
        <w:tc>
          <w:tcPr>
            <w:tcW w:w="4740" w:type="dxa"/>
            <w:vMerge/>
            <w:shd w:val="clear" w:color="auto" w:fill="BFBFBF"/>
            <w:vAlign w:val="center"/>
            <w:hideMark/>
          </w:tcPr>
          <w:p w14:paraId="4B341543" w14:textId="77777777" w:rsidR="000943A9" w:rsidRPr="00CB0C07" w:rsidRDefault="000943A9" w:rsidP="000943A9">
            <w:pPr>
              <w:contextualSpacing/>
              <w:jc w:val="center"/>
              <w:rPr>
                <w:rFonts w:cs="Arial"/>
                <w:b/>
                <w:bCs/>
                <w:sz w:val="18"/>
                <w:szCs w:val="18"/>
              </w:rPr>
            </w:pPr>
          </w:p>
        </w:tc>
        <w:tc>
          <w:tcPr>
            <w:tcW w:w="1913" w:type="dxa"/>
            <w:shd w:val="clear" w:color="auto" w:fill="BFBFBF"/>
            <w:vAlign w:val="center"/>
            <w:hideMark/>
          </w:tcPr>
          <w:p w14:paraId="282075E5" w14:textId="78AB1775" w:rsidR="000943A9" w:rsidRPr="00CB0C07" w:rsidRDefault="000943A9" w:rsidP="000943A9">
            <w:pPr>
              <w:contextualSpacing/>
              <w:jc w:val="center"/>
              <w:rPr>
                <w:rFonts w:cs="Arial"/>
                <w:b/>
                <w:bCs/>
                <w:sz w:val="18"/>
                <w:szCs w:val="18"/>
              </w:rPr>
            </w:pPr>
            <w:r w:rsidRPr="00CB0C07">
              <w:rPr>
                <w:rFonts w:cs="Arial"/>
                <w:b/>
                <w:bCs/>
                <w:sz w:val="18"/>
                <w:szCs w:val="18"/>
              </w:rPr>
              <w:t>202</w:t>
            </w:r>
            <w:r w:rsidR="00F47FE5" w:rsidRPr="00CB0C07">
              <w:rPr>
                <w:rFonts w:cs="Arial"/>
                <w:b/>
                <w:bCs/>
                <w:sz w:val="18"/>
                <w:szCs w:val="18"/>
              </w:rPr>
              <w:t>4</w:t>
            </w:r>
          </w:p>
        </w:tc>
        <w:tc>
          <w:tcPr>
            <w:tcW w:w="1914" w:type="dxa"/>
            <w:shd w:val="clear" w:color="auto" w:fill="BFBFBF"/>
            <w:vAlign w:val="center"/>
            <w:hideMark/>
          </w:tcPr>
          <w:p w14:paraId="0057A1C5" w14:textId="32BCDF94" w:rsidR="000943A9" w:rsidRPr="00CB0C07" w:rsidRDefault="000943A9" w:rsidP="000943A9">
            <w:pPr>
              <w:contextualSpacing/>
              <w:jc w:val="center"/>
              <w:rPr>
                <w:rFonts w:cs="Arial"/>
                <w:b/>
                <w:bCs/>
                <w:sz w:val="18"/>
                <w:szCs w:val="18"/>
              </w:rPr>
            </w:pPr>
            <w:r w:rsidRPr="00CB0C07">
              <w:rPr>
                <w:rFonts w:cs="Arial"/>
                <w:b/>
                <w:bCs/>
                <w:sz w:val="18"/>
                <w:szCs w:val="18"/>
              </w:rPr>
              <w:t>202</w:t>
            </w:r>
            <w:r w:rsidR="00F47FE5" w:rsidRPr="00CB0C07">
              <w:rPr>
                <w:rFonts w:cs="Arial"/>
                <w:b/>
                <w:bCs/>
                <w:sz w:val="18"/>
                <w:szCs w:val="18"/>
              </w:rPr>
              <w:t>5</w:t>
            </w:r>
          </w:p>
        </w:tc>
      </w:tr>
      <w:tr w:rsidR="00CB0C07" w:rsidRPr="00CB0C07" w14:paraId="4B72A6CC" w14:textId="77777777" w:rsidTr="00EC1043">
        <w:trPr>
          <w:trHeight w:val="20"/>
        </w:trPr>
        <w:tc>
          <w:tcPr>
            <w:tcW w:w="1229" w:type="dxa"/>
            <w:vMerge w:val="restart"/>
            <w:shd w:val="clear" w:color="auto" w:fill="BFBFBF"/>
            <w:vAlign w:val="center"/>
            <w:hideMark/>
          </w:tcPr>
          <w:p w14:paraId="52F5DC23" w14:textId="77777777" w:rsidR="00CB0C07" w:rsidRPr="00CB0C07" w:rsidRDefault="00CB0C07" w:rsidP="00CB0C07">
            <w:pPr>
              <w:contextualSpacing/>
              <w:rPr>
                <w:rFonts w:cs="Arial"/>
                <w:b/>
                <w:bCs/>
                <w:sz w:val="18"/>
                <w:szCs w:val="18"/>
              </w:rPr>
            </w:pPr>
            <w:r w:rsidRPr="00CB0C07">
              <w:rPr>
                <w:rFonts w:cs="Arial"/>
                <w:b/>
                <w:bCs/>
                <w:sz w:val="18"/>
                <w:szCs w:val="18"/>
              </w:rPr>
              <w:t>Významné vodní toky</w:t>
            </w:r>
          </w:p>
        </w:tc>
        <w:tc>
          <w:tcPr>
            <w:tcW w:w="4740" w:type="dxa"/>
            <w:vAlign w:val="center"/>
            <w:hideMark/>
          </w:tcPr>
          <w:p w14:paraId="3D0AFA5D" w14:textId="77777777" w:rsidR="00CB0C07" w:rsidRPr="00C3345A" w:rsidRDefault="00CB0C07" w:rsidP="00CB0C07">
            <w:pPr>
              <w:contextualSpacing/>
              <w:rPr>
                <w:rFonts w:cs="Arial"/>
                <w:sz w:val="20"/>
                <w:szCs w:val="20"/>
              </w:rPr>
            </w:pPr>
            <w:r w:rsidRPr="00C3345A">
              <w:rPr>
                <w:rFonts w:cs="Arial"/>
                <w:sz w:val="20"/>
                <w:szCs w:val="20"/>
              </w:rPr>
              <w:t>Povodí Labe</w:t>
            </w:r>
          </w:p>
        </w:tc>
        <w:tc>
          <w:tcPr>
            <w:tcW w:w="1913" w:type="dxa"/>
            <w:vAlign w:val="bottom"/>
          </w:tcPr>
          <w:p w14:paraId="69339ED8" w14:textId="7C725744" w:rsidR="00CB0C07" w:rsidRPr="00C3345A" w:rsidRDefault="00CB0C07" w:rsidP="00CB0C07">
            <w:pPr>
              <w:ind w:right="494"/>
              <w:contextualSpacing/>
              <w:jc w:val="right"/>
              <w:rPr>
                <w:rFonts w:cs="Arial"/>
                <w:sz w:val="20"/>
                <w:szCs w:val="20"/>
              </w:rPr>
            </w:pPr>
            <w:r w:rsidRPr="00C3345A">
              <w:rPr>
                <w:rFonts w:cs="Arial"/>
                <w:color w:val="000000"/>
                <w:sz w:val="20"/>
                <w:szCs w:val="20"/>
              </w:rPr>
              <w:t>3</w:t>
            </w:r>
            <w:r w:rsidR="004B32DC" w:rsidRPr="00C3345A">
              <w:rPr>
                <w:rFonts w:cs="Arial"/>
                <w:color w:val="000000"/>
                <w:sz w:val="20"/>
                <w:szCs w:val="20"/>
              </w:rPr>
              <w:t xml:space="preserve"> </w:t>
            </w:r>
            <w:r w:rsidRPr="00C3345A">
              <w:rPr>
                <w:rFonts w:cs="Arial"/>
                <w:color w:val="000000"/>
                <w:sz w:val="20"/>
                <w:szCs w:val="20"/>
              </w:rPr>
              <w:t>640</w:t>
            </w:r>
          </w:p>
        </w:tc>
        <w:tc>
          <w:tcPr>
            <w:tcW w:w="1914" w:type="dxa"/>
            <w:vAlign w:val="bottom"/>
          </w:tcPr>
          <w:p w14:paraId="7C61B53C" w14:textId="498AC250" w:rsidR="00CB0C07" w:rsidRPr="00C3345A" w:rsidRDefault="00CB0C07" w:rsidP="00CB0C07">
            <w:pPr>
              <w:ind w:right="780"/>
              <w:contextualSpacing/>
              <w:jc w:val="right"/>
              <w:rPr>
                <w:rFonts w:cs="Arial"/>
                <w:sz w:val="20"/>
                <w:szCs w:val="20"/>
              </w:rPr>
            </w:pPr>
            <w:r w:rsidRPr="00C3345A">
              <w:rPr>
                <w:rFonts w:cs="Arial"/>
                <w:color w:val="000000"/>
                <w:sz w:val="20"/>
                <w:szCs w:val="20"/>
              </w:rPr>
              <w:t>3</w:t>
            </w:r>
            <w:r w:rsidR="004B32DC" w:rsidRPr="00C3345A">
              <w:rPr>
                <w:rFonts w:cs="Arial"/>
                <w:color w:val="000000"/>
                <w:sz w:val="20"/>
                <w:szCs w:val="20"/>
              </w:rPr>
              <w:t xml:space="preserve"> </w:t>
            </w:r>
            <w:r w:rsidRPr="00C3345A">
              <w:rPr>
                <w:rFonts w:cs="Arial"/>
                <w:color w:val="000000"/>
                <w:sz w:val="20"/>
                <w:szCs w:val="20"/>
              </w:rPr>
              <w:t>640</w:t>
            </w:r>
          </w:p>
        </w:tc>
      </w:tr>
      <w:tr w:rsidR="00CB0C07" w:rsidRPr="00CB0C07" w14:paraId="73D45D39" w14:textId="77777777" w:rsidTr="00EC1043">
        <w:trPr>
          <w:trHeight w:val="20"/>
        </w:trPr>
        <w:tc>
          <w:tcPr>
            <w:tcW w:w="1229" w:type="dxa"/>
            <w:vMerge/>
            <w:shd w:val="clear" w:color="auto" w:fill="BFBFBF"/>
            <w:vAlign w:val="center"/>
            <w:hideMark/>
          </w:tcPr>
          <w:p w14:paraId="0875BE73" w14:textId="77777777" w:rsidR="00CB0C07" w:rsidRPr="00CB0C07" w:rsidRDefault="00CB0C07" w:rsidP="00CB0C07">
            <w:pPr>
              <w:contextualSpacing/>
              <w:rPr>
                <w:rFonts w:cs="Arial"/>
                <w:b/>
                <w:bCs/>
                <w:sz w:val="18"/>
                <w:szCs w:val="18"/>
              </w:rPr>
            </w:pPr>
          </w:p>
        </w:tc>
        <w:tc>
          <w:tcPr>
            <w:tcW w:w="4740" w:type="dxa"/>
            <w:vAlign w:val="center"/>
            <w:hideMark/>
          </w:tcPr>
          <w:p w14:paraId="2817E931" w14:textId="77777777" w:rsidR="00CB0C07" w:rsidRPr="00C3345A" w:rsidRDefault="00CB0C07" w:rsidP="00CB0C07">
            <w:pPr>
              <w:contextualSpacing/>
              <w:rPr>
                <w:rFonts w:cs="Arial"/>
                <w:sz w:val="20"/>
                <w:szCs w:val="20"/>
              </w:rPr>
            </w:pPr>
            <w:r w:rsidRPr="00C3345A">
              <w:rPr>
                <w:rFonts w:cs="Arial"/>
                <w:sz w:val="20"/>
                <w:szCs w:val="20"/>
              </w:rPr>
              <w:t>Povodí Vltavy</w:t>
            </w:r>
          </w:p>
        </w:tc>
        <w:tc>
          <w:tcPr>
            <w:tcW w:w="1913" w:type="dxa"/>
            <w:vAlign w:val="bottom"/>
          </w:tcPr>
          <w:p w14:paraId="3859C51B" w14:textId="7BD02D9A" w:rsidR="00CB0C07" w:rsidRPr="00C3345A" w:rsidRDefault="00CB0C07" w:rsidP="00CB0C07">
            <w:pPr>
              <w:ind w:right="494"/>
              <w:contextualSpacing/>
              <w:jc w:val="right"/>
              <w:rPr>
                <w:rFonts w:cs="Arial"/>
                <w:sz w:val="20"/>
                <w:szCs w:val="20"/>
              </w:rPr>
            </w:pPr>
            <w:r w:rsidRPr="00C3345A">
              <w:rPr>
                <w:rFonts w:cs="Arial"/>
                <w:color w:val="000000"/>
                <w:sz w:val="20"/>
                <w:szCs w:val="20"/>
              </w:rPr>
              <w:t>5</w:t>
            </w:r>
            <w:r w:rsidR="004B32DC" w:rsidRPr="00C3345A">
              <w:rPr>
                <w:rFonts w:cs="Arial"/>
                <w:color w:val="000000"/>
                <w:sz w:val="20"/>
                <w:szCs w:val="20"/>
              </w:rPr>
              <w:t xml:space="preserve"> </w:t>
            </w:r>
            <w:r w:rsidRPr="00C3345A">
              <w:rPr>
                <w:rFonts w:cs="Arial"/>
                <w:color w:val="000000"/>
                <w:sz w:val="20"/>
                <w:szCs w:val="20"/>
              </w:rPr>
              <w:t>551</w:t>
            </w:r>
          </w:p>
        </w:tc>
        <w:tc>
          <w:tcPr>
            <w:tcW w:w="1914" w:type="dxa"/>
            <w:vAlign w:val="bottom"/>
          </w:tcPr>
          <w:p w14:paraId="66EB8183" w14:textId="6B4D6594" w:rsidR="00CB0C07" w:rsidRPr="00C3345A" w:rsidRDefault="00CB0C07" w:rsidP="00CB0C07">
            <w:pPr>
              <w:ind w:right="780"/>
              <w:contextualSpacing/>
              <w:jc w:val="right"/>
              <w:rPr>
                <w:rFonts w:cs="Arial"/>
                <w:sz w:val="20"/>
                <w:szCs w:val="20"/>
              </w:rPr>
            </w:pPr>
            <w:r w:rsidRPr="00C3345A">
              <w:rPr>
                <w:rFonts w:cs="Arial"/>
                <w:color w:val="000000"/>
                <w:sz w:val="20"/>
                <w:szCs w:val="20"/>
              </w:rPr>
              <w:t>5</w:t>
            </w:r>
            <w:r w:rsidR="004B32DC" w:rsidRPr="00C3345A">
              <w:rPr>
                <w:rFonts w:cs="Arial"/>
                <w:color w:val="000000"/>
                <w:sz w:val="20"/>
                <w:szCs w:val="20"/>
              </w:rPr>
              <w:t xml:space="preserve"> </w:t>
            </w:r>
            <w:r w:rsidRPr="00C3345A">
              <w:rPr>
                <w:rFonts w:cs="Arial"/>
                <w:color w:val="000000"/>
                <w:sz w:val="20"/>
                <w:szCs w:val="20"/>
              </w:rPr>
              <w:t>551</w:t>
            </w:r>
          </w:p>
        </w:tc>
      </w:tr>
      <w:tr w:rsidR="00CB0C07" w:rsidRPr="00CB0C07" w14:paraId="32CFF542" w14:textId="77777777" w:rsidTr="00EC1043">
        <w:trPr>
          <w:trHeight w:val="20"/>
        </w:trPr>
        <w:tc>
          <w:tcPr>
            <w:tcW w:w="1229" w:type="dxa"/>
            <w:vMerge/>
            <w:shd w:val="clear" w:color="auto" w:fill="BFBFBF"/>
            <w:vAlign w:val="center"/>
            <w:hideMark/>
          </w:tcPr>
          <w:p w14:paraId="35093D5B" w14:textId="77777777" w:rsidR="00CB0C07" w:rsidRPr="00CB0C07" w:rsidRDefault="00CB0C07" w:rsidP="00CB0C07">
            <w:pPr>
              <w:contextualSpacing/>
              <w:rPr>
                <w:rFonts w:cs="Arial"/>
                <w:b/>
                <w:bCs/>
                <w:sz w:val="18"/>
                <w:szCs w:val="18"/>
              </w:rPr>
            </w:pPr>
          </w:p>
        </w:tc>
        <w:tc>
          <w:tcPr>
            <w:tcW w:w="4740" w:type="dxa"/>
            <w:vAlign w:val="center"/>
            <w:hideMark/>
          </w:tcPr>
          <w:p w14:paraId="3E83AA65" w14:textId="77777777" w:rsidR="00CB0C07" w:rsidRPr="00C3345A" w:rsidRDefault="00CB0C07" w:rsidP="00CB0C07">
            <w:pPr>
              <w:contextualSpacing/>
              <w:rPr>
                <w:rFonts w:cs="Arial"/>
                <w:sz w:val="20"/>
                <w:szCs w:val="20"/>
              </w:rPr>
            </w:pPr>
            <w:r w:rsidRPr="00C3345A">
              <w:rPr>
                <w:rFonts w:cs="Arial"/>
                <w:sz w:val="20"/>
                <w:szCs w:val="20"/>
              </w:rPr>
              <w:t>Povodí Ohře</w:t>
            </w:r>
          </w:p>
        </w:tc>
        <w:tc>
          <w:tcPr>
            <w:tcW w:w="1913" w:type="dxa"/>
            <w:vAlign w:val="bottom"/>
          </w:tcPr>
          <w:p w14:paraId="5C2CB277" w14:textId="7C3441E0" w:rsidR="00CB0C07" w:rsidRPr="00C3345A" w:rsidRDefault="00CB0C07" w:rsidP="00CB0C07">
            <w:pPr>
              <w:ind w:right="494"/>
              <w:contextualSpacing/>
              <w:jc w:val="right"/>
              <w:rPr>
                <w:rFonts w:cs="Arial"/>
                <w:sz w:val="20"/>
                <w:szCs w:val="20"/>
              </w:rPr>
            </w:pPr>
            <w:r w:rsidRPr="00C3345A">
              <w:rPr>
                <w:rFonts w:cs="Arial"/>
                <w:color w:val="000000"/>
                <w:sz w:val="20"/>
                <w:szCs w:val="20"/>
              </w:rPr>
              <w:t>2</w:t>
            </w:r>
            <w:r w:rsidR="004B32DC" w:rsidRPr="00C3345A">
              <w:rPr>
                <w:rFonts w:cs="Arial"/>
                <w:color w:val="000000"/>
                <w:sz w:val="20"/>
                <w:szCs w:val="20"/>
              </w:rPr>
              <w:t xml:space="preserve"> </w:t>
            </w:r>
            <w:r w:rsidRPr="00C3345A">
              <w:rPr>
                <w:rFonts w:cs="Arial"/>
                <w:color w:val="000000"/>
                <w:sz w:val="20"/>
                <w:szCs w:val="20"/>
              </w:rPr>
              <w:t>377</w:t>
            </w:r>
          </w:p>
        </w:tc>
        <w:tc>
          <w:tcPr>
            <w:tcW w:w="1914" w:type="dxa"/>
            <w:vAlign w:val="bottom"/>
          </w:tcPr>
          <w:p w14:paraId="39C76DE6" w14:textId="133EDBE6" w:rsidR="00CB0C07" w:rsidRPr="00C3345A" w:rsidRDefault="00CB0C07" w:rsidP="00CB0C07">
            <w:pPr>
              <w:ind w:right="780"/>
              <w:contextualSpacing/>
              <w:jc w:val="right"/>
              <w:rPr>
                <w:rFonts w:cs="Arial"/>
                <w:sz w:val="20"/>
                <w:szCs w:val="20"/>
              </w:rPr>
            </w:pPr>
            <w:r w:rsidRPr="00C3345A">
              <w:rPr>
                <w:rFonts w:cs="Arial"/>
                <w:color w:val="000000"/>
                <w:sz w:val="20"/>
                <w:szCs w:val="20"/>
              </w:rPr>
              <w:t>2</w:t>
            </w:r>
            <w:r w:rsidR="004B32DC" w:rsidRPr="00C3345A">
              <w:rPr>
                <w:rFonts w:cs="Arial"/>
                <w:color w:val="000000"/>
                <w:sz w:val="20"/>
                <w:szCs w:val="20"/>
              </w:rPr>
              <w:t xml:space="preserve"> </w:t>
            </w:r>
            <w:r w:rsidRPr="00C3345A">
              <w:rPr>
                <w:rFonts w:cs="Arial"/>
                <w:color w:val="000000"/>
                <w:sz w:val="20"/>
                <w:szCs w:val="20"/>
              </w:rPr>
              <w:t>377</w:t>
            </w:r>
          </w:p>
        </w:tc>
      </w:tr>
      <w:tr w:rsidR="00CB0C07" w:rsidRPr="00CB0C07" w14:paraId="6C18D9B9" w14:textId="77777777" w:rsidTr="00EC1043">
        <w:trPr>
          <w:trHeight w:val="20"/>
        </w:trPr>
        <w:tc>
          <w:tcPr>
            <w:tcW w:w="1229" w:type="dxa"/>
            <w:vMerge/>
            <w:shd w:val="clear" w:color="auto" w:fill="BFBFBF"/>
            <w:vAlign w:val="center"/>
            <w:hideMark/>
          </w:tcPr>
          <w:p w14:paraId="6F00C39C" w14:textId="77777777" w:rsidR="00CB0C07" w:rsidRPr="00CB0C07" w:rsidRDefault="00CB0C07" w:rsidP="00CB0C07">
            <w:pPr>
              <w:contextualSpacing/>
              <w:rPr>
                <w:rFonts w:cs="Arial"/>
                <w:b/>
                <w:bCs/>
                <w:sz w:val="18"/>
                <w:szCs w:val="18"/>
              </w:rPr>
            </w:pPr>
          </w:p>
        </w:tc>
        <w:tc>
          <w:tcPr>
            <w:tcW w:w="4740" w:type="dxa"/>
            <w:vAlign w:val="center"/>
            <w:hideMark/>
          </w:tcPr>
          <w:p w14:paraId="0B5D2153" w14:textId="77777777" w:rsidR="00CB0C07" w:rsidRPr="00C3345A" w:rsidRDefault="00CB0C07" w:rsidP="00CB0C07">
            <w:pPr>
              <w:contextualSpacing/>
              <w:rPr>
                <w:rFonts w:cs="Arial"/>
                <w:sz w:val="20"/>
                <w:szCs w:val="20"/>
              </w:rPr>
            </w:pPr>
            <w:r w:rsidRPr="00C3345A">
              <w:rPr>
                <w:rFonts w:cs="Arial"/>
                <w:sz w:val="20"/>
                <w:szCs w:val="20"/>
              </w:rPr>
              <w:t>Povodí Odry</w:t>
            </w:r>
          </w:p>
        </w:tc>
        <w:tc>
          <w:tcPr>
            <w:tcW w:w="1913" w:type="dxa"/>
            <w:vAlign w:val="bottom"/>
          </w:tcPr>
          <w:p w14:paraId="0ED42521" w14:textId="5E0B8D30" w:rsidR="00CB0C07" w:rsidRPr="00C3345A" w:rsidRDefault="00CB0C07" w:rsidP="00CB0C07">
            <w:pPr>
              <w:ind w:right="494"/>
              <w:contextualSpacing/>
              <w:jc w:val="right"/>
              <w:rPr>
                <w:rFonts w:cs="Arial"/>
                <w:sz w:val="20"/>
                <w:szCs w:val="20"/>
              </w:rPr>
            </w:pPr>
            <w:r w:rsidRPr="00C3345A">
              <w:rPr>
                <w:rFonts w:cs="Arial"/>
                <w:color w:val="000000"/>
                <w:sz w:val="20"/>
                <w:szCs w:val="20"/>
              </w:rPr>
              <w:t>1</w:t>
            </w:r>
            <w:r w:rsidR="004B32DC" w:rsidRPr="00C3345A">
              <w:rPr>
                <w:rFonts w:cs="Arial"/>
                <w:color w:val="000000"/>
                <w:sz w:val="20"/>
                <w:szCs w:val="20"/>
              </w:rPr>
              <w:t xml:space="preserve"> </w:t>
            </w:r>
            <w:r w:rsidRPr="00C3345A">
              <w:rPr>
                <w:rFonts w:cs="Arial"/>
                <w:color w:val="000000"/>
                <w:sz w:val="20"/>
                <w:szCs w:val="20"/>
              </w:rPr>
              <w:t>111</w:t>
            </w:r>
          </w:p>
        </w:tc>
        <w:tc>
          <w:tcPr>
            <w:tcW w:w="1914" w:type="dxa"/>
            <w:vAlign w:val="bottom"/>
          </w:tcPr>
          <w:p w14:paraId="7BA10A66" w14:textId="6D86C737" w:rsidR="00CB0C07" w:rsidRPr="00C3345A" w:rsidRDefault="00CB0C07" w:rsidP="00CB0C07">
            <w:pPr>
              <w:ind w:right="780"/>
              <w:contextualSpacing/>
              <w:jc w:val="right"/>
              <w:rPr>
                <w:rFonts w:cs="Arial"/>
                <w:sz w:val="20"/>
                <w:szCs w:val="20"/>
              </w:rPr>
            </w:pPr>
            <w:r w:rsidRPr="00C3345A">
              <w:rPr>
                <w:rFonts w:cs="Arial"/>
                <w:color w:val="000000"/>
                <w:sz w:val="20"/>
                <w:szCs w:val="20"/>
              </w:rPr>
              <w:t>1</w:t>
            </w:r>
            <w:r w:rsidR="004B32DC" w:rsidRPr="00C3345A">
              <w:rPr>
                <w:rFonts w:cs="Arial"/>
                <w:color w:val="000000"/>
                <w:sz w:val="20"/>
                <w:szCs w:val="20"/>
              </w:rPr>
              <w:t xml:space="preserve"> </w:t>
            </w:r>
            <w:r w:rsidRPr="00C3345A">
              <w:rPr>
                <w:rFonts w:cs="Arial"/>
                <w:color w:val="000000"/>
                <w:sz w:val="20"/>
                <w:szCs w:val="20"/>
              </w:rPr>
              <w:t>111</w:t>
            </w:r>
          </w:p>
        </w:tc>
      </w:tr>
      <w:tr w:rsidR="00CB0C07" w:rsidRPr="00CB0C07" w14:paraId="42823892" w14:textId="77777777" w:rsidTr="00EC1043">
        <w:trPr>
          <w:trHeight w:val="20"/>
        </w:trPr>
        <w:tc>
          <w:tcPr>
            <w:tcW w:w="1229" w:type="dxa"/>
            <w:vMerge/>
            <w:shd w:val="clear" w:color="auto" w:fill="BFBFBF"/>
            <w:vAlign w:val="center"/>
            <w:hideMark/>
          </w:tcPr>
          <w:p w14:paraId="106572FD" w14:textId="77777777" w:rsidR="00CB0C07" w:rsidRPr="00CB0C07" w:rsidRDefault="00CB0C07" w:rsidP="00CB0C07">
            <w:pPr>
              <w:contextualSpacing/>
              <w:rPr>
                <w:rFonts w:cs="Arial"/>
                <w:b/>
                <w:bCs/>
                <w:sz w:val="18"/>
                <w:szCs w:val="18"/>
              </w:rPr>
            </w:pPr>
          </w:p>
        </w:tc>
        <w:tc>
          <w:tcPr>
            <w:tcW w:w="4740" w:type="dxa"/>
            <w:vAlign w:val="center"/>
            <w:hideMark/>
          </w:tcPr>
          <w:p w14:paraId="1EF9133A" w14:textId="77777777" w:rsidR="00CB0C07" w:rsidRPr="00C3345A" w:rsidRDefault="00CB0C07" w:rsidP="00CB0C07">
            <w:pPr>
              <w:contextualSpacing/>
              <w:rPr>
                <w:rFonts w:cs="Arial"/>
                <w:sz w:val="20"/>
                <w:szCs w:val="20"/>
              </w:rPr>
            </w:pPr>
            <w:r w:rsidRPr="00C3345A">
              <w:rPr>
                <w:rFonts w:cs="Arial"/>
                <w:sz w:val="20"/>
                <w:szCs w:val="20"/>
              </w:rPr>
              <w:t>Povodí Moravy</w:t>
            </w:r>
          </w:p>
        </w:tc>
        <w:tc>
          <w:tcPr>
            <w:tcW w:w="1913" w:type="dxa"/>
            <w:vAlign w:val="bottom"/>
          </w:tcPr>
          <w:p w14:paraId="54635E34" w14:textId="7CD6F896" w:rsidR="00CB0C07" w:rsidRPr="00C3345A" w:rsidRDefault="00CB0C07" w:rsidP="00CB0C07">
            <w:pPr>
              <w:ind w:right="494"/>
              <w:contextualSpacing/>
              <w:jc w:val="right"/>
              <w:rPr>
                <w:rFonts w:cs="Arial"/>
                <w:sz w:val="20"/>
                <w:szCs w:val="20"/>
              </w:rPr>
            </w:pPr>
            <w:r w:rsidRPr="00C3345A">
              <w:rPr>
                <w:rFonts w:cs="Arial"/>
                <w:color w:val="000000"/>
                <w:sz w:val="20"/>
                <w:szCs w:val="20"/>
              </w:rPr>
              <w:t>3</w:t>
            </w:r>
            <w:r w:rsidR="004B32DC" w:rsidRPr="00C3345A">
              <w:rPr>
                <w:rFonts w:cs="Arial"/>
                <w:color w:val="000000"/>
                <w:sz w:val="20"/>
                <w:szCs w:val="20"/>
              </w:rPr>
              <w:t xml:space="preserve"> </w:t>
            </w:r>
            <w:r w:rsidRPr="00C3345A">
              <w:rPr>
                <w:rFonts w:cs="Arial"/>
                <w:color w:val="000000"/>
                <w:sz w:val="20"/>
                <w:szCs w:val="20"/>
              </w:rPr>
              <w:t>757</w:t>
            </w:r>
          </w:p>
        </w:tc>
        <w:tc>
          <w:tcPr>
            <w:tcW w:w="1914" w:type="dxa"/>
            <w:vAlign w:val="bottom"/>
          </w:tcPr>
          <w:p w14:paraId="0321CB55" w14:textId="66957FD1" w:rsidR="00CB0C07" w:rsidRPr="00C3345A" w:rsidRDefault="00CB0C07" w:rsidP="00CB0C07">
            <w:pPr>
              <w:ind w:right="780"/>
              <w:contextualSpacing/>
              <w:jc w:val="right"/>
              <w:rPr>
                <w:rFonts w:cs="Arial"/>
                <w:sz w:val="20"/>
                <w:szCs w:val="20"/>
              </w:rPr>
            </w:pPr>
            <w:r w:rsidRPr="00C3345A">
              <w:rPr>
                <w:rFonts w:cs="Arial"/>
                <w:color w:val="000000"/>
                <w:sz w:val="20"/>
                <w:szCs w:val="20"/>
              </w:rPr>
              <w:t>3</w:t>
            </w:r>
            <w:r w:rsidR="004B32DC" w:rsidRPr="00C3345A">
              <w:rPr>
                <w:rFonts w:cs="Arial"/>
                <w:color w:val="000000"/>
                <w:sz w:val="20"/>
                <w:szCs w:val="20"/>
              </w:rPr>
              <w:t xml:space="preserve"> </w:t>
            </w:r>
            <w:r w:rsidRPr="00C3345A">
              <w:rPr>
                <w:rFonts w:cs="Arial"/>
                <w:color w:val="000000"/>
                <w:sz w:val="20"/>
                <w:szCs w:val="20"/>
              </w:rPr>
              <w:t>757</w:t>
            </w:r>
          </w:p>
        </w:tc>
      </w:tr>
      <w:tr w:rsidR="00CB0C07" w:rsidRPr="00CB0C07" w14:paraId="1328F3FF" w14:textId="77777777" w:rsidTr="000943A9">
        <w:trPr>
          <w:trHeight w:val="20"/>
        </w:trPr>
        <w:tc>
          <w:tcPr>
            <w:tcW w:w="1229" w:type="dxa"/>
            <w:vMerge/>
            <w:shd w:val="clear" w:color="auto" w:fill="BFBFBF"/>
            <w:vAlign w:val="center"/>
            <w:hideMark/>
          </w:tcPr>
          <w:p w14:paraId="18C117D4" w14:textId="77777777" w:rsidR="00CB0C07" w:rsidRPr="00CB0C07" w:rsidRDefault="00CB0C07" w:rsidP="00CB0C07">
            <w:pPr>
              <w:contextualSpacing/>
              <w:rPr>
                <w:rFonts w:cs="Arial"/>
                <w:b/>
                <w:bCs/>
                <w:sz w:val="18"/>
                <w:szCs w:val="18"/>
              </w:rPr>
            </w:pPr>
          </w:p>
        </w:tc>
        <w:tc>
          <w:tcPr>
            <w:tcW w:w="4740" w:type="dxa"/>
            <w:shd w:val="clear" w:color="auto" w:fill="BFBFBF"/>
            <w:vAlign w:val="center"/>
            <w:hideMark/>
          </w:tcPr>
          <w:p w14:paraId="42BBE1E1" w14:textId="77777777" w:rsidR="00CB0C07" w:rsidRPr="00C3345A" w:rsidRDefault="00CB0C07" w:rsidP="00CB0C07">
            <w:pPr>
              <w:contextualSpacing/>
              <w:rPr>
                <w:rFonts w:cs="Arial"/>
                <w:sz w:val="20"/>
                <w:szCs w:val="20"/>
              </w:rPr>
            </w:pPr>
            <w:r w:rsidRPr="00C3345A">
              <w:rPr>
                <w:rFonts w:cs="Arial"/>
                <w:sz w:val="20"/>
                <w:szCs w:val="20"/>
              </w:rPr>
              <w:t>Celkem státní podniky Povodí</w:t>
            </w:r>
          </w:p>
        </w:tc>
        <w:tc>
          <w:tcPr>
            <w:tcW w:w="1913" w:type="dxa"/>
            <w:shd w:val="clear" w:color="auto" w:fill="BFBFBF"/>
            <w:vAlign w:val="center"/>
          </w:tcPr>
          <w:p w14:paraId="3CD5419D" w14:textId="5A6F562B" w:rsidR="00CB0C07" w:rsidRPr="00C3345A" w:rsidRDefault="00CB0C07" w:rsidP="00CB0C07">
            <w:pPr>
              <w:ind w:right="494"/>
              <w:contextualSpacing/>
              <w:jc w:val="right"/>
              <w:rPr>
                <w:rFonts w:cs="Arial"/>
                <w:b/>
                <w:bCs/>
                <w:sz w:val="20"/>
                <w:szCs w:val="20"/>
              </w:rPr>
            </w:pPr>
            <w:r w:rsidRPr="00C3345A">
              <w:rPr>
                <w:rFonts w:cs="Arial"/>
                <w:b/>
                <w:bCs/>
                <w:color w:val="000000"/>
                <w:sz w:val="20"/>
                <w:szCs w:val="20"/>
              </w:rPr>
              <w:t>16 436</w:t>
            </w:r>
          </w:p>
        </w:tc>
        <w:tc>
          <w:tcPr>
            <w:tcW w:w="1914" w:type="dxa"/>
            <w:shd w:val="clear" w:color="auto" w:fill="BFBFBF"/>
            <w:vAlign w:val="center"/>
          </w:tcPr>
          <w:p w14:paraId="5C430BCF" w14:textId="7C4997C5" w:rsidR="00CB0C07" w:rsidRPr="00C3345A" w:rsidRDefault="00CB0C07" w:rsidP="00CB0C07">
            <w:pPr>
              <w:ind w:right="780"/>
              <w:contextualSpacing/>
              <w:jc w:val="right"/>
              <w:rPr>
                <w:rFonts w:cs="Arial"/>
                <w:b/>
                <w:sz w:val="20"/>
                <w:szCs w:val="20"/>
              </w:rPr>
            </w:pPr>
            <w:r w:rsidRPr="00C3345A">
              <w:rPr>
                <w:rFonts w:cs="Arial"/>
                <w:b/>
                <w:bCs/>
                <w:color w:val="000000"/>
                <w:sz w:val="20"/>
                <w:szCs w:val="20"/>
              </w:rPr>
              <w:t>16 436</w:t>
            </w:r>
          </w:p>
        </w:tc>
      </w:tr>
      <w:tr w:rsidR="00CB0C07" w:rsidRPr="00CB0C07" w14:paraId="6F176FD9" w14:textId="77777777" w:rsidTr="001C1BCB">
        <w:trPr>
          <w:trHeight w:val="20"/>
        </w:trPr>
        <w:tc>
          <w:tcPr>
            <w:tcW w:w="1229" w:type="dxa"/>
            <w:vMerge w:val="restart"/>
            <w:shd w:val="clear" w:color="auto" w:fill="BFBFBF"/>
            <w:vAlign w:val="center"/>
            <w:hideMark/>
          </w:tcPr>
          <w:p w14:paraId="2525316A" w14:textId="77777777" w:rsidR="00CB0C07" w:rsidRPr="00CB0C07" w:rsidRDefault="00CB0C07" w:rsidP="00CB0C07">
            <w:pPr>
              <w:contextualSpacing/>
              <w:rPr>
                <w:rFonts w:cs="Arial"/>
                <w:b/>
                <w:bCs/>
                <w:sz w:val="18"/>
                <w:szCs w:val="18"/>
              </w:rPr>
            </w:pPr>
            <w:r w:rsidRPr="00CB0C07">
              <w:rPr>
                <w:rFonts w:cs="Arial"/>
                <w:b/>
                <w:bCs/>
                <w:sz w:val="18"/>
                <w:szCs w:val="18"/>
              </w:rPr>
              <w:t>Drobné vodní toky</w:t>
            </w:r>
          </w:p>
        </w:tc>
        <w:tc>
          <w:tcPr>
            <w:tcW w:w="4740" w:type="dxa"/>
            <w:vAlign w:val="center"/>
            <w:hideMark/>
          </w:tcPr>
          <w:p w14:paraId="1EE576B1" w14:textId="77777777" w:rsidR="00CB0C07" w:rsidRPr="00C3345A" w:rsidRDefault="00CB0C07" w:rsidP="00CB0C07">
            <w:pPr>
              <w:contextualSpacing/>
              <w:rPr>
                <w:rFonts w:cs="Arial"/>
                <w:sz w:val="20"/>
                <w:szCs w:val="20"/>
              </w:rPr>
            </w:pPr>
            <w:r w:rsidRPr="00C3345A">
              <w:rPr>
                <w:rFonts w:cs="Arial"/>
                <w:sz w:val="20"/>
                <w:szCs w:val="20"/>
              </w:rPr>
              <w:t>Lesy České republiky</w:t>
            </w:r>
          </w:p>
        </w:tc>
        <w:tc>
          <w:tcPr>
            <w:tcW w:w="1913" w:type="dxa"/>
            <w:vAlign w:val="bottom"/>
          </w:tcPr>
          <w:p w14:paraId="64072D34" w14:textId="2394081C" w:rsidR="00CB0C07" w:rsidRPr="00C3345A" w:rsidRDefault="00CB0C07" w:rsidP="00CB0C07">
            <w:pPr>
              <w:ind w:right="494"/>
              <w:contextualSpacing/>
              <w:jc w:val="right"/>
              <w:rPr>
                <w:rFonts w:cs="Arial"/>
                <w:sz w:val="20"/>
                <w:szCs w:val="20"/>
              </w:rPr>
            </w:pPr>
            <w:r w:rsidRPr="00C3345A">
              <w:rPr>
                <w:rFonts w:cs="Arial"/>
                <w:sz w:val="20"/>
                <w:szCs w:val="20"/>
              </w:rPr>
              <w:t>38</w:t>
            </w:r>
            <w:r w:rsidR="004B32DC" w:rsidRPr="00C3345A">
              <w:rPr>
                <w:rFonts w:cs="Arial"/>
                <w:sz w:val="20"/>
                <w:szCs w:val="20"/>
              </w:rPr>
              <w:t xml:space="preserve"> </w:t>
            </w:r>
            <w:r w:rsidRPr="00C3345A">
              <w:rPr>
                <w:rFonts w:cs="Arial"/>
                <w:sz w:val="20"/>
                <w:szCs w:val="20"/>
              </w:rPr>
              <w:t>512</w:t>
            </w:r>
          </w:p>
        </w:tc>
        <w:tc>
          <w:tcPr>
            <w:tcW w:w="1914" w:type="dxa"/>
            <w:vAlign w:val="bottom"/>
          </w:tcPr>
          <w:p w14:paraId="025E19FB" w14:textId="215A62FB" w:rsidR="00CB0C07" w:rsidRPr="00C3345A" w:rsidRDefault="00CB0C07" w:rsidP="00CB0C07">
            <w:pPr>
              <w:ind w:right="780"/>
              <w:contextualSpacing/>
              <w:jc w:val="right"/>
              <w:rPr>
                <w:rFonts w:cs="Arial"/>
                <w:sz w:val="20"/>
                <w:szCs w:val="20"/>
              </w:rPr>
            </w:pPr>
            <w:r w:rsidRPr="00C3345A">
              <w:rPr>
                <w:rFonts w:cs="Arial"/>
                <w:sz w:val="20"/>
                <w:szCs w:val="20"/>
              </w:rPr>
              <w:t>38</w:t>
            </w:r>
            <w:r w:rsidR="004B32DC" w:rsidRPr="00C3345A">
              <w:rPr>
                <w:rFonts w:cs="Arial"/>
                <w:sz w:val="20"/>
                <w:szCs w:val="20"/>
              </w:rPr>
              <w:t xml:space="preserve"> </w:t>
            </w:r>
            <w:r w:rsidRPr="00C3345A">
              <w:rPr>
                <w:rFonts w:cs="Arial"/>
                <w:sz w:val="20"/>
                <w:szCs w:val="20"/>
              </w:rPr>
              <w:t>600</w:t>
            </w:r>
          </w:p>
        </w:tc>
      </w:tr>
      <w:tr w:rsidR="00CB0C07" w:rsidRPr="00CB0C07" w14:paraId="42F5A215" w14:textId="77777777" w:rsidTr="00EC1043">
        <w:trPr>
          <w:trHeight w:val="20"/>
        </w:trPr>
        <w:tc>
          <w:tcPr>
            <w:tcW w:w="1229" w:type="dxa"/>
            <w:vMerge/>
            <w:shd w:val="clear" w:color="auto" w:fill="BFBFBF"/>
            <w:vAlign w:val="center"/>
            <w:hideMark/>
          </w:tcPr>
          <w:p w14:paraId="712AC47A" w14:textId="77777777" w:rsidR="00CB0C07" w:rsidRPr="00CB0C07" w:rsidRDefault="00CB0C07" w:rsidP="00CB0C07">
            <w:pPr>
              <w:contextualSpacing/>
              <w:rPr>
                <w:rFonts w:cs="Arial"/>
                <w:b/>
                <w:bCs/>
                <w:sz w:val="18"/>
                <w:szCs w:val="18"/>
              </w:rPr>
            </w:pPr>
          </w:p>
        </w:tc>
        <w:tc>
          <w:tcPr>
            <w:tcW w:w="4740" w:type="dxa"/>
            <w:vAlign w:val="center"/>
            <w:hideMark/>
          </w:tcPr>
          <w:p w14:paraId="10C07BC7" w14:textId="77777777" w:rsidR="00CB0C07" w:rsidRPr="00C3345A" w:rsidRDefault="00CB0C07" w:rsidP="00CB0C07">
            <w:pPr>
              <w:contextualSpacing/>
              <w:rPr>
                <w:rFonts w:cs="Arial"/>
                <w:sz w:val="20"/>
                <w:szCs w:val="20"/>
              </w:rPr>
            </w:pPr>
            <w:r w:rsidRPr="00C3345A">
              <w:rPr>
                <w:rFonts w:cs="Arial"/>
                <w:sz w:val="20"/>
                <w:szCs w:val="20"/>
              </w:rPr>
              <w:t>Státní podniky Povodí celkem</w:t>
            </w:r>
          </w:p>
        </w:tc>
        <w:tc>
          <w:tcPr>
            <w:tcW w:w="1913" w:type="dxa"/>
            <w:vAlign w:val="bottom"/>
          </w:tcPr>
          <w:p w14:paraId="435933B8" w14:textId="0107D43F" w:rsidR="00CB0C07" w:rsidRPr="00C3345A" w:rsidRDefault="00CB0C07" w:rsidP="00CB0C07">
            <w:pPr>
              <w:ind w:right="494"/>
              <w:contextualSpacing/>
              <w:jc w:val="right"/>
              <w:rPr>
                <w:rFonts w:cs="Arial"/>
                <w:sz w:val="20"/>
                <w:szCs w:val="20"/>
              </w:rPr>
            </w:pPr>
            <w:r w:rsidRPr="00C3345A">
              <w:rPr>
                <w:rFonts w:cs="Arial"/>
                <w:b/>
                <w:bCs/>
                <w:color w:val="000000"/>
                <w:sz w:val="20"/>
                <w:szCs w:val="20"/>
              </w:rPr>
              <w:t>38</w:t>
            </w:r>
            <w:r w:rsidR="004B32DC" w:rsidRPr="00C3345A">
              <w:rPr>
                <w:rFonts w:cs="Arial"/>
                <w:b/>
                <w:bCs/>
                <w:color w:val="000000"/>
                <w:sz w:val="20"/>
                <w:szCs w:val="20"/>
              </w:rPr>
              <w:t xml:space="preserve"> </w:t>
            </w:r>
            <w:r w:rsidRPr="00C3345A">
              <w:rPr>
                <w:rFonts w:cs="Arial"/>
                <w:b/>
                <w:bCs/>
                <w:color w:val="000000"/>
                <w:sz w:val="20"/>
                <w:szCs w:val="20"/>
              </w:rPr>
              <w:t>682</w:t>
            </w:r>
          </w:p>
        </w:tc>
        <w:tc>
          <w:tcPr>
            <w:tcW w:w="1914" w:type="dxa"/>
            <w:vAlign w:val="bottom"/>
          </w:tcPr>
          <w:p w14:paraId="5021FD0C" w14:textId="3D60FB63" w:rsidR="00CB0C07" w:rsidRPr="00C3345A" w:rsidRDefault="00CB0C07" w:rsidP="00CB0C07">
            <w:pPr>
              <w:ind w:right="780"/>
              <w:contextualSpacing/>
              <w:jc w:val="right"/>
              <w:rPr>
                <w:rFonts w:cs="Arial"/>
                <w:sz w:val="20"/>
                <w:szCs w:val="20"/>
              </w:rPr>
            </w:pPr>
            <w:r w:rsidRPr="00C3345A">
              <w:rPr>
                <w:rFonts w:cs="Arial"/>
                <w:b/>
                <w:bCs/>
                <w:color w:val="000000"/>
                <w:sz w:val="20"/>
                <w:szCs w:val="20"/>
              </w:rPr>
              <w:t>38</w:t>
            </w:r>
            <w:r w:rsidR="004B32DC" w:rsidRPr="00C3345A">
              <w:rPr>
                <w:rFonts w:cs="Arial"/>
                <w:b/>
                <w:bCs/>
                <w:color w:val="000000"/>
                <w:sz w:val="20"/>
                <w:szCs w:val="20"/>
              </w:rPr>
              <w:t xml:space="preserve"> </w:t>
            </w:r>
            <w:r w:rsidRPr="00C3345A">
              <w:rPr>
                <w:rFonts w:cs="Arial"/>
                <w:b/>
                <w:bCs/>
                <w:color w:val="000000"/>
                <w:sz w:val="20"/>
                <w:szCs w:val="20"/>
              </w:rPr>
              <w:t>677</w:t>
            </w:r>
          </w:p>
        </w:tc>
      </w:tr>
      <w:tr w:rsidR="00CB0C07" w:rsidRPr="00CB0C07" w14:paraId="3C2ED7A5" w14:textId="77777777" w:rsidTr="00EC1043">
        <w:trPr>
          <w:trHeight w:val="20"/>
        </w:trPr>
        <w:tc>
          <w:tcPr>
            <w:tcW w:w="1229" w:type="dxa"/>
            <w:vMerge/>
            <w:shd w:val="clear" w:color="auto" w:fill="BFBFBF"/>
            <w:vAlign w:val="center"/>
            <w:hideMark/>
          </w:tcPr>
          <w:p w14:paraId="6457C89B" w14:textId="77777777" w:rsidR="00CB0C07" w:rsidRPr="00CB0C07" w:rsidRDefault="00CB0C07" w:rsidP="00CB0C07">
            <w:pPr>
              <w:contextualSpacing/>
              <w:rPr>
                <w:rFonts w:cs="Arial"/>
                <w:b/>
                <w:bCs/>
                <w:sz w:val="18"/>
                <w:szCs w:val="18"/>
              </w:rPr>
            </w:pPr>
          </w:p>
        </w:tc>
        <w:tc>
          <w:tcPr>
            <w:tcW w:w="4740" w:type="dxa"/>
            <w:vAlign w:val="center"/>
            <w:hideMark/>
          </w:tcPr>
          <w:p w14:paraId="16B7DF5E" w14:textId="77777777" w:rsidR="00CB0C07" w:rsidRPr="00C3345A" w:rsidRDefault="00CB0C07" w:rsidP="00CB0C07">
            <w:pPr>
              <w:contextualSpacing/>
              <w:rPr>
                <w:rFonts w:cs="Arial"/>
                <w:sz w:val="20"/>
                <w:szCs w:val="20"/>
              </w:rPr>
            </w:pPr>
            <w:r w:rsidRPr="00C3345A">
              <w:rPr>
                <w:rFonts w:cs="Arial"/>
                <w:sz w:val="20"/>
                <w:szCs w:val="20"/>
              </w:rPr>
              <w:t xml:space="preserve">Ostatní správci </w:t>
            </w:r>
            <w:r w:rsidRPr="00C3345A">
              <w:rPr>
                <w:rFonts w:cs="Arial"/>
                <w:sz w:val="20"/>
                <w:szCs w:val="20"/>
                <w:vertAlign w:val="superscript"/>
              </w:rPr>
              <w:t>1)</w:t>
            </w:r>
          </w:p>
        </w:tc>
        <w:tc>
          <w:tcPr>
            <w:tcW w:w="1913" w:type="dxa"/>
            <w:vAlign w:val="bottom"/>
          </w:tcPr>
          <w:p w14:paraId="2700D2B2" w14:textId="24661F99" w:rsidR="00CB0C07" w:rsidRPr="00C3345A" w:rsidRDefault="00CB0C07" w:rsidP="00CB0C07">
            <w:pPr>
              <w:ind w:right="494"/>
              <w:contextualSpacing/>
              <w:jc w:val="right"/>
              <w:rPr>
                <w:rFonts w:cs="Arial"/>
                <w:sz w:val="20"/>
                <w:szCs w:val="20"/>
              </w:rPr>
            </w:pPr>
            <w:r w:rsidRPr="00C3345A">
              <w:rPr>
                <w:rFonts w:cs="Arial"/>
                <w:b/>
                <w:bCs/>
                <w:color w:val="000000"/>
                <w:sz w:val="20"/>
                <w:szCs w:val="20"/>
              </w:rPr>
              <w:t>5</w:t>
            </w:r>
            <w:r w:rsidR="004B32DC" w:rsidRPr="00C3345A">
              <w:rPr>
                <w:rFonts w:cs="Arial"/>
                <w:b/>
                <w:bCs/>
                <w:color w:val="000000"/>
                <w:sz w:val="20"/>
                <w:szCs w:val="20"/>
              </w:rPr>
              <w:t xml:space="preserve"> </w:t>
            </w:r>
            <w:r w:rsidRPr="00C3345A">
              <w:rPr>
                <w:rFonts w:cs="Arial"/>
                <w:b/>
                <w:bCs/>
                <w:color w:val="000000"/>
                <w:sz w:val="20"/>
                <w:szCs w:val="20"/>
              </w:rPr>
              <w:t>593</w:t>
            </w:r>
          </w:p>
        </w:tc>
        <w:tc>
          <w:tcPr>
            <w:tcW w:w="1914" w:type="dxa"/>
            <w:vAlign w:val="bottom"/>
          </w:tcPr>
          <w:p w14:paraId="659FBD52" w14:textId="4C98EA1E" w:rsidR="00CB0C07" w:rsidRPr="00C3345A" w:rsidRDefault="00CB0C07" w:rsidP="00CB0C07">
            <w:pPr>
              <w:ind w:right="780"/>
              <w:contextualSpacing/>
              <w:jc w:val="right"/>
              <w:rPr>
                <w:rFonts w:cs="Arial"/>
                <w:sz w:val="20"/>
                <w:szCs w:val="20"/>
              </w:rPr>
            </w:pPr>
            <w:r w:rsidRPr="00C3345A">
              <w:rPr>
                <w:rFonts w:cs="Arial"/>
                <w:b/>
                <w:bCs/>
                <w:color w:val="000000"/>
                <w:sz w:val="20"/>
                <w:szCs w:val="20"/>
              </w:rPr>
              <w:t>5</w:t>
            </w:r>
            <w:r w:rsidR="004B32DC" w:rsidRPr="00C3345A">
              <w:rPr>
                <w:rFonts w:cs="Arial"/>
                <w:b/>
                <w:bCs/>
                <w:color w:val="000000"/>
                <w:sz w:val="20"/>
                <w:szCs w:val="20"/>
              </w:rPr>
              <w:t xml:space="preserve"> </w:t>
            </w:r>
            <w:r w:rsidRPr="00C3345A">
              <w:rPr>
                <w:rFonts w:cs="Arial"/>
                <w:b/>
                <w:bCs/>
                <w:color w:val="000000"/>
                <w:sz w:val="20"/>
                <w:szCs w:val="20"/>
              </w:rPr>
              <w:t>572</w:t>
            </w:r>
          </w:p>
        </w:tc>
      </w:tr>
      <w:tr w:rsidR="00CB0C07" w:rsidRPr="00CB0C07" w14:paraId="7C1C0D4D" w14:textId="77777777" w:rsidTr="000943A9">
        <w:trPr>
          <w:trHeight w:val="20"/>
        </w:trPr>
        <w:tc>
          <w:tcPr>
            <w:tcW w:w="1229" w:type="dxa"/>
            <w:vMerge/>
            <w:shd w:val="clear" w:color="auto" w:fill="BFBFBF"/>
            <w:vAlign w:val="center"/>
            <w:hideMark/>
          </w:tcPr>
          <w:p w14:paraId="6C139B26" w14:textId="77777777" w:rsidR="00CB0C07" w:rsidRPr="00CB0C07" w:rsidRDefault="00CB0C07" w:rsidP="00CB0C07">
            <w:pPr>
              <w:contextualSpacing/>
              <w:rPr>
                <w:rFonts w:cs="Arial"/>
                <w:b/>
                <w:bCs/>
                <w:sz w:val="18"/>
                <w:szCs w:val="18"/>
              </w:rPr>
            </w:pPr>
          </w:p>
        </w:tc>
        <w:tc>
          <w:tcPr>
            <w:tcW w:w="4740" w:type="dxa"/>
            <w:shd w:val="clear" w:color="auto" w:fill="BFBFBF"/>
            <w:vAlign w:val="center"/>
            <w:hideMark/>
          </w:tcPr>
          <w:p w14:paraId="4733E236" w14:textId="77777777" w:rsidR="00CB0C07" w:rsidRPr="00C3345A" w:rsidRDefault="00CB0C07" w:rsidP="00CB0C07">
            <w:pPr>
              <w:contextualSpacing/>
              <w:rPr>
                <w:rFonts w:cs="Arial"/>
                <w:sz w:val="20"/>
                <w:szCs w:val="20"/>
              </w:rPr>
            </w:pPr>
            <w:r w:rsidRPr="00C3345A">
              <w:rPr>
                <w:rFonts w:cs="Arial"/>
                <w:sz w:val="20"/>
                <w:szCs w:val="20"/>
              </w:rPr>
              <w:t>Celkem</w:t>
            </w:r>
          </w:p>
        </w:tc>
        <w:tc>
          <w:tcPr>
            <w:tcW w:w="1913" w:type="dxa"/>
            <w:shd w:val="clear" w:color="auto" w:fill="BFBFBF"/>
            <w:vAlign w:val="center"/>
          </w:tcPr>
          <w:p w14:paraId="2C7A108E" w14:textId="5B41764C" w:rsidR="00CB0C07" w:rsidRPr="00C3345A" w:rsidRDefault="00CB0C07" w:rsidP="00CB0C07">
            <w:pPr>
              <w:ind w:right="494"/>
              <w:contextualSpacing/>
              <w:jc w:val="right"/>
              <w:rPr>
                <w:rFonts w:cs="Arial"/>
                <w:b/>
                <w:bCs/>
                <w:sz w:val="20"/>
                <w:szCs w:val="20"/>
              </w:rPr>
            </w:pPr>
            <w:r w:rsidRPr="00C3345A">
              <w:rPr>
                <w:rFonts w:cs="Arial"/>
                <w:b/>
                <w:bCs/>
                <w:color w:val="000000"/>
                <w:sz w:val="20"/>
                <w:szCs w:val="20"/>
              </w:rPr>
              <w:t>82</w:t>
            </w:r>
            <w:r w:rsidR="004B32DC" w:rsidRPr="00C3345A">
              <w:rPr>
                <w:rFonts w:cs="Arial"/>
                <w:b/>
                <w:bCs/>
                <w:color w:val="000000"/>
                <w:sz w:val="20"/>
                <w:szCs w:val="20"/>
              </w:rPr>
              <w:t xml:space="preserve"> </w:t>
            </w:r>
            <w:r w:rsidRPr="00C3345A">
              <w:rPr>
                <w:rFonts w:cs="Arial"/>
                <w:b/>
                <w:bCs/>
                <w:color w:val="000000"/>
                <w:sz w:val="20"/>
                <w:szCs w:val="20"/>
              </w:rPr>
              <w:t>787</w:t>
            </w:r>
          </w:p>
        </w:tc>
        <w:tc>
          <w:tcPr>
            <w:tcW w:w="1914" w:type="dxa"/>
            <w:shd w:val="clear" w:color="auto" w:fill="BFBFBF"/>
            <w:vAlign w:val="center"/>
          </w:tcPr>
          <w:p w14:paraId="61D9D061" w14:textId="7964264F" w:rsidR="00CB0C07" w:rsidRPr="00C3345A" w:rsidRDefault="00CB0C07" w:rsidP="00CB0C07">
            <w:pPr>
              <w:ind w:right="780"/>
              <w:contextualSpacing/>
              <w:jc w:val="right"/>
              <w:rPr>
                <w:rFonts w:cs="Arial"/>
                <w:b/>
                <w:bCs/>
                <w:sz w:val="20"/>
                <w:szCs w:val="20"/>
              </w:rPr>
            </w:pPr>
            <w:r w:rsidRPr="00C3345A">
              <w:rPr>
                <w:rFonts w:cs="Arial"/>
                <w:b/>
                <w:bCs/>
                <w:color w:val="000000"/>
                <w:sz w:val="20"/>
                <w:szCs w:val="20"/>
              </w:rPr>
              <w:t>82</w:t>
            </w:r>
            <w:r w:rsidR="004B32DC" w:rsidRPr="00C3345A">
              <w:rPr>
                <w:rFonts w:cs="Arial"/>
                <w:b/>
                <w:bCs/>
                <w:color w:val="000000"/>
                <w:sz w:val="20"/>
                <w:szCs w:val="20"/>
              </w:rPr>
              <w:t xml:space="preserve"> </w:t>
            </w:r>
            <w:r w:rsidRPr="00C3345A">
              <w:rPr>
                <w:rFonts w:cs="Arial"/>
                <w:b/>
                <w:bCs/>
                <w:color w:val="000000"/>
                <w:sz w:val="20"/>
                <w:szCs w:val="20"/>
              </w:rPr>
              <w:t>849</w:t>
            </w:r>
          </w:p>
        </w:tc>
      </w:tr>
      <w:tr w:rsidR="00CB0C07" w:rsidRPr="00CB0C07" w14:paraId="0E594154" w14:textId="77777777" w:rsidTr="00EC1043">
        <w:trPr>
          <w:trHeight w:val="20"/>
        </w:trPr>
        <w:tc>
          <w:tcPr>
            <w:tcW w:w="5969" w:type="dxa"/>
            <w:gridSpan w:val="2"/>
            <w:shd w:val="clear" w:color="auto" w:fill="BFBFBF"/>
            <w:vAlign w:val="center"/>
            <w:hideMark/>
          </w:tcPr>
          <w:p w14:paraId="5B372AAC" w14:textId="77777777" w:rsidR="00CB0C07" w:rsidRPr="00C3345A" w:rsidRDefault="00CB0C07" w:rsidP="00CB0C07">
            <w:pPr>
              <w:contextualSpacing/>
              <w:rPr>
                <w:rFonts w:cs="Arial"/>
                <w:b/>
                <w:bCs/>
                <w:sz w:val="20"/>
                <w:szCs w:val="20"/>
              </w:rPr>
            </w:pPr>
            <w:r w:rsidRPr="00C3345A">
              <w:rPr>
                <w:rFonts w:cs="Arial"/>
                <w:b/>
                <w:bCs/>
                <w:sz w:val="20"/>
                <w:szCs w:val="20"/>
              </w:rPr>
              <w:t>Vodní toky celkem</w:t>
            </w:r>
          </w:p>
        </w:tc>
        <w:tc>
          <w:tcPr>
            <w:tcW w:w="1913" w:type="dxa"/>
            <w:shd w:val="clear" w:color="auto" w:fill="BFBFBF"/>
            <w:vAlign w:val="center"/>
          </w:tcPr>
          <w:p w14:paraId="6E6CF14E" w14:textId="53694643" w:rsidR="00CB0C07" w:rsidRPr="00C3345A" w:rsidRDefault="00CB0C07" w:rsidP="00CB0C07">
            <w:pPr>
              <w:tabs>
                <w:tab w:val="left" w:pos="0"/>
              </w:tabs>
              <w:ind w:right="494"/>
              <w:contextualSpacing/>
              <w:jc w:val="right"/>
              <w:rPr>
                <w:rFonts w:cs="Arial"/>
                <w:b/>
                <w:bCs/>
                <w:sz w:val="20"/>
                <w:szCs w:val="20"/>
              </w:rPr>
            </w:pPr>
            <w:r w:rsidRPr="00C3345A">
              <w:rPr>
                <w:rFonts w:cs="Arial"/>
                <w:b/>
                <w:sz w:val="20"/>
                <w:szCs w:val="20"/>
              </w:rPr>
              <w:t>99 156</w:t>
            </w:r>
          </w:p>
        </w:tc>
        <w:tc>
          <w:tcPr>
            <w:tcW w:w="1914" w:type="dxa"/>
            <w:shd w:val="clear" w:color="auto" w:fill="BFBFBF"/>
            <w:vAlign w:val="bottom"/>
          </w:tcPr>
          <w:p w14:paraId="647241F5" w14:textId="121EA9B3" w:rsidR="00CB0C07" w:rsidRPr="00C3345A" w:rsidRDefault="00CB0C07" w:rsidP="00CB0C07">
            <w:pPr>
              <w:ind w:right="780"/>
              <w:contextualSpacing/>
              <w:jc w:val="right"/>
              <w:rPr>
                <w:rFonts w:cs="Arial"/>
                <w:b/>
                <w:bCs/>
                <w:sz w:val="20"/>
                <w:szCs w:val="20"/>
              </w:rPr>
            </w:pPr>
            <w:r w:rsidRPr="00C3345A">
              <w:rPr>
                <w:rFonts w:cs="Arial"/>
                <w:b/>
                <w:bCs/>
                <w:color w:val="000000"/>
                <w:sz w:val="20"/>
                <w:szCs w:val="20"/>
              </w:rPr>
              <w:t>99</w:t>
            </w:r>
            <w:r w:rsidR="004B32DC" w:rsidRPr="00C3345A">
              <w:rPr>
                <w:rFonts w:cs="Arial"/>
                <w:b/>
                <w:bCs/>
                <w:color w:val="000000"/>
                <w:sz w:val="20"/>
                <w:szCs w:val="20"/>
              </w:rPr>
              <w:t xml:space="preserve"> </w:t>
            </w:r>
            <w:r w:rsidRPr="00C3345A">
              <w:rPr>
                <w:rFonts w:cs="Arial"/>
                <w:b/>
                <w:bCs/>
                <w:color w:val="000000"/>
                <w:sz w:val="20"/>
                <w:szCs w:val="20"/>
              </w:rPr>
              <w:t>223</w:t>
            </w:r>
          </w:p>
        </w:tc>
      </w:tr>
    </w:tbl>
    <w:p w14:paraId="112BE785" w14:textId="77777777" w:rsidR="005C3DF4" w:rsidRPr="00CB0C07" w:rsidRDefault="005C3DF4" w:rsidP="55DFC2AA">
      <w:pPr>
        <w:pStyle w:val="Modrzprva-pramen"/>
        <w:contextualSpacing/>
        <w:rPr>
          <w:rFonts w:cs="Arial"/>
          <w:b w:val="0"/>
          <w:sz w:val="20"/>
          <w:szCs w:val="20"/>
          <w:lang w:val="en-US"/>
        </w:rPr>
      </w:pPr>
      <w:proofErr w:type="spellStart"/>
      <w:r w:rsidRPr="55DFC2AA">
        <w:rPr>
          <w:rFonts w:cs="Arial"/>
          <w:b w:val="0"/>
          <w:sz w:val="20"/>
          <w:szCs w:val="20"/>
          <w:lang w:val="en-US"/>
        </w:rPr>
        <w:t>Pramen</w:t>
      </w:r>
      <w:proofErr w:type="spellEnd"/>
      <w:r w:rsidRPr="55DFC2AA">
        <w:rPr>
          <w:rFonts w:cs="Arial"/>
          <w:b w:val="0"/>
          <w:sz w:val="20"/>
          <w:szCs w:val="20"/>
          <w:lang w:val="en-US"/>
        </w:rPr>
        <w:t>: MZe</w:t>
      </w:r>
    </w:p>
    <w:p w14:paraId="5C5D8F0A" w14:textId="77777777" w:rsidR="005C3DF4" w:rsidRPr="00CB0C07" w:rsidRDefault="005C3DF4" w:rsidP="007C4955">
      <w:pPr>
        <w:pStyle w:val="Modrzprva-pramen"/>
        <w:contextualSpacing/>
        <w:rPr>
          <w:rFonts w:cs="Arial"/>
          <w:b w:val="0"/>
          <w:sz w:val="20"/>
          <w:szCs w:val="20"/>
        </w:rPr>
      </w:pPr>
      <w:r w:rsidRPr="00CB0C07">
        <w:rPr>
          <w:rFonts w:cs="Arial"/>
          <w:b w:val="0"/>
          <w:sz w:val="20"/>
          <w:szCs w:val="20"/>
        </w:rPr>
        <w:t>Pozn.:</w:t>
      </w:r>
      <w:r w:rsidRPr="00CB0C07">
        <w:rPr>
          <w:rFonts w:cs="Arial"/>
          <w:b w:val="0"/>
          <w:sz w:val="20"/>
          <w:szCs w:val="20"/>
        </w:rPr>
        <w:tab/>
        <w:t xml:space="preserve">Uvádí </w:t>
      </w:r>
      <w:r w:rsidRPr="00CB0C07">
        <w:rPr>
          <w:rFonts w:cs="Arial"/>
          <w:b w:val="0"/>
          <w:sz w:val="20"/>
          <w:szCs w:val="20"/>
          <w:lang w:val="cs-CZ"/>
        </w:rPr>
        <w:t xml:space="preserve">se </w:t>
      </w:r>
      <w:r w:rsidRPr="00CB0C07">
        <w:rPr>
          <w:rFonts w:cs="Arial"/>
          <w:b w:val="0"/>
          <w:sz w:val="20"/>
          <w:szCs w:val="20"/>
        </w:rPr>
        <w:t>digitální délky toků z Centrální evidence vodních toků.</w:t>
      </w:r>
    </w:p>
    <w:p w14:paraId="0C45558B" w14:textId="77777777" w:rsidR="005C3DF4" w:rsidRPr="00CB0C07" w:rsidRDefault="005C3DF4" w:rsidP="007C4955">
      <w:pPr>
        <w:pStyle w:val="Modrzprva-pramen"/>
        <w:ind w:left="675"/>
        <w:contextualSpacing/>
        <w:rPr>
          <w:rFonts w:cs="Arial"/>
          <w:b w:val="0"/>
          <w:sz w:val="20"/>
          <w:szCs w:val="20"/>
        </w:rPr>
      </w:pPr>
      <w:r w:rsidRPr="00CB0C07">
        <w:rPr>
          <w:rFonts w:cs="Arial"/>
          <w:b w:val="0"/>
          <w:sz w:val="20"/>
          <w:szCs w:val="20"/>
          <w:vertAlign w:val="superscript"/>
        </w:rPr>
        <w:t xml:space="preserve">1) </w:t>
      </w:r>
      <w:r w:rsidRPr="00CB0C07">
        <w:rPr>
          <w:rFonts w:cs="Arial"/>
          <w:b w:val="0"/>
          <w:sz w:val="20"/>
          <w:szCs w:val="20"/>
        </w:rPr>
        <w:t xml:space="preserve">Zahrnuje správy </w:t>
      </w:r>
      <w:r w:rsidRPr="00CB0C07">
        <w:rPr>
          <w:rFonts w:cs="Arial"/>
          <w:b w:val="0"/>
          <w:sz w:val="20"/>
          <w:szCs w:val="20"/>
          <w:lang w:val="cs-CZ"/>
        </w:rPr>
        <w:t>n</w:t>
      </w:r>
      <w:proofErr w:type="spellStart"/>
      <w:r w:rsidRPr="00CB0C07">
        <w:rPr>
          <w:rFonts w:cs="Arial"/>
          <w:b w:val="0"/>
          <w:sz w:val="20"/>
          <w:szCs w:val="20"/>
        </w:rPr>
        <w:t>árodních</w:t>
      </w:r>
      <w:proofErr w:type="spellEnd"/>
      <w:r w:rsidRPr="00CB0C07">
        <w:rPr>
          <w:rFonts w:cs="Arial"/>
          <w:b w:val="0"/>
          <w:sz w:val="20"/>
          <w:szCs w:val="20"/>
        </w:rPr>
        <w:t xml:space="preserve"> parků, Ministerstva obrany (úřady vojenských újezdů), obcí a ostatních fyzických a</w:t>
      </w:r>
      <w:r w:rsidR="005109CB" w:rsidRPr="00CB0C07">
        <w:rPr>
          <w:rFonts w:cs="Arial"/>
          <w:b w:val="0"/>
          <w:sz w:val="20"/>
          <w:szCs w:val="20"/>
          <w:lang w:val="cs-CZ"/>
        </w:rPr>
        <w:t> </w:t>
      </w:r>
      <w:r w:rsidRPr="00CB0C07">
        <w:rPr>
          <w:rFonts w:cs="Arial"/>
          <w:b w:val="0"/>
          <w:sz w:val="20"/>
          <w:szCs w:val="20"/>
        </w:rPr>
        <w:t>právnických osob.</w:t>
      </w:r>
    </w:p>
    <w:p w14:paraId="5AEF5FFB" w14:textId="77777777" w:rsidR="0070423C" w:rsidRPr="00104F7D" w:rsidRDefault="0070423C" w:rsidP="007C4955">
      <w:pPr>
        <w:contextualSpacing/>
        <w:rPr>
          <w:rFonts w:cs="Arial"/>
          <w:color w:val="FF0000"/>
          <w:highlight w:val="yellow"/>
        </w:rPr>
      </w:pPr>
    </w:p>
    <w:p w14:paraId="2C41F9A6" w14:textId="64E549F3" w:rsidR="000943A9" w:rsidRPr="00205C76" w:rsidRDefault="000943A9" w:rsidP="000943A9">
      <w:pPr>
        <w:rPr>
          <w:rFonts w:cs="Arial"/>
        </w:rPr>
      </w:pPr>
      <w:r w:rsidRPr="00205C76">
        <w:rPr>
          <w:rFonts w:cs="Arial"/>
        </w:rPr>
        <w:t xml:space="preserve">Všechny významné vodní toky jsou uvedeny v příloze č. 1 vyhlášky č. 178/2012 Sb., kterou se stanoví seznam významných vodních toků a způsob provádění činností souvisejících se správou vodních toků. </w:t>
      </w:r>
      <w:r w:rsidR="009E5DFA" w:rsidRPr="00205C76">
        <w:rPr>
          <w:rFonts w:cs="Arial"/>
        </w:rPr>
        <w:t xml:space="preserve">Jedná se </w:t>
      </w:r>
      <w:r w:rsidRPr="00205C76">
        <w:rPr>
          <w:rFonts w:cs="Arial"/>
        </w:rPr>
        <w:t xml:space="preserve">o přehled 819 vodních toků včetně jejich identifikátorů (IDVT), patří sem i malé vodní toky, které tvoří tzv. „hraniční“ vodní toky. Významné vodní toky o celkové délce 16 </w:t>
      </w:r>
      <w:r w:rsidR="00205C76" w:rsidRPr="00205C76">
        <w:rPr>
          <w:rFonts w:cs="Arial"/>
        </w:rPr>
        <w:t>436</w:t>
      </w:r>
      <w:r w:rsidRPr="00205C76">
        <w:rPr>
          <w:rFonts w:cs="Arial"/>
        </w:rPr>
        <w:t xml:space="preserve"> km spravují</w:t>
      </w:r>
      <w:r w:rsidR="0078177C" w:rsidRPr="00205C76">
        <w:rPr>
          <w:rFonts w:cs="Arial"/>
        </w:rPr>
        <w:t>,</w:t>
      </w:r>
      <w:r w:rsidRPr="00205C76">
        <w:rPr>
          <w:rFonts w:cs="Arial"/>
        </w:rPr>
        <w:t xml:space="preserve"> ve smyslu ustanovení § 4 zákona č. 305/2000 Sb., o povodích, jednotlivé s. p. Povodí. Páteřními toky jsou Labe (3</w:t>
      </w:r>
      <w:r w:rsidR="00474183" w:rsidRPr="00205C76">
        <w:rPr>
          <w:rFonts w:cs="Arial"/>
        </w:rPr>
        <w:t>69</w:t>
      </w:r>
      <w:r w:rsidRPr="00205C76">
        <w:rPr>
          <w:rFonts w:cs="Arial"/>
        </w:rPr>
        <w:t> km) s Vltavou (4</w:t>
      </w:r>
      <w:r w:rsidR="00474183" w:rsidRPr="00205C76">
        <w:rPr>
          <w:rFonts w:cs="Arial"/>
        </w:rPr>
        <w:t>24</w:t>
      </w:r>
      <w:r w:rsidRPr="00205C76">
        <w:rPr>
          <w:rFonts w:cs="Arial"/>
        </w:rPr>
        <w:t xml:space="preserve"> km) a Ohří (254 km) v Čechách, Morava (269 km) s Dyjí (194 km) na </w:t>
      </w:r>
      <w:r w:rsidR="00EC12E0">
        <w:rPr>
          <w:rFonts w:cs="Arial"/>
        </w:rPr>
        <w:t>jižní</w:t>
      </w:r>
      <w:r w:rsidRPr="00205C76">
        <w:rPr>
          <w:rFonts w:cs="Arial"/>
        </w:rPr>
        <w:t xml:space="preserve"> Moravě a Odra (135 km) s Opavou (131 km) na severu Moravy a ve Slezsku. </w:t>
      </w:r>
    </w:p>
    <w:p w14:paraId="7A132A7F" w14:textId="77777777" w:rsidR="000943A9" w:rsidRPr="00104F7D" w:rsidRDefault="000943A9" w:rsidP="000943A9">
      <w:pPr>
        <w:rPr>
          <w:rFonts w:cs="Arial"/>
          <w:highlight w:val="yellow"/>
        </w:rPr>
      </w:pPr>
    </w:p>
    <w:p w14:paraId="4C523822" w14:textId="1B372DAE" w:rsidR="000943A9" w:rsidRPr="00205C76" w:rsidRDefault="000943A9" w:rsidP="000943A9">
      <w:pPr>
        <w:rPr>
          <w:rFonts w:cs="Arial"/>
        </w:rPr>
      </w:pPr>
      <w:r w:rsidRPr="00205C76">
        <w:rPr>
          <w:rFonts w:cs="Arial"/>
        </w:rPr>
        <w:t xml:space="preserve">Všechny ostatní vodní toky ve smyslu § 43 vodního zákona spadají do kategorie drobné vodní toky, jejich správa se provádí na základě příslušného určení MZe (ustanovení § 48 odst. 2 vodního zákona). Pokud správa drobného vodního toku není určena, spravuje jej podle ustanovení § 48 odst. 4 vodního zákona správce recipientu, do něhož je drobný vodní tok zaústěn. Správu zde vykonává do doby, než bude vydáno určení správy vodního toku podle § 48 odst. 2 vodního zákona. Správu drobných vodních toků mohou vykonávat obce, jejichž územím drobné vodní toky protékají, fyzické nebo právnické osoby, popřípadě organizační složky státu, jimž drobný vodní tok slouží nebo s jejichž činností souvisí. Vzor a obsah žádosti o určení drobného vodního toku do správy je uveden a podrobně specifikován ve výše uvedené vyhlášce č. 178/2012 Sb. Celková délka drobných vodních toků podle údajů Centrální evidence </w:t>
      </w:r>
      <w:r w:rsidR="009E5DFA" w:rsidRPr="00205C76">
        <w:rPr>
          <w:rFonts w:cs="Arial"/>
        </w:rPr>
        <w:t xml:space="preserve">vodních </w:t>
      </w:r>
      <w:r w:rsidR="00DF332F" w:rsidRPr="00205C76">
        <w:rPr>
          <w:rFonts w:cs="Arial"/>
        </w:rPr>
        <w:t>linií</w:t>
      </w:r>
      <w:r w:rsidR="009E5DFA" w:rsidRPr="00205C76">
        <w:rPr>
          <w:rFonts w:cs="Arial"/>
        </w:rPr>
        <w:t xml:space="preserve"> (dále též</w:t>
      </w:r>
      <w:r w:rsidRPr="00205C76">
        <w:rPr>
          <w:rFonts w:cs="Arial"/>
        </w:rPr>
        <w:t xml:space="preserve"> „CEV</w:t>
      </w:r>
      <w:r w:rsidR="00640101" w:rsidRPr="00205C76">
        <w:rPr>
          <w:rFonts w:cs="Arial"/>
        </w:rPr>
        <w:t>L</w:t>
      </w:r>
      <w:r w:rsidRPr="00205C76">
        <w:rPr>
          <w:rFonts w:cs="Arial"/>
        </w:rPr>
        <w:t xml:space="preserve">“) činí 82 </w:t>
      </w:r>
      <w:r w:rsidR="005C5DA1">
        <w:rPr>
          <w:rFonts w:cs="Arial"/>
        </w:rPr>
        <w:t>849</w:t>
      </w:r>
      <w:r w:rsidRPr="00205C76">
        <w:rPr>
          <w:rFonts w:cs="Arial"/>
        </w:rPr>
        <w:t xml:space="preserve"> km. Stále dochází k přehodnocování, zpřesňování a </w:t>
      </w:r>
      <w:proofErr w:type="spellStart"/>
      <w:r w:rsidRPr="00205C76">
        <w:rPr>
          <w:rFonts w:cs="Arial"/>
        </w:rPr>
        <w:t>reklasifikaci</w:t>
      </w:r>
      <w:proofErr w:type="spellEnd"/>
      <w:r w:rsidRPr="00205C76">
        <w:rPr>
          <w:rFonts w:cs="Arial"/>
        </w:rPr>
        <w:t xml:space="preserve"> zákresů určených drobných vodních toků. </w:t>
      </w:r>
    </w:p>
    <w:p w14:paraId="40626B0E" w14:textId="77777777" w:rsidR="00CE60FD" w:rsidRPr="00104F7D" w:rsidRDefault="00CE60FD" w:rsidP="000943A9">
      <w:pPr>
        <w:rPr>
          <w:rFonts w:cs="Arial"/>
          <w:highlight w:val="yellow"/>
        </w:rPr>
      </w:pPr>
    </w:p>
    <w:p w14:paraId="0065A2C1" w14:textId="28735092" w:rsidR="000943A9" w:rsidRPr="00B57D15" w:rsidRDefault="000943A9" w:rsidP="000943A9">
      <w:pPr>
        <w:rPr>
          <w:rFonts w:cs="Arial"/>
        </w:rPr>
      </w:pPr>
      <w:r w:rsidRPr="00B57D15">
        <w:rPr>
          <w:rFonts w:cs="Arial"/>
        </w:rPr>
        <w:lastRenderedPageBreak/>
        <w:t>Webová aplikace CEV</w:t>
      </w:r>
      <w:r w:rsidR="00E02917" w:rsidRPr="00B57D15">
        <w:rPr>
          <w:rFonts w:cs="Arial"/>
        </w:rPr>
        <w:t>L</w:t>
      </w:r>
      <w:r w:rsidRPr="00B57D15">
        <w:rPr>
          <w:rFonts w:cs="Arial"/>
        </w:rPr>
        <w:t xml:space="preserve"> zpřístupněná na portálu MZe (</w:t>
      </w:r>
      <w:hyperlink r:id="rId81" w:history="1">
        <w:r w:rsidR="00CA3469" w:rsidRPr="00B57D15">
          <w:rPr>
            <w:rStyle w:val="Hypertextovodkaz"/>
          </w:rPr>
          <w:t>www.mze.gov.cz</w:t>
        </w:r>
      </w:hyperlink>
      <w:r w:rsidRPr="00B57D15">
        <w:rPr>
          <w:rFonts w:cs="Arial"/>
        </w:rPr>
        <w:t>) i na Vodohospodářském informačním portálu (</w:t>
      </w:r>
      <w:hyperlink r:id="rId82" w:history="1">
        <w:r w:rsidR="000D7670" w:rsidRPr="00B57D15">
          <w:rPr>
            <w:rStyle w:val="Hypertextovodkaz"/>
            <w:rFonts w:cs="Arial"/>
          </w:rPr>
          <w:t>www.voda.gov.cz</w:t>
        </w:r>
      </w:hyperlink>
      <w:r w:rsidRPr="00B57D15">
        <w:rPr>
          <w:rFonts w:cs="Arial"/>
        </w:rPr>
        <w:t xml:space="preserve">) slouží k zajištění informovanosti veřejné správy a široké veřejnosti o správcovství příslušného vodního toku.  </w:t>
      </w:r>
    </w:p>
    <w:p w14:paraId="68CFD200" w14:textId="77777777" w:rsidR="009F2AC6" w:rsidRPr="00B57D15" w:rsidRDefault="009F2AC6" w:rsidP="000943A9">
      <w:pPr>
        <w:rPr>
          <w:rFonts w:cs="Arial"/>
        </w:rPr>
      </w:pPr>
    </w:p>
    <w:p w14:paraId="63BBA73C" w14:textId="0B629AFB" w:rsidR="00DF332F" w:rsidRPr="00B57D15" w:rsidRDefault="00DF332F" w:rsidP="000943A9">
      <w:pPr>
        <w:rPr>
          <w:rFonts w:cs="Arial"/>
        </w:rPr>
      </w:pPr>
      <w:r w:rsidRPr="00B57D15">
        <w:rPr>
          <w:rFonts w:cs="Arial"/>
        </w:rPr>
        <w:t xml:space="preserve">MZe a MŽP za vydatné podpory jimi řízených organizací spustily na konci února 2022 nové společné webové stránky tzv. </w:t>
      </w:r>
      <w:r w:rsidR="00C41E38" w:rsidRPr="00B57D15">
        <w:rPr>
          <w:rFonts w:cs="Arial"/>
        </w:rPr>
        <w:t>„</w:t>
      </w:r>
      <w:r w:rsidRPr="00B57D15">
        <w:rPr>
          <w:rFonts w:cs="Arial"/>
        </w:rPr>
        <w:t>Informační systém veřejné správy ve vodním hospodářství (ISVS – VODA)</w:t>
      </w:r>
      <w:r w:rsidR="00C41E38" w:rsidRPr="00B57D15">
        <w:rPr>
          <w:rFonts w:cs="Arial"/>
        </w:rPr>
        <w:t>“</w:t>
      </w:r>
      <w:r w:rsidRPr="00B57D15">
        <w:rPr>
          <w:rFonts w:cs="Arial"/>
        </w:rPr>
        <w:t>, a</w:t>
      </w:r>
      <w:r w:rsidR="00086139" w:rsidRPr="00B57D15">
        <w:rPr>
          <w:rFonts w:cs="Arial"/>
        </w:rPr>
        <w:t> </w:t>
      </w:r>
      <w:r w:rsidRPr="00B57D15">
        <w:rPr>
          <w:rFonts w:cs="Arial"/>
        </w:rPr>
        <w:t>to na stávající doméně</w:t>
      </w:r>
      <w:r w:rsidR="00130A8F" w:rsidRPr="00B57D15">
        <w:t xml:space="preserve"> </w:t>
      </w:r>
      <w:hyperlink r:id="rId83" w:history="1">
        <w:r w:rsidR="00130A8F" w:rsidRPr="00B57D15">
          <w:rPr>
            <w:rStyle w:val="Hypertextovodkaz"/>
          </w:rPr>
          <w:t>www.voda.gov.cz</w:t>
        </w:r>
      </w:hyperlink>
      <w:r w:rsidRPr="00B57D15">
        <w:rPr>
          <w:rFonts w:cs="Arial"/>
        </w:rPr>
        <w:t xml:space="preserve">, </w:t>
      </w:r>
      <w:r w:rsidRPr="00B57D15">
        <w:t xml:space="preserve">který nahradil dosavadní řešení provozované společností CENIA dostupné z EAGRI. Základním cílem portálu je na jednom místě souhrnně </w:t>
      </w:r>
      <w:r w:rsidRPr="00B57D15">
        <w:br/>
        <w:t>a jednotně prezentovat informace o vodním hospodářství nezávisle na dělení kompetencí ve vodním hospodářství.</w:t>
      </w:r>
    </w:p>
    <w:p w14:paraId="56218607" w14:textId="77777777" w:rsidR="000943A9" w:rsidRPr="00104F7D" w:rsidRDefault="000943A9" w:rsidP="000943A9">
      <w:pPr>
        <w:rPr>
          <w:rFonts w:cs="Arial"/>
          <w:color w:val="FF0000"/>
          <w:highlight w:val="yellow"/>
        </w:rPr>
      </w:pPr>
    </w:p>
    <w:p w14:paraId="5F1F920F" w14:textId="0AD5E05B" w:rsidR="000943A9" w:rsidRPr="003A225A" w:rsidRDefault="000943A9" w:rsidP="000943A9">
      <w:pPr>
        <w:rPr>
          <w:b/>
        </w:rPr>
      </w:pPr>
      <w:r w:rsidRPr="003A225A">
        <w:rPr>
          <w:b/>
        </w:rPr>
        <w:t>Na správu významných a drobných vodních toků vynaložili v roce 202</w:t>
      </w:r>
      <w:r w:rsidR="00894131">
        <w:rPr>
          <w:b/>
        </w:rPr>
        <w:t>5</w:t>
      </w:r>
      <w:r w:rsidRPr="003A225A">
        <w:rPr>
          <w:b/>
        </w:rPr>
        <w:t xml:space="preserve"> správci vodních toků v působnosti Ministerstva zemědělství finanční prostředky</w:t>
      </w:r>
      <w:r w:rsidR="008F1AA5" w:rsidRPr="003A225A">
        <w:rPr>
          <w:b/>
        </w:rPr>
        <w:t xml:space="preserve"> z vlastních i cizích zdrojů</w:t>
      </w:r>
      <w:r w:rsidRPr="003A225A">
        <w:rPr>
          <w:b/>
        </w:rPr>
        <w:t xml:space="preserve"> v celkové výši </w:t>
      </w:r>
      <w:r w:rsidR="00B57BAC" w:rsidRPr="003A225A">
        <w:rPr>
          <w:b/>
          <w:shd w:val="clear" w:color="auto" w:fill="FFFFFF"/>
        </w:rPr>
        <w:t>3</w:t>
      </w:r>
      <w:r w:rsidR="00FD70FF" w:rsidRPr="003A225A">
        <w:rPr>
          <w:b/>
          <w:shd w:val="clear" w:color="auto" w:fill="FFFFFF"/>
        </w:rPr>
        <w:t>,</w:t>
      </w:r>
      <w:r w:rsidR="003A225A" w:rsidRPr="003A225A">
        <w:rPr>
          <w:b/>
          <w:shd w:val="clear" w:color="auto" w:fill="FFFFFF"/>
        </w:rPr>
        <w:t>4</w:t>
      </w:r>
      <w:r w:rsidR="00FD70FF" w:rsidRPr="003A225A">
        <w:rPr>
          <w:b/>
          <w:shd w:val="clear" w:color="auto" w:fill="FFFFFF"/>
        </w:rPr>
        <w:t xml:space="preserve"> mld</w:t>
      </w:r>
      <w:r w:rsidRPr="003A225A">
        <w:rPr>
          <w:b/>
        </w:rPr>
        <w:t>.</w:t>
      </w:r>
      <w:r w:rsidR="00C75C2A" w:rsidRPr="003A225A">
        <w:rPr>
          <w:b/>
        </w:rPr>
        <w:t> </w:t>
      </w:r>
      <w:r w:rsidRPr="003A225A">
        <w:rPr>
          <w:b/>
        </w:rPr>
        <w:t>Kč</w:t>
      </w:r>
      <w:r w:rsidR="00FD70FF" w:rsidRPr="003A225A">
        <w:rPr>
          <w:b/>
        </w:rPr>
        <w:t>.</w:t>
      </w:r>
    </w:p>
    <w:p w14:paraId="593337AB" w14:textId="77777777" w:rsidR="00BA6AFE" w:rsidRPr="003A225A" w:rsidRDefault="00BA6AFE" w:rsidP="007C4955">
      <w:pPr>
        <w:contextualSpacing/>
        <w:rPr>
          <w:b/>
          <w:i/>
          <w:color w:val="FF0000"/>
        </w:rPr>
      </w:pPr>
    </w:p>
    <w:p w14:paraId="1CEB7C61" w14:textId="77777777" w:rsidR="007375D6" w:rsidRPr="003A225A" w:rsidRDefault="00962E64" w:rsidP="007C4955">
      <w:pPr>
        <w:contextualSpacing/>
        <w:rPr>
          <w:b/>
          <w:i/>
        </w:rPr>
      </w:pPr>
      <w:r w:rsidRPr="003A225A">
        <w:rPr>
          <w:b/>
          <w:i/>
        </w:rPr>
        <w:t xml:space="preserve">Graf </w:t>
      </w:r>
      <w:r w:rsidR="007375D6" w:rsidRPr="003A225A">
        <w:rPr>
          <w:b/>
          <w:i/>
        </w:rPr>
        <w:t>6.</w:t>
      </w:r>
      <w:r w:rsidR="004B6E55" w:rsidRPr="003A225A">
        <w:rPr>
          <w:b/>
          <w:i/>
        </w:rPr>
        <w:t>1</w:t>
      </w:r>
      <w:r w:rsidR="007375D6" w:rsidRPr="003A225A">
        <w:rPr>
          <w:b/>
          <w:i/>
        </w:rPr>
        <w:t>.</w:t>
      </w:r>
      <w:r w:rsidRPr="003A225A">
        <w:rPr>
          <w:b/>
          <w:i/>
        </w:rPr>
        <w:t>1</w:t>
      </w:r>
      <w:r w:rsidR="007375D6" w:rsidRPr="003A225A">
        <w:rPr>
          <w:b/>
          <w:i/>
        </w:rPr>
        <w:t>  </w:t>
      </w:r>
    </w:p>
    <w:p w14:paraId="110F663D" w14:textId="7878A579" w:rsidR="007375D6" w:rsidRPr="003A225A" w:rsidRDefault="007375D6" w:rsidP="007C4955">
      <w:pPr>
        <w:contextualSpacing/>
        <w:rPr>
          <w:b/>
          <w:i/>
        </w:rPr>
      </w:pPr>
      <w:r w:rsidRPr="003A225A">
        <w:rPr>
          <w:b/>
          <w:i/>
        </w:rPr>
        <w:t>Vynaložené finanční prostředky na správu vodních toků v roce 20</w:t>
      </w:r>
      <w:r w:rsidR="00630F85" w:rsidRPr="003A225A">
        <w:rPr>
          <w:b/>
          <w:i/>
        </w:rPr>
        <w:t>2</w:t>
      </w:r>
      <w:r w:rsidR="003A225A">
        <w:rPr>
          <w:b/>
          <w:i/>
        </w:rPr>
        <w:t>5</w:t>
      </w:r>
    </w:p>
    <w:p w14:paraId="16D1F333" w14:textId="3CECBE4E" w:rsidR="0070423C" w:rsidRPr="00104F7D" w:rsidRDefault="006D568B" w:rsidP="007C4955">
      <w:pPr>
        <w:contextualSpacing/>
        <w:rPr>
          <w:rFonts w:cs="Arial"/>
          <w:b/>
          <w:color w:val="FF0000"/>
          <w:highlight w:val="yellow"/>
        </w:rPr>
      </w:pPr>
      <w:r>
        <w:rPr>
          <w:noProof/>
        </w:rPr>
        <w:drawing>
          <wp:inline distT="0" distB="0" distL="0" distR="0" wp14:anchorId="614D957E" wp14:editId="0C23BBE9">
            <wp:extent cx="5724849" cy="2579396"/>
            <wp:effectExtent l="0" t="0" r="9525" b="11430"/>
            <wp:docPr id="276163251" name="Graf 1">
              <a:extLst xmlns:a="http://schemas.openxmlformats.org/drawingml/2006/main">
                <a:ext uri="{FF2B5EF4-FFF2-40B4-BE49-F238E27FC236}">
                  <a16:creationId xmlns:a16="http://schemas.microsoft.com/office/drawing/2014/main" id="{C36FE7E1-9F8D-0CAB-BD37-C5ABC2B651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0F6BB87B" w14:textId="77777777" w:rsidR="00962E64" w:rsidRPr="009444CD" w:rsidRDefault="00962E64" w:rsidP="00962E64">
      <w:pPr>
        <w:contextualSpacing/>
        <w:rPr>
          <w:rFonts w:cs="Arial"/>
          <w:i/>
          <w:sz w:val="20"/>
          <w:szCs w:val="20"/>
        </w:rPr>
      </w:pPr>
      <w:r w:rsidRPr="009444CD">
        <w:rPr>
          <w:rFonts w:cs="Arial"/>
          <w:i/>
          <w:sz w:val="20"/>
          <w:szCs w:val="20"/>
        </w:rPr>
        <w:t>Pramen: MZe</w:t>
      </w:r>
    </w:p>
    <w:p w14:paraId="32910F11" w14:textId="77777777" w:rsidR="00962E64" w:rsidRPr="009444CD" w:rsidRDefault="00962E64" w:rsidP="00962E64">
      <w:pPr>
        <w:contextualSpacing/>
        <w:rPr>
          <w:rFonts w:cs="Arial"/>
          <w:i/>
          <w:sz w:val="20"/>
          <w:szCs w:val="20"/>
        </w:rPr>
      </w:pPr>
      <w:r w:rsidRPr="009444CD">
        <w:rPr>
          <w:rFonts w:cs="Arial"/>
          <w:i/>
          <w:sz w:val="20"/>
          <w:szCs w:val="20"/>
        </w:rPr>
        <w:t xml:space="preserve">Pozn.: </w:t>
      </w:r>
      <w:r w:rsidRPr="009444CD">
        <w:rPr>
          <w:rFonts w:cs="Arial"/>
          <w:sz w:val="20"/>
          <w:szCs w:val="20"/>
          <w:vertAlign w:val="superscript"/>
        </w:rPr>
        <w:t xml:space="preserve">*) </w:t>
      </w:r>
      <w:r w:rsidRPr="009444CD">
        <w:rPr>
          <w:rFonts w:cs="Arial"/>
          <w:i/>
          <w:sz w:val="20"/>
          <w:szCs w:val="20"/>
        </w:rPr>
        <w:t>Položka zahrnuje finanční prostředky na správu vodních toků a vodních nádrží.</w:t>
      </w:r>
    </w:p>
    <w:p w14:paraId="01FBC47D" w14:textId="77777777" w:rsidR="00962E64" w:rsidRPr="00104F7D" w:rsidRDefault="00962E64" w:rsidP="007C4955">
      <w:pPr>
        <w:contextualSpacing/>
        <w:rPr>
          <w:rFonts w:cs="Arial"/>
          <w:b/>
          <w:color w:val="FF0000"/>
          <w:highlight w:val="yellow"/>
        </w:rPr>
      </w:pPr>
    </w:p>
    <w:p w14:paraId="32ADA390" w14:textId="33BD332D" w:rsidR="005C3DF4" w:rsidRPr="008B78B5" w:rsidRDefault="005C3DF4" w:rsidP="007C4955">
      <w:pPr>
        <w:contextualSpacing/>
        <w:rPr>
          <w:rFonts w:cs="Arial"/>
          <w:b/>
        </w:rPr>
      </w:pPr>
      <w:r w:rsidRPr="008B78B5">
        <w:rPr>
          <w:rFonts w:cs="Arial"/>
          <w:b/>
        </w:rPr>
        <w:t>Pořizovací hodnota dlouhodobého hmotného majetku souvisejícího s vodními toky v roce 20</w:t>
      </w:r>
      <w:r w:rsidR="0070423C" w:rsidRPr="008B78B5">
        <w:rPr>
          <w:rFonts w:cs="Arial"/>
          <w:b/>
        </w:rPr>
        <w:t>2</w:t>
      </w:r>
      <w:r w:rsidR="00D73773" w:rsidRPr="008B78B5">
        <w:rPr>
          <w:rFonts w:cs="Arial"/>
          <w:b/>
        </w:rPr>
        <w:t>5</w:t>
      </w:r>
      <w:r w:rsidRPr="008B78B5">
        <w:rPr>
          <w:rFonts w:cs="Arial"/>
          <w:b/>
        </w:rPr>
        <w:t xml:space="preserve"> </w:t>
      </w:r>
      <w:r w:rsidR="008E7DEF" w:rsidRPr="008B78B5">
        <w:rPr>
          <w:rFonts w:cs="Arial"/>
          <w:b/>
        </w:rPr>
        <w:t>oproti předchozímu roku</w:t>
      </w:r>
      <w:r w:rsidR="00630F85" w:rsidRPr="008B78B5">
        <w:rPr>
          <w:rFonts w:cs="Arial"/>
          <w:b/>
        </w:rPr>
        <w:t xml:space="preserve"> vzrostla</w:t>
      </w:r>
      <w:r w:rsidR="008E7DEF" w:rsidRPr="008B78B5">
        <w:rPr>
          <w:rFonts w:cs="Arial"/>
          <w:b/>
        </w:rPr>
        <w:t xml:space="preserve"> o</w:t>
      </w:r>
      <w:r w:rsidR="00630F85" w:rsidRPr="008B78B5">
        <w:rPr>
          <w:rFonts w:cs="Arial"/>
          <w:b/>
        </w:rPr>
        <w:t xml:space="preserve"> </w:t>
      </w:r>
      <w:r w:rsidR="000939C4" w:rsidRPr="008B78B5">
        <w:rPr>
          <w:rFonts w:cs="Arial"/>
          <w:b/>
        </w:rPr>
        <w:t>0,</w:t>
      </w:r>
      <w:r w:rsidR="00303BBA" w:rsidRPr="008B78B5">
        <w:rPr>
          <w:rFonts w:cs="Arial"/>
          <w:b/>
        </w:rPr>
        <w:t>6</w:t>
      </w:r>
      <w:r w:rsidR="008E7DEF" w:rsidRPr="008B78B5">
        <w:rPr>
          <w:rFonts w:cs="Arial"/>
          <w:b/>
        </w:rPr>
        <w:t xml:space="preserve"> mld. Kč </w:t>
      </w:r>
      <w:r w:rsidR="004723EE" w:rsidRPr="008B78B5">
        <w:rPr>
          <w:rFonts w:cs="Arial"/>
          <w:b/>
        </w:rPr>
        <w:t>téměř</w:t>
      </w:r>
      <w:r w:rsidR="000939C4" w:rsidRPr="008B78B5">
        <w:rPr>
          <w:rFonts w:cs="Arial"/>
          <w:b/>
        </w:rPr>
        <w:t xml:space="preserve"> </w:t>
      </w:r>
      <w:r w:rsidR="00F5391B" w:rsidRPr="008B78B5">
        <w:rPr>
          <w:rFonts w:cs="Arial"/>
          <w:b/>
        </w:rPr>
        <w:t>6</w:t>
      </w:r>
      <w:r w:rsidR="004723EE" w:rsidRPr="008B78B5">
        <w:rPr>
          <w:rFonts w:cs="Arial"/>
          <w:b/>
        </w:rPr>
        <w:t>1</w:t>
      </w:r>
      <w:r w:rsidR="008E7DEF" w:rsidRPr="008B78B5">
        <w:rPr>
          <w:rFonts w:cs="Arial"/>
          <w:b/>
        </w:rPr>
        <w:t xml:space="preserve"> </w:t>
      </w:r>
      <w:r w:rsidRPr="008B78B5">
        <w:rPr>
          <w:rFonts w:cs="Arial"/>
          <w:b/>
        </w:rPr>
        <w:t xml:space="preserve">mld. Kč. </w:t>
      </w:r>
    </w:p>
    <w:p w14:paraId="4A688EFA" w14:textId="77777777" w:rsidR="0070423C" w:rsidRPr="008B78B5" w:rsidRDefault="0070423C" w:rsidP="007C4955">
      <w:pPr>
        <w:contextualSpacing/>
        <w:rPr>
          <w:rFonts w:cs="Arial"/>
          <w:b/>
        </w:rPr>
      </w:pPr>
    </w:p>
    <w:p w14:paraId="2841D820" w14:textId="7EE1C8F6" w:rsidR="000943A9" w:rsidRPr="008B78B5" w:rsidRDefault="000943A9" w:rsidP="000943A9">
      <w:pPr>
        <w:rPr>
          <w:rFonts w:cs="Arial"/>
        </w:rPr>
      </w:pPr>
      <w:r w:rsidRPr="008B78B5">
        <w:rPr>
          <w:rFonts w:cs="Arial"/>
        </w:rPr>
        <w:t>Meziroční nárůst vyjadřuje převážně přírůstky dlouhodobého hmotného majetku získaného obnovou a plánovaným rozvojem svěřeného majetku formou běžné investiční výstavby a průběžným zařazováním převzatého majetku a dokončených vodních děl. Ani v roce 202</w:t>
      </w:r>
      <w:r w:rsidR="008B78B5" w:rsidRPr="008B78B5">
        <w:rPr>
          <w:rFonts w:cs="Arial"/>
        </w:rPr>
        <w:t>5</w:t>
      </w:r>
      <w:r w:rsidRPr="008B78B5">
        <w:rPr>
          <w:rFonts w:cs="Arial"/>
        </w:rPr>
        <w:t xml:space="preserve"> žádný ze správců vodních toků nedokončil, nekolaudoval ani nepřevedl do užívání vodní dílo, které by významně ovlivnilo ukazatele vyjadřující pořizovací hodnoty dlouhodobého hmotného majetku. </w:t>
      </w:r>
    </w:p>
    <w:p w14:paraId="010D0C29" w14:textId="77777777" w:rsidR="00630F85" w:rsidRPr="00104F7D" w:rsidRDefault="00630F85" w:rsidP="007C4955">
      <w:pPr>
        <w:contextualSpacing/>
        <w:rPr>
          <w:b/>
          <w:i/>
          <w:color w:val="FF0000"/>
          <w:highlight w:val="yellow"/>
        </w:rPr>
      </w:pPr>
      <w:bookmarkStart w:id="55" w:name="_Toc482564944"/>
    </w:p>
    <w:p w14:paraId="6C982DC6" w14:textId="77777777" w:rsidR="005C3DF4" w:rsidRPr="00D73773" w:rsidRDefault="005C3DF4" w:rsidP="007C4955">
      <w:pPr>
        <w:contextualSpacing/>
        <w:rPr>
          <w:b/>
          <w:i/>
        </w:rPr>
      </w:pPr>
      <w:r w:rsidRPr="00D73773">
        <w:rPr>
          <w:b/>
          <w:i/>
        </w:rPr>
        <w:t>Tabulka 6.1.</w:t>
      </w:r>
      <w:bookmarkEnd w:id="55"/>
      <w:r w:rsidR="0069387B" w:rsidRPr="00D73773">
        <w:rPr>
          <w:b/>
          <w:i/>
        </w:rPr>
        <w:t>2</w:t>
      </w:r>
    </w:p>
    <w:p w14:paraId="2520FD91" w14:textId="77777777" w:rsidR="005C3DF4" w:rsidRPr="00D73773" w:rsidRDefault="005C3DF4" w:rsidP="007C4955">
      <w:pPr>
        <w:contextualSpacing/>
        <w:rPr>
          <w:b/>
          <w:i/>
        </w:rPr>
      </w:pPr>
      <w:bookmarkStart w:id="56" w:name="_Toc482564945"/>
      <w:r w:rsidRPr="00D73773">
        <w:rPr>
          <w:b/>
          <w:i/>
        </w:rPr>
        <w:t>Pořizovací hodnota dlouhodobého hmotného majetku souvisejícího s vodními toky</w:t>
      </w:r>
      <w:bookmarkEnd w:id="56"/>
      <w:r w:rsidRPr="00D73773">
        <w:rPr>
          <w:b/>
          <w:i/>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20"/>
        <w:gridCol w:w="2854"/>
        <w:gridCol w:w="2854"/>
      </w:tblGrid>
      <w:tr w:rsidR="00371B13" w:rsidRPr="00D73773" w14:paraId="7D133427" w14:textId="77777777" w:rsidTr="00444172">
        <w:trPr>
          <w:trHeight w:val="20"/>
        </w:trPr>
        <w:tc>
          <w:tcPr>
            <w:tcW w:w="2036" w:type="pct"/>
            <w:vMerge w:val="restart"/>
            <w:shd w:val="clear" w:color="auto" w:fill="BFBFBF"/>
            <w:vAlign w:val="center"/>
            <w:hideMark/>
          </w:tcPr>
          <w:p w14:paraId="7DAC739F" w14:textId="77777777" w:rsidR="000943A9" w:rsidRPr="00D73773" w:rsidRDefault="000943A9" w:rsidP="000943A9">
            <w:pPr>
              <w:contextualSpacing/>
              <w:rPr>
                <w:rFonts w:cs="Arial"/>
                <w:b/>
                <w:bCs/>
                <w:sz w:val="18"/>
                <w:szCs w:val="18"/>
              </w:rPr>
            </w:pPr>
            <w:r w:rsidRPr="00D73773">
              <w:rPr>
                <w:rFonts w:cs="Arial"/>
                <w:b/>
                <w:bCs/>
                <w:sz w:val="18"/>
                <w:szCs w:val="18"/>
              </w:rPr>
              <w:t xml:space="preserve">Správci vodních toků </w:t>
            </w:r>
          </w:p>
        </w:tc>
        <w:tc>
          <w:tcPr>
            <w:tcW w:w="1482" w:type="pct"/>
            <w:shd w:val="clear" w:color="auto" w:fill="BFBFBF"/>
            <w:vAlign w:val="center"/>
            <w:hideMark/>
          </w:tcPr>
          <w:p w14:paraId="5BDC93B2" w14:textId="22D7B7DC" w:rsidR="000943A9" w:rsidRPr="00D73773" w:rsidRDefault="000943A9" w:rsidP="000943A9">
            <w:pPr>
              <w:contextualSpacing/>
              <w:jc w:val="center"/>
              <w:rPr>
                <w:rFonts w:cs="Arial"/>
                <w:b/>
                <w:bCs/>
                <w:sz w:val="18"/>
                <w:szCs w:val="18"/>
              </w:rPr>
            </w:pPr>
            <w:r w:rsidRPr="00D73773">
              <w:rPr>
                <w:rFonts w:cs="Arial"/>
                <w:b/>
                <w:bCs/>
                <w:sz w:val="18"/>
                <w:szCs w:val="18"/>
              </w:rPr>
              <w:t>202</w:t>
            </w:r>
            <w:r w:rsidR="00A413E2" w:rsidRPr="00D73773">
              <w:rPr>
                <w:rFonts w:cs="Arial"/>
                <w:b/>
                <w:bCs/>
                <w:sz w:val="18"/>
                <w:szCs w:val="18"/>
              </w:rPr>
              <w:t>4</w:t>
            </w:r>
          </w:p>
        </w:tc>
        <w:tc>
          <w:tcPr>
            <w:tcW w:w="1482" w:type="pct"/>
            <w:shd w:val="clear" w:color="auto" w:fill="BFBFBF"/>
            <w:vAlign w:val="center"/>
          </w:tcPr>
          <w:p w14:paraId="381AF419" w14:textId="6CCD77D7" w:rsidR="000943A9" w:rsidRPr="00D73773" w:rsidRDefault="000943A9" w:rsidP="000943A9">
            <w:pPr>
              <w:contextualSpacing/>
              <w:jc w:val="center"/>
              <w:rPr>
                <w:rFonts w:cs="Arial"/>
                <w:b/>
                <w:bCs/>
                <w:sz w:val="18"/>
                <w:szCs w:val="18"/>
              </w:rPr>
            </w:pPr>
            <w:r w:rsidRPr="00D73773">
              <w:rPr>
                <w:rFonts w:cs="Arial"/>
                <w:b/>
                <w:bCs/>
                <w:sz w:val="18"/>
                <w:szCs w:val="18"/>
              </w:rPr>
              <w:t>202</w:t>
            </w:r>
            <w:r w:rsidR="00A413E2" w:rsidRPr="00D73773">
              <w:rPr>
                <w:rFonts w:cs="Arial"/>
                <w:b/>
                <w:bCs/>
                <w:sz w:val="18"/>
                <w:szCs w:val="18"/>
              </w:rPr>
              <w:t>5</w:t>
            </w:r>
          </w:p>
        </w:tc>
      </w:tr>
      <w:tr w:rsidR="00371B13" w:rsidRPr="00D73773" w14:paraId="13CC045C" w14:textId="77777777" w:rsidTr="00444172">
        <w:trPr>
          <w:trHeight w:val="20"/>
        </w:trPr>
        <w:tc>
          <w:tcPr>
            <w:tcW w:w="2036" w:type="pct"/>
            <w:vMerge/>
            <w:shd w:val="clear" w:color="auto" w:fill="BFBFBF"/>
            <w:vAlign w:val="center"/>
          </w:tcPr>
          <w:p w14:paraId="64C4AA89" w14:textId="77777777" w:rsidR="000943A9" w:rsidRPr="00D73773" w:rsidRDefault="000943A9" w:rsidP="000943A9">
            <w:pPr>
              <w:contextualSpacing/>
              <w:rPr>
                <w:rFonts w:cs="Arial"/>
                <w:b/>
                <w:bCs/>
                <w:sz w:val="18"/>
                <w:szCs w:val="18"/>
              </w:rPr>
            </w:pPr>
          </w:p>
        </w:tc>
        <w:tc>
          <w:tcPr>
            <w:tcW w:w="2964" w:type="pct"/>
            <w:gridSpan w:val="2"/>
            <w:shd w:val="clear" w:color="auto" w:fill="BFBFBF"/>
            <w:vAlign w:val="center"/>
          </w:tcPr>
          <w:p w14:paraId="67CF3909" w14:textId="77777777" w:rsidR="000943A9" w:rsidRPr="00D73773" w:rsidRDefault="000943A9" w:rsidP="000943A9">
            <w:pPr>
              <w:contextualSpacing/>
              <w:jc w:val="center"/>
              <w:rPr>
                <w:rFonts w:cs="Arial"/>
                <w:b/>
                <w:bCs/>
                <w:sz w:val="18"/>
                <w:szCs w:val="18"/>
              </w:rPr>
            </w:pPr>
            <w:r w:rsidRPr="00D73773">
              <w:rPr>
                <w:rFonts w:cs="Arial"/>
                <w:b/>
                <w:bCs/>
                <w:sz w:val="18"/>
                <w:szCs w:val="18"/>
              </w:rPr>
              <w:t>mld. Kč</w:t>
            </w:r>
          </w:p>
        </w:tc>
      </w:tr>
      <w:tr w:rsidR="00D73773" w:rsidRPr="00D73773" w14:paraId="488D3BAB" w14:textId="77777777" w:rsidTr="00DF4ED8">
        <w:trPr>
          <w:trHeight w:val="20"/>
        </w:trPr>
        <w:tc>
          <w:tcPr>
            <w:tcW w:w="2036" w:type="pct"/>
            <w:vAlign w:val="center"/>
            <w:hideMark/>
          </w:tcPr>
          <w:p w14:paraId="14CFFB17" w14:textId="77777777" w:rsidR="00D73773" w:rsidRPr="00D73773" w:rsidRDefault="00D73773" w:rsidP="00D73773">
            <w:pPr>
              <w:contextualSpacing/>
              <w:rPr>
                <w:rFonts w:cs="Arial"/>
                <w:sz w:val="18"/>
                <w:szCs w:val="18"/>
              </w:rPr>
            </w:pPr>
            <w:r w:rsidRPr="00D73773">
              <w:rPr>
                <w:rFonts w:cs="Arial"/>
                <w:sz w:val="18"/>
                <w:szCs w:val="18"/>
              </w:rPr>
              <w:t>Povodí Labe</w:t>
            </w:r>
          </w:p>
        </w:tc>
        <w:tc>
          <w:tcPr>
            <w:tcW w:w="1482" w:type="pct"/>
            <w:vAlign w:val="bottom"/>
          </w:tcPr>
          <w:p w14:paraId="09E067A4" w14:textId="3B8075D3" w:rsidR="00D73773" w:rsidRPr="00D73773" w:rsidRDefault="00D73773" w:rsidP="00D73773">
            <w:pPr>
              <w:ind w:right="780"/>
              <w:contextualSpacing/>
              <w:jc w:val="right"/>
              <w:rPr>
                <w:rFonts w:cs="Arial"/>
                <w:sz w:val="18"/>
                <w:szCs w:val="18"/>
              </w:rPr>
            </w:pPr>
            <w:r w:rsidRPr="00D73773">
              <w:rPr>
                <w:rFonts w:cs="Arial"/>
                <w:color w:val="000000"/>
                <w:sz w:val="18"/>
                <w:szCs w:val="18"/>
              </w:rPr>
              <w:t>11,10</w:t>
            </w:r>
          </w:p>
        </w:tc>
        <w:tc>
          <w:tcPr>
            <w:tcW w:w="1482" w:type="pct"/>
            <w:vAlign w:val="bottom"/>
          </w:tcPr>
          <w:p w14:paraId="00F4C098" w14:textId="6280B722" w:rsidR="00D73773" w:rsidRPr="00D73773" w:rsidRDefault="00D73773" w:rsidP="00D73773">
            <w:pPr>
              <w:contextualSpacing/>
              <w:jc w:val="center"/>
              <w:rPr>
                <w:sz w:val="18"/>
                <w:szCs w:val="18"/>
              </w:rPr>
            </w:pPr>
            <w:r w:rsidRPr="00D73773">
              <w:rPr>
                <w:rFonts w:cs="Arial"/>
                <w:color w:val="000000"/>
                <w:sz w:val="18"/>
                <w:szCs w:val="18"/>
              </w:rPr>
              <w:t>11,16</w:t>
            </w:r>
          </w:p>
        </w:tc>
      </w:tr>
      <w:tr w:rsidR="00D73773" w:rsidRPr="00D73773" w14:paraId="4BC1F108" w14:textId="77777777" w:rsidTr="00DF4ED8">
        <w:trPr>
          <w:trHeight w:val="20"/>
        </w:trPr>
        <w:tc>
          <w:tcPr>
            <w:tcW w:w="2036" w:type="pct"/>
            <w:vAlign w:val="center"/>
            <w:hideMark/>
          </w:tcPr>
          <w:p w14:paraId="6D36EEA7" w14:textId="77777777" w:rsidR="00D73773" w:rsidRPr="00D73773" w:rsidRDefault="00D73773" w:rsidP="00D73773">
            <w:pPr>
              <w:contextualSpacing/>
              <w:rPr>
                <w:rFonts w:cs="Arial"/>
                <w:sz w:val="18"/>
                <w:szCs w:val="18"/>
              </w:rPr>
            </w:pPr>
            <w:r w:rsidRPr="00D73773">
              <w:rPr>
                <w:rFonts w:cs="Arial"/>
                <w:sz w:val="18"/>
                <w:szCs w:val="18"/>
              </w:rPr>
              <w:t>Povodí Vltavy</w:t>
            </w:r>
          </w:p>
        </w:tc>
        <w:tc>
          <w:tcPr>
            <w:tcW w:w="1482" w:type="pct"/>
            <w:vAlign w:val="bottom"/>
          </w:tcPr>
          <w:p w14:paraId="6F6E78AC" w14:textId="6D70F29D" w:rsidR="00D73773" w:rsidRPr="00D73773" w:rsidRDefault="00D73773" w:rsidP="00D73773">
            <w:pPr>
              <w:ind w:right="780"/>
              <w:contextualSpacing/>
              <w:jc w:val="right"/>
              <w:rPr>
                <w:rFonts w:cs="Arial"/>
                <w:sz w:val="18"/>
                <w:szCs w:val="18"/>
              </w:rPr>
            </w:pPr>
            <w:r w:rsidRPr="00D73773">
              <w:rPr>
                <w:rFonts w:cs="Arial"/>
                <w:color w:val="000000"/>
                <w:sz w:val="18"/>
                <w:szCs w:val="18"/>
              </w:rPr>
              <w:t>12,53</w:t>
            </w:r>
          </w:p>
        </w:tc>
        <w:tc>
          <w:tcPr>
            <w:tcW w:w="1482" w:type="pct"/>
            <w:vAlign w:val="bottom"/>
          </w:tcPr>
          <w:p w14:paraId="7C184FFF" w14:textId="021CFD90" w:rsidR="00D73773" w:rsidRPr="00D73773" w:rsidRDefault="00D73773" w:rsidP="00D73773">
            <w:pPr>
              <w:contextualSpacing/>
              <w:jc w:val="center"/>
              <w:rPr>
                <w:sz w:val="18"/>
                <w:szCs w:val="18"/>
              </w:rPr>
            </w:pPr>
            <w:r w:rsidRPr="00D73773">
              <w:rPr>
                <w:rFonts w:cs="Arial"/>
                <w:color w:val="000000"/>
                <w:sz w:val="18"/>
                <w:szCs w:val="18"/>
              </w:rPr>
              <w:t>12,65</w:t>
            </w:r>
          </w:p>
        </w:tc>
      </w:tr>
      <w:tr w:rsidR="00D73773" w:rsidRPr="00D73773" w14:paraId="4CB6CBED" w14:textId="77777777" w:rsidTr="00DF4ED8">
        <w:trPr>
          <w:trHeight w:val="20"/>
        </w:trPr>
        <w:tc>
          <w:tcPr>
            <w:tcW w:w="2036" w:type="pct"/>
            <w:vAlign w:val="center"/>
            <w:hideMark/>
          </w:tcPr>
          <w:p w14:paraId="6A48A26F" w14:textId="77777777" w:rsidR="00D73773" w:rsidRPr="00D73773" w:rsidRDefault="00D73773" w:rsidP="00D73773">
            <w:pPr>
              <w:contextualSpacing/>
              <w:rPr>
                <w:rFonts w:cs="Arial"/>
                <w:sz w:val="18"/>
                <w:szCs w:val="18"/>
              </w:rPr>
            </w:pPr>
            <w:r w:rsidRPr="00D73773">
              <w:rPr>
                <w:rFonts w:cs="Arial"/>
                <w:sz w:val="18"/>
                <w:szCs w:val="18"/>
              </w:rPr>
              <w:t>Povodí Ohře</w:t>
            </w:r>
          </w:p>
        </w:tc>
        <w:tc>
          <w:tcPr>
            <w:tcW w:w="1482" w:type="pct"/>
            <w:vAlign w:val="bottom"/>
          </w:tcPr>
          <w:p w14:paraId="7F8C770E" w14:textId="400AF65C" w:rsidR="00D73773" w:rsidRPr="00D73773" w:rsidRDefault="00D73773" w:rsidP="00D73773">
            <w:pPr>
              <w:ind w:right="780"/>
              <w:contextualSpacing/>
              <w:jc w:val="right"/>
              <w:rPr>
                <w:rFonts w:cs="Arial"/>
                <w:sz w:val="18"/>
                <w:szCs w:val="18"/>
              </w:rPr>
            </w:pPr>
            <w:r w:rsidRPr="00D73773">
              <w:rPr>
                <w:rFonts w:cs="Arial"/>
                <w:color w:val="000000"/>
                <w:sz w:val="18"/>
                <w:szCs w:val="18"/>
              </w:rPr>
              <w:t>11,43</w:t>
            </w:r>
          </w:p>
        </w:tc>
        <w:tc>
          <w:tcPr>
            <w:tcW w:w="1482" w:type="pct"/>
            <w:vAlign w:val="bottom"/>
          </w:tcPr>
          <w:p w14:paraId="4AC04228" w14:textId="5F2A8D43" w:rsidR="00D73773" w:rsidRPr="00D73773" w:rsidRDefault="00D73773" w:rsidP="00D73773">
            <w:pPr>
              <w:contextualSpacing/>
              <w:jc w:val="center"/>
              <w:rPr>
                <w:sz w:val="18"/>
                <w:szCs w:val="18"/>
              </w:rPr>
            </w:pPr>
            <w:r w:rsidRPr="00D73773">
              <w:rPr>
                <w:rFonts w:cs="Arial"/>
                <w:color w:val="000000"/>
                <w:sz w:val="18"/>
                <w:szCs w:val="18"/>
              </w:rPr>
              <w:t>11,51</w:t>
            </w:r>
          </w:p>
        </w:tc>
      </w:tr>
      <w:tr w:rsidR="00D73773" w:rsidRPr="00D73773" w14:paraId="7991ED85" w14:textId="77777777" w:rsidTr="00DF4ED8">
        <w:trPr>
          <w:trHeight w:val="20"/>
        </w:trPr>
        <w:tc>
          <w:tcPr>
            <w:tcW w:w="2036" w:type="pct"/>
            <w:vAlign w:val="center"/>
            <w:hideMark/>
          </w:tcPr>
          <w:p w14:paraId="1BBA234F" w14:textId="77777777" w:rsidR="00D73773" w:rsidRPr="00D73773" w:rsidRDefault="00D73773" w:rsidP="00D73773">
            <w:pPr>
              <w:contextualSpacing/>
              <w:rPr>
                <w:rFonts w:cs="Arial"/>
                <w:sz w:val="18"/>
                <w:szCs w:val="18"/>
              </w:rPr>
            </w:pPr>
            <w:r w:rsidRPr="00D73773">
              <w:rPr>
                <w:rFonts w:cs="Arial"/>
                <w:sz w:val="18"/>
                <w:szCs w:val="18"/>
              </w:rPr>
              <w:t>Povodí Odry</w:t>
            </w:r>
          </w:p>
        </w:tc>
        <w:tc>
          <w:tcPr>
            <w:tcW w:w="1482" w:type="pct"/>
            <w:vAlign w:val="bottom"/>
          </w:tcPr>
          <w:p w14:paraId="4EE949DE" w14:textId="5362CB2C" w:rsidR="00D73773" w:rsidRPr="00D73773" w:rsidRDefault="00D73773" w:rsidP="00D73773">
            <w:pPr>
              <w:ind w:right="780"/>
              <w:contextualSpacing/>
              <w:jc w:val="right"/>
              <w:rPr>
                <w:rFonts w:cs="Arial"/>
                <w:sz w:val="18"/>
                <w:szCs w:val="18"/>
              </w:rPr>
            </w:pPr>
            <w:r w:rsidRPr="00D73773">
              <w:rPr>
                <w:rFonts w:cs="Arial"/>
                <w:color w:val="000000"/>
                <w:sz w:val="18"/>
                <w:szCs w:val="18"/>
              </w:rPr>
              <w:t>6,79</w:t>
            </w:r>
          </w:p>
        </w:tc>
        <w:tc>
          <w:tcPr>
            <w:tcW w:w="1482" w:type="pct"/>
            <w:vAlign w:val="bottom"/>
          </w:tcPr>
          <w:p w14:paraId="66C39E04" w14:textId="32056E1C" w:rsidR="00D73773" w:rsidRPr="00D73773" w:rsidRDefault="00D73773" w:rsidP="00D73773">
            <w:pPr>
              <w:contextualSpacing/>
              <w:jc w:val="center"/>
              <w:rPr>
                <w:sz w:val="18"/>
                <w:szCs w:val="18"/>
              </w:rPr>
            </w:pPr>
            <w:r w:rsidRPr="00D73773">
              <w:rPr>
                <w:rFonts w:cs="Arial"/>
                <w:color w:val="000000"/>
                <w:sz w:val="18"/>
                <w:szCs w:val="18"/>
              </w:rPr>
              <w:t>6,91</w:t>
            </w:r>
          </w:p>
        </w:tc>
      </w:tr>
      <w:tr w:rsidR="00D73773" w:rsidRPr="00D73773" w14:paraId="6359E76D" w14:textId="77777777" w:rsidTr="00DF4ED8">
        <w:trPr>
          <w:trHeight w:val="20"/>
        </w:trPr>
        <w:tc>
          <w:tcPr>
            <w:tcW w:w="2036" w:type="pct"/>
            <w:vAlign w:val="center"/>
            <w:hideMark/>
          </w:tcPr>
          <w:p w14:paraId="6E5200FF" w14:textId="77777777" w:rsidR="00D73773" w:rsidRPr="00D73773" w:rsidRDefault="00D73773" w:rsidP="00D73773">
            <w:pPr>
              <w:contextualSpacing/>
              <w:rPr>
                <w:rFonts w:cs="Arial"/>
                <w:sz w:val="18"/>
                <w:szCs w:val="18"/>
              </w:rPr>
            </w:pPr>
            <w:r w:rsidRPr="00D73773">
              <w:rPr>
                <w:rFonts w:cs="Arial"/>
                <w:sz w:val="18"/>
                <w:szCs w:val="18"/>
              </w:rPr>
              <w:t>Povodí Moravy</w:t>
            </w:r>
          </w:p>
        </w:tc>
        <w:tc>
          <w:tcPr>
            <w:tcW w:w="1482" w:type="pct"/>
            <w:vAlign w:val="bottom"/>
          </w:tcPr>
          <w:p w14:paraId="5AFD363D" w14:textId="344CFF7A" w:rsidR="00D73773" w:rsidRPr="00D73773" w:rsidRDefault="00D73773" w:rsidP="00D73773">
            <w:pPr>
              <w:ind w:right="780"/>
              <w:contextualSpacing/>
              <w:jc w:val="right"/>
              <w:rPr>
                <w:rFonts w:cs="Arial"/>
                <w:sz w:val="18"/>
                <w:szCs w:val="18"/>
              </w:rPr>
            </w:pPr>
            <w:r w:rsidRPr="00D73773">
              <w:rPr>
                <w:rFonts w:cs="Arial"/>
                <w:color w:val="000000"/>
                <w:sz w:val="18"/>
                <w:szCs w:val="18"/>
              </w:rPr>
              <w:t>9,21</w:t>
            </w:r>
          </w:p>
        </w:tc>
        <w:tc>
          <w:tcPr>
            <w:tcW w:w="1482" w:type="pct"/>
            <w:vAlign w:val="bottom"/>
          </w:tcPr>
          <w:p w14:paraId="3F16A8E3" w14:textId="094522D3" w:rsidR="00D73773" w:rsidRPr="00D73773" w:rsidRDefault="00D73773" w:rsidP="00D73773">
            <w:pPr>
              <w:contextualSpacing/>
              <w:jc w:val="center"/>
              <w:rPr>
                <w:sz w:val="18"/>
                <w:szCs w:val="18"/>
              </w:rPr>
            </w:pPr>
            <w:r w:rsidRPr="00D73773">
              <w:rPr>
                <w:rFonts w:cs="Arial"/>
                <w:color w:val="000000"/>
                <w:sz w:val="18"/>
                <w:szCs w:val="18"/>
              </w:rPr>
              <w:t>9,2</w:t>
            </w:r>
            <w:r w:rsidR="004221DD">
              <w:rPr>
                <w:rFonts w:cs="Arial"/>
                <w:color w:val="000000"/>
                <w:sz w:val="18"/>
                <w:szCs w:val="18"/>
              </w:rPr>
              <w:t>6</w:t>
            </w:r>
          </w:p>
        </w:tc>
      </w:tr>
      <w:tr w:rsidR="00D73773" w:rsidRPr="00D73773" w14:paraId="0C8F54EA" w14:textId="77777777" w:rsidTr="00DF4ED8">
        <w:trPr>
          <w:trHeight w:val="20"/>
        </w:trPr>
        <w:tc>
          <w:tcPr>
            <w:tcW w:w="2036" w:type="pct"/>
            <w:shd w:val="clear" w:color="auto" w:fill="BFBFBF"/>
            <w:vAlign w:val="center"/>
            <w:hideMark/>
          </w:tcPr>
          <w:p w14:paraId="0B102E12" w14:textId="77777777" w:rsidR="00D73773" w:rsidRPr="00D73773" w:rsidRDefault="00D73773" w:rsidP="00D73773">
            <w:pPr>
              <w:contextualSpacing/>
              <w:rPr>
                <w:rFonts w:cs="Arial"/>
                <w:b/>
                <w:bCs/>
                <w:sz w:val="18"/>
                <w:szCs w:val="18"/>
              </w:rPr>
            </w:pPr>
            <w:r w:rsidRPr="00D73773">
              <w:rPr>
                <w:rFonts w:cs="Arial"/>
                <w:b/>
                <w:bCs/>
                <w:sz w:val="18"/>
                <w:szCs w:val="18"/>
              </w:rPr>
              <w:t>Celkem státní podniky Povodí</w:t>
            </w:r>
          </w:p>
        </w:tc>
        <w:tc>
          <w:tcPr>
            <w:tcW w:w="1482" w:type="pct"/>
            <w:shd w:val="clear" w:color="auto" w:fill="BFBFBF"/>
            <w:vAlign w:val="bottom"/>
          </w:tcPr>
          <w:p w14:paraId="06C42A7B" w14:textId="3C709B39" w:rsidR="00D73773" w:rsidRPr="00D73773" w:rsidRDefault="00D73773" w:rsidP="00D73773">
            <w:pPr>
              <w:ind w:right="780"/>
              <w:contextualSpacing/>
              <w:jc w:val="right"/>
              <w:rPr>
                <w:rFonts w:cs="Arial"/>
                <w:b/>
                <w:bCs/>
                <w:sz w:val="18"/>
                <w:szCs w:val="18"/>
              </w:rPr>
            </w:pPr>
            <w:r w:rsidRPr="00D73773">
              <w:rPr>
                <w:rFonts w:cs="Arial"/>
                <w:b/>
                <w:bCs/>
                <w:color w:val="000000"/>
                <w:sz w:val="18"/>
                <w:szCs w:val="18"/>
              </w:rPr>
              <w:t>51,06</w:t>
            </w:r>
          </w:p>
        </w:tc>
        <w:tc>
          <w:tcPr>
            <w:tcW w:w="1482" w:type="pct"/>
            <w:shd w:val="clear" w:color="auto" w:fill="BFBFBF"/>
            <w:vAlign w:val="bottom"/>
          </w:tcPr>
          <w:p w14:paraId="2E9E5E2B" w14:textId="6898A425" w:rsidR="00D73773" w:rsidRPr="00D73773" w:rsidRDefault="00D73773" w:rsidP="00D73773">
            <w:pPr>
              <w:contextualSpacing/>
              <w:jc w:val="center"/>
              <w:rPr>
                <w:b/>
                <w:bCs/>
                <w:sz w:val="18"/>
                <w:szCs w:val="18"/>
              </w:rPr>
            </w:pPr>
            <w:r w:rsidRPr="00D73773">
              <w:rPr>
                <w:rFonts w:cs="Arial"/>
                <w:b/>
                <w:bCs/>
                <w:color w:val="000000"/>
                <w:sz w:val="18"/>
                <w:szCs w:val="18"/>
              </w:rPr>
              <w:t>51,49</w:t>
            </w:r>
          </w:p>
        </w:tc>
      </w:tr>
      <w:tr w:rsidR="00D73773" w:rsidRPr="00D73773" w14:paraId="3475E286" w14:textId="77777777" w:rsidTr="00EC1043">
        <w:trPr>
          <w:trHeight w:val="20"/>
        </w:trPr>
        <w:tc>
          <w:tcPr>
            <w:tcW w:w="2036" w:type="pct"/>
            <w:vAlign w:val="center"/>
            <w:hideMark/>
          </w:tcPr>
          <w:p w14:paraId="71B95ECF" w14:textId="77777777" w:rsidR="00D73773" w:rsidRPr="00D73773" w:rsidRDefault="00D73773" w:rsidP="00D73773">
            <w:pPr>
              <w:contextualSpacing/>
              <w:rPr>
                <w:rFonts w:cs="Arial"/>
                <w:sz w:val="18"/>
                <w:szCs w:val="18"/>
              </w:rPr>
            </w:pPr>
            <w:r w:rsidRPr="00D73773">
              <w:rPr>
                <w:rFonts w:cs="Arial"/>
                <w:sz w:val="18"/>
                <w:szCs w:val="18"/>
              </w:rPr>
              <w:t>Lesy České republiky</w:t>
            </w:r>
          </w:p>
        </w:tc>
        <w:tc>
          <w:tcPr>
            <w:tcW w:w="1482" w:type="pct"/>
            <w:vAlign w:val="bottom"/>
          </w:tcPr>
          <w:p w14:paraId="6F77282D" w14:textId="5C697E94" w:rsidR="00D73773" w:rsidRPr="00D73773" w:rsidRDefault="00D73773" w:rsidP="00D73773">
            <w:pPr>
              <w:ind w:left="-507" w:right="780" w:firstLine="507"/>
              <w:contextualSpacing/>
              <w:jc w:val="right"/>
              <w:rPr>
                <w:rFonts w:cs="Arial"/>
                <w:sz w:val="18"/>
                <w:szCs w:val="18"/>
              </w:rPr>
            </w:pPr>
            <w:r w:rsidRPr="00D73773">
              <w:rPr>
                <w:rFonts w:cs="Arial"/>
                <w:color w:val="000000"/>
                <w:sz w:val="18"/>
                <w:szCs w:val="18"/>
              </w:rPr>
              <w:t>9,20</w:t>
            </w:r>
          </w:p>
        </w:tc>
        <w:tc>
          <w:tcPr>
            <w:tcW w:w="1482" w:type="pct"/>
            <w:vAlign w:val="bottom"/>
          </w:tcPr>
          <w:p w14:paraId="494D45A7" w14:textId="3C55BEB6" w:rsidR="00D73773" w:rsidRPr="00D73773" w:rsidRDefault="00D73773" w:rsidP="00D73773">
            <w:pPr>
              <w:ind w:left="-507" w:right="780" w:firstLine="1255"/>
              <w:contextualSpacing/>
              <w:jc w:val="center"/>
              <w:rPr>
                <w:rFonts w:cs="Arial"/>
                <w:sz w:val="18"/>
                <w:szCs w:val="18"/>
              </w:rPr>
            </w:pPr>
            <w:r w:rsidRPr="00D73773">
              <w:rPr>
                <w:rFonts w:cs="Arial"/>
                <w:color w:val="000000"/>
                <w:sz w:val="18"/>
                <w:szCs w:val="18"/>
              </w:rPr>
              <w:t>9,4</w:t>
            </w:r>
            <w:r w:rsidR="004221DD">
              <w:rPr>
                <w:rFonts w:cs="Arial"/>
                <w:color w:val="000000"/>
                <w:sz w:val="18"/>
                <w:szCs w:val="18"/>
              </w:rPr>
              <w:t>0</w:t>
            </w:r>
          </w:p>
        </w:tc>
      </w:tr>
      <w:tr w:rsidR="00D73773" w:rsidRPr="00104F7D" w14:paraId="5C618608" w14:textId="77777777" w:rsidTr="00EC1043">
        <w:trPr>
          <w:trHeight w:val="20"/>
        </w:trPr>
        <w:tc>
          <w:tcPr>
            <w:tcW w:w="2036" w:type="pct"/>
            <w:shd w:val="clear" w:color="auto" w:fill="BFBFBF"/>
            <w:vAlign w:val="center"/>
            <w:hideMark/>
          </w:tcPr>
          <w:p w14:paraId="297FF3C4" w14:textId="77777777" w:rsidR="00D73773" w:rsidRPr="00D73773" w:rsidRDefault="00D73773" w:rsidP="00D73773">
            <w:pPr>
              <w:contextualSpacing/>
              <w:rPr>
                <w:rFonts w:cs="Arial"/>
                <w:b/>
                <w:bCs/>
                <w:sz w:val="18"/>
                <w:szCs w:val="18"/>
              </w:rPr>
            </w:pPr>
            <w:r w:rsidRPr="00D73773">
              <w:rPr>
                <w:rFonts w:cs="Arial"/>
                <w:b/>
                <w:bCs/>
                <w:sz w:val="18"/>
                <w:szCs w:val="18"/>
              </w:rPr>
              <w:t xml:space="preserve">Celkem </w:t>
            </w:r>
          </w:p>
        </w:tc>
        <w:tc>
          <w:tcPr>
            <w:tcW w:w="1482" w:type="pct"/>
            <w:shd w:val="clear" w:color="auto" w:fill="BFBFBF"/>
            <w:vAlign w:val="center"/>
          </w:tcPr>
          <w:p w14:paraId="2CB76BD0" w14:textId="201FDE2F" w:rsidR="00D73773" w:rsidRPr="00D73773" w:rsidRDefault="00D73773" w:rsidP="00D73773">
            <w:pPr>
              <w:ind w:left="-486" w:right="780" w:firstLineChars="300" w:firstLine="542"/>
              <w:contextualSpacing/>
              <w:jc w:val="right"/>
              <w:rPr>
                <w:rFonts w:cs="Arial"/>
                <w:b/>
                <w:sz w:val="18"/>
                <w:szCs w:val="18"/>
              </w:rPr>
            </w:pPr>
            <w:r w:rsidRPr="00D73773">
              <w:rPr>
                <w:rFonts w:cs="Arial"/>
                <w:b/>
                <w:bCs/>
                <w:color w:val="000000"/>
                <w:sz w:val="18"/>
                <w:szCs w:val="18"/>
              </w:rPr>
              <w:t>60,26</w:t>
            </w:r>
          </w:p>
        </w:tc>
        <w:tc>
          <w:tcPr>
            <w:tcW w:w="1482" w:type="pct"/>
            <w:shd w:val="clear" w:color="auto" w:fill="BFBFBF"/>
            <w:vAlign w:val="center"/>
          </w:tcPr>
          <w:p w14:paraId="13AFDA97" w14:textId="7BBAE230" w:rsidR="00D73773" w:rsidRPr="00D73773" w:rsidRDefault="00D73773" w:rsidP="00D73773">
            <w:pPr>
              <w:ind w:right="780" w:firstLine="748"/>
              <w:contextualSpacing/>
              <w:jc w:val="center"/>
              <w:rPr>
                <w:rFonts w:cs="Arial"/>
                <w:b/>
                <w:sz w:val="18"/>
                <w:szCs w:val="18"/>
              </w:rPr>
            </w:pPr>
            <w:r w:rsidRPr="00D73773">
              <w:rPr>
                <w:rFonts w:cs="Arial"/>
                <w:b/>
                <w:bCs/>
                <w:color w:val="000000"/>
                <w:sz w:val="18"/>
                <w:szCs w:val="18"/>
              </w:rPr>
              <w:t>60,89</w:t>
            </w:r>
          </w:p>
        </w:tc>
      </w:tr>
    </w:tbl>
    <w:p w14:paraId="581F8435" w14:textId="15FC8861" w:rsidR="0027267B" w:rsidRPr="004221DD" w:rsidRDefault="005C3DF4" w:rsidP="55DFC2AA">
      <w:pPr>
        <w:pStyle w:val="Modrzprva-pramen"/>
        <w:contextualSpacing/>
        <w:rPr>
          <w:rFonts w:cs="Arial"/>
          <w:b w:val="0"/>
          <w:sz w:val="20"/>
          <w:szCs w:val="20"/>
          <w:lang w:val="en-US"/>
        </w:rPr>
      </w:pPr>
      <w:proofErr w:type="spellStart"/>
      <w:r w:rsidRPr="55DFC2AA">
        <w:rPr>
          <w:rFonts w:cs="Arial"/>
          <w:b w:val="0"/>
          <w:sz w:val="20"/>
          <w:szCs w:val="20"/>
          <w:lang w:val="en-US"/>
        </w:rPr>
        <w:t>Pramen</w:t>
      </w:r>
      <w:proofErr w:type="spellEnd"/>
      <w:r w:rsidRPr="55DFC2AA">
        <w:rPr>
          <w:rFonts w:cs="Arial"/>
          <w:b w:val="0"/>
          <w:sz w:val="20"/>
          <w:szCs w:val="20"/>
          <w:lang w:val="en-US"/>
        </w:rPr>
        <w:t>: MZe</w:t>
      </w:r>
    </w:p>
    <w:p w14:paraId="7BE50272" w14:textId="77777777" w:rsidR="00547C0E" w:rsidRPr="00D60831" w:rsidRDefault="00547C0E">
      <w:pPr>
        <w:pStyle w:val="Nadpis2"/>
        <w:numPr>
          <w:ilvl w:val="1"/>
          <w:numId w:val="13"/>
        </w:numPr>
        <w:spacing w:before="0"/>
        <w:contextualSpacing/>
      </w:pPr>
      <w:bookmarkStart w:id="57" w:name="_Toc10183421"/>
      <w:bookmarkStart w:id="58" w:name="_Toc236991625"/>
      <w:r w:rsidRPr="00D60831">
        <w:lastRenderedPageBreak/>
        <w:t>Státní podniky Povodí</w:t>
      </w:r>
      <w:bookmarkEnd w:id="57"/>
      <w:bookmarkEnd w:id="58"/>
    </w:p>
    <w:p w14:paraId="3BFB2B67" w14:textId="4B6741E7" w:rsidR="005A6402" w:rsidRPr="00D60831" w:rsidRDefault="00FC217A" w:rsidP="00FC217A">
      <w:pPr>
        <w:spacing w:before="240" w:after="240"/>
        <w:rPr>
          <w:rFonts w:cs="Arial"/>
          <w:b/>
        </w:rPr>
      </w:pPr>
      <w:r w:rsidRPr="00D60831">
        <w:rPr>
          <w:rFonts w:cs="Arial"/>
          <w:b/>
        </w:rPr>
        <w:t>Celkové výnosy státních podniků Povodí v roce 202</w:t>
      </w:r>
      <w:r w:rsidR="00055913" w:rsidRPr="00D60831">
        <w:rPr>
          <w:rFonts w:cs="Arial"/>
          <w:b/>
        </w:rPr>
        <w:t>5</w:t>
      </w:r>
      <w:r w:rsidRPr="00D60831">
        <w:rPr>
          <w:rFonts w:cs="Arial"/>
          <w:b/>
        </w:rPr>
        <w:t xml:space="preserve"> ve výši </w:t>
      </w:r>
      <w:r w:rsidR="00445D3F" w:rsidRPr="00D60831">
        <w:rPr>
          <w:rFonts w:cs="Arial"/>
          <w:b/>
        </w:rPr>
        <w:t xml:space="preserve">6 </w:t>
      </w:r>
      <w:r w:rsidR="007431F8" w:rsidRPr="00D60831">
        <w:rPr>
          <w:rFonts w:cs="Arial"/>
          <w:b/>
        </w:rPr>
        <w:t>5</w:t>
      </w:r>
      <w:r w:rsidR="007B1089" w:rsidRPr="00D60831">
        <w:rPr>
          <w:rFonts w:cs="Arial"/>
          <w:b/>
        </w:rPr>
        <w:t>10</w:t>
      </w:r>
      <w:r w:rsidRPr="00D60831">
        <w:rPr>
          <w:rFonts w:cs="Arial"/>
          <w:b/>
        </w:rPr>
        <w:t xml:space="preserve"> </w:t>
      </w:r>
      <w:r w:rsidR="000676F5" w:rsidRPr="00D60831">
        <w:rPr>
          <w:rFonts w:cs="Arial"/>
          <w:b/>
        </w:rPr>
        <w:t xml:space="preserve">mil. </w:t>
      </w:r>
      <w:r w:rsidRPr="00D60831">
        <w:rPr>
          <w:rFonts w:cs="Arial"/>
          <w:b/>
        </w:rPr>
        <w:t xml:space="preserve">Kč v porovnání s minulým rokem </w:t>
      </w:r>
      <w:r w:rsidR="007B1089" w:rsidRPr="00D60831">
        <w:rPr>
          <w:rFonts w:cs="Arial"/>
          <w:b/>
        </w:rPr>
        <w:t>klesly</w:t>
      </w:r>
      <w:r w:rsidRPr="00D60831">
        <w:rPr>
          <w:rFonts w:cs="Arial"/>
          <w:b/>
        </w:rPr>
        <w:t xml:space="preserve"> o </w:t>
      </w:r>
      <w:r w:rsidR="0022539C" w:rsidRPr="00D60831">
        <w:rPr>
          <w:rFonts w:cs="Arial"/>
          <w:b/>
        </w:rPr>
        <w:t>53</w:t>
      </w:r>
      <w:r w:rsidRPr="00D60831">
        <w:rPr>
          <w:rFonts w:cs="Arial"/>
          <w:b/>
        </w:rPr>
        <w:t xml:space="preserve"> mil. Kč, meziroční </w:t>
      </w:r>
      <w:r w:rsidR="0022539C" w:rsidRPr="00D60831">
        <w:rPr>
          <w:rFonts w:cs="Arial"/>
          <w:b/>
        </w:rPr>
        <w:t>pokles</w:t>
      </w:r>
      <w:r w:rsidRPr="00D60831">
        <w:rPr>
          <w:rFonts w:cs="Arial"/>
          <w:b/>
        </w:rPr>
        <w:t xml:space="preserve"> činil </w:t>
      </w:r>
      <w:r w:rsidR="00BD5751" w:rsidRPr="00D60831">
        <w:rPr>
          <w:rFonts w:cs="Arial"/>
          <w:b/>
        </w:rPr>
        <w:t>0,8</w:t>
      </w:r>
      <w:r w:rsidRPr="00D60831">
        <w:rPr>
          <w:rFonts w:cs="Arial"/>
          <w:b/>
        </w:rPr>
        <w:t xml:space="preserve"> %. Největší nárůst byl zaznamenán u </w:t>
      </w:r>
      <w:r w:rsidR="0004652B" w:rsidRPr="00D60831">
        <w:rPr>
          <w:rFonts w:cs="Arial"/>
          <w:b/>
        </w:rPr>
        <w:t>poskytnutých účelových neinvestičních dotací</w:t>
      </w:r>
      <w:r w:rsidR="005A6402" w:rsidRPr="00D60831">
        <w:rPr>
          <w:rFonts w:cs="Arial"/>
          <w:b/>
        </w:rPr>
        <w:t xml:space="preserve"> (nárůst o </w:t>
      </w:r>
      <w:r w:rsidR="00AE4028" w:rsidRPr="00D60831">
        <w:rPr>
          <w:rFonts w:cs="Arial"/>
          <w:b/>
        </w:rPr>
        <w:t>16</w:t>
      </w:r>
      <w:r w:rsidR="005A6402" w:rsidRPr="00D60831">
        <w:rPr>
          <w:rFonts w:cs="Arial"/>
          <w:b/>
        </w:rPr>
        <w:t xml:space="preserve"> %) a </w:t>
      </w:r>
      <w:r w:rsidR="00A304E0" w:rsidRPr="00D60831">
        <w:rPr>
          <w:rFonts w:cs="Arial"/>
          <w:b/>
        </w:rPr>
        <w:t>příjmů</w:t>
      </w:r>
      <w:r w:rsidR="00702524" w:rsidRPr="00D60831">
        <w:rPr>
          <w:rFonts w:cs="Arial"/>
          <w:b/>
        </w:rPr>
        <w:t xml:space="preserve"> za</w:t>
      </w:r>
      <w:r w:rsidR="00A304E0" w:rsidRPr="00D60831">
        <w:rPr>
          <w:rFonts w:cs="Arial"/>
          <w:b/>
        </w:rPr>
        <w:t xml:space="preserve"> </w:t>
      </w:r>
      <w:r w:rsidR="00702524" w:rsidRPr="00D60831">
        <w:rPr>
          <w:rFonts w:cs="Arial"/>
          <w:b/>
        </w:rPr>
        <w:t>platby za odběry povrchové vody</w:t>
      </w:r>
      <w:r w:rsidR="006E3693" w:rsidRPr="00D60831">
        <w:rPr>
          <w:rFonts w:cs="Arial"/>
          <w:b/>
        </w:rPr>
        <w:t xml:space="preserve"> (nárůst o </w:t>
      </w:r>
      <w:r w:rsidR="00CE362E" w:rsidRPr="00D60831">
        <w:rPr>
          <w:rFonts w:cs="Arial"/>
          <w:b/>
        </w:rPr>
        <w:t xml:space="preserve">téměř </w:t>
      </w:r>
      <w:r w:rsidR="00B02D13" w:rsidRPr="00D60831">
        <w:rPr>
          <w:rFonts w:cs="Arial"/>
          <w:b/>
        </w:rPr>
        <w:t>8</w:t>
      </w:r>
      <w:r w:rsidR="00CE362E" w:rsidRPr="00D60831">
        <w:rPr>
          <w:rFonts w:cs="Arial"/>
          <w:b/>
        </w:rPr>
        <w:t xml:space="preserve"> </w:t>
      </w:r>
      <w:r w:rsidR="006E3693" w:rsidRPr="00D60831">
        <w:rPr>
          <w:rFonts w:cs="Arial"/>
          <w:b/>
        </w:rPr>
        <w:t>%)</w:t>
      </w:r>
      <w:r w:rsidR="005A6402" w:rsidRPr="00D60831">
        <w:rPr>
          <w:rFonts w:cs="Arial"/>
          <w:b/>
        </w:rPr>
        <w:t>.</w:t>
      </w:r>
      <w:r w:rsidR="006E3693" w:rsidRPr="00D60831">
        <w:rPr>
          <w:rFonts w:cs="Arial"/>
          <w:b/>
        </w:rPr>
        <w:t xml:space="preserve"> Naopak výrazný pokles byl zaznamenán u </w:t>
      </w:r>
      <w:r w:rsidR="00EC23BF" w:rsidRPr="00D60831">
        <w:rPr>
          <w:rFonts w:cs="Arial"/>
          <w:b/>
        </w:rPr>
        <w:t>příjmů z výroby elektrické energie</w:t>
      </w:r>
      <w:r w:rsidR="006E3693" w:rsidRPr="00D60831">
        <w:rPr>
          <w:rFonts w:cs="Arial"/>
          <w:b/>
        </w:rPr>
        <w:t xml:space="preserve"> (pokles o </w:t>
      </w:r>
      <w:r w:rsidR="0033375E">
        <w:rPr>
          <w:rFonts w:cs="Arial"/>
          <w:b/>
        </w:rPr>
        <w:t>35</w:t>
      </w:r>
      <w:r w:rsidR="006E3693" w:rsidRPr="00D60831">
        <w:rPr>
          <w:rFonts w:cs="Arial"/>
          <w:b/>
        </w:rPr>
        <w:t xml:space="preserve"> %) </w:t>
      </w:r>
      <w:r w:rsidR="005A6402" w:rsidRPr="00D60831">
        <w:rPr>
          <w:rFonts w:cs="Arial"/>
          <w:b/>
        </w:rPr>
        <w:t xml:space="preserve"> </w:t>
      </w:r>
    </w:p>
    <w:p w14:paraId="0FEC2394" w14:textId="77777777" w:rsidR="005C3DF4" w:rsidRPr="008D7C14" w:rsidRDefault="005C3DF4" w:rsidP="007C4955">
      <w:pPr>
        <w:contextualSpacing/>
        <w:rPr>
          <w:b/>
          <w:i/>
        </w:rPr>
      </w:pPr>
      <w:r w:rsidRPr="008D7C14">
        <w:rPr>
          <w:b/>
          <w:i/>
        </w:rPr>
        <w:t xml:space="preserve">Graf 6.2.1 </w:t>
      </w:r>
    </w:p>
    <w:p w14:paraId="711DB0E4" w14:textId="0D7F1682" w:rsidR="005C3DF4" w:rsidRPr="008D7C14" w:rsidRDefault="005C3DF4" w:rsidP="007C4955">
      <w:pPr>
        <w:contextualSpacing/>
        <w:rPr>
          <w:b/>
          <w:i/>
          <w:color w:val="FF0000"/>
        </w:rPr>
      </w:pPr>
      <w:r w:rsidRPr="008D7C14">
        <w:rPr>
          <w:b/>
          <w:i/>
        </w:rPr>
        <w:t xml:space="preserve">Výnosy státních podniků Povodí v období </w:t>
      </w:r>
      <w:r w:rsidR="00AB2369" w:rsidRPr="008D7C14">
        <w:rPr>
          <w:b/>
          <w:i/>
        </w:rPr>
        <w:t>201</w:t>
      </w:r>
      <w:r w:rsidR="00FC217A" w:rsidRPr="008D7C14">
        <w:rPr>
          <w:b/>
          <w:i/>
        </w:rPr>
        <w:t>5</w:t>
      </w:r>
      <w:r w:rsidR="00AB2369" w:rsidRPr="008D7C14">
        <w:rPr>
          <w:b/>
          <w:i/>
        </w:rPr>
        <w:t>–20</w:t>
      </w:r>
      <w:r w:rsidR="004F7B4F" w:rsidRPr="008D7C14">
        <w:rPr>
          <w:b/>
          <w:i/>
        </w:rPr>
        <w:t>2</w:t>
      </w:r>
      <w:r w:rsidR="008D7C14">
        <w:rPr>
          <w:b/>
          <w:i/>
        </w:rPr>
        <w:t>5</w:t>
      </w:r>
    </w:p>
    <w:p w14:paraId="1B1809A6" w14:textId="42153134" w:rsidR="00E278BE" w:rsidRPr="008D7C14" w:rsidRDefault="001465FF" w:rsidP="007C4955">
      <w:pPr>
        <w:contextualSpacing/>
        <w:rPr>
          <w:b/>
          <w:i/>
          <w:color w:val="FF0000"/>
        </w:rPr>
      </w:pPr>
      <w:r w:rsidRPr="008D7C14">
        <w:rPr>
          <w:noProof/>
          <w:color w:val="FF0000"/>
          <w:lang w:eastAsia="cs-CZ"/>
        </w:rPr>
        <w:t xml:space="preserve"> </w:t>
      </w:r>
      <w:r w:rsidR="008D7C14" w:rsidRPr="008D7C14">
        <w:rPr>
          <w:noProof/>
        </w:rPr>
        <w:drawing>
          <wp:inline distT="0" distB="0" distL="0" distR="0" wp14:anchorId="420D5DF3" wp14:editId="539A9E29">
            <wp:extent cx="6038850" cy="2540000"/>
            <wp:effectExtent l="0" t="0" r="0" b="12700"/>
            <wp:docPr id="1688974411" name="Graf 1">
              <a:extLst xmlns:a="http://schemas.openxmlformats.org/drawingml/2006/main">
                <a:ext uri="{FF2B5EF4-FFF2-40B4-BE49-F238E27FC236}">
                  <a16:creationId xmlns:a16="http://schemas.microsoft.com/office/drawing/2014/main" id="{D930A325-AB94-FA9E-DFFF-81292810BE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0436F1A9" w14:textId="77777777" w:rsidR="005C3DF4" w:rsidRPr="00104F7D" w:rsidRDefault="005C3DF4" w:rsidP="007C4955">
      <w:pPr>
        <w:tabs>
          <w:tab w:val="left" w:pos="6131"/>
        </w:tabs>
        <w:contextualSpacing/>
        <w:rPr>
          <w:rFonts w:cs="Arial"/>
          <w:i/>
          <w:color w:val="FF0000"/>
          <w:sz w:val="20"/>
          <w:szCs w:val="20"/>
          <w:highlight w:val="yellow"/>
        </w:rPr>
      </w:pPr>
      <w:bookmarkStart w:id="59" w:name="_Toc482564960"/>
      <w:r w:rsidRPr="008D7C14">
        <w:rPr>
          <w:rFonts w:cs="Arial"/>
          <w:i/>
          <w:sz w:val="20"/>
          <w:szCs w:val="20"/>
        </w:rPr>
        <w:t>Pramen: MZe</w:t>
      </w:r>
      <w:r w:rsidRPr="008D7C14">
        <w:rPr>
          <w:rFonts w:cs="Arial"/>
          <w:i/>
          <w:color w:val="FF0000"/>
          <w:sz w:val="20"/>
          <w:szCs w:val="20"/>
        </w:rPr>
        <w:tab/>
      </w:r>
    </w:p>
    <w:p w14:paraId="28787CC3" w14:textId="77777777" w:rsidR="002D3F48" w:rsidRPr="00104F7D" w:rsidRDefault="002D3F48" w:rsidP="007C4955">
      <w:pPr>
        <w:contextualSpacing/>
        <w:rPr>
          <w:b/>
          <w:i/>
          <w:highlight w:val="yellow"/>
        </w:rPr>
      </w:pPr>
    </w:p>
    <w:p w14:paraId="4B79BD9B" w14:textId="02EF1154" w:rsidR="005C3DF4" w:rsidRPr="0002527D" w:rsidRDefault="005C3DF4" w:rsidP="007C4955">
      <w:pPr>
        <w:contextualSpacing/>
        <w:rPr>
          <w:b/>
          <w:i/>
        </w:rPr>
      </w:pPr>
      <w:r w:rsidRPr="0002527D">
        <w:rPr>
          <w:b/>
          <w:i/>
        </w:rPr>
        <w:t>Tabulka 6.2.1</w:t>
      </w:r>
      <w:bookmarkEnd w:id="59"/>
      <w:r w:rsidRPr="0002527D">
        <w:rPr>
          <w:b/>
          <w:i/>
        </w:rPr>
        <w:t xml:space="preserve"> </w:t>
      </w:r>
    </w:p>
    <w:p w14:paraId="186BBAD4" w14:textId="187EFC55" w:rsidR="005C3DF4" w:rsidRPr="0002527D" w:rsidRDefault="005C3DF4" w:rsidP="007C4955">
      <w:pPr>
        <w:contextualSpacing/>
        <w:rPr>
          <w:b/>
          <w:i/>
        </w:rPr>
      </w:pPr>
      <w:bookmarkStart w:id="60" w:name="_Toc482564961"/>
      <w:r w:rsidRPr="0002527D">
        <w:rPr>
          <w:b/>
          <w:i/>
        </w:rPr>
        <w:t>Struktura výnosů státních podniků Povodí v roce 20</w:t>
      </w:r>
      <w:bookmarkEnd w:id="60"/>
      <w:r w:rsidR="004F7B4F" w:rsidRPr="0002527D">
        <w:rPr>
          <w:b/>
          <w:i/>
        </w:rPr>
        <w:t>2</w:t>
      </w:r>
      <w:r w:rsidR="0002527D" w:rsidRPr="0002527D">
        <w:rPr>
          <w:b/>
          <w:i/>
        </w:rPr>
        <w:t>5</w:t>
      </w:r>
    </w:p>
    <w:tbl>
      <w:tblPr>
        <w:tblW w:w="9144"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5"/>
        <w:gridCol w:w="1134"/>
        <w:gridCol w:w="1134"/>
        <w:gridCol w:w="1201"/>
        <w:gridCol w:w="992"/>
        <w:gridCol w:w="1134"/>
        <w:gridCol w:w="1134"/>
      </w:tblGrid>
      <w:tr w:rsidR="0002527D" w:rsidRPr="0002527D" w14:paraId="4C1968F1" w14:textId="77777777" w:rsidTr="0072423A">
        <w:trPr>
          <w:trHeight w:val="20"/>
        </w:trPr>
        <w:tc>
          <w:tcPr>
            <w:tcW w:w="2415" w:type="dxa"/>
            <w:vMerge w:val="restart"/>
            <w:shd w:val="clear" w:color="auto" w:fill="BFBFBF"/>
            <w:vAlign w:val="center"/>
          </w:tcPr>
          <w:p w14:paraId="06F1CF2A" w14:textId="77777777" w:rsidR="0002527D" w:rsidRPr="0002527D" w:rsidRDefault="0002527D" w:rsidP="0072423A">
            <w:pPr>
              <w:contextualSpacing/>
              <w:rPr>
                <w:rFonts w:cs="Arial"/>
                <w:b/>
                <w:bCs/>
                <w:sz w:val="18"/>
                <w:szCs w:val="18"/>
              </w:rPr>
            </w:pPr>
            <w:r w:rsidRPr="0002527D">
              <w:rPr>
                <w:rFonts w:cs="Arial"/>
                <w:b/>
                <w:bCs/>
                <w:sz w:val="18"/>
                <w:szCs w:val="18"/>
              </w:rPr>
              <w:t>Ukazatel</w:t>
            </w:r>
          </w:p>
        </w:tc>
        <w:tc>
          <w:tcPr>
            <w:tcW w:w="5595" w:type="dxa"/>
            <w:gridSpan w:val="5"/>
            <w:shd w:val="clear" w:color="auto" w:fill="BFBFBF"/>
            <w:vAlign w:val="center"/>
          </w:tcPr>
          <w:p w14:paraId="05A53BB4" w14:textId="77777777" w:rsidR="0002527D" w:rsidRPr="0002527D" w:rsidRDefault="0002527D" w:rsidP="0072423A">
            <w:pPr>
              <w:contextualSpacing/>
              <w:jc w:val="center"/>
              <w:rPr>
                <w:rFonts w:cs="Arial"/>
                <w:b/>
                <w:bCs/>
                <w:sz w:val="18"/>
                <w:szCs w:val="18"/>
              </w:rPr>
            </w:pPr>
            <w:r w:rsidRPr="0002527D">
              <w:rPr>
                <w:rFonts w:cs="Arial"/>
                <w:b/>
                <w:bCs/>
                <w:sz w:val="18"/>
                <w:szCs w:val="18"/>
              </w:rPr>
              <w:t>Státní podnik Povodí</w:t>
            </w:r>
          </w:p>
        </w:tc>
        <w:tc>
          <w:tcPr>
            <w:tcW w:w="1134" w:type="dxa"/>
            <w:vMerge w:val="restart"/>
            <w:shd w:val="clear" w:color="auto" w:fill="BFBFBF"/>
            <w:vAlign w:val="center"/>
          </w:tcPr>
          <w:p w14:paraId="2EF019C5" w14:textId="77777777" w:rsidR="0002527D" w:rsidRPr="0002527D" w:rsidRDefault="0002527D" w:rsidP="0072423A">
            <w:pPr>
              <w:contextualSpacing/>
              <w:jc w:val="center"/>
              <w:rPr>
                <w:rFonts w:cs="Arial"/>
                <w:b/>
                <w:bCs/>
                <w:sz w:val="18"/>
                <w:szCs w:val="18"/>
              </w:rPr>
            </w:pPr>
            <w:r w:rsidRPr="0002527D">
              <w:rPr>
                <w:rFonts w:cs="Arial"/>
                <w:b/>
                <w:bCs/>
                <w:sz w:val="18"/>
                <w:szCs w:val="18"/>
              </w:rPr>
              <w:t>Celkem</w:t>
            </w:r>
          </w:p>
        </w:tc>
      </w:tr>
      <w:tr w:rsidR="0002527D" w:rsidRPr="0002527D" w14:paraId="44E762C3" w14:textId="77777777" w:rsidTr="0072423A">
        <w:trPr>
          <w:trHeight w:val="20"/>
        </w:trPr>
        <w:tc>
          <w:tcPr>
            <w:tcW w:w="2415" w:type="dxa"/>
            <w:vMerge/>
            <w:shd w:val="clear" w:color="auto" w:fill="BFBFBF"/>
            <w:vAlign w:val="center"/>
            <w:hideMark/>
          </w:tcPr>
          <w:p w14:paraId="05DBBF3E" w14:textId="77777777" w:rsidR="0002527D" w:rsidRPr="0002527D" w:rsidRDefault="0002527D" w:rsidP="0072423A">
            <w:pPr>
              <w:contextualSpacing/>
              <w:rPr>
                <w:rFonts w:cs="Arial"/>
                <w:b/>
                <w:bCs/>
                <w:sz w:val="18"/>
                <w:szCs w:val="18"/>
              </w:rPr>
            </w:pPr>
          </w:p>
        </w:tc>
        <w:tc>
          <w:tcPr>
            <w:tcW w:w="1134" w:type="dxa"/>
            <w:shd w:val="clear" w:color="auto" w:fill="BFBFBF"/>
            <w:vAlign w:val="center"/>
            <w:hideMark/>
          </w:tcPr>
          <w:p w14:paraId="5A447142" w14:textId="77777777" w:rsidR="0002527D" w:rsidRPr="0002527D" w:rsidRDefault="0002527D" w:rsidP="0072423A">
            <w:pPr>
              <w:contextualSpacing/>
              <w:jc w:val="center"/>
              <w:rPr>
                <w:rFonts w:cs="Arial"/>
                <w:b/>
                <w:bCs/>
                <w:sz w:val="18"/>
                <w:szCs w:val="18"/>
              </w:rPr>
            </w:pPr>
            <w:r w:rsidRPr="0002527D">
              <w:rPr>
                <w:rFonts w:cs="Arial"/>
                <w:b/>
                <w:bCs/>
                <w:sz w:val="18"/>
                <w:szCs w:val="18"/>
              </w:rPr>
              <w:t>Labe</w:t>
            </w:r>
          </w:p>
        </w:tc>
        <w:tc>
          <w:tcPr>
            <w:tcW w:w="1134" w:type="dxa"/>
            <w:shd w:val="clear" w:color="auto" w:fill="BFBFBF"/>
            <w:vAlign w:val="center"/>
            <w:hideMark/>
          </w:tcPr>
          <w:p w14:paraId="0EB9D29D" w14:textId="77777777" w:rsidR="0002527D" w:rsidRPr="0002527D" w:rsidRDefault="0002527D" w:rsidP="0072423A">
            <w:pPr>
              <w:contextualSpacing/>
              <w:jc w:val="center"/>
              <w:rPr>
                <w:rFonts w:cs="Arial"/>
                <w:b/>
                <w:bCs/>
                <w:sz w:val="18"/>
                <w:szCs w:val="18"/>
              </w:rPr>
            </w:pPr>
            <w:r w:rsidRPr="0002527D">
              <w:rPr>
                <w:rFonts w:cs="Arial"/>
                <w:b/>
                <w:bCs/>
                <w:sz w:val="18"/>
                <w:szCs w:val="18"/>
              </w:rPr>
              <w:t>Vltavy</w:t>
            </w:r>
          </w:p>
        </w:tc>
        <w:tc>
          <w:tcPr>
            <w:tcW w:w="1201" w:type="dxa"/>
            <w:shd w:val="clear" w:color="auto" w:fill="BFBFBF"/>
            <w:vAlign w:val="center"/>
            <w:hideMark/>
          </w:tcPr>
          <w:p w14:paraId="09D17827" w14:textId="77777777" w:rsidR="0002527D" w:rsidRPr="0002527D" w:rsidRDefault="0002527D" w:rsidP="0072423A">
            <w:pPr>
              <w:contextualSpacing/>
              <w:jc w:val="center"/>
              <w:rPr>
                <w:rFonts w:cs="Arial"/>
                <w:b/>
                <w:bCs/>
                <w:sz w:val="18"/>
                <w:szCs w:val="18"/>
              </w:rPr>
            </w:pPr>
            <w:r w:rsidRPr="0002527D">
              <w:rPr>
                <w:rFonts w:cs="Arial"/>
                <w:b/>
                <w:bCs/>
                <w:sz w:val="18"/>
                <w:szCs w:val="18"/>
              </w:rPr>
              <w:t>Ohře</w:t>
            </w:r>
          </w:p>
        </w:tc>
        <w:tc>
          <w:tcPr>
            <w:tcW w:w="992" w:type="dxa"/>
            <w:shd w:val="clear" w:color="auto" w:fill="BFBFBF"/>
            <w:vAlign w:val="center"/>
            <w:hideMark/>
          </w:tcPr>
          <w:p w14:paraId="43FB1C9A" w14:textId="77777777" w:rsidR="0002527D" w:rsidRPr="0002527D" w:rsidRDefault="0002527D" w:rsidP="0072423A">
            <w:pPr>
              <w:contextualSpacing/>
              <w:jc w:val="center"/>
              <w:rPr>
                <w:rFonts w:cs="Arial"/>
                <w:b/>
                <w:bCs/>
                <w:sz w:val="18"/>
                <w:szCs w:val="18"/>
              </w:rPr>
            </w:pPr>
            <w:r w:rsidRPr="0002527D">
              <w:rPr>
                <w:rFonts w:cs="Arial"/>
                <w:b/>
                <w:bCs/>
                <w:sz w:val="18"/>
                <w:szCs w:val="18"/>
              </w:rPr>
              <w:t>Odry</w:t>
            </w:r>
          </w:p>
        </w:tc>
        <w:tc>
          <w:tcPr>
            <w:tcW w:w="1134" w:type="dxa"/>
            <w:shd w:val="clear" w:color="auto" w:fill="BFBFBF"/>
            <w:vAlign w:val="center"/>
            <w:hideMark/>
          </w:tcPr>
          <w:p w14:paraId="13850EC6" w14:textId="77777777" w:rsidR="0002527D" w:rsidRPr="0002527D" w:rsidRDefault="0002527D" w:rsidP="0072423A">
            <w:pPr>
              <w:contextualSpacing/>
              <w:jc w:val="center"/>
              <w:rPr>
                <w:rFonts w:cs="Arial"/>
                <w:b/>
                <w:bCs/>
                <w:sz w:val="18"/>
                <w:szCs w:val="18"/>
              </w:rPr>
            </w:pPr>
            <w:r w:rsidRPr="0002527D">
              <w:rPr>
                <w:rFonts w:cs="Arial"/>
                <w:b/>
                <w:bCs/>
                <w:sz w:val="18"/>
                <w:szCs w:val="18"/>
              </w:rPr>
              <w:t>Moravy</w:t>
            </w:r>
          </w:p>
        </w:tc>
        <w:tc>
          <w:tcPr>
            <w:tcW w:w="1134" w:type="dxa"/>
            <w:vMerge/>
            <w:shd w:val="clear" w:color="auto" w:fill="BFBFBF"/>
            <w:vAlign w:val="center"/>
            <w:hideMark/>
          </w:tcPr>
          <w:p w14:paraId="729478B3" w14:textId="77777777" w:rsidR="0002527D" w:rsidRPr="0002527D" w:rsidRDefault="0002527D" w:rsidP="0072423A">
            <w:pPr>
              <w:contextualSpacing/>
              <w:jc w:val="center"/>
              <w:rPr>
                <w:rFonts w:cs="Arial"/>
                <w:b/>
                <w:bCs/>
                <w:sz w:val="18"/>
                <w:szCs w:val="18"/>
              </w:rPr>
            </w:pPr>
          </w:p>
        </w:tc>
      </w:tr>
      <w:tr w:rsidR="0002527D" w:rsidRPr="0002527D" w14:paraId="07F6D8C6" w14:textId="77777777" w:rsidTr="0072423A">
        <w:trPr>
          <w:trHeight w:val="20"/>
        </w:trPr>
        <w:tc>
          <w:tcPr>
            <w:tcW w:w="2415" w:type="dxa"/>
            <w:vMerge/>
            <w:shd w:val="clear" w:color="auto" w:fill="BFBFBF"/>
            <w:vAlign w:val="center"/>
          </w:tcPr>
          <w:p w14:paraId="7BC4B6DE" w14:textId="77777777" w:rsidR="0002527D" w:rsidRPr="0002527D" w:rsidRDefault="0002527D" w:rsidP="0072423A">
            <w:pPr>
              <w:contextualSpacing/>
              <w:rPr>
                <w:rFonts w:cs="Arial"/>
                <w:b/>
                <w:sz w:val="18"/>
                <w:szCs w:val="18"/>
              </w:rPr>
            </w:pPr>
          </w:p>
        </w:tc>
        <w:tc>
          <w:tcPr>
            <w:tcW w:w="6729" w:type="dxa"/>
            <w:gridSpan w:val="6"/>
            <w:shd w:val="clear" w:color="auto" w:fill="BFBFBF"/>
            <w:vAlign w:val="center"/>
          </w:tcPr>
          <w:p w14:paraId="44A84F4B" w14:textId="77777777" w:rsidR="0002527D" w:rsidRPr="0002527D" w:rsidRDefault="0002527D" w:rsidP="0072423A">
            <w:pPr>
              <w:tabs>
                <w:tab w:val="left" w:pos="808"/>
              </w:tabs>
              <w:ind w:firstLineChars="100" w:firstLine="181"/>
              <w:contextualSpacing/>
              <w:jc w:val="center"/>
              <w:rPr>
                <w:rFonts w:cs="Arial"/>
                <w:b/>
                <w:bCs/>
                <w:sz w:val="18"/>
                <w:szCs w:val="18"/>
              </w:rPr>
            </w:pPr>
            <w:r w:rsidRPr="0002527D">
              <w:rPr>
                <w:rFonts w:cs="Arial"/>
                <w:b/>
                <w:bCs/>
                <w:sz w:val="18"/>
                <w:szCs w:val="18"/>
              </w:rPr>
              <w:t>tis. Kč</w:t>
            </w:r>
          </w:p>
        </w:tc>
      </w:tr>
      <w:tr w:rsidR="0093620E" w:rsidRPr="0002527D" w14:paraId="3D885CA3" w14:textId="77777777" w:rsidTr="0072423A">
        <w:trPr>
          <w:trHeight w:val="20"/>
        </w:trPr>
        <w:tc>
          <w:tcPr>
            <w:tcW w:w="2415" w:type="dxa"/>
            <w:shd w:val="clear" w:color="auto" w:fill="BFBFBF"/>
            <w:vAlign w:val="center"/>
            <w:hideMark/>
          </w:tcPr>
          <w:p w14:paraId="23E6E651" w14:textId="77777777" w:rsidR="0093620E" w:rsidRPr="0002527D" w:rsidRDefault="0093620E" w:rsidP="0093620E">
            <w:pPr>
              <w:contextualSpacing/>
              <w:rPr>
                <w:rFonts w:cs="Arial"/>
                <w:b/>
                <w:sz w:val="18"/>
                <w:szCs w:val="18"/>
              </w:rPr>
            </w:pPr>
            <w:r w:rsidRPr="0002527D">
              <w:rPr>
                <w:rFonts w:cs="Arial"/>
                <w:b/>
                <w:sz w:val="18"/>
                <w:szCs w:val="18"/>
              </w:rPr>
              <w:t>Platby za odběry povrchové vody</w:t>
            </w:r>
          </w:p>
        </w:tc>
        <w:tc>
          <w:tcPr>
            <w:tcW w:w="1134" w:type="dxa"/>
            <w:vAlign w:val="center"/>
          </w:tcPr>
          <w:p w14:paraId="6C1E88B7" w14:textId="54D800FA" w:rsidR="0093620E" w:rsidRPr="0093620E" w:rsidRDefault="0093620E" w:rsidP="0093620E">
            <w:pPr>
              <w:ind w:left="-70"/>
              <w:contextualSpacing/>
              <w:jc w:val="right"/>
              <w:rPr>
                <w:rFonts w:cs="Arial"/>
                <w:color w:val="FF0000"/>
                <w:sz w:val="18"/>
                <w:szCs w:val="18"/>
              </w:rPr>
            </w:pPr>
            <w:r w:rsidRPr="0093620E">
              <w:rPr>
                <w:rFonts w:cs="Arial"/>
                <w:color w:val="000000"/>
                <w:sz w:val="18"/>
                <w:szCs w:val="18"/>
              </w:rPr>
              <w:t>1 179 274</w:t>
            </w:r>
          </w:p>
        </w:tc>
        <w:tc>
          <w:tcPr>
            <w:tcW w:w="1134" w:type="dxa"/>
            <w:vAlign w:val="center"/>
          </w:tcPr>
          <w:p w14:paraId="6A6FC5C5" w14:textId="0D85AB4C" w:rsidR="0093620E" w:rsidRPr="0093620E" w:rsidRDefault="0093620E" w:rsidP="0093620E">
            <w:pPr>
              <w:contextualSpacing/>
              <w:jc w:val="right"/>
              <w:rPr>
                <w:rFonts w:cs="Arial"/>
                <w:color w:val="FF0000"/>
                <w:sz w:val="18"/>
                <w:szCs w:val="18"/>
              </w:rPr>
            </w:pPr>
            <w:r w:rsidRPr="0093620E">
              <w:rPr>
                <w:rFonts w:cs="Arial"/>
                <w:color w:val="000000"/>
                <w:sz w:val="18"/>
                <w:szCs w:val="18"/>
              </w:rPr>
              <w:t>1 024 000</w:t>
            </w:r>
          </w:p>
        </w:tc>
        <w:tc>
          <w:tcPr>
            <w:tcW w:w="1201" w:type="dxa"/>
            <w:vAlign w:val="center"/>
          </w:tcPr>
          <w:p w14:paraId="5D0308FB" w14:textId="6A1BE843" w:rsidR="0093620E" w:rsidRPr="0093620E" w:rsidRDefault="0093620E" w:rsidP="0093620E">
            <w:pPr>
              <w:ind w:right="127"/>
              <w:contextualSpacing/>
              <w:jc w:val="right"/>
              <w:rPr>
                <w:rFonts w:cs="Arial"/>
                <w:color w:val="FF0000"/>
                <w:sz w:val="18"/>
                <w:szCs w:val="18"/>
              </w:rPr>
            </w:pPr>
            <w:r w:rsidRPr="0093620E">
              <w:rPr>
                <w:rFonts w:cs="Arial"/>
                <w:color w:val="000000"/>
                <w:sz w:val="18"/>
                <w:szCs w:val="18"/>
              </w:rPr>
              <w:t>746 889</w:t>
            </w:r>
          </w:p>
        </w:tc>
        <w:tc>
          <w:tcPr>
            <w:tcW w:w="992" w:type="dxa"/>
            <w:vAlign w:val="center"/>
          </w:tcPr>
          <w:p w14:paraId="587C6D08" w14:textId="5F757871" w:rsidR="0093620E" w:rsidRPr="0093620E" w:rsidRDefault="0093620E" w:rsidP="0093620E">
            <w:pPr>
              <w:contextualSpacing/>
              <w:jc w:val="right"/>
              <w:rPr>
                <w:rFonts w:cs="Arial"/>
                <w:color w:val="FF0000"/>
                <w:sz w:val="18"/>
                <w:szCs w:val="18"/>
              </w:rPr>
            </w:pPr>
            <w:r w:rsidRPr="0093620E">
              <w:rPr>
                <w:rFonts w:cs="Arial"/>
                <w:color w:val="000000"/>
                <w:sz w:val="18"/>
                <w:szCs w:val="18"/>
              </w:rPr>
              <w:t>669 939</w:t>
            </w:r>
          </w:p>
        </w:tc>
        <w:tc>
          <w:tcPr>
            <w:tcW w:w="1134" w:type="dxa"/>
            <w:vAlign w:val="center"/>
          </w:tcPr>
          <w:p w14:paraId="386FC2AB" w14:textId="1A7A6357" w:rsidR="0093620E" w:rsidRPr="0093620E" w:rsidRDefault="0093620E" w:rsidP="0093620E">
            <w:pPr>
              <w:ind w:right="100"/>
              <w:contextualSpacing/>
              <w:jc w:val="right"/>
              <w:rPr>
                <w:rFonts w:cs="Arial"/>
                <w:color w:val="FF0000"/>
                <w:sz w:val="18"/>
                <w:szCs w:val="18"/>
              </w:rPr>
            </w:pPr>
            <w:r w:rsidRPr="0093620E">
              <w:rPr>
                <w:rFonts w:cs="Arial"/>
                <w:color w:val="000000"/>
                <w:sz w:val="18"/>
                <w:szCs w:val="18"/>
              </w:rPr>
              <w:t>829 229</w:t>
            </w:r>
          </w:p>
        </w:tc>
        <w:tc>
          <w:tcPr>
            <w:tcW w:w="1134" w:type="dxa"/>
            <w:shd w:val="clear" w:color="auto" w:fill="BFBFBF"/>
            <w:vAlign w:val="center"/>
          </w:tcPr>
          <w:p w14:paraId="328BF024" w14:textId="4A91B9AD" w:rsidR="0093620E" w:rsidRPr="0093620E" w:rsidRDefault="0093620E" w:rsidP="0093620E">
            <w:pPr>
              <w:contextualSpacing/>
              <w:jc w:val="right"/>
              <w:rPr>
                <w:rFonts w:cs="Arial"/>
                <w:b/>
                <w:bCs/>
                <w:color w:val="FF0000"/>
                <w:sz w:val="18"/>
                <w:szCs w:val="18"/>
              </w:rPr>
            </w:pPr>
            <w:r w:rsidRPr="0093620E">
              <w:rPr>
                <w:rFonts w:cs="Arial"/>
                <w:b/>
                <w:bCs/>
                <w:color w:val="000000"/>
                <w:sz w:val="18"/>
                <w:szCs w:val="18"/>
              </w:rPr>
              <w:t>4 449 331</w:t>
            </w:r>
          </w:p>
        </w:tc>
      </w:tr>
      <w:tr w:rsidR="0093620E" w:rsidRPr="0002527D" w14:paraId="0DE317C1" w14:textId="77777777" w:rsidTr="0072423A">
        <w:trPr>
          <w:trHeight w:val="369"/>
        </w:trPr>
        <w:tc>
          <w:tcPr>
            <w:tcW w:w="2415" w:type="dxa"/>
            <w:shd w:val="clear" w:color="auto" w:fill="BFBFBF"/>
            <w:vAlign w:val="center"/>
            <w:hideMark/>
          </w:tcPr>
          <w:p w14:paraId="33569E99" w14:textId="77777777" w:rsidR="0093620E" w:rsidRPr="0002527D" w:rsidRDefault="0093620E" w:rsidP="0093620E">
            <w:pPr>
              <w:contextualSpacing/>
              <w:rPr>
                <w:rFonts w:cs="Arial"/>
                <w:b/>
                <w:sz w:val="18"/>
                <w:szCs w:val="18"/>
              </w:rPr>
            </w:pPr>
            <w:r w:rsidRPr="0002527D">
              <w:rPr>
                <w:rFonts w:cs="Arial"/>
                <w:b/>
                <w:sz w:val="18"/>
                <w:szCs w:val="18"/>
              </w:rPr>
              <w:t>Výroba elektrické energie</w:t>
            </w:r>
          </w:p>
        </w:tc>
        <w:tc>
          <w:tcPr>
            <w:tcW w:w="1134" w:type="dxa"/>
            <w:vAlign w:val="center"/>
          </w:tcPr>
          <w:p w14:paraId="1D0F3511" w14:textId="62F69CBA" w:rsidR="0093620E" w:rsidRPr="0093620E" w:rsidRDefault="0093620E" w:rsidP="0093620E">
            <w:pPr>
              <w:contextualSpacing/>
              <w:jc w:val="right"/>
              <w:rPr>
                <w:rFonts w:cs="Arial"/>
                <w:color w:val="FF0000"/>
                <w:sz w:val="18"/>
                <w:szCs w:val="18"/>
              </w:rPr>
            </w:pPr>
            <w:r w:rsidRPr="0093620E">
              <w:rPr>
                <w:rFonts w:cs="Arial"/>
                <w:color w:val="000000"/>
                <w:sz w:val="18"/>
                <w:szCs w:val="18"/>
              </w:rPr>
              <w:t>52305</w:t>
            </w:r>
          </w:p>
        </w:tc>
        <w:tc>
          <w:tcPr>
            <w:tcW w:w="1134" w:type="dxa"/>
            <w:vAlign w:val="center"/>
          </w:tcPr>
          <w:p w14:paraId="6B738CB6" w14:textId="31910C1F" w:rsidR="0093620E" w:rsidRPr="0093620E" w:rsidRDefault="0093620E" w:rsidP="0093620E">
            <w:pPr>
              <w:contextualSpacing/>
              <w:jc w:val="right"/>
              <w:rPr>
                <w:rFonts w:cs="Arial"/>
                <w:color w:val="FF0000"/>
                <w:sz w:val="18"/>
                <w:szCs w:val="18"/>
              </w:rPr>
            </w:pPr>
            <w:r w:rsidRPr="0093620E">
              <w:rPr>
                <w:rFonts w:cs="Arial"/>
                <w:color w:val="000000"/>
                <w:sz w:val="18"/>
                <w:szCs w:val="18"/>
              </w:rPr>
              <w:t>295 455</w:t>
            </w:r>
          </w:p>
        </w:tc>
        <w:tc>
          <w:tcPr>
            <w:tcW w:w="1201" w:type="dxa"/>
            <w:vAlign w:val="center"/>
          </w:tcPr>
          <w:p w14:paraId="4AEA2385" w14:textId="7D520E22" w:rsidR="0093620E" w:rsidRPr="0093620E" w:rsidRDefault="0093620E" w:rsidP="0093620E">
            <w:pPr>
              <w:contextualSpacing/>
              <w:jc w:val="right"/>
              <w:rPr>
                <w:rFonts w:cs="Arial"/>
                <w:color w:val="FF0000"/>
                <w:sz w:val="18"/>
                <w:szCs w:val="18"/>
              </w:rPr>
            </w:pPr>
            <w:r w:rsidRPr="0093620E">
              <w:rPr>
                <w:rFonts w:cs="Arial"/>
                <w:color w:val="000000"/>
                <w:sz w:val="18"/>
                <w:szCs w:val="18"/>
              </w:rPr>
              <w:t>191 207</w:t>
            </w:r>
          </w:p>
        </w:tc>
        <w:tc>
          <w:tcPr>
            <w:tcW w:w="992" w:type="dxa"/>
            <w:vAlign w:val="center"/>
          </w:tcPr>
          <w:p w14:paraId="13617378" w14:textId="0A02669D" w:rsidR="0093620E" w:rsidRPr="0093620E" w:rsidRDefault="0093620E" w:rsidP="0093620E">
            <w:pPr>
              <w:contextualSpacing/>
              <w:jc w:val="right"/>
              <w:rPr>
                <w:rFonts w:cs="Arial"/>
                <w:color w:val="FF0000"/>
                <w:sz w:val="18"/>
                <w:szCs w:val="18"/>
              </w:rPr>
            </w:pPr>
            <w:r w:rsidRPr="0093620E">
              <w:rPr>
                <w:rFonts w:cs="Arial"/>
                <w:color w:val="000000"/>
                <w:sz w:val="18"/>
                <w:szCs w:val="18"/>
              </w:rPr>
              <w:t>77 381</w:t>
            </w:r>
          </w:p>
        </w:tc>
        <w:tc>
          <w:tcPr>
            <w:tcW w:w="1134" w:type="dxa"/>
            <w:vAlign w:val="center"/>
          </w:tcPr>
          <w:p w14:paraId="1C978761" w14:textId="15FE19C5" w:rsidR="0093620E" w:rsidRPr="0093620E" w:rsidRDefault="0093620E" w:rsidP="0093620E">
            <w:pPr>
              <w:ind w:right="100"/>
              <w:contextualSpacing/>
              <w:jc w:val="right"/>
              <w:rPr>
                <w:rFonts w:cs="Arial"/>
                <w:color w:val="FF0000"/>
                <w:sz w:val="18"/>
                <w:szCs w:val="18"/>
              </w:rPr>
            </w:pPr>
            <w:r w:rsidRPr="0093620E">
              <w:rPr>
                <w:rFonts w:cs="Arial"/>
                <w:color w:val="000000"/>
                <w:sz w:val="18"/>
                <w:szCs w:val="18"/>
              </w:rPr>
              <w:t>29 230</w:t>
            </w:r>
          </w:p>
        </w:tc>
        <w:tc>
          <w:tcPr>
            <w:tcW w:w="1134" w:type="dxa"/>
            <w:shd w:val="clear" w:color="auto" w:fill="BFBFBF"/>
            <w:vAlign w:val="center"/>
          </w:tcPr>
          <w:p w14:paraId="7C316455" w14:textId="42C622AD" w:rsidR="0093620E" w:rsidRPr="0093620E" w:rsidRDefault="0093620E" w:rsidP="0093620E">
            <w:pPr>
              <w:contextualSpacing/>
              <w:jc w:val="right"/>
              <w:rPr>
                <w:rFonts w:cs="Arial"/>
                <w:b/>
                <w:bCs/>
                <w:color w:val="FF0000"/>
                <w:sz w:val="18"/>
                <w:szCs w:val="18"/>
              </w:rPr>
            </w:pPr>
            <w:r w:rsidRPr="0093620E">
              <w:rPr>
                <w:rFonts w:cs="Arial"/>
                <w:b/>
                <w:bCs/>
                <w:color w:val="000000"/>
                <w:sz w:val="18"/>
                <w:szCs w:val="18"/>
              </w:rPr>
              <w:t>645 578</w:t>
            </w:r>
          </w:p>
        </w:tc>
      </w:tr>
      <w:tr w:rsidR="0093620E" w:rsidRPr="0002527D" w14:paraId="33DB1EB7" w14:textId="77777777" w:rsidTr="0072423A">
        <w:trPr>
          <w:trHeight w:val="20"/>
        </w:trPr>
        <w:tc>
          <w:tcPr>
            <w:tcW w:w="2415" w:type="dxa"/>
            <w:shd w:val="clear" w:color="auto" w:fill="BFBFBF"/>
            <w:vAlign w:val="center"/>
            <w:hideMark/>
          </w:tcPr>
          <w:p w14:paraId="5C12F8CA" w14:textId="77777777" w:rsidR="0093620E" w:rsidRPr="0002527D" w:rsidRDefault="0093620E" w:rsidP="0093620E">
            <w:pPr>
              <w:contextualSpacing/>
              <w:rPr>
                <w:rFonts w:cs="Arial"/>
                <w:b/>
                <w:sz w:val="18"/>
                <w:szCs w:val="18"/>
              </w:rPr>
            </w:pPr>
            <w:r w:rsidRPr="0002527D">
              <w:rPr>
                <w:rFonts w:cs="Arial"/>
                <w:b/>
                <w:sz w:val="18"/>
                <w:szCs w:val="18"/>
              </w:rPr>
              <w:t xml:space="preserve">Příjmy za využívání vzdouvacích zařízení </w:t>
            </w:r>
          </w:p>
        </w:tc>
        <w:tc>
          <w:tcPr>
            <w:tcW w:w="1134" w:type="dxa"/>
            <w:vAlign w:val="center"/>
          </w:tcPr>
          <w:p w14:paraId="5EDF47A1" w14:textId="4B79FB0D" w:rsidR="0093620E" w:rsidRPr="0093620E" w:rsidRDefault="0093620E" w:rsidP="0093620E">
            <w:pPr>
              <w:contextualSpacing/>
              <w:jc w:val="right"/>
              <w:rPr>
                <w:rFonts w:cs="Arial"/>
                <w:color w:val="FF0000"/>
                <w:sz w:val="18"/>
                <w:szCs w:val="18"/>
              </w:rPr>
            </w:pPr>
            <w:r w:rsidRPr="0093620E">
              <w:rPr>
                <w:rFonts w:cs="Arial"/>
                <w:color w:val="000000"/>
                <w:sz w:val="18"/>
                <w:szCs w:val="18"/>
              </w:rPr>
              <w:t>8463</w:t>
            </w:r>
          </w:p>
        </w:tc>
        <w:tc>
          <w:tcPr>
            <w:tcW w:w="1134" w:type="dxa"/>
            <w:vAlign w:val="center"/>
          </w:tcPr>
          <w:p w14:paraId="36CBDB0F" w14:textId="36E5803D" w:rsidR="0093620E" w:rsidRPr="0093620E" w:rsidRDefault="0093620E" w:rsidP="0093620E">
            <w:pPr>
              <w:contextualSpacing/>
              <w:jc w:val="right"/>
              <w:rPr>
                <w:rFonts w:cs="Arial"/>
                <w:color w:val="FF0000"/>
                <w:sz w:val="18"/>
                <w:szCs w:val="18"/>
              </w:rPr>
            </w:pPr>
            <w:r w:rsidRPr="0093620E">
              <w:rPr>
                <w:rFonts w:cs="Arial"/>
                <w:color w:val="000000"/>
                <w:sz w:val="18"/>
                <w:szCs w:val="18"/>
              </w:rPr>
              <w:t>103 174</w:t>
            </w:r>
          </w:p>
        </w:tc>
        <w:tc>
          <w:tcPr>
            <w:tcW w:w="1201" w:type="dxa"/>
            <w:vAlign w:val="center"/>
          </w:tcPr>
          <w:p w14:paraId="459F93AF" w14:textId="3B9B63C6" w:rsidR="0093620E" w:rsidRPr="0093620E" w:rsidRDefault="0093620E" w:rsidP="0093620E">
            <w:pPr>
              <w:ind w:right="127"/>
              <w:contextualSpacing/>
              <w:jc w:val="right"/>
              <w:rPr>
                <w:rFonts w:cs="Arial"/>
                <w:color w:val="FF0000"/>
                <w:sz w:val="18"/>
                <w:szCs w:val="18"/>
              </w:rPr>
            </w:pPr>
            <w:r w:rsidRPr="0093620E">
              <w:rPr>
                <w:rFonts w:cs="Arial"/>
                <w:color w:val="000000"/>
                <w:sz w:val="18"/>
                <w:szCs w:val="18"/>
              </w:rPr>
              <w:t>1 303</w:t>
            </w:r>
          </w:p>
        </w:tc>
        <w:tc>
          <w:tcPr>
            <w:tcW w:w="992" w:type="dxa"/>
            <w:vAlign w:val="center"/>
          </w:tcPr>
          <w:p w14:paraId="15F1741F" w14:textId="2941DC75" w:rsidR="0093620E" w:rsidRPr="0093620E" w:rsidRDefault="0093620E" w:rsidP="0093620E">
            <w:pPr>
              <w:contextualSpacing/>
              <w:jc w:val="right"/>
              <w:rPr>
                <w:rFonts w:cs="Arial"/>
                <w:color w:val="FF0000"/>
                <w:sz w:val="18"/>
                <w:szCs w:val="18"/>
              </w:rPr>
            </w:pPr>
            <w:r w:rsidRPr="0093620E">
              <w:rPr>
                <w:rFonts w:cs="Arial"/>
                <w:color w:val="000000"/>
                <w:sz w:val="18"/>
                <w:szCs w:val="18"/>
              </w:rPr>
              <w:t>0</w:t>
            </w:r>
          </w:p>
        </w:tc>
        <w:tc>
          <w:tcPr>
            <w:tcW w:w="1134" w:type="dxa"/>
            <w:vAlign w:val="center"/>
          </w:tcPr>
          <w:p w14:paraId="6B00910A" w14:textId="1F727BE9" w:rsidR="0093620E" w:rsidRPr="0093620E" w:rsidRDefault="0093620E" w:rsidP="0093620E">
            <w:pPr>
              <w:ind w:right="100"/>
              <w:contextualSpacing/>
              <w:jc w:val="right"/>
              <w:rPr>
                <w:rFonts w:cs="Arial"/>
                <w:color w:val="FF0000"/>
                <w:sz w:val="18"/>
                <w:szCs w:val="18"/>
              </w:rPr>
            </w:pPr>
            <w:r w:rsidRPr="0093620E">
              <w:rPr>
                <w:rFonts w:cs="Arial"/>
                <w:color w:val="000000"/>
                <w:sz w:val="18"/>
                <w:szCs w:val="18"/>
              </w:rPr>
              <w:t>4 984</w:t>
            </w:r>
          </w:p>
        </w:tc>
        <w:tc>
          <w:tcPr>
            <w:tcW w:w="1134" w:type="dxa"/>
            <w:shd w:val="clear" w:color="auto" w:fill="BFBFBF"/>
            <w:vAlign w:val="center"/>
          </w:tcPr>
          <w:p w14:paraId="0FC92D4A" w14:textId="0A942CA2" w:rsidR="0093620E" w:rsidRPr="0093620E" w:rsidRDefault="0093620E" w:rsidP="0093620E">
            <w:pPr>
              <w:contextualSpacing/>
              <w:jc w:val="right"/>
              <w:rPr>
                <w:rFonts w:cs="Arial"/>
                <w:b/>
                <w:bCs/>
                <w:color w:val="FF0000"/>
                <w:sz w:val="18"/>
                <w:szCs w:val="18"/>
              </w:rPr>
            </w:pPr>
            <w:r w:rsidRPr="0093620E">
              <w:rPr>
                <w:rFonts w:cs="Arial"/>
                <w:b/>
                <w:bCs/>
                <w:color w:val="000000"/>
                <w:sz w:val="18"/>
                <w:szCs w:val="18"/>
              </w:rPr>
              <w:t>117 924</w:t>
            </w:r>
          </w:p>
        </w:tc>
      </w:tr>
      <w:tr w:rsidR="0093620E" w:rsidRPr="0002527D" w14:paraId="41943CBA" w14:textId="77777777" w:rsidTr="0072423A">
        <w:trPr>
          <w:trHeight w:val="423"/>
        </w:trPr>
        <w:tc>
          <w:tcPr>
            <w:tcW w:w="2415" w:type="dxa"/>
            <w:shd w:val="clear" w:color="auto" w:fill="BFBFBF"/>
            <w:vAlign w:val="center"/>
            <w:hideMark/>
          </w:tcPr>
          <w:p w14:paraId="78361A1C" w14:textId="77777777" w:rsidR="0093620E" w:rsidRPr="0002527D" w:rsidRDefault="0093620E" w:rsidP="0093620E">
            <w:pPr>
              <w:contextualSpacing/>
              <w:rPr>
                <w:rFonts w:cs="Arial"/>
                <w:b/>
                <w:sz w:val="18"/>
                <w:szCs w:val="18"/>
              </w:rPr>
            </w:pPr>
            <w:r w:rsidRPr="0002527D">
              <w:rPr>
                <w:rFonts w:cs="Arial"/>
                <w:b/>
                <w:sz w:val="18"/>
                <w:szCs w:val="18"/>
              </w:rPr>
              <w:t>Ostatní příjmy</w:t>
            </w:r>
          </w:p>
        </w:tc>
        <w:tc>
          <w:tcPr>
            <w:tcW w:w="1134" w:type="dxa"/>
            <w:vAlign w:val="center"/>
          </w:tcPr>
          <w:p w14:paraId="4E9496E3" w14:textId="79857C8F" w:rsidR="0093620E" w:rsidRPr="0093620E" w:rsidRDefault="0093620E" w:rsidP="0093620E">
            <w:pPr>
              <w:contextualSpacing/>
              <w:jc w:val="right"/>
              <w:rPr>
                <w:rFonts w:cs="Arial"/>
                <w:color w:val="FF0000"/>
                <w:sz w:val="18"/>
                <w:szCs w:val="18"/>
              </w:rPr>
            </w:pPr>
            <w:r w:rsidRPr="0093620E">
              <w:rPr>
                <w:rFonts w:cs="Arial"/>
                <w:color w:val="000000"/>
                <w:sz w:val="18"/>
                <w:szCs w:val="18"/>
              </w:rPr>
              <w:t>164961</w:t>
            </w:r>
          </w:p>
        </w:tc>
        <w:tc>
          <w:tcPr>
            <w:tcW w:w="1134" w:type="dxa"/>
            <w:vAlign w:val="center"/>
          </w:tcPr>
          <w:p w14:paraId="356D5FE7" w14:textId="0AD0581D" w:rsidR="0093620E" w:rsidRPr="0093620E" w:rsidRDefault="0093620E" w:rsidP="0093620E">
            <w:pPr>
              <w:contextualSpacing/>
              <w:jc w:val="right"/>
              <w:rPr>
                <w:rFonts w:cs="Arial"/>
                <w:color w:val="FF0000"/>
                <w:sz w:val="18"/>
                <w:szCs w:val="18"/>
              </w:rPr>
            </w:pPr>
            <w:r w:rsidRPr="0093620E">
              <w:rPr>
                <w:rFonts w:cs="Arial"/>
                <w:color w:val="000000"/>
                <w:sz w:val="18"/>
                <w:szCs w:val="18"/>
              </w:rPr>
              <w:t>208 244</w:t>
            </w:r>
          </w:p>
        </w:tc>
        <w:tc>
          <w:tcPr>
            <w:tcW w:w="1201" w:type="dxa"/>
            <w:vAlign w:val="center"/>
          </w:tcPr>
          <w:p w14:paraId="4004E7CD" w14:textId="6C35340C" w:rsidR="0093620E" w:rsidRPr="0093620E" w:rsidRDefault="0093620E" w:rsidP="0093620E">
            <w:pPr>
              <w:ind w:right="127"/>
              <w:contextualSpacing/>
              <w:jc w:val="right"/>
              <w:rPr>
                <w:rFonts w:cs="Arial"/>
                <w:color w:val="FF0000"/>
                <w:sz w:val="18"/>
                <w:szCs w:val="18"/>
              </w:rPr>
            </w:pPr>
            <w:r w:rsidRPr="0093620E">
              <w:rPr>
                <w:rFonts w:cs="Arial"/>
                <w:color w:val="000000"/>
                <w:sz w:val="18"/>
                <w:szCs w:val="18"/>
              </w:rPr>
              <w:t>168 895</w:t>
            </w:r>
          </w:p>
        </w:tc>
        <w:tc>
          <w:tcPr>
            <w:tcW w:w="992" w:type="dxa"/>
            <w:vAlign w:val="center"/>
          </w:tcPr>
          <w:p w14:paraId="173D76DF" w14:textId="28FA6CD3" w:rsidR="0093620E" w:rsidRPr="0093620E" w:rsidRDefault="0093620E" w:rsidP="0093620E">
            <w:pPr>
              <w:contextualSpacing/>
              <w:jc w:val="right"/>
              <w:rPr>
                <w:rFonts w:cs="Arial"/>
                <w:color w:val="FF0000"/>
                <w:sz w:val="18"/>
                <w:szCs w:val="18"/>
              </w:rPr>
            </w:pPr>
            <w:r w:rsidRPr="0093620E">
              <w:rPr>
                <w:rFonts w:cs="Arial"/>
                <w:color w:val="000000"/>
                <w:sz w:val="18"/>
                <w:szCs w:val="18"/>
              </w:rPr>
              <w:t>77 296</w:t>
            </w:r>
          </w:p>
        </w:tc>
        <w:tc>
          <w:tcPr>
            <w:tcW w:w="1134" w:type="dxa"/>
            <w:vAlign w:val="center"/>
          </w:tcPr>
          <w:p w14:paraId="2C0602DC" w14:textId="3122749E" w:rsidR="0093620E" w:rsidRPr="0093620E" w:rsidRDefault="0093620E" w:rsidP="0093620E">
            <w:pPr>
              <w:ind w:right="100"/>
              <w:contextualSpacing/>
              <w:jc w:val="right"/>
              <w:rPr>
                <w:rFonts w:cs="Arial"/>
                <w:color w:val="FF0000"/>
                <w:sz w:val="18"/>
                <w:szCs w:val="18"/>
              </w:rPr>
            </w:pPr>
            <w:r w:rsidRPr="0093620E">
              <w:rPr>
                <w:rFonts w:cs="Arial"/>
                <w:color w:val="000000"/>
                <w:sz w:val="18"/>
                <w:szCs w:val="18"/>
              </w:rPr>
              <w:t>129 234</w:t>
            </w:r>
          </w:p>
        </w:tc>
        <w:tc>
          <w:tcPr>
            <w:tcW w:w="1134" w:type="dxa"/>
            <w:shd w:val="clear" w:color="auto" w:fill="BFBFBF"/>
            <w:vAlign w:val="center"/>
          </w:tcPr>
          <w:p w14:paraId="7DA86E16" w14:textId="71EE0226" w:rsidR="0093620E" w:rsidRPr="0093620E" w:rsidRDefault="0093620E" w:rsidP="0093620E">
            <w:pPr>
              <w:contextualSpacing/>
              <w:jc w:val="right"/>
              <w:rPr>
                <w:rFonts w:cs="Arial"/>
                <w:b/>
                <w:bCs/>
                <w:color w:val="FF0000"/>
                <w:sz w:val="18"/>
                <w:szCs w:val="18"/>
              </w:rPr>
            </w:pPr>
            <w:r w:rsidRPr="0093620E">
              <w:rPr>
                <w:rFonts w:cs="Arial"/>
                <w:b/>
                <w:bCs/>
                <w:color w:val="000000"/>
                <w:sz w:val="18"/>
                <w:szCs w:val="18"/>
              </w:rPr>
              <w:t>748 630</w:t>
            </w:r>
          </w:p>
        </w:tc>
      </w:tr>
      <w:tr w:rsidR="0093620E" w:rsidRPr="0002527D" w14:paraId="0D656696" w14:textId="77777777" w:rsidTr="0072423A">
        <w:trPr>
          <w:trHeight w:val="20"/>
        </w:trPr>
        <w:tc>
          <w:tcPr>
            <w:tcW w:w="2415" w:type="dxa"/>
            <w:shd w:val="clear" w:color="auto" w:fill="BFBFBF"/>
            <w:vAlign w:val="center"/>
            <w:hideMark/>
          </w:tcPr>
          <w:p w14:paraId="6EEA736D" w14:textId="77777777" w:rsidR="0093620E" w:rsidRPr="0002527D" w:rsidRDefault="0093620E" w:rsidP="0093620E">
            <w:pPr>
              <w:ind w:right="100"/>
              <w:contextualSpacing/>
              <w:rPr>
                <w:rFonts w:cs="Arial"/>
                <w:b/>
                <w:sz w:val="18"/>
                <w:szCs w:val="18"/>
              </w:rPr>
            </w:pPr>
            <w:r w:rsidRPr="0002527D">
              <w:rPr>
                <w:rFonts w:cs="Arial"/>
                <w:b/>
                <w:sz w:val="18"/>
                <w:szCs w:val="18"/>
              </w:rPr>
              <w:t xml:space="preserve">Účelové neinvestiční dotace </w:t>
            </w:r>
            <w:r w:rsidRPr="0002527D">
              <w:rPr>
                <w:rFonts w:cs="Arial"/>
                <w:b/>
                <w:sz w:val="18"/>
                <w:szCs w:val="18"/>
                <w:vertAlign w:val="superscript"/>
              </w:rPr>
              <w:t>1</w:t>
            </w:r>
            <w:r w:rsidRPr="0002527D">
              <w:rPr>
                <w:rFonts w:cs="Arial"/>
                <w:b/>
                <w:sz w:val="18"/>
                <w:szCs w:val="18"/>
              </w:rPr>
              <w:t>)</w:t>
            </w:r>
          </w:p>
        </w:tc>
        <w:tc>
          <w:tcPr>
            <w:tcW w:w="1134" w:type="dxa"/>
            <w:vAlign w:val="center"/>
          </w:tcPr>
          <w:p w14:paraId="335AFDDB" w14:textId="60EAF70E" w:rsidR="0093620E" w:rsidRPr="0093620E" w:rsidRDefault="0093620E" w:rsidP="0093620E">
            <w:pPr>
              <w:contextualSpacing/>
              <w:jc w:val="right"/>
              <w:rPr>
                <w:rFonts w:cs="Arial"/>
                <w:color w:val="FF0000"/>
                <w:sz w:val="18"/>
                <w:szCs w:val="18"/>
              </w:rPr>
            </w:pPr>
            <w:r w:rsidRPr="0093620E">
              <w:rPr>
                <w:rFonts w:cs="Arial"/>
                <w:color w:val="000000"/>
                <w:sz w:val="18"/>
                <w:szCs w:val="18"/>
              </w:rPr>
              <w:t>112605</w:t>
            </w:r>
          </w:p>
        </w:tc>
        <w:tc>
          <w:tcPr>
            <w:tcW w:w="1134" w:type="dxa"/>
            <w:vAlign w:val="center"/>
          </w:tcPr>
          <w:p w14:paraId="44C98BB5" w14:textId="03F930E6" w:rsidR="0093620E" w:rsidRPr="0093620E" w:rsidRDefault="0093620E" w:rsidP="0093620E">
            <w:pPr>
              <w:contextualSpacing/>
              <w:jc w:val="right"/>
              <w:rPr>
                <w:rFonts w:cs="Arial"/>
                <w:color w:val="FF0000"/>
                <w:sz w:val="18"/>
                <w:szCs w:val="18"/>
              </w:rPr>
            </w:pPr>
            <w:r w:rsidRPr="0093620E">
              <w:rPr>
                <w:rFonts w:cs="Arial"/>
                <w:color w:val="000000"/>
                <w:sz w:val="18"/>
                <w:szCs w:val="18"/>
              </w:rPr>
              <w:t>77 438</w:t>
            </w:r>
          </w:p>
        </w:tc>
        <w:tc>
          <w:tcPr>
            <w:tcW w:w="1201" w:type="dxa"/>
            <w:vAlign w:val="center"/>
          </w:tcPr>
          <w:p w14:paraId="03016DBB" w14:textId="63A92811" w:rsidR="0093620E" w:rsidRPr="0093620E" w:rsidRDefault="0093620E" w:rsidP="0093620E">
            <w:pPr>
              <w:ind w:right="127"/>
              <w:contextualSpacing/>
              <w:jc w:val="right"/>
              <w:rPr>
                <w:rFonts w:cs="Arial"/>
                <w:color w:val="FF0000"/>
                <w:sz w:val="18"/>
                <w:szCs w:val="18"/>
              </w:rPr>
            </w:pPr>
            <w:r w:rsidRPr="0093620E">
              <w:rPr>
                <w:rFonts w:cs="Arial"/>
                <w:color w:val="000000"/>
                <w:sz w:val="18"/>
                <w:szCs w:val="18"/>
              </w:rPr>
              <w:t>2 927</w:t>
            </w:r>
          </w:p>
        </w:tc>
        <w:tc>
          <w:tcPr>
            <w:tcW w:w="992" w:type="dxa"/>
            <w:vAlign w:val="center"/>
          </w:tcPr>
          <w:p w14:paraId="68DB63A4" w14:textId="359764CE" w:rsidR="0093620E" w:rsidRPr="0093620E" w:rsidRDefault="0093620E" w:rsidP="0093620E">
            <w:pPr>
              <w:contextualSpacing/>
              <w:jc w:val="right"/>
              <w:rPr>
                <w:rFonts w:cs="Arial"/>
                <w:color w:val="FF0000"/>
                <w:sz w:val="18"/>
                <w:szCs w:val="18"/>
              </w:rPr>
            </w:pPr>
            <w:r w:rsidRPr="0093620E">
              <w:rPr>
                <w:rFonts w:cs="Arial"/>
                <w:color w:val="000000"/>
                <w:sz w:val="18"/>
                <w:szCs w:val="18"/>
              </w:rPr>
              <w:t>148 262</w:t>
            </w:r>
          </w:p>
        </w:tc>
        <w:tc>
          <w:tcPr>
            <w:tcW w:w="1134" w:type="dxa"/>
            <w:vAlign w:val="center"/>
          </w:tcPr>
          <w:p w14:paraId="438A7A13" w14:textId="68F67DF4" w:rsidR="0093620E" w:rsidRPr="0093620E" w:rsidRDefault="0093620E" w:rsidP="0093620E">
            <w:pPr>
              <w:tabs>
                <w:tab w:val="left" w:pos="0"/>
              </w:tabs>
              <w:contextualSpacing/>
              <w:jc w:val="right"/>
              <w:rPr>
                <w:rFonts w:cs="Arial"/>
                <w:color w:val="FF0000"/>
                <w:sz w:val="18"/>
                <w:szCs w:val="18"/>
              </w:rPr>
            </w:pPr>
            <w:r w:rsidRPr="0093620E">
              <w:rPr>
                <w:rFonts w:cs="Arial"/>
                <w:color w:val="000000"/>
                <w:sz w:val="18"/>
                <w:szCs w:val="18"/>
              </w:rPr>
              <w:t>207 690</w:t>
            </w:r>
          </w:p>
        </w:tc>
        <w:tc>
          <w:tcPr>
            <w:tcW w:w="1134" w:type="dxa"/>
            <w:shd w:val="clear" w:color="auto" w:fill="BFBFBF"/>
            <w:vAlign w:val="center"/>
          </w:tcPr>
          <w:p w14:paraId="327A002C" w14:textId="7B0CCB6B" w:rsidR="0093620E" w:rsidRPr="0093620E" w:rsidRDefault="0093620E" w:rsidP="0093620E">
            <w:pPr>
              <w:contextualSpacing/>
              <w:jc w:val="right"/>
              <w:rPr>
                <w:rFonts w:cs="Arial"/>
                <w:b/>
                <w:bCs/>
                <w:color w:val="FF0000"/>
                <w:sz w:val="18"/>
                <w:szCs w:val="18"/>
              </w:rPr>
            </w:pPr>
            <w:r w:rsidRPr="0093620E">
              <w:rPr>
                <w:rFonts w:cs="Arial"/>
                <w:b/>
                <w:bCs/>
                <w:color w:val="000000"/>
                <w:sz w:val="18"/>
                <w:szCs w:val="18"/>
              </w:rPr>
              <w:t>548 922</w:t>
            </w:r>
          </w:p>
        </w:tc>
      </w:tr>
      <w:tr w:rsidR="0093620E" w:rsidRPr="00104F7D" w14:paraId="4BCDBC73" w14:textId="77777777" w:rsidTr="0072423A">
        <w:trPr>
          <w:trHeight w:val="20"/>
        </w:trPr>
        <w:tc>
          <w:tcPr>
            <w:tcW w:w="2415" w:type="dxa"/>
            <w:shd w:val="clear" w:color="auto" w:fill="BFBFBF"/>
            <w:vAlign w:val="center"/>
            <w:hideMark/>
          </w:tcPr>
          <w:p w14:paraId="061D50BA" w14:textId="77777777" w:rsidR="0093620E" w:rsidRPr="0002527D" w:rsidRDefault="0093620E" w:rsidP="0093620E">
            <w:pPr>
              <w:contextualSpacing/>
              <w:rPr>
                <w:rFonts w:cs="Arial"/>
                <w:b/>
                <w:bCs/>
                <w:sz w:val="18"/>
                <w:szCs w:val="18"/>
              </w:rPr>
            </w:pPr>
            <w:r w:rsidRPr="0002527D">
              <w:rPr>
                <w:rFonts w:cs="Arial"/>
                <w:b/>
                <w:bCs/>
                <w:sz w:val="18"/>
                <w:szCs w:val="18"/>
              </w:rPr>
              <w:t xml:space="preserve">Celkem státní podniky Povodí </w:t>
            </w:r>
          </w:p>
        </w:tc>
        <w:tc>
          <w:tcPr>
            <w:tcW w:w="1134" w:type="dxa"/>
            <w:shd w:val="clear" w:color="auto" w:fill="BFBFBF"/>
            <w:vAlign w:val="center"/>
          </w:tcPr>
          <w:p w14:paraId="2DAEA6F2" w14:textId="46A020E0" w:rsidR="0093620E" w:rsidRPr="0093620E" w:rsidRDefault="0093620E" w:rsidP="0093620E">
            <w:pPr>
              <w:ind w:left="-70"/>
              <w:contextualSpacing/>
              <w:jc w:val="right"/>
              <w:rPr>
                <w:rFonts w:cs="Arial"/>
                <w:b/>
                <w:bCs/>
                <w:color w:val="FF0000"/>
                <w:sz w:val="18"/>
                <w:szCs w:val="18"/>
              </w:rPr>
            </w:pPr>
            <w:r w:rsidRPr="0093620E">
              <w:rPr>
                <w:rFonts w:cs="Arial"/>
                <w:b/>
                <w:bCs/>
                <w:color w:val="000000"/>
                <w:sz w:val="18"/>
                <w:szCs w:val="18"/>
              </w:rPr>
              <w:t>1 517 608</w:t>
            </w:r>
          </w:p>
        </w:tc>
        <w:tc>
          <w:tcPr>
            <w:tcW w:w="1134" w:type="dxa"/>
            <w:shd w:val="clear" w:color="auto" w:fill="BFBFBF"/>
            <w:vAlign w:val="center"/>
          </w:tcPr>
          <w:p w14:paraId="20474E4F" w14:textId="6A18EF8E" w:rsidR="0093620E" w:rsidRPr="0093620E" w:rsidRDefault="0093620E" w:rsidP="0093620E">
            <w:pPr>
              <w:contextualSpacing/>
              <w:jc w:val="right"/>
              <w:rPr>
                <w:rFonts w:cs="Arial"/>
                <w:b/>
                <w:bCs/>
                <w:color w:val="FF0000"/>
                <w:sz w:val="18"/>
                <w:szCs w:val="18"/>
              </w:rPr>
            </w:pPr>
            <w:r w:rsidRPr="0093620E">
              <w:rPr>
                <w:rFonts w:cs="Arial"/>
                <w:b/>
                <w:bCs/>
                <w:color w:val="000000"/>
                <w:sz w:val="18"/>
                <w:szCs w:val="18"/>
              </w:rPr>
              <w:t>1 708 311</w:t>
            </w:r>
          </w:p>
        </w:tc>
        <w:tc>
          <w:tcPr>
            <w:tcW w:w="1201" w:type="dxa"/>
            <w:shd w:val="clear" w:color="auto" w:fill="BFBFBF"/>
            <w:vAlign w:val="center"/>
          </w:tcPr>
          <w:p w14:paraId="6A93EF9C" w14:textId="12B13A42" w:rsidR="0093620E" w:rsidRPr="0093620E" w:rsidRDefault="0093620E" w:rsidP="0093620E">
            <w:pPr>
              <w:ind w:right="127"/>
              <w:contextualSpacing/>
              <w:jc w:val="right"/>
              <w:rPr>
                <w:rFonts w:cs="Arial"/>
                <w:b/>
                <w:bCs/>
                <w:color w:val="FF0000"/>
                <w:sz w:val="18"/>
                <w:szCs w:val="18"/>
              </w:rPr>
            </w:pPr>
            <w:r w:rsidRPr="0093620E">
              <w:rPr>
                <w:rFonts w:cs="Arial"/>
                <w:b/>
                <w:bCs/>
                <w:color w:val="000000"/>
                <w:sz w:val="18"/>
                <w:szCs w:val="18"/>
              </w:rPr>
              <w:t>1 111 221</w:t>
            </w:r>
          </w:p>
        </w:tc>
        <w:tc>
          <w:tcPr>
            <w:tcW w:w="992" w:type="dxa"/>
            <w:shd w:val="clear" w:color="auto" w:fill="BFBFBF"/>
            <w:vAlign w:val="center"/>
          </w:tcPr>
          <w:p w14:paraId="485C1561" w14:textId="194AE695" w:rsidR="0093620E" w:rsidRPr="0093620E" w:rsidRDefault="0093620E" w:rsidP="0093620E">
            <w:pPr>
              <w:contextualSpacing/>
              <w:jc w:val="right"/>
              <w:rPr>
                <w:rFonts w:cs="Arial"/>
                <w:b/>
                <w:bCs/>
                <w:color w:val="FF0000"/>
                <w:sz w:val="18"/>
                <w:szCs w:val="18"/>
              </w:rPr>
            </w:pPr>
            <w:r w:rsidRPr="0093620E">
              <w:rPr>
                <w:rFonts w:cs="Arial"/>
                <w:b/>
                <w:bCs/>
                <w:color w:val="000000"/>
                <w:sz w:val="18"/>
                <w:szCs w:val="18"/>
              </w:rPr>
              <w:t>972 878</w:t>
            </w:r>
          </w:p>
        </w:tc>
        <w:tc>
          <w:tcPr>
            <w:tcW w:w="1134" w:type="dxa"/>
            <w:shd w:val="clear" w:color="auto" w:fill="BFBFBF"/>
            <w:vAlign w:val="center"/>
          </w:tcPr>
          <w:p w14:paraId="0FACFEB0" w14:textId="6A9B5774" w:rsidR="0093620E" w:rsidRPr="0093620E" w:rsidRDefault="0093620E" w:rsidP="0093620E">
            <w:pPr>
              <w:ind w:right="100"/>
              <w:contextualSpacing/>
              <w:jc w:val="right"/>
              <w:rPr>
                <w:rFonts w:cs="Arial"/>
                <w:b/>
                <w:bCs/>
                <w:color w:val="FF0000"/>
                <w:sz w:val="18"/>
                <w:szCs w:val="18"/>
              </w:rPr>
            </w:pPr>
            <w:r w:rsidRPr="0093620E">
              <w:rPr>
                <w:rFonts w:cs="Arial"/>
                <w:b/>
                <w:bCs/>
                <w:color w:val="000000"/>
                <w:sz w:val="18"/>
                <w:szCs w:val="18"/>
              </w:rPr>
              <w:t>1 200 367</w:t>
            </w:r>
          </w:p>
        </w:tc>
        <w:tc>
          <w:tcPr>
            <w:tcW w:w="1134" w:type="dxa"/>
            <w:shd w:val="clear" w:color="auto" w:fill="BFBFBF"/>
            <w:vAlign w:val="center"/>
          </w:tcPr>
          <w:p w14:paraId="7AB34E3F" w14:textId="4218DF34" w:rsidR="0093620E" w:rsidRPr="0093620E" w:rsidRDefault="0093620E" w:rsidP="0093620E">
            <w:pPr>
              <w:contextualSpacing/>
              <w:jc w:val="right"/>
              <w:rPr>
                <w:rFonts w:cs="Arial"/>
                <w:b/>
                <w:bCs/>
                <w:color w:val="FF0000"/>
                <w:sz w:val="18"/>
                <w:szCs w:val="18"/>
              </w:rPr>
            </w:pPr>
            <w:r w:rsidRPr="0093620E">
              <w:rPr>
                <w:rFonts w:cs="Arial"/>
                <w:b/>
                <w:bCs/>
                <w:color w:val="000000"/>
                <w:sz w:val="18"/>
                <w:szCs w:val="18"/>
              </w:rPr>
              <w:t>6 510 385</w:t>
            </w:r>
          </w:p>
        </w:tc>
      </w:tr>
    </w:tbl>
    <w:p w14:paraId="7BAF8753" w14:textId="18E66711" w:rsidR="005C3DF4" w:rsidRPr="004B5CC4" w:rsidRDefault="005C3DF4" w:rsidP="007C4955">
      <w:pPr>
        <w:tabs>
          <w:tab w:val="left" w:pos="6131"/>
        </w:tabs>
        <w:contextualSpacing/>
        <w:rPr>
          <w:rFonts w:cs="Arial"/>
          <w:i/>
          <w:sz w:val="20"/>
          <w:szCs w:val="20"/>
        </w:rPr>
      </w:pPr>
      <w:r w:rsidRPr="004B5CC4">
        <w:rPr>
          <w:rFonts w:cs="Arial"/>
          <w:i/>
          <w:sz w:val="20"/>
          <w:szCs w:val="20"/>
        </w:rPr>
        <w:t xml:space="preserve">Pramen: </w:t>
      </w:r>
      <w:r w:rsidR="00340859" w:rsidRPr="004B5CC4">
        <w:rPr>
          <w:rFonts w:cs="Arial"/>
          <w:i/>
          <w:sz w:val="20"/>
          <w:szCs w:val="20"/>
        </w:rPr>
        <w:t>s</w:t>
      </w:r>
      <w:r w:rsidRPr="004B5CC4">
        <w:rPr>
          <w:rFonts w:cs="Arial"/>
          <w:i/>
          <w:sz w:val="20"/>
          <w:szCs w:val="20"/>
        </w:rPr>
        <w:t>. p. Povodí</w:t>
      </w:r>
      <w:r w:rsidRPr="004B5CC4">
        <w:rPr>
          <w:rFonts w:cs="Arial"/>
          <w:i/>
          <w:sz w:val="20"/>
          <w:szCs w:val="20"/>
        </w:rPr>
        <w:tab/>
      </w:r>
    </w:p>
    <w:p w14:paraId="17E78459" w14:textId="77777777" w:rsidR="005C3DF4" w:rsidRPr="004B5CC4" w:rsidRDefault="005C3DF4" w:rsidP="007C4955">
      <w:pPr>
        <w:ind w:left="567" w:hanging="567"/>
        <w:contextualSpacing/>
        <w:rPr>
          <w:rFonts w:cs="Arial"/>
          <w:i/>
          <w:sz w:val="20"/>
          <w:szCs w:val="20"/>
        </w:rPr>
      </w:pPr>
      <w:r w:rsidRPr="004B5CC4">
        <w:rPr>
          <w:rFonts w:cs="Arial"/>
          <w:i/>
          <w:sz w:val="20"/>
          <w:szCs w:val="20"/>
        </w:rPr>
        <w:t xml:space="preserve">Pozn.: </w:t>
      </w:r>
      <w:r w:rsidRPr="004B5CC4">
        <w:rPr>
          <w:rFonts w:cs="Arial"/>
          <w:i/>
          <w:sz w:val="20"/>
          <w:szCs w:val="20"/>
          <w:vertAlign w:val="superscript"/>
        </w:rPr>
        <w:t xml:space="preserve">*) </w:t>
      </w:r>
      <w:r w:rsidRPr="004B5CC4">
        <w:rPr>
          <w:rFonts w:cs="Arial"/>
          <w:i/>
          <w:sz w:val="20"/>
          <w:szCs w:val="20"/>
        </w:rPr>
        <w:t>Položka zahrnuje tržby z fotovoltaických elektráren</w:t>
      </w:r>
    </w:p>
    <w:p w14:paraId="27CD144A" w14:textId="098A6695" w:rsidR="005C3DF4" w:rsidRPr="004B5CC4" w:rsidRDefault="005C3DF4" w:rsidP="007C4955">
      <w:pPr>
        <w:ind w:left="567"/>
        <w:contextualSpacing/>
        <w:rPr>
          <w:rFonts w:cs="Arial"/>
          <w:i/>
          <w:sz w:val="20"/>
          <w:szCs w:val="20"/>
        </w:rPr>
      </w:pPr>
      <w:r w:rsidRPr="004B5CC4">
        <w:rPr>
          <w:rFonts w:cs="Arial"/>
          <w:i/>
          <w:sz w:val="20"/>
          <w:szCs w:val="20"/>
          <w:vertAlign w:val="superscript"/>
        </w:rPr>
        <w:t>1</w:t>
      </w:r>
      <w:r w:rsidRPr="004B5CC4">
        <w:rPr>
          <w:rFonts w:cs="Arial"/>
          <w:i/>
          <w:sz w:val="20"/>
          <w:szCs w:val="20"/>
        </w:rPr>
        <w:t>)</w:t>
      </w:r>
      <w:r w:rsidR="00A57416" w:rsidRPr="004B5CC4">
        <w:rPr>
          <w:rFonts w:cs="Arial"/>
          <w:i/>
          <w:sz w:val="20"/>
          <w:szCs w:val="20"/>
        </w:rPr>
        <w:t xml:space="preserve"> </w:t>
      </w:r>
      <w:r w:rsidRPr="004B5CC4">
        <w:rPr>
          <w:rFonts w:cs="Arial"/>
          <w:i/>
          <w:sz w:val="20"/>
          <w:szCs w:val="20"/>
        </w:rPr>
        <w:t xml:space="preserve">Jedná se o veškeré </w:t>
      </w:r>
      <w:r w:rsidR="00FD29B7" w:rsidRPr="004B5CC4">
        <w:rPr>
          <w:rFonts w:cs="Arial"/>
          <w:i/>
          <w:sz w:val="20"/>
          <w:szCs w:val="20"/>
        </w:rPr>
        <w:t xml:space="preserve">účelové </w:t>
      </w:r>
      <w:r w:rsidR="00C37411" w:rsidRPr="004B5CC4">
        <w:rPr>
          <w:rFonts w:cs="Arial"/>
          <w:i/>
          <w:sz w:val="20"/>
          <w:szCs w:val="20"/>
        </w:rPr>
        <w:t xml:space="preserve">neinvestiční </w:t>
      </w:r>
      <w:r w:rsidRPr="004B5CC4">
        <w:rPr>
          <w:rFonts w:cs="Arial"/>
          <w:i/>
          <w:sz w:val="20"/>
          <w:szCs w:val="20"/>
        </w:rPr>
        <w:t>dotace na drobné vodní toky</w:t>
      </w:r>
      <w:r w:rsidR="00C37411" w:rsidRPr="004B5CC4">
        <w:rPr>
          <w:rFonts w:cs="Arial"/>
          <w:i/>
          <w:sz w:val="20"/>
          <w:szCs w:val="20"/>
        </w:rPr>
        <w:t>,</w:t>
      </w:r>
      <w:r w:rsidRPr="004B5CC4">
        <w:rPr>
          <w:rFonts w:cs="Arial"/>
          <w:i/>
          <w:sz w:val="20"/>
          <w:szCs w:val="20"/>
        </w:rPr>
        <w:t xml:space="preserve"> dotace ze SFDI</w:t>
      </w:r>
      <w:r w:rsidR="00C37411" w:rsidRPr="004B5CC4">
        <w:rPr>
          <w:rFonts w:cs="Arial"/>
          <w:i/>
          <w:sz w:val="20"/>
          <w:szCs w:val="20"/>
        </w:rPr>
        <w:t xml:space="preserve"> a ostatní neinvestiční dotace</w:t>
      </w:r>
      <w:r w:rsidRPr="004B5CC4">
        <w:rPr>
          <w:rFonts w:cs="Arial"/>
          <w:i/>
          <w:sz w:val="20"/>
          <w:szCs w:val="20"/>
        </w:rPr>
        <w:t>.</w:t>
      </w:r>
      <w:r w:rsidR="00C37411" w:rsidRPr="004B5CC4">
        <w:rPr>
          <w:rFonts w:cs="Arial"/>
          <w:i/>
          <w:sz w:val="20"/>
          <w:szCs w:val="20"/>
        </w:rPr>
        <w:t xml:space="preserve"> </w:t>
      </w:r>
    </w:p>
    <w:p w14:paraId="75CEF661" w14:textId="77777777" w:rsidR="00DF3FE4" w:rsidRDefault="00DF3FE4" w:rsidP="007C4955">
      <w:pPr>
        <w:contextualSpacing/>
        <w:rPr>
          <w:b/>
          <w:i/>
          <w:color w:val="FF0000"/>
        </w:rPr>
      </w:pPr>
      <w:bookmarkStart w:id="61" w:name="_Toc482564962"/>
    </w:p>
    <w:p w14:paraId="3F3B60B4" w14:textId="77777777" w:rsidR="004B5CC4" w:rsidRDefault="004B5CC4" w:rsidP="007C4955">
      <w:pPr>
        <w:contextualSpacing/>
        <w:rPr>
          <w:b/>
          <w:i/>
          <w:color w:val="FF0000"/>
        </w:rPr>
      </w:pPr>
    </w:p>
    <w:p w14:paraId="3A77FFD4" w14:textId="77777777" w:rsidR="004B5CC4" w:rsidRDefault="004B5CC4" w:rsidP="007C4955">
      <w:pPr>
        <w:contextualSpacing/>
        <w:rPr>
          <w:b/>
          <w:i/>
          <w:color w:val="FF0000"/>
        </w:rPr>
      </w:pPr>
    </w:p>
    <w:p w14:paraId="57772114" w14:textId="77777777" w:rsidR="004B5CC4" w:rsidRDefault="004B5CC4" w:rsidP="007C4955">
      <w:pPr>
        <w:contextualSpacing/>
        <w:rPr>
          <w:b/>
          <w:i/>
          <w:color w:val="FF0000"/>
        </w:rPr>
      </w:pPr>
    </w:p>
    <w:p w14:paraId="0A810961" w14:textId="77777777" w:rsidR="004B5CC4" w:rsidRDefault="004B5CC4" w:rsidP="007C4955">
      <w:pPr>
        <w:contextualSpacing/>
        <w:rPr>
          <w:b/>
          <w:i/>
          <w:color w:val="FF0000"/>
        </w:rPr>
      </w:pPr>
    </w:p>
    <w:p w14:paraId="389F5E84" w14:textId="77777777" w:rsidR="004B5CC4" w:rsidRDefault="004B5CC4" w:rsidP="007C4955">
      <w:pPr>
        <w:contextualSpacing/>
        <w:rPr>
          <w:b/>
          <w:i/>
          <w:color w:val="FF0000"/>
        </w:rPr>
      </w:pPr>
    </w:p>
    <w:p w14:paraId="0C3096E8" w14:textId="77777777" w:rsidR="004B5CC4" w:rsidRDefault="004B5CC4" w:rsidP="007C4955">
      <w:pPr>
        <w:contextualSpacing/>
        <w:rPr>
          <w:b/>
          <w:i/>
          <w:color w:val="FF0000"/>
        </w:rPr>
      </w:pPr>
    </w:p>
    <w:p w14:paraId="6212A3DA" w14:textId="77777777" w:rsidR="004B5CC4" w:rsidRDefault="004B5CC4" w:rsidP="007C4955">
      <w:pPr>
        <w:contextualSpacing/>
        <w:rPr>
          <w:b/>
          <w:i/>
          <w:color w:val="FF0000"/>
        </w:rPr>
      </w:pPr>
    </w:p>
    <w:p w14:paraId="218FBA6B" w14:textId="77777777" w:rsidR="004B5CC4" w:rsidRDefault="004B5CC4" w:rsidP="007C4955">
      <w:pPr>
        <w:contextualSpacing/>
        <w:rPr>
          <w:b/>
          <w:i/>
          <w:color w:val="FF0000"/>
        </w:rPr>
      </w:pPr>
    </w:p>
    <w:p w14:paraId="78B99D0E" w14:textId="77777777" w:rsidR="004B5CC4" w:rsidRDefault="004B5CC4" w:rsidP="007C4955">
      <w:pPr>
        <w:contextualSpacing/>
        <w:rPr>
          <w:b/>
          <w:i/>
          <w:color w:val="FF0000"/>
        </w:rPr>
      </w:pPr>
    </w:p>
    <w:p w14:paraId="205460A3" w14:textId="77777777" w:rsidR="004B5CC4" w:rsidRDefault="004B5CC4" w:rsidP="007C4955">
      <w:pPr>
        <w:contextualSpacing/>
        <w:rPr>
          <w:b/>
          <w:i/>
          <w:color w:val="FF0000"/>
        </w:rPr>
      </w:pPr>
    </w:p>
    <w:p w14:paraId="101EBE9A" w14:textId="330C3160" w:rsidR="005C3DF4" w:rsidRPr="00CA7D44" w:rsidRDefault="005C3DF4" w:rsidP="007C4955">
      <w:pPr>
        <w:contextualSpacing/>
        <w:rPr>
          <w:b/>
          <w:i/>
        </w:rPr>
      </w:pPr>
      <w:r w:rsidRPr="00CA7D44">
        <w:rPr>
          <w:b/>
          <w:i/>
        </w:rPr>
        <w:lastRenderedPageBreak/>
        <w:t>Graf 6.2.</w:t>
      </w:r>
      <w:bookmarkEnd w:id="61"/>
      <w:r w:rsidRPr="00CA7D44">
        <w:rPr>
          <w:b/>
          <w:i/>
        </w:rPr>
        <w:t xml:space="preserve">2     </w:t>
      </w:r>
    </w:p>
    <w:p w14:paraId="0682E57A" w14:textId="69BD14DB" w:rsidR="004F7B4F" w:rsidRPr="00CA7D44" w:rsidRDefault="005C3DF4" w:rsidP="007C4955">
      <w:pPr>
        <w:contextualSpacing/>
        <w:rPr>
          <w:b/>
          <w:i/>
        </w:rPr>
      </w:pPr>
      <w:bookmarkStart w:id="62" w:name="_Toc482564963"/>
      <w:r w:rsidRPr="00CA7D44">
        <w:rPr>
          <w:b/>
          <w:i/>
        </w:rPr>
        <w:t>Struktura výnosů státních podniků Povodí v roce 20</w:t>
      </w:r>
      <w:bookmarkEnd w:id="62"/>
      <w:r w:rsidR="004F7B4F" w:rsidRPr="00CA7D44">
        <w:rPr>
          <w:b/>
          <w:i/>
        </w:rPr>
        <w:t>2</w:t>
      </w:r>
      <w:r w:rsidR="00AF12EB">
        <w:rPr>
          <w:b/>
          <w:i/>
        </w:rPr>
        <w:t>5</w:t>
      </w:r>
    </w:p>
    <w:p w14:paraId="2BC895B9" w14:textId="0FCEF544" w:rsidR="001465FF" w:rsidRPr="00104F7D" w:rsidRDefault="00AF12EB" w:rsidP="00DB632C">
      <w:pPr>
        <w:contextualSpacing/>
        <w:rPr>
          <w:b/>
          <w:i/>
          <w:highlight w:val="yellow"/>
        </w:rPr>
      </w:pPr>
      <w:r>
        <w:rPr>
          <w:noProof/>
        </w:rPr>
        <w:drawing>
          <wp:inline distT="0" distB="0" distL="0" distR="0" wp14:anchorId="11A3EC73" wp14:editId="33801461">
            <wp:extent cx="5543550" cy="3155950"/>
            <wp:effectExtent l="0" t="0" r="0" b="6350"/>
            <wp:docPr id="1778310254" name="Graf 1">
              <a:extLst xmlns:a="http://schemas.openxmlformats.org/drawingml/2006/main">
                <a:ext uri="{FF2B5EF4-FFF2-40B4-BE49-F238E27FC236}">
                  <a16:creationId xmlns:a16="http://schemas.microsoft.com/office/drawing/2014/main" id="{75D6DF93-AF40-4C23-8B12-4C84F26DCB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4924ADFA" w14:textId="77777777" w:rsidR="005C3DF4" w:rsidRPr="00CA7D44" w:rsidRDefault="005C3DF4" w:rsidP="55DFC2AA">
      <w:pPr>
        <w:pStyle w:val="Modrzprva-pramen"/>
        <w:contextualSpacing/>
        <w:rPr>
          <w:rFonts w:cs="Arial"/>
          <w:b w:val="0"/>
          <w:sz w:val="20"/>
          <w:szCs w:val="20"/>
          <w:lang w:val="en-US"/>
        </w:rPr>
      </w:pPr>
      <w:proofErr w:type="spellStart"/>
      <w:r w:rsidRPr="55DFC2AA">
        <w:rPr>
          <w:rFonts w:cs="Arial"/>
          <w:b w:val="0"/>
          <w:sz w:val="20"/>
          <w:szCs w:val="20"/>
          <w:lang w:val="en-US"/>
        </w:rPr>
        <w:t>Pramen</w:t>
      </w:r>
      <w:proofErr w:type="spellEnd"/>
      <w:r w:rsidRPr="55DFC2AA">
        <w:rPr>
          <w:rFonts w:cs="Arial"/>
          <w:b w:val="0"/>
          <w:sz w:val="20"/>
          <w:szCs w:val="20"/>
          <w:lang w:val="en-US"/>
        </w:rPr>
        <w:t>: MZe</w:t>
      </w:r>
    </w:p>
    <w:p w14:paraId="1F332C82" w14:textId="77777777" w:rsidR="00FC217A" w:rsidRPr="00104F7D" w:rsidRDefault="00FC217A" w:rsidP="00FC217A">
      <w:pPr>
        <w:rPr>
          <w:rFonts w:cs="Arial"/>
          <w:b/>
          <w:color w:val="FF0000"/>
          <w:highlight w:val="yellow"/>
        </w:rPr>
      </w:pPr>
    </w:p>
    <w:p w14:paraId="093F4528" w14:textId="04945F70" w:rsidR="00BC6B9C" w:rsidRPr="00910A76" w:rsidRDefault="00BC6B9C" w:rsidP="00BC6B9C">
      <w:pPr>
        <w:rPr>
          <w:rFonts w:cs="Arial"/>
          <w:b/>
        </w:rPr>
      </w:pPr>
      <w:bookmarkStart w:id="63" w:name="_Toc482564964"/>
      <w:r w:rsidRPr="0048672B">
        <w:rPr>
          <w:rFonts w:cs="Arial"/>
          <w:b/>
        </w:rPr>
        <w:t>Celkové náklady státních podniků Povodí se v roce 202</w:t>
      </w:r>
      <w:r w:rsidR="005C6DAF" w:rsidRPr="0048672B">
        <w:rPr>
          <w:rFonts w:cs="Arial"/>
          <w:b/>
        </w:rPr>
        <w:t>5</w:t>
      </w:r>
      <w:r w:rsidRPr="0048672B">
        <w:rPr>
          <w:rFonts w:cs="Arial"/>
          <w:b/>
        </w:rPr>
        <w:t xml:space="preserve"> oproti předcházejícímu roku </w:t>
      </w:r>
      <w:r w:rsidR="005C6DAF" w:rsidRPr="0048672B">
        <w:rPr>
          <w:rFonts w:cs="Arial"/>
          <w:b/>
        </w:rPr>
        <w:t>snížily</w:t>
      </w:r>
      <w:r w:rsidRPr="0048672B">
        <w:rPr>
          <w:rFonts w:cs="Arial"/>
          <w:b/>
        </w:rPr>
        <w:t xml:space="preserve"> o </w:t>
      </w:r>
      <w:r w:rsidR="005C6DAF" w:rsidRPr="0048672B">
        <w:rPr>
          <w:rFonts w:cs="Arial"/>
          <w:b/>
        </w:rPr>
        <w:t>0,6</w:t>
      </w:r>
      <w:r w:rsidRPr="0048672B">
        <w:rPr>
          <w:rFonts w:cs="Arial"/>
          <w:b/>
        </w:rPr>
        <w:t xml:space="preserve"> % na celkových </w:t>
      </w:r>
      <w:r w:rsidR="003708B0" w:rsidRPr="0048672B">
        <w:rPr>
          <w:rFonts w:cs="Arial"/>
          <w:b/>
        </w:rPr>
        <w:t xml:space="preserve">6 </w:t>
      </w:r>
      <w:r w:rsidR="00F047C0" w:rsidRPr="0048672B">
        <w:rPr>
          <w:rFonts w:cs="Arial"/>
          <w:b/>
        </w:rPr>
        <w:t>2</w:t>
      </w:r>
      <w:r w:rsidR="00C012D2" w:rsidRPr="0048672B">
        <w:rPr>
          <w:rFonts w:cs="Arial"/>
          <w:b/>
        </w:rPr>
        <w:t>05</w:t>
      </w:r>
      <w:r w:rsidRPr="0048672B">
        <w:rPr>
          <w:rFonts w:cs="Arial"/>
          <w:b/>
        </w:rPr>
        <w:t xml:space="preserve"> m</w:t>
      </w:r>
      <w:r w:rsidR="002066BF" w:rsidRPr="0048672B">
        <w:rPr>
          <w:rFonts w:cs="Arial"/>
          <w:b/>
        </w:rPr>
        <w:t>i</w:t>
      </w:r>
      <w:r w:rsidRPr="0048672B">
        <w:rPr>
          <w:rFonts w:cs="Arial"/>
          <w:b/>
        </w:rPr>
        <w:t xml:space="preserve">l. </w:t>
      </w:r>
      <w:r w:rsidRPr="00910A76">
        <w:rPr>
          <w:rFonts w:cs="Arial"/>
          <w:b/>
        </w:rPr>
        <w:t>Kč.</w:t>
      </w:r>
      <w:r w:rsidR="00910A76">
        <w:rPr>
          <w:rFonts w:cs="Arial"/>
          <w:b/>
        </w:rPr>
        <w:t xml:space="preserve"> U</w:t>
      </w:r>
      <w:r w:rsidRPr="00910A76">
        <w:rPr>
          <w:rFonts w:cs="Arial"/>
          <w:b/>
        </w:rPr>
        <w:t xml:space="preserve"> položky </w:t>
      </w:r>
      <w:r w:rsidR="00F86516" w:rsidRPr="00910A76">
        <w:rPr>
          <w:rFonts w:cs="Arial"/>
          <w:b/>
        </w:rPr>
        <w:t xml:space="preserve">ostatní náklady </w:t>
      </w:r>
      <w:r w:rsidR="00292AB8" w:rsidRPr="00910A76">
        <w:rPr>
          <w:rFonts w:cs="Arial"/>
          <w:b/>
        </w:rPr>
        <w:t>a</w:t>
      </w:r>
      <w:r w:rsidR="00910A76">
        <w:rPr>
          <w:rFonts w:cs="Arial"/>
          <w:b/>
        </w:rPr>
        <w:t xml:space="preserve"> </w:t>
      </w:r>
      <w:r w:rsidR="001E79E0">
        <w:rPr>
          <w:rFonts w:cs="Arial"/>
          <w:b/>
        </w:rPr>
        <w:t>materiál</w:t>
      </w:r>
      <w:r w:rsidRPr="00910A76">
        <w:rPr>
          <w:rFonts w:cs="Arial"/>
          <w:b/>
        </w:rPr>
        <w:t xml:space="preserve"> došlo k výraznému poklesu. </w:t>
      </w:r>
    </w:p>
    <w:p w14:paraId="0C5C48B2" w14:textId="77777777" w:rsidR="00BC6B9C" w:rsidRPr="00910A76" w:rsidRDefault="00BC6B9C" w:rsidP="00BC6B9C">
      <w:pPr>
        <w:contextualSpacing/>
        <w:rPr>
          <w:b/>
          <w:i/>
        </w:rPr>
      </w:pPr>
    </w:p>
    <w:p w14:paraId="4B5D90E8" w14:textId="77777777" w:rsidR="00BC6B9C" w:rsidRPr="003764C5" w:rsidRDefault="00BC6B9C" w:rsidP="00BC6B9C">
      <w:pPr>
        <w:contextualSpacing/>
        <w:rPr>
          <w:b/>
          <w:i/>
        </w:rPr>
      </w:pPr>
      <w:bookmarkStart w:id="64" w:name="_Hlk138420438"/>
      <w:r w:rsidRPr="003764C5">
        <w:rPr>
          <w:b/>
          <w:i/>
        </w:rPr>
        <w:t>Tabulka 6.2.</w:t>
      </w:r>
      <w:r w:rsidR="0069387B" w:rsidRPr="003764C5">
        <w:rPr>
          <w:b/>
          <w:i/>
        </w:rPr>
        <w:t>2</w:t>
      </w:r>
      <w:r w:rsidRPr="003764C5">
        <w:rPr>
          <w:b/>
          <w:i/>
        </w:rPr>
        <w:t>  </w:t>
      </w:r>
    </w:p>
    <w:p w14:paraId="5F8CEF9E" w14:textId="51A28B85" w:rsidR="00BC6B9C" w:rsidRPr="003764C5" w:rsidRDefault="00BC6B9C" w:rsidP="00BC6B9C">
      <w:pPr>
        <w:contextualSpacing/>
        <w:rPr>
          <w:b/>
          <w:i/>
        </w:rPr>
      </w:pPr>
      <w:r w:rsidRPr="003764C5">
        <w:rPr>
          <w:b/>
          <w:i/>
        </w:rPr>
        <w:t>Náklady státních podniků Povodí v letech 202</w:t>
      </w:r>
      <w:r w:rsidR="003764C5">
        <w:rPr>
          <w:b/>
          <w:i/>
        </w:rPr>
        <w:t>4</w:t>
      </w:r>
      <w:r w:rsidRPr="003764C5">
        <w:rPr>
          <w:b/>
          <w:i/>
        </w:rPr>
        <w:t xml:space="preserve"> a 202</w:t>
      </w:r>
      <w:r w:rsidR="003764C5">
        <w:rPr>
          <w:b/>
          <w:i/>
        </w:rPr>
        <w:t>5</w:t>
      </w:r>
      <w:r w:rsidRPr="003764C5">
        <w:rPr>
          <w:b/>
          <w:i/>
        </w:rPr>
        <w:t xml:space="preserve"> </w:t>
      </w:r>
    </w:p>
    <w:tbl>
      <w:tblPr>
        <w:tblW w:w="916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40"/>
        <w:gridCol w:w="1014"/>
        <w:gridCol w:w="1111"/>
        <w:gridCol w:w="1112"/>
        <w:gridCol w:w="1111"/>
        <w:gridCol w:w="1112"/>
        <w:gridCol w:w="1112"/>
        <w:gridCol w:w="1350"/>
      </w:tblGrid>
      <w:tr w:rsidR="00186037" w:rsidRPr="003764C5" w14:paraId="31C265D5" w14:textId="77777777" w:rsidTr="00507CC0">
        <w:trPr>
          <w:trHeight w:val="20"/>
        </w:trPr>
        <w:tc>
          <w:tcPr>
            <w:tcW w:w="1240" w:type="dxa"/>
            <w:vMerge w:val="restart"/>
            <w:shd w:val="clear" w:color="auto" w:fill="BFBFBF"/>
            <w:vAlign w:val="center"/>
          </w:tcPr>
          <w:p w14:paraId="3CD16A59" w14:textId="77777777" w:rsidR="000676F5" w:rsidRPr="003764C5" w:rsidRDefault="000676F5" w:rsidP="00507CC0">
            <w:pPr>
              <w:contextualSpacing/>
              <w:rPr>
                <w:rFonts w:cs="Arial"/>
                <w:b/>
                <w:bCs/>
                <w:sz w:val="18"/>
                <w:szCs w:val="18"/>
              </w:rPr>
            </w:pPr>
            <w:r w:rsidRPr="003764C5">
              <w:rPr>
                <w:rFonts w:cs="Arial"/>
                <w:b/>
                <w:bCs/>
                <w:sz w:val="18"/>
                <w:szCs w:val="18"/>
              </w:rPr>
              <w:t>Druh nákladů</w:t>
            </w:r>
          </w:p>
        </w:tc>
        <w:tc>
          <w:tcPr>
            <w:tcW w:w="1014" w:type="dxa"/>
            <w:vMerge w:val="restart"/>
            <w:shd w:val="clear" w:color="auto" w:fill="BFBFBF"/>
            <w:vAlign w:val="center"/>
          </w:tcPr>
          <w:p w14:paraId="48E9AC07" w14:textId="77777777" w:rsidR="000676F5" w:rsidRPr="003764C5" w:rsidRDefault="000676F5" w:rsidP="00507CC0">
            <w:pPr>
              <w:contextualSpacing/>
              <w:jc w:val="center"/>
              <w:rPr>
                <w:rFonts w:cs="Arial"/>
                <w:b/>
                <w:bCs/>
                <w:sz w:val="18"/>
                <w:szCs w:val="18"/>
              </w:rPr>
            </w:pPr>
            <w:r w:rsidRPr="003764C5">
              <w:rPr>
                <w:rFonts w:cs="Arial"/>
                <w:b/>
                <w:bCs/>
                <w:sz w:val="18"/>
                <w:szCs w:val="18"/>
              </w:rPr>
              <w:t>Rok</w:t>
            </w:r>
          </w:p>
        </w:tc>
        <w:tc>
          <w:tcPr>
            <w:tcW w:w="5558" w:type="dxa"/>
            <w:gridSpan w:val="5"/>
            <w:shd w:val="clear" w:color="auto" w:fill="BFBFBF"/>
            <w:vAlign w:val="center"/>
          </w:tcPr>
          <w:p w14:paraId="47795E43" w14:textId="77777777" w:rsidR="000676F5" w:rsidRPr="003764C5" w:rsidRDefault="000676F5" w:rsidP="00507CC0">
            <w:pPr>
              <w:contextualSpacing/>
              <w:jc w:val="center"/>
              <w:rPr>
                <w:rFonts w:cs="Arial"/>
                <w:b/>
                <w:bCs/>
                <w:sz w:val="18"/>
                <w:szCs w:val="18"/>
              </w:rPr>
            </w:pPr>
            <w:r w:rsidRPr="003764C5">
              <w:rPr>
                <w:rFonts w:cs="Arial"/>
                <w:b/>
                <w:bCs/>
                <w:sz w:val="18"/>
                <w:szCs w:val="18"/>
              </w:rPr>
              <w:t>Státní podnik Povodí</w:t>
            </w:r>
          </w:p>
        </w:tc>
        <w:tc>
          <w:tcPr>
            <w:tcW w:w="1350" w:type="dxa"/>
            <w:vMerge w:val="restart"/>
            <w:shd w:val="clear" w:color="auto" w:fill="BFBFBF"/>
            <w:vAlign w:val="center"/>
          </w:tcPr>
          <w:p w14:paraId="16220264" w14:textId="77777777" w:rsidR="000676F5" w:rsidRPr="003764C5" w:rsidRDefault="000676F5" w:rsidP="00507CC0">
            <w:pPr>
              <w:contextualSpacing/>
              <w:jc w:val="center"/>
              <w:rPr>
                <w:rFonts w:cs="Arial"/>
                <w:b/>
                <w:bCs/>
                <w:sz w:val="18"/>
                <w:szCs w:val="18"/>
              </w:rPr>
            </w:pPr>
            <w:r w:rsidRPr="003764C5">
              <w:rPr>
                <w:rFonts w:cs="Arial"/>
                <w:b/>
                <w:bCs/>
                <w:sz w:val="18"/>
                <w:szCs w:val="18"/>
              </w:rPr>
              <w:t>Celkem</w:t>
            </w:r>
          </w:p>
        </w:tc>
      </w:tr>
      <w:tr w:rsidR="00186037" w:rsidRPr="003764C5" w14:paraId="40B6F911" w14:textId="77777777" w:rsidTr="00633496">
        <w:trPr>
          <w:trHeight w:val="20"/>
        </w:trPr>
        <w:tc>
          <w:tcPr>
            <w:tcW w:w="1240" w:type="dxa"/>
            <w:vMerge/>
            <w:shd w:val="clear" w:color="auto" w:fill="BFBFBF"/>
            <w:vAlign w:val="center"/>
            <w:hideMark/>
          </w:tcPr>
          <w:p w14:paraId="09C97C5E" w14:textId="77777777" w:rsidR="000676F5" w:rsidRPr="003764C5" w:rsidRDefault="000676F5" w:rsidP="00507CC0">
            <w:pPr>
              <w:contextualSpacing/>
              <w:rPr>
                <w:rFonts w:cs="Arial"/>
                <w:b/>
                <w:bCs/>
                <w:sz w:val="18"/>
                <w:szCs w:val="18"/>
              </w:rPr>
            </w:pPr>
          </w:p>
        </w:tc>
        <w:tc>
          <w:tcPr>
            <w:tcW w:w="1014" w:type="dxa"/>
            <w:vMerge/>
            <w:shd w:val="clear" w:color="auto" w:fill="BFBFBF"/>
            <w:vAlign w:val="center"/>
            <w:hideMark/>
          </w:tcPr>
          <w:p w14:paraId="11B4C96A" w14:textId="77777777" w:rsidR="000676F5" w:rsidRPr="003764C5" w:rsidRDefault="000676F5" w:rsidP="00507CC0">
            <w:pPr>
              <w:contextualSpacing/>
              <w:jc w:val="center"/>
              <w:rPr>
                <w:rFonts w:cs="Arial"/>
                <w:b/>
                <w:bCs/>
                <w:sz w:val="18"/>
                <w:szCs w:val="18"/>
              </w:rPr>
            </w:pPr>
          </w:p>
        </w:tc>
        <w:tc>
          <w:tcPr>
            <w:tcW w:w="1111" w:type="dxa"/>
            <w:shd w:val="clear" w:color="auto" w:fill="BFBFBF"/>
            <w:vAlign w:val="center"/>
            <w:hideMark/>
          </w:tcPr>
          <w:p w14:paraId="5F9FA1E0" w14:textId="77777777" w:rsidR="000676F5" w:rsidRPr="003764C5" w:rsidRDefault="000676F5" w:rsidP="00507CC0">
            <w:pPr>
              <w:contextualSpacing/>
              <w:jc w:val="center"/>
              <w:rPr>
                <w:rFonts w:cs="Arial"/>
                <w:b/>
                <w:bCs/>
                <w:color w:val="FF0000"/>
                <w:sz w:val="18"/>
                <w:szCs w:val="18"/>
              </w:rPr>
            </w:pPr>
            <w:r w:rsidRPr="003764C5">
              <w:rPr>
                <w:rFonts w:cs="Arial"/>
                <w:b/>
                <w:bCs/>
                <w:sz w:val="18"/>
                <w:szCs w:val="18"/>
              </w:rPr>
              <w:t>Labe</w:t>
            </w:r>
          </w:p>
        </w:tc>
        <w:tc>
          <w:tcPr>
            <w:tcW w:w="1112" w:type="dxa"/>
            <w:shd w:val="clear" w:color="auto" w:fill="BFBFBF"/>
            <w:vAlign w:val="center"/>
            <w:hideMark/>
          </w:tcPr>
          <w:p w14:paraId="0A11FB53" w14:textId="77777777" w:rsidR="000676F5" w:rsidRPr="003764C5" w:rsidRDefault="000676F5" w:rsidP="00507CC0">
            <w:pPr>
              <w:contextualSpacing/>
              <w:jc w:val="center"/>
              <w:rPr>
                <w:rFonts w:cs="Arial"/>
                <w:b/>
                <w:bCs/>
                <w:sz w:val="18"/>
                <w:szCs w:val="18"/>
              </w:rPr>
            </w:pPr>
            <w:r w:rsidRPr="003764C5">
              <w:rPr>
                <w:rFonts w:cs="Arial"/>
                <w:b/>
                <w:bCs/>
                <w:sz w:val="18"/>
                <w:szCs w:val="18"/>
              </w:rPr>
              <w:t>Vltavy</w:t>
            </w:r>
          </w:p>
        </w:tc>
        <w:tc>
          <w:tcPr>
            <w:tcW w:w="1111" w:type="dxa"/>
            <w:shd w:val="clear" w:color="auto" w:fill="BFBFBF"/>
            <w:vAlign w:val="center"/>
            <w:hideMark/>
          </w:tcPr>
          <w:p w14:paraId="6EE356AC" w14:textId="77777777" w:rsidR="000676F5" w:rsidRPr="003764C5" w:rsidRDefault="000676F5" w:rsidP="00507CC0">
            <w:pPr>
              <w:contextualSpacing/>
              <w:jc w:val="center"/>
              <w:rPr>
                <w:rFonts w:cs="Arial"/>
                <w:b/>
                <w:bCs/>
                <w:sz w:val="18"/>
                <w:szCs w:val="18"/>
              </w:rPr>
            </w:pPr>
            <w:r w:rsidRPr="003764C5">
              <w:rPr>
                <w:rFonts w:cs="Arial"/>
                <w:b/>
                <w:bCs/>
                <w:sz w:val="18"/>
                <w:szCs w:val="18"/>
              </w:rPr>
              <w:t>Ohře</w:t>
            </w:r>
          </w:p>
        </w:tc>
        <w:tc>
          <w:tcPr>
            <w:tcW w:w="1112" w:type="dxa"/>
            <w:shd w:val="clear" w:color="auto" w:fill="BFBFBF"/>
            <w:vAlign w:val="center"/>
            <w:hideMark/>
          </w:tcPr>
          <w:p w14:paraId="2280F52E" w14:textId="77777777" w:rsidR="000676F5" w:rsidRPr="003764C5" w:rsidRDefault="000676F5" w:rsidP="00507CC0">
            <w:pPr>
              <w:ind w:right="-85"/>
              <w:contextualSpacing/>
              <w:jc w:val="center"/>
              <w:rPr>
                <w:rFonts w:cs="Arial"/>
                <w:b/>
                <w:bCs/>
                <w:sz w:val="18"/>
                <w:szCs w:val="18"/>
              </w:rPr>
            </w:pPr>
            <w:r w:rsidRPr="003764C5">
              <w:rPr>
                <w:rFonts w:cs="Arial"/>
                <w:b/>
                <w:bCs/>
                <w:sz w:val="18"/>
                <w:szCs w:val="18"/>
              </w:rPr>
              <w:t>Odry</w:t>
            </w:r>
          </w:p>
        </w:tc>
        <w:tc>
          <w:tcPr>
            <w:tcW w:w="1112" w:type="dxa"/>
            <w:shd w:val="clear" w:color="auto" w:fill="BFBFBF"/>
            <w:vAlign w:val="center"/>
            <w:hideMark/>
          </w:tcPr>
          <w:p w14:paraId="484AA061" w14:textId="77777777" w:rsidR="000676F5" w:rsidRPr="003764C5" w:rsidRDefault="000676F5" w:rsidP="00507CC0">
            <w:pPr>
              <w:contextualSpacing/>
              <w:jc w:val="center"/>
              <w:rPr>
                <w:rFonts w:cs="Arial"/>
                <w:b/>
                <w:bCs/>
                <w:sz w:val="18"/>
                <w:szCs w:val="18"/>
              </w:rPr>
            </w:pPr>
            <w:r w:rsidRPr="003764C5">
              <w:rPr>
                <w:rFonts w:cs="Arial"/>
                <w:b/>
                <w:bCs/>
                <w:sz w:val="18"/>
                <w:szCs w:val="18"/>
              </w:rPr>
              <w:t>Moravy</w:t>
            </w:r>
          </w:p>
        </w:tc>
        <w:tc>
          <w:tcPr>
            <w:tcW w:w="1350" w:type="dxa"/>
            <w:vMerge/>
            <w:shd w:val="clear" w:color="auto" w:fill="BFBFBF"/>
            <w:vAlign w:val="center"/>
            <w:hideMark/>
          </w:tcPr>
          <w:p w14:paraId="71F78BB1" w14:textId="77777777" w:rsidR="000676F5" w:rsidRPr="003764C5" w:rsidRDefault="000676F5" w:rsidP="00507CC0">
            <w:pPr>
              <w:contextualSpacing/>
              <w:rPr>
                <w:rFonts w:cs="Arial"/>
                <w:b/>
                <w:bCs/>
                <w:sz w:val="18"/>
                <w:szCs w:val="18"/>
              </w:rPr>
            </w:pPr>
          </w:p>
        </w:tc>
      </w:tr>
      <w:tr w:rsidR="00186037" w:rsidRPr="003764C5" w14:paraId="41D63E7B" w14:textId="77777777" w:rsidTr="002066BF">
        <w:trPr>
          <w:trHeight w:val="20"/>
        </w:trPr>
        <w:tc>
          <w:tcPr>
            <w:tcW w:w="1240" w:type="dxa"/>
            <w:vMerge/>
            <w:shd w:val="clear" w:color="auto" w:fill="BFBFBF"/>
            <w:vAlign w:val="center"/>
          </w:tcPr>
          <w:p w14:paraId="467DCD14" w14:textId="77777777" w:rsidR="000676F5" w:rsidRPr="003764C5" w:rsidRDefault="000676F5" w:rsidP="00507CC0">
            <w:pPr>
              <w:contextualSpacing/>
              <w:rPr>
                <w:rFonts w:cs="Arial"/>
                <w:b/>
                <w:bCs/>
                <w:sz w:val="18"/>
                <w:szCs w:val="18"/>
              </w:rPr>
            </w:pPr>
          </w:p>
        </w:tc>
        <w:tc>
          <w:tcPr>
            <w:tcW w:w="1014" w:type="dxa"/>
            <w:vMerge/>
            <w:vAlign w:val="center"/>
          </w:tcPr>
          <w:p w14:paraId="6331522E" w14:textId="77777777" w:rsidR="000676F5" w:rsidRPr="003764C5" w:rsidRDefault="000676F5" w:rsidP="00507CC0">
            <w:pPr>
              <w:contextualSpacing/>
              <w:jc w:val="center"/>
              <w:rPr>
                <w:rFonts w:cs="Arial"/>
                <w:sz w:val="18"/>
                <w:szCs w:val="18"/>
              </w:rPr>
            </w:pPr>
          </w:p>
        </w:tc>
        <w:tc>
          <w:tcPr>
            <w:tcW w:w="6908" w:type="dxa"/>
            <w:gridSpan w:val="6"/>
            <w:shd w:val="clear" w:color="auto" w:fill="BFBFBF"/>
            <w:vAlign w:val="center"/>
          </w:tcPr>
          <w:p w14:paraId="58975CF6" w14:textId="1BD691CA" w:rsidR="000676F5" w:rsidRPr="003764C5" w:rsidRDefault="000676F5" w:rsidP="002066BF">
            <w:pPr>
              <w:ind w:right="281" w:firstLineChars="100" w:firstLine="181"/>
              <w:contextualSpacing/>
              <w:jc w:val="center"/>
              <w:rPr>
                <w:rFonts w:cs="Arial"/>
                <w:b/>
                <w:sz w:val="18"/>
                <w:szCs w:val="18"/>
              </w:rPr>
            </w:pPr>
            <w:r w:rsidRPr="003764C5">
              <w:rPr>
                <w:rFonts w:cs="Arial"/>
                <w:b/>
                <w:sz w:val="18"/>
                <w:szCs w:val="18"/>
              </w:rPr>
              <w:t>mil. Kč</w:t>
            </w:r>
          </w:p>
        </w:tc>
      </w:tr>
      <w:tr w:rsidR="003764C5" w:rsidRPr="003764C5" w14:paraId="33BB5B03" w14:textId="77777777" w:rsidTr="00633496">
        <w:trPr>
          <w:trHeight w:val="20"/>
        </w:trPr>
        <w:tc>
          <w:tcPr>
            <w:tcW w:w="1240" w:type="dxa"/>
            <w:vMerge w:val="restart"/>
            <w:shd w:val="clear" w:color="auto" w:fill="BFBFBF"/>
            <w:vAlign w:val="center"/>
            <w:hideMark/>
          </w:tcPr>
          <w:p w14:paraId="5327CADA" w14:textId="77777777" w:rsidR="003764C5" w:rsidRPr="003764C5" w:rsidRDefault="003764C5" w:rsidP="003764C5">
            <w:pPr>
              <w:contextualSpacing/>
              <w:rPr>
                <w:rFonts w:cs="Arial"/>
                <w:b/>
                <w:bCs/>
                <w:sz w:val="18"/>
                <w:szCs w:val="18"/>
              </w:rPr>
            </w:pPr>
            <w:r w:rsidRPr="003764C5">
              <w:rPr>
                <w:rFonts w:cs="Arial"/>
                <w:b/>
                <w:bCs/>
                <w:sz w:val="18"/>
                <w:szCs w:val="18"/>
              </w:rPr>
              <w:t>Odpisy</w:t>
            </w:r>
          </w:p>
        </w:tc>
        <w:tc>
          <w:tcPr>
            <w:tcW w:w="1014" w:type="dxa"/>
            <w:vAlign w:val="bottom"/>
            <w:hideMark/>
          </w:tcPr>
          <w:p w14:paraId="389DE2B0" w14:textId="550EAF96" w:rsidR="003764C5" w:rsidRPr="003764C5" w:rsidRDefault="003764C5" w:rsidP="003764C5">
            <w:pPr>
              <w:contextualSpacing/>
              <w:jc w:val="center"/>
              <w:rPr>
                <w:rFonts w:cs="Arial"/>
                <w:b/>
                <w:sz w:val="18"/>
                <w:szCs w:val="18"/>
              </w:rPr>
            </w:pPr>
            <w:r w:rsidRPr="003764C5">
              <w:rPr>
                <w:rFonts w:cs="Arial"/>
                <w:color w:val="000000"/>
                <w:sz w:val="18"/>
                <w:szCs w:val="18"/>
              </w:rPr>
              <w:t>2024</w:t>
            </w:r>
          </w:p>
        </w:tc>
        <w:tc>
          <w:tcPr>
            <w:tcW w:w="1111" w:type="dxa"/>
            <w:vAlign w:val="center"/>
            <w:hideMark/>
          </w:tcPr>
          <w:p w14:paraId="1C0E5D72" w14:textId="655E0258" w:rsidR="003764C5" w:rsidRPr="00B50C5E" w:rsidRDefault="003764C5" w:rsidP="003764C5">
            <w:pPr>
              <w:contextualSpacing/>
              <w:jc w:val="right"/>
              <w:rPr>
                <w:rFonts w:cs="Arial"/>
                <w:color w:val="FF0000"/>
                <w:sz w:val="18"/>
                <w:szCs w:val="18"/>
              </w:rPr>
            </w:pPr>
            <w:r w:rsidRPr="00B50C5E">
              <w:rPr>
                <w:rFonts w:cs="Arial"/>
                <w:color w:val="000000"/>
                <w:sz w:val="18"/>
                <w:szCs w:val="18"/>
              </w:rPr>
              <w:t>173,9</w:t>
            </w:r>
          </w:p>
        </w:tc>
        <w:tc>
          <w:tcPr>
            <w:tcW w:w="1112" w:type="dxa"/>
            <w:vAlign w:val="bottom"/>
            <w:hideMark/>
          </w:tcPr>
          <w:p w14:paraId="6E239A47" w14:textId="4EEFDA79" w:rsidR="003764C5" w:rsidRPr="00B50C5E" w:rsidRDefault="003764C5" w:rsidP="003764C5">
            <w:pPr>
              <w:contextualSpacing/>
              <w:jc w:val="right"/>
              <w:rPr>
                <w:rFonts w:cs="Arial"/>
                <w:color w:val="FF0000"/>
                <w:sz w:val="18"/>
                <w:szCs w:val="18"/>
              </w:rPr>
            </w:pPr>
            <w:r w:rsidRPr="00B50C5E">
              <w:rPr>
                <w:rFonts w:cs="Arial"/>
                <w:color w:val="000000"/>
                <w:sz w:val="18"/>
                <w:szCs w:val="18"/>
              </w:rPr>
              <w:t>343,8</w:t>
            </w:r>
          </w:p>
        </w:tc>
        <w:tc>
          <w:tcPr>
            <w:tcW w:w="1111" w:type="dxa"/>
            <w:vAlign w:val="bottom"/>
            <w:hideMark/>
          </w:tcPr>
          <w:p w14:paraId="66E29B03" w14:textId="423AC50F" w:rsidR="003764C5" w:rsidRPr="00B50C5E" w:rsidRDefault="003764C5" w:rsidP="003764C5">
            <w:pPr>
              <w:ind w:right="216"/>
              <w:contextualSpacing/>
              <w:jc w:val="right"/>
              <w:rPr>
                <w:rFonts w:cs="Arial"/>
                <w:color w:val="FF0000"/>
                <w:sz w:val="18"/>
                <w:szCs w:val="18"/>
              </w:rPr>
            </w:pPr>
            <w:r w:rsidRPr="00B50C5E">
              <w:rPr>
                <w:rFonts w:cs="Arial"/>
                <w:color w:val="000000"/>
                <w:sz w:val="18"/>
                <w:szCs w:val="18"/>
              </w:rPr>
              <w:t>189,7</w:t>
            </w:r>
          </w:p>
        </w:tc>
        <w:tc>
          <w:tcPr>
            <w:tcW w:w="1112" w:type="dxa"/>
            <w:vAlign w:val="bottom"/>
            <w:hideMark/>
          </w:tcPr>
          <w:p w14:paraId="1E61C0CC" w14:textId="0B16739C" w:rsidR="003764C5" w:rsidRPr="00B50C5E" w:rsidRDefault="003764C5" w:rsidP="003764C5">
            <w:pPr>
              <w:contextualSpacing/>
              <w:jc w:val="right"/>
              <w:rPr>
                <w:rFonts w:cs="Arial"/>
                <w:color w:val="FF0000"/>
                <w:sz w:val="18"/>
                <w:szCs w:val="18"/>
              </w:rPr>
            </w:pPr>
            <w:r w:rsidRPr="00B50C5E">
              <w:rPr>
                <w:rFonts w:cs="Arial"/>
                <w:color w:val="000000"/>
                <w:sz w:val="18"/>
                <w:szCs w:val="18"/>
              </w:rPr>
              <w:t>152,7</w:t>
            </w:r>
          </w:p>
        </w:tc>
        <w:tc>
          <w:tcPr>
            <w:tcW w:w="1112" w:type="dxa"/>
            <w:vAlign w:val="bottom"/>
            <w:hideMark/>
          </w:tcPr>
          <w:p w14:paraId="272E0B82" w14:textId="699870D9" w:rsidR="003764C5" w:rsidRPr="00B50C5E" w:rsidRDefault="003764C5" w:rsidP="003764C5">
            <w:pPr>
              <w:contextualSpacing/>
              <w:jc w:val="right"/>
              <w:rPr>
                <w:rFonts w:cs="Arial"/>
                <w:color w:val="FF0000"/>
                <w:sz w:val="18"/>
                <w:szCs w:val="18"/>
              </w:rPr>
            </w:pPr>
            <w:r w:rsidRPr="00B50C5E">
              <w:rPr>
                <w:rFonts w:cs="Arial"/>
                <w:color w:val="000000"/>
                <w:sz w:val="18"/>
                <w:szCs w:val="18"/>
              </w:rPr>
              <w:t>175,0</w:t>
            </w:r>
          </w:p>
        </w:tc>
        <w:tc>
          <w:tcPr>
            <w:tcW w:w="1350" w:type="dxa"/>
            <w:shd w:val="clear" w:color="auto" w:fill="BFBFBF"/>
            <w:vAlign w:val="center"/>
            <w:hideMark/>
          </w:tcPr>
          <w:p w14:paraId="2C7C32F3" w14:textId="182972EA" w:rsidR="003764C5" w:rsidRPr="00B50C5E" w:rsidRDefault="003764C5" w:rsidP="003764C5">
            <w:pPr>
              <w:ind w:firstLineChars="100" w:firstLine="180"/>
              <w:contextualSpacing/>
              <w:jc w:val="right"/>
              <w:rPr>
                <w:rFonts w:cs="Arial"/>
                <w:b/>
                <w:bCs/>
                <w:color w:val="FF0000"/>
                <w:sz w:val="18"/>
                <w:szCs w:val="18"/>
              </w:rPr>
            </w:pPr>
            <w:r w:rsidRPr="00B50C5E">
              <w:rPr>
                <w:rFonts w:cs="Arial"/>
                <w:color w:val="000000"/>
                <w:sz w:val="18"/>
                <w:szCs w:val="18"/>
              </w:rPr>
              <w:t>1</w:t>
            </w:r>
            <w:r w:rsidR="00A97FBE" w:rsidRPr="00B50C5E">
              <w:rPr>
                <w:rFonts w:cs="Arial"/>
                <w:color w:val="000000"/>
                <w:sz w:val="18"/>
                <w:szCs w:val="18"/>
              </w:rPr>
              <w:t xml:space="preserve"> </w:t>
            </w:r>
            <w:r w:rsidRPr="00B50C5E">
              <w:rPr>
                <w:rFonts w:cs="Arial"/>
                <w:color w:val="000000"/>
                <w:sz w:val="18"/>
                <w:szCs w:val="18"/>
              </w:rPr>
              <w:t>035,1</w:t>
            </w:r>
          </w:p>
        </w:tc>
      </w:tr>
      <w:tr w:rsidR="003764C5" w:rsidRPr="003764C5" w14:paraId="01DE3C19" w14:textId="77777777" w:rsidTr="00633496">
        <w:trPr>
          <w:trHeight w:val="20"/>
        </w:trPr>
        <w:tc>
          <w:tcPr>
            <w:tcW w:w="1240" w:type="dxa"/>
            <w:vMerge/>
            <w:shd w:val="clear" w:color="auto" w:fill="BFBFBF"/>
            <w:vAlign w:val="center"/>
            <w:hideMark/>
          </w:tcPr>
          <w:p w14:paraId="359F478D" w14:textId="77777777" w:rsidR="003764C5" w:rsidRPr="003764C5" w:rsidRDefault="003764C5" w:rsidP="003764C5">
            <w:pPr>
              <w:contextualSpacing/>
              <w:rPr>
                <w:rFonts w:cs="Arial"/>
                <w:b/>
                <w:bCs/>
                <w:sz w:val="18"/>
                <w:szCs w:val="18"/>
              </w:rPr>
            </w:pPr>
          </w:p>
        </w:tc>
        <w:tc>
          <w:tcPr>
            <w:tcW w:w="1014" w:type="dxa"/>
            <w:vAlign w:val="bottom"/>
          </w:tcPr>
          <w:p w14:paraId="3A88AE4F" w14:textId="74785343" w:rsidR="003764C5" w:rsidRPr="003764C5" w:rsidRDefault="003764C5" w:rsidP="003764C5">
            <w:pPr>
              <w:contextualSpacing/>
              <w:jc w:val="center"/>
              <w:rPr>
                <w:rFonts w:cs="Arial"/>
                <w:b/>
                <w:sz w:val="18"/>
                <w:szCs w:val="18"/>
              </w:rPr>
            </w:pPr>
            <w:r w:rsidRPr="003764C5">
              <w:rPr>
                <w:rFonts w:cs="Arial"/>
                <w:color w:val="000000"/>
                <w:sz w:val="18"/>
                <w:szCs w:val="18"/>
              </w:rPr>
              <w:t>2025</w:t>
            </w:r>
          </w:p>
        </w:tc>
        <w:tc>
          <w:tcPr>
            <w:tcW w:w="1111" w:type="dxa"/>
            <w:vAlign w:val="center"/>
          </w:tcPr>
          <w:p w14:paraId="2893EE7B" w14:textId="10FC076C" w:rsidR="003764C5" w:rsidRPr="00B50C5E" w:rsidRDefault="003764C5" w:rsidP="003764C5">
            <w:pPr>
              <w:contextualSpacing/>
              <w:jc w:val="right"/>
              <w:rPr>
                <w:rFonts w:cs="Arial"/>
                <w:color w:val="FF0000"/>
                <w:sz w:val="18"/>
                <w:szCs w:val="18"/>
              </w:rPr>
            </w:pPr>
            <w:r w:rsidRPr="00B50C5E">
              <w:rPr>
                <w:rFonts w:cs="Arial"/>
                <w:color w:val="000000"/>
                <w:sz w:val="18"/>
                <w:szCs w:val="18"/>
              </w:rPr>
              <w:t>173,7</w:t>
            </w:r>
          </w:p>
        </w:tc>
        <w:tc>
          <w:tcPr>
            <w:tcW w:w="1112" w:type="dxa"/>
            <w:vAlign w:val="bottom"/>
          </w:tcPr>
          <w:p w14:paraId="4E30C018" w14:textId="5DD45593" w:rsidR="003764C5" w:rsidRPr="00B50C5E" w:rsidRDefault="003764C5" w:rsidP="003764C5">
            <w:pPr>
              <w:contextualSpacing/>
              <w:jc w:val="right"/>
              <w:rPr>
                <w:rFonts w:cs="Arial"/>
                <w:color w:val="FF0000"/>
                <w:sz w:val="18"/>
                <w:szCs w:val="18"/>
              </w:rPr>
            </w:pPr>
            <w:r w:rsidRPr="00B50C5E">
              <w:rPr>
                <w:rFonts w:cs="Arial"/>
                <w:color w:val="000000"/>
                <w:sz w:val="18"/>
                <w:szCs w:val="18"/>
              </w:rPr>
              <w:t>333,4</w:t>
            </w:r>
          </w:p>
        </w:tc>
        <w:tc>
          <w:tcPr>
            <w:tcW w:w="1111" w:type="dxa"/>
            <w:vAlign w:val="bottom"/>
          </w:tcPr>
          <w:p w14:paraId="3F4649A3" w14:textId="7D68F8A6" w:rsidR="003764C5" w:rsidRPr="00B50C5E" w:rsidRDefault="003764C5" w:rsidP="003764C5">
            <w:pPr>
              <w:ind w:right="216"/>
              <w:contextualSpacing/>
              <w:jc w:val="right"/>
              <w:rPr>
                <w:rFonts w:cs="Arial"/>
                <w:color w:val="FF0000"/>
                <w:sz w:val="18"/>
                <w:szCs w:val="18"/>
              </w:rPr>
            </w:pPr>
            <w:r w:rsidRPr="00B50C5E">
              <w:rPr>
                <w:rFonts w:cs="Arial"/>
                <w:color w:val="000000"/>
                <w:sz w:val="18"/>
                <w:szCs w:val="18"/>
              </w:rPr>
              <w:t>190,4</w:t>
            </w:r>
          </w:p>
        </w:tc>
        <w:tc>
          <w:tcPr>
            <w:tcW w:w="1112" w:type="dxa"/>
            <w:vAlign w:val="bottom"/>
          </w:tcPr>
          <w:p w14:paraId="0683C1CB" w14:textId="15D0831C" w:rsidR="003764C5" w:rsidRPr="00B50C5E" w:rsidRDefault="003764C5" w:rsidP="003764C5">
            <w:pPr>
              <w:contextualSpacing/>
              <w:jc w:val="right"/>
              <w:rPr>
                <w:rFonts w:cs="Arial"/>
                <w:color w:val="FF0000"/>
                <w:sz w:val="18"/>
                <w:szCs w:val="18"/>
              </w:rPr>
            </w:pPr>
            <w:r w:rsidRPr="00B50C5E">
              <w:rPr>
                <w:rFonts w:cs="Arial"/>
                <w:color w:val="000000"/>
                <w:sz w:val="18"/>
                <w:szCs w:val="18"/>
              </w:rPr>
              <w:t>152,6</w:t>
            </w:r>
          </w:p>
        </w:tc>
        <w:tc>
          <w:tcPr>
            <w:tcW w:w="1112" w:type="dxa"/>
            <w:vAlign w:val="bottom"/>
          </w:tcPr>
          <w:p w14:paraId="07AE387B" w14:textId="44F62CF6" w:rsidR="003764C5" w:rsidRPr="00B50C5E" w:rsidRDefault="003764C5" w:rsidP="003764C5">
            <w:pPr>
              <w:contextualSpacing/>
              <w:jc w:val="right"/>
              <w:rPr>
                <w:rFonts w:cs="Arial"/>
                <w:color w:val="FF0000"/>
                <w:sz w:val="18"/>
                <w:szCs w:val="18"/>
              </w:rPr>
            </w:pPr>
            <w:r w:rsidRPr="00B50C5E">
              <w:rPr>
                <w:rFonts w:cs="Arial"/>
                <w:color w:val="000000"/>
                <w:sz w:val="18"/>
                <w:szCs w:val="18"/>
              </w:rPr>
              <w:t>168,6</w:t>
            </w:r>
          </w:p>
        </w:tc>
        <w:tc>
          <w:tcPr>
            <w:tcW w:w="1350" w:type="dxa"/>
            <w:shd w:val="clear" w:color="auto" w:fill="BFBFBF"/>
            <w:vAlign w:val="center"/>
          </w:tcPr>
          <w:p w14:paraId="41B96ED8" w14:textId="113422D8" w:rsidR="003764C5" w:rsidRPr="00B50C5E" w:rsidRDefault="003764C5" w:rsidP="003764C5">
            <w:pPr>
              <w:ind w:firstLineChars="100" w:firstLine="180"/>
              <w:contextualSpacing/>
              <w:jc w:val="right"/>
              <w:rPr>
                <w:rFonts w:cs="Arial"/>
                <w:b/>
                <w:bCs/>
                <w:color w:val="FF0000"/>
                <w:sz w:val="18"/>
                <w:szCs w:val="18"/>
              </w:rPr>
            </w:pPr>
            <w:r w:rsidRPr="00B50C5E">
              <w:rPr>
                <w:rFonts w:cs="Arial"/>
                <w:color w:val="000000"/>
                <w:sz w:val="18"/>
                <w:szCs w:val="18"/>
              </w:rPr>
              <w:t>1</w:t>
            </w:r>
            <w:r w:rsidR="00A97FBE" w:rsidRPr="00B50C5E">
              <w:rPr>
                <w:rFonts w:cs="Arial"/>
                <w:color w:val="000000"/>
                <w:sz w:val="18"/>
                <w:szCs w:val="18"/>
              </w:rPr>
              <w:t xml:space="preserve"> </w:t>
            </w:r>
            <w:r w:rsidRPr="00B50C5E">
              <w:rPr>
                <w:rFonts w:cs="Arial"/>
                <w:color w:val="000000"/>
                <w:sz w:val="18"/>
                <w:szCs w:val="18"/>
              </w:rPr>
              <w:t>018,7</w:t>
            </w:r>
          </w:p>
        </w:tc>
      </w:tr>
      <w:tr w:rsidR="003764C5" w:rsidRPr="003764C5" w14:paraId="329C4025" w14:textId="77777777" w:rsidTr="00633496">
        <w:trPr>
          <w:trHeight w:val="20"/>
        </w:trPr>
        <w:tc>
          <w:tcPr>
            <w:tcW w:w="1240" w:type="dxa"/>
            <w:vMerge w:val="restart"/>
            <w:shd w:val="clear" w:color="auto" w:fill="BFBFBF"/>
            <w:vAlign w:val="center"/>
            <w:hideMark/>
          </w:tcPr>
          <w:p w14:paraId="45B44693" w14:textId="77777777" w:rsidR="003764C5" w:rsidRPr="003764C5" w:rsidRDefault="003764C5" w:rsidP="003764C5">
            <w:pPr>
              <w:contextualSpacing/>
              <w:rPr>
                <w:rFonts w:cs="Arial"/>
                <w:b/>
                <w:bCs/>
                <w:sz w:val="18"/>
                <w:szCs w:val="18"/>
              </w:rPr>
            </w:pPr>
            <w:r w:rsidRPr="003764C5">
              <w:rPr>
                <w:rFonts w:cs="Arial"/>
                <w:b/>
                <w:bCs/>
                <w:sz w:val="18"/>
                <w:szCs w:val="18"/>
              </w:rPr>
              <w:t>Opravy</w:t>
            </w:r>
          </w:p>
        </w:tc>
        <w:tc>
          <w:tcPr>
            <w:tcW w:w="1014" w:type="dxa"/>
            <w:vAlign w:val="bottom"/>
            <w:hideMark/>
          </w:tcPr>
          <w:p w14:paraId="300457C9" w14:textId="5EF8A06D" w:rsidR="003764C5" w:rsidRPr="003764C5" w:rsidRDefault="003764C5" w:rsidP="003764C5">
            <w:pPr>
              <w:contextualSpacing/>
              <w:jc w:val="center"/>
              <w:rPr>
                <w:rFonts w:cs="Arial"/>
                <w:b/>
                <w:sz w:val="18"/>
                <w:szCs w:val="18"/>
              </w:rPr>
            </w:pPr>
            <w:r w:rsidRPr="003764C5">
              <w:rPr>
                <w:rFonts w:cs="Arial"/>
                <w:color w:val="000000"/>
                <w:sz w:val="18"/>
                <w:szCs w:val="18"/>
              </w:rPr>
              <w:t>2024</w:t>
            </w:r>
          </w:p>
        </w:tc>
        <w:tc>
          <w:tcPr>
            <w:tcW w:w="1111" w:type="dxa"/>
            <w:vAlign w:val="center"/>
            <w:hideMark/>
          </w:tcPr>
          <w:p w14:paraId="31A89775" w14:textId="4C76E5C9" w:rsidR="003764C5" w:rsidRPr="00B50C5E" w:rsidRDefault="003764C5" w:rsidP="003764C5">
            <w:pPr>
              <w:contextualSpacing/>
              <w:jc w:val="right"/>
              <w:rPr>
                <w:rFonts w:cs="Arial"/>
                <w:color w:val="FF0000"/>
                <w:sz w:val="18"/>
                <w:szCs w:val="18"/>
              </w:rPr>
            </w:pPr>
            <w:r w:rsidRPr="00B50C5E">
              <w:rPr>
                <w:rFonts w:cs="Arial"/>
                <w:color w:val="000000"/>
                <w:sz w:val="18"/>
                <w:szCs w:val="18"/>
              </w:rPr>
              <w:t>199,5</w:t>
            </w:r>
          </w:p>
        </w:tc>
        <w:tc>
          <w:tcPr>
            <w:tcW w:w="1112" w:type="dxa"/>
            <w:vAlign w:val="bottom"/>
            <w:hideMark/>
          </w:tcPr>
          <w:p w14:paraId="2BC72A63" w14:textId="06B13DD7" w:rsidR="003764C5" w:rsidRPr="00B50C5E" w:rsidRDefault="003764C5" w:rsidP="003764C5">
            <w:pPr>
              <w:contextualSpacing/>
              <w:jc w:val="right"/>
              <w:rPr>
                <w:rFonts w:cs="Arial"/>
                <w:color w:val="FF0000"/>
                <w:sz w:val="18"/>
                <w:szCs w:val="18"/>
              </w:rPr>
            </w:pPr>
            <w:r w:rsidRPr="00B50C5E">
              <w:rPr>
                <w:rFonts w:cs="Arial"/>
                <w:color w:val="000000"/>
                <w:sz w:val="18"/>
                <w:szCs w:val="18"/>
              </w:rPr>
              <w:t>284,9</w:t>
            </w:r>
          </w:p>
        </w:tc>
        <w:tc>
          <w:tcPr>
            <w:tcW w:w="1111" w:type="dxa"/>
            <w:vAlign w:val="bottom"/>
            <w:hideMark/>
          </w:tcPr>
          <w:p w14:paraId="12B1EB5D" w14:textId="454BB57F" w:rsidR="003764C5" w:rsidRPr="00B50C5E" w:rsidRDefault="003764C5" w:rsidP="003764C5">
            <w:pPr>
              <w:ind w:right="216"/>
              <w:contextualSpacing/>
              <w:jc w:val="right"/>
              <w:rPr>
                <w:rFonts w:cs="Arial"/>
                <w:color w:val="FF0000"/>
                <w:sz w:val="18"/>
                <w:szCs w:val="18"/>
              </w:rPr>
            </w:pPr>
            <w:r w:rsidRPr="00B50C5E">
              <w:rPr>
                <w:rFonts w:cs="Arial"/>
                <w:color w:val="000000"/>
                <w:sz w:val="18"/>
                <w:szCs w:val="18"/>
              </w:rPr>
              <w:t>194,6</w:t>
            </w:r>
          </w:p>
        </w:tc>
        <w:tc>
          <w:tcPr>
            <w:tcW w:w="1112" w:type="dxa"/>
            <w:vAlign w:val="bottom"/>
            <w:hideMark/>
          </w:tcPr>
          <w:p w14:paraId="4E9F08A1" w14:textId="09F43A59" w:rsidR="003764C5" w:rsidRPr="00B50C5E" w:rsidRDefault="003764C5" w:rsidP="003764C5">
            <w:pPr>
              <w:contextualSpacing/>
              <w:jc w:val="right"/>
              <w:rPr>
                <w:rFonts w:cs="Arial"/>
                <w:color w:val="FF0000"/>
                <w:sz w:val="18"/>
                <w:szCs w:val="18"/>
              </w:rPr>
            </w:pPr>
            <w:r w:rsidRPr="00B50C5E">
              <w:rPr>
                <w:rFonts w:cs="Arial"/>
                <w:color w:val="000000"/>
                <w:sz w:val="18"/>
                <w:szCs w:val="18"/>
              </w:rPr>
              <w:t>331,1</w:t>
            </w:r>
          </w:p>
        </w:tc>
        <w:tc>
          <w:tcPr>
            <w:tcW w:w="1112" w:type="dxa"/>
            <w:vAlign w:val="bottom"/>
            <w:hideMark/>
          </w:tcPr>
          <w:p w14:paraId="461AEB05" w14:textId="37CF7742" w:rsidR="003764C5" w:rsidRPr="00B50C5E" w:rsidRDefault="003764C5" w:rsidP="003764C5">
            <w:pPr>
              <w:contextualSpacing/>
              <w:jc w:val="right"/>
              <w:rPr>
                <w:rFonts w:cs="Arial"/>
                <w:color w:val="FF0000"/>
                <w:sz w:val="18"/>
                <w:szCs w:val="18"/>
              </w:rPr>
            </w:pPr>
            <w:r w:rsidRPr="00B50C5E">
              <w:rPr>
                <w:rFonts w:cs="Arial"/>
                <w:color w:val="000000"/>
                <w:sz w:val="18"/>
                <w:szCs w:val="18"/>
              </w:rPr>
              <w:t>346,9</w:t>
            </w:r>
          </w:p>
        </w:tc>
        <w:tc>
          <w:tcPr>
            <w:tcW w:w="1350" w:type="dxa"/>
            <w:shd w:val="clear" w:color="auto" w:fill="BFBFBF"/>
            <w:vAlign w:val="center"/>
            <w:hideMark/>
          </w:tcPr>
          <w:p w14:paraId="11B6F330" w14:textId="65B5F991" w:rsidR="003764C5" w:rsidRPr="00B50C5E" w:rsidRDefault="003764C5" w:rsidP="003764C5">
            <w:pPr>
              <w:ind w:firstLineChars="100" w:firstLine="180"/>
              <w:contextualSpacing/>
              <w:jc w:val="right"/>
              <w:rPr>
                <w:rFonts w:cs="Arial"/>
                <w:b/>
                <w:bCs/>
                <w:color w:val="FF0000"/>
                <w:sz w:val="18"/>
                <w:szCs w:val="18"/>
              </w:rPr>
            </w:pPr>
            <w:r w:rsidRPr="00B50C5E">
              <w:rPr>
                <w:rFonts w:cs="Arial"/>
                <w:color w:val="000000"/>
                <w:sz w:val="18"/>
                <w:szCs w:val="18"/>
              </w:rPr>
              <w:t>1</w:t>
            </w:r>
            <w:r w:rsidR="00A97FBE" w:rsidRPr="00B50C5E">
              <w:rPr>
                <w:rFonts w:cs="Arial"/>
                <w:color w:val="000000"/>
                <w:sz w:val="18"/>
                <w:szCs w:val="18"/>
              </w:rPr>
              <w:t xml:space="preserve"> </w:t>
            </w:r>
            <w:r w:rsidRPr="00B50C5E">
              <w:rPr>
                <w:rFonts w:cs="Arial"/>
                <w:color w:val="000000"/>
                <w:sz w:val="18"/>
                <w:szCs w:val="18"/>
              </w:rPr>
              <w:t>357,0</w:t>
            </w:r>
          </w:p>
        </w:tc>
      </w:tr>
      <w:tr w:rsidR="003764C5" w:rsidRPr="003764C5" w14:paraId="4FB4A493" w14:textId="77777777" w:rsidTr="00633496">
        <w:trPr>
          <w:trHeight w:val="20"/>
        </w:trPr>
        <w:tc>
          <w:tcPr>
            <w:tcW w:w="1240" w:type="dxa"/>
            <w:vMerge/>
            <w:shd w:val="clear" w:color="auto" w:fill="BFBFBF"/>
            <w:vAlign w:val="center"/>
            <w:hideMark/>
          </w:tcPr>
          <w:p w14:paraId="2F559EC3" w14:textId="77777777" w:rsidR="003764C5" w:rsidRPr="003764C5" w:rsidRDefault="003764C5" w:rsidP="003764C5">
            <w:pPr>
              <w:contextualSpacing/>
              <w:rPr>
                <w:rFonts w:cs="Arial"/>
                <w:b/>
                <w:bCs/>
                <w:sz w:val="18"/>
                <w:szCs w:val="18"/>
              </w:rPr>
            </w:pPr>
          </w:p>
        </w:tc>
        <w:tc>
          <w:tcPr>
            <w:tcW w:w="1014" w:type="dxa"/>
            <w:vAlign w:val="bottom"/>
          </w:tcPr>
          <w:p w14:paraId="02B87815" w14:textId="4FC69045" w:rsidR="003764C5" w:rsidRPr="003764C5" w:rsidRDefault="003764C5" w:rsidP="003764C5">
            <w:pPr>
              <w:contextualSpacing/>
              <w:jc w:val="center"/>
              <w:rPr>
                <w:rFonts w:cs="Arial"/>
                <w:b/>
                <w:sz w:val="18"/>
                <w:szCs w:val="18"/>
              </w:rPr>
            </w:pPr>
            <w:r w:rsidRPr="003764C5">
              <w:rPr>
                <w:rFonts w:cs="Arial"/>
                <w:color w:val="000000"/>
                <w:sz w:val="18"/>
                <w:szCs w:val="18"/>
              </w:rPr>
              <w:t>2025</w:t>
            </w:r>
          </w:p>
        </w:tc>
        <w:tc>
          <w:tcPr>
            <w:tcW w:w="1111" w:type="dxa"/>
            <w:vAlign w:val="center"/>
          </w:tcPr>
          <w:p w14:paraId="79E37DEA" w14:textId="1273ED9B" w:rsidR="003764C5" w:rsidRPr="00B50C5E" w:rsidRDefault="003764C5" w:rsidP="003764C5">
            <w:pPr>
              <w:contextualSpacing/>
              <w:jc w:val="right"/>
              <w:rPr>
                <w:rFonts w:cs="Arial"/>
                <w:color w:val="FF0000"/>
                <w:sz w:val="18"/>
                <w:szCs w:val="18"/>
              </w:rPr>
            </w:pPr>
            <w:r w:rsidRPr="00B50C5E">
              <w:rPr>
                <w:rFonts w:cs="Arial"/>
                <w:color w:val="000000"/>
                <w:sz w:val="18"/>
                <w:szCs w:val="18"/>
              </w:rPr>
              <w:t>304,7</w:t>
            </w:r>
          </w:p>
        </w:tc>
        <w:tc>
          <w:tcPr>
            <w:tcW w:w="1112" w:type="dxa"/>
            <w:vAlign w:val="bottom"/>
          </w:tcPr>
          <w:p w14:paraId="2762745F" w14:textId="351BBF65" w:rsidR="003764C5" w:rsidRPr="00B50C5E" w:rsidRDefault="003764C5" w:rsidP="003764C5">
            <w:pPr>
              <w:contextualSpacing/>
              <w:jc w:val="right"/>
              <w:rPr>
                <w:rFonts w:cs="Arial"/>
                <w:color w:val="FF0000"/>
                <w:sz w:val="18"/>
                <w:szCs w:val="18"/>
              </w:rPr>
            </w:pPr>
            <w:r w:rsidRPr="00B50C5E">
              <w:rPr>
                <w:rFonts w:cs="Arial"/>
                <w:color w:val="000000"/>
                <w:sz w:val="18"/>
                <w:szCs w:val="18"/>
              </w:rPr>
              <w:t>344,5</w:t>
            </w:r>
          </w:p>
        </w:tc>
        <w:tc>
          <w:tcPr>
            <w:tcW w:w="1111" w:type="dxa"/>
            <w:vAlign w:val="bottom"/>
          </w:tcPr>
          <w:p w14:paraId="07171C62" w14:textId="4B743698" w:rsidR="003764C5" w:rsidRPr="00B50C5E" w:rsidRDefault="003764C5" w:rsidP="003764C5">
            <w:pPr>
              <w:ind w:right="216"/>
              <w:contextualSpacing/>
              <w:jc w:val="right"/>
              <w:rPr>
                <w:rFonts w:cs="Arial"/>
                <w:color w:val="FF0000"/>
                <w:sz w:val="18"/>
                <w:szCs w:val="18"/>
              </w:rPr>
            </w:pPr>
            <w:r w:rsidRPr="00B50C5E">
              <w:rPr>
                <w:rFonts w:cs="Arial"/>
                <w:color w:val="000000"/>
                <w:sz w:val="18"/>
                <w:szCs w:val="18"/>
              </w:rPr>
              <w:t>137,9</w:t>
            </w:r>
          </w:p>
        </w:tc>
        <w:tc>
          <w:tcPr>
            <w:tcW w:w="1112" w:type="dxa"/>
            <w:vAlign w:val="bottom"/>
          </w:tcPr>
          <w:p w14:paraId="1CA8941A" w14:textId="176A1873" w:rsidR="003764C5" w:rsidRPr="00B50C5E" w:rsidRDefault="003764C5" w:rsidP="003764C5">
            <w:pPr>
              <w:contextualSpacing/>
              <w:jc w:val="right"/>
              <w:rPr>
                <w:rFonts w:cs="Arial"/>
                <w:color w:val="FF0000"/>
                <w:sz w:val="18"/>
                <w:szCs w:val="18"/>
              </w:rPr>
            </w:pPr>
            <w:r w:rsidRPr="00B50C5E">
              <w:rPr>
                <w:rFonts w:cs="Arial"/>
                <w:color w:val="000000"/>
                <w:sz w:val="18"/>
                <w:szCs w:val="18"/>
              </w:rPr>
              <w:t>288,3</w:t>
            </w:r>
          </w:p>
        </w:tc>
        <w:tc>
          <w:tcPr>
            <w:tcW w:w="1112" w:type="dxa"/>
            <w:vAlign w:val="bottom"/>
          </w:tcPr>
          <w:p w14:paraId="0A465B47" w14:textId="04753A4A" w:rsidR="003764C5" w:rsidRPr="00B50C5E" w:rsidRDefault="003764C5" w:rsidP="003764C5">
            <w:pPr>
              <w:contextualSpacing/>
              <w:jc w:val="right"/>
              <w:rPr>
                <w:rFonts w:cs="Arial"/>
                <w:color w:val="FF0000"/>
                <w:sz w:val="18"/>
                <w:szCs w:val="18"/>
              </w:rPr>
            </w:pPr>
            <w:r w:rsidRPr="00B50C5E">
              <w:rPr>
                <w:rFonts w:cs="Arial"/>
                <w:color w:val="000000"/>
                <w:sz w:val="18"/>
                <w:szCs w:val="18"/>
              </w:rPr>
              <w:t>339,5</w:t>
            </w:r>
          </w:p>
        </w:tc>
        <w:tc>
          <w:tcPr>
            <w:tcW w:w="1350" w:type="dxa"/>
            <w:shd w:val="clear" w:color="auto" w:fill="BFBFBF"/>
            <w:vAlign w:val="center"/>
          </w:tcPr>
          <w:p w14:paraId="48285E40" w14:textId="0AF4A04A" w:rsidR="003764C5" w:rsidRPr="00B50C5E" w:rsidRDefault="003764C5" w:rsidP="003764C5">
            <w:pPr>
              <w:ind w:firstLineChars="100" w:firstLine="180"/>
              <w:contextualSpacing/>
              <w:jc w:val="right"/>
              <w:rPr>
                <w:rFonts w:cs="Arial"/>
                <w:b/>
                <w:bCs/>
                <w:color w:val="FF0000"/>
                <w:sz w:val="18"/>
                <w:szCs w:val="18"/>
              </w:rPr>
            </w:pPr>
            <w:r w:rsidRPr="00B50C5E">
              <w:rPr>
                <w:rFonts w:cs="Arial"/>
                <w:color w:val="000000"/>
                <w:sz w:val="18"/>
                <w:szCs w:val="18"/>
              </w:rPr>
              <w:t>1</w:t>
            </w:r>
            <w:r w:rsidR="00A97FBE" w:rsidRPr="00B50C5E">
              <w:rPr>
                <w:rFonts w:cs="Arial"/>
                <w:color w:val="000000"/>
                <w:sz w:val="18"/>
                <w:szCs w:val="18"/>
              </w:rPr>
              <w:t xml:space="preserve"> </w:t>
            </w:r>
            <w:r w:rsidRPr="00B50C5E">
              <w:rPr>
                <w:rFonts w:cs="Arial"/>
                <w:color w:val="000000"/>
                <w:sz w:val="18"/>
                <w:szCs w:val="18"/>
              </w:rPr>
              <w:t>414,9</w:t>
            </w:r>
          </w:p>
        </w:tc>
      </w:tr>
      <w:tr w:rsidR="003764C5" w:rsidRPr="003764C5" w14:paraId="77CA887A" w14:textId="77777777" w:rsidTr="00633496">
        <w:trPr>
          <w:trHeight w:val="20"/>
        </w:trPr>
        <w:tc>
          <w:tcPr>
            <w:tcW w:w="1240" w:type="dxa"/>
            <w:vMerge w:val="restart"/>
            <w:shd w:val="clear" w:color="auto" w:fill="BFBFBF"/>
            <w:vAlign w:val="center"/>
            <w:hideMark/>
          </w:tcPr>
          <w:p w14:paraId="601A87BF" w14:textId="77777777" w:rsidR="003764C5" w:rsidRPr="003764C5" w:rsidRDefault="003764C5" w:rsidP="003764C5">
            <w:pPr>
              <w:contextualSpacing/>
              <w:rPr>
                <w:rFonts w:cs="Arial"/>
                <w:b/>
                <w:bCs/>
                <w:sz w:val="18"/>
                <w:szCs w:val="18"/>
              </w:rPr>
            </w:pPr>
            <w:r w:rsidRPr="003764C5">
              <w:rPr>
                <w:rFonts w:cs="Arial"/>
                <w:b/>
                <w:bCs/>
                <w:sz w:val="18"/>
                <w:szCs w:val="18"/>
              </w:rPr>
              <w:t>Materiál</w:t>
            </w:r>
          </w:p>
        </w:tc>
        <w:tc>
          <w:tcPr>
            <w:tcW w:w="1014" w:type="dxa"/>
            <w:vAlign w:val="bottom"/>
            <w:hideMark/>
          </w:tcPr>
          <w:p w14:paraId="74D69D40" w14:textId="07D0882F" w:rsidR="003764C5" w:rsidRPr="003764C5" w:rsidRDefault="003764C5" w:rsidP="003764C5">
            <w:pPr>
              <w:contextualSpacing/>
              <w:jc w:val="center"/>
              <w:rPr>
                <w:rFonts w:cs="Arial"/>
                <w:b/>
                <w:sz w:val="18"/>
                <w:szCs w:val="18"/>
              </w:rPr>
            </w:pPr>
            <w:r w:rsidRPr="003764C5">
              <w:rPr>
                <w:rFonts w:cs="Arial"/>
                <w:color w:val="000000"/>
                <w:sz w:val="18"/>
                <w:szCs w:val="18"/>
              </w:rPr>
              <w:t>2024</w:t>
            </w:r>
          </w:p>
        </w:tc>
        <w:tc>
          <w:tcPr>
            <w:tcW w:w="1111" w:type="dxa"/>
            <w:vAlign w:val="center"/>
            <w:hideMark/>
          </w:tcPr>
          <w:p w14:paraId="685B8B8C" w14:textId="6FB2F4BC" w:rsidR="003764C5" w:rsidRPr="00B50C5E" w:rsidRDefault="003764C5" w:rsidP="003764C5">
            <w:pPr>
              <w:contextualSpacing/>
              <w:jc w:val="right"/>
              <w:rPr>
                <w:rFonts w:cs="Arial"/>
                <w:color w:val="FF0000"/>
                <w:sz w:val="18"/>
                <w:szCs w:val="18"/>
              </w:rPr>
            </w:pPr>
            <w:r w:rsidRPr="00B50C5E">
              <w:rPr>
                <w:rFonts w:cs="Arial"/>
                <w:color w:val="000000"/>
                <w:sz w:val="18"/>
                <w:szCs w:val="18"/>
              </w:rPr>
              <w:t>37,1</w:t>
            </w:r>
          </w:p>
        </w:tc>
        <w:tc>
          <w:tcPr>
            <w:tcW w:w="1112" w:type="dxa"/>
            <w:vAlign w:val="bottom"/>
            <w:hideMark/>
          </w:tcPr>
          <w:p w14:paraId="1B0557E6" w14:textId="72A1977C" w:rsidR="003764C5" w:rsidRPr="00B50C5E" w:rsidRDefault="003764C5" w:rsidP="003764C5">
            <w:pPr>
              <w:contextualSpacing/>
              <w:jc w:val="right"/>
              <w:rPr>
                <w:rFonts w:cs="Arial"/>
                <w:color w:val="FF0000"/>
                <w:sz w:val="18"/>
                <w:szCs w:val="18"/>
              </w:rPr>
            </w:pPr>
            <w:r w:rsidRPr="00B50C5E">
              <w:rPr>
                <w:rFonts w:cs="Arial"/>
                <w:color w:val="000000"/>
                <w:sz w:val="18"/>
                <w:szCs w:val="18"/>
              </w:rPr>
              <w:t>32,0</w:t>
            </w:r>
          </w:p>
        </w:tc>
        <w:tc>
          <w:tcPr>
            <w:tcW w:w="1111" w:type="dxa"/>
            <w:vAlign w:val="bottom"/>
            <w:hideMark/>
          </w:tcPr>
          <w:p w14:paraId="3709C475" w14:textId="1D192CCA" w:rsidR="003764C5" w:rsidRPr="00B50C5E" w:rsidRDefault="003764C5" w:rsidP="003764C5">
            <w:pPr>
              <w:ind w:right="216"/>
              <w:contextualSpacing/>
              <w:jc w:val="right"/>
              <w:rPr>
                <w:rFonts w:cs="Arial"/>
                <w:color w:val="FF0000"/>
                <w:sz w:val="18"/>
                <w:szCs w:val="18"/>
              </w:rPr>
            </w:pPr>
            <w:r w:rsidRPr="00B50C5E">
              <w:rPr>
                <w:rFonts w:cs="Arial"/>
                <w:color w:val="000000"/>
                <w:sz w:val="18"/>
                <w:szCs w:val="18"/>
              </w:rPr>
              <w:t>20,6</w:t>
            </w:r>
          </w:p>
        </w:tc>
        <w:tc>
          <w:tcPr>
            <w:tcW w:w="1112" w:type="dxa"/>
            <w:vAlign w:val="bottom"/>
            <w:hideMark/>
          </w:tcPr>
          <w:p w14:paraId="0CC2954C" w14:textId="1DB103E6" w:rsidR="003764C5" w:rsidRPr="00B50C5E" w:rsidRDefault="003764C5" w:rsidP="003764C5">
            <w:pPr>
              <w:contextualSpacing/>
              <w:jc w:val="right"/>
              <w:rPr>
                <w:rFonts w:cs="Arial"/>
                <w:color w:val="FF0000"/>
                <w:sz w:val="18"/>
                <w:szCs w:val="18"/>
              </w:rPr>
            </w:pPr>
            <w:r w:rsidRPr="00B50C5E">
              <w:rPr>
                <w:rFonts w:cs="Arial"/>
                <w:color w:val="000000"/>
                <w:sz w:val="18"/>
                <w:szCs w:val="18"/>
              </w:rPr>
              <w:t>33,4</w:t>
            </w:r>
          </w:p>
        </w:tc>
        <w:tc>
          <w:tcPr>
            <w:tcW w:w="1112" w:type="dxa"/>
            <w:vAlign w:val="bottom"/>
            <w:hideMark/>
          </w:tcPr>
          <w:p w14:paraId="1FE64174" w14:textId="3760631B" w:rsidR="003764C5" w:rsidRPr="00B50C5E" w:rsidRDefault="003764C5" w:rsidP="003764C5">
            <w:pPr>
              <w:contextualSpacing/>
              <w:jc w:val="right"/>
              <w:rPr>
                <w:rFonts w:cs="Arial"/>
                <w:color w:val="FF0000"/>
                <w:sz w:val="18"/>
                <w:szCs w:val="18"/>
              </w:rPr>
            </w:pPr>
            <w:r w:rsidRPr="00B50C5E">
              <w:rPr>
                <w:rFonts w:cs="Arial"/>
                <w:color w:val="000000"/>
                <w:sz w:val="18"/>
                <w:szCs w:val="18"/>
              </w:rPr>
              <w:t>66,0</w:t>
            </w:r>
          </w:p>
        </w:tc>
        <w:tc>
          <w:tcPr>
            <w:tcW w:w="1350" w:type="dxa"/>
            <w:shd w:val="clear" w:color="auto" w:fill="BFBFBF"/>
            <w:vAlign w:val="center"/>
            <w:hideMark/>
          </w:tcPr>
          <w:p w14:paraId="5F69C57F" w14:textId="7198CEA8" w:rsidR="003764C5" w:rsidRPr="00B50C5E" w:rsidRDefault="003764C5" w:rsidP="003764C5">
            <w:pPr>
              <w:ind w:firstLineChars="100" w:firstLine="180"/>
              <w:contextualSpacing/>
              <w:jc w:val="right"/>
              <w:rPr>
                <w:rFonts w:cs="Arial"/>
                <w:b/>
                <w:bCs/>
                <w:color w:val="FF0000"/>
                <w:sz w:val="18"/>
                <w:szCs w:val="18"/>
              </w:rPr>
            </w:pPr>
            <w:r w:rsidRPr="00B50C5E">
              <w:rPr>
                <w:rFonts w:cs="Arial"/>
                <w:color w:val="000000"/>
                <w:sz w:val="18"/>
                <w:szCs w:val="18"/>
              </w:rPr>
              <w:t>189,1</w:t>
            </w:r>
          </w:p>
        </w:tc>
      </w:tr>
      <w:tr w:rsidR="003764C5" w:rsidRPr="003764C5" w14:paraId="34F4D21D" w14:textId="77777777" w:rsidTr="00633496">
        <w:trPr>
          <w:trHeight w:val="20"/>
        </w:trPr>
        <w:tc>
          <w:tcPr>
            <w:tcW w:w="1240" w:type="dxa"/>
            <w:vMerge/>
            <w:shd w:val="clear" w:color="auto" w:fill="BFBFBF"/>
            <w:vAlign w:val="center"/>
            <w:hideMark/>
          </w:tcPr>
          <w:p w14:paraId="2FE2AD60" w14:textId="77777777" w:rsidR="003764C5" w:rsidRPr="003764C5" w:rsidRDefault="003764C5" w:rsidP="003764C5">
            <w:pPr>
              <w:contextualSpacing/>
              <w:rPr>
                <w:rFonts w:cs="Arial"/>
                <w:b/>
                <w:bCs/>
                <w:sz w:val="18"/>
                <w:szCs w:val="18"/>
              </w:rPr>
            </w:pPr>
          </w:p>
        </w:tc>
        <w:tc>
          <w:tcPr>
            <w:tcW w:w="1014" w:type="dxa"/>
            <w:vAlign w:val="bottom"/>
          </w:tcPr>
          <w:p w14:paraId="26221BDC" w14:textId="54CED0AF" w:rsidR="003764C5" w:rsidRPr="003764C5" w:rsidRDefault="003764C5" w:rsidP="003764C5">
            <w:pPr>
              <w:contextualSpacing/>
              <w:jc w:val="center"/>
              <w:rPr>
                <w:rFonts w:cs="Arial"/>
                <w:b/>
                <w:sz w:val="18"/>
                <w:szCs w:val="18"/>
              </w:rPr>
            </w:pPr>
            <w:r w:rsidRPr="003764C5">
              <w:rPr>
                <w:rFonts w:cs="Arial"/>
                <w:color w:val="000000"/>
                <w:sz w:val="18"/>
                <w:szCs w:val="18"/>
              </w:rPr>
              <w:t>2025</w:t>
            </w:r>
          </w:p>
        </w:tc>
        <w:tc>
          <w:tcPr>
            <w:tcW w:w="1111" w:type="dxa"/>
            <w:vAlign w:val="center"/>
          </w:tcPr>
          <w:p w14:paraId="0593948D" w14:textId="3DCC6BC1" w:rsidR="003764C5" w:rsidRPr="00B50C5E" w:rsidRDefault="003764C5" w:rsidP="003764C5">
            <w:pPr>
              <w:contextualSpacing/>
              <w:jc w:val="right"/>
              <w:rPr>
                <w:rFonts w:cs="Arial"/>
                <w:color w:val="FF0000"/>
                <w:sz w:val="18"/>
                <w:szCs w:val="18"/>
              </w:rPr>
            </w:pPr>
            <w:r w:rsidRPr="00B50C5E">
              <w:rPr>
                <w:rFonts w:cs="Arial"/>
                <w:color w:val="000000"/>
                <w:sz w:val="18"/>
                <w:szCs w:val="18"/>
              </w:rPr>
              <w:t>37,3</w:t>
            </w:r>
          </w:p>
        </w:tc>
        <w:tc>
          <w:tcPr>
            <w:tcW w:w="1112" w:type="dxa"/>
            <w:vAlign w:val="bottom"/>
          </w:tcPr>
          <w:p w14:paraId="09B69F98" w14:textId="71715DF1" w:rsidR="003764C5" w:rsidRPr="00B50C5E" w:rsidRDefault="003764C5" w:rsidP="003764C5">
            <w:pPr>
              <w:contextualSpacing/>
              <w:jc w:val="right"/>
              <w:rPr>
                <w:rFonts w:cs="Arial"/>
                <w:color w:val="FF0000"/>
                <w:sz w:val="18"/>
                <w:szCs w:val="18"/>
              </w:rPr>
            </w:pPr>
            <w:r w:rsidRPr="00B50C5E">
              <w:rPr>
                <w:rFonts w:cs="Arial"/>
                <w:color w:val="000000"/>
                <w:sz w:val="18"/>
                <w:szCs w:val="18"/>
              </w:rPr>
              <w:t>29,7</w:t>
            </w:r>
          </w:p>
        </w:tc>
        <w:tc>
          <w:tcPr>
            <w:tcW w:w="1111" w:type="dxa"/>
            <w:vAlign w:val="bottom"/>
          </w:tcPr>
          <w:p w14:paraId="3E1550CD" w14:textId="691A988D" w:rsidR="003764C5" w:rsidRPr="00B50C5E" w:rsidRDefault="003764C5" w:rsidP="003764C5">
            <w:pPr>
              <w:ind w:right="216"/>
              <w:contextualSpacing/>
              <w:jc w:val="right"/>
              <w:rPr>
                <w:rFonts w:cs="Arial"/>
                <w:color w:val="FF0000"/>
                <w:sz w:val="18"/>
                <w:szCs w:val="18"/>
              </w:rPr>
            </w:pPr>
            <w:r w:rsidRPr="00B50C5E">
              <w:rPr>
                <w:rFonts w:cs="Arial"/>
                <w:color w:val="000000"/>
                <w:sz w:val="18"/>
                <w:szCs w:val="18"/>
              </w:rPr>
              <w:t>20,5</w:t>
            </w:r>
          </w:p>
        </w:tc>
        <w:tc>
          <w:tcPr>
            <w:tcW w:w="1112" w:type="dxa"/>
            <w:vAlign w:val="bottom"/>
          </w:tcPr>
          <w:p w14:paraId="52C9A65B" w14:textId="14214333" w:rsidR="003764C5" w:rsidRPr="00B50C5E" w:rsidRDefault="003764C5" w:rsidP="003764C5">
            <w:pPr>
              <w:contextualSpacing/>
              <w:jc w:val="right"/>
              <w:rPr>
                <w:rFonts w:cs="Arial"/>
                <w:color w:val="FF0000"/>
                <w:sz w:val="18"/>
                <w:szCs w:val="18"/>
              </w:rPr>
            </w:pPr>
            <w:r w:rsidRPr="00B50C5E">
              <w:rPr>
                <w:rFonts w:cs="Arial"/>
                <w:color w:val="000000"/>
                <w:sz w:val="18"/>
                <w:szCs w:val="18"/>
              </w:rPr>
              <w:t>33,4</w:t>
            </w:r>
          </w:p>
        </w:tc>
        <w:tc>
          <w:tcPr>
            <w:tcW w:w="1112" w:type="dxa"/>
            <w:vAlign w:val="bottom"/>
          </w:tcPr>
          <w:p w14:paraId="1CFFE1C1" w14:textId="51EFD5B2" w:rsidR="003764C5" w:rsidRPr="00B50C5E" w:rsidRDefault="003764C5" w:rsidP="003764C5">
            <w:pPr>
              <w:contextualSpacing/>
              <w:jc w:val="right"/>
              <w:rPr>
                <w:rFonts w:cs="Arial"/>
                <w:color w:val="FF0000"/>
                <w:sz w:val="18"/>
                <w:szCs w:val="18"/>
              </w:rPr>
            </w:pPr>
            <w:r w:rsidRPr="00B50C5E">
              <w:rPr>
                <w:rFonts w:cs="Arial"/>
                <w:color w:val="000000"/>
                <w:sz w:val="18"/>
                <w:szCs w:val="18"/>
              </w:rPr>
              <w:t>50,8</w:t>
            </w:r>
          </w:p>
        </w:tc>
        <w:tc>
          <w:tcPr>
            <w:tcW w:w="1350" w:type="dxa"/>
            <w:shd w:val="clear" w:color="auto" w:fill="BFBFBF"/>
            <w:vAlign w:val="center"/>
          </w:tcPr>
          <w:p w14:paraId="1F8463C9" w14:textId="28732014" w:rsidR="003764C5" w:rsidRPr="00B50C5E" w:rsidRDefault="003764C5" w:rsidP="003764C5">
            <w:pPr>
              <w:ind w:firstLineChars="100" w:firstLine="180"/>
              <w:contextualSpacing/>
              <w:jc w:val="right"/>
              <w:rPr>
                <w:rFonts w:cs="Arial"/>
                <w:b/>
                <w:bCs/>
                <w:color w:val="FF0000"/>
                <w:sz w:val="18"/>
                <w:szCs w:val="18"/>
              </w:rPr>
            </w:pPr>
            <w:r w:rsidRPr="00B50C5E">
              <w:rPr>
                <w:rFonts w:cs="Arial"/>
                <w:color w:val="000000"/>
                <w:sz w:val="18"/>
                <w:szCs w:val="18"/>
              </w:rPr>
              <w:t>171,7</w:t>
            </w:r>
          </w:p>
        </w:tc>
      </w:tr>
      <w:tr w:rsidR="003764C5" w:rsidRPr="003764C5" w14:paraId="54203D44" w14:textId="77777777" w:rsidTr="00633496">
        <w:trPr>
          <w:trHeight w:val="20"/>
        </w:trPr>
        <w:tc>
          <w:tcPr>
            <w:tcW w:w="1240" w:type="dxa"/>
            <w:vMerge w:val="restart"/>
            <w:shd w:val="clear" w:color="auto" w:fill="BFBFBF"/>
            <w:vAlign w:val="center"/>
            <w:hideMark/>
          </w:tcPr>
          <w:p w14:paraId="2F2D6FF0" w14:textId="77777777" w:rsidR="003764C5" w:rsidRPr="003764C5" w:rsidRDefault="003764C5" w:rsidP="003764C5">
            <w:pPr>
              <w:contextualSpacing/>
              <w:rPr>
                <w:rFonts w:cs="Arial"/>
                <w:b/>
                <w:bCs/>
                <w:sz w:val="18"/>
                <w:szCs w:val="18"/>
              </w:rPr>
            </w:pPr>
            <w:r w:rsidRPr="003764C5">
              <w:rPr>
                <w:rFonts w:cs="Arial"/>
                <w:b/>
                <w:bCs/>
                <w:sz w:val="18"/>
                <w:szCs w:val="18"/>
              </w:rPr>
              <w:t>Energie a paliva</w:t>
            </w:r>
          </w:p>
        </w:tc>
        <w:tc>
          <w:tcPr>
            <w:tcW w:w="1014" w:type="dxa"/>
            <w:vAlign w:val="bottom"/>
            <w:hideMark/>
          </w:tcPr>
          <w:p w14:paraId="7D2C1603" w14:textId="681BB45D" w:rsidR="003764C5" w:rsidRPr="003764C5" w:rsidRDefault="003764C5" w:rsidP="003764C5">
            <w:pPr>
              <w:contextualSpacing/>
              <w:jc w:val="center"/>
              <w:rPr>
                <w:rFonts w:cs="Arial"/>
                <w:b/>
                <w:sz w:val="18"/>
                <w:szCs w:val="18"/>
              </w:rPr>
            </w:pPr>
            <w:r w:rsidRPr="003764C5">
              <w:rPr>
                <w:rFonts w:cs="Arial"/>
                <w:color w:val="000000"/>
                <w:sz w:val="18"/>
                <w:szCs w:val="18"/>
              </w:rPr>
              <w:t>2024</w:t>
            </w:r>
          </w:p>
        </w:tc>
        <w:tc>
          <w:tcPr>
            <w:tcW w:w="1111" w:type="dxa"/>
            <w:vAlign w:val="center"/>
            <w:hideMark/>
          </w:tcPr>
          <w:p w14:paraId="1F556A67" w14:textId="6C1D9C00" w:rsidR="003764C5" w:rsidRPr="00B50C5E" w:rsidRDefault="003764C5" w:rsidP="003764C5">
            <w:pPr>
              <w:contextualSpacing/>
              <w:jc w:val="right"/>
              <w:rPr>
                <w:rFonts w:cs="Arial"/>
                <w:color w:val="FF0000"/>
                <w:sz w:val="18"/>
                <w:szCs w:val="18"/>
              </w:rPr>
            </w:pPr>
            <w:r w:rsidRPr="00B50C5E">
              <w:rPr>
                <w:rFonts w:cs="Arial"/>
                <w:color w:val="000000"/>
                <w:sz w:val="18"/>
                <w:szCs w:val="18"/>
              </w:rPr>
              <w:t>49,3</w:t>
            </w:r>
          </w:p>
        </w:tc>
        <w:tc>
          <w:tcPr>
            <w:tcW w:w="1112" w:type="dxa"/>
            <w:vAlign w:val="bottom"/>
            <w:hideMark/>
          </w:tcPr>
          <w:p w14:paraId="2ADFA7E4" w14:textId="7E676D96" w:rsidR="003764C5" w:rsidRPr="00B50C5E" w:rsidRDefault="003764C5" w:rsidP="003764C5">
            <w:pPr>
              <w:contextualSpacing/>
              <w:jc w:val="right"/>
              <w:rPr>
                <w:rFonts w:cs="Arial"/>
                <w:color w:val="FF0000"/>
                <w:sz w:val="18"/>
                <w:szCs w:val="18"/>
              </w:rPr>
            </w:pPr>
            <w:r w:rsidRPr="00B50C5E">
              <w:rPr>
                <w:rFonts w:cs="Arial"/>
                <w:color w:val="000000"/>
                <w:sz w:val="18"/>
                <w:szCs w:val="18"/>
              </w:rPr>
              <w:t>53,9</w:t>
            </w:r>
          </w:p>
        </w:tc>
        <w:tc>
          <w:tcPr>
            <w:tcW w:w="1111" w:type="dxa"/>
            <w:vAlign w:val="bottom"/>
            <w:hideMark/>
          </w:tcPr>
          <w:p w14:paraId="6138B1B0" w14:textId="265EE1A9" w:rsidR="003764C5" w:rsidRPr="00B50C5E" w:rsidRDefault="003764C5" w:rsidP="003764C5">
            <w:pPr>
              <w:ind w:right="216"/>
              <w:contextualSpacing/>
              <w:jc w:val="right"/>
              <w:rPr>
                <w:rFonts w:cs="Arial"/>
                <w:color w:val="FF0000"/>
                <w:sz w:val="18"/>
                <w:szCs w:val="18"/>
              </w:rPr>
            </w:pPr>
            <w:r w:rsidRPr="00B50C5E">
              <w:rPr>
                <w:rFonts w:cs="Arial"/>
                <w:color w:val="000000"/>
                <w:sz w:val="18"/>
                <w:szCs w:val="18"/>
              </w:rPr>
              <w:t>25,4</w:t>
            </w:r>
          </w:p>
        </w:tc>
        <w:tc>
          <w:tcPr>
            <w:tcW w:w="1112" w:type="dxa"/>
            <w:vAlign w:val="bottom"/>
            <w:hideMark/>
          </w:tcPr>
          <w:p w14:paraId="5705A14D" w14:textId="2B7211AC" w:rsidR="003764C5" w:rsidRPr="00B50C5E" w:rsidRDefault="003764C5" w:rsidP="003764C5">
            <w:pPr>
              <w:contextualSpacing/>
              <w:jc w:val="right"/>
              <w:rPr>
                <w:rFonts w:cs="Arial"/>
                <w:color w:val="FF0000"/>
                <w:sz w:val="18"/>
                <w:szCs w:val="18"/>
              </w:rPr>
            </w:pPr>
            <w:r w:rsidRPr="00B50C5E">
              <w:rPr>
                <w:rFonts w:cs="Arial"/>
                <w:color w:val="000000"/>
                <w:sz w:val="18"/>
                <w:szCs w:val="18"/>
              </w:rPr>
              <w:t>9,6</w:t>
            </w:r>
          </w:p>
        </w:tc>
        <w:tc>
          <w:tcPr>
            <w:tcW w:w="1112" w:type="dxa"/>
            <w:vAlign w:val="bottom"/>
            <w:hideMark/>
          </w:tcPr>
          <w:p w14:paraId="0E09E430" w14:textId="3479AC49" w:rsidR="003764C5" w:rsidRPr="00B50C5E" w:rsidRDefault="003764C5" w:rsidP="003764C5">
            <w:pPr>
              <w:contextualSpacing/>
              <w:jc w:val="right"/>
              <w:rPr>
                <w:rFonts w:cs="Arial"/>
                <w:color w:val="FF0000"/>
                <w:sz w:val="18"/>
                <w:szCs w:val="18"/>
              </w:rPr>
            </w:pPr>
            <w:r w:rsidRPr="00B50C5E">
              <w:rPr>
                <w:rFonts w:cs="Arial"/>
                <w:color w:val="000000"/>
                <w:sz w:val="18"/>
                <w:szCs w:val="18"/>
              </w:rPr>
              <w:t>21,8</w:t>
            </w:r>
          </w:p>
        </w:tc>
        <w:tc>
          <w:tcPr>
            <w:tcW w:w="1350" w:type="dxa"/>
            <w:shd w:val="clear" w:color="auto" w:fill="BFBFBF"/>
            <w:vAlign w:val="center"/>
            <w:hideMark/>
          </w:tcPr>
          <w:p w14:paraId="2C83B76B" w14:textId="5350CAD9" w:rsidR="003764C5" w:rsidRPr="00B50C5E" w:rsidRDefault="003764C5" w:rsidP="003764C5">
            <w:pPr>
              <w:ind w:firstLineChars="100" w:firstLine="180"/>
              <w:contextualSpacing/>
              <w:jc w:val="right"/>
              <w:rPr>
                <w:rFonts w:cs="Arial"/>
                <w:b/>
                <w:bCs/>
                <w:color w:val="FF0000"/>
                <w:sz w:val="18"/>
                <w:szCs w:val="18"/>
              </w:rPr>
            </w:pPr>
            <w:r w:rsidRPr="00B50C5E">
              <w:rPr>
                <w:rFonts w:cs="Arial"/>
                <w:color w:val="000000"/>
                <w:sz w:val="18"/>
                <w:szCs w:val="18"/>
              </w:rPr>
              <w:t>160,0</w:t>
            </w:r>
          </w:p>
        </w:tc>
      </w:tr>
      <w:tr w:rsidR="003764C5" w:rsidRPr="003764C5" w14:paraId="11EBCF36" w14:textId="77777777" w:rsidTr="00633496">
        <w:trPr>
          <w:trHeight w:val="20"/>
        </w:trPr>
        <w:tc>
          <w:tcPr>
            <w:tcW w:w="1240" w:type="dxa"/>
            <w:vMerge/>
            <w:shd w:val="clear" w:color="auto" w:fill="BFBFBF"/>
            <w:vAlign w:val="center"/>
            <w:hideMark/>
          </w:tcPr>
          <w:p w14:paraId="73DB38C9" w14:textId="77777777" w:rsidR="003764C5" w:rsidRPr="003764C5" w:rsidRDefault="003764C5" w:rsidP="003764C5">
            <w:pPr>
              <w:contextualSpacing/>
              <w:rPr>
                <w:rFonts w:cs="Arial"/>
                <w:b/>
                <w:bCs/>
                <w:sz w:val="18"/>
                <w:szCs w:val="18"/>
              </w:rPr>
            </w:pPr>
          </w:p>
        </w:tc>
        <w:tc>
          <w:tcPr>
            <w:tcW w:w="1014" w:type="dxa"/>
            <w:vAlign w:val="bottom"/>
          </w:tcPr>
          <w:p w14:paraId="3C1E641E" w14:textId="7C4BB679" w:rsidR="003764C5" w:rsidRPr="003764C5" w:rsidRDefault="003764C5" w:rsidP="003764C5">
            <w:pPr>
              <w:contextualSpacing/>
              <w:jc w:val="center"/>
              <w:rPr>
                <w:rFonts w:cs="Arial"/>
                <w:b/>
                <w:sz w:val="18"/>
                <w:szCs w:val="18"/>
              </w:rPr>
            </w:pPr>
            <w:r w:rsidRPr="003764C5">
              <w:rPr>
                <w:rFonts w:cs="Arial"/>
                <w:color w:val="000000"/>
                <w:sz w:val="18"/>
                <w:szCs w:val="18"/>
              </w:rPr>
              <w:t>2025</w:t>
            </w:r>
          </w:p>
        </w:tc>
        <w:tc>
          <w:tcPr>
            <w:tcW w:w="1111" w:type="dxa"/>
            <w:vAlign w:val="center"/>
          </w:tcPr>
          <w:p w14:paraId="74F3985B" w14:textId="58E571BF" w:rsidR="003764C5" w:rsidRPr="00B50C5E" w:rsidRDefault="003764C5" w:rsidP="003764C5">
            <w:pPr>
              <w:contextualSpacing/>
              <w:jc w:val="right"/>
              <w:rPr>
                <w:rFonts w:cs="Arial"/>
                <w:color w:val="FF0000"/>
                <w:sz w:val="18"/>
                <w:szCs w:val="18"/>
              </w:rPr>
            </w:pPr>
            <w:r w:rsidRPr="00B50C5E">
              <w:rPr>
                <w:rFonts w:cs="Arial"/>
                <w:color w:val="000000"/>
                <w:sz w:val="18"/>
                <w:szCs w:val="18"/>
              </w:rPr>
              <w:t>43,3</w:t>
            </w:r>
          </w:p>
        </w:tc>
        <w:tc>
          <w:tcPr>
            <w:tcW w:w="1112" w:type="dxa"/>
            <w:vAlign w:val="bottom"/>
          </w:tcPr>
          <w:p w14:paraId="4028C382" w14:textId="1F8FBDAD" w:rsidR="003764C5" w:rsidRPr="00B50C5E" w:rsidRDefault="003764C5" w:rsidP="003764C5">
            <w:pPr>
              <w:contextualSpacing/>
              <w:jc w:val="right"/>
              <w:rPr>
                <w:rFonts w:cs="Arial"/>
                <w:color w:val="FF0000"/>
                <w:sz w:val="18"/>
                <w:szCs w:val="18"/>
              </w:rPr>
            </w:pPr>
            <w:r w:rsidRPr="00B50C5E">
              <w:rPr>
                <w:rFonts w:cs="Arial"/>
                <w:color w:val="000000"/>
                <w:sz w:val="18"/>
                <w:szCs w:val="18"/>
              </w:rPr>
              <w:t>47,1</w:t>
            </w:r>
          </w:p>
        </w:tc>
        <w:tc>
          <w:tcPr>
            <w:tcW w:w="1111" w:type="dxa"/>
            <w:vAlign w:val="bottom"/>
          </w:tcPr>
          <w:p w14:paraId="76E13428" w14:textId="217E9633" w:rsidR="003764C5" w:rsidRPr="00B50C5E" w:rsidRDefault="003764C5" w:rsidP="003764C5">
            <w:pPr>
              <w:ind w:right="216"/>
              <w:contextualSpacing/>
              <w:jc w:val="right"/>
              <w:rPr>
                <w:rFonts w:cs="Arial"/>
                <w:color w:val="FF0000"/>
                <w:sz w:val="18"/>
                <w:szCs w:val="18"/>
              </w:rPr>
            </w:pPr>
            <w:r w:rsidRPr="00B50C5E">
              <w:rPr>
                <w:rFonts w:cs="Arial"/>
                <w:color w:val="000000"/>
                <w:sz w:val="18"/>
                <w:szCs w:val="18"/>
              </w:rPr>
              <w:t>29,7</w:t>
            </w:r>
          </w:p>
        </w:tc>
        <w:tc>
          <w:tcPr>
            <w:tcW w:w="1112" w:type="dxa"/>
            <w:vAlign w:val="bottom"/>
          </w:tcPr>
          <w:p w14:paraId="389ACBE2" w14:textId="25124E77" w:rsidR="003764C5" w:rsidRPr="00B50C5E" w:rsidRDefault="003764C5" w:rsidP="003764C5">
            <w:pPr>
              <w:contextualSpacing/>
              <w:jc w:val="right"/>
              <w:rPr>
                <w:rFonts w:cs="Arial"/>
                <w:color w:val="FF0000"/>
                <w:sz w:val="18"/>
                <w:szCs w:val="18"/>
              </w:rPr>
            </w:pPr>
            <w:r w:rsidRPr="00B50C5E">
              <w:rPr>
                <w:rFonts w:cs="Arial"/>
                <w:color w:val="000000"/>
                <w:sz w:val="18"/>
                <w:szCs w:val="18"/>
              </w:rPr>
              <w:t>9,1</w:t>
            </w:r>
          </w:p>
        </w:tc>
        <w:tc>
          <w:tcPr>
            <w:tcW w:w="1112" w:type="dxa"/>
            <w:vAlign w:val="bottom"/>
          </w:tcPr>
          <w:p w14:paraId="258C5F91" w14:textId="4F110FAA" w:rsidR="003764C5" w:rsidRPr="00B50C5E" w:rsidRDefault="003764C5" w:rsidP="003764C5">
            <w:pPr>
              <w:contextualSpacing/>
              <w:jc w:val="right"/>
              <w:rPr>
                <w:rFonts w:cs="Arial"/>
                <w:color w:val="FF0000"/>
                <w:sz w:val="18"/>
                <w:szCs w:val="18"/>
              </w:rPr>
            </w:pPr>
            <w:r w:rsidRPr="00B50C5E">
              <w:rPr>
                <w:rFonts w:cs="Arial"/>
                <w:color w:val="000000"/>
                <w:sz w:val="18"/>
                <w:szCs w:val="18"/>
              </w:rPr>
              <w:t>21,3</w:t>
            </w:r>
          </w:p>
        </w:tc>
        <w:tc>
          <w:tcPr>
            <w:tcW w:w="1350" w:type="dxa"/>
            <w:shd w:val="clear" w:color="auto" w:fill="BFBFBF"/>
            <w:vAlign w:val="center"/>
          </w:tcPr>
          <w:p w14:paraId="153AF593" w14:textId="08F8C94E" w:rsidR="003764C5" w:rsidRPr="00B50C5E" w:rsidRDefault="003764C5" w:rsidP="003764C5">
            <w:pPr>
              <w:ind w:firstLineChars="100" w:firstLine="180"/>
              <w:contextualSpacing/>
              <w:jc w:val="right"/>
              <w:rPr>
                <w:rFonts w:cs="Arial"/>
                <w:b/>
                <w:bCs/>
                <w:color w:val="FF0000"/>
                <w:sz w:val="18"/>
                <w:szCs w:val="18"/>
              </w:rPr>
            </w:pPr>
            <w:r w:rsidRPr="00B50C5E">
              <w:rPr>
                <w:rFonts w:cs="Arial"/>
                <w:color w:val="000000"/>
                <w:sz w:val="18"/>
                <w:szCs w:val="18"/>
              </w:rPr>
              <w:t>150,5</w:t>
            </w:r>
          </w:p>
        </w:tc>
      </w:tr>
      <w:tr w:rsidR="003764C5" w:rsidRPr="003764C5" w14:paraId="1DB5BC33" w14:textId="77777777" w:rsidTr="00633496">
        <w:trPr>
          <w:trHeight w:val="20"/>
        </w:trPr>
        <w:tc>
          <w:tcPr>
            <w:tcW w:w="1240" w:type="dxa"/>
            <w:vMerge w:val="restart"/>
            <w:shd w:val="clear" w:color="auto" w:fill="BFBFBF"/>
            <w:vAlign w:val="center"/>
            <w:hideMark/>
          </w:tcPr>
          <w:p w14:paraId="1E79170C" w14:textId="77777777" w:rsidR="003764C5" w:rsidRPr="003764C5" w:rsidRDefault="003764C5" w:rsidP="003764C5">
            <w:pPr>
              <w:contextualSpacing/>
              <w:rPr>
                <w:rFonts w:cs="Arial"/>
                <w:b/>
                <w:bCs/>
                <w:sz w:val="18"/>
                <w:szCs w:val="18"/>
              </w:rPr>
            </w:pPr>
            <w:r w:rsidRPr="003764C5">
              <w:rPr>
                <w:rFonts w:cs="Arial"/>
                <w:b/>
                <w:bCs/>
                <w:sz w:val="18"/>
                <w:szCs w:val="18"/>
              </w:rPr>
              <w:t>Osobní náklady</w:t>
            </w:r>
          </w:p>
        </w:tc>
        <w:tc>
          <w:tcPr>
            <w:tcW w:w="1014" w:type="dxa"/>
            <w:vAlign w:val="bottom"/>
            <w:hideMark/>
          </w:tcPr>
          <w:p w14:paraId="2675E554" w14:textId="412CBCF5" w:rsidR="003764C5" w:rsidRPr="003764C5" w:rsidRDefault="003764C5" w:rsidP="003764C5">
            <w:pPr>
              <w:contextualSpacing/>
              <w:jc w:val="center"/>
              <w:rPr>
                <w:rFonts w:cs="Arial"/>
                <w:b/>
                <w:sz w:val="18"/>
                <w:szCs w:val="18"/>
              </w:rPr>
            </w:pPr>
            <w:r w:rsidRPr="003764C5">
              <w:rPr>
                <w:rFonts w:cs="Arial"/>
                <w:color w:val="000000"/>
                <w:sz w:val="18"/>
                <w:szCs w:val="18"/>
              </w:rPr>
              <w:t>2024</w:t>
            </w:r>
          </w:p>
        </w:tc>
        <w:tc>
          <w:tcPr>
            <w:tcW w:w="1111" w:type="dxa"/>
            <w:vAlign w:val="center"/>
            <w:hideMark/>
          </w:tcPr>
          <w:p w14:paraId="13EB8350" w14:textId="4F20D4A4" w:rsidR="003764C5" w:rsidRPr="00B50C5E" w:rsidRDefault="003764C5" w:rsidP="003764C5">
            <w:pPr>
              <w:contextualSpacing/>
              <w:jc w:val="right"/>
              <w:rPr>
                <w:rFonts w:cs="Arial"/>
                <w:color w:val="FF0000"/>
                <w:sz w:val="18"/>
                <w:szCs w:val="18"/>
              </w:rPr>
            </w:pPr>
            <w:r w:rsidRPr="00B50C5E">
              <w:rPr>
                <w:rFonts w:cs="Arial"/>
                <w:color w:val="000000"/>
                <w:sz w:val="18"/>
                <w:szCs w:val="18"/>
              </w:rPr>
              <w:t>721,3</w:t>
            </w:r>
          </w:p>
        </w:tc>
        <w:tc>
          <w:tcPr>
            <w:tcW w:w="1112" w:type="dxa"/>
            <w:vAlign w:val="bottom"/>
            <w:hideMark/>
          </w:tcPr>
          <w:p w14:paraId="4D194597" w14:textId="0DC97795" w:rsidR="003764C5" w:rsidRPr="00B50C5E" w:rsidRDefault="003764C5" w:rsidP="003764C5">
            <w:pPr>
              <w:contextualSpacing/>
              <w:jc w:val="right"/>
              <w:rPr>
                <w:rFonts w:cs="Arial"/>
                <w:color w:val="FF0000"/>
                <w:sz w:val="18"/>
                <w:szCs w:val="18"/>
              </w:rPr>
            </w:pPr>
            <w:r w:rsidRPr="00B50C5E">
              <w:rPr>
                <w:rFonts w:cs="Arial"/>
                <w:color w:val="000000"/>
                <w:sz w:val="18"/>
                <w:szCs w:val="18"/>
              </w:rPr>
              <w:t>672,5</w:t>
            </w:r>
          </w:p>
        </w:tc>
        <w:tc>
          <w:tcPr>
            <w:tcW w:w="1111" w:type="dxa"/>
            <w:vAlign w:val="bottom"/>
            <w:hideMark/>
          </w:tcPr>
          <w:p w14:paraId="5D8F8E2A" w14:textId="04B7318D" w:rsidR="003764C5" w:rsidRPr="00B50C5E" w:rsidRDefault="003764C5" w:rsidP="003764C5">
            <w:pPr>
              <w:ind w:right="216"/>
              <w:contextualSpacing/>
              <w:jc w:val="right"/>
              <w:rPr>
                <w:rFonts w:cs="Arial"/>
                <w:color w:val="FF0000"/>
                <w:sz w:val="18"/>
                <w:szCs w:val="18"/>
              </w:rPr>
            </w:pPr>
            <w:r w:rsidRPr="00B50C5E">
              <w:rPr>
                <w:rFonts w:cs="Arial"/>
                <w:color w:val="000000"/>
                <w:sz w:val="18"/>
                <w:szCs w:val="18"/>
              </w:rPr>
              <w:t>531,1</w:t>
            </w:r>
          </w:p>
        </w:tc>
        <w:tc>
          <w:tcPr>
            <w:tcW w:w="1112" w:type="dxa"/>
            <w:vAlign w:val="bottom"/>
            <w:hideMark/>
          </w:tcPr>
          <w:p w14:paraId="674DD911" w14:textId="7E0320A9" w:rsidR="003764C5" w:rsidRPr="00B50C5E" w:rsidRDefault="003764C5" w:rsidP="003764C5">
            <w:pPr>
              <w:contextualSpacing/>
              <w:jc w:val="right"/>
              <w:rPr>
                <w:rFonts w:cs="Arial"/>
                <w:color w:val="FF0000"/>
                <w:sz w:val="18"/>
                <w:szCs w:val="18"/>
              </w:rPr>
            </w:pPr>
            <w:r w:rsidRPr="00B50C5E">
              <w:rPr>
                <w:rFonts w:cs="Arial"/>
                <w:color w:val="000000"/>
                <w:sz w:val="18"/>
                <w:szCs w:val="18"/>
              </w:rPr>
              <w:t>341,0</w:t>
            </w:r>
          </w:p>
        </w:tc>
        <w:tc>
          <w:tcPr>
            <w:tcW w:w="1112" w:type="dxa"/>
            <w:vAlign w:val="bottom"/>
            <w:hideMark/>
          </w:tcPr>
          <w:p w14:paraId="308D4C06" w14:textId="4833D4B9" w:rsidR="003764C5" w:rsidRPr="00B50C5E" w:rsidRDefault="003764C5" w:rsidP="003764C5">
            <w:pPr>
              <w:contextualSpacing/>
              <w:jc w:val="right"/>
              <w:rPr>
                <w:rFonts w:cs="Arial"/>
                <w:color w:val="FF0000"/>
                <w:sz w:val="18"/>
                <w:szCs w:val="18"/>
              </w:rPr>
            </w:pPr>
            <w:r w:rsidRPr="00B50C5E">
              <w:rPr>
                <w:rFonts w:cs="Arial"/>
                <w:color w:val="000000"/>
                <w:sz w:val="18"/>
                <w:szCs w:val="18"/>
              </w:rPr>
              <w:t>553,5</w:t>
            </w:r>
          </w:p>
        </w:tc>
        <w:tc>
          <w:tcPr>
            <w:tcW w:w="1350" w:type="dxa"/>
            <w:shd w:val="clear" w:color="auto" w:fill="BFBFBF"/>
            <w:vAlign w:val="center"/>
            <w:hideMark/>
          </w:tcPr>
          <w:p w14:paraId="37AA5CC5" w14:textId="6A70F85B" w:rsidR="003764C5" w:rsidRPr="00B50C5E" w:rsidRDefault="003764C5" w:rsidP="003764C5">
            <w:pPr>
              <w:ind w:firstLineChars="100" w:firstLine="180"/>
              <w:contextualSpacing/>
              <w:jc w:val="right"/>
              <w:rPr>
                <w:rFonts w:cs="Arial"/>
                <w:b/>
                <w:bCs/>
                <w:color w:val="FF0000"/>
                <w:sz w:val="18"/>
                <w:szCs w:val="18"/>
              </w:rPr>
            </w:pPr>
            <w:r w:rsidRPr="00B50C5E">
              <w:rPr>
                <w:rFonts w:cs="Arial"/>
                <w:color w:val="000000"/>
                <w:sz w:val="18"/>
                <w:szCs w:val="18"/>
              </w:rPr>
              <w:t>2</w:t>
            </w:r>
            <w:r w:rsidR="00A97FBE" w:rsidRPr="00B50C5E">
              <w:rPr>
                <w:rFonts w:cs="Arial"/>
                <w:color w:val="000000"/>
                <w:sz w:val="18"/>
                <w:szCs w:val="18"/>
              </w:rPr>
              <w:t xml:space="preserve"> </w:t>
            </w:r>
            <w:r w:rsidRPr="00B50C5E">
              <w:rPr>
                <w:rFonts w:cs="Arial"/>
                <w:color w:val="000000"/>
                <w:sz w:val="18"/>
                <w:szCs w:val="18"/>
              </w:rPr>
              <w:t>819,4</w:t>
            </w:r>
          </w:p>
        </w:tc>
      </w:tr>
      <w:tr w:rsidR="003764C5" w:rsidRPr="003764C5" w14:paraId="24D541F3" w14:textId="77777777" w:rsidTr="00633496">
        <w:trPr>
          <w:trHeight w:val="20"/>
        </w:trPr>
        <w:tc>
          <w:tcPr>
            <w:tcW w:w="1240" w:type="dxa"/>
            <w:vMerge/>
            <w:shd w:val="clear" w:color="auto" w:fill="BFBFBF"/>
            <w:vAlign w:val="center"/>
            <w:hideMark/>
          </w:tcPr>
          <w:p w14:paraId="6001A0B4" w14:textId="77777777" w:rsidR="003764C5" w:rsidRPr="003764C5" w:rsidRDefault="003764C5" w:rsidP="003764C5">
            <w:pPr>
              <w:contextualSpacing/>
              <w:rPr>
                <w:rFonts w:cs="Arial"/>
                <w:b/>
                <w:bCs/>
                <w:sz w:val="18"/>
                <w:szCs w:val="18"/>
              </w:rPr>
            </w:pPr>
          </w:p>
        </w:tc>
        <w:tc>
          <w:tcPr>
            <w:tcW w:w="1014" w:type="dxa"/>
            <w:vAlign w:val="bottom"/>
          </w:tcPr>
          <w:p w14:paraId="397F11BA" w14:textId="65C75BC1" w:rsidR="003764C5" w:rsidRPr="003764C5" w:rsidRDefault="003764C5" w:rsidP="003764C5">
            <w:pPr>
              <w:contextualSpacing/>
              <w:jc w:val="center"/>
              <w:rPr>
                <w:rFonts w:cs="Arial"/>
                <w:b/>
                <w:sz w:val="18"/>
                <w:szCs w:val="18"/>
              </w:rPr>
            </w:pPr>
            <w:r w:rsidRPr="003764C5">
              <w:rPr>
                <w:rFonts w:cs="Arial"/>
                <w:color w:val="000000"/>
                <w:sz w:val="18"/>
                <w:szCs w:val="18"/>
              </w:rPr>
              <w:t>2025</w:t>
            </w:r>
          </w:p>
        </w:tc>
        <w:tc>
          <w:tcPr>
            <w:tcW w:w="1111" w:type="dxa"/>
            <w:vAlign w:val="center"/>
          </w:tcPr>
          <w:p w14:paraId="5AD7DB78" w14:textId="2C45644D" w:rsidR="003764C5" w:rsidRPr="00B50C5E" w:rsidRDefault="003764C5" w:rsidP="003764C5">
            <w:pPr>
              <w:contextualSpacing/>
              <w:jc w:val="right"/>
              <w:rPr>
                <w:rFonts w:cs="Arial"/>
                <w:color w:val="FF0000"/>
                <w:sz w:val="18"/>
                <w:szCs w:val="18"/>
              </w:rPr>
            </w:pPr>
            <w:r w:rsidRPr="00B50C5E">
              <w:rPr>
                <w:rFonts w:cs="Arial"/>
                <w:color w:val="000000"/>
                <w:sz w:val="18"/>
                <w:szCs w:val="18"/>
              </w:rPr>
              <w:t>753,7</w:t>
            </w:r>
          </w:p>
        </w:tc>
        <w:tc>
          <w:tcPr>
            <w:tcW w:w="1112" w:type="dxa"/>
            <w:vAlign w:val="bottom"/>
          </w:tcPr>
          <w:p w14:paraId="260B6EB3" w14:textId="298569B2" w:rsidR="003764C5" w:rsidRPr="00B50C5E" w:rsidRDefault="003764C5" w:rsidP="003764C5">
            <w:pPr>
              <w:contextualSpacing/>
              <w:jc w:val="right"/>
              <w:rPr>
                <w:rFonts w:cs="Arial"/>
                <w:color w:val="FF0000"/>
                <w:sz w:val="18"/>
                <w:szCs w:val="18"/>
              </w:rPr>
            </w:pPr>
            <w:r w:rsidRPr="00B50C5E">
              <w:rPr>
                <w:rFonts w:cs="Arial"/>
                <w:color w:val="000000"/>
                <w:sz w:val="18"/>
                <w:szCs w:val="18"/>
              </w:rPr>
              <w:t>727,7</w:t>
            </w:r>
          </w:p>
        </w:tc>
        <w:tc>
          <w:tcPr>
            <w:tcW w:w="1111" w:type="dxa"/>
            <w:vAlign w:val="bottom"/>
          </w:tcPr>
          <w:p w14:paraId="1FA29648" w14:textId="42B8E729" w:rsidR="003764C5" w:rsidRPr="00B50C5E" w:rsidRDefault="003764C5" w:rsidP="003764C5">
            <w:pPr>
              <w:ind w:right="216"/>
              <w:contextualSpacing/>
              <w:jc w:val="right"/>
              <w:rPr>
                <w:rFonts w:cs="Arial"/>
                <w:color w:val="FF0000"/>
                <w:sz w:val="18"/>
                <w:szCs w:val="18"/>
              </w:rPr>
            </w:pPr>
            <w:r w:rsidRPr="00B50C5E">
              <w:rPr>
                <w:rFonts w:cs="Arial"/>
                <w:color w:val="000000"/>
                <w:sz w:val="18"/>
                <w:szCs w:val="18"/>
              </w:rPr>
              <w:t>559,2</w:t>
            </w:r>
          </w:p>
        </w:tc>
        <w:tc>
          <w:tcPr>
            <w:tcW w:w="1112" w:type="dxa"/>
            <w:vAlign w:val="bottom"/>
          </w:tcPr>
          <w:p w14:paraId="3B6C060C" w14:textId="0108A825" w:rsidR="003764C5" w:rsidRPr="00B50C5E" w:rsidRDefault="003764C5" w:rsidP="003764C5">
            <w:pPr>
              <w:contextualSpacing/>
              <w:jc w:val="right"/>
              <w:rPr>
                <w:rFonts w:cs="Arial"/>
                <w:color w:val="FF0000"/>
                <w:sz w:val="18"/>
                <w:szCs w:val="18"/>
              </w:rPr>
            </w:pPr>
            <w:r w:rsidRPr="00B50C5E">
              <w:rPr>
                <w:rFonts w:cs="Arial"/>
                <w:color w:val="000000"/>
                <w:sz w:val="18"/>
                <w:szCs w:val="18"/>
              </w:rPr>
              <w:t>367,2</w:t>
            </w:r>
          </w:p>
        </w:tc>
        <w:tc>
          <w:tcPr>
            <w:tcW w:w="1112" w:type="dxa"/>
            <w:vAlign w:val="bottom"/>
          </w:tcPr>
          <w:p w14:paraId="3A30D58C" w14:textId="337C242A" w:rsidR="003764C5" w:rsidRPr="00B50C5E" w:rsidRDefault="003764C5" w:rsidP="003764C5">
            <w:pPr>
              <w:contextualSpacing/>
              <w:jc w:val="right"/>
              <w:rPr>
                <w:rFonts w:cs="Arial"/>
                <w:color w:val="FF0000"/>
                <w:sz w:val="18"/>
                <w:szCs w:val="18"/>
              </w:rPr>
            </w:pPr>
            <w:r w:rsidRPr="00B50C5E">
              <w:rPr>
                <w:rFonts w:cs="Arial"/>
                <w:color w:val="000000"/>
                <w:sz w:val="18"/>
                <w:szCs w:val="18"/>
              </w:rPr>
              <w:t>565,0</w:t>
            </w:r>
          </w:p>
        </w:tc>
        <w:tc>
          <w:tcPr>
            <w:tcW w:w="1350" w:type="dxa"/>
            <w:shd w:val="clear" w:color="auto" w:fill="BFBFBF"/>
            <w:vAlign w:val="center"/>
          </w:tcPr>
          <w:p w14:paraId="7E7D37DE" w14:textId="60EFCBF9" w:rsidR="003764C5" w:rsidRPr="00B50C5E" w:rsidRDefault="003764C5" w:rsidP="003764C5">
            <w:pPr>
              <w:ind w:firstLineChars="100" w:firstLine="180"/>
              <w:contextualSpacing/>
              <w:jc w:val="right"/>
              <w:rPr>
                <w:rFonts w:cs="Arial"/>
                <w:b/>
                <w:bCs/>
                <w:color w:val="FF0000"/>
                <w:sz w:val="18"/>
                <w:szCs w:val="18"/>
              </w:rPr>
            </w:pPr>
            <w:r w:rsidRPr="00B50C5E">
              <w:rPr>
                <w:rFonts w:cs="Arial"/>
                <w:color w:val="000000"/>
                <w:sz w:val="18"/>
                <w:szCs w:val="18"/>
              </w:rPr>
              <w:t>2</w:t>
            </w:r>
            <w:r w:rsidR="00A97FBE" w:rsidRPr="00B50C5E">
              <w:rPr>
                <w:rFonts w:cs="Arial"/>
                <w:color w:val="000000"/>
                <w:sz w:val="18"/>
                <w:szCs w:val="18"/>
              </w:rPr>
              <w:t xml:space="preserve"> </w:t>
            </w:r>
            <w:r w:rsidRPr="00B50C5E">
              <w:rPr>
                <w:rFonts w:cs="Arial"/>
                <w:color w:val="000000"/>
                <w:sz w:val="18"/>
                <w:szCs w:val="18"/>
              </w:rPr>
              <w:t>972,8</w:t>
            </w:r>
          </w:p>
        </w:tc>
      </w:tr>
      <w:tr w:rsidR="003764C5" w:rsidRPr="003764C5" w14:paraId="786D353A" w14:textId="77777777" w:rsidTr="00633496">
        <w:trPr>
          <w:trHeight w:val="20"/>
        </w:trPr>
        <w:tc>
          <w:tcPr>
            <w:tcW w:w="1240" w:type="dxa"/>
            <w:vMerge w:val="restart"/>
            <w:shd w:val="clear" w:color="auto" w:fill="BFBFBF"/>
            <w:vAlign w:val="center"/>
            <w:hideMark/>
          </w:tcPr>
          <w:p w14:paraId="244FDC53" w14:textId="77777777" w:rsidR="003764C5" w:rsidRPr="003764C5" w:rsidRDefault="003764C5" w:rsidP="003764C5">
            <w:pPr>
              <w:contextualSpacing/>
              <w:rPr>
                <w:rFonts w:cs="Arial"/>
                <w:b/>
                <w:bCs/>
                <w:sz w:val="18"/>
                <w:szCs w:val="18"/>
              </w:rPr>
            </w:pPr>
            <w:r w:rsidRPr="003764C5">
              <w:rPr>
                <w:rFonts w:cs="Arial"/>
                <w:b/>
                <w:bCs/>
                <w:sz w:val="18"/>
                <w:szCs w:val="18"/>
              </w:rPr>
              <w:t>Služby</w:t>
            </w:r>
          </w:p>
        </w:tc>
        <w:tc>
          <w:tcPr>
            <w:tcW w:w="1014" w:type="dxa"/>
            <w:vAlign w:val="bottom"/>
            <w:hideMark/>
          </w:tcPr>
          <w:p w14:paraId="26C415D9" w14:textId="6F7547ED" w:rsidR="003764C5" w:rsidRPr="003764C5" w:rsidRDefault="003764C5" w:rsidP="003764C5">
            <w:pPr>
              <w:contextualSpacing/>
              <w:jc w:val="center"/>
              <w:rPr>
                <w:rFonts w:cs="Arial"/>
                <w:b/>
                <w:sz w:val="18"/>
                <w:szCs w:val="18"/>
              </w:rPr>
            </w:pPr>
            <w:r w:rsidRPr="003764C5">
              <w:rPr>
                <w:rFonts w:cs="Arial"/>
                <w:color w:val="000000"/>
                <w:sz w:val="18"/>
                <w:szCs w:val="18"/>
              </w:rPr>
              <w:t>2024</w:t>
            </w:r>
          </w:p>
        </w:tc>
        <w:tc>
          <w:tcPr>
            <w:tcW w:w="1111" w:type="dxa"/>
            <w:vAlign w:val="center"/>
            <w:hideMark/>
          </w:tcPr>
          <w:p w14:paraId="4B86FA6D" w14:textId="3C9A1F24" w:rsidR="003764C5" w:rsidRPr="00B50C5E" w:rsidRDefault="003764C5" w:rsidP="003764C5">
            <w:pPr>
              <w:contextualSpacing/>
              <w:jc w:val="right"/>
              <w:rPr>
                <w:rFonts w:cs="Arial"/>
                <w:color w:val="FF0000"/>
                <w:sz w:val="18"/>
                <w:szCs w:val="18"/>
              </w:rPr>
            </w:pPr>
            <w:r w:rsidRPr="00B50C5E">
              <w:rPr>
                <w:rFonts w:cs="Arial"/>
                <w:color w:val="000000"/>
                <w:sz w:val="18"/>
                <w:szCs w:val="18"/>
              </w:rPr>
              <w:t>73,3</w:t>
            </w:r>
          </w:p>
        </w:tc>
        <w:tc>
          <w:tcPr>
            <w:tcW w:w="1112" w:type="dxa"/>
            <w:vAlign w:val="bottom"/>
            <w:hideMark/>
          </w:tcPr>
          <w:p w14:paraId="14420436" w14:textId="26797F88" w:rsidR="003764C5" w:rsidRPr="00B50C5E" w:rsidRDefault="003764C5" w:rsidP="003764C5">
            <w:pPr>
              <w:contextualSpacing/>
              <w:jc w:val="right"/>
              <w:rPr>
                <w:rFonts w:cs="Arial"/>
                <w:color w:val="FF0000"/>
                <w:sz w:val="18"/>
                <w:szCs w:val="18"/>
              </w:rPr>
            </w:pPr>
            <w:r w:rsidRPr="00B50C5E">
              <w:rPr>
                <w:rFonts w:cs="Arial"/>
                <w:color w:val="000000"/>
                <w:sz w:val="18"/>
                <w:szCs w:val="18"/>
              </w:rPr>
              <w:t>92,5</w:t>
            </w:r>
          </w:p>
        </w:tc>
        <w:tc>
          <w:tcPr>
            <w:tcW w:w="1111" w:type="dxa"/>
            <w:vAlign w:val="bottom"/>
            <w:hideMark/>
          </w:tcPr>
          <w:p w14:paraId="43A85293" w14:textId="0D37F264" w:rsidR="003764C5" w:rsidRPr="00B50C5E" w:rsidRDefault="003764C5" w:rsidP="003764C5">
            <w:pPr>
              <w:ind w:right="216"/>
              <w:contextualSpacing/>
              <w:jc w:val="right"/>
              <w:rPr>
                <w:rFonts w:cs="Arial"/>
                <w:color w:val="FF0000"/>
                <w:sz w:val="18"/>
                <w:szCs w:val="18"/>
              </w:rPr>
            </w:pPr>
            <w:r w:rsidRPr="00B50C5E">
              <w:rPr>
                <w:rFonts w:cs="Arial"/>
                <w:color w:val="000000"/>
                <w:sz w:val="18"/>
                <w:szCs w:val="18"/>
              </w:rPr>
              <w:t>65,2</w:t>
            </w:r>
          </w:p>
        </w:tc>
        <w:tc>
          <w:tcPr>
            <w:tcW w:w="1112" w:type="dxa"/>
            <w:vAlign w:val="bottom"/>
            <w:hideMark/>
          </w:tcPr>
          <w:p w14:paraId="2B74ABC4" w14:textId="4DAB7B6B" w:rsidR="003764C5" w:rsidRPr="00B50C5E" w:rsidRDefault="003764C5" w:rsidP="003764C5">
            <w:pPr>
              <w:contextualSpacing/>
              <w:jc w:val="right"/>
              <w:rPr>
                <w:rFonts w:cs="Arial"/>
                <w:color w:val="FF0000"/>
                <w:sz w:val="18"/>
                <w:szCs w:val="18"/>
              </w:rPr>
            </w:pPr>
            <w:r w:rsidRPr="00B50C5E">
              <w:rPr>
                <w:rFonts w:cs="Arial"/>
                <w:color w:val="000000"/>
                <w:sz w:val="18"/>
                <w:szCs w:val="18"/>
              </w:rPr>
              <w:t>40,3</w:t>
            </w:r>
          </w:p>
        </w:tc>
        <w:tc>
          <w:tcPr>
            <w:tcW w:w="1112" w:type="dxa"/>
            <w:vAlign w:val="bottom"/>
            <w:hideMark/>
          </w:tcPr>
          <w:p w14:paraId="35EE5A4A" w14:textId="1C259C71" w:rsidR="003764C5" w:rsidRPr="00B50C5E" w:rsidRDefault="003764C5" w:rsidP="003764C5">
            <w:pPr>
              <w:contextualSpacing/>
              <w:jc w:val="right"/>
              <w:rPr>
                <w:rFonts w:cs="Arial"/>
                <w:color w:val="FF0000"/>
                <w:sz w:val="18"/>
                <w:szCs w:val="18"/>
              </w:rPr>
            </w:pPr>
            <w:r w:rsidRPr="00B50C5E">
              <w:rPr>
                <w:rFonts w:cs="Arial"/>
                <w:color w:val="000000"/>
                <w:sz w:val="18"/>
                <w:szCs w:val="18"/>
              </w:rPr>
              <w:t>38,7</w:t>
            </w:r>
          </w:p>
        </w:tc>
        <w:tc>
          <w:tcPr>
            <w:tcW w:w="1350" w:type="dxa"/>
            <w:shd w:val="clear" w:color="auto" w:fill="BFBFBF"/>
            <w:vAlign w:val="center"/>
            <w:hideMark/>
          </w:tcPr>
          <w:p w14:paraId="140AABCB" w14:textId="1F5C036C" w:rsidR="003764C5" w:rsidRPr="00B50C5E" w:rsidRDefault="003764C5" w:rsidP="003764C5">
            <w:pPr>
              <w:ind w:firstLineChars="100" w:firstLine="180"/>
              <w:contextualSpacing/>
              <w:jc w:val="right"/>
              <w:rPr>
                <w:rFonts w:cs="Arial"/>
                <w:b/>
                <w:bCs/>
                <w:color w:val="FF0000"/>
                <w:sz w:val="18"/>
                <w:szCs w:val="18"/>
              </w:rPr>
            </w:pPr>
            <w:r w:rsidRPr="00B50C5E">
              <w:rPr>
                <w:rFonts w:cs="Arial"/>
                <w:color w:val="000000"/>
                <w:sz w:val="18"/>
                <w:szCs w:val="18"/>
              </w:rPr>
              <w:t>310,0</w:t>
            </w:r>
          </w:p>
        </w:tc>
      </w:tr>
      <w:tr w:rsidR="003764C5" w:rsidRPr="003764C5" w14:paraId="2E52E6D3" w14:textId="77777777" w:rsidTr="00633496">
        <w:trPr>
          <w:trHeight w:val="20"/>
        </w:trPr>
        <w:tc>
          <w:tcPr>
            <w:tcW w:w="1240" w:type="dxa"/>
            <w:vMerge/>
            <w:shd w:val="clear" w:color="auto" w:fill="BFBFBF"/>
            <w:vAlign w:val="center"/>
            <w:hideMark/>
          </w:tcPr>
          <w:p w14:paraId="109FF1E7" w14:textId="77777777" w:rsidR="003764C5" w:rsidRPr="003764C5" w:rsidRDefault="003764C5" w:rsidP="003764C5">
            <w:pPr>
              <w:contextualSpacing/>
              <w:rPr>
                <w:rFonts w:cs="Arial"/>
                <w:b/>
                <w:bCs/>
                <w:sz w:val="18"/>
                <w:szCs w:val="18"/>
              </w:rPr>
            </w:pPr>
          </w:p>
        </w:tc>
        <w:tc>
          <w:tcPr>
            <w:tcW w:w="1014" w:type="dxa"/>
            <w:vAlign w:val="bottom"/>
          </w:tcPr>
          <w:p w14:paraId="630FD9E5" w14:textId="089C0D4F" w:rsidR="003764C5" w:rsidRPr="003764C5" w:rsidRDefault="003764C5" w:rsidP="003764C5">
            <w:pPr>
              <w:contextualSpacing/>
              <w:jc w:val="center"/>
              <w:rPr>
                <w:rFonts w:cs="Arial"/>
                <w:b/>
                <w:sz w:val="18"/>
                <w:szCs w:val="18"/>
              </w:rPr>
            </w:pPr>
            <w:r w:rsidRPr="003764C5">
              <w:rPr>
                <w:rFonts w:cs="Arial"/>
                <w:color w:val="000000"/>
                <w:sz w:val="18"/>
                <w:szCs w:val="18"/>
              </w:rPr>
              <w:t>2025</w:t>
            </w:r>
          </w:p>
        </w:tc>
        <w:tc>
          <w:tcPr>
            <w:tcW w:w="1111" w:type="dxa"/>
            <w:vAlign w:val="center"/>
          </w:tcPr>
          <w:p w14:paraId="7227221F" w14:textId="45000B58" w:rsidR="003764C5" w:rsidRPr="00B50C5E" w:rsidRDefault="003764C5" w:rsidP="003764C5">
            <w:pPr>
              <w:contextualSpacing/>
              <w:jc w:val="right"/>
              <w:rPr>
                <w:rFonts w:cs="Arial"/>
                <w:color w:val="FF0000"/>
                <w:sz w:val="18"/>
                <w:szCs w:val="18"/>
              </w:rPr>
            </w:pPr>
            <w:r w:rsidRPr="00B50C5E">
              <w:rPr>
                <w:rFonts w:cs="Arial"/>
                <w:color w:val="000000"/>
                <w:sz w:val="18"/>
                <w:szCs w:val="18"/>
              </w:rPr>
              <w:t>77,0</w:t>
            </w:r>
          </w:p>
        </w:tc>
        <w:tc>
          <w:tcPr>
            <w:tcW w:w="1112" w:type="dxa"/>
            <w:vAlign w:val="bottom"/>
          </w:tcPr>
          <w:p w14:paraId="6254E9BC" w14:textId="3B1EBEDF" w:rsidR="003764C5" w:rsidRPr="00B50C5E" w:rsidRDefault="003764C5" w:rsidP="003764C5">
            <w:pPr>
              <w:contextualSpacing/>
              <w:jc w:val="right"/>
              <w:rPr>
                <w:rFonts w:cs="Arial"/>
                <w:color w:val="FF0000"/>
                <w:sz w:val="18"/>
                <w:szCs w:val="18"/>
              </w:rPr>
            </w:pPr>
            <w:r w:rsidRPr="00B50C5E">
              <w:rPr>
                <w:rFonts w:cs="Arial"/>
                <w:color w:val="000000"/>
                <w:sz w:val="18"/>
                <w:szCs w:val="18"/>
              </w:rPr>
              <w:t>91,3</w:t>
            </w:r>
          </w:p>
        </w:tc>
        <w:tc>
          <w:tcPr>
            <w:tcW w:w="1111" w:type="dxa"/>
            <w:vAlign w:val="bottom"/>
          </w:tcPr>
          <w:p w14:paraId="6E97AF7B" w14:textId="386C1FA5" w:rsidR="003764C5" w:rsidRPr="00B50C5E" w:rsidRDefault="003764C5" w:rsidP="003764C5">
            <w:pPr>
              <w:ind w:right="216"/>
              <w:contextualSpacing/>
              <w:jc w:val="right"/>
              <w:rPr>
                <w:rFonts w:cs="Arial"/>
                <w:color w:val="FF0000"/>
                <w:sz w:val="18"/>
                <w:szCs w:val="18"/>
              </w:rPr>
            </w:pPr>
            <w:r w:rsidRPr="00B50C5E">
              <w:rPr>
                <w:rFonts w:cs="Arial"/>
                <w:color w:val="000000"/>
                <w:sz w:val="18"/>
                <w:szCs w:val="18"/>
              </w:rPr>
              <w:t>79,4</w:t>
            </w:r>
          </w:p>
        </w:tc>
        <w:tc>
          <w:tcPr>
            <w:tcW w:w="1112" w:type="dxa"/>
            <w:vAlign w:val="bottom"/>
          </w:tcPr>
          <w:p w14:paraId="4C33E7E3" w14:textId="4A4E20A4" w:rsidR="003764C5" w:rsidRPr="00B50C5E" w:rsidRDefault="003764C5" w:rsidP="003764C5">
            <w:pPr>
              <w:contextualSpacing/>
              <w:jc w:val="right"/>
              <w:rPr>
                <w:rFonts w:cs="Arial"/>
                <w:color w:val="FF0000"/>
                <w:sz w:val="18"/>
                <w:szCs w:val="18"/>
              </w:rPr>
            </w:pPr>
            <w:r w:rsidRPr="00B50C5E">
              <w:rPr>
                <w:rFonts w:cs="Arial"/>
                <w:color w:val="000000"/>
                <w:sz w:val="18"/>
                <w:szCs w:val="18"/>
              </w:rPr>
              <w:t>38,6</w:t>
            </w:r>
          </w:p>
        </w:tc>
        <w:tc>
          <w:tcPr>
            <w:tcW w:w="1112" w:type="dxa"/>
            <w:vAlign w:val="bottom"/>
          </w:tcPr>
          <w:p w14:paraId="7E53C002" w14:textId="6BE8C762" w:rsidR="003764C5" w:rsidRPr="00B50C5E" w:rsidRDefault="003764C5" w:rsidP="003764C5">
            <w:pPr>
              <w:contextualSpacing/>
              <w:jc w:val="right"/>
              <w:rPr>
                <w:rFonts w:cs="Arial"/>
                <w:color w:val="FF0000"/>
                <w:sz w:val="18"/>
                <w:szCs w:val="18"/>
              </w:rPr>
            </w:pPr>
            <w:r w:rsidRPr="00B50C5E">
              <w:rPr>
                <w:rFonts w:cs="Arial"/>
                <w:color w:val="000000"/>
                <w:sz w:val="18"/>
                <w:szCs w:val="18"/>
              </w:rPr>
              <w:t>39,4</w:t>
            </w:r>
          </w:p>
        </w:tc>
        <w:tc>
          <w:tcPr>
            <w:tcW w:w="1350" w:type="dxa"/>
            <w:shd w:val="clear" w:color="auto" w:fill="BFBFBF"/>
            <w:vAlign w:val="center"/>
          </w:tcPr>
          <w:p w14:paraId="6DFA170B" w14:textId="1D4289D4" w:rsidR="003764C5" w:rsidRPr="00B50C5E" w:rsidRDefault="003764C5" w:rsidP="003764C5">
            <w:pPr>
              <w:ind w:firstLineChars="100" w:firstLine="180"/>
              <w:contextualSpacing/>
              <w:jc w:val="right"/>
              <w:rPr>
                <w:rFonts w:cs="Arial"/>
                <w:b/>
                <w:bCs/>
                <w:color w:val="FF0000"/>
                <w:sz w:val="18"/>
                <w:szCs w:val="18"/>
              </w:rPr>
            </w:pPr>
            <w:r w:rsidRPr="00B50C5E">
              <w:rPr>
                <w:rFonts w:cs="Arial"/>
                <w:color w:val="000000"/>
                <w:sz w:val="18"/>
                <w:szCs w:val="18"/>
              </w:rPr>
              <w:t>325,7</w:t>
            </w:r>
          </w:p>
        </w:tc>
      </w:tr>
      <w:tr w:rsidR="003764C5" w:rsidRPr="003764C5" w14:paraId="0A80A4B0" w14:textId="77777777" w:rsidTr="00633496">
        <w:trPr>
          <w:trHeight w:val="20"/>
        </w:trPr>
        <w:tc>
          <w:tcPr>
            <w:tcW w:w="1240" w:type="dxa"/>
            <w:vMerge w:val="restart"/>
            <w:shd w:val="clear" w:color="auto" w:fill="BFBFBF"/>
            <w:vAlign w:val="center"/>
            <w:hideMark/>
          </w:tcPr>
          <w:p w14:paraId="3D6E00CC" w14:textId="77777777" w:rsidR="003764C5" w:rsidRPr="003764C5" w:rsidRDefault="003764C5" w:rsidP="003764C5">
            <w:pPr>
              <w:contextualSpacing/>
              <w:rPr>
                <w:rFonts w:cs="Arial"/>
                <w:b/>
                <w:bCs/>
                <w:sz w:val="18"/>
                <w:szCs w:val="18"/>
              </w:rPr>
            </w:pPr>
            <w:r w:rsidRPr="003764C5">
              <w:rPr>
                <w:rFonts w:cs="Arial"/>
                <w:b/>
                <w:bCs/>
                <w:sz w:val="18"/>
                <w:szCs w:val="18"/>
              </w:rPr>
              <w:t>Finanční náklady</w:t>
            </w:r>
          </w:p>
        </w:tc>
        <w:tc>
          <w:tcPr>
            <w:tcW w:w="1014" w:type="dxa"/>
            <w:vAlign w:val="bottom"/>
            <w:hideMark/>
          </w:tcPr>
          <w:p w14:paraId="40216B46" w14:textId="648AF028" w:rsidR="003764C5" w:rsidRPr="003764C5" w:rsidRDefault="003764C5" w:rsidP="003764C5">
            <w:pPr>
              <w:contextualSpacing/>
              <w:jc w:val="center"/>
              <w:rPr>
                <w:rFonts w:cs="Arial"/>
                <w:b/>
                <w:sz w:val="18"/>
                <w:szCs w:val="18"/>
              </w:rPr>
            </w:pPr>
            <w:r w:rsidRPr="003764C5">
              <w:rPr>
                <w:rFonts w:cs="Arial"/>
                <w:color w:val="000000"/>
                <w:sz w:val="18"/>
                <w:szCs w:val="18"/>
              </w:rPr>
              <w:t>2024</w:t>
            </w:r>
          </w:p>
        </w:tc>
        <w:tc>
          <w:tcPr>
            <w:tcW w:w="1111" w:type="dxa"/>
            <w:vAlign w:val="center"/>
            <w:hideMark/>
          </w:tcPr>
          <w:p w14:paraId="5D1D3C1D" w14:textId="55CAA253" w:rsidR="003764C5" w:rsidRPr="00B50C5E" w:rsidRDefault="003764C5" w:rsidP="003764C5">
            <w:pPr>
              <w:contextualSpacing/>
              <w:jc w:val="right"/>
              <w:rPr>
                <w:rFonts w:cs="Arial"/>
                <w:color w:val="FF0000"/>
                <w:sz w:val="18"/>
                <w:szCs w:val="18"/>
              </w:rPr>
            </w:pPr>
            <w:r w:rsidRPr="00B50C5E">
              <w:rPr>
                <w:rFonts w:cs="Arial"/>
                <w:color w:val="000000"/>
                <w:sz w:val="18"/>
                <w:szCs w:val="18"/>
              </w:rPr>
              <w:t>0,4</w:t>
            </w:r>
          </w:p>
        </w:tc>
        <w:tc>
          <w:tcPr>
            <w:tcW w:w="1112" w:type="dxa"/>
            <w:vAlign w:val="bottom"/>
            <w:hideMark/>
          </w:tcPr>
          <w:p w14:paraId="4597FCA7" w14:textId="076A3EC5" w:rsidR="003764C5" w:rsidRPr="00B50C5E" w:rsidRDefault="003764C5" w:rsidP="003764C5">
            <w:pPr>
              <w:contextualSpacing/>
              <w:jc w:val="right"/>
              <w:rPr>
                <w:rFonts w:cs="Arial"/>
                <w:color w:val="FF0000"/>
                <w:sz w:val="18"/>
                <w:szCs w:val="18"/>
              </w:rPr>
            </w:pPr>
            <w:r w:rsidRPr="00B50C5E">
              <w:rPr>
                <w:rFonts w:cs="Arial"/>
                <w:color w:val="000000"/>
                <w:sz w:val="18"/>
                <w:szCs w:val="18"/>
              </w:rPr>
              <w:t>0,3</w:t>
            </w:r>
          </w:p>
        </w:tc>
        <w:tc>
          <w:tcPr>
            <w:tcW w:w="1111" w:type="dxa"/>
            <w:vAlign w:val="bottom"/>
            <w:hideMark/>
          </w:tcPr>
          <w:p w14:paraId="72C45D85" w14:textId="41064670" w:rsidR="003764C5" w:rsidRPr="00B50C5E" w:rsidRDefault="003764C5" w:rsidP="003764C5">
            <w:pPr>
              <w:ind w:right="216"/>
              <w:contextualSpacing/>
              <w:jc w:val="right"/>
              <w:rPr>
                <w:rFonts w:cs="Arial"/>
                <w:color w:val="FF0000"/>
                <w:sz w:val="18"/>
                <w:szCs w:val="18"/>
              </w:rPr>
            </w:pPr>
            <w:r w:rsidRPr="00B50C5E">
              <w:rPr>
                <w:rFonts w:cs="Arial"/>
                <w:color w:val="000000"/>
                <w:sz w:val="18"/>
                <w:szCs w:val="18"/>
              </w:rPr>
              <w:t>0,4</w:t>
            </w:r>
          </w:p>
        </w:tc>
        <w:tc>
          <w:tcPr>
            <w:tcW w:w="1112" w:type="dxa"/>
            <w:vAlign w:val="bottom"/>
            <w:hideMark/>
          </w:tcPr>
          <w:p w14:paraId="7244A2C3" w14:textId="43300C5D" w:rsidR="003764C5" w:rsidRPr="00B50C5E" w:rsidRDefault="003764C5" w:rsidP="003764C5">
            <w:pPr>
              <w:contextualSpacing/>
              <w:jc w:val="right"/>
              <w:rPr>
                <w:rFonts w:cs="Arial"/>
                <w:color w:val="FF0000"/>
                <w:sz w:val="18"/>
                <w:szCs w:val="18"/>
              </w:rPr>
            </w:pPr>
            <w:r w:rsidRPr="00B50C5E">
              <w:rPr>
                <w:rFonts w:cs="Arial"/>
                <w:color w:val="000000"/>
                <w:sz w:val="18"/>
                <w:szCs w:val="18"/>
              </w:rPr>
              <w:t>0,1</w:t>
            </w:r>
          </w:p>
        </w:tc>
        <w:tc>
          <w:tcPr>
            <w:tcW w:w="1112" w:type="dxa"/>
            <w:vAlign w:val="bottom"/>
            <w:hideMark/>
          </w:tcPr>
          <w:p w14:paraId="4E24FEF6" w14:textId="1B371DB4" w:rsidR="003764C5" w:rsidRPr="00B50C5E" w:rsidRDefault="003764C5" w:rsidP="003764C5">
            <w:pPr>
              <w:contextualSpacing/>
              <w:jc w:val="right"/>
              <w:rPr>
                <w:rFonts w:cs="Arial"/>
                <w:color w:val="FF0000"/>
                <w:sz w:val="18"/>
                <w:szCs w:val="18"/>
              </w:rPr>
            </w:pPr>
            <w:r w:rsidRPr="00B50C5E">
              <w:rPr>
                <w:rFonts w:cs="Arial"/>
                <w:color w:val="000000"/>
                <w:sz w:val="18"/>
                <w:szCs w:val="18"/>
              </w:rPr>
              <w:t>0,2</w:t>
            </w:r>
          </w:p>
        </w:tc>
        <w:tc>
          <w:tcPr>
            <w:tcW w:w="1350" w:type="dxa"/>
            <w:shd w:val="clear" w:color="auto" w:fill="BFBFBF"/>
            <w:vAlign w:val="center"/>
            <w:hideMark/>
          </w:tcPr>
          <w:p w14:paraId="7C560166" w14:textId="120FC64F" w:rsidR="003764C5" w:rsidRPr="00B50C5E" w:rsidRDefault="003764C5" w:rsidP="003764C5">
            <w:pPr>
              <w:ind w:firstLineChars="100" w:firstLine="180"/>
              <w:contextualSpacing/>
              <w:jc w:val="right"/>
              <w:rPr>
                <w:rFonts w:cs="Arial"/>
                <w:b/>
                <w:bCs/>
                <w:color w:val="FF0000"/>
                <w:sz w:val="18"/>
                <w:szCs w:val="18"/>
              </w:rPr>
            </w:pPr>
            <w:r w:rsidRPr="00B50C5E">
              <w:rPr>
                <w:rFonts w:cs="Arial"/>
                <w:color w:val="000000"/>
                <w:sz w:val="18"/>
                <w:szCs w:val="18"/>
              </w:rPr>
              <w:t>2,1</w:t>
            </w:r>
          </w:p>
        </w:tc>
      </w:tr>
      <w:tr w:rsidR="003764C5" w:rsidRPr="003764C5" w14:paraId="563B8C4B" w14:textId="77777777" w:rsidTr="00633496">
        <w:trPr>
          <w:trHeight w:val="20"/>
        </w:trPr>
        <w:tc>
          <w:tcPr>
            <w:tcW w:w="1240" w:type="dxa"/>
            <w:vMerge/>
            <w:shd w:val="clear" w:color="auto" w:fill="BFBFBF"/>
            <w:vAlign w:val="center"/>
            <w:hideMark/>
          </w:tcPr>
          <w:p w14:paraId="043AA685" w14:textId="77777777" w:rsidR="003764C5" w:rsidRPr="003764C5" w:rsidRDefault="003764C5" w:rsidP="003764C5">
            <w:pPr>
              <w:contextualSpacing/>
              <w:rPr>
                <w:rFonts w:cs="Arial"/>
                <w:b/>
                <w:bCs/>
                <w:sz w:val="18"/>
                <w:szCs w:val="18"/>
              </w:rPr>
            </w:pPr>
          </w:p>
        </w:tc>
        <w:tc>
          <w:tcPr>
            <w:tcW w:w="1014" w:type="dxa"/>
            <w:vAlign w:val="bottom"/>
          </w:tcPr>
          <w:p w14:paraId="5912E0BB" w14:textId="269F75C9" w:rsidR="003764C5" w:rsidRPr="003764C5" w:rsidRDefault="003764C5" w:rsidP="003764C5">
            <w:pPr>
              <w:contextualSpacing/>
              <w:jc w:val="center"/>
              <w:rPr>
                <w:rFonts w:cs="Arial"/>
                <w:b/>
                <w:sz w:val="18"/>
                <w:szCs w:val="18"/>
              </w:rPr>
            </w:pPr>
            <w:r w:rsidRPr="003764C5">
              <w:rPr>
                <w:rFonts w:cs="Arial"/>
                <w:color w:val="000000"/>
                <w:sz w:val="18"/>
                <w:szCs w:val="18"/>
              </w:rPr>
              <w:t>2025</w:t>
            </w:r>
          </w:p>
        </w:tc>
        <w:tc>
          <w:tcPr>
            <w:tcW w:w="1111" w:type="dxa"/>
            <w:vAlign w:val="center"/>
          </w:tcPr>
          <w:p w14:paraId="44444A6A" w14:textId="31450013" w:rsidR="003764C5" w:rsidRPr="00B50C5E" w:rsidRDefault="003764C5" w:rsidP="003764C5">
            <w:pPr>
              <w:contextualSpacing/>
              <w:jc w:val="right"/>
              <w:rPr>
                <w:rFonts w:cs="Arial"/>
                <w:color w:val="FF0000"/>
                <w:sz w:val="18"/>
                <w:szCs w:val="18"/>
              </w:rPr>
            </w:pPr>
            <w:r w:rsidRPr="00B50C5E">
              <w:rPr>
                <w:rFonts w:cs="Arial"/>
                <w:color w:val="000000"/>
                <w:sz w:val="18"/>
                <w:szCs w:val="18"/>
              </w:rPr>
              <w:t>0,4</w:t>
            </w:r>
          </w:p>
        </w:tc>
        <w:tc>
          <w:tcPr>
            <w:tcW w:w="1112" w:type="dxa"/>
            <w:vAlign w:val="bottom"/>
          </w:tcPr>
          <w:p w14:paraId="0AE78E3E" w14:textId="615118E8" w:rsidR="003764C5" w:rsidRPr="00B50C5E" w:rsidRDefault="003764C5" w:rsidP="003764C5">
            <w:pPr>
              <w:contextualSpacing/>
              <w:jc w:val="right"/>
              <w:rPr>
                <w:rFonts w:cs="Arial"/>
                <w:color w:val="FF0000"/>
                <w:sz w:val="18"/>
                <w:szCs w:val="18"/>
              </w:rPr>
            </w:pPr>
            <w:r w:rsidRPr="00B50C5E">
              <w:rPr>
                <w:rFonts w:cs="Arial"/>
                <w:color w:val="000000"/>
                <w:sz w:val="18"/>
                <w:szCs w:val="18"/>
              </w:rPr>
              <w:t>0,9</w:t>
            </w:r>
          </w:p>
        </w:tc>
        <w:tc>
          <w:tcPr>
            <w:tcW w:w="1111" w:type="dxa"/>
            <w:vAlign w:val="bottom"/>
          </w:tcPr>
          <w:p w14:paraId="704889CE" w14:textId="3C977089" w:rsidR="003764C5" w:rsidRPr="00B50C5E" w:rsidRDefault="003764C5" w:rsidP="003764C5">
            <w:pPr>
              <w:ind w:right="216"/>
              <w:contextualSpacing/>
              <w:jc w:val="right"/>
              <w:rPr>
                <w:rFonts w:cs="Arial"/>
                <w:color w:val="FF0000"/>
                <w:sz w:val="18"/>
                <w:szCs w:val="18"/>
              </w:rPr>
            </w:pPr>
            <w:r w:rsidRPr="00B50C5E">
              <w:rPr>
                <w:rFonts w:cs="Arial"/>
                <w:color w:val="000000"/>
                <w:sz w:val="18"/>
                <w:szCs w:val="18"/>
              </w:rPr>
              <w:t>0,4</w:t>
            </w:r>
          </w:p>
        </w:tc>
        <w:tc>
          <w:tcPr>
            <w:tcW w:w="1112" w:type="dxa"/>
            <w:vAlign w:val="bottom"/>
          </w:tcPr>
          <w:p w14:paraId="29DBA743" w14:textId="5D2FC919" w:rsidR="003764C5" w:rsidRPr="00B50C5E" w:rsidRDefault="003764C5" w:rsidP="003764C5">
            <w:pPr>
              <w:contextualSpacing/>
              <w:jc w:val="right"/>
              <w:rPr>
                <w:rFonts w:cs="Arial"/>
                <w:color w:val="000000" w:themeColor="text1"/>
                <w:sz w:val="18"/>
                <w:szCs w:val="18"/>
              </w:rPr>
            </w:pPr>
            <w:r w:rsidRPr="00B50C5E">
              <w:rPr>
                <w:rFonts w:cs="Arial"/>
                <w:sz w:val="18"/>
                <w:szCs w:val="18"/>
              </w:rPr>
              <w:t>0,100</w:t>
            </w:r>
          </w:p>
        </w:tc>
        <w:tc>
          <w:tcPr>
            <w:tcW w:w="1112" w:type="dxa"/>
            <w:vAlign w:val="bottom"/>
          </w:tcPr>
          <w:p w14:paraId="6AAC7FE4" w14:textId="52A25686" w:rsidR="003764C5" w:rsidRPr="00B50C5E" w:rsidRDefault="003764C5" w:rsidP="003764C5">
            <w:pPr>
              <w:contextualSpacing/>
              <w:jc w:val="right"/>
              <w:rPr>
                <w:rFonts w:cs="Arial"/>
                <w:color w:val="000000" w:themeColor="text1"/>
                <w:sz w:val="18"/>
                <w:szCs w:val="18"/>
              </w:rPr>
            </w:pPr>
            <w:r w:rsidRPr="00B50C5E">
              <w:rPr>
                <w:rFonts w:cs="Arial"/>
                <w:color w:val="000000"/>
                <w:sz w:val="18"/>
                <w:szCs w:val="18"/>
              </w:rPr>
              <w:t>0,9</w:t>
            </w:r>
          </w:p>
        </w:tc>
        <w:tc>
          <w:tcPr>
            <w:tcW w:w="1350" w:type="dxa"/>
            <w:shd w:val="clear" w:color="auto" w:fill="BFBFBF"/>
            <w:vAlign w:val="center"/>
          </w:tcPr>
          <w:p w14:paraId="76B343C3" w14:textId="3D78C656" w:rsidR="003764C5" w:rsidRPr="00B50C5E" w:rsidRDefault="003764C5" w:rsidP="003764C5">
            <w:pPr>
              <w:ind w:firstLineChars="100" w:firstLine="180"/>
              <w:contextualSpacing/>
              <w:jc w:val="right"/>
              <w:rPr>
                <w:rFonts w:cs="Arial"/>
                <w:b/>
                <w:bCs/>
                <w:color w:val="FF0000"/>
                <w:sz w:val="18"/>
                <w:szCs w:val="18"/>
              </w:rPr>
            </w:pPr>
            <w:r w:rsidRPr="00B50C5E">
              <w:rPr>
                <w:rFonts w:cs="Arial"/>
                <w:color w:val="000000"/>
                <w:sz w:val="18"/>
                <w:szCs w:val="18"/>
              </w:rPr>
              <w:t>2,7</w:t>
            </w:r>
          </w:p>
        </w:tc>
      </w:tr>
      <w:tr w:rsidR="003764C5" w:rsidRPr="003764C5" w14:paraId="69E22812" w14:textId="77777777" w:rsidTr="00633496">
        <w:trPr>
          <w:trHeight w:val="20"/>
        </w:trPr>
        <w:tc>
          <w:tcPr>
            <w:tcW w:w="1240" w:type="dxa"/>
            <w:vMerge w:val="restart"/>
            <w:shd w:val="clear" w:color="auto" w:fill="BFBFBF"/>
            <w:vAlign w:val="center"/>
            <w:hideMark/>
          </w:tcPr>
          <w:p w14:paraId="45820E36" w14:textId="77777777" w:rsidR="003764C5" w:rsidRPr="003764C5" w:rsidRDefault="003764C5" w:rsidP="003764C5">
            <w:pPr>
              <w:contextualSpacing/>
              <w:rPr>
                <w:rFonts w:cs="Arial"/>
                <w:b/>
                <w:bCs/>
                <w:sz w:val="18"/>
                <w:szCs w:val="18"/>
              </w:rPr>
            </w:pPr>
            <w:r w:rsidRPr="003764C5">
              <w:rPr>
                <w:rFonts w:cs="Arial"/>
                <w:b/>
                <w:bCs/>
                <w:sz w:val="18"/>
                <w:szCs w:val="18"/>
              </w:rPr>
              <w:t>Ostatní náklady</w:t>
            </w:r>
          </w:p>
        </w:tc>
        <w:tc>
          <w:tcPr>
            <w:tcW w:w="1014" w:type="dxa"/>
            <w:vAlign w:val="bottom"/>
            <w:hideMark/>
          </w:tcPr>
          <w:p w14:paraId="2967F5DA" w14:textId="6B11F1F9" w:rsidR="003764C5" w:rsidRPr="003764C5" w:rsidRDefault="003764C5" w:rsidP="003764C5">
            <w:pPr>
              <w:contextualSpacing/>
              <w:jc w:val="center"/>
              <w:rPr>
                <w:rFonts w:cs="Arial"/>
                <w:b/>
                <w:sz w:val="18"/>
                <w:szCs w:val="18"/>
              </w:rPr>
            </w:pPr>
            <w:r w:rsidRPr="003764C5">
              <w:rPr>
                <w:rFonts w:cs="Arial"/>
                <w:color w:val="000000"/>
                <w:sz w:val="18"/>
                <w:szCs w:val="18"/>
              </w:rPr>
              <w:t>2024</w:t>
            </w:r>
          </w:p>
        </w:tc>
        <w:tc>
          <w:tcPr>
            <w:tcW w:w="1111" w:type="dxa"/>
            <w:vAlign w:val="center"/>
            <w:hideMark/>
          </w:tcPr>
          <w:p w14:paraId="144F6392" w14:textId="132DEFB2" w:rsidR="003764C5" w:rsidRPr="00B50C5E" w:rsidRDefault="003764C5" w:rsidP="003764C5">
            <w:pPr>
              <w:contextualSpacing/>
              <w:jc w:val="right"/>
              <w:rPr>
                <w:rFonts w:cs="Arial"/>
                <w:color w:val="FF0000"/>
                <w:sz w:val="18"/>
                <w:szCs w:val="18"/>
              </w:rPr>
            </w:pPr>
            <w:r w:rsidRPr="00B50C5E">
              <w:rPr>
                <w:rFonts w:cs="Arial"/>
                <w:color w:val="000000"/>
                <w:sz w:val="18"/>
                <w:szCs w:val="18"/>
              </w:rPr>
              <w:t>52,3</w:t>
            </w:r>
          </w:p>
        </w:tc>
        <w:tc>
          <w:tcPr>
            <w:tcW w:w="1112" w:type="dxa"/>
            <w:vAlign w:val="bottom"/>
            <w:hideMark/>
          </w:tcPr>
          <w:p w14:paraId="44AB946E" w14:textId="1CC73F5C" w:rsidR="003764C5" w:rsidRPr="00B50C5E" w:rsidRDefault="003764C5" w:rsidP="003764C5">
            <w:pPr>
              <w:contextualSpacing/>
              <w:jc w:val="right"/>
              <w:rPr>
                <w:rFonts w:cs="Arial"/>
                <w:color w:val="FF0000"/>
                <w:sz w:val="18"/>
                <w:szCs w:val="18"/>
              </w:rPr>
            </w:pPr>
            <w:r w:rsidRPr="00B50C5E">
              <w:rPr>
                <w:rFonts w:cs="Arial"/>
                <w:color w:val="000000"/>
                <w:sz w:val="18"/>
                <w:szCs w:val="18"/>
              </w:rPr>
              <w:t>92,9</w:t>
            </w:r>
          </w:p>
        </w:tc>
        <w:tc>
          <w:tcPr>
            <w:tcW w:w="1111" w:type="dxa"/>
            <w:vAlign w:val="bottom"/>
            <w:hideMark/>
          </w:tcPr>
          <w:p w14:paraId="056A293D" w14:textId="1970FAF5" w:rsidR="003764C5" w:rsidRPr="00B50C5E" w:rsidRDefault="003764C5" w:rsidP="003764C5">
            <w:pPr>
              <w:ind w:right="216"/>
              <w:contextualSpacing/>
              <w:jc w:val="right"/>
              <w:rPr>
                <w:rFonts w:cs="Arial"/>
                <w:color w:val="FF0000"/>
                <w:sz w:val="18"/>
                <w:szCs w:val="18"/>
                <w:vertAlign w:val="superscript"/>
              </w:rPr>
            </w:pPr>
            <w:r w:rsidRPr="00B50C5E">
              <w:rPr>
                <w:rFonts w:cs="Arial"/>
                <w:color w:val="000000"/>
                <w:sz w:val="18"/>
                <w:szCs w:val="18"/>
              </w:rPr>
              <w:t>43,7</w:t>
            </w:r>
          </w:p>
        </w:tc>
        <w:tc>
          <w:tcPr>
            <w:tcW w:w="1112" w:type="dxa"/>
            <w:vAlign w:val="bottom"/>
            <w:hideMark/>
          </w:tcPr>
          <w:p w14:paraId="54BCC481" w14:textId="3A6E2859" w:rsidR="003764C5" w:rsidRPr="00B50C5E" w:rsidRDefault="003764C5" w:rsidP="003764C5">
            <w:pPr>
              <w:contextualSpacing/>
              <w:jc w:val="right"/>
              <w:rPr>
                <w:rFonts w:cs="Arial"/>
                <w:color w:val="FF0000"/>
                <w:sz w:val="18"/>
                <w:szCs w:val="18"/>
              </w:rPr>
            </w:pPr>
            <w:r w:rsidRPr="00B50C5E">
              <w:rPr>
                <w:rFonts w:cs="Arial"/>
                <w:color w:val="000000"/>
                <w:sz w:val="18"/>
                <w:szCs w:val="18"/>
              </w:rPr>
              <w:t>217,2</w:t>
            </w:r>
          </w:p>
        </w:tc>
        <w:tc>
          <w:tcPr>
            <w:tcW w:w="1112" w:type="dxa"/>
            <w:vAlign w:val="bottom"/>
            <w:hideMark/>
          </w:tcPr>
          <w:p w14:paraId="68CB5D4E" w14:textId="60C53849" w:rsidR="003764C5" w:rsidRPr="00B50C5E" w:rsidRDefault="003764C5" w:rsidP="003764C5">
            <w:pPr>
              <w:contextualSpacing/>
              <w:jc w:val="right"/>
              <w:rPr>
                <w:rFonts w:cs="Arial"/>
                <w:color w:val="FF0000"/>
                <w:sz w:val="18"/>
                <w:szCs w:val="18"/>
              </w:rPr>
            </w:pPr>
            <w:r w:rsidRPr="00B50C5E">
              <w:rPr>
                <w:rFonts w:cs="Arial"/>
                <w:color w:val="000000"/>
                <w:sz w:val="18"/>
                <w:szCs w:val="18"/>
              </w:rPr>
              <w:t>-31,7</w:t>
            </w:r>
          </w:p>
        </w:tc>
        <w:tc>
          <w:tcPr>
            <w:tcW w:w="1350" w:type="dxa"/>
            <w:shd w:val="clear" w:color="auto" w:fill="BFBFBF"/>
            <w:vAlign w:val="center"/>
            <w:hideMark/>
          </w:tcPr>
          <w:p w14:paraId="5CC76E5F" w14:textId="5C7260F9" w:rsidR="003764C5" w:rsidRPr="00B50C5E" w:rsidRDefault="003764C5" w:rsidP="003764C5">
            <w:pPr>
              <w:ind w:firstLineChars="100" w:firstLine="180"/>
              <w:contextualSpacing/>
              <w:jc w:val="right"/>
              <w:rPr>
                <w:rFonts w:cs="Arial"/>
                <w:b/>
                <w:bCs/>
                <w:color w:val="FF0000"/>
                <w:sz w:val="18"/>
                <w:szCs w:val="18"/>
              </w:rPr>
            </w:pPr>
            <w:r w:rsidRPr="00B50C5E">
              <w:rPr>
                <w:rFonts w:cs="Arial"/>
                <w:color w:val="000000"/>
                <w:sz w:val="18"/>
                <w:szCs w:val="18"/>
              </w:rPr>
              <w:t>374,4</w:t>
            </w:r>
          </w:p>
        </w:tc>
      </w:tr>
      <w:tr w:rsidR="003764C5" w:rsidRPr="003764C5" w14:paraId="41DF5486" w14:textId="77777777" w:rsidTr="00633496">
        <w:trPr>
          <w:trHeight w:val="20"/>
        </w:trPr>
        <w:tc>
          <w:tcPr>
            <w:tcW w:w="1240" w:type="dxa"/>
            <w:vMerge/>
            <w:shd w:val="clear" w:color="auto" w:fill="BFBFBF"/>
            <w:vAlign w:val="center"/>
            <w:hideMark/>
          </w:tcPr>
          <w:p w14:paraId="24283A85" w14:textId="77777777" w:rsidR="003764C5" w:rsidRPr="003764C5" w:rsidRDefault="003764C5" w:rsidP="003764C5">
            <w:pPr>
              <w:contextualSpacing/>
              <w:rPr>
                <w:rFonts w:cs="Arial"/>
                <w:b/>
                <w:bCs/>
                <w:sz w:val="18"/>
                <w:szCs w:val="18"/>
              </w:rPr>
            </w:pPr>
          </w:p>
        </w:tc>
        <w:tc>
          <w:tcPr>
            <w:tcW w:w="1014" w:type="dxa"/>
            <w:vAlign w:val="bottom"/>
          </w:tcPr>
          <w:p w14:paraId="3659BD16" w14:textId="193D091D" w:rsidR="003764C5" w:rsidRPr="003764C5" w:rsidRDefault="003764C5" w:rsidP="003764C5">
            <w:pPr>
              <w:contextualSpacing/>
              <w:jc w:val="center"/>
              <w:rPr>
                <w:rFonts w:cs="Arial"/>
                <w:b/>
                <w:sz w:val="18"/>
                <w:szCs w:val="18"/>
              </w:rPr>
            </w:pPr>
            <w:r w:rsidRPr="003764C5">
              <w:rPr>
                <w:rFonts w:cs="Arial"/>
                <w:color w:val="000000"/>
                <w:sz w:val="18"/>
                <w:szCs w:val="18"/>
              </w:rPr>
              <w:t>2025</w:t>
            </w:r>
          </w:p>
        </w:tc>
        <w:tc>
          <w:tcPr>
            <w:tcW w:w="1111" w:type="dxa"/>
            <w:vAlign w:val="center"/>
          </w:tcPr>
          <w:p w14:paraId="2BB7B462" w14:textId="1343A77A" w:rsidR="003764C5" w:rsidRPr="00B50C5E" w:rsidRDefault="003764C5" w:rsidP="003764C5">
            <w:pPr>
              <w:contextualSpacing/>
              <w:jc w:val="right"/>
              <w:rPr>
                <w:rFonts w:cs="Arial"/>
                <w:color w:val="FF0000"/>
                <w:sz w:val="18"/>
                <w:szCs w:val="18"/>
              </w:rPr>
            </w:pPr>
            <w:r w:rsidRPr="00B50C5E">
              <w:rPr>
                <w:rFonts w:cs="Arial"/>
                <w:color w:val="000000"/>
                <w:sz w:val="18"/>
                <w:szCs w:val="18"/>
              </w:rPr>
              <w:t>56,2</w:t>
            </w:r>
          </w:p>
        </w:tc>
        <w:tc>
          <w:tcPr>
            <w:tcW w:w="1112" w:type="dxa"/>
            <w:vAlign w:val="bottom"/>
          </w:tcPr>
          <w:p w14:paraId="418FE0B4" w14:textId="394B9AF7" w:rsidR="003764C5" w:rsidRPr="00B50C5E" w:rsidRDefault="003764C5" w:rsidP="003764C5">
            <w:pPr>
              <w:contextualSpacing/>
              <w:jc w:val="right"/>
              <w:rPr>
                <w:rFonts w:cs="Arial"/>
                <w:color w:val="FF0000"/>
                <w:sz w:val="18"/>
                <w:szCs w:val="18"/>
              </w:rPr>
            </w:pPr>
            <w:r w:rsidRPr="00B50C5E">
              <w:rPr>
                <w:rFonts w:cs="Arial"/>
                <w:color w:val="000000"/>
                <w:sz w:val="18"/>
                <w:szCs w:val="18"/>
              </w:rPr>
              <w:t>62,3</w:t>
            </w:r>
          </w:p>
        </w:tc>
        <w:tc>
          <w:tcPr>
            <w:tcW w:w="1111" w:type="dxa"/>
            <w:vAlign w:val="bottom"/>
          </w:tcPr>
          <w:p w14:paraId="47AC2FB5" w14:textId="13E59F31" w:rsidR="003764C5" w:rsidRPr="00B50C5E" w:rsidRDefault="003764C5" w:rsidP="003764C5">
            <w:pPr>
              <w:ind w:right="36"/>
              <w:contextualSpacing/>
              <w:jc w:val="center"/>
              <w:rPr>
                <w:rFonts w:cs="Arial"/>
                <w:color w:val="FF0000"/>
                <w:sz w:val="18"/>
                <w:szCs w:val="18"/>
              </w:rPr>
            </w:pPr>
            <w:r w:rsidRPr="00B50C5E">
              <w:rPr>
                <w:rFonts w:cs="Arial"/>
                <w:color w:val="000000"/>
                <w:sz w:val="18"/>
                <w:szCs w:val="18"/>
              </w:rPr>
              <w:t>28,3</w:t>
            </w:r>
          </w:p>
        </w:tc>
        <w:tc>
          <w:tcPr>
            <w:tcW w:w="1112" w:type="dxa"/>
            <w:vAlign w:val="bottom"/>
          </w:tcPr>
          <w:p w14:paraId="33AF162F" w14:textId="328BA182" w:rsidR="003764C5" w:rsidRPr="00B50C5E" w:rsidRDefault="003764C5" w:rsidP="003764C5">
            <w:pPr>
              <w:contextualSpacing/>
              <w:jc w:val="right"/>
              <w:rPr>
                <w:rFonts w:cs="Arial"/>
                <w:color w:val="FF0000"/>
                <w:sz w:val="18"/>
                <w:szCs w:val="18"/>
              </w:rPr>
            </w:pPr>
            <w:r w:rsidRPr="00B50C5E">
              <w:rPr>
                <w:rFonts w:cs="Arial"/>
                <w:color w:val="000000"/>
                <w:sz w:val="18"/>
                <w:szCs w:val="18"/>
              </w:rPr>
              <w:t>-11,9</w:t>
            </w:r>
          </w:p>
        </w:tc>
        <w:tc>
          <w:tcPr>
            <w:tcW w:w="1112" w:type="dxa"/>
            <w:vAlign w:val="bottom"/>
          </w:tcPr>
          <w:p w14:paraId="5EF2E456" w14:textId="254CBA79" w:rsidR="003764C5" w:rsidRPr="00B50C5E" w:rsidRDefault="003764C5" w:rsidP="003764C5">
            <w:pPr>
              <w:contextualSpacing/>
              <w:jc w:val="right"/>
              <w:rPr>
                <w:rFonts w:cs="Arial"/>
                <w:color w:val="FF0000"/>
                <w:sz w:val="18"/>
                <w:szCs w:val="18"/>
              </w:rPr>
            </w:pPr>
            <w:r w:rsidRPr="00B50C5E">
              <w:rPr>
                <w:rFonts w:cs="Arial"/>
                <w:color w:val="000000"/>
                <w:sz w:val="18"/>
                <w:szCs w:val="18"/>
              </w:rPr>
              <w:t>12,7</w:t>
            </w:r>
          </w:p>
        </w:tc>
        <w:tc>
          <w:tcPr>
            <w:tcW w:w="1350" w:type="dxa"/>
            <w:shd w:val="clear" w:color="auto" w:fill="BFBFBF"/>
            <w:vAlign w:val="center"/>
          </w:tcPr>
          <w:p w14:paraId="272E9A39" w14:textId="401F80BC" w:rsidR="003764C5" w:rsidRPr="00B50C5E" w:rsidRDefault="003764C5" w:rsidP="003764C5">
            <w:pPr>
              <w:ind w:firstLineChars="100" w:firstLine="180"/>
              <w:contextualSpacing/>
              <w:jc w:val="right"/>
              <w:rPr>
                <w:rFonts w:cs="Arial"/>
                <w:b/>
                <w:bCs/>
                <w:color w:val="FF0000"/>
                <w:sz w:val="18"/>
                <w:szCs w:val="18"/>
              </w:rPr>
            </w:pPr>
            <w:r w:rsidRPr="00B50C5E">
              <w:rPr>
                <w:rFonts w:cs="Arial"/>
                <w:color w:val="000000"/>
                <w:sz w:val="18"/>
                <w:szCs w:val="18"/>
              </w:rPr>
              <w:t>147,6</w:t>
            </w:r>
          </w:p>
        </w:tc>
      </w:tr>
      <w:tr w:rsidR="003764C5" w:rsidRPr="003764C5" w14:paraId="78642632" w14:textId="77777777" w:rsidTr="00633496">
        <w:trPr>
          <w:trHeight w:val="20"/>
        </w:trPr>
        <w:tc>
          <w:tcPr>
            <w:tcW w:w="1240" w:type="dxa"/>
            <w:vMerge w:val="restart"/>
            <w:shd w:val="clear" w:color="auto" w:fill="BFBFBF"/>
            <w:vAlign w:val="center"/>
            <w:hideMark/>
          </w:tcPr>
          <w:p w14:paraId="2FBA6E06" w14:textId="77777777" w:rsidR="003764C5" w:rsidRPr="003764C5" w:rsidRDefault="003764C5" w:rsidP="003764C5">
            <w:pPr>
              <w:contextualSpacing/>
              <w:rPr>
                <w:rFonts w:cs="Arial"/>
                <w:b/>
                <w:bCs/>
                <w:sz w:val="18"/>
                <w:szCs w:val="18"/>
              </w:rPr>
            </w:pPr>
            <w:r w:rsidRPr="003764C5">
              <w:rPr>
                <w:rFonts w:cs="Arial"/>
                <w:b/>
                <w:bCs/>
                <w:sz w:val="18"/>
                <w:szCs w:val="18"/>
              </w:rPr>
              <w:t>Náklady celkem</w:t>
            </w:r>
          </w:p>
        </w:tc>
        <w:tc>
          <w:tcPr>
            <w:tcW w:w="1014" w:type="dxa"/>
            <w:shd w:val="clear" w:color="auto" w:fill="BFBFBF"/>
            <w:vAlign w:val="bottom"/>
            <w:hideMark/>
          </w:tcPr>
          <w:p w14:paraId="1E1BB1C0" w14:textId="293E4838" w:rsidR="003764C5" w:rsidRPr="003764C5" w:rsidRDefault="003764C5" w:rsidP="003764C5">
            <w:pPr>
              <w:contextualSpacing/>
              <w:jc w:val="center"/>
              <w:rPr>
                <w:rFonts w:cs="Arial"/>
                <w:b/>
                <w:bCs/>
                <w:sz w:val="18"/>
                <w:szCs w:val="18"/>
              </w:rPr>
            </w:pPr>
            <w:r w:rsidRPr="003764C5">
              <w:rPr>
                <w:rFonts w:cs="Arial"/>
                <w:color w:val="000000"/>
                <w:sz w:val="18"/>
                <w:szCs w:val="18"/>
              </w:rPr>
              <w:t>2024</w:t>
            </w:r>
          </w:p>
        </w:tc>
        <w:tc>
          <w:tcPr>
            <w:tcW w:w="1111" w:type="dxa"/>
            <w:shd w:val="clear" w:color="auto" w:fill="BFBFBF"/>
            <w:vAlign w:val="bottom"/>
            <w:hideMark/>
          </w:tcPr>
          <w:p w14:paraId="277ED6DD" w14:textId="1F901557" w:rsidR="003764C5" w:rsidRPr="00B50C5E" w:rsidRDefault="003764C5" w:rsidP="003764C5">
            <w:pPr>
              <w:contextualSpacing/>
              <w:jc w:val="right"/>
              <w:rPr>
                <w:rFonts w:cs="Arial"/>
                <w:b/>
                <w:bCs/>
                <w:color w:val="FF0000"/>
                <w:sz w:val="18"/>
                <w:szCs w:val="18"/>
              </w:rPr>
            </w:pPr>
            <w:r w:rsidRPr="00B50C5E">
              <w:rPr>
                <w:rFonts w:cs="Arial"/>
                <w:b/>
                <w:bCs/>
                <w:color w:val="000000"/>
                <w:sz w:val="18"/>
                <w:szCs w:val="18"/>
              </w:rPr>
              <w:t>1</w:t>
            </w:r>
            <w:r w:rsidR="00A4434D" w:rsidRPr="00B50C5E">
              <w:rPr>
                <w:rFonts w:cs="Arial"/>
                <w:b/>
                <w:bCs/>
                <w:color w:val="000000"/>
                <w:sz w:val="18"/>
                <w:szCs w:val="18"/>
              </w:rPr>
              <w:t xml:space="preserve"> </w:t>
            </w:r>
            <w:r w:rsidRPr="00B50C5E">
              <w:rPr>
                <w:rFonts w:cs="Arial"/>
                <w:b/>
                <w:bCs/>
                <w:color w:val="000000"/>
                <w:sz w:val="18"/>
                <w:szCs w:val="18"/>
              </w:rPr>
              <w:t>307,0</w:t>
            </w:r>
          </w:p>
        </w:tc>
        <w:tc>
          <w:tcPr>
            <w:tcW w:w="1112" w:type="dxa"/>
            <w:shd w:val="clear" w:color="auto" w:fill="BFBFBF"/>
            <w:vAlign w:val="bottom"/>
            <w:hideMark/>
          </w:tcPr>
          <w:p w14:paraId="48059408" w14:textId="168E3733" w:rsidR="003764C5" w:rsidRPr="00B50C5E" w:rsidRDefault="003764C5" w:rsidP="003764C5">
            <w:pPr>
              <w:contextualSpacing/>
              <w:jc w:val="right"/>
              <w:rPr>
                <w:rFonts w:cs="Arial"/>
                <w:b/>
                <w:color w:val="FF0000"/>
                <w:sz w:val="18"/>
                <w:szCs w:val="18"/>
              </w:rPr>
            </w:pPr>
            <w:r w:rsidRPr="00B50C5E">
              <w:rPr>
                <w:rFonts w:cs="Arial"/>
                <w:b/>
                <w:bCs/>
                <w:color w:val="000000"/>
                <w:sz w:val="18"/>
                <w:szCs w:val="18"/>
              </w:rPr>
              <w:t>1</w:t>
            </w:r>
            <w:r w:rsidR="00317DBF" w:rsidRPr="00B50C5E">
              <w:rPr>
                <w:rFonts w:cs="Arial"/>
                <w:b/>
                <w:bCs/>
                <w:color w:val="000000"/>
                <w:sz w:val="18"/>
                <w:szCs w:val="18"/>
              </w:rPr>
              <w:t xml:space="preserve"> </w:t>
            </w:r>
            <w:r w:rsidRPr="00B50C5E">
              <w:rPr>
                <w:rFonts w:cs="Arial"/>
                <w:b/>
                <w:bCs/>
                <w:color w:val="000000"/>
                <w:sz w:val="18"/>
                <w:szCs w:val="18"/>
              </w:rPr>
              <w:t>572,8</w:t>
            </w:r>
          </w:p>
        </w:tc>
        <w:tc>
          <w:tcPr>
            <w:tcW w:w="1111" w:type="dxa"/>
            <w:shd w:val="clear" w:color="auto" w:fill="BFBFBF"/>
            <w:vAlign w:val="bottom"/>
            <w:hideMark/>
          </w:tcPr>
          <w:p w14:paraId="190CD625" w14:textId="3BB9D062" w:rsidR="003764C5" w:rsidRPr="00B50C5E" w:rsidRDefault="003764C5" w:rsidP="003764C5">
            <w:pPr>
              <w:tabs>
                <w:tab w:val="left" w:pos="0"/>
              </w:tabs>
              <w:ind w:right="216"/>
              <w:contextualSpacing/>
              <w:jc w:val="right"/>
              <w:rPr>
                <w:rFonts w:cs="Arial"/>
                <w:b/>
                <w:color w:val="FF0000"/>
                <w:sz w:val="18"/>
                <w:szCs w:val="18"/>
              </w:rPr>
            </w:pPr>
            <w:r w:rsidRPr="00B50C5E">
              <w:rPr>
                <w:rFonts w:cs="Arial"/>
                <w:b/>
                <w:bCs/>
                <w:color w:val="000000"/>
                <w:sz w:val="18"/>
                <w:szCs w:val="18"/>
              </w:rPr>
              <w:t>1</w:t>
            </w:r>
            <w:r w:rsidR="00317DBF" w:rsidRPr="00B50C5E">
              <w:rPr>
                <w:rFonts w:cs="Arial"/>
                <w:b/>
                <w:bCs/>
                <w:color w:val="000000"/>
                <w:sz w:val="18"/>
                <w:szCs w:val="18"/>
              </w:rPr>
              <w:t xml:space="preserve"> </w:t>
            </w:r>
            <w:r w:rsidRPr="00B50C5E">
              <w:rPr>
                <w:rFonts w:cs="Arial"/>
                <w:b/>
                <w:bCs/>
                <w:color w:val="000000"/>
                <w:sz w:val="18"/>
                <w:szCs w:val="18"/>
              </w:rPr>
              <w:t>070,7</w:t>
            </w:r>
          </w:p>
        </w:tc>
        <w:tc>
          <w:tcPr>
            <w:tcW w:w="1112" w:type="dxa"/>
            <w:shd w:val="clear" w:color="auto" w:fill="BFBFBF"/>
            <w:vAlign w:val="bottom"/>
            <w:hideMark/>
          </w:tcPr>
          <w:p w14:paraId="1C7FF7C0" w14:textId="4F4A65D1" w:rsidR="003764C5" w:rsidRPr="00B50C5E" w:rsidRDefault="003764C5" w:rsidP="003764C5">
            <w:pPr>
              <w:contextualSpacing/>
              <w:jc w:val="right"/>
              <w:rPr>
                <w:rFonts w:cs="Arial"/>
                <w:b/>
                <w:color w:val="FF0000"/>
                <w:sz w:val="18"/>
                <w:szCs w:val="18"/>
              </w:rPr>
            </w:pPr>
            <w:r w:rsidRPr="00B50C5E">
              <w:rPr>
                <w:rFonts w:cs="Arial"/>
                <w:b/>
                <w:bCs/>
                <w:sz w:val="18"/>
                <w:szCs w:val="18"/>
              </w:rPr>
              <w:t>1</w:t>
            </w:r>
            <w:r w:rsidR="00317DBF" w:rsidRPr="00B50C5E">
              <w:rPr>
                <w:rFonts w:cs="Arial"/>
                <w:b/>
                <w:bCs/>
                <w:sz w:val="18"/>
                <w:szCs w:val="18"/>
              </w:rPr>
              <w:t xml:space="preserve"> </w:t>
            </w:r>
            <w:r w:rsidRPr="00B50C5E">
              <w:rPr>
                <w:rFonts w:cs="Arial"/>
                <w:b/>
                <w:bCs/>
                <w:sz w:val="18"/>
                <w:szCs w:val="18"/>
              </w:rPr>
              <w:t>125,3</w:t>
            </w:r>
          </w:p>
        </w:tc>
        <w:tc>
          <w:tcPr>
            <w:tcW w:w="1112" w:type="dxa"/>
            <w:shd w:val="clear" w:color="auto" w:fill="BFBFBF"/>
            <w:vAlign w:val="bottom"/>
            <w:hideMark/>
          </w:tcPr>
          <w:p w14:paraId="74503DF7" w14:textId="7430D425" w:rsidR="003764C5" w:rsidRPr="00B50C5E" w:rsidRDefault="003764C5" w:rsidP="003764C5">
            <w:pPr>
              <w:contextualSpacing/>
              <w:jc w:val="right"/>
              <w:rPr>
                <w:rFonts w:cs="Arial"/>
                <w:b/>
                <w:color w:val="FF0000"/>
                <w:sz w:val="18"/>
                <w:szCs w:val="18"/>
              </w:rPr>
            </w:pPr>
            <w:r w:rsidRPr="00B50C5E">
              <w:rPr>
                <w:rFonts w:cs="Arial"/>
                <w:b/>
                <w:bCs/>
                <w:color w:val="000000"/>
                <w:sz w:val="18"/>
                <w:szCs w:val="18"/>
              </w:rPr>
              <w:t>1</w:t>
            </w:r>
            <w:r w:rsidR="00317DBF" w:rsidRPr="00B50C5E">
              <w:rPr>
                <w:rFonts w:cs="Arial"/>
                <w:b/>
                <w:bCs/>
                <w:color w:val="000000"/>
                <w:sz w:val="18"/>
                <w:szCs w:val="18"/>
              </w:rPr>
              <w:t xml:space="preserve"> </w:t>
            </w:r>
            <w:r w:rsidRPr="00B50C5E">
              <w:rPr>
                <w:rFonts w:cs="Arial"/>
                <w:b/>
                <w:bCs/>
                <w:color w:val="000000"/>
                <w:sz w:val="18"/>
                <w:szCs w:val="18"/>
              </w:rPr>
              <w:t>170,4</w:t>
            </w:r>
          </w:p>
        </w:tc>
        <w:tc>
          <w:tcPr>
            <w:tcW w:w="1350" w:type="dxa"/>
            <w:shd w:val="clear" w:color="auto" w:fill="BFBFBF"/>
            <w:vAlign w:val="center"/>
            <w:hideMark/>
          </w:tcPr>
          <w:p w14:paraId="456615EE" w14:textId="37E4D5EE" w:rsidR="003764C5" w:rsidRPr="00B50C5E" w:rsidRDefault="003764C5" w:rsidP="003764C5">
            <w:pPr>
              <w:ind w:firstLineChars="100" w:firstLine="181"/>
              <w:contextualSpacing/>
              <w:jc w:val="right"/>
              <w:rPr>
                <w:rFonts w:cs="Arial"/>
                <w:b/>
                <w:color w:val="FF0000"/>
                <w:sz w:val="18"/>
                <w:szCs w:val="18"/>
              </w:rPr>
            </w:pPr>
            <w:r w:rsidRPr="00B50C5E">
              <w:rPr>
                <w:rFonts w:cs="Arial"/>
                <w:b/>
                <w:bCs/>
                <w:color w:val="000000"/>
                <w:sz w:val="18"/>
                <w:szCs w:val="18"/>
              </w:rPr>
              <w:t>6</w:t>
            </w:r>
            <w:r w:rsidR="00A97FBE" w:rsidRPr="00B50C5E">
              <w:rPr>
                <w:rFonts w:cs="Arial"/>
                <w:b/>
                <w:bCs/>
                <w:color w:val="000000"/>
                <w:sz w:val="18"/>
                <w:szCs w:val="18"/>
              </w:rPr>
              <w:t xml:space="preserve"> </w:t>
            </w:r>
            <w:r w:rsidRPr="00B50C5E">
              <w:rPr>
                <w:rFonts w:cs="Arial"/>
                <w:b/>
                <w:bCs/>
                <w:color w:val="000000"/>
                <w:sz w:val="18"/>
                <w:szCs w:val="18"/>
              </w:rPr>
              <w:t>246,2</w:t>
            </w:r>
          </w:p>
        </w:tc>
      </w:tr>
      <w:tr w:rsidR="003764C5" w:rsidRPr="003764C5" w14:paraId="71470A31" w14:textId="77777777" w:rsidTr="00633496">
        <w:trPr>
          <w:trHeight w:val="20"/>
        </w:trPr>
        <w:tc>
          <w:tcPr>
            <w:tcW w:w="1240" w:type="dxa"/>
            <w:vMerge/>
            <w:shd w:val="clear" w:color="auto" w:fill="BFBFBF"/>
            <w:vAlign w:val="center"/>
            <w:hideMark/>
          </w:tcPr>
          <w:p w14:paraId="351A4B18" w14:textId="77777777" w:rsidR="003764C5" w:rsidRPr="003764C5" w:rsidRDefault="003764C5" w:rsidP="003764C5">
            <w:pPr>
              <w:contextualSpacing/>
              <w:rPr>
                <w:rFonts w:cs="Arial"/>
                <w:b/>
                <w:bCs/>
                <w:sz w:val="18"/>
                <w:szCs w:val="18"/>
              </w:rPr>
            </w:pPr>
          </w:p>
        </w:tc>
        <w:tc>
          <w:tcPr>
            <w:tcW w:w="1014" w:type="dxa"/>
            <w:shd w:val="clear" w:color="auto" w:fill="BFBFBF"/>
            <w:vAlign w:val="bottom"/>
          </w:tcPr>
          <w:p w14:paraId="4CBFA62B" w14:textId="34CB4ADF" w:rsidR="003764C5" w:rsidRPr="003764C5" w:rsidRDefault="003764C5" w:rsidP="003764C5">
            <w:pPr>
              <w:contextualSpacing/>
              <w:jc w:val="center"/>
              <w:rPr>
                <w:rFonts w:cs="Arial"/>
                <w:b/>
                <w:bCs/>
                <w:sz w:val="18"/>
                <w:szCs w:val="18"/>
              </w:rPr>
            </w:pPr>
            <w:r w:rsidRPr="003764C5">
              <w:rPr>
                <w:rFonts w:cs="Arial"/>
                <w:color w:val="000000"/>
                <w:sz w:val="18"/>
                <w:szCs w:val="18"/>
              </w:rPr>
              <w:t>2025</w:t>
            </w:r>
          </w:p>
        </w:tc>
        <w:tc>
          <w:tcPr>
            <w:tcW w:w="1111" w:type="dxa"/>
            <w:shd w:val="clear" w:color="auto" w:fill="BFBFBF"/>
            <w:vAlign w:val="center"/>
          </w:tcPr>
          <w:p w14:paraId="6F56A047" w14:textId="758F5D1B" w:rsidR="003764C5" w:rsidRPr="00B50C5E" w:rsidRDefault="003764C5" w:rsidP="003764C5">
            <w:pPr>
              <w:contextualSpacing/>
              <w:jc w:val="right"/>
              <w:rPr>
                <w:rFonts w:cs="Arial"/>
                <w:b/>
                <w:bCs/>
                <w:color w:val="FF0000"/>
                <w:sz w:val="18"/>
                <w:szCs w:val="18"/>
              </w:rPr>
            </w:pPr>
            <w:r w:rsidRPr="00B50C5E">
              <w:rPr>
                <w:rFonts w:cs="Arial"/>
                <w:b/>
                <w:bCs/>
                <w:color w:val="000000"/>
                <w:sz w:val="18"/>
                <w:szCs w:val="18"/>
              </w:rPr>
              <w:t>1</w:t>
            </w:r>
            <w:r w:rsidR="00A4434D" w:rsidRPr="00B50C5E">
              <w:rPr>
                <w:rFonts w:cs="Arial"/>
                <w:b/>
                <w:bCs/>
                <w:color w:val="000000"/>
                <w:sz w:val="18"/>
                <w:szCs w:val="18"/>
              </w:rPr>
              <w:t xml:space="preserve"> </w:t>
            </w:r>
            <w:r w:rsidRPr="00B50C5E">
              <w:rPr>
                <w:rFonts w:cs="Arial"/>
                <w:b/>
                <w:bCs/>
                <w:color w:val="000000"/>
                <w:sz w:val="18"/>
                <w:szCs w:val="18"/>
              </w:rPr>
              <w:t>446,3</w:t>
            </w:r>
          </w:p>
        </w:tc>
        <w:tc>
          <w:tcPr>
            <w:tcW w:w="1112" w:type="dxa"/>
            <w:shd w:val="clear" w:color="auto" w:fill="BFBFBF"/>
            <w:vAlign w:val="bottom"/>
          </w:tcPr>
          <w:p w14:paraId="694FA9C5" w14:textId="1B1F3057" w:rsidR="003764C5" w:rsidRPr="00B50C5E" w:rsidRDefault="003764C5" w:rsidP="003764C5">
            <w:pPr>
              <w:contextualSpacing/>
              <w:jc w:val="right"/>
              <w:rPr>
                <w:rFonts w:cs="Arial"/>
                <w:b/>
                <w:color w:val="FF0000"/>
                <w:sz w:val="18"/>
                <w:szCs w:val="18"/>
              </w:rPr>
            </w:pPr>
            <w:r w:rsidRPr="00B50C5E">
              <w:rPr>
                <w:rFonts w:cs="Arial"/>
                <w:b/>
                <w:bCs/>
                <w:color w:val="000000"/>
                <w:sz w:val="18"/>
                <w:szCs w:val="18"/>
              </w:rPr>
              <w:t>1</w:t>
            </w:r>
            <w:r w:rsidR="00317DBF" w:rsidRPr="00B50C5E">
              <w:rPr>
                <w:rFonts w:cs="Arial"/>
                <w:b/>
                <w:bCs/>
                <w:color w:val="000000"/>
                <w:sz w:val="18"/>
                <w:szCs w:val="18"/>
              </w:rPr>
              <w:t xml:space="preserve"> </w:t>
            </w:r>
            <w:r w:rsidRPr="00B50C5E">
              <w:rPr>
                <w:rFonts w:cs="Arial"/>
                <w:b/>
                <w:bCs/>
                <w:color w:val="000000"/>
                <w:sz w:val="18"/>
                <w:szCs w:val="18"/>
              </w:rPr>
              <w:t>636,9</w:t>
            </w:r>
          </w:p>
        </w:tc>
        <w:tc>
          <w:tcPr>
            <w:tcW w:w="1111" w:type="dxa"/>
            <w:shd w:val="clear" w:color="auto" w:fill="BFBFBF"/>
            <w:vAlign w:val="bottom"/>
          </w:tcPr>
          <w:p w14:paraId="3030CCA6" w14:textId="627C22A8" w:rsidR="003764C5" w:rsidRPr="00B50C5E" w:rsidRDefault="003764C5" w:rsidP="003764C5">
            <w:pPr>
              <w:tabs>
                <w:tab w:val="left" w:pos="0"/>
              </w:tabs>
              <w:ind w:right="216"/>
              <w:contextualSpacing/>
              <w:jc w:val="right"/>
              <w:rPr>
                <w:rFonts w:cs="Arial"/>
                <w:b/>
                <w:color w:val="FF0000"/>
                <w:sz w:val="18"/>
                <w:szCs w:val="18"/>
              </w:rPr>
            </w:pPr>
            <w:r w:rsidRPr="00B50C5E">
              <w:rPr>
                <w:rFonts w:cs="Arial"/>
                <w:b/>
                <w:bCs/>
                <w:color w:val="000000"/>
                <w:sz w:val="18"/>
                <w:szCs w:val="18"/>
              </w:rPr>
              <w:t>1</w:t>
            </w:r>
            <w:r w:rsidR="00317DBF" w:rsidRPr="00B50C5E">
              <w:rPr>
                <w:rFonts w:cs="Arial"/>
                <w:b/>
                <w:bCs/>
                <w:color w:val="000000"/>
                <w:sz w:val="18"/>
                <w:szCs w:val="18"/>
              </w:rPr>
              <w:t xml:space="preserve"> </w:t>
            </w:r>
            <w:r w:rsidRPr="00B50C5E">
              <w:rPr>
                <w:rFonts w:cs="Arial"/>
                <w:b/>
                <w:bCs/>
                <w:color w:val="000000"/>
                <w:sz w:val="18"/>
                <w:szCs w:val="18"/>
              </w:rPr>
              <w:t>045,8</w:t>
            </w:r>
          </w:p>
        </w:tc>
        <w:tc>
          <w:tcPr>
            <w:tcW w:w="1112" w:type="dxa"/>
            <w:shd w:val="clear" w:color="auto" w:fill="BFBFBF"/>
            <w:vAlign w:val="bottom"/>
          </w:tcPr>
          <w:p w14:paraId="5B27CD3A" w14:textId="27B5946E" w:rsidR="003764C5" w:rsidRPr="00B50C5E" w:rsidRDefault="003764C5" w:rsidP="003764C5">
            <w:pPr>
              <w:contextualSpacing/>
              <w:jc w:val="right"/>
              <w:rPr>
                <w:rFonts w:cs="Arial"/>
                <w:b/>
                <w:color w:val="FF0000"/>
                <w:sz w:val="18"/>
                <w:szCs w:val="18"/>
              </w:rPr>
            </w:pPr>
            <w:r w:rsidRPr="00B50C5E">
              <w:rPr>
                <w:rFonts w:cs="Arial"/>
                <w:b/>
                <w:bCs/>
                <w:color w:val="000000"/>
                <w:sz w:val="18"/>
                <w:szCs w:val="18"/>
              </w:rPr>
              <w:t>877,4</w:t>
            </w:r>
          </w:p>
        </w:tc>
        <w:tc>
          <w:tcPr>
            <w:tcW w:w="1112" w:type="dxa"/>
            <w:shd w:val="clear" w:color="auto" w:fill="BFBFBF"/>
            <w:vAlign w:val="bottom"/>
          </w:tcPr>
          <w:p w14:paraId="20F90A81" w14:textId="10478BC0" w:rsidR="003764C5" w:rsidRPr="00B50C5E" w:rsidRDefault="003764C5" w:rsidP="003764C5">
            <w:pPr>
              <w:contextualSpacing/>
              <w:jc w:val="right"/>
              <w:rPr>
                <w:rFonts w:cs="Arial"/>
                <w:b/>
                <w:color w:val="FF0000"/>
                <w:sz w:val="18"/>
                <w:szCs w:val="18"/>
              </w:rPr>
            </w:pPr>
            <w:r w:rsidRPr="00B50C5E">
              <w:rPr>
                <w:rFonts w:cs="Arial"/>
                <w:b/>
                <w:bCs/>
                <w:color w:val="000000"/>
                <w:sz w:val="18"/>
                <w:szCs w:val="18"/>
              </w:rPr>
              <w:t>1</w:t>
            </w:r>
            <w:r w:rsidR="00317DBF" w:rsidRPr="00B50C5E">
              <w:rPr>
                <w:rFonts w:cs="Arial"/>
                <w:b/>
                <w:bCs/>
                <w:color w:val="000000"/>
                <w:sz w:val="18"/>
                <w:szCs w:val="18"/>
              </w:rPr>
              <w:t xml:space="preserve"> </w:t>
            </w:r>
            <w:r w:rsidRPr="00B50C5E">
              <w:rPr>
                <w:rFonts w:cs="Arial"/>
                <w:b/>
                <w:bCs/>
                <w:color w:val="000000"/>
                <w:sz w:val="18"/>
                <w:szCs w:val="18"/>
              </w:rPr>
              <w:t>198,2</w:t>
            </w:r>
          </w:p>
        </w:tc>
        <w:tc>
          <w:tcPr>
            <w:tcW w:w="1350" w:type="dxa"/>
            <w:shd w:val="clear" w:color="auto" w:fill="BFBFBF"/>
            <w:vAlign w:val="center"/>
          </w:tcPr>
          <w:p w14:paraId="0D14C7F0" w14:textId="7CDCA64D" w:rsidR="003764C5" w:rsidRPr="00B50C5E" w:rsidRDefault="003764C5" w:rsidP="003764C5">
            <w:pPr>
              <w:ind w:firstLineChars="100" w:firstLine="181"/>
              <w:contextualSpacing/>
              <w:jc w:val="right"/>
              <w:rPr>
                <w:rFonts w:cs="Arial"/>
                <w:b/>
                <w:color w:val="FF0000"/>
                <w:sz w:val="18"/>
                <w:szCs w:val="18"/>
              </w:rPr>
            </w:pPr>
            <w:r w:rsidRPr="00B50C5E">
              <w:rPr>
                <w:rFonts w:cs="Arial"/>
                <w:b/>
                <w:bCs/>
                <w:color w:val="000000"/>
                <w:sz w:val="18"/>
                <w:szCs w:val="18"/>
              </w:rPr>
              <w:t>6</w:t>
            </w:r>
            <w:r w:rsidR="00A97FBE" w:rsidRPr="00B50C5E">
              <w:rPr>
                <w:rFonts w:cs="Arial"/>
                <w:b/>
                <w:bCs/>
                <w:color w:val="000000"/>
                <w:sz w:val="18"/>
                <w:szCs w:val="18"/>
              </w:rPr>
              <w:t xml:space="preserve"> </w:t>
            </w:r>
            <w:r w:rsidRPr="00B50C5E">
              <w:rPr>
                <w:rFonts w:cs="Arial"/>
                <w:b/>
                <w:bCs/>
                <w:color w:val="000000"/>
                <w:sz w:val="18"/>
                <w:szCs w:val="18"/>
              </w:rPr>
              <w:t>204,6</w:t>
            </w:r>
          </w:p>
        </w:tc>
      </w:tr>
    </w:tbl>
    <w:p w14:paraId="4D5EE8FE" w14:textId="17F3BEFC" w:rsidR="00BC6B9C" w:rsidRPr="003764C5" w:rsidRDefault="00BC6B9C" w:rsidP="00BC6B9C">
      <w:pPr>
        <w:contextualSpacing/>
        <w:rPr>
          <w:rFonts w:cs="Arial"/>
          <w:i/>
          <w:sz w:val="20"/>
          <w:szCs w:val="20"/>
        </w:rPr>
      </w:pPr>
      <w:r w:rsidRPr="003764C5">
        <w:rPr>
          <w:rFonts w:cs="Arial"/>
          <w:i/>
          <w:sz w:val="20"/>
          <w:szCs w:val="20"/>
        </w:rPr>
        <w:t xml:space="preserve">Pramen: </w:t>
      </w:r>
      <w:r w:rsidR="00340859" w:rsidRPr="003764C5">
        <w:rPr>
          <w:rFonts w:cs="Arial"/>
          <w:i/>
          <w:sz w:val="20"/>
          <w:szCs w:val="20"/>
        </w:rPr>
        <w:t>s</w:t>
      </w:r>
      <w:r w:rsidRPr="003764C5">
        <w:rPr>
          <w:rFonts w:cs="Arial"/>
          <w:i/>
          <w:sz w:val="20"/>
          <w:szCs w:val="20"/>
        </w:rPr>
        <w:t>. p. Povodí</w:t>
      </w:r>
      <w:r w:rsidR="00A4434D">
        <w:rPr>
          <w:rFonts w:cs="Arial"/>
          <w:i/>
          <w:sz w:val="20"/>
          <w:szCs w:val="20"/>
        </w:rPr>
        <w:t xml:space="preserve"> </w:t>
      </w:r>
    </w:p>
    <w:p w14:paraId="4D1D4764" w14:textId="77777777" w:rsidR="00BC6B9C" w:rsidRPr="003764C5" w:rsidRDefault="00BC6B9C" w:rsidP="00BC6B9C">
      <w:pPr>
        <w:ind w:left="709" w:hanging="709"/>
        <w:contextualSpacing/>
        <w:rPr>
          <w:rFonts w:cs="Arial"/>
          <w:b/>
        </w:rPr>
      </w:pPr>
      <w:r w:rsidRPr="003764C5">
        <w:rPr>
          <w:rFonts w:cs="Arial"/>
          <w:i/>
          <w:sz w:val="20"/>
          <w:szCs w:val="20"/>
        </w:rPr>
        <w:t xml:space="preserve">Pozn.: </w:t>
      </w:r>
      <w:r w:rsidRPr="003764C5">
        <w:rPr>
          <w:rFonts w:cs="Arial"/>
          <w:sz w:val="20"/>
          <w:szCs w:val="20"/>
          <w:vertAlign w:val="superscript"/>
        </w:rPr>
        <w:t xml:space="preserve">*) </w:t>
      </w:r>
      <w:r w:rsidRPr="003764C5">
        <w:rPr>
          <w:rFonts w:cs="Arial"/>
          <w:i/>
          <w:sz w:val="20"/>
          <w:szCs w:val="20"/>
        </w:rPr>
        <w:t>Mínusová hodnota je způsobena čerpáním účetní rezervy na opravy majetku.</w:t>
      </w:r>
    </w:p>
    <w:bookmarkEnd w:id="64"/>
    <w:p w14:paraId="7748AF7A" w14:textId="77777777" w:rsidR="00BC6B9C" w:rsidRPr="00104F7D" w:rsidRDefault="00BC6B9C" w:rsidP="007C4955">
      <w:pPr>
        <w:contextualSpacing/>
        <w:rPr>
          <w:b/>
          <w:i/>
          <w:color w:val="FF0000"/>
          <w:highlight w:val="yellow"/>
        </w:rPr>
      </w:pPr>
    </w:p>
    <w:p w14:paraId="66D7416C" w14:textId="7893C51D" w:rsidR="00991C9C" w:rsidRPr="00974046" w:rsidRDefault="00BC6B9C" w:rsidP="00BC6B9C">
      <w:pPr>
        <w:rPr>
          <w:rFonts w:cs="Arial"/>
          <w:b/>
        </w:rPr>
      </w:pPr>
      <w:r w:rsidRPr="009928A6">
        <w:rPr>
          <w:rFonts w:cs="Arial"/>
          <w:b/>
        </w:rPr>
        <w:t>Státní podniky Povodí dosáhly v roce 202</w:t>
      </w:r>
      <w:r w:rsidR="00370958" w:rsidRPr="009928A6">
        <w:rPr>
          <w:rFonts w:cs="Arial"/>
          <w:b/>
        </w:rPr>
        <w:t>5</w:t>
      </w:r>
      <w:r w:rsidRPr="009928A6">
        <w:rPr>
          <w:rFonts w:cs="Arial"/>
          <w:b/>
        </w:rPr>
        <w:t xml:space="preserve"> zisku v celkové výši </w:t>
      </w:r>
      <w:r w:rsidR="0013161C" w:rsidRPr="009928A6">
        <w:rPr>
          <w:rFonts w:cs="Arial"/>
          <w:b/>
        </w:rPr>
        <w:t>3</w:t>
      </w:r>
      <w:r w:rsidR="00370958" w:rsidRPr="009928A6">
        <w:rPr>
          <w:rFonts w:cs="Arial"/>
          <w:b/>
        </w:rPr>
        <w:t>0</w:t>
      </w:r>
      <w:r w:rsidR="00D95117" w:rsidRPr="009928A6">
        <w:rPr>
          <w:rFonts w:cs="Arial"/>
          <w:b/>
        </w:rPr>
        <w:t>5</w:t>
      </w:r>
      <w:r w:rsidRPr="009928A6">
        <w:rPr>
          <w:rFonts w:cs="Arial"/>
          <w:b/>
        </w:rPr>
        <w:t xml:space="preserve"> mil. Kč. </w:t>
      </w:r>
      <w:r w:rsidR="0020177A" w:rsidRPr="009928A6">
        <w:rPr>
          <w:rFonts w:cs="Arial"/>
          <w:b/>
        </w:rPr>
        <w:t>Výsledkem hospodaření státních podniků Povodí byl zisk.</w:t>
      </w:r>
      <w:r w:rsidR="0020177A" w:rsidRPr="00974046">
        <w:rPr>
          <w:rFonts w:cs="Arial"/>
          <w:b/>
        </w:rPr>
        <w:t xml:space="preserve"> </w:t>
      </w:r>
      <w:r w:rsidRPr="00974046">
        <w:rPr>
          <w:rFonts w:cs="Arial"/>
          <w:b/>
        </w:rPr>
        <w:t xml:space="preserve">Oproti předcházejícímu roku </w:t>
      </w:r>
      <w:r w:rsidR="008B1A6C" w:rsidRPr="00974046">
        <w:rPr>
          <w:rFonts w:cs="Arial"/>
          <w:b/>
        </w:rPr>
        <w:t xml:space="preserve">však </w:t>
      </w:r>
      <w:r w:rsidRPr="00974046">
        <w:rPr>
          <w:rFonts w:cs="Arial"/>
          <w:b/>
        </w:rPr>
        <w:t>došlo k</w:t>
      </w:r>
      <w:r w:rsidR="00502B96" w:rsidRPr="00974046">
        <w:rPr>
          <w:rFonts w:cs="Arial"/>
          <w:b/>
        </w:rPr>
        <w:t> </w:t>
      </w:r>
      <w:r w:rsidR="00370958" w:rsidRPr="00974046">
        <w:rPr>
          <w:rFonts w:cs="Arial"/>
          <w:b/>
        </w:rPr>
        <w:t>poklesu</w:t>
      </w:r>
      <w:r w:rsidR="00502B96" w:rsidRPr="00974046">
        <w:rPr>
          <w:rFonts w:cs="Arial"/>
          <w:b/>
        </w:rPr>
        <w:t xml:space="preserve"> zisk</w:t>
      </w:r>
      <w:r w:rsidR="00370958" w:rsidRPr="00974046">
        <w:rPr>
          <w:rFonts w:cs="Arial"/>
          <w:b/>
        </w:rPr>
        <w:t>ů</w:t>
      </w:r>
      <w:r w:rsidRPr="00974046">
        <w:rPr>
          <w:rFonts w:cs="Arial"/>
          <w:b/>
        </w:rPr>
        <w:t xml:space="preserve">, a to o </w:t>
      </w:r>
      <w:r w:rsidR="00A857E4" w:rsidRPr="00974046">
        <w:rPr>
          <w:rFonts w:cs="Arial"/>
          <w:b/>
        </w:rPr>
        <w:t>téměř</w:t>
      </w:r>
      <w:r w:rsidRPr="00974046">
        <w:rPr>
          <w:rFonts w:cs="Arial"/>
          <w:b/>
        </w:rPr>
        <w:t xml:space="preserve"> </w:t>
      </w:r>
      <w:r w:rsidR="00F75EDE" w:rsidRPr="00974046">
        <w:rPr>
          <w:rFonts w:cs="Arial"/>
          <w:b/>
        </w:rPr>
        <w:t>3,</w:t>
      </w:r>
      <w:r w:rsidR="008B1A6C" w:rsidRPr="00974046">
        <w:rPr>
          <w:rFonts w:cs="Arial"/>
          <w:b/>
        </w:rPr>
        <w:t>7</w:t>
      </w:r>
      <w:r w:rsidRPr="00974046">
        <w:rPr>
          <w:rFonts w:cs="Arial"/>
          <w:b/>
        </w:rPr>
        <w:t xml:space="preserve"> %, v absolutní částce o </w:t>
      </w:r>
      <w:r w:rsidR="00173015" w:rsidRPr="00974046">
        <w:rPr>
          <w:rFonts w:cs="Arial"/>
          <w:b/>
        </w:rPr>
        <w:t>11</w:t>
      </w:r>
      <w:r w:rsidRPr="00974046">
        <w:rPr>
          <w:rFonts w:cs="Arial"/>
          <w:b/>
        </w:rPr>
        <w:t xml:space="preserve"> mil. Kč. </w:t>
      </w:r>
    </w:p>
    <w:p w14:paraId="4A9C12D9" w14:textId="77777777" w:rsidR="00F749D0" w:rsidRPr="00104F7D" w:rsidRDefault="00F749D0" w:rsidP="00BC6B9C">
      <w:pPr>
        <w:rPr>
          <w:rFonts w:cs="Arial"/>
          <w:bCs/>
          <w:highlight w:val="yellow"/>
        </w:rPr>
      </w:pPr>
    </w:p>
    <w:p w14:paraId="06B61E47" w14:textId="77777777" w:rsidR="000046CE" w:rsidRDefault="000046CE" w:rsidP="00517937">
      <w:pPr>
        <w:rPr>
          <w:rFonts w:cs="Arial"/>
          <w:bCs/>
          <w:highlight w:val="yellow"/>
        </w:rPr>
      </w:pPr>
    </w:p>
    <w:p w14:paraId="059C465D" w14:textId="2B9E6074" w:rsidR="000046CE" w:rsidRDefault="000046CE" w:rsidP="00517937">
      <w:pPr>
        <w:rPr>
          <w:rFonts w:cs="Arial"/>
          <w:bCs/>
        </w:rPr>
      </w:pPr>
      <w:r w:rsidRPr="002D0B2F">
        <w:rPr>
          <w:rFonts w:cs="Arial"/>
          <w:bCs/>
        </w:rPr>
        <w:t xml:space="preserve">Nárůst zisku vykázaný státním podnikem Povodí Odry v roce 2025 byl ovlivněn zejména vyššími odběry povrchové vody pro vodárenské účely, které meziročně generovaly nárůst tržeb o 33,7 mil. Kč. Dále byl hospodářský výsledek ovlivněn snížením nákladů z titulu čerpání rezervy na povodně (-18,3 mil. Kč), vytvořené v minulých obdobích a částečným zrušením opravných položek </w:t>
      </w:r>
      <w:r w:rsidR="007D4035" w:rsidRPr="002D0B2F">
        <w:rPr>
          <w:rFonts w:cs="Arial"/>
          <w:bCs/>
        </w:rPr>
        <w:br/>
      </w:r>
      <w:r w:rsidRPr="002D0B2F">
        <w:rPr>
          <w:rFonts w:cs="Arial"/>
          <w:bCs/>
        </w:rPr>
        <w:t>(-37,</w:t>
      </w:r>
      <w:r w:rsidR="007D4035" w:rsidRPr="002D0B2F">
        <w:rPr>
          <w:rFonts w:cs="Arial"/>
          <w:bCs/>
        </w:rPr>
        <w:t xml:space="preserve">9 </w:t>
      </w:r>
      <w:r w:rsidRPr="002D0B2F">
        <w:rPr>
          <w:rFonts w:cs="Arial"/>
          <w:bCs/>
        </w:rPr>
        <w:t>mil. Kč), které byly v roce 2024 vytvořeny k povodněmi poškozeným majetkům</w:t>
      </w:r>
      <w:r w:rsidR="0043592B" w:rsidRPr="002D0B2F">
        <w:rPr>
          <w:rFonts w:cs="Arial"/>
          <w:bCs/>
        </w:rPr>
        <w:t>)</w:t>
      </w:r>
      <w:r w:rsidR="003B5FFE">
        <w:rPr>
          <w:rFonts w:cs="Arial"/>
          <w:bCs/>
        </w:rPr>
        <w:t>.</w:t>
      </w:r>
      <w:r w:rsidR="003C68ED">
        <w:rPr>
          <w:rFonts w:cs="Arial"/>
          <w:bCs/>
        </w:rPr>
        <w:t xml:space="preserve"> Ty</w:t>
      </w:r>
      <w:r w:rsidR="007D4035" w:rsidRPr="002D0B2F">
        <w:rPr>
          <w:rFonts w:cs="Arial"/>
          <w:bCs/>
        </w:rPr>
        <w:t xml:space="preserve"> </w:t>
      </w:r>
      <w:r w:rsidRPr="002D0B2F">
        <w:rPr>
          <w:rFonts w:cs="Arial"/>
          <w:bCs/>
        </w:rPr>
        <w:t xml:space="preserve">budou postupně </w:t>
      </w:r>
      <w:r w:rsidR="002D0B2F" w:rsidRPr="002D0B2F">
        <w:rPr>
          <w:rFonts w:cs="Arial"/>
          <w:bCs/>
        </w:rPr>
        <w:t>stornovány</w:t>
      </w:r>
      <w:r w:rsidRPr="002D0B2F">
        <w:rPr>
          <w:rFonts w:cs="Arial"/>
          <w:bCs/>
        </w:rPr>
        <w:t xml:space="preserve"> v návaznosti na odstraňování povodňových škod z katastrofální povodně v září 2024.</w:t>
      </w:r>
    </w:p>
    <w:p w14:paraId="77A989F2" w14:textId="77777777" w:rsidR="00666687" w:rsidRDefault="00666687" w:rsidP="00517937">
      <w:pPr>
        <w:rPr>
          <w:rFonts w:cs="Arial"/>
          <w:bCs/>
        </w:rPr>
      </w:pPr>
    </w:p>
    <w:p w14:paraId="3D05A3E4" w14:textId="47D91A4D" w:rsidR="00666687" w:rsidRPr="002D0B2F" w:rsidRDefault="00666687" w:rsidP="00517937">
      <w:pPr>
        <w:rPr>
          <w:rFonts w:cs="Arial"/>
          <w:bCs/>
        </w:rPr>
      </w:pPr>
      <w:r w:rsidRPr="00666687">
        <w:rPr>
          <w:rFonts w:cs="Arial"/>
          <w:bCs/>
        </w:rPr>
        <w:t>Povodí Vltavy, státní podnik, dosáhl v roce 2025, v porovnání s rokem 2024, nižšího zisku zejména vlivem nepříznivé hydrologické situace v průběhu celého roku 2025. Hydrologickou situaci v povodí Vltavy v roce 2025 lze celkově hodnotit jako stav hydrologického sucha. Tato hydrologická situace způsobila významný meziroční pokles tržeb za vyrobenou elektrickou energii v malých vodních elektrárnách a zároveň i významný meziroční pokles tržeb za spoluužívání vodních děl na Vltavské kaskádě.</w:t>
      </w:r>
    </w:p>
    <w:p w14:paraId="67AEE1CC" w14:textId="77777777" w:rsidR="003E7E33" w:rsidRPr="00104F7D" w:rsidRDefault="003E7E33" w:rsidP="00BC6B9C">
      <w:pPr>
        <w:contextualSpacing/>
        <w:rPr>
          <w:b/>
          <w:i/>
          <w:color w:val="FF0000"/>
          <w:highlight w:val="yellow"/>
        </w:rPr>
      </w:pPr>
    </w:p>
    <w:p w14:paraId="1FC6F926" w14:textId="77777777" w:rsidR="00BC6B9C" w:rsidRPr="00D97251" w:rsidRDefault="00BC6B9C" w:rsidP="00BC6B9C">
      <w:pPr>
        <w:contextualSpacing/>
        <w:rPr>
          <w:b/>
          <w:i/>
        </w:rPr>
      </w:pPr>
      <w:bookmarkStart w:id="65" w:name="_Hlk134020396"/>
      <w:r w:rsidRPr="00D97251">
        <w:rPr>
          <w:b/>
          <w:i/>
        </w:rPr>
        <w:t>Tabulka 6.2.</w:t>
      </w:r>
      <w:r w:rsidR="0069387B" w:rsidRPr="00D97251">
        <w:rPr>
          <w:b/>
          <w:i/>
        </w:rPr>
        <w:t xml:space="preserve">3 </w:t>
      </w:r>
    </w:p>
    <w:p w14:paraId="2F50EA51" w14:textId="3FAA3BDB" w:rsidR="00BC6B9C" w:rsidRPr="00D97251" w:rsidRDefault="00BC6B9C" w:rsidP="00BC6B9C">
      <w:pPr>
        <w:contextualSpacing/>
        <w:rPr>
          <w:b/>
          <w:i/>
        </w:rPr>
      </w:pPr>
      <w:r w:rsidRPr="00D97251">
        <w:rPr>
          <w:b/>
          <w:i/>
        </w:rPr>
        <w:t>Výsledky hospodaření státních podniků Povodí (zisk, ztráta) v letech 201</w:t>
      </w:r>
      <w:r w:rsidR="005C60FF" w:rsidRPr="00D97251">
        <w:rPr>
          <w:b/>
          <w:i/>
        </w:rPr>
        <w:t>6</w:t>
      </w:r>
      <w:r w:rsidRPr="00D97251">
        <w:rPr>
          <w:b/>
          <w:i/>
        </w:rPr>
        <w:t>–202</w:t>
      </w:r>
      <w:r w:rsidR="00D97251" w:rsidRPr="00D97251">
        <w:rPr>
          <w:b/>
          <w:i/>
        </w:rPr>
        <w:t>5</w:t>
      </w:r>
    </w:p>
    <w:tbl>
      <w:tblPr>
        <w:tblW w:w="109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27" w:type="dxa"/>
        </w:tblCellMar>
        <w:tblLook w:val="04A0" w:firstRow="1" w:lastRow="0" w:firstColumn="1" w:lastColumn="0" w:noHBand="0" w:noVBand="1"/>
      </w:tblPr>
      <w:tblGrid>
        <w:gridCol w:w="942"/>
        <w:gridCol w:w="1000"/>
        <w:gridCol w:w="1000"/>
        <w:gridCol w:w="1000"/>
        <w:gridCol w:w="1000"/>
        <w:gridCol w:w="1000"/>
        <w:gridCol w:w="1000"/>
        <w:gridCol w:w="1000"/>
        <w:gridCol w:w="1000"/>
        <w:gridCol w:w="1000"/>
        <w:gridCol w:w="6"/>
        <w:gridCol w:w="994"/>
        <w:gridCol w:w="6"/>
      </w:tblGrid>
      <w:tr w:rsidR="00D97251" w:rsidRPr="00D97251" w14:paraId="51BEB836" w14:textId="01FDD9B3" w:rsidTr="00C6517A">
        <w:trPr>
          <w:gridAfter w:val="1"/>
          <w:wAfter w:w="6" w:type="dxa"/>
          <w:trHeight w:val="21"/>
        </w:trPr>
        <w:tc>
          <w:tcPr>
            <w:tcW w:w="942" w:type="dxa"/>
            <w:vMerge w:val="restart"/>
            <w:shd w:val="clear" w:color="auto" w:fill="BFBFBF"/>
            <w:vAlign w:val="center"/>
            <w:hideMark/>
          </w:tcPr>
          <w:p w14:paraId="4E39F227" w14:textId="77777777" w:rsidR="00D97251" w:rsidRPr="00D97251" w:rsidRDefault="00D97251" w:rsidP="005C60FF">
            <w:pPr>
              <w:contextualSpacing/>
              <w:rPr>
                <w:rFonts w:cs="Arial"/>
                <w:b/>
                <w:bCs/>
                <w:sz w:val="18"/>
                <w:szCs w:val="18"/>
              </w:rPr>
            </w:pPr>
            <w:r w:rsidRPr="00D97251">
              <w:rPr>
                <w:rFonts w:cs="Arial"/>
                <w:b/>
                <w:bCs/>
                <w:sz w:val="18"/>
                <w:szCs w:val="18"/>
              </w:rPr>
              <w:t>Státní podnik Povodí</w:t>
            </w:r>
          </w:p>
        </w:tc>
        <w:tc>
          <w:tcPr>
            <w:tcW w:w="1000" w:type="dxa"/>
            <w:shd w:val="clear" w:color="auto" w:fill="BFBFBF"/>
            <w:vAlign w:val="center"/>
          </w:tcPr>
          <w:p w14:paraId="200B9C02" w14:textId="338F0C66" w:rsidR="00D97251" w:rsidRPr="00D97251" w:rsidRDefault="00D97251" w:rsidP="005C60FF">
            <w:pPr>
              <w:ind w:firstLineChars="100" w:firstLine="181"/>
              <w:contextualSpacing/>
              <w:jc w:val="center"/>
              <w:rPr>
                <w:rFonts w:cs="Arial"/>
                <w:b/>
                <w:sz w:val="18"/>
                <w:szCs w:val="18"/>
              </w:rPr>
            </w:pPr>
            <w:r w:rsidRPr="00D97251">
              <w:rPr>
                <w:rFonts w:cs="Arial"/>
                <w:b/>
                <w:sz w:val="18"/>
                <w:szCs w:val="18"/>
              </w:rPr>
              <w:t>2016</w:t>
            </w:r>
          </w:p>
        </w:tc>
        <w:tc>
          <w:tcPr>
            <w:tcW w:w="1000" w:type="dxa"/>
            <w:shd w:val="clear" w:color="auto" w:fill="BFBFBF"/>
            <w:vAlign w:val="center"/>
          </w:tcPr>
          <w:p w14:paraId="786CCA65" w14:textId="11DB8138" w:rsidR="00D97251" w:rsidRPr="00D97251" w:rsidRDefault="00D97251" w:rsidP="005C60FF">
            <w:pPr>
              <w:ind w:firstLineChars="100" w:firstLine="181"/>
              <w:contextualSpacing/>
              <w:jc w:val="center"/>
              <w:rPr>
                <w:rFonts w:cs="Arial"/>
                <w:b/>
                <w:sz w:val="18"/>
                <w:szCs w:val="18"/>
              </w:rPr>
            </w:pPr>
            <w:r w:rsidRPr="00D97251">
              <w:rPr>
                <w:rFonts w:cs="Arial"/>
                <w:b/>
                <w:sz w:val="18"/>
                <w:szCs w:val="18"/>
              </w:rPr>
              <w:t>2017</w:t>
            </w:r>
          </w:p>
        </w:tc>
        <w:tc>
          <w:tcPr>
            <w:tcW w:w="1000" w:type="dxa"/>
            <w:shd w:val="clear" w:color="auto" w:fill="BFBFBF"/>
            <w:vAlign w:val="center"/>
          </w:tcPr>
          <w:p w14:paraId="009D8473" w14:textId="2CF904DB" w:rsidR="00D97251" w:rsidRPr="00D97251" w:rsidRDefault="00D97251" w:rsidP="005C60FF">
            <w:pPr>
              <w:ind w:firstLineChars="100" w:firstLine="181"/>
              <w:contextualSpacing/>
              <w:jc w:val="center"/>
              <w:rPr>
                <w:rFonts w:cs="Arial"/>
                <w:b/>
                <w:sz w:val="18"/>
                <w:szCs w:val="18"/>
              </w:rPr>
            </w:pPr>
            <w:r w:rsidRPr="00D97251">
              <w:rPr>
                <w:rFonts w:cs="Arial"/>
                <w:b/>
                <w:sz w:val="18"/>
                <w:szCs w:val="18"/>
              </w:rPr>
              <w:t>2018</w:t>
            </w:r>
          </w:p>
        </w:tc>
        <w:tc>
          <w:tcPr>
            <w:tcW w:w="1000" w:type="dxa"/>
            <w:shd w:val="clear" w:color="auto" w:fill="BFBFBF"/>
          </w:tcPr>
          <w:p w14:paraId="35EED7B7" w14:textId="683C1248" w:rsidR="00D97251" w:rsidRPr="00D97251" w:rsidRDefault="00D97251" w:rsidP="005C60FF">
            <w:pPr>
              <w:ind w:firstLineChars="100" w:firstLine="181"/>
              <w:contextualSpacing/>
              <w:jc w:val="center"/>
              <w:rPr>
                <w:rFonts w:cs="Arial"/>
                <w:b/>
                <w:sz w:val="18"/>
                <w:szCs w:val="18"/>
              </w:rPr>
            </w:pPr>
            <w:r w:rsidRPr="00D97251">
              <w:rPr>
                <w:rFonts w:cs="Arial"/>
                <w:b/>
                <w:sz w:val="18"/>
                <w:szCs w:val="18"/>
              </w:rPr>
              <w:t>2019</w:t>
            </w:r>
          </w:p>
        </w:tc>
        <w:tc>
          <w:tcPr>
            <w:tcW w:w="1000" w:type="dxa"/>
            <w:shd w:val="clear" w:color="auto" w:fill="BFBFBF"/>
          </w:tcPr>
          <w:p w14:paraId="26D65A34" w14:textId="6396545B" w:rsidR="00D97251" w:rsidRPr="00D97251" w:rsidRDefault="00D97251" w:rsidP="005C60FF">
            <w:pPr>
              <w:ind w:firstLineChars="100" w:firstLine="181"/>
              <w:contextualSpacing/>
              <w:jc w:val="center"/>
              <w:rPr>
                <w:rFonts w:cs="Arial"/>
                <w:b/>
                <w:sz w:val="18"/>
                <w:szCs w:val="18"/>
              </w:rPr>
            </w:pPr>
            <w:r w:rsidRPr="00D97251">
              <w:rPr>
                <w:rFonts w:cs="Arial"/>
                <w:b/>
                <w:sz w:val="18"/>
                <w:szCs w:val="18"/>
              </w:rPr>
              <w:t>2020</w:t>
            </w:r>
          </w:p>
        </w:tc>
        <w:tc>
          <w:tcPr>
            <w:tcW w:w="1000" w:type="dxa"/>
            <w:shd w:val="clear" w:color="auto" w:fill="BFBFBF"/>
          </w:tcPr>
          <w:p w14:paraId="084F5037" w14:textId="192F1F19" w:rsidR="00D97251" w:rsidRPr="00D97251" w:rsidRDefault="00D97251" w:rsidP="005C60FF">
            <w:pPr>
              <w:ind w:firstLineChars="100" w:firstLine="181"/>
              <w:contextualSpacing/>
              <w:jc w:val="center"/>
              <w:rPr>
                <w:rFonts w:cs="Arial"/>
                <w:b/>
                <w:sz w:val="18"/>
                <w:szCs w:val="18"/>
              </w:rPr>
            </w:pPr>
            <w:r w:rsidRPr="00D97251">
              <w:rPr>
                <w:rFonts w:cs="Arial"/>
                <w:b/>
                <w:sz w:val="18"/>
                <w:szCs w:val="18"/>
              </w:rPr>
              <w:t>2021</w:t>
            </w:r>
          </w:p>
        </w:tc>
        <w:tc>
          <w:tcPr>
            <w:tcW w:w="1000" w:type="dxa"/>
            <w:shd w:val="clear" w:color="auto" w:fill="BFBFBF"/>
          </w:tcPr>
          <w:p w14:paraId="65C500DB" w14:textId="28039E2E" w:rsidR="00D97251" w:rsidRPr="00D97251" w:rsidRDefault="00D97251" w:rsidP="005C60FF">
            <w:pPr>
              <w:ind w:firstLineChars="100" w:firstLine="181"/>
              <w:contextualSpacing/>
              <w:jc w:val="center"/>
              <w:rPr>
                <w:rFonts w:cs="Arial"/>
                <w:b/>
                <w:sz w:val="18"/>
                <w:szCs w:val="18"/>
              </w:rPr>
            </w:pPr>
            <w:r w:rsidRPr="00D97251">
              <w:rPr>
                <w:rFonts w:cs="Arial"/>
                <w:b/>
                <w:sz w:val="18"/>
                <w:szCs w:val="18"/>
              </w:rPr>
              <w:t>2022</w:t>
            </w:r>
          </w:p>
        </w:tc>
        <w:tc>
          <w:tcPr>
            <w:tcW w:w="1000" w:type="dxa"/>
            <w:shd w:val="clear" w:color="auto" w:fill="BFBFBF"/>
          </w:tcPr>
          <w:p w14:paraId="30899842" w14:textId="76DD8D1B" w:rsidR="00D97251" w:rsidRPr="00D97251" w:rsidRDefault="00D97251" w:rsidP="005C60FF">
            <w:pPr>
              <w:ind w:firstLineChars="100" w:firstLine="181"/>
              <w:contextualSpacing/>
              <w:jc w:val="center"/>
              <w:rPr>
                <w:rFonts w:cs="Arial"/>
                <w:b/>
                <w:sz w:val="18"/>
                <w:szCs w:val="18"/>
              </w:rPr>
            </w:pPr>
            <w:r w:rsidRPr="00D97251">
              <w:rPr>
                <w:rFonts w:cs="Arial"/>
                <w:b/>
                <w:sz w:val="18"/>
                <w:szCs w:val="18"/>
              </w:rPr>
              <w:t>2023</w:t>
            </w:r>
          </w:p>
        </w:tc>
        <w:tc>
          <w:tcPr>
            <w:tcW w:w="1000" w:type="dxa"/>
            <w:shd w:val="clear" w:color="auto" w:fill="BFBFBF"/>
          </w:tcPr>
          <w:p w14:paraId="1D1E0F19" w14:textId="7B35333D" w:rsidR="00D97251" w:rsidRPr="00D97251" w:rsidRDefault="00D97251" w:rsidP="005C60FF">
            <w:pPr>
              <w:ind w:firstLineChars="100" w:firstLine="181"/>
              <w:contextualSpacing/>
              <w:jc w:val="center"/>
              <w:rPr>
                <w:rFonts w:cs="Arial"/>
                <w:b/>
                <w:sz w:val="18"/>
                <w:szCs w:val="18"/>
              </w:rPr>
            </w:pPr>
            <w:r w:rsidRPr="00D97251">
              <w:rPr>
                <w:rFonts w:cs="Arial"/>
                <w:b/>
                <w:sz w:val="18"/>
                <w:szCs w:val="18"/>
              </w:rPr>
              <w:t>2024</w:t>
            </w:r>
          </w:p>
        </w:tc>
        <w:tc>
          <w:tcPr>
            <w:tcW w:w="1000" w:type="dxa"/>
            <w:gridSpan w:val="2"/>
            <w:shd w:val="clear" w:color="auto" w:fill="BFBFBF"/>
          </w:tcPr>
          <w:p w14:paraId="02955EA5" w14:textId="5A878624" w:rsidR="00D97251" w:rsidRPr="00D97251" w:rsidRDefault="00D97251" w:rsidP="005C60FF">
            <w:pPr>
              <w:ind w:firstLineChars="100" w:firstLine="181"/>
              <w:contextualSpacing/>
              <w:jc w:val="center"/>
              <w:rPr>
                <w:rFonts w:cs="Arial"/>
                <w:b/>
                <w:sz w:val="18"/>
                <w:szCs w:val="18"/>
              </w:rPr>
            </w:pPr>
            <w:r w:rsidRPr="00D97251">
              <w:rPr>
                <w:rFonts w:cs="Arial"/>
                <w:b/>
                <w:sz w:val="18"/>
                <w:szCs w:val="18"/>
              </w:rPr>
              <w:t>2025</w:t>
            </w:r>
          </w:p>
        </w:tc>
      </w:tr>
      <w:tr w:rsidR="00D97251" w:rsidRPr="00D97251" w14:paraId="25D9D744" w14:textId="4775B5F3" w:rsidTr="00C6517A">
        <w:trPr>
          <w:trHeight w:val="21"/>
        </w:trPr>
        <w:tc>
          <w:tcPr>
            <w:tcW w:w="942" w:type="dxa"/>
            <w:vMerge/>
            <w:shd w:val="clear" w:color="auto" w:fill="BFBFBF"/>
            <w:vAlign w:val="center"/>
          </w:tcPr>
          <w:p w14:paraId="1CADC39D" w14:textId="77777777" w:rsidR="00D97251" w:rsidRPr="00D97251" w:rsidRDefault="00D97251" w:rsidP="00507CC0">
            <w:pPr>
              <w:contextualSpacing/>
              <w:rPr>
                <w:rFonts w:cs="Arial"/>
                <w:b/>
                <w:bCs/>
                <w:sz w:val="18"/>
                <w:szCs w:val="18"/>
              </w:rPr>
            </w:pPr>
          </w:p>
        </w:tc>
        <w:tc>
          <w:tcPr>
            <w:tcW w:w="9006" w:type="dxa"/>
            <w:gridSpan w:val="10"/>
            <w:shd w:val="clear" w:color="auto" w:fill="BFBFBF"/>
            <w:vAlign w:val="center"/>
          </w:tcPr>
          <w:p w14:paraId="3AC2C203" w14:textId="015EC2E1" w:rsidR="00D97251" w:rsidRPr="00D97251" w:rsidRDefault="00D97251" w:rsidP="00507CC0">
            <w:pPr>
              <w:ind w:firstLineChars="100" w:firstLine="181"/>
              <w:contextualSpacing/>
              <w:jc w:val="center"/>
              <w:rPr>
                <w:rFonts w:cs="Arial"/>
                <w:b/>
                <w:sz w:val="18"/>
                <w:szCs w:val="18"/>
              </w:rPr>
            </w:pPr>
            <w:r w:rsidRPr="00D97251">
              <w:rPr>
                <w:rFonts w:cs="Arial"/>
                <w:b/>
                <w:sz w:val="18"/>
                <w:szCs w:val="18"/>
              </w:rPr>
              <w:t>tis. Kč</w:t>
            </w:r>
          </w:p>
        </w:tc>
        <w:tc>
          <w:tcPr>
            <w:tcW w:w="1000" w:type="dxa"/>
            <w:gridSpan w:val="2"/>
            <w:shd w:val="clear" w:color="auto" w:fill="BFBFBF"/>
          </w:tcPr>
          <w:p w14:paraId="09D1FC6E" w14:textId="77777777" w:rsidR="00D97251" w:rsidRPr="00D97251" w:rsidRDefault="00D97251" w:rsidP="00507CC0">
            <w:pPr>
              <w:ind w:firstLineChars="100" w:firstLine="181"/>
              <w:contextualSpacing/>
              <w:jc w:val="center"/>
              <w:rPr>
                <w:rFonts w:cs="Arial"/>
                <w:b/>
                <w:sz w:val="18"/>
                <w:szCs w:val="18"/>
              </w:rPr>
            </w:pPr>
          </w:p>
        </w:tc>
      </w:tr>
      <w:tr w:rsidR="00D97251" w:rsidRPr="00D97251" w14:paraId="02137369" w14:textId="3C6C6DAA" w:rsidTr="00C6517A">
        <w:trPr>
          <w:gridAfter w:val="1"/>
          <w:wAfter w:w="6" w:type="dxa"/>
          <w:trHeight w:val="21"/>
        </w:trPr>
        <w:tc>
          <w:tcPr>
            <w:tcW w:w="942" w:type="dxa"/>
            <w:vAlign w:val="center"/>
            <w:hideMark/>
          </w:tcPr>
          <w:p w14:paraId="31242312" w14:textId="77777777" w:rsidR="00D97251" w:rsidRPr="00D97251" w:rsidRDefault="00D97251" w:rsidP="00D97251">
            <w:pPr>
              <w:contextualSpacing/>
              <w:rPr>
                <w:rFonts w:cs="Arial"/>
                <w:b/>
                <w:sz w:val="18"/>
                <w:szCs w:val="18"/>
              </w:rPr>
            </w:pPr>
            <w:r w:rsidRPr="00D97251">
              <w:rPr>
                <w:rFonts w:cs="Arial"/>
                <w:b/>
                <w:sz w:val="18"/>
                <w:szCs w:val="18"/>
              </w:rPr>
              <w:t>Labe</w:t>
            </w:r>
          </w:p>
        </w:tc>
        <w:tc>
          <w:tcPr>
            <w:tcW w:w="1000" w:type="dxa"/>
            <w:vAlign w:val="bottom"/>
          </w:tcPr>
          <w:p w14:paraId="52623B6F" w14:textId="5D7C981B" w:rsidR="00D97251" w:rsidRPr="00D97251" w:rsidRDefault="00D97251" w:rsidP="00D97251">
            <w:pPr>
              <w:ind w:firstLineChars="100" w:firstLine="180"/>
              <w:contextualSpacing/>
              <w:jc w:val="right"/>
              <w:rPr>
                <w:rFonts w:cs="Arial"/>
                <w:sz w:val="18"/>
                <w:szCs w:val="18"/>
              </w:rPr>
            </w:pPr>
            <w:r w:rsidRPr="00D97251">
              <w:rPr>
                <w:rFonts w:cs="Arial"/>
                <w:sz w:val="18"/>
                <w:szCs w:val="18"/>
              </w:rPr>
              <w:t>22 026</w:t>
            </w:r>
          </w:p>
        </w:tc>
        <w:tc>
          <w:tcPr>
            <w:tcW w:w="1000" w:type="dxa"/>
            <w:vAlign w:val="bottom"/>
          </w:tcPr>
          <w:p w14:paraId="1D8EFF9F" w14:textId="0FE42572" w:rsidR="00D97251" w:rsidRPr="00D97251" w:rsidRDefault="00D97251" w:rsidP="00D97251">
            <w:pPr>
              <w:ind w:firstLineChars="100" w:firstLine="180"/>
              <w:contextualSpacing/>
              <w:jc w:val="right"/>
              <w:rPr>
                <w:rFonts w:cs="Arial"/>
                <w:sz w:val="18"/>
                <w:szCs w:val="18"/>
              </w:rPr>
            </w:pPr>
            <w:r w:rsidRPr="00D97251">
              <w:rPr>
                <w:rFonts w:cs="Arial"/>
                <w:sz w:val="18"/>
                <w:szCs w:val="18"/>
              </w:rPr>
              <w:t>60 276</w:t>
            </w:r>
          </w:p>
        </w:tc>
        <w:tc>
          <w:tcPr>
            <w:tcW w:w="1000" w:type="dxa"/>
            <w:vAlign w:val="bottom"/>
          </w:tcPr>
          <w:p w14:paraId="11F138A0" w14:textId="3E7D2D87" w:rsidR="00D97251" w:rsidRPr="00D97251" w:rsidRDefault="00D97251" w:rsidP="00D97251">
            <w:pPr>
              <w:ind w:firstLineChars="100" w:firstLine="180"/>
              <w:contextualSpacing/>
              <w:jc w:val="right"/>
              <w:rPr>
                <w:rFonts w:cs="Arial"/>
                <w:sz w:val="18"/>
                <w:szCs w:val="18"/>
              </w:rPr>
            </w:pPr>
            <w:r w:rsidRPr="00D97251">
              <w:rPr>
                <w:rFonts w:cs="Arial"/>
                <w:sz w:val="18"/>
                <w:szCs w:val="18"/>
              </w:rPr>
              <w:t>22 880</w:t>
            </w:r>
          </w:p>
        </w:tc>
        <w:tc>
          <w:tcPr>
            <w:tcW w:w="1000" w:type="dxa"/>
            <w:vAlign w:val="bottom"/>
          </w:tcPr>
          <w:p w14:paraId="6E161F00" w14:textId="634866D6" w:rsidR="00D97251" w:rsidRPr="00D97251" w:rsidRDefault="00D97251" w:rsidP="00D97251">
            <w:pPr>
              <w:ind w:firstLineChars="100" w:firstLine="180"/>
              <w:contextualSpacing/>
              <w:jc w:val="right"/>
              <w:rPr>
                <w:rFonts w:cs="Arial"/>
                <w:sz w:val="18"/>
                <w:szCs w:val="18"/>
              </w:rPr>
            </w:pPr>
            <w:r w:rsidRPr="00D97251">
              <w:rPr>
                <w:rFonts w:cs="Arial"/>
                <w:sz w:val="18"/>
                <w:szCs w:val="18"/>
              </w:rPr>
              <w:t>15 631</w:t>
            </w:r>
          </w:p>
        </w:tc>
        <w:tc>
          <w:tcPr>
            <w:tcW w:w="1000" w:type="dxa"/>
            <w:vAlign w:val="bottom"/>
          </w:tcPr>
          <w:p w14:paraId="61B02AC6" w14:textId="6B9E14ED" w:rsidR="00D97251" w:rsidRPr="00D97251" w:rsidRDefault="00D97251" w:rsidP="00D97251">
            <w:pPr>
              <w:contextualSpacing/>
              <w:jc w:val="right"/>
              <w:rPr>
                <w:rFonts w:cs="Arial"/>
                <w:sz w:val="18"/>
                <w:szCs w:val="18"/>
              </w:rPr>
            </w:pPr>
            <w:r w:rsidRPr="00D97251">
              <w:rPr>
                <w:rFonts w:cs="Arial"/>
                <w:sz w:val="18"/>
                <w:szCs w:val="18"/>
              </w:rPr>
              <w:t>9 534</w:t>
            </w:r>
          </w:p>
        </w:tc>
        <w:tc>
          <w:tcPr>
            <w:tcW w:w="1000" w:type="dxa"/>
            <w:vAlign w:val="bottom"/>
          </w:tcPr>
          <w:p w14:paraId="3E65DDCC" w14:textId="2A95CB99" w:rsidR="00D97251" w:rsidRPr="00D97251" w:rsidRDefault="00D97251" w:rsidP="00D97251">
            <w:pPr>
              <w:contextualSpacing/>
              <w:jc w:val="right"/>
              <w:rPr>
                <w:rFonts w:cs="Arial"/>
                <w:sz w:val="18"/>
                <w:szCs w:val="18"/>
              </w:rPr>
            </w:pPr>
            <w:r w:rsidRPr="00D97251">
              <w:rPr>
                <w:rFonts w:cs="Arial"/>
                <w:sz w:val="18"/>
                <w:szCs w:val="18"/>
              </w:rPr>
              <w:t>10 563</w:t>
            </w:r>
          </w:p>
        </w:tc>
        <w:tc>
          <w:tcPr>
            <w:tcW w:w="1000" w:type="dxa"/>
            <w:vAlign w:val="bottom"/>
          </w:tcPr>
          <w:p w14:paraId="64FABC37" w14:textId="70A2A72D" w:rsidR="00D97251" w:rsidRPr="00D97251" w:rsidRDefault="00D97251" w:rsidP="00D97251">
            <w:pPr>
              <w:contextualSpacing/>
              <w:jc w:val="right"/>
              <w:rPr>
                <w:rFonts w:cs="Arial"/>
                <w:sz w:val="18"/>
                <w:szCs w:val="18"/>
              </w:rPr>
            </w:pPr>
            <w:r w:rsidRPr="00D97251">
              <w:rPr>
                <w:rFonts w:cs="Arial"/>
                <w:sz w:val="18"/>
                <w:szCs w:val="18"/>
              </w:rPr>
              <w:t>183 809</w:t>
            </w:r>
          </w:p>
        </w:tc>
        <w:tc>
          <w:tcPr>
            <w:tcW w:w="1000" w:type="dxa"/>
            <w:vAlign w:val="bottom"/>
          </w:tcPr>
          <w:p w14:paraId="717431F9" w14:textId="536DF84B" w:rsidR="00D97251" w:rsidRPr="00D97251" w:rsidRDefault="00D97251" w:rsidP="00D97251">
            <w:pPr>
              <w:contextualSpacing/>
              <w:jc w:val="right"/>
              <w:rPr>
                <w:rFonts w:cs="Arial"/>
                <w:sz w:val="18"/>
                <w:szCs w:val="18"/>
              </w:rPr>
            </w:pPr>
            <w:r w:rsidRPr="00D97251">
              <w:rPr>
                <w:rFonts w:cs="Arial"/>
                <w:color w:val="000000"/>
                <w:sz w:val="18"/>
                <w:szCs w:val="18"/>
              </w:rPr>
              <w:t>84 913</w:t>
            </w:r>
          </w:p>
        </w:tc>
        <w:tc>
          <w:tcPr>
            <w:tcW w:w="1000" w:type="dxa"/>
            <w:vAlign w:val="bottom"/>
          </w:tcPr>
          <w:p w14:paraId="64412E9D" w14:textId="6D3E3487" w:rsidR="00D97251" w:rsidRPr="00D97251" w:rsidRDefault="00D97251" w:rsidP="00D97251">
            <w:pPr>
              <w:contextualSpacing/>
              <w:jc w:val="right"/>
              <w:rPr>
                <w:rFonts w:cs="Arial"/>
                <w:color w:val="000000"/>
                <w:sz w:val="18"/>
                <w:szCs w:val="18"/>
              </w:rPr>
            </w:pPr>
            <w:r w:rsidRPr="00D97251">
              <w:rPr>
                <w:rFonts w:cs="Arial"/>
                <w:color w:val="000000"/>
                <w:sz w:val="18"/>
                <w:szCs w:val="18"/>
              </w:rPr>
              <w:t>46 089</w:t>
            </w:r>
          </w:p>
        </w:tc>
        <w:tc>
          <w:tcPr>
            <w:tcW w:w="1000" w:type="dxa"/>
            <w:gridSpan w:val="2"/>
            <w:vAlign w:val="bottom"/>
          </w:tcPr>
          <w:p w14:paraId="26B7F763" w14:textId="00C71562" w:rsidR="00D97251" w:rsidRPr="00D97251" w:rsidRDefault="00D97251" w:rsidP="00D97251">
            <w:pPr>
              <w:contextualSpacing/>
              <w:jc w:val="right"/>
              <w:rPr>
                <w:rFonts w:cs="Arial"/>
                <w:color w:val="000000"/>
                <w:sz w:val="18"/>
                <w:szCs w:val="18"/>
              </w:rPr>
            </w:pPr>
            <w:r w:rsidRPr="00D97251">
              <w:rPr>
                <w:rFonts w:cs="Arial"/>
                <w:color w:val="000000"/>
                <w:sz w:val="18"/>
                <w:szCs w:val="18"/>
              </w:rPr>
              <w:t>71</w:t>
            </w:r>
            <w:r>
              <w:rPr>
                <w:rFonts w:cs="Arial"/>
                <w:color w:val="000000"/>
                <w:sz w:val="18"/>
                <w:szCs w:val="18"/>
              </w:rPr>
              <w:t xml:space="preserve"> </w:t>
            </w:r>
            <w:r w:rsidRPr="00D97251">
              <w:rPr>
                <w:rFonts w:cs="Arial"/>
                <w:color w:val="000000"/>
                <w:sz w:val="18"/>
                <w:szCs w:val="18"/>
              </w:rPr>
              <w:t>335</w:t>
            </w:r>
          </w:p>
        </w:tc>
      </w:tr>
      <w:tr w:rsidR="00D97251" w:rsidRPr="00D97251" w14:paraId="233F9781" w14:textId="51A47FDC" w:rsidTr="00C6517A">
        <w:trPr>
          <w:gridAfter w:val="1"/>
          <w:wAfter w:w="6" w:type="dxa"/>
          <w:trHeight w:val="21"/>
        </w:trPr>
        <w:tc>
          <w:tcPr>
            <w:tcW w:w="942" w:type="dxa"/>
            <w:vAlign w:val="center"/>
            <w:hideMark/>
          </w:tcPr>
          <w:p w14:paraId="3F3F2610" w14:textId="77777777" w:rsidR="00D97251" w:rsidRPr="00D97251" w:rsidRDefault="00D97251" w:rsidP="00D97251">
            <w:pPr>
              <w:contextualSpacing/>
              <w:rPr>
                <w:rFonts w:cs="Arial"/>
                <w:b/>
                <w:sz w:val="18"/>
                <w:szCs w:val="18"/>
              </w:rPr>
            </w:pPr>
            <w:r w:rsidRPr="00D97251">
              <w:rPr>
                <w:rFonts w:cs="Arial"/>
                <w:b/>
                <w:sz w:val="18"/>
                <w:szCs w:val="18"/>
              </w:rPr>
              <w:t>Vltavy</w:t>
            </w:r>
          </w:p>
        </w:tc>
        <w:tc>
          <w:tcPr>
            <w:tcW w:w="1000" w:type="dxa"/>
            <w:vAlign w:val="bottom"/>
          </w:tcPr>
          <w:p w14:paraId="74A40004" w14:textId="40DFBD64" w:rsidR="00D97251" w:rsidRPr="00D97251" w:rsidRDefault="00D97251" w:rsidP="00D97251">
            <w:pPr>
              <w:ind w:firstLineChars="100" w:firstLine="180"/>
              <w:contextualSpacing/>
              <w:jc w:val="right"/>
              <w:rPr>
                <w:rFonts w:cs="Arial"/>
                <w:sz w:val="18"/>
                <w:szCs w:val="18"/>
              </w:rPr>
            </w:pPr>
            <w:r w:rsidRPr="00D97251">
              <w:rPr>
                <w:rFonts w:cs="Arial"/>
                <w:sz w:val="18"/>
                <w:szCs w:val="18"/>
              </w:rPr>
              <w:t>13 711</w:t>
            </w:r>
          </w:p>
        </w:tc>
        <w:tc>
          <w:tcPr>
            <w:tcW w:w="1000" w:type="dxa"/>
            <w:vAlign w:val="bottom"/>
          </w:tcPr>
          <w:p w14:paraId="52A17FE1" w14:textId="62717FEA" w:rsidR="00D97251" w:rsidRPr="00D97251" w:rsidRDefault="00D97251" w:rsidP="00D97251">
            <w:pPr>
              <w:ind w:firstLineChars="100" w:firstLine="180"/>
              <w:contextualSpacing/>
              <w:jc w:val="right"/>
              <w:rPr>
                <w:rFonts w:cs="Arial"/>
                <w:sz w:val="18"/>
                <w:szCs w:val="18"/>
              </w:rPr>
            </w:pPr>
            <w:r w:rsidRPr="00D97251">
              <w:rPr>
                <w:rFonts w:cs="Arial"/>
                <w:sz w:val="18"/>
                <w:szCs w:val="18"/>
              </w:rPr>
              <w:t>73 880</w:t>
            </w:r>
          </w:p>
        </w:tc>
        <w:tc>
          <w:tcPr>
            <w:tcW w:w="1000" w:type="dxa"/>
            <w:vAlign w:val="bottom"/>
          </w:tcPr>
          <w:p w14:paraId="18B3C045" w14:textId="37452500" w:rsidR="00D97251" w:rsidRPr="00D97251" w:rsidRDefault="00D97251" w:rsidP="00D97251">
            <w:pPr>
              <w:ind w:firstLineChars="100" w:firstLine="180"/>
              <w:contextualSpacing/>
              <w:jc w:val="right"/>
              <w:rPr>
                <w:rFonts w:cs="Arial"/>
                <w:sz w:val="18"/>
                <w:szCs w:val="18"/>
              </w:rPr>
            </w:pPr>
            <w:r w:rsidRPr="00D97251">
              <w:rPr>
                <w:rFonts w:cs="Arial"/>
                <w:sz w:val="18"/>
                <w:szCs w:val="18"/>
              </w:rPr>
              <w:t>49 221</w:t>
            </w:r>
          </w:p>
        </w:tc>
        <w:tc>
          <w:tcPr>
            <w:tcW w:w="1000" w:type="dxa"/>
            <w:vAlign w:val="bottom"/>
          </w:tcPr>
          <w:p w14:paraId="42E3CF43" w14:textId="72A9478A" w:rsidR="00D97251" w:rsidRPr="00D97251" w:rsidRDefault="00D97251" w:rsidP="00D97251">
            <w:pPr>
              <w:ind w:firstLineChars="100" w:firstLine="180"/>
              <w:contextualSpacing/>
              <w:jc w:val="right"/>
              <w:rPr>
                <w:rFonts w:cs="Arial"/>
                <w:sz w:val="18"/>
                <w:szCs w:val="18"/>
              </w:rPr>
            </w:pPr>
            <w:r w:rsidRPr="00D97251">
              <w:rPr>
                <w:rFonts w:cs="Arial"/>
                <w:sz w:val="18"/>
                <w:szCs w:val="18"/>
              </w:rPr>
              <w:t>67 123</w:t>
            </w:r>
          </w:p>
        </w:tc>
        <w:tc>
          <w:tcPr>
            <w:tcW w:w="1000" w:type="dxa"/>
            <w:vAlign w:val="bottom"/>
          </w:tcPr>
          <w:p w14:paraId="38932005" w14:textId="632A7177" w:rsidR="00D97251" w:rsidRPr="00D97251" w:rsidRDefault="00D97251" w:rsidP="00D97251">
            <w:pPr>
              <w:contextualSpacing/>
              <w:jc w:val="right"/>
              <w:rPr>
                <w:rFonts w:cs="Arial"/>
                <w:sz w:val="18"/>
                <w:szCs w:val="18"/>
              </w:rPr>
            </w:pPr>
            <w:r w:rsidRPr="00D97251">
              <w:rPr>
                <w:rFonts w:cs="Arial"/>
                <w:sz w:val="18"/>
                <w:szCs w:val="18"/>
              </w:rPr>
              <w:t>74 489</w:t>
            </w:r>
          </w:p>
        </w:tc>
        <w:tc>
          <w:tcPr>
            <w:tcW w:w="1000" w:type="dxa"/>
            <w:vAlign w:val="bottom"/>
          </w:tcPr>
          <w:p w14:paraId="7F40421E" w14:textId="6E4FD7A4" w:rsidR="00D97251" w:rsidRPr="00D97251" w:rsidRDefault="00D97251" w:rsidP="00D97251">
            <w:pPr>
              <w:contextualSpacing/>
              <w:jc w:val="right"/>
              <w:rPr>
                <w:rFonts w:cs="Arial"/>
                <w:sz w:val="18"/>
                <w:szCs w:val="18"/>
              </w:rPr>
            </w:pPr>
            <w:r w:rsidRPr="00D97251">
              <w:rPr>
                <w:rFonts w:cs="Arial"/>
                <w:sz w:val="18"/>
                <w:szCs w:val="18"/>
              </w:rPr>
              <w:t>24 379</w:t>
            </w:r>
          </w:p>
        </w:tc>
        <w:tc>
          <w:tcPr>
            <w:tcW w:w="1000" w:type="dxa"/>
            <w:vAlign w:val="bottom"/>
          </w:tcPr>
          <w:p w14:paraId="5F358516" w14:textId="4870C5B0" w:rsidR="00D97251" w:rsidRPr="00D97251" w:rsidRDefault="00D97251" w:rsidP="00D97251">
            <w:pPr>
              <w:contextualSpacing/>
              <w:jc w:val="right"/>
              <w:rPr>
                <w:rFonts w:cs="Arial"/>
                <w:sz w:val="18"/>
                <w:szCs w:val="18"/>
              </w:rPr>
            </w:pPr>
            <w:r w:rsidRPr="00D97251">
              <w:rPr>
                <w:rFonts w:cs="Arial"/>
                <w:sz w:val="18"/>
                <w:szCs w:val="18"/>
              </w:rPr>
              <w:t>96 751</w:t>
            </w:r>
          </w:p>
        </w:tc>
        <w:tc>
          <w:tcPr>
            <w:tcW w:w="1000" w:type="dxa"/>
            <w:vAlign w:val="bottom"/>
          </w:tcPr>
          <w:p w14:paraId="5B78FEF9" w14:textId="3CDB4125" w:rsidR="00D97251" w:rsidRPr="00D97251" w:rsidRDefault="00D97251" w:rsidP="00D97251">
            <w:pPr>
              <w:contextualSpacing/>
              <w:jc w:val="right"/>
              <w:rPr>
                <w:rFonts w:cs="Arial"/>
                <w:sz w:val="18"/>
                <w:szCs w:val="18"/>
              </w:rPr>
            </w:pPr>
            <w:r w:rsidRPr="00D97251">
              <w:rPr>
                <w:rFonts w:cs="Arial"/>
                <w:color w:val="000000"/>
                <w:sz w:val="18"/>
                <w:szCs w:val="18"/>
              </w:rPr>
              <w:t>43 629</w:t>
            </w:r>
          </w:p>
        </w:tc>
        <w:tc>
          <w:tcPr>
            <w:tcW w:w="1000" w:type="dxa"/>
            <w:vAlign w:val="bottom"/>
          </w:tcPr>
          <w:p w14:paraId="3E6390ED" w14:textId="06720912" w:rsidR="00D97251" w:rsidRPr="00D97251" w:rsidRDefault="00D97251" w:rsidP="00D97251">
            <w:pPr>
              <w:contextualSpacing/>
              <w:jc w:val="right"/>
              <w:rPr>
                <w:rFonts w:cs="Arial"/>
                <w:color w:val="000000"/>
                <w:sz w:val="18"/>
                <w:szCs w:val="18"/>
              </w:rPr>
            </w:pPr>
            <w:r w:rsidRPr="00D97251">
              <w:rPr>
                <w:rFonts w:cs="Arial"/>
                <w:color w:val="000000"/>
                <w:sz w:val="18"/>
                <w:szCs w:val="18"/>
              </w:rPr>
              <w:t>131 432</w:t>
            </w:r>
          </w:p>
        </w:tc>
        <w:tc>
          <w:tcPr>
            <w:tcW w:w="1000" w:type="dxa"/>
            <w:gridSpan w:val="2"/>
            <w:vAlign w:val="bottom"/>
          </w:tcPr>
          <w:p w14:paraId="2ECA0B9E" w14:textId="708BF564" w:rsidR="00D97251" w:rsidRPr="00D97251" w:rsidRDefault="00D97251" w:rsidP="00D97251">
            <w:pPr>
              <w:contextualSpacing/>
              <w:jc w:val="right"/>
              <w:rPr>
                <w:rFonts w:cs="Arial"/>
                <w:color w:val="000000"/>
                <w:sz w:val="18"/>
                <w:szCs w:val="18"/>
              </w:rPr>
            </w:pPr>
            <w:r w:rsidRPr="00D97251">
              <w:rPr>
                <w:rFonts w:cs="Arial"/>
                <w:color w:val="000000"/>
                <w:sz w:val="18"/>
                <w:szCs w:val="18"/>
              </w:rPr>
              <w:t>71</w:t>
            </w:r>
            <w:r>
              <w:rPr>
                <w:rFonts w:cs="Arial"/>
                <w:color w:val="000000"/>
                <w:sz w:val="18"/>
                <w:szCs w:val="18"/>
              </w:rPr>
              <w:t xml:space="preserve"> </w:t>
            </w:r>
            <w:r w:rsidRPr="00D97251">
              <w:rPr>
                <w:rFonts w:cs="Arial"/>
                <w:color w:val="000000"/>
                <w:sz w:val="18"/>
                <w:szCs w:val="18"/>
              </w:rPr>
              <w:t>353</w:t>
            </w:r>
          </w:p>
        </w:tc>
      </w:tr>
      <w:tr w:rsidR="00D97251" w:rsidRPr="00D97251" w14:paraId="5381B25D" w14:textId="55FBE940" w:rsidTr="00C6517A">
        <w:trPr>
          <w:gridAfter w:val="1"/>
          <w:wAfter w:w="6" w:type="dxa"/>
          <w:trHeight w:val="21"/>
        </w:trPr>
        <w:tc>
          <w:tcPr>
            <w:tcW w:w="942" w:type="dxa"/>
            <w:vAlign w:val="center"/>
            <w:hideMark/>
          </w:tcPr>
          <w:p w14:paraId="59A3E2AA" w14:textId="77777777" w:rsidR="00D97251" w:rsidRPr="00D97251" w:rsidRDefault="00D97251" w:rsidP="00D97251">
            <w:pPr>
              <w:contextualSpacing/>
              <w:rPr>
                <w:rFonts w:cs="Arial"/>
                <w:b/>
                <w:sz w:val="18"/>
                <w:szCs w:val="18"/>
              </w:rPr>
            </w:pPr>
            <w:r w:rsidRPr="00D97251">
              <w:rPr>
                <w:rFonts w:cs="Arial"/>
                <w:b/>
                <w:sz w:val="18"/>
                <w:szCs w:val="18"/>
              </w:rPr>
              <w:t>Ohře</w:t>
            </w:r>
          </w:p>
        </w:tc>
        <w:tc>
          <w:tcPr>
            <w:tcW w:w="1000" w:type="dxa"/>
            <w:vAlign w:val="bottom"/>
          </w:tcPr>
          <w:p w14:paraId="7F3B7370" w14:textId="00EEB8ED" w:rsidR="00D97251" w:rsidRPr="00D97251" w:rsidRDefault="00D97251" w:rsidP="00D97251">
            <w:pPr>
              <w:ind w:firstLineChars="100" w:firstLine="180"/>
              <w:contextualSpacing/>
              <w:jc w:val="right"/>
              <w:rPr>
                <w:rFonts w:cs="Arial"/>
                <w:sz w:val="18"/>
                <w:szCs w:val="18"/>
              </w:rPr>
            </w:pPr>
            <w:r w:rsidRPr="00D97251">
              <w:rPr>
                <w:rFonts w:cs="Arial"/>
                <w:sz w:val="18"/>
                <w:szCs w:val="18"/>
              </w:rPr>
              <w:t>27 422</w:t>
            </w:r>
          </w:p>
        </w:tc>
        <w:tc>
          <w:tcPr>
            <w:tcW w:w="1000" w:type="dxa"/>
            <w:vAlign w:val="bottom"/>
          </w:tcPr>
          <w:p w14:paraId="26C88E2B" w14:textId="6139024F" w:rsidR="00D97251" w:rsidRPr="00D97251" w:rsidRDefault="00D97251" w:rsidP="00D97251">
            <w:pPr>
              <w:ind w:firstLineChars="100" w:firstLine="180"/>
              <w:contextualSpacing/>
              <w:jc w:val="right"/>
              <w:rPr>
                <w:rFonts w:cs="Arial"/>
                <w:sz w:val="18"/>
                <w:szCs w:val="18"/>
              </w:rPr>
            </w:pPr>
            <w:r w:rsidRPr="00D97251">
              <w:rPr>
                <w:rFonts w:cs="Arial"/>
                <w:sz w:val="18"/>
                <w:szCs w:val="18"/>
              </w:rPr>
              <w:t>169 652</w:t>
            </w:r>
          </w:p>
        </w:tc>
        <w:tc>
          <w:tcPr>
            <w:tcW w:w="1000" w:type="dxa"/>
            <w:vAlign w:val="bottom"/>
          </w:tcPr>
          <w:p w14:paraId="7702D279" w14:textId="631A82F7" w:rsidR="00D97251" w:rsidRPr="00D97251" w:rsidRDefault="00D97251" w:rsidP="00D97251">
            <w:pPr>
              <w:ind w:firstLineChars="100" w:firstLine="180"/>
              <w:contextualSpacing/>
              <w:jc w:val="right"/>
              <w:rPr>
                <w:rFonts w:cs="Arial"/>
                <w:sz w:val="18"/>
                <w:szCs w:val="18"/>
              </w:rPr>
            </w:pPr>
            <w:r w:rsidRPr="00D97251">
              <w:rPr>
                <w:rFonts w:cs="Arial"/>
                <w:sz w:val="18"/>
                <w:szCs w:val="18"/>
              </w:rPr>
              <w:t>73 346</w:t>
            </w:r>
          </w:p>
        </w:tc>
        <w:tc>
          <w:tcPr>
            <w:tcW w:w="1000" w:type="dxa"/>
            <w:vAlign w:val="bottom"/>
          </w:tcPr>
          <w:p w14:paraId="42515768" w14:textId="0B1F231D" w:rsidR="00D97251" w:rsidRPr="00D97251" w:rsidRDefault="00D97251" w:rsidP="00D97251">
            <w:pPr>
              <w:ind w:firstLineChars="100" w:firstLine="180"/>
              <w:contextualSpacing/>
              <w:jc w:val="right"/>
              <w:rPr>
                <w:rFonts w:cs="Arial"/>
                <w:sz w:val="18"/>
                <w:szCs w:val="18"/>
              </w:rPr>
            </w:pPr>
            <w:r w:rsidRPr="00D97251">
              <w:rPr>
                <w:rFonts w:cs="Arial"/>
                <w:sz w:val="18"/>
                <w:szCs w:val="18"/>
              </w:rPr>
              <w:t>41 380</w:t>
            </w:r>
          </w:p>
        </w:tc>
        <w:tc>
          <w:tcPr>
            <w:tcW w:w="1000" w:type="dxa"/>
            <w:vAlign w:val="bottom"/>
          </w:tcPr>
          <w:p w14:paraId="4592F68A" w14:textId="4492B9CB" w:rsidR="00D97251" w:rsidRPr="00D97251" w:rsidRDefault="00D97251" w:rsidP="00D97251">
            <w:pPr>
              <w:contextualSpacing/>
              <w:jc w:val="right"/>
              <w:rPr>
                <w:rFonts w:cs="Arial"/>
                <w:sz w:val="18"/>
                <w:szCs w:val="18"/>
              </w:rPr>
            </w:pPr>
            <w:r w:rsidRPr="00D97251">
              <w:rPr>
                <w:rFonts w:cs="Arial"/>
                <w:sz w:val="18"/>
                <w:szCs w:val="18"/>
              </w:rPr>
              <w:t>25 387</w:t>
            </w:r>
          </w:p>
        </w:tc>
        <w:tc>
          <w:tcPr>
            <w:tcW w:w="1000" w:type="dxa"/>
            <w:vAlign w:val="bottom"/>
          </w:tcPr>
          <w:p w14:paraId="3208EA18" w14:textId="4BEE8BAB" w:rsidR="00D97251" w:rsidRPr="00D97251" w:rsidRDefault="00D97251" w:rsidP="00D97251">
            <w:pPr>
              <w:contextualSpacing/>
              <w:jc w:val="right"/>
              <w:rPr>
                <w:rFonts w:cs="Arial"/>
                <w:sz w:val="18"/>
                <w:szCs w:val="18"/>
              </w:rPr>
            </w:pPr>
            <w:r w:rsidRPr="00D97251">
              <w:rPr>
                <w:rFonts w:cs="Arial"/>
                <w:sz w:val="18"/>
                <w:szCs w:val="18"/>
              </w:rPr>
              <w:t>18 262</w:t>
            </w:r>
          </w:p>
        </w:tc>
        <w:tc>
          <w:tcPr>
            <w:tcW w:w="1000" w:type="dxa"/>
            <w:vAlign w:val="bottom"/>
          </w:tcPr>
          <w:p w14:paraId="1B096C05" w14:textId="3F073AF8" w:rsidR="00D97251" w:rsidRPr="00D97251" w:rsidRDefault="00D97251" w:rsidP="00D97251">
            <w:pPr>
              <w:contextualSpacing/>
              <w:jc w:val="right"/>
              <w:rPr>
                <w:rFonts w:cs="Arial"/>
                <w:sz w:val="18"/>
                <w:szCs w:val="18"/>
              </w:rPr>
            </w:pPr>
            <w:r w:rsidRPr="00D97251">
              <w:rPr>
                <w:rFonts w:cs="Arial"/>
                <w:sz w:val="18"/>
                <w:szCs w:val="18"/>
              </w:rPr>
              <w:t>104</w:t>
            </w:r>
          </w:p>
        </w:tc>
        <w:tc>
          <w:tcPr>
            <w:tcW w:w="1000" w:type="dxa"/>
            <w:vAlign w:val="bottom"/>
          </w:tcPr>
          <w:p w14:paraId="15358F3E" w14:textId="425EF17F" w:rsidR="00D97251" w:rsidRPr="00D97251" w:rsidRDefault="00D97251" w:rsidP="00D97251">
            <w:pPr>
              <w:contextualSpacing/>
              <w:jc w:val="right"/>
              <w:rPr>
                <w:rFonts w:cs="Arial"/>
                <w:sz w:val="18"/>
                <w:szCs w:val="18"/>
              </w:rPr>
            </w:pPr>
            <w:r w:rsidRPr="00D97251">
              <w:rPr>
                <w:rFonts w:cs="Arial"/>
                <w:color w:val="000000"/>
                <w:sz w:val="18"/>
                <w:szCs w:val="18"/>
              </w:rPr>
              <w:t>92 719</w:t>
            </w:r>
          </w:p>
        </w:tc>
        <w:tc>
          <w:tcPr>
            <w:tcW w:w="1000" w:type="dxa"/>
            <w:vAlign w:val="bottom"/>
          </w:tcPr>
          <w:p w14:paraId="3D80D041" w14:textId="5FD2ABEA" w:rsidR="00D97251" w:rsidRPr="00D97251" w:rsidRDefault="00D97251" w:rsidP="00D97251">
            <w:pPr>
              <w:contextualSpacing/>
              <w:jc w:val="right"/>
              <w:rPr>
                <w:rFonts w:cs="Arial"/>
                <w:color w:val="000000"/>
                <w:sz w:val="18"/>
                <w:szCs w:val="18"/>
              </w:rPr>
            </w:pPr>
            <w:r w:rsidRPr="00D97251">
              <w:rPr>
                <w:rFonts w:cs="Arial"/>
                <w:color w:val="000000"/>
                <w:sz w:val="18"/>
                <w:szCs w:val="18"/>
              </w:rPr>
              <w:t>162 131</w:t>
            </w:r>
          </w:p>
        </w:tc>
        <w:tc>
          <w:tcPr>
            <w:tcW w:w="1000" w:type="dxa"/>
            <w:gridSpan w:val="2"/>
            <w:vAlign w:val="bottom"/>
          </w:tcPr>
          <w:p w14:paraId="3C302E84" w14:textId="4451DE49" w:rsidR="00D97251" w:rsidRPr="00D97251" w:rsidRDefault="00D97251" w:rsidP="00D97251">
            <w:pPr>
              <w:contextualSpacing/>
              <w:jc w:val="right"/>
              <w:rPr>
                <w:rFonts w:cs="Arial"/>
                <w:color w:val="000000"/>
                <w:sz w:val="18"/>
                <w:szCs w:val="18"/>
              </w:rPr>
            </w:pPr>
            <w:r w:rsidRPr="00D97251">
              <w:rPr>
                <w:rFonts w:cs="Arial"/>
                <w:color w:val="000000"/>
                <w:sz w:val="18"/>
                <w:szCs w:val="18"/>
              </w:rPr>
              <w:t>65</w:t>
            </w:r>
            <w:r>
              <w:rPr>
                <w:rFonts w:cs="Arial"/>
                <w:color w:val="000000"/>
                <w:sz w:val="18"/>
                <w:szCs w:val="18"/>
              </w:rPr>
              <w:t xml:space="preserve"> </w:t>
            </w:r>
            <w:r w:rsidRPr="00D97251">
              <w:rPr>
                <w:rFonts w:cs="Arial"/>
                <w:color w:val="000000"/>
                <w:sz w:val="18"/>
                <w:szCs w:val="18"/>
              </w:rPr>
              <w:t>465</w:t>
            </w:r>
          </w:p>
        </w:tc>
      </w:tr>
      <w:tr w:rsidR="00D97251" w:rsidRPr="00D97251" w14:paraId="663233C9" w14:textId="1082C428" w:rsidTr="00C6517A">
        <w:trPr>
          <w:gridAfter w:val="1"/>
          <w:wAfter w:w="6" w:type="dxa"/>
          <w:trHeight w:val="21"/>
        </w:trPr>
        <w:tc>
          <w:tcPr>
            <w:tcW w:w="942" w:type="dxa"/>
            <w:vAlign w:val="center"/>
            <w:hideMark/>
          </w:tcPr>
          <w:p w14:paraId="31A47C9E" w14:textId="77777777" w:rsidR="00D97251" w:rsidRPr="00D97251" w:rsidRDefault="00D97251" w:rsidP="00D97251">
            <w:pPr>
              <w:contextualSpacing/>
              <w:rPr>
                <w:rFonts w:cs="Arial"/>
                <w:b/>
                <w:sz w:val="18"/>
                <w:szCs w:val="18"/>
              </w:rPr>
            </w:pPr>
            <w:r w:rsidRPr="00D97251">
              <w:rPr>
                <w:rFonts w:cs="Arial"/>
                <w:b/>
                <w:sz w:val="18"/>
                <w:szCs w:val="18"/>
              </w:rPr>
              <w:t>Odry</w:t>
            </w:r>
          </w:p>
        </w:tc>
        <w:tc>
          <w:tcPr>
            <w:tcW w:w="1000" w:type="dxa"/>
            <w:vAlign w:val="bottom"/>
          </w:tcPr>
          <w:p w14:paraId="0E4D8348" w14:textId="1F33D9B9" w:rsidR="00D97251" w:rsidRPr="00D97251" w:rsidRDefault="00D97251" w:rsidP="00D97251">
            <w:pPr>
              <w:ind w:firstLineChars="100" w:firstLine="180"/>
              <w:contextualSpacing/>
              <w:jc w:val="right"/>
              <w:rPr>
                <w:rFonts w:cs="Arial"/>
                <w:sz w:val="18"/>
                <w:szCs w:val="18"/>
              </w:rPr>
            </w:pPr>
            <w:r w:rsidRPr="00D97251">
              <w:rPr>
                <w:rFonts w:cs="Arial"/>
                <w:sz w:val="18"/>
                <w:szCs w:val="18"/>
              </w:rPr>
              <w:t>20 845</w:t>
            </w:r>
          </w:p>
        </w:tc>
        <w:tc>
          <w:tcPr>
            <w:tcW w:w="1000" w:type="dxa"/>
            <w:vAlign w:val="bottom"/>
          </w:tcPr>
          <w:p w14:paraId="4EB21861" w14:textId="23343EC3" w:rsidR="00D97251" w:rsidRPr="00D97251" w:rsidRDefault="00D97251" w:rsidP="00D97251">
            <w:pPr>
              <w:ind w:firstLineChars="100" w:firstLine="180"/>
              <w:contextualSpacing/>
              <w:jc w:val="right"/>
              <w:rPr>
                <w:rFonts w:cs="Arial"/>
                <w:sz w:val="18"/>
                <w:szCs w:val="18"/>
              </w:rPr>
            </w:pPr>
            <w:r w:rsidRPr="00D97251">
              <w:rPr>
                <w:rFonts w:cs="Arial"/>
                <w:sz w:val="18"/>
                <w:szCs w:val="18"/>
              </w:rPr>
              <w:t>22 291</w:t>
            </w:r>
          </w:p>
        </w:tc>
        <w:tc>
          <w:tcPr>
            <w:tcW w:w="1000" w:type="dxa"/>
            <w:vAlign w:val="bottom"/>
          </w:tcPr>
          <w:p w14:paraId="215E160F" w14:textId="26588D4B" w:rsidR="00D97251" w:rsidRPr="00D97251" w:rsidRDefault="00D97251" w:rsidP="00D97251">
            <w:pPr>
              <w:ind w:firstLineChars="100" w:firstLine="180"/>
              <w:contextualSpacing/>
              <w:jc w:val="right"/>
              <w:rPr>
                <w:rFonts w:cs="Arial"/>
                <w:sz w:val="18"/>
                <w:szCs w:val="18"/>
              </w:rPr>
            </w:pPr>
            <w:r w:rsidRPr="00D97251">
              <w:rPr>
                <w:rFonts w:cs="Arial"/>
                <w:sz w:val="18"/>
                <w:szCs w:val="18"/>
              </w:rPr>
              <w:t>53 053</w:t>
            </w:r>
          </w:p>
        </w:tc>
        <w:tc>
          <w:tcPr>
            <w:tcW w:w="1000" w:type="dxa"/>
            <w:vAlign w:val="bottom"/>
          </w:tcPr>
          <w:p w14:paraId="3181089A" w14:textId="2E31308B" w:rsidR="00D97251" w:rsidRPr="00D97251" w:rsidRDefault="00D97251" w:rsidP="00D97251">
            <w:pPr>
              <w:ind w:firstLineChars="100" w:firstLine="180"/>
              <w:contextualSpacing/>
              <w:jc w:val="right"/>
              <w:rPr>
                <w:rFonts w:cs="Arial"/>
                <w:sz w:val="18"/>
                <w:szCs w:val="18"/>
              </w:rPr>
            </w:pPr>
            <w:r w:rsidRPr="00D97251">
              <w:rPr>
                <w:rFonts w:cs="Arial"/>
                <w:sz w:val="18"/>
                <w:szCs w:val="18"/>
              </w:rPr>
              <w:t>9 503</w:t>
            </w:r>
          </w:p>
        </w:tc>
        <w:tc>
          <w:tcPr>
            <w:tcW w:w="1000" w:type="dxa"/>
            <w:vAlign w:val="bottom"/>
          </w:tcPr>
          <w:p w14:paraId="3E33DCE7" w14:textId="3020041D" w:rsidR="00D97251" w:rsidRPr="00D97251" w:rsidRDefault="00D97251" w:rsidP="00D97251">
            <w:pPr>
              <w:contextualSpacing/>
              <w:jc w:val="right"/>
              <w:rPr>
                <w:rFonts w:cs="Arial"/>
                <w:sz w:val="18"/>
                <w:szCs w:val="18"/>
              </w:rPr>
            </w:pPr>
            <w:r w:rsidRPr="00D97251">
              <w:rPr>
                <w:rFonts w:cs="Arial"/>
                <w:sz w:val="18"/>
                <w:szCs w:val="18"/>
              </w:rPr>
              <w:t>14 826</w:t>
            </w:r>
          </w:p>
        </w:tc>
        <w:tc>
          <w:tcPr>
            <w:tcW w:w="1000" w:type="dxa"/>
            <w:vAlign w:val="bottom"/>
          </w:tcPr>
          <w:p w14:paraId="66AE6567" w14:textId="574A882D" w:rsidR="00D97251" w:rsidRPr="00D97251" w:rsidRDefault="00D97251" w:rsidP="00D97251">
            <w:pPr>
              <w:contextualSpacing/>
              <w:jc w:val="right"/>
              <w:rPr>
                <w:rFonts w:cs="Arial"/>
                <w:sz w:val="18"/>
                <w:szCs w:val="18"/>
              </w:rPr>
            </w:pPr>
            <w:r w:rsidRPr="00D97251">
              <w:rPr>
                <w:rFonts w:cs="Arial"/>
                <w:sz w:val="18"/>
                <w:szCs w:val="18"/>
              </w:rPr>
              <w:t>17 224</w:t>
            </w:r>
          </w:p>
        </w:tc>
        <w:tc>
          <w:tcPr>
            <w:tcW w:w="1000" w:type="dxa"/>
            <w:vAlign w:val="bottom"/>
          </w:tcPr>
          <w:p w14:paraId="4B75184E" w14:textId="1B1C031A" w:rsidR="00D97251" w:rsidRPr="00D97251" w:rsidRDefault="00D97251" w:rsidP="00D97251">
            <w:pPr>
              <w:contextualSpacing/>
              <w:jc w:val="right"/>
              <w:rPr>
                <w:rFonts w:cs="Arial"/>
                <w:sz w:val="18"/>
                <w:szCs w:val="18"/>
              </w:rPr>
            </w:pPr>
            <w:r w:rsidRPr="00D97251">
              <w:rPr>
                <w:rFonts w:cs="Arial"/>
                <w:sz w:val="18"/>
                <w:szCs w:val="18"/>
              </w:rPr>
              <w:t>20 973</w:t>
            </w:r>
          </w:p>
        </w:tc>
        <w:tc>
          <w:tcPr>
            <w:tcW w:w="1000" w:type="dxa"/>
            <w:vAlign w:val="bottom"/>
          </w:tcPr>
          <w:p w14:paraId="19DCAD79" w14:textId="4F6372CC" w:rsidR="00D97251" w:rsidRPr="00D97251" w:rsidRDefault="00D97251" w:rsidP="00D97251">
            <w:pPr>
              <w:contextualSpacing/>
              <w:jc w:val="right"/>
              <w:rPr>
                <w:rFonts w:cs="Arial"/>
                <w:sz w:val="18"/>
                <w:szCs w:val="18"/>
              </w:rPr>
            </w:pPr>
            <w:r w:rsidRPr="00D97251">
              <w:rPr>
                <w:rFonts w:cs="Arial"/>
                <w:color w:val="000000"/>
                <w:sz w:val="18"/>
                <w:szCs w:val="18"/>
              </w:rPr>
              <w:t>64 508</w:t>
            </w:r>
          </w:p>
        </w:tc>
        <w:tc>
          <w:tcPr>
            <w:tcW w:w="1000" w:type="dxa"/>
            <w:vAlign w:val="bottom"/>
          </w:tcPr>
          <w:p w14:paraId="16DDC48E" w14:textId="301A0893" w:rsidR="00D97251" w:rsidRPr="00D97251" w:rsidRDefault="00D97251" w:rsidP="00D97251">
            <w:pPr>
              <w:contextualSpacing/>
              <w:jc w:val="right"/>
              <w:rPr>
                <w:rFonts w:cs="Arial"/>
                <w:color w:val="000000"/>
                <w:sz w:val="18"/>
                <w:szCs w:val="18"/>
              </w:rPr>
            </w:pPr>
            <w:r w:rsidRPr="00D97251">
              <w:rPr>
                <w:rFonts w:cs="Arial"/>
                <w:color w:val="000000"/>
                <w:sz w:val="18"/>
                <w:szCs w:val="18"/>
              </w:rPr>
              <w:t>-8 683</w:t>
            </w:r>
          </w:p>
        </w:tc>
        <w:tc>
          <w:tcPr>
            <w:tcW w:w="1000" w:type="dxa"/>
            <w:gridSpan w:val="2"/>
            <w:vAlign w:val="bottom"/>
          </w:tcPr>
          <w:p w14:paraId="03ABDAEC" w14:textId="13C97D8D" w:rsidR="00D97251" w:rsidRPr="00D97251" w:rsidRDefault="00D97251" w:rsidP="00D97251">
            <w:pPr>
              <w:contextualSpacing/>
              <w:jc w:val="right"/>
              <w:rPr>
                <w:rFonts w:cs="Arial"/>
                <w:color w:val="000000"/>
                <w:sz w:val="18"/>
                <w:szCs w:val="18"/>
              </w:rPr>
            </w:pPr>
            <w:r w:rsidRPr="00D97251">
              <w:rPr>
                <w:rFonts w:cs="Arial"/>
                <w:color w:val="000000"/>
                <w:sz w:val="18"/>
                <w:szCs w:val="18"/>
              </w:rPr>
              <w:t>95</w:t>
            </w:r>
            <w:r>
              <w:rPr>
                <w:rFonts w:cs="Arial"/>
                <w:color w:val="000000"/>
                <w:sz w:val="18"/>
                <w:szCs w:val="18"/>
              </w:rPr>
              <w:t xml:space="preserve"> </w:t>
            </w:r>
            <w:r w:rsidRPr="00D97251">
              <w:rPr>
                <w:rFonts w:cs="Arial"/>
                <w:color w:val="000000"/>
                <w:sz w:val="18"/>
                <w:szCs w:val="18"/>
              </w:rPr>
              <w:t>433</w:t>
            </w:r>
          </w:p>
        </w:tc>
      </w:tr>
      <w:tr w:rsidR="00D97251" w:rsidRPr="00D97251" w14:paraId="740F6B42" w14:textId="77C1EBB4" w:rsidTr="00C6517A">
        <w:trPr>
          <w:gridAfter w:val="1"/>
          <w:wAfter w:w="6" w:type="dxa"/>
          <w:trHeight w:val="21"/>
        </w:trPr>
        <w:tc>
          <w:tcPr>
            <w:tcW w:w="942" w:type="dxa"/>
            <w:vAlign w:val="center"/>
            <w:hideMark/>
          </w:tcPr>
          <w:p w14:paraId="2EF9A2DA" w14:textId="77777777" w:rsidR="00D97251" w:rsidRPr="00D97251" w:rsidRDefault="00D97251" w:rsidP="00D97251">
            <w:pPr>
              <w:contextualSpacing/>
              <w:rPr>
                <w:rFonts w:cs="Arial"/>
                <w:b/>
                <w:sz w:val="18"/>
                <w:szCs w:val="18"/>
              </w:rPr>
            </w:pPr>
            <w:r w:rsidRPr="00D97251">
              <w:rPr>
                <w:rFonts w:cs="Arial"/>
                <w:b/>
                <w:sz w:val="18"/>
                <w:szCs w:val="18"/>
              </w:rPr>
              <w:t>Moravy</w:t>
            </w:r>
          </w:p>
        </w:tc>
        <w:tc>
          <w:tcPr>
            <w:tcW w:w="1000" w:type="dxa"/>
            <w:vAlign w:val="bottom"/>
          </w:tcPr>
          <w:p w14:paraId="39E95033" w14:textId="650D5C4F" w:rsidR="00D97251" w:rsidRPr="00D97251" w:rsidRDefault="00D97251" w:rsidP="00D97251">
            <w:pPr>
              <w:ind w:firstLineChars="100" w:firstLine="180"/>
              <w:contextualSpacing/>
              <w:jc w:val="right"/>
              <w:rPr>
                <w:rFonts w:cs="Arial"/>
                <w:sz w:val="18"/>
                <w:szCs w:val="18"/>
              </w:rPr>
            </w:pPr>
            <w:r w:rsidRPr="00D97251">
              <w:rPr>
                <w:rFonts w:cs="Arial"/>
                <w:sz w:val="18"/>
                <w:szCs w:val="18"/>
              </w:rPr>
              <w:t>112 916</w:t>
            </w:r>
          </w:p>
        </w:tc>
        <w:tc>
          <w:tcPr>
            <w:tcW w:w="1000" w:type="dxa"/>
            <w:vAlign w:val="bottom"/>
          </w:tcPr>
          <w:p w14:paraId="46B6878C" w14:textId="4C9B39C3" w:rsidR="00D97251" w:rsidRPr="00D97251" w:rsidRDefault="00D97251" w:rsidP="00D97251">
            <w:pPr>
              <w:ind w:firstLineChars="100" w:firstLine="180"/>
              <w:contextualSpacing/>
              <w:jc w:val="right"/>
              <w:rPr>
                <w:rFonts w:cs="Arial"/>
                <w:sz w:val="18"/>
                <w:szCs w:val="18"/>
              </w:rPr>
            </w:pPr>
            <w:r w:rsidRPr="00D97251">
              <w:rPr>
                <w:rFonts w:cs="Arial"/>
                <w:sz w:val="18"/>
                <w:szCs w:val="18"/>
              </w:rPr>
              <w:t>11 721</w:t>
            </w:r>
          </w:p>
        </w:tc>
        <w:tc>
          <w:tcPr>
            <w:tcW w:w="1000" w:type="dxa"/>
            <w:vAlign w:val="bottom"/>
          </w:tcPr>
          <w:p w14:paraId="637AE996" w14:textId="7A03B95D" w:rsidR="00D97251" w:rsidRPr="00D97251" w:rsidRDefault="00D97251" w:rsidP="00D97251">
            <w:pPr>
              <w:ind w:firstLineChars="100" w:firstLine="180"/>
              <w:contextualSpacing/>
              <w:jc w:val="right"/>
              <w:rPr>
                <w:rFonts w:cs="Arial"/>
                <w:sz w:val="18"/>
                <w:szCs w:val="18"/>
              </w:rPr>
            </w:pPr>
            <w:r w:rsidRPr="00D97251">
              <w:rPr>
                <w:rFonts w:cs="Arial"/>
                <w:sz w:val="18"/>
                <w:szCs w:val="18"/>
              </w:rPr>
              <w:t>17 875</w:t>
            </w:r>
          </w:p>
        </w:tc>
        <w:tc>
          <w:tcPr>
            <w:tcW w:w="1000" w:type="dxa"/>
            <w:vAlign w:val="bottom"/>
          </w:tcPr>
          <w:p w14:paraId="7D6016A0" w14:textId="7BEB2895" w:rsidR="00D97251" w:rsidRPr="00D97251" w:rsidRDefault="00D97251" w:rsidP="00D97251">
            <w:pPr>
              <w:ind w:firstLineChars="100" w:firstLine="180"/>
              <w:contextualSpacing/>
              <w:jc w:val="right"/>
              <w:rPr>
                <w:rFonts w:cs="Arial"/>
                <w:sz w:val="18"/>
                <w:szCs w:val="18"/>
              </w:rPr>
            </w:pPr>
            <w:r w:rsidRPr="00D97251">
              <w:rPr>
                <w:rFonts w:cs="Arial"/>
                <w:sz w:val="18"/>
                <w:szCs w:val="18"/>
              </w:rPr>
              <w:t>12 300</w:t>
            </w:r>
          </w:p>
        </w:tc>
        <w:tc>
          <w:tcPr>
            <w:tcW w:w="1000" w:type="dxa"/>
            <w:vAlign w:val="bottom"/>
          </w:tcPr>
          <w:p w14:paraId="6A50F0FB" w14:textId="0780C974" w:rsidR="00D97251" w:rsidRPr="00D97251" w:rsidRDefault="00D97251" w:rsidP="00D97251">
            <w:pPr>
              <w:contextualSpacing/>
              <w:jc w:val="right"/>
              <w:rPr>
                <w:rFonts w:cs="Arial"/>
                <w:sz w:val="18"/>
                <w:szCs w:val="18"/>
              </w:rPr>
            </w:pPr>
            <w:r w:rsidRPr="00D97251">
              <w:rPr>
                <w:rFonts w:cs="Arial"/>
                <w:sz w:val="18"/>
                <w:szCs w:val="18"/>
              </w:rPr>
              <w:t>8 619</w:t>
            </w:r>
          </w:p>
        </w:tc>
        <w:tc>
          <w:tcPr>
            <w:tcW w:w="1000" w:type="dxa"/>
            <w:vAlign w:val="bottom"/>
          </w:tcPr>
          <w:p w14:paraId="3E39CCF0" w14:textId="72BD1B37" w:rsidR="00D97251" w:rsidRPr="00D97251" w:rsidRDefault="00D97251" w:rsidP="00D97251">
            <w:pPr>
              <w:contextualSpacing/>
              <w:jc w:val="right"/>
              <w:rPr>
                <w:rFonts w:cs="Arial"/>
                <w:sz w:val="18"/>
                <w:szCs w:val="18"/>
              </w:rPr>
            </w:pPr>
            <w:r w:rsidRPr="00D97251">
              <w:rPr>
                <w:rFonts w:cs="Arial"/>
                <w:sz w:val="18"/>
                <w:szCs w:val="18"/>
              </w:rPr>
              <w:t>4 098</w:t>
            </w:r>
          </w:p>
        </w:tc>
        <w:tc>
          <w:tcPr>
            <w:tcW w:w="1000" w:type="dxa"/>
            <w:vAlign w:val="bottom"/>
          </w:tcPr>
          <w:p w14:paraId="4A77E16A" w14:textId="483A14D9" w:rsidR="00D97251" w:rsidRPr="00D97251" w:rsidRDefault="00D97251" w:rsidP="00D97251">
            <w:pPr>
              <w:contextualSpacing/>
              <w:jc w:val="right"/>
              <w:rPr>
                <w:rFonts w:cs="Arial"/>
                <w:sz w:val="18"/>
                <w:szCs w:val="18"/>
              </w:rPr>
            </w:pPr>
            <w:r w:rsidRPr="00D97251">
              <w:rPr>
                <w:rFonts w:cs="Arial"/>
                <w:sz w:val="18"/>
                <w:szCs w:val="18"/>
              </w:rPr>
              <w:t>4 498</w:t>
            </w:r>
          </w:p>
        </w:tc>
        <w:tc>
          <w:tcPr>
            <w:tcW w:w="1000" w:type="dxa"/>
            <w:vAlign w:val="bottom"/>
          </w:tcPr>
          <w:p w14:paraId="59F39B91" w14:textId="3537D7E6" w:rsidR="00D97251" w:rsidRPr="00D97251" w:rsidRDefault="00D97251" w:rsidP="00D97251">
            <w:pPr>
              <w:contextualSpacing/>
              <w:jc w:val="right"/>
              <w:rPr>
                <w:rFonts w:cs="Arial"/>
                <w:sz w:val="18"/>
                <w:szCs w:val="18"/>
              </w:rPr>
            </w:pPr>
            <w:r w:rsidRPr="00D97251">
              <w:rPr>
                <w:rFonts w:cs="Arial"/>
                <w:color w:val="000000"/>
                <w:sz w:val="18"/>
                <w:szCs w:val="18"/>
              </w:rPr>
              <w:t>9 493</w:t>
            </w:r>
          </w:p>
        </w:tc>
        <w:tc>
          <w:tcPr>
            <w:tcW w:w="1000" w:type="dxa"/>
            <w:vAlign w:val="bottom"/>
          </w:tcPr>
          <w:p w14:paraId="21D11877" w14:textId="71C7BDB3" w:rsidR="00D97251" w:rsidRPr="00D97251" w:rsidRDefault="00D97251" w:rsidP="00D97251">
            <w:pPr>
              <w:contextualSpacing/>
              <w:jc w:val="right"/>
              <w:rPr>
                <w:rFonts w:cs="Arial"/>
                <w:color w:val="000000"/>
                <w:sz w:val="18"/>
                <w:szCs w:val="18"/>
              </w:rPr>
            </w:pPr>
            <w:r w:rsidRPr="00D97251">
              <w:rPr>
                <w:rFonts w:cs="Arial"/>
                <w:color w:val="000000"/>
                <w:sz w:val="18"/>
                <w:szCs w:val="18"/>
              </w:rPr>
              <w:t>-13 539</w:t>
            </w:r>
          </w:p>
        </w:tc>
        <w:tc>
          <w:tcPr>
            <w:tcW w:w="1000" w:type="dxa"/>
            <w:gridSpan w:val="2"/>
            <w:vAlign w:val="bottom"/>
          </w:tcPr>
          <w:p w14:paraId="657C4197" w14:textId="33E23455" w:rsidR="00D97251" w:rsidRPr="00D97251" w:rsidRDefault="00D97251" w:rsidP="00D97251">
            <w:pPr>
              <w:contextualSpacing/>
              <w:jc w:val="right"/>
              <w:rPr>
                <w:rFonts w:cs="Arial"/>
                <w:color w:val="000000"/>
                <w:sz w:val="18"/>
                <w:szCs w:val="18"/>
              </w:rPr>
            </w:pPr>
            <w:r w:rsidRPr="00D97251">
              <w:rPr>
                <w:rFonts w:cs="Arial"/>
                <w:color w:val="000000"/>
                <w:sz w:val="18"/>
                <w:szCs w:val="18"/>
              </w:rPr>
              <w:t>2</w:t>
            </w:r>
            <w:r>
              <w:rPr>
                <w:rFonts w:cs="Arial"/>
                <w:color w:val="000000"/>
                <w:sz w:val="18"/>
                <w:szCs w:val="18"/>
              </w:rPr>
              <w:t xml:space="preserve"> </w:t>
            </w:r>
            <w:r w:rsidRPr="00D97251">
              <w:rPr>
                <w:rFonts w:cs="Arial"/>
                <w:color w:val="000000"/>
                <w:sz w:val="18"/>
                <w:szCs w:val="18"/>
              </w:rPr>
              <w:t>126</w:t>
            </w:r>
          </w:p>
        </w:tc>
      </w:tr>
      <w:tr w:rsidR="00D97251" w:rsidRPr="00D97251" w14:paraId="5BA2751F" w14:textId="27958879" w:rsidTr="00C6517A">
        <w:trPr>
          <w:gridAfter w:val="1"/>
          <w:wAfter w:w="6" w:type="dxa"/>
          <w:trHeight w:val="21"/>
        </w:trPr>
        <w:tc>
          <w:tcPr>
            <w:tcW w:w="942" w:type="dxa"/>
            <w:shd w:val="clear" w:color="auto" w:fill="BFBFBF"/>
            <w:vAlign w:val="center"/>
            <w:hideMark/>
          </w:tcPr>
          <w:p w14:paraId="0E92B552" w14:textId="77777777" w:rsidR="00D97251" w:rsidRPr="00D97251" w:rsidRDefault="00D97251" w:rsidP="00D97251">
            <w:pPr>
              <w:contextualSpacing/>
              <w:rPr>
                <w:rFonts w:cs="Arial"/>
                <w:b/>
                <w:bCs/>
                <w:sz w:val="18"/>
                <w:szCs w:val="18"/>
              </w:rPr>
            </w:pPr>
            <w:r w:rsidRPr="00D97251">
              <w:rPr>
                <w:rFonts w:cs="Arial"/>
                <w:b/>
                <w:bCs/>
                <w:sz w:val="18"/>
                <w:szCs w:val="18"/>
              </w:rPr>
              <w:t xml:space="preserve">Celkem </w:t>
            </w:r>
          </w:p>
        </w:tc>
        <w:tc>
          <w:tcPr>
            <w:tcW w:w="1000" w:type="dxa"/>
            <w:shd w:val="clear" w:color="auto" w:fill="BFBFBF"/>
            <w:vAlign w:val="center"/>
          </w:tcPr>
          <w:p w14:paraId="2D42C576" w14:textId="6D0A6834" w:rsidR="00D97251" w:rsidRPr="00D97251" w:rsidRDefault="00D97251" w:rsidP="00D97251">
            <w:pPr>
              <w:ind w:firstLineChars="100" w:firstLine="181"/>
              <w:contextualSpacing/>
              <w:jc w:val="right"/>
              <w:rPr>
                <w:rFonts w:cs="Arial"/>
                <w:b/>
                <w:bCs/>
                <w:sz w:val="18"/>
                <w:szCs w:val="18"/>
              </w:rPr>
            </w:pPr>
            <w:r w:rsidRPr="00D97251">
              <w:rPr>
                <w:rFonts w:cs="Arial"/>
                <w:b/>
                <w:bCs/>
                <w:sz w:val="18"/>
                <w:szCs w:val="18"/>
              </w:rPr>
              <w:t>196 920</w:t>
            </w:r>
          </w:p>
        </w:tc>
        <w:tc>
          <w:tcPr>
            <w:tcW w:w="1000" w:type="dxa"/>
            <w:shd w:val="clear" w:color="auto" w:fill="BFBFBF"/>
            <w:vAlign w:val="bottom"/>
          </w:tcPr>
          <w:p w14:paraId="759DFBF5" w14:textId="434C720D" w:rsidR="00D97251" w:rsidRPr="00D97251" w:rsidRDefault="00D97251" w:rsidP="00D97251">
            <w:pPr>
              <w:ind w:firstLineChars="100" w:firstLine="181"/>
              <w:contextualSpacing/>
              <w:jc w:val="right"/>
              <w:rPr>
                <w:rFonts w:cs="Arial"/>
                <w:b/>
                <w:bCs/>
                <w:sz w:val="18"/>
                <w:szCs w:val="18"/>
              </w:rPr>
            </w:pPr>
            <w:r w:rsidRPr="00D97251">
              <w:rPr>
                <w:rFonts w:cs="Arial"/>
                <w:b/>
                <w:bCs/>
                <w:sz w:val="18"/>
                <w:szCs w:val="18"/>
              </w:rPr>
              <w:t>337 820</w:t>
            </w:r>
          </w:p>
        </w:tc>
        <w:tc>
          <w:tcPr>
            <w:tcW w:w="1000" w:type="dxa"/>
            <w:shd w:val="clear" w:color="auto" w:fill="BFBFBF"/>
            <w:vAlign w:val="bottom"/>
          </w:tcPr>
          <w:p w14:paraId="48D7D9C5" w14:textId="66C02A92" w:rsidR="00D97251" w:rsidRPr="00D97251" w:rsidRDefault="00D97251" w:rsidP="00D97251">
            <w:pPr>
              <w:ind w:firstLineChars="100" w:firstLine="181"/>
              <w:contextualSpacing/>
              <w:jc w:val="right"/>
              <w:rPr>
                <w:rFonts w:cs="Arial"/>
                <w:b/>
                <w:bCs/>
                <w:sz w:val="18"/>
                <w:szCs w:val="18"/>
              </w:rPr>
            </w:pPr>
            <w:r w:rsidRPr="00D97251">
              <w:rPr>
                <w:rFonts w:cs="Arial"/>
                <w:b/>
                <w:bCs/>
                <w:sz w:val="18"/>
                <w:szCs w:val="18"/>
              </w:rPr>
              <w:t>216 375</w:t>
            </w:r>
          </w:p>
        </w:tc>
        <w:tc>
          <w:tcPr>
            <w:tcW w:w="1000" w:type="dxa"/>
            <w:shd w:val="clear" w:color="auto" w:fill="BFBFBF"/>
            <w:vAlign w:val="bottom"/>
          </w:tcPr>
          <w:p w14:paraId="1BCA2679" w14:textId="752E18AC" w:rsidR="00D97251" w:rsidRPr="00D97251" w:rsidRDefault="00D97251" w:rsidP="00D97251">
            <w:pPr>
              <w:ind w:firstLineChars="100" w:firstLine="181"/>
              <w:contextualSpacing/>
              <w:jc w:val="right"/>
              <w:rPr>
                <w:rFonts w:cs="Arial"/>
                <w:b/>
                <w:sz w:val="18"/>
                <w:szCs w:val="18"/>
              </w:rPr>
            </w:pPr>
            <w:r w:rsidRPr="00D97251">
              <w:rPr>
                <w:rFonts w:cs="Arial"/>
                <w:b/>
                <w:bCs/>
                <w:sz w:val="18"/>
                <w:szCs w:val="18"/>
              </w:rPr>
              <w:t>145 937</w:t>
            </w:r>
          </w:p>
        </w:tc>
        <w:tc>
          <w:tcPr>
            <w:tcW w:w="1000" w:type="dxa"/>
            <w:shd w:val="clear" w:color="auto" w:fill="BFBFBF"/>
            <w:vAlign w:val="bottom"/>
          </w:tcPr>
          <w:p w14:paraId="3532A382" w14:textId="0475856F" w:rsidR="00D97251" w:rsidRPr="00D97251" w:rsidRDefault="00D97251" w:rsidP="00D97251">
            <w:pPr>
              <w:contextualSpacing/>
              <w:jc w:val="right"/>
              <w:rPr>
                <w:rFonts w:cs="Arial"/>
                <w:b/>
                <w:sz w:val="18"/>
                <w:szCs w:val="18"/>
              </w:rPr>
            </w:pPr>
            <w:r w:rsidRPr="00D97251">
              <w:rPr>
                <w:rFonts w:cs="Arial"/>
                <w:b/>
                <w:bCs/>
                <w:sz w:val="18"/>
                <w:szCs w:val="18"/>
              </w:rPr>
              <w:t>132 855</w:t>
            </w:r>
          </w:p>
        </w:tc>
        <w:tc>
          <w:tcPr>
            <w:tcW w:w="1000" w:type="dxa"/>
            <w:shd w:val="clear" w:color="auto" w:fill="BFBFBF"/>
            <w:vAlign w:val="bottom"/>
          </w:tcPr>
          <w:p w14:paraId="72B78ADD" w14:textId="2B8CAC0C" w:rsidR="00D97251" w:rsidRPr="00D97251" w:rsidRDefault="00D97251" w:rsidP="00D97251">
            <w:pPr>
              <w:contextualSpacing/>
              <w:jc w:val="right"/>
              <w:rPr>
                <w:rFonts w:cs="Arial"/>
                <w:b/>
                <w:sz w:val="18"/>
                <w:szCs w:val="18"/>
              </w:rPr>
            </w:pPr>
            <w:r w:rsidRPr="00D97251">
              <w:rPr>
                <w:rFonts w:cs="Arial"/>
                <w:b/>
                <w:bCs/>
                <w:sz w:val="18"/>
                <w:szCs w:val="18"/>
              </w:rPr>
              <w:t>74 526</w:t>
            </w:r>
          </w:p>
        </w:tc>
        <w:tc>
          <w:tcPr>
            <w:tcW w:w="1000" w:type="dxa"/>
            <w:shd w:val="clear" w:color="auto" w:fill="BFBFBF"/>
            <w:vAlign w:val="bottom"/>
          </w:tcPr>
          <w:p w14:paraId="06573BEC" w14:textId="773EA3CB" w:rsidR="00D97251" w:rsidRPr="00D97251" w:rsidRDefault="00D97251" w:rsidP="00D97251">
            <w:pPr>
              <w:contextualSpacing/>
              <w:jc w:val="right"/>
              <w:rPr>
                <w:rFonts w:cs="Arial"/>
                <w:b/>
                <w:sz w:val="18"/>
                <w:szCs w:val="18"/>
              </w:rPr>
            </w:pPr>
            <w:r w:rsidRPr="00D97251">
              <w:rPr>
                <w:rFonts w:cs="Arial"/>
                <w:b/>
                <w:bCs/>
                <w:sz w:val="18"/>
                <w:szCs w:val="18"/>
              </w:rPr>
              <w:t>306 135</w:t>
            </w:r>
          </w:p>
        </w:tc>
        <w:tc>
          <w:tcPr>
            <w:tcW w:w="1000" w:type="dxa"/>
            <w:shd w:val="clear" w:color="auto" w:fill="BFBFBF"/>
            <w:vAlign w:val="bottom"/>
          </w:tcPr>
          <w:p w14:paraId="39CBD490" w14:textId="6344DC5A" w:rsidR="00D97251" w:rsidRPr="00D97251" w:rsidRDefault="00D97251" w:rsidP="00D97251">
            <w:pPr>
              <w:contextualSpacing/>
              <w:jc w:val="right"/>
              <w:rPr>
                <w:rFonts w:cs="Arial"/>
                <w:b/>
                <w:bCs/>
                <w:sz w:val="18"/>
                <w:szCs w:val="18"/>
              </w:rPr>
            </w:pPr>
            <w:r w:rsidRPr="00D97251">
              <w:rPr>
                <w:rFonts w:cs="Arial"/>
                <w:b/>
                <w:bCs/>
                <w:color w:val="000000"/>
                <w:sz w:val="18"/>
                <w:szCs w:val="18"/>
              </w:rPr>
              <w:t>295 262</w:t>
            </w:r>
          </w:p>
        </w:tc>
        <w:tc>
          <w:tcPr>
            <w:tcW w:w="1000" w:type="dxa"/>
            <w:shd w:val="clear" w:color="auto" w:fill="BFBFBF"/>
            <w:vAlign w:val="bottom"/>
          </w:tcPr>
          <w:p w14:paraId="5CA08232" w14:textId="2D7499D4" w:rsidR="00D97251" w:rsidRPr="00D97251" w:rsidRDefault="00D97251" w:rsidP="00D97251">
            <w:pPr>
              <w:contextualSpacing/>
              <w:jc w:val="right"/>
              <w:rPr>
                <w:rFonts w:cs="Arial"/>
                <w:b/>
                <w:bCs/>
                <w:color w:val="000000"/>
                <w:sz w:val="18"/>
                <w:szCs w:val="18"/>
              </w:rPr>
            </w:pPr>
            <w:r w:rsidRPr="00D97251">
              <w:rPr>
                <w:rFonts w:cs="Arial"/>
                <w:b/>
                <w:bCs/>
                <w:color w:val="000000"/>
                <w:sz w:val="18"/>
                <w:szCs w:val="18"/>
              </w:rPr>
              <w:t>317 430</w:t>
            </w:r>
          </w:p>
        </w:tc>
        <w:tc>
          <w:tcPr>
            <w:tcW w:w="1000" w:type="dxa"/>
            <w:gridSpan w:val="2"/>
            <w:shd w:val="clear" w:color="auto" w:fill="BFBFBF"/>
            <w:vAlign w:val="bottom"/>
          </w:tcPr>
          <w:p w14:paraId="2EA14441" w14:textId="07FE7DDE" w:rsidR="00D97251" w:rsidRPr="00D97251" w:rsidRDefault="00D97251" w:rsidP="00D97251">
            <w:pPr>
              <w:contextualSpacing/>
              <w:jc w:val="right"/>
              <w:rPr>
                <w:rFonts w:cs="Arial"/>
                <w:b/>
                <w:bCs/>
                <w:color w:val="000000"/>
                <w:sz w:val="18"/>
                <w:szCs w:val="18"/>
              </w:rPr>
            </w:pPr>
            <w:r w:rsidRPr="00D97251">
              <w:rPr>
                <w:rFonts w:cs="Arial"/>
                <w:b/>
                <w:bCs/>
                <w:color w:val="000000"/>
                <w:sz w:val="18"/>
                <w:szCs w:val="18"/>
              </w:rPr>
              <w:t>305</w:t>
            </w:r>
            <w:r>
              <w:rPr>
                <w:rFonts w:cs="Arial"/>
                <w:b/>
                <w:bCs/>
                <w:color w:val="000000"/>
                <w:sz w:val="18"/>
                <w:szCs w:val="18"/>
              </w:rPr>
              <w:t xml:space="preserve"> </w:t>
            </w:r>
            <w:r w:rsidRPr="00D97251">
              <w:rPr>
                <w:rFonts w:cs="Arial"/>
                <w:b/>
                <w:bCs/>
                <w:color w:val="000000"/>
                <w:sz w:val="18"/>
                <w:szCs w:val="18"/>
              </w:rPr>
              <w:t>712</w:t>
            </w:r>
          </w:p>
        </w:tc>
      </w:tr>
    </w:tbl>
    <w:p w14:paraId="36A7DD74" w14:textId="3770C700" w:rsidR="00BC6B9C" w:rsidRPr="00D97251" w:rsidRDefault="00BC6B9C" w:rsidP="00BC6B9C">
      <w:pPr>
        <w:contextualSpacing/>
        <w:rPr>
          <w:rFonts w:cs="Arial"/>
          <w:i/>
          <w:noProof/>
          <w:sz w:val="20"/>
          <w:szCs w:val="20"/>
        </w:rPr>
      </w:pPr>
      <w:r w:rsidRPr="00D97251">
        <w:rPr>
          <w:rFonts w:cs="Arial"/>
          <w:i/>
          <w:noProof/>
          <w:sz w:val="20"/>
          <w:szCs w:val="20"/>
        </w:rPr>
        <w:t xml:space="preserve">Pramen: </w:t>
      </w:r>
      <w:r w:rsidR="00340859" w:rsidRPr="00D97251">
        <w:rPr>
          <w:rFonts w:cs="Arial"/>
          <w:i/>
          <w:noProof/>
          <w:sz w:val="20"/>
          <w:szCs w:val="20"/>
        </w:rPr>
        <w:t>s</w:t>
      </w:r>
      <w:r w:rsidRPr="00D97251">
        <w:rPr>
          <w:rFonts w:cs="Arial"/>
          <w:i/>
          <w:noProof/>
          <w:sz w:val="20"/>
          <w:szCs w:val="20"/>
        </w:rPr>
        <w:t>. p. Povodí</w:t>
      </w:r>
      <w:bookmarkEnd w:id="65"/>
    </w:p>
    <w:p w14:paraId="58B9D515" w14:textId="77777777" w:rsidR="000A0E04" w:rsidRPr="00104F7D" w:rsidRDefault="000A0E04" w:rsidP="00BC6B9C">
      <w:pPr>
        <w:contextualSpacing/>
        <w:rPr>
          <w:rFonts w:cs="Arial"/>
          <w:i/>
          <w:noProof/>
          <w:sz w:val="20"/>
          <w:szCs w:val="20"/>
          <w:highlight w:val="yellow"/>
        </w:rPr>
      </w:pPr>
    </w:p>
    <w:p w14:paraId="60E78EA5" w14:textId="77777777" w:rsidR="00BC6B9C" w:rsidRPr="00A23FCE" w:rsidRDefault="00BC6B9C" w:rsidP="00BC6B9C">
      <w:pPr>
        <w:contextualSpacing/>
        <w:rPr>
          <w:b/>
          <w:i/>
        </w:rPr>
      </w:pPr>
      <w:bookmarkStart w:id="66" w:name="_Hlk168928510"/>
      <w:r w:rsidRPr="00A23FCE">
        <w:rPr>
          <w:b/>
          <w:i/>
        </w:rPr>
        <w:t>Tabulka 6.2.</w:t>
      </w:r>
      <w:r w:rsidR="0069387B" w:rsidRPr="00A23FCE">
        <w:rPr>
          <w:b/>
          <w:i/>
        </w:rPr>
        <w:t>4 </w:t>
      </w:r>
    </w:p>
    <w:p w14:paraId="2E58492D" w14:textId="2BFFCC37" w:rsidR="00BC6B9C" w:rsidRPr="00A23FCE" w:rsidRDefault="00BC6B9C" w:rsidP="00BC6B9C">
      <w:pPr>
        <w:contextualSpacing/>
        <w:rPr>
          <w:b/>
          <w:i/>
        </w:rPr>
      </w:pPr>
      <w:r w:rsidRPr="00A23FCE">
        <w:rPr>
          <w:b/>
          <w:i/>
        </w:rPr>
        <w:t>Rozdělení zisků státních podniků Povodí za rok 202</w:t>
      </w:r>
      <w:r w:rsidR="00D82E63" w:rsidRPr="00A23FCE">
        <w:rPr>
          <w:b/>
          <w:i/>
        </w:rPr>
        <w:t>5</w:t>
      </w:r>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70" w:type="dxa"/>
        </w:tblCellMar>
        <w:tblLook w:val="04A0" w:firstRow="1" w:lastRow="0" w:firstColumn="1" w:lastColumn="0" w:noHBand="0" w:noVBand="1"/>
      </w:tblPr>
      <w:tblGrid>
        <w:gridCol w:w="1134"/>
        <w:gridCol w:w="1221"/>
        <w:gridCol w:w="992"/>
        <w:gridCol w:w="993"/>
        <w:gridCol w:w="992"/>
        <w:gridCol w:w="992"/>
        <w:gridCol w:w="992"/>
        <w:gridCol w:w="993"/>
        <w:gridCol w:w="1285"/>
      </w:tblGrid>
      <w:tr w:rsidR="00D701B8" w:rsidRPr="00A23FCE" w14:paraId="7C272D48" w14:textId="77777777" w:rsidTr="00403924">
        <w:trPr>
          <w:trHeight w:val="20"/>
          <w:jc w:val="center"/>
        </w:trPr>
        <w:tc>
          <w:tcPr>
            <w:tcW w:w="1134" w:type="dxa"/>
            <w:vMerge w:val="restart"/>
            <w:shd w:val="clear" w:color="auto" w:fill="BFBFBF"/>
            <w:vAlign w:val="center"/>
            <w:hideMark/>
          </w:tcPr>
          <w:p w14:paraId="2541CB18" w14:textId="77777777" w:rsidR="00D701B8" w:rsidRPr="00A23FCE" w:rsidRDefault="00D701B8" w:rsidP="00EC1043">
            <w:pPr>
              <w:contextualSpacing/>
              <w:rPr>
                <w:rFonts w:cs="Arial"/>
                <w:b/>
                <w:bCs/>
                <w:sz w:val="18"/>
                <w:szCs w:val="18"/>
              </w:rPr>
            </w:pPr>
            <w:r w:rsidRPr="00A23FCE">
              <w:rPr>
                <w:rFonts w:cs="Arial"/>
                <w:b/>
                <w:bCs/>
                <w:sz w:val="18"/>
                <w:szCs w:val="18"/>
              </w:rPr>
              <w:t>Státní podnik Povodí</w:t>
            </w:r>
          </w:p>
        </w:tc>
        <w:tc>
          <w:tcPr>
            <w:tcW w:w="1221" w:type="dxa"/>
            <w:vMerge w:val="restart"/>
            <w:shd w:val="clear" w:color="auto" w:fill="BFBFBF"/>
            <w:vAlign w:val="center"/>
            <w:hideMark/>
          </w:tcPr>
          <w:p w14:paraId="68191FA6" w14:textId="77777777" w:rsidR="00D701B8" w:rsidRPr="00A23FCE" w:rsidRDefault="00D701B8" w:rsidP="00EC1043">
            <w:pPr>
              <w:contextualSpacing/>
              <w:jc w:val="center"/>
              <w:rPr>
                <w:rFonts w:cs="Arial"/>
                <w:b/>
                <w:bCs/>
                <w:sz w:val="18"/>
                <w:szCs w:val="18"/>
              </w:rPr>
            </w:pPr>
            <w:r w:rsidRPr="00A23FCE">
              <w:rPr>
                <w:rFonts w:cs="Arial"/>
                <w:b/>
                <w:bCs/>
                <w:sz w:val="18"/>
                <w:szCs w:val="18"/>
              </w:rPr>
              <w:t>Zisk</w:t>
            </w:r>
          </w:p>
        </w:tc>
        <w:tc>
          <w:tcPr>
            <w:tcW w:w="7239" w:type="dxa"/>
            <w:gridSpan w:val="7"/>
            <w:shd w:val="clear" w:color="auto" w:fill="BFBFBF"/>
          </w:tcPr>
          <w:p w14:paraId="26E00B88" w14:textId="77777777" w:rsidR="00D701B8" w:rsidRPr="00A23FCE" w:rsidRDefault="00D701B8" w:rsidP="00EC1043">
            <w:pPr>
              <w:contextualSpacing/>
              <w:jc w:val="center"/>
              <w:rPr>
                <w:rFonts w:cs="Arial"/>
                <w:b/>
                <w:bCs/>
                <w:sz w:val="18"/>
                <w:szCs w:val="18"/>
              </w:rPr>
            </w:pPr>
            <w:r w:rsidRPr="00A23FCE">
              <w:rPr>
                <w:rFonts w:cs="Arial"/>
                <w:b/>
                <w:bCs/>
                <w:sz w:val="18"/>
                <w:szCs w:val="18"/>
              </w:rPr>
              <w:t>Rozdělení zisku nebo krytí ztráty</w:t>
            </w:r>
          </w:p>
        </w:tc>
      </w:tr>
      <w:tr w:rsidR="00D701B8" w:rsidRPr="00A23FCE" w14:paraId="3E15BB6A" w14:textId="77777777" w:rsidTr="00403924">
        <w:trPr>
          <w:trHeight w:val="20"/>
          <w:jc w:val="center"/>
        </w:trPr>
        <w:tc>
          <w:tcPr>
            <w:tcW w:w="1134" w:type="dxa"/>
            <w:vMerge/>
            <w:shd w:val="clear" w:color="auto" w:fill="BFBFBF"/>
            <w:vAlign w:val="center"/>
            <w:hideMark/>
          </w:tcPr>
          <w:p w14:paraId="06010AF0" w14:textId="77777777" w:rsidR="00D701B8" w:rsidRPr="00A23FCE" w:rsidRDefault="00D701B8" w:rsidP="00EC1043">
            <w:pPr>
              <w:contextualSpacing/>
              <w:rPr>
                <w:rFonts w:cs="Arial"/>
                <w:b/>
                <w:bCs/>
                <w:sz w:val="18"/>
                <w:szCs w:val="18"/>
              </w:rPr>
            </w:pPr>
          </w:p>
        </w:tc>
        <w:tc>
          <w:tcPr>
            <w:tcW w:w="1221" w:type="dxa"/>
            <w:vMerge/>
            <w:shd w:val="clear" w:color="auto" w:fill="BFBFBF"/>
            <w:vAlign w:val="center"/>
            <w:hideMark/>
          </w:tcPr>
          <w:p w14:paraId="710D3C54" w14:textId="77777777" w:rsidR="00D701B8" w:rsidRPr="00A23FCE" w:rsidRDefault="00D701B8" w:rsidP="00EC1043">
            <w:pPr>
              <w:contextualSpacing/>
              <w:rPr>
                <w:rFonts w:cs="Arial"/>
                <w:b/>
                <w:bCs/>
                <w:sz w:val="18"/>
                <w:szCs w:val="18"/>
              </w:rPr>
            </w:pPr>
          </w:p>
        </w:tc>
        <w:tc>
          <w:tcPr>
            <w:tcW w:w="992" w:type="dxa"/>
            <w:shd w:val="clear" w:color="auto" w:fill="BFBFBF"/>
            <w:vAlign w:val="center"/>
            <w:hideMark/>
          </w:tcPr>
          <w:p w14:paraId="23D043A0" w14:textId="77777777" w:rsidR="00D701B8" w:rsidRPr="00A23FCE" w:rsidRDefault="00D701B8" w:rsidP="00EC1043">
            <w:pPr>
              <w:contextualSpacing/>
              <w:jc w:val="center"/>
              <w:rPr>
                <w:rFonts w:cs="Arial"/>
                <w:b/>
                <w:bCs/>
                <w:sz w:val="18"/>
                <w:szCs w:val="18"/>
              </w:rPr>
            </w:pPr>
            <w:r w:rsidRPr="00A23FCE">
              <w:rPr>
                <w:rFonts w:cs="Arial"/>
                <w:b/>
                <w:bCs/>
                <w:sz w:val="18"/>
                <w:szCs w:val="18"/>
              </w:rPr>
              <w:t>Rezervní fond</w:t>
            </w:r>
          </w:p>
        </w:tc>
        <w:tc>
          <w:tcPr>
            <w:tcW w:w="993" w:type="dxa"/>
            <w:shd w:val="clear" w:color="auto" w:fill="BFBFBF"/>
            <w:vAlign w:val="center"/>
            <w:hideMark/>
          </w:tcPr>
          <w:p w14:paraId="07BF1431" w14:textId="3B8B4B4E" w:rsidR="00D701B8" w:rsidRPr="00A23FCE" w:rsidRDefault="005B78EA" w:rsidP="00EC1043">
            <w:pPr>
              <w:contextualSpacing/>
              <w:jc w:val="center"/>
              <w:rPr>
                <w:rFonts w:cs="Arial"/>
                <w:b/>
                <w:bCs/>
                <w:sz w:val="18"/>
                <w:szCs w:val="18"/>
              </w:rPr>
            </w:pPr>
            <w:r w:rsidRPr="00A23FCE">
              <w:rPr>
                <w:rFonts w:cs="Arial"/>
                <w:b/>
                <w:bCs/>
                <w:sz w:val="18"/>
                <w:szCs w:val="18"/>
              </w:rPr>
              <w:t>FKSP základní</w:t>
            </w:r>
            <w:r w:rsidR="00D701B8" w:rsidRPr="00A23FCE">
              <w:rPr>
                <w:rFonts w:cs="Arial"/>
                <w:b/>
                <w:bCs/>
                <w:sz w:val="18"/>
                <w:szCs w:val="18"/>
              </w:rPr>
              <w:t xml:space="preserve"> příděl</w:t>
            </w:r>
          </w:p>
        </w:tc>
        <w:tc>
          <w:tcPr>
            <w:tcW w:w="992" w:type="dxa"/>
            <w:shd w:val="clear" w:color="auto" w:fill="BFBFBF"/>
            <w:vAlign w:val="center"/>
          </w:tcPr>
          <w:p w14:paraId="48763EB8" w14:textId="3A309B58" w:rsidR="00D445E6" w:rsidRPr="00A23FCE" w:rsidRDefault="00D445E6" w:rsidP="00EC1043">
            <w:pPr>
              <w:contextualSpacing/>
              <w:jc w:val="center"/>
              <w:rPr>
                <w:rFonts w:cs="Arial"/>
                <w:b/>
                <w:bCs/>
                <w:sz w:val="18"/>
                <w:szCs w:val="18"/>
              </w:rPr>
            </w:pPr>
            <w:r w:rsidRPr="00A23FCE">
              <w:rPr>
                <w:rFonts w:cs="Arial"/>
                <w:b/>
                <w:bCs/>
                <w:sz w:val="18"/>
                <w:szCs w:val="18"/>
              </w:rPr>
              <w:t>FKSP další příděl</w:t>
            </w:r>
          </w:p>
        </w:tc>
        <w:tc>
          <w:tcPr>
            <w:tcW w:w="992" w:type="dxa"/>
            <w:shd w:val="clear" w:color="auto" w:fill="BFBFBF"/>
            <w:vAlign w:val="center"/>
            <w:hideMark/>
          </w:tcPr>
          <w:p w14:paraId="7B50E50B" w14:textId="4920BF07" w:rsidR="00D701B8" w:rsidRPr="00A23FCE" w:rsidRDefault="00D701B8" w:rsidP="00EC1043">
            <w:pPr>
              <w:contextualSpacing/>
              <w:jc w:val="center"/>
              <w:rPr>
                <w:rFonts w:cs="Arial"/>
                <w:b/>
                <w:bCs/>
                <w:sz w:val="18"/>
                <w:szCs w:val="18"/>
              </w:rPr>
            </w:pPr>
            <w:r w:rsidRPr="00A23FCE">
              <w:rPr>
                <w:rFonts w:cs="Arial"/>
                <w:b/>
                <w:bCs/>
                <w:sz w:val="18"/>
                <w:szCs w:val="18"/>
              </w:rPr>
              <w:t>Sociální fond</w:t>
            </w:r>
            <w:r w:rsidR="008E2AE9" w:rsidRPr="00A23FCE">
              <w:rPr>
                <w:rFonts w:cs="Arial"/>
                <w:b/>
                <w:bCs/>
                <w:sz w:val="18"/>
                <w:szCs w:val="18"/>
              </w:rPr>
              <w:t xml:space="preserve"> </w:t>
            </w:r>
            <w:r w:rsidR="008E2AE9" w:rsidRPr="00A23FCE">
              <w:rPr>
                <w:rFonts w:cs="Arial"/>
                <w:color w:val="000000"/>
                <w:sz w:val="18"/>
                <w:szCs w:val="18"/>
                <w:vertAlign w:val="superscript"/>
              </w:rPr>
              <w:t>*)</w:t>
            </w:r>
          </w:p>
        </w:tc>
        <w:tc>
          <w:tcPr>
            <w:tcW w:w="992" w:type="dxa"/>
            <w:shd w:val="clear" w:color="auto" w:fill="BFBFBF"/>
            <w:vAlign w:val="center"/>
          </w:tcPr>
          <w:p w14:paraId="696FCCC8" w14:textId="30D25635" w:rsidR="00D701B8" w:rsidRPr="00A23FCE" w:rsidRDefault="00D701B8" w:rsidP="00EC1043">
            <w:pPr>
              <w:contextualSpacing/>
              <w:jc w:val="center"/>
              <w:rPr>
                <w:rFonts w:cs="Arial"/>
                <w:b/>
                <w:bCs/>
                <w:sz w:val="18"/>
                <w:szCs w:val="18"/>
              </w:rPr>
            </w:pPr>
            <w:r w:rsidRPr="00A23FCE">
              <w:rPr>
                <w:rFonts w:cs="Arial"/>
                <w:b/>
                <w:bCs/>
                <w:sz w:val="18"/>
                <w:szCs w:val="18"/>
              </w:rPr>
              <w:t>Fond odměn</w:t>
            </w:r>
            <w:r w:rsidR="008E2AE9" w:rsidRPr="00A23FCE">
              <w:rPr>
                <w:rFonts w:cs="Arial"/>
                <w:b/>
                <w:bCs/>
                <w:sz w:val="18"/>
                <w:szCs w:val="18"/>
              </w:rPr>
              <w:t xml:space="preserve"> </w:t>
            </w:r>
            <w:r w:rsidR="008E2AE9" w:rsidRPr="00A23FCE">
              <w:rPr>
                <w:rFonts w:cs="Arial"/>
                <w:color w:val="000000"/>
                <w:sz w:val="18"/>
                <w:szCs w:val="18"/>
                <w:vertAlign w:val="superscript"/>
              </w:rPr>
              <w:t>*)</w:t>
            </w:r>
          </w:p>
        </w:tc>
        <w:tc>
          <w:tcPr>
            <w:tcW w:w="993" w:type="dxa"/>
            <w:shd w:val="clear" w:color="auto" w:fill="BFBFBF"/>
            <w:vAlign w:val="center"/>
          </w:tcPr>
          <w:p w14:paraId="0110032E" w14:textId="77777777" w:rsidR="00D701B8" w:rsidRPr="00A23FCE" w:rsidRDefault="00D701B8" w:rsidP="00EC1043">
            <w:pPr>
              <w:contextualSpacing/>
              <w:jc w:val="center"/>
              <w:rPr>
                <w:rFonts w:cs="Arial"/>
                <w:b/>
                <w:bCs/>
                <w:sz w:val="18"/>
                <w:szCs w:val="18"/>
              </w:rPr>
            </w:pPr>
            <w:r w:rsidRPr="00A23FCE">
              <w:rPr>
                <w:rFonts w:cs="Arial"/>
                <w:b/>
                <w:bCs/>
                <w:sz w:val="18"/>
                <w:szCs w:val="18"/>
              </w:rPr>
              <w:t>Kmenové jmění</w:t>
            </w:r>
          </w:p>
        </w:tc>
        <w:tc>
          <w:tcPr>
            <w:tcW w:w="1285" w:type="dxa"/>
            <w:shd w:val="clear" w:color="auto" w:fill="BFBFBF"/>
            <w:vAlign w:val="center"/>
            <w:hideMark/>
          </w:tcPr>
          <w:p w14:paraId="5E56AC1D" w14:textId="77777777" w:rsidR="00D701B8" w:rsidRPr="00A23FCE" w:rsidRDefault="00D701B8" w:rsidP="00EC1043">
            <w:pPr>
              <w:contextualSpacing/>
              <w:jc w:val="center"/>
              <w:rPr>
                <w:rFonts w:cs="Arial"/>
                <w:b/>
                <w:bCs/>
                <w:sz w:val="18"/>
                <w:szCs w:val="18"/>
              </w:rPr>
            </w:pPr>
            <w:r w:rsidRPr="00A23FCE">
              <w:rPr>
                <w:rFonts w:cs="Arial"/>
                <w:b/>
                <w:bCs/>
                <w:sz w:val="18"/>
                <w:szCs w:val="18"/>
              </w:rPr>
              <w:t>Neuhrazená ztráta z minulých let</w:t>
            </w:r>
          </w:p>
        </w:tc>
      </w:tr>
      <w:tr w:rsidR="00D701B8" w:rsidRPr="00A23FCE" w14:paraId="5BE87007" w14:textId="77777777" w:rsidTr="00403924">
        <w:trPr>
          <w:trHeight w:val="20"/>
          <w:jc w:val="center"/>
        </w:trPr>
        <w:tc>
          <w:tcPr>
            <w:tcW w:w="1134" w:type="dxa"/>
            <w:vMerge/>
            <w:shd w:val="clear" w:color="auto" w:fill="BFBFBF"/>
            <w:vAlign w:val="center"/>
          </w:tcPr>
          <w:p w14:paraId="62C39F82" w14:textId="77777777" w:rsidR="00D701B8" w:rsidRPr="00A23FCE" w:rsidRDefault="00D701B8" w:rsidP="00EC1043">
            <w:pPr>
              <w:contextualSpacing/>
              <w:rPr>
                <w:rFonts w:cs="Arial"/>
                <w:b/>
                <w:sz w:val="18"/>
                <w:szCs w:val="18"/>
              </w:rPr>
            </w:pPr>
          </w:p>
        </w:tc>
        <w:tc>
          <w:tcPr>
            <w:tcW w:w="8460" w:type="dxa"/>
            <w:gridSpan w:val="8"/>
            <w:shd w:val="clear" w:color="auto" w:fill="BFBFBF"/>
          </w:tcPr>
          <w:p w14:paraId="05CB1B71" w14:textId="77777777" w:rsidR="00D701B8" w:rsidRPr="00A23FCE" w:rsidRDefault="00D701B8" w:rsidP="00EC1043">
            <w:pPr>
              <w:ind w:firstLineChars="100" w:firstLine="181"/>
              <w:contextualSpacing/>
              <w:jc w:val="center"/>
              <w:rPr>
                <w:rFonts w:cs="Arial"/>
                <w:sz w:val="18"/>
                <w:szCs w:val="18"/>
              </w:rPr>
            </w:pPr>
            <w:r w:rsidRPr="00A23FCE">
              <w:rPr>
                <w:rFonts w:cs="Arial"/>
                <w:b/>
                <w:sz w:val="18"/>
                <w:szCs w:val="18"/>
              </w:rPr>
              <w:t>tis. Kč</w:t>
            </w:r>
          </w:p>
        </w:tc>
      </w:tr>
      <w:tr w:rsidR="00143559" w:rsidRPr="00A23FCE" w14:paraId="453822E6" w14:textId="77777777" w:rsidTr="00403924">
        <w:trPr>
          <w:trHeight w:val="20"/>
          <w:jc w:val="center"/>
        </w:trPr>
        <w:tc>
          <w:tcPr>
            <w:tcW w:w="1134" w:type="dxa"/>
            <w:vAlign w:val="center"/>
            <w:hideMark/>
          </w:tcPr>
          <w:p w14:paraId="7F1E9C4C" w14:textId="77777777" w:rsidR="00143559" w:rsidRPr="00A23FCE" w:rsidRDefault="00143559" w:rsidP="00143559">
            <w:pPr>
              <w:contextualSpacing/>
              <w:rPr>
                <w:rFonts w:cs="Arial"/>
                <w:b/>
                <w:bCs/>
                <w:sz w:val="18"/>
                <w:szCs w:val="18"/>
              </w:rPr>
            </w:pPr>
            <w:r w:rsidRPr="00A23FCE">
              <w:rPr>
                <w:rFonts w:cs="Arial"/>
                <w:b/>
                <w:sz w:val="18"/>
                <w:szCs w:val="18"/>
              </w:rPr>
              <w:t>Labe</w:t>
            </w:r>
          </w:p>
        </w:tc>
        <w:tc>
          <w:tcPr>
            <w:tcW w:w="1221" w:type="dxa"/>
            <w:vAlign w:val="center"/>
          </w:tcPr>
          <w:p w14:paraId="545F150E" w14:textId="46F6DB8D" w:rsidR="00143559" w:rsidRPr="00A23FCE" w:rsidRDefault="00143559" w:rsidP="00143559">
            <w:pPr>
              <w:ind w:right="107"/>
              <w:contextualSpacing/>
              <w:jc w:val="right"/>
              <w:rPr>
                <w:rFonts w:cs="Arial"/>
                <w:b/>
                <w:bCs/>
                <w:sz w:val="18"/>
                <w:szCs w:val="18"/>
              </w:rPr>
            </w:pPr>
            <w:r w:rsidRPr="00A23FCE">
              <w:rPr>
                <w:rFonts w:cs="Arial"/>
                <w:b/>
                <w:bCs/>
                <w:color w:val="000000"/>
                <w:sz w:val="20"/>
                <w:szCs w:val="20"/>
              </w:rPr>
              <w:t>79879*</w:t>
            </w:r>
            <w:r w:rsidR="00403924" w:rsidRPr="00A23FCE">
              <w:rPr>
                <w:rFonts w:cs="Arial"/>
                <w:b/>
                <w:bCs/>
                <w:color w:val="000000"/>
                <w:sz w:val="20"/>
                <w:szCs w:val="20"/>
              </w:rPr>
              <w:t>*)</w:t>
            </w:r>
          </w:p>
        </w:tc>
        <w:tc>
          <w:tcPr>
            <w:tcW w:w="992" w:type="dxa"/>
            <w:vAlign w:val="center"/>
          </w:tcPr>
          <w:p w14:paraId="5EB7A741" w14:textId="680A1EDB" w:rsidR="00143559" w:rsidRPr="00A23FCE" w:rsidRDefault="00143559" w:rsidP="00143559">
            <w:pPr>
              <w:tabs>
                <w:tab w:val="left" w:pos="854"/>
              </w:tabs>
              <w:contextualSpacing/>
              <w:jc w:val="right"/>
              <w:rPr>
                <w:rFonts w:eastAsia="Times New Roman" w:cs="Arial"/>
                <w:color w:val="000000"/>
                <w:sz w:val="18"/>
                <w:szCs w:val="18"/>
                <w:lang w:eastAsia="cs-CZ"/>
              </w:rPr>
            </w:pPr>
            <w:r w:rsidRPr="00A23FCE">
              <w:rPr>
                <w:rFonts w:cs="Arial"/>
                <w:color w:val="000000"/>
                <w:sz w:val="20"/>
                <w:szCs w:val="20"/>
              </w:rPr>
              <w:t> </w:t>
            </w:r>
          </w:p>
        </w:tc>
        <w:tc>
          <w:tcPr>
            <w:tcW w:w="993" w:type="dxa"/>
            <w:vAlign w:val="center"/>
          </w:tcPr>
          <w:p w14:paraId="46985B67" w14:textId="4E99ABCB" w:rsidR="00143559" w:rsidRPr="00A23FCE" w:rsidRDefault="00143559" w:rsidP="00143559">
            <w:pPr>
              <w:tabs>
                <w:tab w:val="left" w:pos="854"/>
              </w:tabs>
              <w:contextualSpacing/>
              <w:jc w:val="right"/>
              <w:rPr>
                <w:rFonts w:cs="Arial"/>
                <w:sz w:val="18"/>
                <w:szCs w:val="18"/>
              </w:rPr>
            </w:pPr>
            <w:r w:rsidRPr="00A23FCE">
              <w:rPr>
                <w:rFonts w:cs="Arial"/>
                <w:color w:val="000000"/>
                <w:sz w:val="20"/>
                <w:szCs w:val="20"/>
              </w:rPr>
              <w:t>5 345</w:t>
            </w:r>
          </w:p>
        </w:tc>
        <w:tc>
          <w:tcPr>
            <w:tcW w:w="992" w:type="dxa"/>
            <w:vAlign w:val="center"/>
          </w:tcPr>
          <w:p w14:paraId="5DF762BF" w14:textId="23C36E64" w:rsidR="00143559" w:rsidRPr="00A23FCE" w:rsidRDefault="00143559" w:rsidP="00143559">
            <w:pPr>
              <w:tabs>
                <w:tab w:val="left" w:pos="854"/>
              </w:tabs>
              <w:contextualSpacing/>
              <w:jc w:val="right"/>
              <w:rPr>
                <w:rFonts w:cs="Arial"/>
                <w:sz w:val="18"/>
                <w:szCs w:val="18"/>
              </w:rPr>
            </w:pPr>
            <w:r w:rsidRPr="00A23FCE">
              <w:rPr>
                <w:rFonts w:cs="Arial"/>
                <w:color w:val="000000"/>
                <w:sz w:val="20"/>
                <w:szCs w:val="20"/>
              </w:rPr>
              <w:t>4534</w:t>
            </w:r>
          </w:p>
        </w:tc>
        <w:tc>
          <w:tcPr>
            <w:tcW w:w="992" w:type="dxa"/>
            <w:vAlign w:val="center"/>
          </w:tcPr>
          <w:p w14:paraId="76941B8A" w14:textId="037BEC3B" w:rsidR="00143559" w:rsidRPr="00A23FCE" w:rsidRDefault="00143559" w:rsidP="00143559">
            <w:pPr>
              <w:tabs>
                <w:tab w:val="left" w:pos="854"/>
              </w:tabs>
              <w:contextualSpacing/>
              <w:jc w:val="right"/>
              <w:rPr>
                <w:rFonts w:cs="Arial"/>
                <w:sz w:val="18"/>
                <w:szCs w:val="18"/>
              </w:rPr>
            </w:pPr>
            <w:r w:rsidRPr="00A23FCE">
              <w:rPr>
                <w:rFonts w:cs="Arial"/>
                <w:color w:val="000000"/>
                <w:sz w:val="20"/>
                <w:szCs w:val="20"/>
              </w:rPr>
              <w:t> </w:t>
            </w:r>
          </w:p>
        </w:tc>
        <w:tc>
          <w:tcPr>
            <w:tcW w:w="992" w:type="dxa"/>
            <w:vAlign w:val="center"/>
          </w:tcPr>
          <w:p w14:paraId="2AF17B63" w14:textId="707A7C29" w:rsidR="00143559" w:rsidRPr="00A23FCE" w:rsidRDefault="00143559" w:rsidP="00143559">
            <w:pPr>
              <w:tabs>
                <w:tab w:val="left" w:pos="854"/>
              </w:tabs>
              <w:contextualSpacing/>
              <w:jc w:val="right"/>
              <w:rPr>
                <w:rFonts w:cs="Arial"/>
                <w:sz w:val="18"/>
                <w:szCs w:val="18"/>
              </w:rPr>
            </w:pPr>
            <w:r w:rsidRPr="00A23FCE">
              <w:rPr>
                <w:rFonts w:cs="Arial"/>
                <w:color w:val="000000"/>
                <w:sz w:val="20"/>
                <w:szCs w:val="20"/>
              </w:rPr>
              <w:t> </w:t>
            </w:r>
          </w:p>
        </w:tc>
        <w:tc>
          <w:tcPr>
            <w:tcW w:w="993" w:type="dxa"/>
            <w:vAlign w:val="center"/>
          </w:tcPr>
          <w:p w14:paraId="0D17615B" w14:textId="09266A3F" w:rsidR="00143559" w:rsidRPr="00A23FCE" w:rsidRDefault="00143559" w:rsidP="00143559">
            <w:pPr>
              <w:tabs>
                <w:tab w:val="left" w:pos="854"/>
              </w:tabs>
              <w:ind w:right="117"/>
              <w:contextualSpacing/>
              <w:jc w:val="right"/>
              <w:rPr>
                <w:rFonts w:cs="Arial"/>
                <w:sz w:val="18"/>
                <w:szCs w:val="18"/>
              </w:rPr>
            </w:pPr>
            <w:r w:rsidRPr="00A23FCE">
              <w:rPr>
                <w:rFonts w:cs="Arial"/>
                <w:color w:val="000000"/>
                <w:sz w:val="20"/>
                <w:szCs w:val="20"/>
              </w:rPr>
              <w:t>70000</w:t>
            </w:r>
          </w:p>
        </w:tc>
        <w:tc>
          <w:tcPr>
            <w:tcW w:w="1285" w:type="dxa"/>
            <w:vAlign w:val="center"/>
          </w:tcPr>
          <w:p w14:paraId="54FE921C" w14:textId="63505565" w:rsidR="00143559" w:rsidRPr="00A23FCE" w:rsidRDefault="00143559" w:rsidP="00143559">
            <w:pPr>
              <w:tabs>
                <w:tab w:val="left" w:pos="854"/>
              </w:tabs>
              <w:contextualSpacing/>
              <w:jc w:val="right"/>
              <w:rPr>
                <w:rFonts w:cs="Arial"/>
                <w:sz w:val="18"/>
                <w:szCs w:val="18"/>
              </w:rPr>
            </w:pPr>
            <w:r w:rsidRPr="00A23FCE">
              <w:rPr>
                <w:rFonts w:cs="Arial"/>
                <w:color w:val="000000"/>
                <w:sz w:val="18"/>
                <w:szCs w:val="18"/>
              </w:rPr>
              <w:t>0</w:t>
            </w:r>
          </w:p>
        </w:tc>
      </w:tr>
      <w:tr w:rsidR="00143559" w:rsidRPr="00A23FCE" w14:paraId="2464246D" w14:textId="77777777" w:rsidTr="00403924">
        <w:trPr>
          <w:trHeight w:val="20"/>
          <w:jc w:val="center"/>
        </w:trPr>
        <w:tc>
          <w:tcPr>
            <w:tcW w:w="1134" w:type="dxa"/>
            <w:vAlign w:val="center"/>
            <w:hideMark/>
          </w:tcPr>
          <w:p w14:paraId="159FAC85" w14:textId="77777777" w:rsidR="00143559" w:rsidRPr="00A23FCE" w:rsidRDefault="00143559" w:rsidP="00143559">
            <w:pPr>
              <w:contextualSpacing/>
              <w:rPr>
                <w:rFonts w:cs="Arial"/>
                <w:b/>
                <w:bCs/>
                <w:sz w:val="18"/>
                <w:szCs w:val="18"/>
              </w:rPr>
            </w:pPr>
            <w:r w:rsidRPr="00A23FCE">
              <w:rPr>
                <w:rFonts w:cs="Arial"/>
                <w:b/>
                <w:sz w:val="18"/>
                <w:szCs w:val="18"/>
              </w:rPr>
              <w:t>Vltavy</w:t>
            </w:r>
          </w:p>
        </w:tc>
        <w:tc>
          <w:tcPr>
            <w:tcW w:w="1221" w:type="dxa"/>
            <w:vAlign w:val="center"/>
          </w:tcPr>
          <w:p w14:paraId="29AA316D" w14:textId="5FAF0F83" w:rsidR="00143559" w:rsidRPr="00A23FCE" w:rsidRDefault="00143559" w:rsidP="00143559">
            <w:pPr>
              <w:ind w:right="107"/>
              <w:contextualSpacing/>
              <w:jc w:val="right"/>
              <w:rPr>
                <w:rFonts w:cs="Arial"/>
                <w:b/>
                <w:bCs/>
                <w:sz w:val="18"/>
                <w:szCs w:val="18"/>
              </w:rPr>
            </w:pPr>
            <w:r w:rsidRPr="00A23FCE">
              <w:rPr>
                <w:rFonts w:cs="Arial"/>
                <w:b/>
                <w:bCs/>
                <w:color w:val="000000"/>
                <w:sz w:val="20"/>
                <w:szCs w:val="20"/>
              </w:rPr>
              <w:t>71 353</w:t>
            </w:r>
          </w:p>
        </w:tc>
        <w:tc>
          <w:tcPr>
            <w:tcW w:w="992" w:type="dxa"/>
            <w:vAlign w:val="center"/>
          </w:tcPr>
          <w:p w14:paraId="0136E48A" w14:textId="5A4F8580" w:rsidR="00143559" w:rsidRPr="00A23FCE" w:rsidRDefault="00143559" w:rsidP="00143559">
            <w:pPr>
              <w:tabs>
                <w:tab w:val="left" w:pos="854"/>
              </w:tabs>
              <w:contextualSpacing/>
              <w:jc w:val="right"/>
              <w:rPr>
                <w:rFonts w:cs="Arial"/>
                <w:sz w:val="18"/>
                <w:szCs w:val="18"/>
              </w:rPr>
            </w:pPr>
            <w:r w:rsidRPr="00A23FCE">
              <w:rPr>
                <w:rFonts w:cs="Arial"/>
                <w:color w:val="000000"/>
                <w:sz w:val="20"/>
                <w:szCs w:val="20"/>
              </w:rPr>
              <w:t>14 271</w:t>
            </w:r>
          </w:p>
        </w:tc>
        <w:tc>
          <w:tcPr>
            <w:tcW w:w="993" w:type="dxa"/>
            <w:vAlign w:val="center"/>
          </w:tcPr>
          <w:p w14:paraId="31EA2F9E" w14:textId="0F50D2FF" w:rsidR="00143559" w:rsidRPr="00A23FCE" w:rsidRDefault="00143559" w:rsidP="00143559">
            <w:pPr>
              <w:tabs>
                <w:tab w:val="left" w:pos="854"/>
              </w:tabs>
              <w:contextualSpacing/>
              <w:jc w:val="right"/>
              <w:rPr>
                <w:rFonts w:cs="Arial"/>
                <w:sz w:val="18"/>
                <w:szCs w:val="18"/>
              </w:rPr>
            </w:pPr>
            <w:r w:rsidRPr="00A23FCE">
              <w:rPr>
                <w:rFonts w:cs="Arial"/>
                <w:color w:val="000000"/>
                <w:sz w:val="20"/>
                <w:szCs w:val="20"/>
              </w:rPr>
              <w:t>5 115</w:t>
            </w:r>
          </w:p>
        </w:tc>
        <w:tc>
          <w:tcPr>
            <w:tcW w:w="992" w:type="dxa"/>
            <w:vAlign w:val="center"/>
          </w:tcPr>
          <w:p w14:paraId="00317DB2" w14:textId="6C325E0A" w:rsidR="00143559" w:rsidRPr="00A23FCE" w:rsidRDefault="00143559" w:rsidP="00143559">
            <w:pPr>
              <w:tabs>
                <w:tab w:val="left" w:pos="854"/>
              </w:tabs>
              <w:contextualSpacing/>
              <w:jc w:val="right"/>
              <w:rPr>
                <w:rFonts w:cs="Arial"/>
                <w:sz w:val="18"/>
                <w:szCs w:val="18"/>
              </w:rPr>
            </w:pPr>
            <w:r w:rsidRPr="00A23FCE">
              <w:rPr>
                <w:rFonts w:cs="Arial"/>
                <w:color w:val="000000"/>
                <w:sz w:val="20"/>
                <w:szCs w:val="20"/>
              </w:rPr>
              <w:t>7634</w:t>
            </w:r>
          </w:p>
        </w:tc>
        <w:tc>
          <w:tcPr>
            <w:tcW w:w="992" w:type="dxa"/>
            <w:vAlign w:val="center"/>
          </w:tcPr>
          <w:p w14:paraId="05AFC49C" w14:textId="58B611A9" w:rsidR="00143559" w:rsidRPr="00A23FCE" w:rsidRDefault="00143559" w:rsidP="00143559">
            <w:pPr>
              <w:tabs>
                <w:tab w:val="left" w:pos="854"/>
              </w:tabs>
              <w:contextualSpacing/>
              <w:jc w:val="right"/>
              <w:rPr>
                <w:rFonts w:cs="Arial"/>
                <w:sz w:val="18"/>
                <w:szCs w:val="18"/>
              </w:rPr>
            </w:pPr>
            <w:r w:rsidRPr="00A23FCE">
              <w:rPr>
                <w:rFonts w:cs="Arial"/>
                <w:color w:val="000000"/>
                <w:sz w:val="20"/>
                <w:szCs w:val="20"/>
              </w:rPr>
              <w:t>150</w:t>
            </w:r>
          </w:p>
        </w:tc>
        <w:tc>
          <w:tcPr>
            <w:tcW w:w="992" w:type="dxa"/>
            <w:vAlign w:val="center"/>
          </w:tcPr>
          <w:p w14:paraId="43165393" w14:textId="6621FEF0" w:rsidR="00143559" w:rsidRPr="00A23FCE" w:rsidRDefault="00143559" w:rsidP="00143559">
            <w:pPr>
              <w:tabs>
                <w:tab w:val="left" w:pos="854"/>
              </w:tabs>
              <w:contextualSpacing/>
              <w:jc w:val="right"/>
              <w:rPr>
                <w:rFonts w:cs="Arial"/>
                <w:sz w:val="18"/>
                <w:szCs w:val="18"/>
              </w:rPr>
            </w:pPr>
            <w:r w:rsidRPr="00A23FCE">
              <w:rPr>
                <w:rFonts w:cs="Arial"/>
                <w:color w:val="000000"/>
                <w:sz w:val="20"/>
                <w:szCs w:val="20"/>
              </w:rPr>
              <w:t>2062</w:t>
            </w:r>
          </w:p>
        </w:tc>
        <w:tc>
          <w:tcPr>
            <w:tcW w:w="993" w:type="dxa"/>
            <w:vAlign w:val="center"/>
          </w:tcPr>
          <w:p w14:paraId="4A911620" w14:textId="07C984EA" w:rsidR="00143559" w:rsidRPr="00A23FCE" w:rsidRDefault="00143559" w:rsidP="00143559">
            <w:pPr>
              <w:tabs>
                <w:tab w:val="left" w:pos="854"/>
              </w:tabs>
              <w:ind w:right="117"/>
              <w:contextualSpacing/>
              <w:jc w:val="right"/>
              <w:rPr>
                <w:rFonts w:cs="Arial"/>
                <w:sz w:val="18"/>
                <w:szCs w:val="18"/>
              </w:rPr>
            </w:pPr>
            <w:r w:rsidRPr="00A23FCE">
              <w:rPr>
                <w:rFonts w:cs="Arial"/>
                <w:color w:val="000000"/>
                <w:sz w:val="20"/>
                <w:szCs w:val="20"/>
              </w:rPr>
              <w:t>42121</w:t>
            </w:r>
          </w:p>
        </w:tc>
        <w:tc>
          <w:tcPr>
            <w:tcW w:w="1285" w:type="dxa"/>
            <w:vAlign w:val="center"/>
          </w:tcPr>
          <w:p w14:paraId="3B0AB23A" w14:textId="1B5ADF3E" w:rsidR="00143559" w:rsidRPr="00A23FCE" w:rsidRDefault="00143559" w:rsidP="00143559">
            <w:pPr>
              <w:tabs>
                <w:tab w:val="left" w:pos="854"/>
              </w:tabs>
              <w:contextualSpacing/>
              <w:jc w:val="right"/>
              <w:rPr>
                <w:rFonts w:cs="Arial"/>
                <w:sz w:val="18"/>
                <w:szCs w:val="18"/>
              </w:rPr>
            </w:pPr>
            <w:r w:rsidRPr="00A23FCE">
              <w:rPr>
                <w:rFonts w:cs="Arial"/>
                <w:color w:val="000000"/>
                <w:sz w:val="18"/>
                <w:szCs w:val="18"/>
              </w:rPr>
              <w:t>0 </w:t>
            </w:r>
          </w:p>
        </w:tc>
      </w:tr>
      <w:tr w:rsidR="00143559" w:rsidRPr="00A23FCE" w14:paraId="312DAC0E" w14:textId="77777777" w:rsidTr="00403924">
        <w:trPr>
          <w:trHeight w:val="20"/>
          <w:jc w:val="center"/>
        </w:trPr>
        <w:tc>
          <w:tcPr>
            <w:tcW w:w="1134" w:type="dxa"/>
            <w:vAlign w:val="center"/>
            <w:hideMark/>
          </w:tcPr>
          <w:p w14:paraId="30D63CC5" w14:textId="77777777" w:rsidR="00143559" w:rsidRPr="00A23FCE" w:rsidRDefault="00143559" w:rsidP="00143559">
            <w:pPr>
              <w:contextualSpacing/>
              <w:rPr>
                <w:rFonts w:cs="Arial"/>
                <w:b/>
                <w:bCs/>
                <w:sz w:val="18"/>
                <w:szCs w:val="18"/>
              </w:rPr>
            </w:pPr>
            <w:r w:rsidRPr="00A23FCE">
              <w:rPr>
                <w:rFonts w:cs="Arial"/>
                <w:b/>
                <w:sz w:val="18"/>
                <w:szCs w:val="18"/>
              </w:rPr>
              <w:t>Ohře</w:t>
            </w:r>
          </w:p>
        </w:tc>
        <w:tc>
          <w:tcPr>
            <w:tcW w:w="1221" w:type="dxa"/>
            <w:vAlign w:val="center"/>
          </w:tcPr>
          <w:p w14:paraId="25E61CDF" w14:textId="72F35692" w:rsidR="00143559" w:rsidRPr="00A23FCE" w:rsidRDefault="00143559" w:rsidP="00143559">
            <w:pPr>
              <w:ind w:right="-35"/>
              <w:contextualSpacing/>
              <w:jc w:val="center"/>
              <w:rPr>
                <w:rFonts w:cs="Arial"/>
                <w:b/>
                <w:bCs/>
                <w:sz w:val="18"/>
                <w:szCs w:val="18"/>
              </w:rPr>
            </w:pPr>
            <w:r w:rsidRPr="00A23FCE">
              <w:rPr>
                <w:rFonts w:cs="Arial"/>
                <w:b/>
                <w:bCs/>
                <w:color w:val="000000"/>
                <w:sz w:val="18"/>
                <w:szCs w:val="18"/>
              </w:rPr>
              <w:t>65 465</w:t>
            </w:r>
          </w:p>
        </w:tc>
        <w:tc>
          <w:tcPr>
            <w:tcW w:w="992" w:type="dxa"/>
            <w:vAlign w:val="center"/>
          </w:tcPr>
          <w:p w14:paraId="07EE5F8C" w14:textId="313972CC" w:rsidR="00143559" w:rsidRPr="00A23FCE" w:rsidRDefault="00143559" w:rsidP="00143559">
            <w:pPr>
              <w:tabs>
                <w:tab w:val="left" w:pos="854"/>
              </w:tabs>
              <w:contextualSpacing/>
              <w:jc w:val="right"/>
              <w:rPr>
                <w:rFonts w:cs="Arial"/>
                <w:sz w:val="18"/>
                <w:szCs w:val="18"/>
              </w:rPr>
            </w:pPr>
            <w:r w:rsidRPr="00A23FCE">
              <w:rPr>
                <w:rFonts w:cs="Arial"/>
                <w:color w:val="000000"/>
                <w:sz w:val="20"/>
                <w:szCs w:val="20"/>
              </w:rPr>
              <w:t> </w:t>
            </w:r>
          </w:p>
        </w:tc>
        <w:tc>
          <w:tcPr>
            <w:tcW w:w="993" w:type="dxa"/>
            <w:vAlign w:val="center"/>
          </w:tcPr>
          <w:p w14:paraId="5ED42ABD" w14:textId="084326C8" w:rsidR="00143559" w:rsidRPr="00A23FCE" w:rsidRDefault="00143559" w:rsidP="00143559">
            <w:pPr>
              <w:tabs>
                <w:tab w:val="left" w:pos="854"/>
              </w:tabs>
              <w:contextualSpacing/>
              <w:jc w:val="right"/>
              <w:rPr>
                <w:rFonts w:cs="Arial"/>
                <w:sz w:val="18"/>
                <w:szCs w:val="18"/>
              </w:rPr>
            </w:pPr>
            <w:r w:rsidRPr="00A23FCE">
              <w:rPr>
                <w:rFonts w:cs="Arial"/>
                <w:color w:val="000000"/>
                <w:sz w:val="20"/>
                <w:szCs w:val="20"/>
              </w:rPr>
              <w:t>3 638</w:t>
            </w:r>
          </w:p>
        </w:tc>
        <w:tc>
          <w:tcPr>
            <w:tcW w:w="992" w:type="dxa"/>
            <w:vAlign w:val="center"/>
          </w:tcPr>
          <w:p w14:paraId="0C788D4C" w14:textId="39C171F0" w:rsidR="00143559" w:rsidRPr="00A23FCE" w:rsidRDefault="00143559" w:rsidP="00143559">
            <w:pPr>
              <w:tabs>
                <w:tab w:val="left" w:pos="854"/>
              </w:tabs>
              <w:contextualSpacing/>
              <w:jc w:val="right"/>
              <w:rPr>
                <w:rFonts w:cs="Arial"/>
                <w:sz w:val="18"/>
                <w:szCs w:val="18"/>
              </w:rPr>
            </w:pPr>
            <w:r w:rsidRPr="00A23FCE">
              <w:rPr>
                <w:rFonts w:cs="Arial"/>
                <w:color w:val="000000"/>
                <w:sz w:val="20"/>
                <w:szCs w:val="20"/>
              </w:rPr>
              <w:t> </w:t>
            </w:r>
          </w:p>
        </w:tc>
        <w:tc>
          <w:tcPr>
            <w:tcW w:w="992" w:type="dxa"/>
            <w:vAlign w:val="center"/>
          </w:tcPr>
          <w:p w14:paraId="07D16106" w14:textId="30DF9E15" w:rsidR="00143559" w:rsidRPr="00A23FCE" w:rsidRDefault="00143559" w:rsidP="00143559">
            <w:pPr>
              <w:tabs>
                <w:tab w:val="left" w:pos="854"/>
              </w:tabs>
              <w:contextualSpacing/>
              <w:jc w:val="right"/>
              <w:rPr>
                <w:rFonts w:cs="Arial"/>
                <w:sz w:val="18"/>
                <w:szCs w:val="18"/>
              </w:rPr>
            </w:pPr>
            <w:r w:rsidRPr="00A23FCE">
              <w:rPr>
                <w:rFonts w:cs="Arial"/>
                <w:color w:val="000000"/>
                <w:sz w:val="20"/>
                <w:szCs w:val="20"/>
              </w:rPr>
              <w:t> </w:t>
            </w:r>
          </w:p>
        </w:tc>
        <w:tc>
          <w:tcPr>
            <w:tcW w:w="992" w:type="dxa"/>
            <w:vAlign w:val="center"/>
          </w:tcPr>
          <w:p w14:paraId="0683D071" w14:textId="25F9612F" w:rsidR="00143559" w:rsidRPr="00A23FCE" w:rsidRDefault="00143559" w:rsidP="00143559">
            <w:pPr>
              <w:tabs>
                <w:tab w:val="left" w:pos="854"/>
              </w:tabs>
              <w:contextualSpacing/>
              <w:jc w:val="right"/>
              <w:rPr>
                <w:rFonts w:cs="Arial"/>
                <w:sz w:val="18"/>
                <w:szCs w:val="18"/>
              </w:rPr>
            </w:pPr>
            <w:r w:rsidRPr="00A23FCE">
              <w:rPr>
                <w:rFonts w:cs="Arial"/>
                <w:color w:val="000000"/>
                <w:sz w:val="20"/>
                <w:szCs w:val="20"/>
              </w:rPr>
              <w:t> </w:t>
            </w:r>
          </w:p>
        </w:tc>
        <w:tc>
          <w:tcPr>
            <w:tcW w:w="993" w:type="dxa"/>
            <w:vAlign w:val="center"/>
          </w:tcPr>
          <w:p w14:paraId="09E02771" w14:textId="31A06033" w:rsidR="00143559" w:rsidRPr="00A23FCE" w:rsidRDefault="00143559" w:rsidP="00143559">
            <w:pPr>
              <w:tabs>
                <w:tab w:val="left" w:pos="854"/>
              </w:tabs>
              <w:ind w:right="117"/>
              <w:contextualSpacing/>
              <w:jc w:val="right"/>
              <w:rPr>
                <w:rFonts w:cs="Arial"/>
                <w:sz w:val="18"/>
                <w:szCs w:val="18"/>
              </w:rPr>
            </w:pPr>
            <w:r w:rsidRPr="00A23FCE">
              <w:rPr>
                <w:rFonts w:cs="Arial"/>
                <w:color w:val="000000"/>
                <w:sz w:val="20"/>
                <w:szCs w:val="20"/>
              </w:rPr>
              <w:t>61 827</w:t>
            </w:r>
          </w:p>
        </w:tc>
        <w:tc>
          <w:tcPr>
            <w:tcW w:w="1285" w:type="dxa"/>
            <w:vAlign w:val="center"/>
          </w:tcPr>
          <w:p w14:paraId="7755C9DA" w14:textId="10760999" w:rsidR="00143559" w:rsidRPr="00A23FCE" w:rsidRDefault="00143559" w:rsidP="00143559">
            <w:pPr>
              <w:tabs>
                <w:tab w:val="left" w:pos="854"/>
              </w:tabs>
              <w:contextualSpacing/>
              <w:jc w:val="right"/>
              <w:rPr>
                <w:rFonts w:cs="Arial"/>
                <w:sz w:val="18"/>
                <w:szCs w:val="18"/>
              </w:rPr>
            </w:pPr>
            <w:r w:rsidRPr="00A23FCE">
              <w:rPr>
                <w:rFonts w:cs="Arial"/>
                <w:color w:val="000000"/>
                <w:sz w:val="18"/>
                <w:szCs w:val="18"/>
              </w:rPr>
              <w:t>0 </w:t>
            </w:r>
          </w:p>
        </w:tc>
      </w:tr>
      <w:tr w:rsidR="00143559" w:rsidRPr="00A23FCE" w14:paraId="563ED008" w14:textId="77777777" w:rsidTr="00403924">
        <w:trPr>
          <w:trHeight w:val="20"/>
          <w:jc w:val="center"/>
        </w:trPr>
        <w:tc>
          <w:tcPr>
            <w:tcW w:w="1134" w:type="dxa"/>
            <w:vAlign w:val="center"/>
            <w:hideMark/>
          </w:tcPr>
          <w:p w14:paraId="402E524D" w14:textId="77777777" w:rsidR="00143559" w:rsidRPr="00A23FCE" w:rsidRDefault="00143559" w:rsidP="00143559">
            <w:pPr>
              <w:contextualSpacing/>
              <w:rPr>
                <w:rFonts w:cs="Arial"/>
                <w:b/>
                <w:bCs/>
                <w:sz w:val="18"/>
                <w:szCs w:val="18"/>
              </w:rPr>
            </w:pPr>
            <w:r w:rsidRPr="00A23FCE">
              <w:rPr>
                <w:rFonts w:cs="Arial"/>
                <w:b/>
                <w:sz w:val="18"/>
                <w:szCs w:val="18"/>
              </w:rPr>
              <w:t>Odry</w:t>
            </w:r>
          </w:p>
        </w:tc>
        <w:tc>
          <w:tcPr>
            <w:tcW w:w="1221" w:type="dxa"/>
            <w:vAlign w:val="center"/>
          </w:tcPr>
          <w:p w14:paraId="4C183D2C" w14:textId="76B93419" w:rsidR="00143559" w:rsidRPr="00A23FCE" w:rsidRDefault="00143559" w:rsidP="00143559">
            <w:pPr>
              <w:ind w:right="107"/>
              <w:contextualSpacing/>
              <w:jc w:val="right"/>
              <w:rPr>
                <w:rFonts w:cs="Arial"/>
                <w:b/>
                <w:bCs/>
                <w:sz w:val="18"/>
                <w:szCs w:val="18"/>
              </w:rPr>
            </w:pPr>
            <w:r w:rsidRPr="00A23FCE">
              <w:rPr>
                <w:rFonts w:cs="Arial"/>
                <w:b/>
                <w:bCs/>
                <w:color w:val="000000"/>
                <w:sz w:val="20"/>
                <w:szCs w:val="20"/>
              </w:rPr>
              <w:t>95 433</w:t>
            </w:r>
          </w:p>
        </w:tc>
        <w:tc>
          <w:tcPr>
            <w:tcW w:w="992" w:type="dxa"/>
            <w:vAlign w:val="center"/>
          </w:tcPr>
          <w:p w14:paraId="58EF9BB9" w14:textId="2A1E873C" w:rsidR="00143559" w:rsidRPr="00A23FCE" w:rsidRDefault="00143559" w:rsidP="00143559">
            <w:pPr>
              <w:tabs>
                <w:tab w:val="left" w:pos="854"/>
              </w:tabs>
              <w:contextualSpacing/>
              <w:jc w:val="right"/>
              <w:rPr>
                <w:rFonts w:cs="Arial"/>
                <w:sz w:val="18"/>
                <w:szCs w:val="18"/>
              </w:rPr>
            </w:pPr>
            <w:r w:rsidRPr="00A23FCE">
              <w:rPr>
                <w:rFonts w:cs="Arial"/>
                <w:color w:val="000000"/>
                <w:sz w:val="20"/>
                <w:szCs w:val="20"/>
              </w:rPr>
              <w:t>9000</w:t>
            </w:r>
          </w:p>
        </w:tc>
        <w:tc>
          <w:tcPr>
            <w:tcW w:w="993" w:type="dxa"/>
            <w:vAlign w:val="center"/>
          </w:tcPr>
          <w:p w14:paraId="7B35E0C5" w14:textId="03510806" w:rsidR="00143559" w:rsidRPr="00A23FCE" w:rsidRDefault="00143559" w:rsidP="00143559">
            <w:pPr>
              <w:tabs>
                <w:tab w:val="left" w:pos="854"/>
              </w:tabs>
              <w:contextualSpacing/>
              <w:jc w:val="right"/>
              <w:rPr>
                <w:rFonts w:cs="Arial"/>
                <w:sz w:val="18"/>
                <w:szCs w:val="18"/>
              </w:rPr>
            </w:pPr>
            <w:r w:rsidRPr="00A23FCE">
              <w:rPr>
                <w:rFonts w:cs="Arial"/>
                <w:color w:val="000000"/>
                <w:sz w:val="20"/>
                <w:szCs w:val="20"/>
              </w:rPr>
              <w:t>2 695</w:t>
            </w:r>
          </w:p>
        </w:tc>
        <w:tc>
          <w:tcPr>
            <w:tcW w:w="992" w:type="dxa"/>
            <w:vAlign w:val="center"/>
          </w:tcPr>
          <w:p w14:paraId="5CFCDA3A" w14:textId="56CA38EF" w:rsidR="00143559" w:rsidRPr="00A23FCE" w:rsidRDefault="00143559" w:rsidP="00143559">
            <w:pPr>
              <w:tabs>
                <w:tab w:val="left" w:pos="854"/>
              </w:tabs>
              <w:contextualSpacing/>
              <w:jc w:val="right"/>
              <w:rPr>
                <w:rFonts w:cs="Arial"/>
                <w:sz w:val="18"/>
                <w:szCs w:val="18"/>
              </w:rPr>
            </w:pPr>
            <w:r w:rsidRPr="00A23FCE">
              <w:rPr>
                <w:rFonts w:cs="Arial"/>
                <w:color w:val="000000"/>
                <w:sz w:val="20"/>
                <w:szCs w:val="20"/>
              </w:rPr>
              <w:t>0</w:t>
            </w:r>
          </w:p>
        </w:tc>
        <w:tc>
          <w:tcPr>
            <w:tcW w:w="992" w:type="dxa"/>
            <w:vAlign w:val="center"/>
          </w:tcPr>
          <w:p w14:paraId="6B4CDC3A" w14:textId="6C67AE5A" w:rsidR="00143559" w:rsidRPr="00A23FCE" w:rsidRDefault="00143559" w:rsidP="00143559">
            <w:pPr>
              <w:tabs>
                <w:tab w:val="left" w:pos="854"/>
              </w:tabs>
              <w:contextualSpacing/>
              <w:jc w:val="right"/>
              <w:rPr>
                <w:rFonts w:cs="Arial"/>
                <w:sz w:val="18"/>
                <w:szCs w:val="18"/>
              </w:rPr>
            </w:pPr>
            <w:r w:rsidRPr="00A23FCE">
              <w:rPr>
                <w:rFonts w:cs="Arial"/>
                <w:color w:val="000000"/>
                <w:sz w:val="20"/>
                <w:szCs w:val="20"/>
              </w:rPr>
              <w:t>420</w:t>
            </w:r>
          </w:p>
        </w:tc>
        <w:tc>
          <w:tcPr>
            <w:tcW w:w="992" w:type="dxa"/>
            <w:vAlign w:val="center"/>
          </w:tcPr>
          <w:p w14:paraId="7EA99241" w14:textId="59A17AEE" w:rsidR="00143559" w:rsidRPr="00A23FCE" w:rsidRDefault="00143559" w:rsidP="00143559">
            <w:pPr>
              <w:tabs>
                <w:tab w:val="left" w:pos="854"/>
              </w:tabs>
              <w:contextualSpacing/>
              <w:jc w:val="right"/>
              <w:rPr>
                <w:rFonts w:cs="Arial"/>
                <w:sz w:val="18"/>
                <w:szCs w:val="18"/>
              </w:rPr>
            </w:pPr>
            <w:r w:rsidRPr="00A23FCE">
              <w:rPr>
                <w:rFonts w:cs="Arial"/>
                <w:color w:val="000000"/>
                <w:sz w:val="20"/>
                <w:szCs w:val="20"/>
              </w:rPr>
              <w:t> </w:t>
            </w:r>
          </w:p>
        </w:tc>
        <w:tc>
          <w:tcPr>
            <w:tcW w:w="993" w:type="dxa"/>
            <w:vAlign w:val="center"/>
          </w:tcPr>
          <w:p w14:paraId="4A5CCB1D" w14:textId="4BFA3BD8" w:rsidR="00143559" w:rsidRPr="00A23FCE" w:rsidRDefault="00143559" w:rsidP="00143559">
            <w:pPr>
              <w:tabs>
                <w:tab w:val="left" w:pos="854"/>
              </w:tabs>
              <w:ind w:right="117"/>
              <w:contextualSpacing/>
              <w:jc w:val="right"/>
              <w:rPr>
                <w:rFonts w:cs="Arial"/>
                <w:sz w:val="18"/>
                <w:szCs w:val="18"/>
              </w:rPr>
            </w:pPr>
            <w:r w:rsidRPr="00A23FCE">
              <w:rPr>
                <w:rFonts w:cs="Arial"/>
                <w:color w:val="000000"/>
                <w:sz w:val="20"/>
                <w:szCs w:val="20"/>
              </w:rPr>
              <w:t>83318</w:t>
            </w:r>
          </w:p>
        </w:tc>
        <w:tc>
          <w:tcPr>
            <w:tcW w:w="1285" w:type="dxa"/>
            <w:vAlign w:val="center"/>
          </w:tcPr>
          <w:p w14:paraId="64E8E8FB" w14:textId="30784183" w:rsidR="00143559" w:rsidRPr="00A23FCE" w:rsidRDefault="00143559" w:rsidP="00143559">
            <w:pPr>
              <w:tabs>
                <w:tab w:val="left" w:pos="854"/>
              </w:tabs>
              <w:contextualSpacing/>
              <w:jc w:val="right"/>
              <w:rPr>
                <w:rFonts w:cs="Arial"/>
                <w:sz w:val="18"/>
                <w:szCs w:val="18"/>
              </w:rPr>
            </w:pPr>
            <w:r w:rsidRPr="00A23FCE">
              <w:rPr>
                <w:rFonts w:cs="Arial"/>
                <w:color w:val="000000"/>
                <w:sz w:val="18"/>
                <w:szCs w:val="18"/>
              </w:rPr>
              <w:t>0 </w:t>
            </w:r>
          </w:p>
        </w:tc>
      </w:tr>
      <w:tr w:rsidR="00143559" w:rsidRPr="00A23FCE" w14:paraId="43CA42B1" w14:textId="77777777" w:rsidTr="00403924">
        <w:trPr>
          <w:trHeight w:val="20"/>
          <w:jc w:val="center"/>
        </w:trPr>
        <w:tc>
          <w:tcPr>
            <w:tcW w:w="1134" w:type="dxa"/>
            <w:vAlign w:val="center"/>
            <w:hideMark/>
          </w:tcPr>
          <w:p w14:paraId="42BF9D7F" w14:textId="77777777" w:rsidR="00143559" w:rsidRPr="00A23FCE" w:rsidRDefault="00143559" w:rsidP="00143559">
            <w:pPr>
              <w:contextualSpacing/>
              <w:rPr>
                <w:rFonts w:cs="Arial"/>
                <w:b/>
                <w:bCs/>
                <w:sz w:val="18"/>
                <w:szCs w:val="18"/>
              </w:rPr>
            </w:pPr>
            <w:r w:rsidRPr="00A23FCE">
              <w:rPr>
                <w:rFonts w:cs="Arial"/>
                <w:b/>
                <w:sz w:val="18"/>
                <w:szCs w:val="18"/>
              </w:rPr>
              <w:t>Moravy</w:t>
            </w:r>
          </w:p>
        </w:tc>
        <w:tc>
          <w:tcPr>
            <w:tcW w:w="1221" w:type="dxa"/>
            <w:vAlign w:val="center"/>
          </w:tcPr>
          <w:p w14:paraId="4C09DBC4" w14:textId="19CC3FA9" w:rsidR="00143559" w:rsidRPr="00A23FCE" w:rsidRDefault="00143559" w:rsidP="00143559">
            <w:pPr>
              <w:ind w:right="107"/>
              <w:contextualSpacing/>
              <w:jc w:val="right"/>
              <w:rPr>
                <w:rFonts w:cs="Arial"/>
                <w:b/>
                <w:bCs/>
                <w:sz w:val="18"/>
                <w:szCs w:val="18"/>
              </w:rPr>
            </w:pPr>
            <w:r w:rsidRPr="00A23FCE">
              <w:rPr>
                <w:rFonts w:cs="Arial"/>
                <w:b/>
                <w:bCs/>
                <w:color w:val="000000"/>
                <w:sz w:val="20"/>
                <w:szCs w:val="20"/>
              </w:rPr>
              <w:t>2 126</w:t>
            </w:r>
          </w:p>
        </w:tc>
        <w:tc>
          <w:tcPr>
            <w:tcW w:w="992" w:type="dxa"/>
            <w:vAlign w:val="center"/>
          </w:tcPr>
          <w:p w14:paraId="3140C4BF" w14:textId="2ADF74E2" w:rsidR="00143559" w:rsidRPr="00A23FCE" w:rsidRDefault="00143559" w:rsidP="00143559">
            <w:pPr>
              <w:tabs>
                <w:tab w:val="left" w:pos="854"/>
              </w:tabs>
              <w:contextualSpacing/>
              <w:jc w:val="right"/>
              <w:rPr>
                <w:rFonts w:cs="Arial"/>
                <w:sz w:val="18"/>
                <w:szCs w:val="18"/>
              </w:rPr>
            </w:pPr>
            <w:r w:rsidRPr="00A23FCE">
              <w:rPr>
                <w:rFonts w:cs="Arial"/>
                <w:color w:val="000000"/>
                <w:sz w:val="20"/>
                <w:szCs w:val="20"/>
              </w:rPr>
              <w:t> </w:t>
            </w:r>
          </w:p>
        </w:tc>
        <w:tc>
          <w:tcPr>
            <w:tcW w:w="993" w:type="dxa"/>
            <w:vAlign w:val="center"/>
          </w:tcPr>
          <w:p w14:paraId="1CC8A55C" w14:textId="14B20908" w:rsidR="00143559" w:rsidRPr="00A23FCE" w:rsidRDefault="00143559" w:rsidP="00143559">
            <w:pPr>
              <w:tabs>
                <w:tab w:val="left" w:pos="854"/>
              </w:tabs>
              <w:contextualSpacing/>
              <w:jc w:val="right"/>
              <w:rPr>
                <w:rFonts w:cs="Arial"/>
                <w:sz w:val="18"/>
                <w:szCs w:val="18"/>
              </w:rPr>
            </w:pPr>
            <w:r w:rsidRPr="00A23FCE">
              <w:rPr>
                <w:rFonts w:cs="Arial"/>
                <w:color w:val="000000"/>
                <w:sz w:val="20"/>
                <w:szCs w:val="20"/>
              </w:rPr>
              <w:t>2 126</w:t>
            </w:r>
          </w:p>
        </w:tc>
        <w:tc>
          <w:tcPr>
            <w:tcW w:w="992" w:type="dxa"/>
            <w:vAlign w:val="center"/>
          </w:tcPr>
          <w:p w14:paraId="587C8952" w14:textId="69DC1C30" w:rsidR="00143559" w:rsidRPr="00A23FCE" w:rsidRDefault="00143559" w:rsidP="00143559">
            <w:pPr>
              <w:tabs>
                <w:tab w:val="left" w:pos="854"/>
              </w:tabs>
              <w:contextualSpacing/>
              <w:jc w:val="right"/>
              <w:rPr>
                <w:rFonts w:cs="Arial"/>
                <w:sz w:val="18"/>
                <w:szCs w:val="18"/>
              </w:rPr>
            </w:pPr>
            <w:r w:rsidRPr="00A23FCE">
              <w:rPr>
                <w:rFonts w:cs="Arial"/>
                <w:color w:val="000000"/>
                <w:sz w:val="20"/>
                <w:szCs w:val="20"/>
              </w:rPr>
              <w:t> </w:t>
            </w:r>
          </w:p>
        </w:tc>
        <w:tc>
          <w:tcPr>
            <w:tcW w:w="992" w:type="dxa"/>
            <w:vAlign w:val="center"/>
          </w:tcPr>
          <w:p w14:paraId="3CACF2E5" w14:textId="73590D15" w:rsidR="00143559" w:rsidRPr="00A23FCE" w:rsidRDefault="00143559" w:rsidP="00143559">
            <w:pPr>
              <w:tabs>
                <w:tab w:val="left" w:pos="854"/>
              </w:tabs>
              <w:contextualSpacing/>
              <w:jc w:val="right"/>
              <w:rPr>
                <w:rFonts w:cs="Arial"/>
                <w:sz w:val="18"/>
                <w:szCs w:val="18"/>
              </w:rPr>
            </w:pPr>
            <w:r w:rsidRPr="00A23FCE">
              <w:rPr>
                <w:rFonts w:cs="Arial"/>
                <w:color w:val="000000"/>
                <w:sz w:val="20"/>
                <w:szCs w:val="20"/>
              </w:rPr>
              <w:t> </w:t>
            </w:r>
          </w:p>
        </w:tc>
        <w:tc>
          <w:tcPr>
            <w:tcW w:w="992" w:type="dxa"/>
            <w:vAlign w:val="center"/>
          </w:tcPr>
          <w:p w14:paraId="51EF0871" w14:textId="582C01C7" w:rsidR="00143559" w:rsidRPr="00A23FCE" w:rsidRDefault="00143559" w:rsidP="00143559">
            <w:pPr>
              <w:tabs>
                <w:tab w:val="left" w:pos="854"/>
              </w:tabs>
              <w:contextualSpacing/>
              <w:jc w:val="right"/>
              <w:rPr>
                <w:rFonts w:cs="Arial"/>
                <w:sz w:val="18"/>
                <w:szCs w:val="18"/>
              </w:rPr>
            </w:pPr>
            <w:r w:rsidRPr="00A23FCE">
              <w:rPr>
                <w:rFonts w:cs="Arial"/>
                <w:color w:val="000000"/>
                <w:sz w:val="20"/>
                <w:szCs w:val="20"/>
              </w:rPr>
              <w:t> </w:t>
            </w:r>
          </w:p>
        </w:tc>
        <w:tc>
          <w:tcPr>
            <w:tcW w:w="993" w:type="dxa"/>
            <w:vAlign w:val="center"/>
          </w:tcPr>
          <w:p w14:paraId="5A23BB4E" w14:textId="465E43C6" w:rsidR="00143559" w:rsidRPr="00A23FCE" w:rsidRDefault="00143559" w:rsidP="00143559">
            <w:pPr>
              <w:tabs>
                <w:tab w:val="left" w:pos="854"/>
              </w:tabs>
              <w:ind w:right="117"/>
              <w:contextualSpacing/>
              <w:jc w:val="right"/>
              <w:rPr>
                <w:rFonts w:cs="Arial"/>
                <w:sz w:val="18"/>
                <w:szCs w:val="18"/>
              </w:rPr>
            </w:pPr>
            <w:r w:rsidRPr="00A23FCE">
              <w:rPr>
                <w:rFonts w:cs="Arial"/>
                <w:color w:val="000000"/>
                <w:sz w:val="20"/>
                <w:szCs w:val="20"/>
              </w:rPr>
              <w:t> </w:t>
            </w:r>
          </w:p>
        </w:tc>
        <w:tc>
          <w:tcPr>
            <w:tcW w:w="1285" w:type="dxa"/>
            <w:vAlign w:val="center"/>
          </w:tcPr>
          <w:p w14:paraId="27D57A87" w14:textId="624E2C67" w:rsidR="00143559" w:rsidRPr="00A23FCE" w:rsidRDefault="00143559" w:rsidP="00143559">
            <w:pPr>
              <w:tabs>
                <w:tab w:val="left" w:pos="854"/>
              </w:tabs>
              <w:contextualSpacing/>
              <w:jc w:val="right"/>
              <w:rPr>
                <w:rFonts w:cs="Arial"/>
                <w:sz w:val="18"/>
                <w:szCs w:val="18"/>
              </w:rPr>
            </w:pPr>
            <w:r w:rsidRPr="00A23FCE">
              <w:rPr>
                <w:rFonts w:cs="Arial"/>
                <w:color w:val="000000"/>
                <w:sz w:val="18"/>
                <w:szCs w:val="18"/>
              </w:rPr>
              <w:t>-13 539</w:t>
            </w:r>
          </w:p>
        </w:tc>
      </w:tr>
    </w:tbl>
    <w:p w14:paraId="1B786522" w14:textId="7C8F0B96" w:rsidR="00D701B8" w:rsidRPr="00A23FCE" w:rsidRDefault="00D701B8" w:rsidP="00D701B8">
      <w:pPr>
        <w:contextualSpacing/>
        <w:rPr>
          <w:rFonts w:cs="Arial"/>
          <w:i/>
          <w:noProof/>
          <w:sz w:val="20"/>
          <w:szCs w:val="20"/>
        </w:rPr>
      </w:pPr>
      <w:r w:rsidRPr="00A23FCE">
        <w:rPr>
          <w:rFonts w:cs="Arial"/>
          <w:i/>
          <w:noProof/>
          <w:sz w:val="20"/>
          <w:szCs w:val="20"/>
        </w:rPr>
        <w:t xml:space="preserve">Pramen: </w:t>
      </w:r>
      <w:r w:rsidR="00340859" w:rsidRPr="00A23FCE">
        <w:rPr>
          <w:rFonts w:cs="Arial"/>
          <w:i/>
          <w:noProof/>
          <w:sz w:val="20"/>
          <w:szCs w:val="20"/>
        </w:rPr>
        <w:t>s</w:t>
      </w:r>
      <w:r w:rsidRPr="00A23FCE">
        <w:rPr>
          <w:rFonts w:cs="Arial"/>
          <w:i/>
          <w:noProof/>
          <w:sz w:val="20"/>
          <w:szCs w:val="20"/>
        </w:rPr>
        <w:t>. p. Povodí</w:t>
      </w:r>
    </w:p>
    <w:p w14:paraId="1E4042E2" w14:textId="77777777" w:rsidR="00A715B2" w:rsidRDefault="008E2AE9" w:rsidP="00A715B2">
      <w:pPr>
        <w:contextualSpacing/>
        <w:rPr>
          <w:rFonts w:cs="Arial"/>
          <w:i/>
          <w:noProof/>
          <w:sz w:val="20"/>
          <w:szCs w:val="20"/>
        </w:rPr>
      </w:pPr>
      <w:r w:rsidRPr="00A23FCE">
        <w:rPr>
          <w:rFonts w:cs="Arial"/>
          <w:color w:val="000000"/>
          <w:sz w:val="18"/>
          <w:szCs w:val="18"/>
        </w:rPr>
        <w:t xml:space="preserve">Pozn.: </w:t>
      </w:r>
      <w:r w:rsidRPr="00A23FCE">
        <w:rPr>
          <w:rFonts w:cs="Arial"/>
          <w:color w:val="000000"/>
          <w:sz w:val="18"/>
          <w:szCs w:val="18"/>
          <w:vertAlign w:val="superscript"/>
        </w:rPr>
        <w:t xml:space="preserve">*) </w:t>
      </w:r>
      <w:r w:rsidRPr="00A23FCE">
        <w:rPr>
          <w:rFonts w:cs="Arial"/>
          <w:i/>
          <w:noProof/>
          <w:sz w:val="20"/>
          <w:szCs w:val="20"/>
        </w:rPr>
        <w:t>Vytvořeny v souladu s § 19 odst. 5 zákona č. 77/1997 Sb., o státním podniku, ve znění pozdějších předpisů</w:t>
      </w:r>
    </w:p>
    <w:p w14:paraId="12CE81DD" w14:textId="6EF3E90B" w:rsidR="00A23FCE" w:rsidRPr="00A715B2" w:rsidRDefault="00D82E63" w:rsidP="00A715B2">
      <w:pPr>
        <w:contextualSpacing/>
        <w:rPr>
          <w:rFonts w:cs="Arial"/>
          <w:i/>
          <w:noProof/>
          <w:sz w:val="20"/>
          <w:szCs w:val="20"/>
        </w:rPr>
      </w:pPr>
      <w:r w:rsidRPr="00A23FCE">
        <w:rPr>
          <w:rFonts w:cs="Arial"/>
          <w:i/>
          <w:noProof/>
          <w:sz w:val="18"/>
          <w:szCs w:val="18"/>
        </w:rPr>
        <w:t xml:space="preserve">**) </w:t>
      </w:r>
      <w:r w:rsidR="00A23FCE" w:rsidRPr="00A23FCE">
        <w:rPr>
          <w:rStyle w:val="cf01"/>
          <w:rFonts w:ascii="Arial" w:hAnsi="Arial" w:cs="Arial"/>
        </w:rPr>
        <w:t>Zahrnuje částku 8 544 tis. Kč = nerozdělený zisk za rok 2024</w:t>
      </w:r>
    </w:p>
    <w:bookmarkEnd w:id="66"/>
    <w:p w14:paraId="5759550D" w14:textId="77777777" w:rsidR="00A715B2" w:rsidRDefault="00A715B2" w:rsidP="007C4955">
      <w:pPr>
        <w:contextualSpacing/>
        <w:rPr>
          <w:b/>
          <w:i/>
        </w:rPr>
      </w:pPr>
    </w:p>
    <w:p w14:paraId="6EB2E75E" w14:textId="2252A38E" w:rsidR="005C3DF4" w:rsidRPr="000C50A5" w:rsidRDefault="005C3DF4" w:rsidP="007C4955">
      <w:pPr>
        <w:contextualSpacing/>
        <w:rPr>
          <w:b/>
          <w:i/>
        </w:rPr>
      </w:pPr>
      <w:r w:rsidRPr="000C50A5">
        <w:rPr>
          <w:b/>
          <w:i/>
        </w:rPr>
        <w:t>Tabulka 6.2.</w:t>
      </w:r>
      <w:bookmarkEnd w:id="63"/>
      <w:r w:rsidR="0069387B" w:rsidRPr="000C50A5">
        <w:rPr>
          <w:b/>
          <w:i/>
        </w:rPr>
        <w:t xml:space="preserve">5 </w:t>
      </w:r>
    </w:p>
    <w:p w14:paraId="6062E1E1" w14:textId="3817E036" w:rsidR="005C3DF4" w:rsidRPr="000C50A5" w:rsidRDefault="005C3DF4" w:rsidP="007C4955">
      <w:pPr>
        <w:contextualSpacing/>
        <w:rPr>
          <w:b/>
          <w:i/>
        </w:rPr>
      </w:pPr>
      <w:bookmarkStart w:id="67" w:name="_Toc482564965"/>
      <w:r w:rsidRPr="000C50A5">
        <w:rPr>
          <w:b/>
          <w:i/>
        </w:rPr>
        <w:t>Dodávky povrchové vody v územní působnosti státních podniků Povodí za úplatu v letech 201</w:t>
      </w:r>
      <w:r w:rsidR="008C626E" w:rsidRPr="000C50A5">
        <w:rPr>
          <w:b/>
          <w:i/>
        </w:rPr>
        <w:t>6</w:t>
      </w:r>
      <w:r w:rsidRPr="000C50A5">
        <w:rPr>
          <w:b/>
          <w:i/>
        </w:rPr>
        <w:t>–20</w:t>
      </w:r>
      <w:bookmarkEnd w:id="67"/>
      <w:r w:rsidR="004F7B4F" w:rsidRPr="000C50A5">
        <w:rPr>
          <w:b/>
          <w:i/>
        </w:rPr>
        <w:t>2</w:t>
      </w:r>
      <w:r w:rsidR="00A23FCE" w:rsidRPr="000C50A5">
        <w:rPr>
          <w:b/>
          <w:i/>
        </w:rPr>
        <w:t>5</w:t>
      </w:r>
    </w:p>
    <w:tbl>
      <w:tblPr>
        <w:tblW w:w="11425" w:type="dxa"/>
        <w:tblInd w:w="-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82"/>
        <w:gridCol w:w="402"/>
        <w:gridCol w:w="1023"/>
        <w:gridCol w:w="1023"/>
        <w:gridCol w:w="1023"/>
        <w:gridCol w:w="1023"/>
        <w:gridCol w:w="1023"/>
        <w:gridCol w:w="1024"/>
        <w:gridCol w:w="1024"/>
        <w:gridCol w:w="1024"/>
        <w:gridCol w:w="1027"/>
        <w:gridCol w:w="1027"/>
      </w:tblGrid>
      <w:tr w:rsidR="00153785" w:rsidRPr="000C50A5" w14:paraId="3669F606" w14:textId="1C67396A" w:rsidTr="00153785">
        <w:trPr>
          <w:trHeight w:val="317"/>
        </w:trPr>
        <w:tc>
          <w:tcPr>
            <w:tcW w:w="1184" w:type="dxa"/>
            <w:gridSpan w:val="2"/>
            <w:vMerge w:val="restart"/>
            <w:shd w:val="clear" w:color="auto" w:fill="BFBFBF"/>
            <w:vAlign w:val="center"/>
            <w:hideMark/>
          </w:tcPr>
          <w:p w14:paraId="4C8061C2" w14:textId="77777777" w:rsidR="00153785" w:rsidRPr="000C50A5" w:rsidRDefault="00153785" w:rsidP="008C626E">
            <w:pPr>
              <w:contextualSpacing/>
              <w:rPr>
                <w:b/>
                <w:sz w:val="16"/>
                <w:szCs w:val="16"/>
              </w:rPr>
            </w:pPr>
            <w:r w:rsidRPr="000C50A5">
              <w:rPr>
                <w:b/>
                <w:sz w:val="16"/>
                <w:szCs w:val="16"/>
              </w:rPr>
              <w:t>Státní podnik Povodí</w:t>
            </w:r>
          </w:p>
        </w:tc>
        <w:tc>
          <w:tcPr>
            <w:tcW w:w="1023" w:type="dxa"/>
            <w:shd w:val="clear" w:color="auto" w:fill="BFBFBF"/>
            <w:vAlign w:val="center"/>
          </w:tcPr>
          <w:p w14:paraId="74333454" w14:textId="5E99BD08" w:rsidR="00153785" w:rsidRPr="000C50A5" w:rsidRDefault="00153785" w:rsidP="008C626E">
            <w:pPr>
              <w:contextualSpacing/>
              <w:jc w:val="center"/>
              <w:rPr>
                <w:b/>
                <w:sz w:val="16"/>
                <w:szCs w:val="16"/>
              </w:rPr>
            </w:pPr>
            <w:r w:rsidRPr="000C50A5">
              <w:rPr>
                <w:b/>
                <w:sz w:val="16"/>
                <w:szCs w:val="16"/>
              </w:rPr>
              <w:t>2016</w:t>
            </w:r>
          </w:p>
        </w:tc>
        <w:tc>
          <w:tcPr>
            <w:tcW w:w="1023" w:type="dxa"/>
            <w:shd w:val="clear" w:color="auto" w:fill="BFBFBF"/>
            <w:vAlign w:val="center"/>
          </w:tcPr>
          <w:p w14:paraId="6B6B6716" w14:textId="4AF5D12B" w:rsidR="00153785" w:rsidRPr="000C50A5" w:rsidRDefault="00153785" w:rsidP="008C626E">
            <w:pPr>
              <w:contextualSpacing/>
              <w:jc w:val="center"/>
              <w:rPr>
                <w:b/>
                <w:sz w:val="16"/>
                <w:szCs w:val="16"/>
              </w:rPr>
            </w:pPr>
            <w:r w:rsidRPr="000C50A5">
              <w:rPr>
                <w:b/>
                <w:sz w:val="16"/>
                <w:szCs w:val="16"/>
              </w:rPr>
              <w:t>2017</w:t>
            </w:r>
          </w:p>
        </w:tc>
        <w:tc>
          <w:tcPr>
            <w:tcW w:w="1023" w:type="dxa"/>
            <w:shd w:val="clear" w:color="auto" w:fill="BFBFBF"/>
            <w:vAlign w:val="center"/>
          </w:tcPr>
          <w:p w14:paraId="125E987A" w14:textId="536642B9" w:rsidR="00153785" w:rsidRPr="000C50A5" w:rsidRDefault="00153785" w:rsidP="008C626E">
            <w:pPr>
              <w:contextualSpacing/>
              <w:jc w:val="center"/>
              <w:rPr>
                <w:b/>
                <w:sz w:val="16"/>
                <w:szCs w:val="16"/>
              </w:rPr>
            </w:pPr>
            <w:r w:rsidRPr="000C50A5">
              <w:rPr>
                <w:b/>
                <w:sz w:val="16"/>
                <w:szCs w:val="16"/>
              </w:rPr>
              <w:t>2018</w:t>
            </w:r>
          </w:p>
        </w:tc>
        <w:tc>
          <w:tcPr>
            <w:tcW w:w="1023" w:type="dxa"/>
            <w:shd w:val="clear" w:color="auto" w:fill="BFBFBF"/>
            <w:vAlign w:val="center"/>
          </w:tcPr>
          <w:p w14:paraId="520C3FEF" w14:textId="151AA6D3" w:rsidR="00153785" w:rsidRPr="000C50A5" w:rsidRDefault="00153785" w:rsidP="008C626E">
            <w:pPr>
              <w:ind w:right="72"/>
              <w:contextualSpacing/>
              <w:jc w:val="center"/>
              <w:rPr>
                <w:b/>
                <w:sz w:val="16"/>
                <w:szCs w:val="16"/>
              </w:rPr>
            </w:pPr>
            <w:r w:rsidRPr="000C50A5">
              <w:rPr>
                <w:b/>
                <w:sz w:val="16"/>
                <w:szCs w:val="16"/>
              </w:rPr>
              <w:t>2019</w:t>
            </w:r>
          </w:p>
        </w:tc>
        <w:tc>
          <w:tcPr>
            <w:tcW w:w="1023" w:type="dxa"/>
            <w:shd w:val="clear" w:color="auto" w:fill="BFBFBF"/>
            <w:vAlign w:val="center"/>
          </w:tcPr>
          <w:p w14:paraId="3AFD95D5" w14:textId="3A7EAA8B" w:rsidR="00153785" w:rsidRPr="000C50A5" w:rsidRDefault="00153785" w:rsidP="008C626E">
            <w:pPr>
              <w:ind w:right="72"/>
              <w:contextualSpacing/>
              <w:jc w:val="center"/>
              <w:rPr>
                <w:b/>
                <w:sz w:val="16"/>
                <w:szCs w:val="16"/>
              </w:rPr>
            </w:pPr>
            <w:r w:rsidRPr="000C50A5">
              <w:rPr>
                <w:b/>
                <w:sz w:val="16"/>
                <w:szCs w:val="16"/>
              </w:rPr>
              <w:t>2020</w:t>
            </w:r>
          </w:p>
        </w:tc>
        <w:tc>
          <w:tcPr>
            <w:tcW w:w="1024" w:type="dxa"/>
            <w:shd w:val="clear" w:color="auto" w:fill="BFBFBF"/>
            <w:vAlign w:val="center"/>
          </w:tcPr>
          <w:p w14:paraId="2D69D656" w14:textId="286171B0" w:rsidR="00153785" w:rsidRPr="000C50A5" w:rsidRDefault="00153785" w:rsidP="008C626E">
            <w:pPr>
              <w:ind w:right="72"/>
              <w:contextualSpacing/>
              <w:jc w:val="center"/>
              <w:rPr>
                <w:b/>
                <w:sz w:val="16"/>
                <w:szCs w:val="16"/>
              </w:rPr>
            </w:pPr>
            <w:r w:rsidRPr="000C50A5">
              <w:rPr>
                <w:b/>
                <w:sz w:val="16"/>
                <w:szCs w:val="16"/>
              </w:rPr>
              <w:t>2021</w:t>
            </w:r>
          </w:p>
        </w:tc>
        <w:tc>
          <w:tcPr>
            <w:tcW w:w="1024" w:type="dxa"/>
            <w:shd w:val="clear" w:color="auto" w:fill="BFBFBF"/>
            <w:vAlign w:val="center"/>
          </w:tcPr>
          <w:p w14:paraId="50505F6F" w14:textId="0922C38E" w:rsidR="00153785" w:rsidRPr="000C50A5" w:rsidRDefault="00153785" w:rsidP="008C626E">
            <w:pPr>
              <w:ind w:right="72"/>
              <w:contextualSpacing/>
              <w:jc w:val="center"/>
              <w:rPr>
                <w:b/>
                <w:sz w:val="16"/>
                <w:szCs w:val="16"/>
              </w:rPr>
            </w:pPr>
            <w:r w:rsidRPr="000C50A5">
              <w:rPr>
                <w:b/>
                <w:sz w:val="16"/>
                <w:szCs w:val="16"/>
              </w:rPr>
              <w:t>2022</w:t>
            </w:r>
          </w:p>
        </w:tc>
        <w:tc>
          <w:tcPr>
            <w:tcW w:w="1024" w:type="dxa"/>
            <w:shd w:val="clear" w:color="auto" w:fill="BFBFBF"/>
            <w:vAlign w:val="center"/>
          </w:tcPr>
          <w:p w14:paraId="13FB44F0" w14:textId="072CBF77" w:rsidR="00153785" w:rsidRPr="000C50A5" w:rsidRDefault="00153785" w:rsidP="008C626E">
            <w:pPr>
              <w:ind w:right="72"/>
              <w:contextualSpacing/>
              <w:jc w:val="center"/>
              <w:rPr>
                <w:b/>
                <w:sz w:val="16"/>
                <w:szCs w:val="16"/>
              </w:rPr>
            </w:pPr>
            <w:r w:rsidRPr="000C50A5">
              <w:rPr>
                <w:b/>
                <w:sz w:val="16"/>
                <w:szCs w:val="16"/>
              </w:rPr>
              <w:t>2023</w:t>
            </w:r>
          </w:p>
        </w:tc>
        <w:tc>
          <w:tcPr>
            <w:tcW w:w="1027" w:type="dxa"/>
            <w:shd w:val="clear" w:color="auto" w:fill="BFBFBF"/>
            <w:vAlign w:val="center"/>
          </w:tcPr>
          <w:p w14:paraId="425CA403" w14:textId="581B20B5" w:rsidR="00153785" w:rsidRPr="000C50A5" w:rsidRDefault="00153785" w:rsidP="008C626E">
            <w:pPr>
              <w:ind w:right="72"/>
              <w:contextualSpacing/>
              <w:jc w:val="center"/>
              <w:rPr>
                <w:b/>
                <w:sz w:val="16"/>
                <w:szCs w:val="16"/>
              </w:rPr>
            </w:pPr>
            <w:r w:rsidRPr="000C50A5">
              <w:rPr>
                <w:b/>
                <w:sz w:val="16"/>
                <w:szCs w:val="16"/>
              </w:rPr>
              <w:t>2024</w:t>
            </w:r>
          </w:p>
        </w:tc>
        <w:tc>
          <w:tcPr>
            <w:tcW w:w="1027" w:type="dxa"/>
            <w:shd w:val="clear" w:color="auto" w:fill="BFBFBF"/>
          </w:tcPr>
          <w:p w14:paraId="3F125B05" w14:textId="171B805D" w:rsidR="00153785" w:rsidRPr="000C50A5" w:rsidRDefault="00153785" w:rsidP="008C626E">
            <w:pPr>
              <w:ind w:right="72"/>
              <w:contextualSpacing/>
              <w:jc w:val="center"/>
              <w:rPr>
                <w:b/>
                <w:sz w:val="16"/>
                <w:szCs w:val="16"/>
              </w:rPr>
            </w:pPr>
            <w:r w:rsidRPr="000C50A5">
              <w:rPr>
                <w:b/>
                <w:sz w:val="16"/>
                <w:szCs w:val="16"/>
              </w:rPr>
              <w:t>2025</w:t>
            </w:r>
          </w:p>
        </w:tc>
      </w:tr>
      <w:tr w:rsidR="00153785" w:rsidRPr="000C50A5" w14:paraId="6AD7CEAE" w14:textId="7A0D9A58" w:rsidTr="005C1D32">
        <w:trPr>
          <w:trHeight w:val="283"/>
        </w:trPr>
        <w:tc>
          <w:tcPr>
            <w:tcW w:w="1184" w:type="dxa"/>
            <w:gridSpan w:val="2"/>
            <w:vMerge/>
            <w:shd w:val="clear" w:color="auto" w:fill="BFBFBF"/>
            <w:vAlign w:val="center"/>
          </w:tcPr>
          <w:p w14:paraId="1A100FB6" w14:textId="77777777" w:rsidR="00153785" w:rsidRPr="000C50A5" w:rsidRDefault="00153785" w:rsidP="007C4955">
            <w:pPr>
              <w:contextualSpacing/>
              <w:rPr>
                <w:b/>
                <w:sz w:val="16"/>
                <w:szCs w:val="16"/>
              </w:rPr>
            </w:pPr>
          </w:p>
        </w:tc>
        <w:tc>
          <w:tcPr>
            <w:tcW w:w="10241" w:type="dxa"/>
            <w:gridSpan w:val="10"/>
            <w:shd w:val="clear" w:color="auto" w:fill="BFBFBF"/>
            <w:vAlign w:val="center"/>
          </w:tcPr>
          <w:p w14:paraId="76E721B8" w14:textId="33CEE506" w:rsidR="00153785" w:rsidRPr="000C50A5" w:rsidRDefault="00153785" w:rsidP="007C4955">
            <w:pPr>
              <w:ind w:right="72"/>
              <w:contextualSpacing/>
              <w:jc w:val="center"/>
              <w:rPr>
                <w:b/>
                <w:sz w:val="16"/>
                <w:szCs w:val="16"/>
              </w:rPr>
            </w:pPr>
            <w:r w:rsidRPr="000C50A5">
              <w:rPr>
                <w:b/>
                <w:sz w:val="16"/>
                <w:szCs w:val="16"/>
              </w:rPr>
              <w:t>tis. m</w:t>
            </w:r>
            <w:r w:rsidRPr="000C50A5">
              <w:rPr>
                <w:b/>
                <w:sz w:val="16"/>
                <w:szCs w:val="16"/>
                <w:vertAlign w:val="superscript"/>
              </w:rPr>
              <w:t>3</w:t>
            </w:r>
          </w:p>
        </w:tc>
      </w:tr>
      <w:tr w:rsidR="000C50A5" w:rsidRPr="000C50A5" w14:paraId="3D22B838" w14:textId="5026AF01" w:rsidTr="000C50A5">
        <w:trPr>
          <w:trHeight w:val="287"/>
        </w:trPr>
        <w:tc>
          <w:tcPr>
            <w:tcW w:w="782" w:type="dxa"/>
            <w:vMerge w:val="restart"/>
            <w:vAlign w:val="center"/>
            <w:hideMark/>
          </w:tcPr>
          <w:p w14:paraId="7420E31E" w14:textId="77777777" w:rsidR="000C50A5" w:rsidRPr="000C50A5" w:rsidRDefault="000C50A5" w:rsidP="000C50A5">
            <w:pPr>
              <w:contextualSpacing/>
              <w:rPr>
                <w:b/>
                <w:sz w:val="16"/>
                <w:szCs w:val="16"/>
              </w:rPr>
            </w:pPr>
            <w:r w:rsidRPr="000C50A5">
              <w:rPr>
                <w:b/>
                <w:sz w:val="16"/>
                <w:szCs w:val="16"/>
              </w:rPr>
              <w:t>Labe</w:t>
            </w:r>
          </w:p>
        </w:tc>
        <w:tc>
          <w:tcPr>
            <w:tcW w:w="402" w:type="dxa"/>
            <w:noWrap/>
            <w:vAlign w:val="center"/>
            <w:hideMark/>
          </w:tcPr>
          <w:p w14:paraId="2CB5E41F" w14:textId="77777777" w:rsidR="000C50A5" w:rsidRPr="000C50A5" w:rsidRDefault="000C50A5" w:rsidP="000C50A5">
            <w:pPr>
              <w:contextualSpacing/>
              <w:rPr>
                <w:sz w:val="16"/>
                <w:szCs w:val="16"/>
              </w:rPr>
            </w:pPr>
            <w:r w:rsidRPr="000C50A5">
              <w:rPr>
                <w:sz w:val="16"/>
                <w:szCs w:val="16"/>
              </w:rPr>
              <w:t>a)</w:t>
            </w:r>
          </w:p>
        </w:tc>
        <w:tc>
          <w:tcPr>
            <w:tcW w:w="1023" w:type="dxa"/>
            <w:vAlign w:val="center"/>
          </w:tcPr>
          <w:p w14:paraId="58FD343B" w14:textId="5E822C5F" w:rsidR="000C50A5" w:rsidRPr="000C50A5" w:rsidRDefault="000C50A5" w:rsidP="000C50A5">
            <w:pPr>
              <w:ind w:left="-28" w:firstLineChars="100" w:firstLine="160"/>
              <w:contextualSpacing/>
              <w:jc w:val="right"/>
              <w:rPr>
                <w:sz w:val="16"/>
                <w:szCs w:val="16"/>
              </w:rPr>
            </w:pPr>
            <w:r w:rsidRPr="000C50A5">
              <w:rPr>
                <w:sz w:val="16"/>
                <w:szCs w:val="16"/>
              </w:rPr>
              <w:t>614 377</w:t>
            </w:r>
          </w:p>
        </w:tc>
        <w:tc>
          <w:tcPr>
            <w:tcW w:w="1023" w:type="dxa"/>
            <w:vAlign w:val="center"/>
          </w:tcPr>
          <w:p w14:paraId="04C99367" w14:textId="42ED28C1" w:rsidR="000C50A5" w:rsidRPr="000C50A5" w:rsidRDefault="000C50A5" w:rsidP="000C50A5">
            <w:pPr>
              <w:ind w:right="-6" w:firstLineChars="100" w:firstLine="160"/>
              <w:contextualSpacing/>
              <w:jc w:val="right"/>
              <w:rPr>
                <w:sz w:val="16"/>
                <w:szCs w:val="16"/>
              </w:rPr>
            </w:pPr>
            <w:r w:rsidRPr="000C50A5">
              <w:rPr>
                <w:sz w:val="16"/>
                <w:szCs w:val="16"/>
              </w:rPr>
              <w:t>583 838</w:t>
            </w:r>
          </w:p>
        </w:tc>
        <w:tc>
          <w:tcPr>
            <w:tcW w:w="1023" w:type="dxa"/>
            <w:vAlign w:val="center"/>
          </w:tcPr>
          <w:p w14:paraId="44289356" w14:textId="1F4151B3" w:rsidR="000C50A5" w:rsidRPr="000C50A5" w:rsidRDefault="000C50A5" w:rsidP="000C50A5">
            <w:pPr>
              <w:ind w:firstLineChars="100" w:firstLine="160"/>
              <w:contextualSpacing/>
              <w:jc w:val="right"/>
              <w:rPr>
                <w:sz w:val="16"/>
                <w:szCs w:val="16"/>
              </w:rPr>
            </w:pPr>
            <w:r w:rsidRPr="000C50A5">
              <w:rPr>
                <w:sz w:val="16"/>
                <w:szCs w:val="16"/>
              </w:rPr>
              <w:t>526 598</w:t>
            </w:r>
          </w:p>
        </w:tc>
        <w:tc>
          <w:tcPr>
            <w:tcW w:w="1023" w:type="dxa"/>
            <w:vAlign w:val="center"/>
          </w:tcPr>
          <w:p w14:paraId="63A91791" w14:textId="27E814D9" w:rsidR="000C50A5" w:rsidRPr="000C50A5" w:rsidRDefault="000C50A5" w:rsidP="000C50A5">
            <w:pPr>
              <w:ind w:right="72" w:firstLineChars="100" w:firstLine="160"/>
              <w:contextualSpacing/>
              <w:jc w:val="right"/>
              <w:rPr>
                <w:sz w:val="16"/>
                <w:szCs w:val="16"/>
              </w:rPr>
            </w:pPr>
            <w:r w:rsidRPr="000C50A5">
              <w:rPr>
                <w:rFonts w:cs="Arial"/>
                <w:sz w:val="16"/>
                <w:szCs w:val="16"/>
              </w:rPr>
              <w:t>460 970</w:t>
            </w:r>
          </w:p>
        </w:tc>
        <w:tc>
          <w:tcPr>
            <w:tcW w:w="1023" w:type="dxa"/>
            <w:vAlign w:val="bottom"/>
          </w:tcPr>
          <w:p w14:paraId="68FA00E5" w14:textId="0D7493FD" w:rsidR="000C50A5" w:rsidRPr="000C50A5" w:rsidRDefault="000C50A5" w:rsidP="000C50A5">
            <w:pPr>
              <w:ind w:right="71"/>
              <w:contextualSpacing/>
              <w:jc w:val="right"/>
              <w:rPr>
                <w:sz w:val="16"/>
                <w:szCs w:val="16"/>
              </w:rPr>
            </w:pPr>
            <w:r w:rsidRPr="000C50A5">
              <w:rPr>
                <w:rFonts w:cs="Arial"/>
                <w:sz w:val="16"/>
                <w:szCs w:val="16"/>
              </w:rPr>
              <w:t>372 872</w:t>
            </w:r>
          </w:p>
        </w:tc>
        <w:tc>
          <w:tcPr>
            <w:tcW w:w="1024" w:type="dxa"/>
            <w:vAlign w:val="bottom"/>
          </w:tcPr>
          <w:p w14:paraId="5A014E9F" w14:textId="4C5E0B81" w:rsidR="000C50A5" w:rsidRPr="000C50A5" w:rsidRDefault="000C50A5" w:rsidP="000C50A5">
            <w:pPr>
              <w:contextualSpacing/>
              <w:jc w:val="center"/>
              <w:rPr>
                <w:sz w:val="16"/>
                <w:szCs w:val="16"/>
              </w:rPr>
            </w:pPr>
            <w:r w:rsidRPr="000C50A5">
              <w:rPr>
                <w:rFonts w:cs="Arial"/>
                <w:sz w:val="16"/>
                <w:szCs w:val="16"/>
              </w:rPr>
              <w:t>357 935</w:t>
            </w:r>
          </w:p>
        </w:tc>
        <w:tc>
          <w:tcPr>
            <w:tcW w:w="1024" w:type="dxa"/>
            <w:vAlign w:val="bottom"/>
          </w:tcPr>
          <w:p w14:paraId="7F320625" w14:textId="056B50F5" w:rsidR="000C50A5" w:rsidRPr="000C50A5" w:rsidRDefault="000C50A5" w:rsidP="000C50A5">
            <w:pPr>
              <w:contextualSpacing/>
              <w:jc w:val="right"/>
              <w:rPr>
                <w:sz w:val="16"/>
                <w:szCs w:val="16"/>
              </w:rPr>
            </w:pPr>
            <w:r w:rsidRPr="000C50A5">
              <w:rPr>
                <w:rFonts w:cs="Arial"/>
                <w:color w:val="000000"/>
                <w:sz w:val="16"/>
                <w:szCs w:val="16"/>
              </w:rPr>
              <w:t>448 241</w:t>
            </w:r>
          </w:p>
        </w:tc>
        <w:tc>
          <w:tcPr>
            <w:tcW w:w="1024" w:type="dxa"/>
            <w:vAlign w:val="bottom"/>
          </w:tcPr>
          <w:p w14:paraId="1966F6CE" w14:textId="75C31A27" w:rsidR="000C50A5" w:rsidRPr="000C50A5" w:rsidRDefault="000C50A5" w:rsidP="000C50A5">
            <w:pPr>
              <w:contextualSpacing/>
              <w:jc w:val="right"/>
              <w:rPr>
                <w:rFonts w:cs="Arial"/>
                <w:color w:val="000000"/>
                <w:sz w:val="16"/>
                <w:szCs w:val="16"/>
              </w:rPr>
            </w:pPr>
            <w:r w:rsidRPr="000C50A5">
              <w:rPr>
                <w:rFonts w:cs="Arial"/>
                <w:color w:val="000000"/>
                <w:sz w:val="16"/>
                <w:szCs w:val="16"/>
              </w:rPr>
              <w:t>359 852</w:t>
            </w:r>
          </w:p>
        </w:tc>
        <w:tc>
          <w:tcPr>
            <w:tcW w:w="1027" w:type="dxa"/>
            <w:vAlign w:val="bottom"/>
          </w:tcPr>
          <w:p w14:paraId="5F193427" w14:textId="29D34356" w:rsidR="000C50A5" w:rsidRPr="000C50A5" w:rsidRDefault="000C50A5" w:rsidP="000C50A5">
            <w:pPr>
              <w:contextualSpacing/>
              <w:jc w:val="right"/>
              <w:rPr>
                <w:rFonts w:cs="Arial"/>
                <w:color w:val="000000"/>
                <w:sz w:val="16"/>
                <w:szCs w:val="16"/>
              </w:rPr>
            </w:pPr>
            <w:r w:rsidRPr="000C50A5">
              <w:rPr>
                <w:rFonts w:cs="Arial"/>
                <w:color w:val="000000"/>
                <w:sz w:val="16"/>
                <w:szCs w:val="16"/>
              </w:rPr>
              <w:t>286 085</w:t>
            </w:r>
          </w:p>
        </w:tc>
        <w:tc>
          <w:tcPr>
            <w:tcW w:w="1027" w:type="dxa"/>
            <w:tcBorders>
              <w:top w:val="single" w:sz="4" w:space="0" w:color="auto"/>
              <w:left w:val="single" w:sz="4" w:space="0" w:color="auto"/>
              <w:bottom w:val="single" w:sz="4" w:space="0" w:color="auto"/>
              <w:right w:val="single" w:sz="4" w:space="0" w:color="auto"/>
            </w:tcBorders>
            <w:vAlign w:val="bottom"/>
          </w:tcPr>
          <w:p w14:paraId="7714967F" w14:textId="4ADDE843" w:rsidR="000C50A5" w:rsidRPr="000C50A5" w:rsidRDefault="000C50A5" w:rsidP="000C50A5">
            <w:pPr>
              <w:contextualSpacing/>
              <w:jc w:val="right"/>
              <w:rPr>
                <w:rFonts w:cs="Arial"/>
                <w:color w:val="000000"/>
                <w:sz w:val="16"/>
                <w:szCs w:val="16"/>
              </w:rPr>
            </w:pPr>
            <w:r w:rsidRPr="000C50A5">
              <w:rPr>
                <w:rFonts w:cs="Arial"/>
                <w:color w:val="000000"/>
                <w:sz w:val="16"/>
                <w:szCs w:val="16"/>
              </w:rPr>
              <w:t>263</w:t>
            </w:r>
            <w:r w:rsidR="0054323B">
              <w:rPr>
                <w:rFonts w:cs="Arial"/>
                <w:color w:val="000000"/>
                <w:sz w:val="16"/>
                <w:szCs w:val="16"/>
              </w:rPr>
              <w:t xml:space="preserve"> </w:t>
            </w:r>
            <w:r w:rsidRPr="000C50A5">
              <w:rPr>
                <w:rFonts w:cs="Arial"/>
                <w:color w:val="000000"/>
                <w:sz w:val="16"/>
                <w:szCs w:val="16"/>
              </w:rPr>
              <w:t>607</w:t>
            </w:r>
          </w:p>
        </w:tc>
      </w:tr>
      <w:tr w:rsidR="000C50A5" w:rsidRPr="000C50A5" w14:paraId="4060CD51" w14:textId="1194445B" w:rsidTr="000C50A5">
        <w:trPr>
          <w:trHeight w:val="287"/>
        </w:trPr>
        <w:tc>
          <w:tcPr>
            <w:tcW w:w="782" w:type="dxa"/>
            <w:vMerge/>
            <w:vAlign w:val="center"/>
            <w:hideMark/>
          </w:tcPr>
          <w:p w14:paraId="78022311" w14:textId="77777777" w:rsidR="000C50A5" w:rsidRPr="000C50A5" w:rsidRDefault="000C50A5" w:rsidP="000C50A5">
            <w:pPr>
              <w:contextualSpacing/>
              <w:rPr>
                <w:b/>
                <w:sz w:val="16"/>
                <w:szCs w:val="16"/>
              </w:rPr>
            </w:pPr>
          </w:p>
        </w:tc>
        <w:tc>
          <w:tcPr>
            <w:tcW w:w="402" w:type="dxa"/>
            <w:noWrap/>
            <w:vAlign w:val="center"/>
            <w:hideMark/>
          </w:tcPr>
          <w:p w14:paraId="05084482" w14:textId="77777777" w:rsidR="000C50A5" w:rsidRPr="000C50A5" w:rsidRDefault="000C50A5" w:rsidP="000C50A5">
            <w:pPr>
              <w:contextualSpacing/>
              <w:rPr>
                <w:sz w:val="16"/>
                <w:szCs w:val="16"/>
              </w:rPr>
            </w:pPr>
            <w:r w:rsidRPr="000C50A5">
              <w:rPr>
                <w:sz w:val="16"/>
                <w:szCs w:val="16"/>
              </w:rPr>
              <w:t>b)</w:t>
            </w:r>
          </w:p>
        </w:tc>
        <w:tc>
          <w:tcPr>
            <w:tcW w:w="1023" w:type="dxa"/>
            <w:vAlign w:val="center"/>
          </w:tcPr>
          <w:p w14:paraId="2938D01F" w14:textId="55E16137" w:rsidR="000C50A5" w:rsidRPr="000C50A5" w:rsidRDefault="000C50A5" w:rsidP="000C50A5">
            <w:pPr>
              <w:ind w:left="-28" w:firstLineChars="100" w:firstLine="160"/>
              <w:contextualSpacing/>
              <w:jc w:val="right"/>
              <w:rPr>
                <w:sz w:val="16"/>
                <w:szCs w:val="16"/>
              </w:rPr>
            </w:pPr>
            <w:r w:rsidRPr="000C50A5">
              <w:rPr>
                <w:sz w:val="16"/>
                <w:szCs w:val="16"/>
              </w:rPr>
              <w:t>37 707</w:t>
            </w:r>
          </w:p>
        </w:tc>
        <w:tc>
          <w:tcPr>
            <w:tcW w:w="1023" w:type="dxa"/>
            <w:vAlign w:val="center"/>
          </w:tcPr>
          <w:p w14:paraId="03950524" w14:textId="425B6CCC" w:rsidR="000C50A5" w:rsidRPr="000C50A5" w:rsidRDefault="000C50A5" w:rsidP="000C50A5">
            <w:pPr>
              <w:ind w:right="-6" w:firstLineChars="100" w:firstLine="160"/>
              <w:contextualSpacing/>
              <w:jc w:val="right"/>
              <w:rPr>
                <w:sz w:val="16"/>
                <w:szCs w:val="16"/>
              </w:rPr>
            </w:pPr>
            <w:r w:rsidRPr="000C50A5">
              <w:rPr>
                <w:rFonts w:cs="Arial"/>
                <w:sz w:val="16"/>
                <w:szCs w:val="16"/>
              </w:rPr>
              <w:t xml:space="preserve">  </w:t>
            </w:r>
            <w:r w:rsidRPr="000C50A5">
              <w:rPr>
                <w:sz w:val="16"/>
                <w:szCs w:val="16"/>
              </w:rPr>
              <w:t>38 873</w:t>
            </w:r>
          </w:p>
        </w:tc>
        <w:tc>
          <w:tcPr>
            <w:tcW w:w="1023" w:type="dxa"/>
            <w:vAlign w:val="center"/>
          </w:tcPr>
          <w:p w14:paraId="06F2DB52" w14:textId="4869A494" w:rsidR="000C50A5" w:rsidRPr="000C50A5" w:rsidRDefault="000C50A5" w:rsidP="000C50A5">
            <w:pPr>
              <w:ind w:firstLineChars="100" w:firstLine="160"/>
              <w:contextualSpacing/>
              <w:jc w:val="right"/>
              <w:rPr>
                <w:sz w:val="16"/>
                <w:szCs w:val="16"/>
              </w:rPr>
            </w:pPr>
            <w:r w:rsidRPr="000C50A5">
              <w:rPr>
                <w:sz w:val="16"/>
                <w:szCs w:val="16"/>
              </w:rPr>
              <w:t>39 017</w:t>
            </w:r>
          </w:p>
        </w:tc>
        <w:tc>
          <w:tcPr>
            <w:tcW w:w="1023" w:type="dxa"/>
            <w:vAlign w:val="center"/>
          </w:tcPr>
          <w:p w14:paraId="2DD496D5" w14:textId="17DB8CC6" w:rsidR="000C50A5" w:rsidRPr="000C50A5" w:rsidRDefault="000C50A5" w:rsidP="000C50A5">
            <w:pPr>
              <w:ind w:right="72" w:firstLineChars="100" w:firstLine="160"/>
              <w:contextualSpacing/>
              <w:jc w:val="right"/>
              <w:rPr>
                <w:sz w:val="16"/>
                <w:szCs w:val="16"/>
              </w:rPr>
            </w:pPr>
            <w:r w:rsidRPr="000C50A5">
              <w:rPr>
                <w:rFonts w:cs="Arial"/>
                <w:sz w:val="16"/>
                <w:szCs w:val="16"/>
              </w:rPr>
              <w:t>38 861</w:t>
            </w:r>
          </w:p>
        </w:tc>
        <w:tc>
          <w:tcPr>
            <w:tcW w:w="1023" w:type="dxa"/>
            <w:vAlign w:val="bottom"/>
          </w:tcPr>
          <w:p w14:paraId="4FAB2C24" w14:textId="5CB43496" w:rsidR="000C50A5" w:rsidRPr="000C50A5" w:rsidRDefault="000C50A5" w:rsidP="000C50A5">
            <w:pPr>
              <w:ind w:right="71"/>
              <w:contextualSpacing/>
              <w:jc w:val="right"/>
              <w:rPr>
                <w:sz w:val="16"/>
                <w:szCs w:val="16"/>
              </w:rPr>
            </w:pPr>
            <w:r w:rsidRPr="000C50A5">
              <w:rPr>
                <w:rFonts w:cs="Arial"/>
                <w:sz w:val="16"/>
                <w:szCs w:val="16"/>
              </w:rPr>
              <w:t>35 806</w:t>
            </w:r>
          </w:p>
        </w:tc>
        <w:tc>
          <w:tcPr>
            <w:tcW w:w="1024" w:type="dxa"/>
            <w:vAlign w:val="bottom"/>
          </w:tcPr>
          <w:p w14:paraId="74C934D8" w14:textId="0852423A" w:rsidR="000C50A5" w:rsidRPr="000C50A5" w:rsidRDefault="000C50A5" w:rsidP="000C50A5">
            <w:pPr>
              <w:contextualSpacing/>
              <w:jc w:val="center"/>
              <w:rPr>
                <w:sz w:val="16"/>
                <w:szCs w:val="16"/>
              </w:rPr>
            </w:pPr>
            <w:r w:rsidRPr="000C50A5">
              <w:rPr>
                <w:rFonts w:cs="Arial"/>
                <w:sz w:val="16"/>
                <w:szCs w:val="16"/>
              </w:rPr>
              <w:t>34 705</w:t>
            </w:r>
          </w:p>
        </w:tc>
        <w:tc>
          <w:tcPr>
            <w:tcW w:w="1024" w:type="dxa"/>
            <w:vAlign w:val="bottom"/>
          </w:tcPr>
          <w:p w14:paraId="65FD4584" w14:textId="010D7637" w:rsidR="000C50A5" w:rsidRPr="000C50A5" w:rsidRDefault="000C50A5" w:rsidP="000C50A5">
            <w:pPr>
              <w:contextualSpacing/>
              <w:jc w:val="right"/>
              <w:rPr>
                <w:sz w:val="16"/>
                <w:szCs w:val="16"/>
              </w:rPr>
            </w:pPr>
            <w:r w:rsidRPr="000C50A5">
              <w:rPr>
                <w:rFonts w:cs="Arial"/>
                <w:color w:val="000000"/>
                <w:sz w:val="16"/>
                <w:szCs w:val="16"/>
              </w:rPr>
              <w:t>32 458</w:t>
            </w:r>
          </w:p>
        </w:tc>
        <w:tc>
          <w:tcPr>
            <w:tcW w:w="1024" w:type="dxa"/>
            <w:vAlign w:val="bottom"/>
          </w:tcPr>
          <w:p w14:paraId="715E7B1C" w14:textId="7E23DCB5" w:rsidR="000C50A5" w:rsidRPr="000C50A5" w:rsidRDefault="000C50A5" w:rsidP="000C50A5">
            <w:pPr>
              <w:contextualSpacing/>
              <w:jc w:val="right"/>
              <w:rPr>
                <w:rFonts w:cs="Arial"/>
                <w:color w:val="000000"/>
                <w:sz w:val="16"/>
                <w:szCs w:val="16"/>
              </w:rPr>
            </w:pPr>
            <w:r w:rsidRPr="000C50A5">
              <w:rPr>
                <w:rFonts w:cs="Arial"/>
                <w:color w:val="000000"/>
                <w:sz w:val="16"/>
                <w:szCs w:val="16"/>
              </w:rPr>
              <w:t>33 031</w:t>
            </w:r>
          </w:p>
        </w:tc>
        <w:tc>
          <w:tcPr>
            <w:tcW w:w="1027" w:type="dxa"/>
            <w:vAlign w:val="bottom"/>
          </w:tcPr>
          <w:p w14:paraId="6416366E" w14:textId="28CB08D8" w:rsidR="000C50A5" w:rsidRPr="000C50A5" w:rsidRDefault="000C50A5" w:rsidP="000C50A5">
            <w:pPr>
              <w:contextualSpacing/>
              <w:jc w:val="right"/>
              <w:rPr>
                <w:rFonts w:cs="Arial"/>
                <w:color w:val="000000"/>
                <w:sz w:val="16"/>
                <w:szCs w:val="16"/>
              </w:rPr>
            </w:pPr>
            <w:r w:rsidRPr="000C50A5">
              <w:rPr>
                <w:rFonts w:cs="Arial"/>
                <w:color w:val="000000"/>
                <w:sz w:val="16"/>
                <w:szCs w:val="16"/>
              </w:rPr>
              <w:t>32 733</w:t>
            </w:r>
          </w:p>
        </w:tc>
        <w:tc>
          <w:tcPr>
            <w:tcW w:w="1027" w:type="dxa"/>
            <w:tcBorders>
              <w:top w:val="nil"/>
              <w:left w:val="single" w:sz="4" w:space="0" w:color="auto"/>
              <w:bottom w:val="single" w:sz="4" w:space="0" w:color="auto"/>
              <w:right w:val="single" w:sz="4" w:space="0" w:color="auto"/>
            </w:tcBorders>
            <w:vAlign w:val="bottom"/>
          </w:tcPr>
          <w:p w14:paraId="000F200B" w14:textId="3E242DFA" w:rsidR="000C50A5" w:rsidRPr="000C50A5" w:rsidRDefault="000C50A5" w:rsidP="000C50A5">
            <w:pPr>
              <w:contextualSpacing/>
              <w:jc w:val="right"/>
              <w:rPr>
                <w:rFonts w:cs="Arial"/>
                <w:color w:val="000000"/>
                <w:sz w:val="16"/>
                <w:szCs w:val="16"/>
              </w:rPr>
            </w:pPr>
            <w:r w:rsidRPr="000C50A5">
              <w:rPr>
                <w:rFonts w:cs="Arial"/>
                <w:color w:val="000000"/>
                <w:sz w:val="16"/>
                <w:szCs w:val="16"/>
              </w:rPr>
              <w:t>32</w:t>
            </w:r>
            <w:r w:rsidR="0054323B">
              <w:rPr>
                <w:rFonts w:cs="Arial"/>
                <w:color w:val="000000"/>
                <w:sz w:val="16"/>
                <w:szCs w:val="16"/>
              </w:rPr>
              <w:t xml:space="preserve"> </w:t>
            </w:r>
            <w:r w:rsidRPr="000C50A5">
              <w:rPr>
                <w:rFonts w:cs="Arial"/>
                <w:color w:val="000000"/>
                <w:sz w:val="16"/>
                <w:szCs w:val="16"/>
              </w:rPr>
              <w:t>593</w:t>
            </w:r>
          </w:p>
        </w:tc>
      </w:tr>
      <w:tr w:rsidR="000C50A5" w:rsidRPr="000C50A5" w14:paraId="088C6547" w14:textId="642C701B" w:rsidTr="000C50A5">
        <w:trPr>
          <w:trHeight w:val="287"/>
        </w:trPr>
        <w:tc>
          <w:tcPr>
            <w:tcW w:w="782" w:type="dxa"/>
            <w:vMerge w:val="restart"/>
            <w:vAlign w:val="center"/>
            <w:hideMark/>
          </w:tcPr>
          <w:p w14:paraId="5CB179A3" w14:textId="77777777" w:rsidR="000C50A5" w:rsidRPr="000C50A5" w:rsidRDefault="000C50A5" w:rsidP="000C50A5">
            <w:pPr>
              <w:contextualSpacing/>
              <w:rPr>
                <w:b/>
                <w:sz w:val="16"/>
                <w:szCs w:val="16"/>
              </w:rPr>
            </w:pPr>
            <w:r w:rsidRPr="000C50A5">
              <w:rPr>
                <w:b/>
                <w:sz w:val="16"/>
                <w:szCs w:val="16"/>
              </w:rPr>
              <w:t>Vltavy</w:t>
            </w:r>
          </w:p>
        </w:tc>
        <w:tc>
          <w:tcPr>
            <w:tcW w:w="402" w:type="dxa"/>
            <w:noWrap/>
            <w:vAlign w:val="center"/>
            <w:hideMark/>
          </w:tcPr>
          <w:p w14:paraId="1F943A8F" w14:textId="77777777" w:rsidR="000C50A5" w:rsidRPr="000C50A5" w:rsidRDefault="000C50A5" w:rsidP="000C50A5">
            <w:pPr>
              <w:contextualSpacing/>
              <w:rPr>
                <w:sz w:val="16"/>
                <w:szCs w:val="16"/>
              </w:rPr>
            </w:pPr>
            <w:r w:rsidRPr="000C50A5">
              <w:rPr>
                <w:sz w:val="16"/>
                <w:szCs w:val="16"/>
              </w:rPr>
              <w:t>a)</w:t>
            </w:r>
          </w:p>
        </w:tc>
        <w:tc>
          <w:tcPr>
            <w:tcW w:w="1023" w:type="dxa"/>
            <w:vAlign w:val="center"/>
          </w:tcPr>
          <w:p w14:paraId="14973959" w14:textId="1EB3222F" w:rsidR="000C50A5" w:rsidRPr="000C50A5" w:rsidRDefault="000C50A5" w:rsidP="000C50A5">
            <w:pPr>
              <w:ind w:left="-28" w:firstLineChars="100" w:firstLine="160"/>
              <w:contextualSpacing/>
              <w:jc w:val="right"/>
              <w:rPr>
                <w:sz w:val="16"/>
                <w:szCs w:val="16"/>
              </w:rPr>
            </w:pPr>
            <w:r w:rsidRPr="000C50A5">
              <w:rPr>
                <w:sz w:val="16"/>
                <w:szCs w:val="16"/>
              </w:rPr>
              <w:t>204 885</w:t>
            </w:r>
          </w:p>
        </w:tc>
        <w:tc>
          <w:tcPr>
            <w:tcW w:w="1023" w:type="dxa"/>
            <w:vAlign w:val="center"/>
          </w:tcPr>
          <w:p w14:paraId="087FC40E" w14:textId="59331806" w:rsidR="000C50A5" w:rsidRPr="000C50A5" w:rsidRDefault="000C50A5" w:rsidP="000C50A5">
            <w:pPr>
              <w:ind w:right="-6" w:firstLineChars="100" w:firstLine="160"/>
              <w:contextualSpacing/>
              <w:jc w:val="right"/>
              <w:rPr>
                <w:sz w:val="16"/>
                <w:szCs w:val="16"/>
              </w:rPr>
            </w:pPr>
            <w:r w:rsidRPr="000C50A5">
              <w:rPr>
                <w:sz w:val="16"/>
                <w:szCs w:val="16"/>
              </w:rPr>
              <w:t>219 138</w:t>
            </w:r>
          </w:p>
        </w:tc>
        <w:tc>
          <w:tcPr>
            <w:tcW w:w="1023" w:type="dxa"/>
            <w:vAlign w:val="center"/>
          </w:tcPr>
          <w:p w14:paraId="289113D2" w14:textId="182D8BCD" w:rsidR="000C50A5" w:rsidRPr="000C50A5" w:rsidRDefault="000C50A5" w:rsidP="000C50A5">
            <w:pPr>
              <w:ind w:firstLineChars="100" w:firstLine="160"/>
              <w:contextualSpacing/>
              <w:jc w:val="right"/>
              <w:rPr>
                <w:sz w:val="16"/>
                <w:szCs w:val="16"/>
              </w:rPr>
            </w:pPr>
            <w:r w:rsidRPr="000C50A5">
              <w:rPr>
                <w:sz w:val="16"/>
                <w:szCs w:val="16"/>
              </w:rPr>
              <w:t>224 819</w:t>
            </w:r>
          </w:p>
        </w:tc>
        <w:tc>
          <w:tcPr>
            <w:tcW w:w="1023" w:type="dxa"/>
            <w:vAlign w:val="center"/>
          </w:tcPr>
          <w:p w14:paraId="60B224BF" w14:textId="26590759" w:rsidR="000C50A5" w:rsidRPr="000C50A5" w:rsidRDefault="000C50A5" w:rsidP="000C50A5">
            <w:pPr>
              <w:ind w:right="72" w:firstLineChars="100" w:firstLine="160"/>
              <w:contextualSpacing/>
              <w:jc w:val="right"/>
              <w:rPr>
                <w:sz w:val="16"/>
                <w:szCs w:val="16"/>
              </w:rPr>
            </w:pPr>
            <w:r w:rsidRPr="000C50A5">
              <w:rPr>
                <w:rFonts w:cs="Arial"/>
                <w:sz w:val="16"/>
                <w:szCs w:val="16"/>
              </w:rPr>
              <w:t>224 871</w:t>
            </w:r>
          </w:p>
        </w:tc>
        <w:tc>
          <w:tcPr>
            <w:tcW w:w="1023" w:type="dxa"/>
            <w:vAlign w:val="bottom"/>
          </w:tcPr>
          <w:p w14:paraId="2D389BD7" w14:textId="407BACEF" w:rsidR="000C50A5" w:rsidRPr="000C50A5" w:rsidRDefault="000C50A5" w:rsidP="000C50A5">
            <w:pPr>
              <w:ind w:right="71"/>
              <w:contextualSpacing/>
              <w:jc w:val="right"/>
              <w:rPr>
                <w:sz w:val="16"/>
                <w:szCs w:val="16"/>
              </w:rPr>
            </w:pPr>
            <w:r w:rsidRPr="000C50A5">
              <w:rPr>
                <w:rFonts w:cs="Arial"/>
                <w:sz w:val="16"/>
                <w:szCs w:val="16"/>
              </w:rPr>
              <w:t>216 160</w:t>
            </w:r>
          </w:p>
        </w:tc>
        <w:tc>
          <w:tcPr>
            <w:tcW w:w="1024" w:type="dxa"/>
            <w:vAlign w:val="bottom"/>
          </w:tcPr>
          <w:p w14:paraId="6FBF4285" w14:textId="63A6313A" w:rsidR="000C50A5" w:rsidRPr="000C50A5" w:rsidRDefault="000C50A5" w:rsidP="000C50A5">
            <w:pPr>
              <w:contextualSpacing/>
              <w:jc w:val="center"/>
              <w:rPr>
                <w:sz w:val="16"/>
                <w:szCs w:val="16"/>
              </w:rPr>
            </w:pPr>
            <w:r w:rsidRPr="000C50A5">
              <w:rPr>
                <w:rFonts w:cs="Arial"/>
                <w:sz w:val="16"/>
                <w:szCs w:val="16"/>
              </w:rPr>
              <w:t>217 840</w:t>
            </w:r>
          </w:p>
        </w:tc>
        <w:tc>
          <w:tcPr>
            <w:tcW w:w="1024" w:type="dxa"/>
            <w:vAlign w:val="bottom"/>
          </w:tcPr>
          <w:p w14:paraId="1767EA18" w14:textId="7C7CB9B9" w:rsidR="000C50A5" w:rsidRPr="000C50A5" w:rsidRDefault="000C50A5" w:rsidP="000C50A5">
            <w:pPr>
              <w:contextualSpacing/>
              <w:jc w:val="right"/>
              <w:rPr>
                <w:sz w:val="16"/>
                <w:szCs w:val="16"/>
              </w:rPr>
            </w:pPr>
            <w:r w:rsidRPr="000C50A5">
              <w:rPr>
                <w:rFonts w:cs="Arial"/>
                <w:color w:val="000000"/>
                <w:sz w:val="16"/>
                <w:szCs w:val="16"/>
              </w:rPr>
              <w:t>220 701</w:t>
            </w:r>
          </w:p>
        </w:tc>
        <w:tc>
          <w:tcPr>
            <w:tcW w:w="1024" w:type="dxa"/>
            <w:vAlign w:val="bottom"/>
          </w:tcPr>
          <w:p w14:paraId="06A732EB" w14:textId="44E3B04F" w:rsidR="000C50A5" w:rsidRPr="000C50A5" w:rsidRDefault="000C50A5" w:rsidP="000C50A5">
            <w:pPr>
              <w:contextualSpacing/>
              <w:jc w:val="right"/>
              <w:rPr>
                <w:rFonts w:cs="Arial"/>
                <w:color w:val="000000"/>
                <w:sz w:val="16"/>
                <w:szCs w:val="16"/>
              </w:rPr>
            </w:pPr>
            <w:r w:rsidRPr="000C50A5">
              <w:rPr>
                <w:rFonts w:cs="Arial"/>
                <w:color w:val="000000"/>
                <w:sz w:val="16"/>
                <w:szCs w:val="16"/>
              </w:rPr>
              <w:t>210 807</w:t>
            </w:r>
          </w:p>
        </w:tc>
        <w:tc>
          <w:tcPr>
            <w:tcW w:w="1027" w:type="dxa"/>
            <w:vAlign w:val="bottom"/>
          </w:tcPr>
          <w:p w14:paraId="73D304A6" w14:textId="101F0EB4" w:rsidR="000C50A5" w:rsidRPr="000C50A5" w:rsidRDefault="000C50A5" w:rsidP="000C50A5">
            <w:pPr>
              <w:contextualSpacing/>
              <w:jc w:val="right"/>
              <w:rPr>
                <w:rFonts w:cs="Arial"/>
                <w:color w:val="000000"/>
                <w:sz w:val="16"/>
                <w:szCs w:val="16"/>
              </w:rPr>
            </w:pPr>
            <w:r w:rsidRPr="000C50A5">
              <w:rPr>
                <w:rFonts w:cs="Arial"/>
                <w:color w:val="000000"/>
                <w:sz w:val="16"/>
                <w:szCs w:val="16"/>
              </w:rPr>
              <w:t>205 446</w:t>
            </w:r>
          </w:p>
        </w:tc>
        <w:tc>
          <w:tcPr>
            <w:tcW w:w="1027" w:type="dxa"/>
            <w:tcBorders>
              <w:top w:val="nil"/>
              <w:left w:val="single" w:sz="4" w:space="0" w:color="auto"/>
              <w:bottom w:val="single" w:sz="4" w:space="0" w:color="auto"/>
              <w:right w:val="single" w:sz="4" w:space="0" w:color="auto"/>
            </w:tcBorders>
            <w:vAlign w:val="bottom"/>
          </w:tcPr>
          <w:p w14:paraId="17D5A2EA" w14:textId="0D04AF48" w:rsidR="000C50A5" w:rsidRPr="000C50A5" w:rsidRDefault="000C50A5" w:rsidP="000C50A5">
            <w:pPr>
              <w:contextualSpacing/>
              <w:jc w:val="right"/>
              <w:rPr>
                <w:rFonts w:cs="Arial"/>
                <w:color w:val="000000"/>
                <w:sz w:val="16"/>
                <w:szCs w:val="16"/>
              </w:rPr>
            </w:pPr>
            <w:r w:rsidRPr="000C50A5">
              <w:rPr>
                <w:rFonts w:cs="Arial"/>
                <w:color w:val="000000"/>
                <w:sz w:val="16"/>
                <w:szCs w:val="16"/>
              </w:rPr>
              <w:t>207</w:t>
            </w:r>
            <w:r w:rsidR="0054323B">
              <w:rPr>
                <w:rFonts w:cs="Arial"/>
                <w:color w:val="000000"/>
                <w:sz w:val="16"/>
                <w:szCs w:val="16"/>
              </w:rPr>
              <w:t xml:space="preserve"> </w:t>
            </w:r>
            <w:r w:rsidRPr="000C50A5">
              <w:rPr>
                <w:rFonts w:cs="Arial"/>
                <w:color w:val="000000"/>
                <w:sz w:val="16"/>
                <w:szCs w:val="16"/>
              </w:rPr>
              <w:t>026</w:t>
            </w:r>
          </w:p>
        </w:tc>
      </w:tr>
      <w:tr w:rsidR="000C50A5" w:rsidRPr="000C50A5" w14:paraId="61DFE93C" w14:textId="11D84BE3" w:rsidTr="000C50A5">
        <w:trPr>
          <w:trHeight w:val="287"/>
        </w:trPr>
        <w:tc>
          <w:tcPr>
            <w:tcW w:w="782" w:type="dxa"/>
            <w:vMerge/>
            <w:vAlign w:val="center"/>
            <w:hideMark/>
          </w:tcPr>
          <w:p w14:paraId="0D15FE02" w14:textId="77777777" w:rsidR="000C50A5" w:rsidRPr="000C50A5" w:rsidRDefault="000C50A5" w:rsidP="000C50A5">
            <w:pPr>
              <w:contextualSpacing/>
              <w:rPr>
                <w:b/>
                <w:sz w:val="16"/>
                <w:szCs w:val="16"/>
              </w:rPr>
            </w:pPr>
          </w:p>
        </w:tc>
        <w:tc>
          <w:tcPr>
            <w:tcW w:w="402" w:type="dxa"/>
            <w:noWrap/>
            <w:vAlign w:val="center"/>
            <w:hideMark/>
          </w:tcPr>
          <w:p w14:paraId="1FBE4275" w14:textId="77777777" w:rsidR="000C50A5" w:rsidRPr="000C50A5" w:rsidRDefault="000C50A5" w:rsidP="000C50A5">
            <w:pPr>
              <w:contextualSpacing/>
              <w:rPr>
                <w:sz w:val="16"/>
                <w:szCs w:val="16"/>
              </w:rPr>
            </w:pPr>
            <w:r w:rsidRPr="000C50A5">
              <w:rPr>
                <w:sz w:val="16"/>
                <w:szCs w:val="16"/>
              </w:rPr>
              <w:t>b)</w:t>
            </w:r>
          </w:p>
        </w:tc>
        <w:tc>
          <w:tcPr>
            <w:tcW w:w="1023" w:type="dxa"/>
            <w:vAlign w:val="center"/>
          </w:tcPr>
          <w:p w14:paraId="61085107" w14:textId="2572BCF0" w:rsidR="000C50A5" w:rsidRPr="000C50A5" w:rsidRDefault="000C50A5" w:rsidP="000C50A5">
            <w:pPr>
              <w:ind w:left="-28" w:firstLineChars="100" w:firstLine="160"/>
              <w:contextualSpacing/>
              <w:jc w:val="right"/>
              <w:rPr>
                <w:sz w:val="16"/>
                <w:szCs w:val="16"/>
              </w:rPr>
            </w:pPr>
            <w:r w:rsidRPr="000C50A5">
              <w:rPr>
                <w:sz w:val="16"/>
                <w:szCs w:val="16"/>
              </w:rPr>
              <w:t>134 333</w:t>
            </w:r>
          </w:p>
        </w:tc>
        <w:tc>
          <w:tcPr>
            <w:tcW w:w="1023" w:type="dxa"/>
            <w:vAlign w:val="center"/>
          </w:tcPr>
          <w:p w14:paraId="1719612C" w14:textId="3DC6F9A9" w:rsidR="000C50A5" w:rsidRPr="000C50A5" w:rsidRDefault="000C50A5" w:rsidP="000C50A5">
            <w:pPr>
              <w:ind w:right="-6" w:firstLineChars="100" w:firstLine="160"/>
              <w:contextualSpacing/>
              <w:jc w:val="right"/>
              <w:rPr>
                <w:sz w:val="16"/>
                <w:szCs w:val="16"/>
              </w:rPr>
            </w:pPr>
            <w:r w:rsidRPr="000C50A5">
              <w:rPr>
                <w:sz w:val="16"/>
                <w:szCs w:val="16"/>
              </w:rPr>
              <w:t>139 485</w:t>
            </w:r>
          </w:p>
        </w:tc>
        <w:tc>
          <w:tcPr>
            <w:tcW w:w="1023" w:type="dxa"/>
            <w:vAlign w:val="center"/>
          </w:tcPr>
          <w:p w14:paraId="43B1907A" w14:textId="1564A442" w:rsidR="000C50A5" w:rsidRPr="000C50A5" w:rsidRDefault="000C50A5" w:rsidP="000C50A5">
            <w:pPr>
              <w:ind w:firstLineChars="100" w:firstLine="160"/>
              <w:contextualSpacing/>
              <w:jc w:val="right"/>
              <w:rPr>
                <w:sz w:val="16"/>
                <w:szCs w:val="16"/>
              </w:rPr>
            </w:pPr>
            <w:r w:rsidRPr="000C50A5">
              <w:rPr>
                <w:sz w:val="16"/>
                <w:szCs w:val="16"/>
              </w:rPr>
              <w:t>142 813</w:t>
            </w:r>
          </w:p>
        </w:tc>
        <w:tc>
          <w:tcPr>
            <w:tcW w:w="1023" w:type="dxa"/>
            <w:vAlign w:val="center"/>
          </w:tcPr>
          <w:p w14:paraId="0E007AB4" w14:textId="50FE45FA" w:rsidR="000C50A5" w:rsidRPr="000C50A5" w:rsidRDefault="000C50A5" w:rsidP="000C50A5">
            <w:pPr>
              <w:ind w:right="72" w:firstLineChars="100" w:firstLine="160"/>
              <w:contextualSpacing/>
              <w:jc w:val="right"/>
              <w:rPr>
                <w:sz w:val="16"/>
                <w:szCs w:val="16"/>
              </w:rPr>
            </w:pPr>
            <w:r w:rsidRPr="000C50A5">
              <w:rPr>
                <w:rFonts w:cs="Arial"/>
                <w:sz w:val="16"/>
                <w:szCs w:val="16"/>
              </w:rPr>
              <w:t>140 292</w:t>
            </w:r>
          </w:p>
        </w:tc>
        <w:tc>
          <w:tcPr>
            <w:tcW w:w="1023" w:type="dxa"/>
            <w:vAlign w:val="bottom"/>
          </w:tcPr>
          <w:p w14:paraId="437011D3" w14:textId="45CF6508" w:rsidR="000C50A5" w:rsidRPr="000C50A5" w:rsidRDefault="000C50A5" w:rsidP="000C50A5">
            <w:pPr>
              <w:ind w:right="71"/>
              <w:contextualSpacing/>
              <w:jc w:val="right"/>
              <w:rPr>
                <w:sz w:val="16"/>
                <w:szCs w:val="16"/>
              </w:rPr>
            </w:pPr>
            <w:r w:rsidRPr="000C50A5">
              <w:rPr>
                <w:rFonts w:cs="Arial"/>
                <w:sz w:val="16"/>
                <w:szCs w:val="16"/>
              </w:rPr>
              <w:t>135 106</w:t>
            </w:r>
          </w:p>
        </w:tc>
        <w:tc>
          <w:tcPr>
            <w:tcW w:w="1024" w:type="dxa"/>
            <w:vAlign w:val="bottom"/>
          </w:tcPr>
          <w:p w14:paraId="3D689B9A" w14:textId="4063BC3F" w:rsidR="000C50A5" w:rsidRPr="000C50A5" w:rsidRDefault="000C50A5" w:rsidP="000C50A5">
            <w:pPr>
              <w:contextualSpacing/>
              <w:jc w:val="center"/>
              <w:rPr>
                <w:sz w:val="16"/>
                <w:szCs w:val="16"/>
              </w:rPr>
            </w:pPr>
            <w:r w:rsidRPr="000C50A5">
              <w:rPr>
                <w:rFonts w:cs="Arial"/>
                <w:sz w:val="16"/>
                <w:szCs w:val="16"/>
              </w:rPr>
              <w:t>135 765</w:t>
            </w:r>
          </w:p>
        </w:tc>
        <w:tc>
          <w:tcPr>
            <w:tcW w:w="1024" w:type="dxa"/>
            <w:vAlign w:val="bottom"/>
          </w:tcPr>
          <w:p w14:paraId="71263583" w14:textId="57EDF2AE" w:rsidR="000C50A5" w:rsidRPr="000C50A5" w:rsidRDefault="000C50A5" w:rsidP="000C50A5">
            <w:pPr>
              <w:contextualSpacing/>
              <w:jc w:val="right"/>
              <w:rPr>
                <w:sz w:val="16"/>
                <w:szCs w:val="16"/>
              </w:rPr>
            </w:pPr>
            <w:r w:rsidRPr="000C50A5">
              <w:rPr>
                <w:rFonts w:cs="Arial"/>
                <w:color w:val="000000"/>
                <w:sz w:val="16"/>
                <w:szCs w:val="16"/>
              </w:rPr>
              <w:t>138 775</w:t>
            </w:r>
          </w:p>
        </w:tc>
        <w:tc>
          <w:tcPr>
            <w:tcW w:w="1024" w:type="dxa"/>
            <w:vAlign w:val="bottom"/>
          </w:tcPr>
          <w:p w14:paraId="10E8EA57" w14:textId="6DEFA422" w:rsidR="000C50A5" w:rsidRPr="000C50A5" w:rsidRDefault="000C50A5" w:rsidP="000C50A5">
            <w:pPr>
              <w:contextualSpacing/>
              <w:jc w:val="right"/>
              <w:rPr>
                <w:rFonts w:cs="Arial"/>
                <w:color w:val="000000"/>
                <w:sz w:val="16"/>
                <w:szCs w:val="16"/>
              </w:rPr>
            </w:pPr>
            <w:r w:rsidRPr="000C50A5">
              <w:rPr>
                <w:rFonts w:cs="Arial"/>
                <w:color w:val="000000"/>
                <w:sz w:val="16"/>
                <w:szCs w:val="16"/>
              </w:rPr>
              <w:t>139 543</w:t>
            </w:r>
          </w:p>
        </w:tc>
        <w:tc>
          <w:tcPr>
            <w:tcW w:w="1027" w:type="dxa"/>
            <w:vAlign w:val="bottom"/>
          </w:tcPr>
          <w:p w14:paraId="7F763873" w14:textId="1283C6C4" w:rsidR="000C50A5" w:rsidRPr="000C50A5" w:rsidRDefault="000C50A5" w:rsidP="000C50A5">
            <w:pPr>
              <w:contextualSpacing/>
              <w:jc w:val="right"/>
              <w:rPr>
                <w:rFonts w:cs="Arial"/>
                <w:color w:val="000000"/>
                <w:sz w:val="16"/>
                <w:szCs w:val="16"/>
              </w:rPr>
            </w:pPr>
            <w:r w:rsidRPr="000C50A5">
              <w:rPr>
                <w:rFonts w:cs="Arial"/>
                <w:color w:val="000000"/>
                <w:sz w:val="16"/>
                <w:szCs w:val="16"/>
              </w:rPr>
              <w:t>141 444</w:t>
            </w:r>
          </w:p>
        </w:tc>
        <w:tc>
          <w:tcPr>
            <w:tcW w:w="1027" w:type="dxa"/>
            <w:tcBorders>
              <w:top w:val="nil"/>
              <w:left w:val="single" w:sz="4" w:space="0" w:color="auto"/>
              <w:bottom w:val="single" w:sz="4" w:space="0" w:color="auto"/>
              <w:right w:val="single" w:sz="4" w:space="0" w:color="auto"/>
            </w:tcBorders>
            <w:vAlign w:val="bottom"/>
          </w:tcPr>
          <w:p w14:paraId="31E3ED47" w14:textId="07C5205F" w:rsidR="000C50A5" w:rsidRPr="000C50A5" w:rsidRDefault="000C50A5" w:rsidP="000C50A5">
            <w:pPr>
              <w:contextualSpacing/>
              <w:jc w:val="right"/>
              <w:rPr>
                <w:rFonts w:cs="Arial"/>
                <w:color w:val="000000"/>
                <w:sz w:val="16"/>
                <w:szCs w:val="16"/>
              </w:rPr>
            </w:pPr>
            <w:r w:rsidRPr="000C50A5">
              <w:rPr>
                <w:rFonts w:cs="Arial"/>
                <w:color w:val="000000"/>
                <w:sz w:val="16"/>
                <w:szCs w:val="16"/>
              </w:rPr>
              <w:t>142</w:t>
            </w:r>
            <w:r w:rsidR="0054323B">
              <w:rPr>
                <w:rFonts w:cs="Arial"/>
                <w:color w:val="000000"/>
                <w:sz w:val="16"/>
                <w:szCs w:val="16"/>
              </w:rPr>
              <w:t xml:space="preserve"> </w:t>
            </w:r>
            <w:r w:rsidRPr="000C50A5">
              <w:rPr>
                <w:rFonts w:cs="Arial"/>
                <w:color w:val="000000"/>
                <w:sz w:val="16"/>
                <w:szCs w:val="16"/>
              </w:rPr>
              <w:t>777</w:t>
            </w:r>
          </w:p>
        </w:tc>
      </w:tr>
      <w:tr w:rsidR="000C50A5" w:rsidRPr="000C50A5" w14:paraId="1A61B41B" w14:textId="13BBEC27" w:rsidTr="000C50A5">
        <w:trPr>
          <w:trHeight w:val="287"/>
        </w:trPr>
        <w:tc>
          <w:tcPr>
            <w:tcW w:w="782" w:type="dxa"/>
            <w:vMerge w:val="restart"/>
            <w:vAlign w:val="center"/>
            <w:hideMark/>
          </w:tcPr>
          <w:p w14:paraId="66038C5E" w14:textId="77777777" w:rsidR="000C50A5" w:rsidRPr="000C50A5" w:rsidRDefault="000C50A5" w:rsidP="000C50A5">
            <w:pPr>
              <w:contextualSpacing/>
              <w:rPr>
                <w:b/>
                <w:sz w:val="16"/>
                <w:szCs w:val="16"/>
              </w:rPr>
            </w:pPr>
            <w:r w:rsidRPr="000C50A5">
              <w:rPr>
                <w:b/>
                <w:sz w:val="16"/>
                <w:szCs w:val="16"/>
              </w:rPr>
              <w:t>Ohře</w:t>
            </w:r>
          </w:p>
        </w:tc>
        <w:tc>
          <w:tcPr>
            <w:tcW w:w="402" w:type="dxa"/>
            <w:noWrap/>
            <w:vAlign w:val="center"/>
            <w:hideMark/>
          </w:tcPr>
          <w:p w14:paraId="312CEFBB" w14:textId="77777777" w:rsidR="000C50A5" w:rsidRPr="000C50A5" w:rsidRDefault="000C50A5" w:rsidP="000C50A5">
            <w:pPr>
              <w:contextualSpacing/>
              <w:rPr>
                <w:sz w:val="16"/>
                <w:szCs w:val="16"/>
              </w:rPr>
            </w:pPr>
            <w:r w:rsidRPr="000C50A5">
              <w:rPr>
                <w:sz w:val="16"/>
                <w:szCs w:val="16"/>
              </w:rPr>
              <w:t>a)</w:t>
            </w:r>
          </w:p>
        </w:tc>
        <w:tc>
          <w:tcPr>
            <w:tcW w:w="1023" w:type="dxa"/>
            <w:vAlign w:val="center"/>
          </w:tcPr>
          <w:p w14:paraId="23F59CE5" w14:textId="363B4507" w:rsidR="000C50A5" w:rsidRPr="000C50A5" w:rsidRDefault="000C50A5" w:rsidP="000C50A5">
            <w:pPr>
              <w:ind w:left="-28" w:firstLineChars="100" w:firstLine="160"/>
              <w:contextualSpacing/>
              <w:jc w:val="right"/>
              <w:rPr>
                <w:sz w:val="16"/>
                <w:szCs w:val="16"/>
              </w:rPr>
            </w:pPr>
            <w:r w:rsidRPr="000C50A5">
              <w:rPr>
                <w:sz w:val="16"/>
                <w:szCs w:val="16"/>
              </w:rPr>
              <w:t>119 384</w:t>
            </w:r>
          </w:p>
        </w:tc>
        <w:tc>
          <w:tcPr>
            <w:tcW w:w="1023" w:type="dxa"/>
            <w:vAlign w:val="center"/>
          </w:tcPr>
          <w:p w14:paraId="2090CD5E" w14:textId="1AD3E447" w:rsidR="000C50A5" w:rsidRPr="000C50A5" w:rsidRDefault="000C50A5" w:rsidP="000C50A5">
            <w:pPr>
              <w:ind w:right="-6" w:firstLineChars="100" w:firstLine="160"/>
              <w:contextualSpacing/>
              <w:jc w:val="right"/>
              <w:rPr>
                <w:sz w:val="16"/>
                <w:szCs w:val="16"/>
              </w:rPr>
            </w:pPr>
            <w:r w:rsidRPr="000C50A5">
              <w:rPr>
                <w:sz w:val="16"/>
                <w:szCs w:val="16"/>
              </w:rPr>
              <w:t>122 837</w:t>
            </w:r>
          </w:p>
        </w:tc>
        <w:tc>
          <w:tcPr>
            <w:tcW w:w="1023" w:type="dxa"/>
            <w:vAlign w:val="center"/>
          </w:tcPr>
          <w:p w14:paraId="6E235042" w14:textId="4DE93D40" w:rsidR="000C50A5" w:rsidRPr="000C50A5" w:rsidRDefault="000C50A5" w:rsidP="000C50A5">
            <w:pPr>
              <w:ind w:firstLineChars="100" w:firstLine="160"/>
              <w:contextualSpacing/>
              <w:jc w:val="right"/>
              <w:rPr>
                <w:sz w:val="16"/>
                <w:szCs w:val="16"/>
              </w:rPr>
            </w:pPr>
            <w:r w:rsidRPr="000C50A5">
              <w:rPr>
                <w:sz w:val="16"/>
                <w:szCs w:val="16"/>
              </w:rPr>
              <w:t>124 054</w:t>
            </w:r>
          </w:p>
        </w:tc>
        <w:tc>
          <w:tcPr>
            <w:tcW w:w="1023" w:type="dxa"/>
            <w:vAlign w:val="center"/>
          </w:tcPr>
          <w:p w14:paraId="5BCAEE42" w14:textId="07DFA8B4" w:rsidR="000C50A5" w:rsidRPr="000C50A5" w:rsidRDefault="000C50A5" w:rsidP="000C50A5">
            <w:pPr>
              <w:ind w:right="72" w:firstLineChars="100" w:firstLine="160"/>
              <w:contextualSpacing/>
              <w:jc w:val="right"/>
              <w:rPr>
                <w:sz w:val="16"/>
                <w:szCs w:val="16"/>
              </w:rPr>
            </w:pPr>
            <w:r w:rsidRPr="000C50A5">
              <w:rPr>
                <w:rFonts w:cs="Arial"/>
                <w:sz w:val="16"/>
                <w:szCs w:val="16"/>
              </w:rPr>
              <w:t>122 628</w:t>
            </w:r>
          </w:p>
        </w:tc>
        <w:tc>
          <w:tcPr>
            <w:tcW w:w="1023" w:type="dxa"/>
            <w:vAlign w:val="bottom"/>
          </w:tcPr>
          <w:p w14:paraId="1323449A" w14:textId="2A57BCCF" w:rsidR="000C50A5" w:rsidRPr="000C50A5" w:rsidRDefault="000C50A5" w:rsidP="000C50A5">
            <w:pPr>
              <w:ind w:right="71"/>
              <w:contextualSpacing/>
              <w:jc w:val="right"/>
              <w:rPr>
                <w:sz w:val="16"/>
                <w:szCs w:val="16"/>
              </w:rPr>
            </w:pPr>
            <w:r w:rsidRPr="000C50A5">
              <w:rPr>
                <w:rFonts w:cs="Arial"/>
                <w:sz w:val="16"/>
                <w:szCs w:val="16"/>
              </w:rPr>
              <w:t>109 849</w:t>
            </w:r>
          </w:p>
        </w:tc>
        <w:tc>
          <w:tcPr>
            <w:tcW w:w="1024" w:type="dxa"/>
            <w:vAlign w:val="bottom"/>
          </w:tcPr>
          <w:p w14:paraId="4B0B8DA1" w14:textId="02F32C9E" w:rsidR="000C50A5" w:rsidRPr="000C50A5" w:rsidRDefault="000C50A5" w:rsidP="000C50A5">
            <w:pPr>
              <w:contextualSpacing/>
              <w:jc w:val="center"/>
              <w:rPr>
                <w:sz w:val="16"/>
                <w:szCs w:val="16"/>
              </w:rPr>
            </w:pPr>
            <w:r w:rsidRPr="000C50A5">
              <w:rPr>
                <w:rFonts w:cs="Arial"/>
                <w:sz w:val="16"/>
                <w:szCs w:val="16"/>
              </w:rPr>
              <w:t>103 809</w:t>
            </w:r>
          </w:p>
        </w:tc>
        <w:tc>
          <w:tcPr>
            <w:tcW w:w="1024" w:type="dxa"/>
            <w:vAlign w:val="bottom"/>
          </w:tcPr>
          <w:p w14:paraId="1545307C" w14:textId="5E83E7FB" w:rsidR="000C50A5" w:rsidRPr="000C50A5" w:rsidRDefault="000C50A5" w:rsidP="000C50A5">
            <w:pPr>
              <w:contextualSpacing/>
              <w:jc w:val="right"/>
              <w:rPr>
                <w:sz w:val="16"/>
                <w:szCs w:val="16"/>
              </w:rPr>
            </w:pPr>
            <w:r w:rsidRPr="000C50A5">
              <w:rPr>
                <w:rFonts w:cs="Arial"/>
                <w:color w:val="000000"/>
                <w:sz w:val="16"/>
                <w:szCs w:val="16"/>
              </w:rPr>
              <w:t>107 993</w:t>
            </w:r>
          </w:p>
        </w:tc>
        <w:tc>
          <w:tcPr>
            <w:tcW w:w="1024" w:type="dxa"/>
            <w:vAlign w:val="bottom"/>
          </w:tcPr>
          <w:p w14:paraId="1A525530" w14:textId="1D789999" w:rsidR="000C50A5" w:rsidRPr="000C50A5" w:rsidRDefault="000C50A5" w:rsidP="000C50A5">
            <w:pPr>
              <w:contextualSpacing/>
              <w:jc w:val="right"/>
              <w:rPr>
                <w:rFonts w:cs="Arial"/>
                <w:color w:val="000000"/>
                <w:sz w:val="16"/>
                <w:szCs w:val="16"/>
              </w:rPr>
            </w:pPr>
            <w:r w:rsidRPr="000C50A5">
              <w:rPr>
                <w:rFonts w:cs="Arial"/>
                <w:color w:val="000000"/>
                <w:sz w:val="16"/>
                <w:szCs w:val="16"/>
              </w:rPr>
              <w:t>101 623</w:t>
            </w:r>
          </w:p>
        </w:tc>
        <w:tc>
          <w:tcPr>
            <w:tcW w:w="1027" w:type="dxa"/>
            <w:vAlign w:val="bottom"/>
          </w:tcPr>
          <w:p w14:paraId="77B34547" w14:textId="646D0998" w:rsidR="000C50A5" w:rsidRPr="000C50A5" w:rsidRDefault="000C50A5" w:rsidP="000C50A5">
            <w:pPr>
              <w:contextualSpacing/>
              <w:jc w:val="right"/>
              <w:rPr>
                <w:rFonts w:cs="Arial"/>
                <w:color w:val="000000"/>
                <w:sz w:val="16"/>
                <w:szCs w:val="16"/>
              </w:rPr>
            </w:pPr>
            <w:r w:rsidRPr="000C50A5">
              <w:rPr>
                <w:rFonts w:cs="Arial"/>
                <w:color w:val="000000"/>
                <w:sz w:val="16"/>
                <w:szCs w:val="16"/>
              </w:rPr>
              <w:t>98 365</w:t>
            </w:r>
          </w:p>
        </w:tc>
        <w:tc>
          <w:tcPr>
            <w:tcW w:w="1027" w:type="dxa"/>
            <w:tcBorders>
              <w:top w:val="nil"/>
              <w:left w:val="single" w:sz="4" w:space="0" w:color="auto"/>
              <w:bottom w:val="single" w:sz="4" w:space="0" w:color="auto"/>
              <w:right w:val="single" w:sz="4" w:space="0" w:color="auto"/>
            </w:tcBorders>
            <w:vAlign w:val="bottom"/>
          </w:tcPr>
          <w:p w14:paraId="2B5F59DA" w14:textId="30778D5E" w:rsidR="000C50A5" w:rsidRPr="000C50A5" w:rsidRDefault="000C50A5" w:rsidP="000C50A5">
            <w:pPr>
              <w:contextualSpacing/>
              <w:jc w:val="right"/>
              <w:rPr>
                <w:rFonts w:cs="Arial"/>
                <w:color w:val="000000"/>
                <w:sz w:val="16"/>
                <w:szCs w:val="16"/>
              </w:rPr>
            </w:pPr>
            <w:r w:rsidRPr="000C50A5">
              <w:rPr>
                <w:rFonts w:cs="Arial"/>
                <w:color w:val="000000"/>
                <w:sz w:val="16"/>
                <w:szCs w:val="16"/>
              </w:rPr>
              <w:t>96</w:t>
            </w:r>
            <w:r w:rsidR="0054323B">
              <w:rPr>
                <w:rFonts w:cs="Arial"/>
                <w:color w:val="000000"/>
                <w:sz w:val="16"/>
                <w:szCs w:val="16"/>
              </w:rPr>
              <w:t xml:space="preserve"> </w:t>
            </w:r>
            <w:r w:rsidRPr="000C50A5">
              <w:rPr>
                <w:rFonts w:cs="Arial"/>
                <w:color w:val="000000"/>
                <w:sz w:val="16"/>
                <w:szCs w:val="16"/>
              </w:rPr>
              <w:t>125</w:t>
            </w:r>
          </w:p>
        </w:tc>
      </w:tr>
      <w:tr w:rsidR="000C50A5" w:rsidRPr="000C50A5" w14:paraId="2FE01254" w14:textId="0971AB19" w:rsidTr="000C50A5">
        <w:trPr>
          <w:trHeight w:val="287"/>
        </w:trPr>
        <w:tc>
          <w:tcPr>
            <w:tcW w:w="782" w:type="dxa"/>
            <w:vMerge/>
            <w:vAlign w:val="center"/>
            <w:hideMark/>
          </w:tcPr>
          <w:p w14:paraId="314725FC" w14:textId="77777777" w:rsidR="000C50A5" w:rsidRPr="000C50A5" w:rsidRDefault="000C50A5" w:rsidP="000C50A5">
            <w:pPr>
              <w:contextualSpacing/>
              <w:rPr>
                <w:b/>
                <w:sz w:val="16"/>
                <w:szCs w:val="16"/>
              </w:rPr>
            </w:pPr>
          </w:p>
        </w:tc>
        <w:tc>
          <w:tcPr>
            <w:tcW w:w="402" w:type="dxa"/>
            <w:noWrap/>
            <w:vAlign w:val="center"/>
            <w:hideMark/>
          </w:tcPr>
          <w:p w14:paraId="1188F48A" w14:textId="77777777" w:rsidR="000C50A5" w:rsidRPr="000C50A5" w:rsidRDefault="000C50A5" w:rsidP="000C50A5">
            <w:pPr>
              <w:contextualSpacing/>
              <w:rPr>
                <w:sz w:val="16"/>
                <w:szCs w:val="16"/>
              </w:rPr>
            </w:pPr>
            <w:r w:rsidRPr="000C50A5">
              <w:rPr>
                <w:sz w:val="16"/>
                <w:szCs w:val="16"/>
              </w:rPr>
              <w:t>b)</w:t>
            </w:r>
          </w:p>
        </w:tc>
        <w:tc>
          <w:tcPr>
            <w:tcW w:w="1023" w:type="dxa"/>
            <w:vAlign w:val="center"/>
          </w:tcPr>
          <w:p w14:paraId="4E1A0A41" w14:textId="07C4696F" w:rsidR="000C50A5" w:rsidRPr="000C50A5" w:rsidRDefault="000C50A5" w:rsidP="000C50A5">
            <w:pPr>
              <w:ind w:left="-28" w:firstLineChars="100" w:firstLine="160"/>
              <w:contextualSpacing/>
              <w:jc w:val="right"/>
              <w:rPr>
                <w:sz w:val="16"/>
                <w:szCs w:val="16"/>
              </w:rPr>
            </w:pPr>
            <w:r w:rsidRPr="000C50A5">
              <w:rPr>
                <w:sz w:val="16"/>
                <w:szCs w:val="16"/>
              </w:rPr>
              <w:t>40 305</w:t>
            </w:r>
          </w:p>
        </w:tc>
        <w:tc>
          <w:tcPr>
            <w:tcW w:w="1023" w:type="dxa"/>
            <w:vAlign w:val="center"/>
          </w:tcPr>
          <w:p w14:paraId="58083B53" w14:textId="150D8E0F" w:rsidR="000C50A5" w:rsidRPr="000C50A5" w:rsidRDefault="000C50A5" w:rsidP="000C50A5">
            <w:pPr>
              <w:ind w:right="-6" w:firstLineChars="100" w:firstLine="160"/>
              <w:contextualSpacing/>
              <w:jc w:val="right"/>
              <w:rPr>
                <w:sz w:val="16"/>
                <w:szCs w:val="16"/>
              </w:rPr>
            </w:pPr>
            <w:r w:rsidRPr="000C50A5">
              <w:rPr>
                <w:sz w:val="16"/>
                <w:szCs w:val="16"/>
              </w:rPr>
              <w:t>40 953</w:t>
            </w:r>
          </w:p>
        </w:tc>
        <w:tc>
          <w:tcPr>
            <w:tcW w:w="1023" w:type="dxa"/>
            <w:vAlign w:val="center"/>
          </w:tcPr>
          <w:p w14:paraId="4ED8C594" w14:textId="440F9AE8" w:rsidR="000C50A5" w:rsidRPr="000C50A5" w:rsidRDefault="000C50A5" w:rsidP="000C50A5">
            <w:pPr>
              <w:ind w:firstLineChars="100" w:firstLine="160"/>
              <w:contextualSpacing/>
              <w:jc w:val="right"/>
              <w:rPr>
                <w:sz w:val="16"/>
                <w:szCs w:val="16"/>
              </w:rPr>
            </w:pPr>
            <w:r w:rsidRPr="000C50A5">
              <w:rPr>
                <w:sz w:val="16"/>
                <w:szCs w:val="16"/>
              </w:rPr>
              <w:t>40 919</w:t>
            </w:r>
          </w:p>
        </w:tc>
        <w:tc>
          <w:tcPr>
            <w:tcW w:w="1023" w:type="dxa"/>
            <w:vAlign w:val="center"/>
          </w:tcPr>
          <w:p w14:paraId="6D20A437" w14:textId="25B69EBC" w:rsidR="000C50A5" w:rsidRPr="000C50A5" w:rsidRDefault="000C50A5" w:rsidP="000C50A5">
            <w:pPr>
              <w:ind w:right="72" w:firstLineChars="100" w:firstLine="160"/>
              <w:contextualSpacing/>
              <w:jc w:val="right"/>
              <w:rPr>
                <w:sz w:val="16"/>
                <w:szCs w:val="16"/>
              </w:rPr>
            </w:pPr>
            <w:r w:rsidRPr="000C50A5">
              <w:rPr>
                <w:rFonts w:cs="Arial"/>
                <w:sz w:val="16"/>
                <w:szCs w:val="16"/>
              </w:rPr>
              <w:t>42 243</w:t>
            </w:r>
          </w:p>
        </w:tc>
        <w:tc>
          <w:tcPr>
            <w:tcW w:w="1023" w:type="dxa"/>
            <w:vAlign w:val="bottom"/>
          </w:tcPr>
          <w:p w14:paraId="1848CFF0" w14:textId="69F44DB6" w:rsidR="000C50A5" w:rsidRPr="000C50A5" w:rsidRDefault="000C50A5" w:rsidP="000C50A5">
            <w:pPr>
              <w:ind w:right="71"/>
              <w:contextualSpacing/>
              <w:jc w:val="right"/>
              <w:rPr>
                <w:sz w:val="16"/>
                <w:szCs w:val="16"/>
              </w:rPr>
            </w:pPr>
            <w:r w:rsidRPr="000C50A5">
              <w:rPr>
                <w:rFonts w:cs="Arial"/>
                <w:sz w:val="16"/>
                <w:szCs w:val="16"/>
              </w:rPr>
              <w:t>42 955</w:t>
            </w:r>
          </w:p>
        </w:tc>
        <w:tc>
          <w:tcPr>
            <w:tcW w:w="1024" w:type="dxa"/>
            <w:vAlign w:val="bottom"/>
          </w:tcPr>
          <w:p w14:paraId="3C5DEAB4" w14:textId="5C5640E4" w:rsidR="000C50A5" w:rsidRPr="000C50A5" w:rsidRDefault="000C50A5" w:rsidP="000C50A5">
            <w:pPr>
              <w:contextualSpacing/>
              <w:jc w:val="center"/>
              <w:rPr>
                <w:sz w:val="16"/>
                <w:szCs w:val="16"/>
              </w:rPr>
            </w:pPr>
            <w:r w:rsidRPr="000C50A5">
              <w:rPr>
                <w:rFonts w:cs="Arial"/>
                <w:sz w:val="16"/>
                <w:szCs w:val="16"/>
              </w:rPr>
              <w:t>40 504</w:t>
            </w:r>
          </w:p>
        </w:tc>
        <w:tc>
          <w:tcPr>
            <w:tcW w:w="1024" w:type="dxa"/>
            <w:vAlign w:val="bottom"/>
          </w:tcPr>
          <w:p w14:paraId="7A01BDEC" w14:textId="0567822C" w:rsidR="000C50A5" w:rsidRPr="000C50A5" w:rsidRDefault="000C50A5" w:rsidP="000C50A5">
            <w:pPr>
              <w:contextualSpacing/>
              <w:jc w:val="right"/>
              <w:rPr>
                <w:sz w:val="16"/>
                <w:szCs w:val="16"/>
              </w:rPr>
            </w:pPr>
            <w:r w:rsidRPr="000C50A5">
              <w:rPr>
                <w:rFonts w:cs="Arial"/>
                <w:color w:val="000000"/>
                <w:sz w:val="16"/>
                <w:szCs w:val="16"/>
              </w:rPr>
              <w:t>40 561</w:t>
            </w:r>
          </w:p>
        </w:tc>
        <w:tc>
          <w:tcPr>
            <w:tcW w:w="1024" w:type="dxa"/>
            <w:vAlign w:val="bottom"/>
          </w:tcPr>
          <w:p w14:paraId="44904934" w14:textId="36A95621" w:rsidR="000C50A5" w:rsidRPr="000C50A5" w:rsidRDefault="000C50A5" w:rsidP="000C50A5">
            <w:pPr>
              <w:contextualSpacing/>
              <w:jc w:val="right"/>
              <w:rPr>
                <w:rFonts w:cs="Arial"/>
                <w:color w:val="000000"/>
                <w:sz w:val="16"/>
                <w:szCs w:val="16"/>
              </w:rPr>
            </w:pPr>
            <w:r w:rsidRPr="000C50A5">
              <w:rPr>
                <w:rFonts w:cs="Arial"/>
                <w:color w:val="000000"/>
                <w:sz w:val="16"/>
                <w:szCs w:val="16"/>
              </w:rPr>
              <w:t>40 269</w:t>
            </w:r>
          </w:p>
        </w:tc>
        <w:tc>
          <w:tcPr>
            <w:tcW w:w="1027" w:type="dxa"/>
            <w:vAlign w:val="bottom"/>
          </w:tcPr>
          <w:p w14:paraId="3454FB8F" w14:textId="4615F57E" w:rsidR="000C50A5" w:rsidRPr="000C50A5" w:rsidRDefault="000C50A5" w:rsidP="000C50A5">
            <w:pPr>
              <w:contextualSpacing/>
              <w:jc w:val="right"/>
              <w:rPr>
                <w:rFonts w:cs="Arial"/>
                <w:color w:val="000000"/>
                <w:sz w:val="16"/>
                <w:szCs w:val="16"/>
              </w:rPr>
            </w:pPr>
            <w:r w:rsidRPr="000C50A5">
              <w:rPr>
                <w:rFonts w:cs="Arial"/>
                <w:color w:val="000000"/>
                <w:sz w:val="16"/>
                <w:szCs w:val="16"/>
              </w:rPr>
              <w:t>39 934</w:t>
            </w:r>
          </w:p>
        </w:tc>
        <w:tc>
          <w:tcPr>
            <w:tcW w:w="1027" w:type="dxa"/>
            <w:tcBorders>
              <w:top w:val="nil"/>
              <w:left w:val="single" w:sz="4" w:space="0" w:color="auto"/>
              <w:bottom w:val="single" w:sz="4" w:space="0" w:color="auto"/>
              <w:right w:val="single" w:sz="4" w:space="0" w:color="auto"/>
            </w:tcBorders>
            <w:vAlign w:val="bottom"/>
          </w:tcPr>
          <w:p w14:paraId="68BD9E12" w14:textId="7577131B" w:rsidR="000C50A5" w:rsidRPr="000C50A5" w:rsidRDefault="000C50A5" w:rsidP="000C50A5">
            <w:pPr>
              <w:contextualSpacing/>
              <w:jc w:val="right"/>
              <w:rPr>
                <w:rFonts w:cs="Arial"/>
                <w:color w:val="000000"/>
                <w:sz w:val="16"/>
                <w:szCs w:val="16"/>
              </w:rPr>
            </w:pPr>
            <w:r w:rsidRPr="000C50A5">
              <w:rPr>
                <w:rFonts w:cs="Arial"/>
                <w:color w:val="000000"/>
                <w:sz w:val="16"/>
                <w:szCs w:val="16"/>
              </w:rPr>
              <w:t>39</w:t>
            </w:r>
            <w:r w:rsidR="0054323B">
              <w:rPr>
                <w:rFonts w:cs="Arial"/>
                <w:color w:val="000000"/>
                <w:sz w:val="16"/>
                <w:szCs w:val="16"/>
              </w:rPr>
              <w:t xml:space="preserve"> </w:t>
            </w:r>
            <w:r w:rsidRPr="000C50A5">
              <w:rPr>
                <w:rFonts w:cs="Arial"/>
                <w:color w:val="000000"/>
                <w:sz w:val="16"/>
                <w:szCs w:val="16"/>
              </w:rPr>
              <w:t>718</w:t>
            </w:r>
          </w:p>
        </w:tc>
      </w:tr>
      <w:tr w:rsidR="000C50A5" w:rsidRPr="000C50A5" w14:paraId="3EF498AF" w14:textId="4F3E1D41" w:rsidTr="000C50A5">
        <w:trPr>
          <w:trHeight w:val="287"/>
        </w:trPr>
        <w:tc>
          <w:tcPr>
            <w:tcW w:w="782" w:type="dxa"/>
            <w:vMerge w:val="restart"/>
            <w:vAlign w:val="center"/>
            <w:hideMark/>
          </w:tcPr>
          <w:p w14:paraId="422BE347" w14:textId="77777777" w:rsidR="000C50A5" w:rsidRPr="000C50A5" w:rsidRDefault="000C50A5" w:rsidP="000C50A5">
            <w:pPr>
              <w:contextualSpacing/>
              <w:rPr>
                <w:b/>
                <w:sz w:val="16"/>
                <w:szCs w:val="16"/>
              </w:rPr>
            </w:pPr>
            <w:r w:rsidRPr="000C50A5">
              <w:rPr>
                <w:b/>
                <w:sz w:val="16"/>
                <w:szCs w:val="16"/>
              </w:rPr>
              <w:t>Odry</w:t>
            </w:r>
          </w:p>
        </w:tc>
        <w:tc>
          <w:tcPr>
            <w:tcW w:w="402" w:type="dxa"/>
            <w:noWrap/>
            <w:vAlign w:val="center"/>
            <w:hideMark/>
          </w:tcPr>
          <w:p w14:paraId="28BAEE91" w14:textId="77777777" w:rsidR="000C50A5" w:rsidRPr="000C50A5" w:rsidRDefault="000C50A5" w:rsidP="000C50A5">
            <w:pPr>
              <w:contextualSpacing/>
              <w:rPr>
                <w:sz w:val="16"/>
                <w:szCs w:val="16"/>
              </w:rPr>
            </w:pPr>
            <w:r w:rsidRPr="000C50A5">
              <w:rPr>
                <w:sz w:val="16"/>
                <w:szCs w:val="16"/>
              </w:rPr>
              <w:t>a)</w:t>
            </w:r>
          </w:p>
        </w:tc>
        <w:tc>
          <w:tcPr>
            <w:tcW w:w="1023" w:type="dxa"/>
            <w:vAlign w:val="center"/>
          </w:tcPr>
          <w:p w14:paraId="265EE700" w14:textId="66407DF5" w:rsidR="000C50A5" w:rsidRPr="000C50A5" w:rsidRDefault="000C50A5" w:rsidP="000C50A5">
            <w:pPr>
              <w:ind w:left="-28" w:firstLineChars="100" w:firstLine="160"/>
              <w:contextualSpacing/>
              <w:jc w:val="right"/>
              <w:rPr>
                <w:sz w:val="16"/>
                <w:szCs w:val="16"/>
              </w:rPr>
            </w:pPr>
            <w:r w:rsidRPr="000C50A5">
              <w:rPr>
                <w:sz w:val="16"/>
                <w:szCs w:val="16"/>
              </w:rPr>
              <w:t>127 995</w:t>
            </w:r>
          </w:p>
        </w:tc>
        <w:tc>
          <w:tcPr>
            <w:tcW w:w="1023" w:type="dxa"/>
            <w:vAlign w:val="center"/>
          </w:tcPr>
          <w:p w14:paraId="21D0B8ED" w14:textId="532D1C9C" w:rsidR="000C50A5" w:rsidRPr="000C50A5" w:rsidRDefault="000C50A5" w:rsidP="000C50A5">
            <w:pPr>
              <w:ind w:right="-6"/>
              <w:contextualSpacing/>
              <w:jc w:val="right"/>
              <w:rPr>
                <w:sz w:val="16"/>
                <w:szCs w:val="16"/>
              </w:rPr>
            </w:pPr>
            <w:r w:rsidRPr="000C50A5">
              <w:rPr>
                <w:sz w:val="16"/>
                <w:szCs w:val="16"/>
              </w:rPr>
              <w:t>124 144</w:t>
            </w:r>
          </w:p>
        </w:tc>
        <w:tc>
          <w:tcPr>
            <w:tcW w:w="1023" w:type="dxa"/>
            <w:vAlign w:val="center"/>
          </w:tcPr>
          <w:p w14:paraId="5F533257" w14:textId="04AF6923" w:rsidR="000C50A5" w:rsidRPr="000C50A5" w:rsidRDefault="000C50A5" w:rsidP="000C50A5">
            <w:pPr>
              <w:ind w:firstLineChars="100" w:firstLine="160"/>
              <w:contextualSpacing/>
              <w:jc w:val="right"/>
              <w:rPr>
                <w:sz w:val="16"/>
                <w:szCs w:val="16"/>
              </w:rPr>
            </w:pPr>
            <w:r w:rsidRPr="000C50A5">
              <w:rPr>
                <w:sz w:val="16"/>
                <w:szCs w:val="16"/>
              </w:rPr>
              <w:t>125 379</w:t>
            </w:r>
          </w:p>
        </w:tc>
        <w:tc>
          <w:tcPr>
            <w:tcW w:w="1023" w:type="dxa"/>
            <w:vAlign w:val="center"/>
          </w:tcPr>
          <w:p w14:paraId="15BF1012" w14:textId="58611CBC" w:rsidR="000C50A5" w:rsidRPr="000C50A5" w:rsidRDefault="000C50A5" w:rsidP="000C50A5">
            <w:pPr>
              <w:ind w:right="72" w:firstLineChars="100" w:firstLine="160"/>
              <w:contextualSpacing/>
              <w:jc w:val="right"/>
              <w:rPr>
                <w:sz w:val="16"/>
                <w:szCs w:val="16"/>
              </w:rPr>
            </w:pPr>
            <w:r w:rsidRPr="000C50A5">
              <w:rPr>
                <w:rFonts w:cs="Arial"/>
                <w:sz w:val="16"/>
                <w:szCs w:val="16"/>
              </w:rPr>
              <w:t>115 696</w:t>
            </w:r>
          </w:p>
        </w:tc>
        <w:tc>
          <w:tcPr>
            <w:tcW w:w="1023" w:type="dxa"/>
            <w:vAlign w:val="bottom"/>
          </w:tcPr>
          <w:p w14:paraId="5DD83B8F" w14:textId="20983AE8" w:rsidR="000C50A5" w:rsidRPr="000C50A5" w:rsidRDefault="000C50A5" w:rsidP="000C50A5">
            <w:pPr>
              <w:ind w:right="71"/>
              <w:contextualSpacing/>
              <w:jc w:val="right"/>
              <w:rPr>
                <w:sz w:val="16"/>
                <w:szCs w:val="16"/>
              </w:rPr>
            </w:pPr>
            <w:r w:rsidRPr="000C50A5">
              <w:rPr>
                <w:rFonts w:cs="Arial"/>
                <w:sz w:val="16"/>
                <w:szCs w:val="16"/>
              </w:rPr>
              <w:t>108 655</w:t>
            </w:r>
          </w:p>
        </w:tc>
        <w:tc>
          <w:tcPr>
            <w:tcW w:w="1024" w:type="dxa"/>
            <w:vAlign w:val="bottom"/>
          </w:tcPr>
          <w:p w14:paraId="4B71BF8E" w14:textId="0B188B42" w:rsidR="000C50A5" w:rsidRPr="000C50A5" w:rsidRDefault="000C50A5" w:rsidP="000C50A5">
            <w:pPr>
              <w:contextualSpacing/>
              <w:jc w:val="center"/>
              <w:rPr>
                <w:sz w:val="16"/>
                <w:szCs w:val="16"/>
              </w:rPr>
            </w:pPr>
            <w:r w:rsidRPr="000C50A5">
              <w:rPr>
                <w:rFonts w:cs="Arial"/>
                <w:sz w:val="16"/>
                <w:szCs w:val="16"/>
              </w:rPr>
              <w:t>112 874</w:t>
            </w:r>
          </w:p>
        </w:tc>
        <w:tc>
          <w:tcPr>
            <w:tcW w:w="1024" w:type="dxa"/>
            <w:vAlign w:val="bottom"/>
          </w:tcPr>
          <w:p w14:paraId="65CE85EC" w14:textId="6EF97A5E" w:rsidR="000C50A5" w:rsidRPr="000C50A5" w:rsidRDefault="000C50A5" w:rsidP="000C50A5">
            <w:pPr>
              <w:contextualSpacing/>
              <w:jc w:val="right"/>
              <w:rPr>
                <w:sz w:val="16"/>
                <w:szCs w:val="16"/>
              </w:rPr>
            </w:pPr>
            <w:r w:rsidRPr="000C50A5">
              <w:rPr>
                <w:rFonts w:cs="Arial"/>
                <w:color w:val="000000"/>
                <w:sz w:val="16"/>
                <w:szCs w:val="16"/>
              </w:rPr>
              <w:t>109 450</w:t>
            </w:r>
          </w:p>
        </w:tc>
        <w:tc>
          <w:tcPr>
            <w:tcW w:w="1024" w:type="dxa"/>
            <w:vAlign w:val="bottom"/>
          </w:tcPr>
          <w:p w14:paraId="55D54998" w14:textId="1959F7C6" w:rsidR="000C50A5" w:rsidRPr="000C50A5" w:rsidRDefault="000C50A5" w:rsidP="000C50A5">
            <w:pPr>
              <w:contextualSpacing/>
              <w:jc w:val="right"/>
              <w:rPr>
                <w:rFonts w:cs="Arial"/>
                <w:color w:val="000000"/>
                <w:sz w:val="16"/>
                <w:szCs w:val="16"/>
              </w:rPr>
            </w:pPr>
            <w:r w:rsidRPr="000C50A5">
              <w:rPr>
                <w:rFonts w:cs="Arial"/>
                <w:color w:val="000000"/>
                <w:sz w:val="16"/>
                <w:szCs w:val="16"/>
              </w:rPr>
              <w:t>100 887</w:t>
            </w:r>
          </w:p>
        </w:tc>
        <w:tc>
          <w:tcPr>
            <w:tcW w:w="1027" w:type="dxa"/>
            <w:vAlign w:val="bottom"/>
          </w:tcPr>
          <w:p w14:paraId="38B207AF" w14:textId="5377C47B" w:rsidR="000C50A5" w:rsidRPr="000C50A5" w:rsidRDefault="000C50A5" w:rsidP="000C50A5">
            <w:pPr>
              <w:contextualSpacing/>
              <w:jc w:val="right"/>
              <w:rPr>
                <w:rFonts w:cs="Arial"/>
                <w:color w:val="000000"/>
                <w:sz w:val="16"/>
                <w:szCs w:val="16"/>
              </w:rPr>
            </w:pPr>
            <w:r w:rsidRPr="000C50A5">
              <w:rPr>
                <w:rFonts w:cs="Arial"/>
                <w:color w:val="000000"/>
                <w:sz w:val="16"/>
                <w:szCs w:val="16"/>
              </w:rPr>
              <w:t>93 567</w:t>
            </w:r>
          </w:p>
        </w:tc>
        <w:tc>
          <w:tcPr>
            <w:tcW w:w="1027" w:type="dxa"/>
            <w:tcBorders>
              <w:top w:val="nil"/>
              <w:left w:val="single" w:sz="4" w:space="0" w:color="auto"/>
              <w:bottom w:val="single" w:sz="4" w:space="0" w:color="auto"/>
              <w:right w:val="single" w:sz="4" w:space="0" w:color="auto"/>
            </w:tcBorders>
            <w:vAlign w:val="bottom"/>
          </w:tcPr>
          <w:p w14:paraId="1CF52C12" w14:textId="7424E958" w:rsidR="000C50A5" w:rsidRPr="000C50A5" w:rsidRDefault="000C50A5" w:rsidP="000C50A5">
            <w:pPr>
              <w:contextualSpacing/>
              <w:jc w:val="right"/>
              <w:rPr>
                <w:rFonts w:cs="Arial"/>
                <w:color w:val="000000"/>
                <w:sz w:val="16"/>
                <w:szCs w:val="16"/>
              </w:rPr>
            </w:pPr>
            <w:r w:rsidRPr="000C50A5">
              <w:rPr>
                <w:rFonts w:cs="Arial"/>
                <w:color w:val="000000"/>
                <w:sz w:val="16"/>
                <w:szCs w:val="16"/>
              </w:rPr>
              <w:t>92</w:t>
            </w:r>
            <w:r w:rsidR="0054323B">
              <w:rPr>
                <w:rFonts w:cs="Arial"/>
                <w:color w:val="000000"/>
                <w:sz w:val="16"/>
                <w:szCs w:val="16"/>
              </w:rPr>
              <w:t xml:space="preserve"> </w:t>
            </w:r>
            <w:r w:rsidRPr="000C50A5">
              <w:rPr>
                <w:rFonts w:cs="Arial"/>
                <w:color w:val="000000"/>
                <w:sz w:val="16"/>
                <w:szCs w:val="16"/>
              </w:rPr>
              <w:t>918</w:t>
            </w:r>
          </w:p>
        </w:tc>
      </w:tr>
      <w:tr w:rsidR="000C50A5" w:rsidRPr="000C50A5" w14:paraId="53410257" w14:textId="17220D4C" w:rsidTr="000C50A5">
        <w:trPr>
          <w:trHeight w:val="287"/>
        </w:trPr>
        <w:tc>
          <w:tcPr>
            <w:tcW w:w="782" w:type="dxa"/>
            <w:vMerge/>
            <w:vAlign w:val="center"/>
            <w:hideMark/>
          </w:tcPr>
          <w:p w14:paraId="48924545" w14:textId="77777777" w:rsidR="000C50A5" w:rsidRPr="000C50A5" w:rsidRDefault="000C50A5" w:rsidP="000C50A5">
            <w:pPr>
              <w:contextualSpacing/>
              <w:rPr>
                <w:b/>
                <w:sz w:val="16"/>
                <w:szCs w:val="16"/>
              </w:rPr>
            </w:pPr>
          </w:p>
        </w:tc>
        <w:tc>
          <w:tcPr>
            <w:tcW w:w="402" w:type="dxa"/>
            <w:noWrap/>
            <w:vAlign w:val="center"/>
            <w:hideMark/>
          </w:tcPr>
          <w:p w14:paraId="2E783DC9" w14:textId="77777777" w:rsidR="000C50A5" w:rsidRPr="000C50A5" w:rsidRDefault="000C50A5" w:rsidP="000C50A5">
            <w:pPr>
              <w:contextualSpacing/>
              <w:rPr>
                <w:sz w:val="16"/>
                <w:szCs w:val="16"/>
              </w:rPr>
            </w:pPr>
            <w:r w:rsidRPr="000C50A5">
              <w:rPr>
                <w:sz w:val="16"/>
                <w:szCs w:val="16"/>
              </w:rPr>
              <w:t>b)</w:t>
            </w:r>
          </w:p>
        </w:tc>
        <w:tc>
          <w:tcPr>
            <w:tcW w:w="1023" w:type="dxa"/>
            <w:vAlign w:val="center"/>
          </w:tcPr>
          <w:p w14:paraId="55E71A11" w14:textId="590B3602" w:rsidR="000C50A5" w:rsidRPr="000C50A5" w:rsidRDefault="000C50A5" w:rsidP="000C50A5">
            <w:pPr>
              <w:ind w:left="-28" w:firstLineChars="100" w:firstLine="160"/>
              <w:contextualSpacing/>
              <w:jc w:val="right"/>
              <w:rPr>
                <w:sz w:val="16"/>
                <w:szCs w:val="16"/>
              </w:rPr>
            </w:pPr>
            <w:r w:rsidRPr="000C50A5">
              <w:rPr>
                <w:sz w:val="16"/>
                <w:szCs w:val="16"/>
              </w:rPr>
              <w:t>62 306</w:t>
            </w:r>
          </w:p>
        </w:tc>
        <w:tc>
          <w:tcPr>
            <w:tcW w:w="1023" w:type="dxa"/>
            <w:vAlign w:val="center"/>
          </w:tcPr>
          <w:p w14:paraId="1DDFD40C" w14:textId="1E23C072" w:rsidR="000C50A5" w:rsidRPr="000C50A5" w:rsidRDefault="000C50A5" w:rsidP="000C50A5">
            <w:pPr>
              <w:ind w:right="-6"/>
              <w:contextualSpacing/>
              <w:jc w:val="right"/>
              <w:rPr>
                <w:sz w:val="16"/>
                <w:szCs w:val="16"/>
              </w:rPr>
            </w:pPr>
            <w:r w:rsidRPr="000C50A5">
              <w:rPr>
                <w:rFonts w:cs="Arial"/>
                <w:sz w:val="16"/>
                <w:szCs w:val="16"/>
              </w:rPr>
              <w:t>60</w:t>
            </w:r>
            <w:r w:rsidRPr="000C50A5">
              <w:rPr>
                <w:sz w:val="16"/>
                <w:szCs w:val="16"/>
              </w:rPr>
              <w:t xml:space="preserve"> 592</w:t>
            </w:r>
          </w:p>
        </w:tc>
        <w:tc>
          <w:tcPr>
            <w:tcW w:w="1023" w:type="dxa"/>
            <w:vAlign w:val="center"/>
          </w:tcPr>
          <w:p w14:paraId="2ED689FB" w14:textId="5C9AA776" w:rsidR="000C50A5" w:rsidRPr="000C50A5" w:rsidRDefault="000C50A5" w:rsidP="000C50A5">
            <w:pPr>
              <w:ind w:firstLineChars="100" w:firstLine="160"/>
              <w:contextualSpacing/>
              <w:jc w:val="right"/>
              <w:rPr>
                <w:sz w:val="16"/>
                <w:szCs w:val="16"/>
              </w:rPr>
            </w:pPr>
            <w:r w:rsidRPr="000C50A5">
              <w:rPr>
                <w:sz w:val="16"/>
                <w:szCs w:val="16"/>
              </w:rPr>
              <w:t>60 901</w:t>
            </w:r>
          </w:p>
        </w:tc>
        <w:tc>
          <w:tcPr>
            <w:tcW w:w="1023" w:type="dxa"/>
            <w:vAlign w:val="center"/>
          </w:tcPr>
          <w:p w14:paraId="77782FCE" w14:textId="34172FBC" w:rsidR="000C50A5" w:rsidRPr="000C50A5" w:rsidRDefault="000C50A5" w:rsidP="000C50A5">
            <w:pPr>
              <w:ind w:right="72" w:firstLineChars="100" w:firstLine="160"/>
              <w:contextualSpacing/>
              <w:jc w:val="right"/>
              <w:rPr>
                <w:sz w:val="16"/>
                <w:szCs w:val="16"/>
              </w:rPr>
            </w:pPr>
            <w:r w:rsidRPr="000C50A5">
              <w:rPr>
                <w:rFonts w:cs="Arial"/>
                <w:sz w:val="16"/>
                <w:szCs w:val="16"/>
              </w:rPr>
              <w:t>60 204</w:t>
            </w:r>
          </w:p>
        </w:tc>
        <w:tc>
          <w:tcPr>
            <w:tcW w:w="1023" w:type="dxa"/>
            <w:vAlign w:val="bottom"/>
          </w:tcPr>
          <w:p w14:paraId="58CEF8EE" w14:textId="788F1F47" w:rsidR="000C50A5" w:rsidRPr="000C50A5" w:rsidRDefault="000C50A5" w:rsidP="000C50A5">
            <w:pPr>
              <w:ind w:right="71"/>
              <w:contextualSpacing/>
              <w:jc w:val="right"/>
              <w:rPr>
                <w:sz w:val="16"/>
                <w:szCs w:val="16"/>
              </w:rPr>
            </w:pPr>
            <w:r w:rsidRPr="000C50A5">
              <w:rPr>
                <w:rFonts w:cs="Arial"/>
                <w:sz w:val="16"/>
                <w:szCs w:val="16"/>
              </w:rPr>
              <w:t>57 150</w:t>
            </w:r>
          </w:p>
        </w:tc>
        <w:tc>
          <w:tcPr>
            <w:tcW w:w="1024" w:type="dxa"/>
            <w:vAlign w:val="bottom"/>
          </w:tcPr>
          <w:p w14:paraId="1730AF7C" w14:textId="25AFDAC9" w:rsidR="000C50A5" w:rsidRPr="000C50A5" w:rsidRDefault="000C50A5" w:rsidP="000C50A5">
            <w:pPr>
              <w:contextualSpacing/>
              <w:jc w:val="center"/>
              <w:rPr>
                <w:sz w:val="16"/>
                <w:szCs w:val="16"/>
              </w:rPr>
            </w:pPr>
            <w:r w:rsidRPr="000C50A5">
              <w:rPr>
                <w:rFonts w:cs="Arial"/>
                <w:sz w:val="16"/>
                <w:szCs w:val="16"/>
              </w:rPr>
              <w:t>57 529</w:t>
            </w:r>
          </w:p>
        </w:tc>
        <w:tc>
          <w:tcPr>
            <w:tcW w:w="1024" w:type="dxa"/>
            <w:vAlign w:val="bottom"/>
          </w:tcPr>
          <w:p w14:paraId="41C8E68A" w14:textId="73D864AD" w:rsidR="000C50A5" w:rsidRPr="000C50A5" w:rsidRDefault="000C50A5" w:rsidP="000C50A5">
            <w:pPr>
              <w:contextualSpacing/>
              <w:jc w:val="right"/>
              <w:rPr>
                <w:sz w:val="16"/>
                <w:szCs w:val="16"/>
              </w:rPr>
            </w:pPr>
            <w:r w:rsidRPr="000C50A5">
              <w:rPr>
                <w:rFonts w:cs="Arial"/>
                <w:color w:val="000000"/>
                <w:sz w:val="16"/>
                <w:szCs w:val="16"/>
              </w:rPr>
              <w:t>56 739</w:t>
            </w:r>
          </w:p>
        </w:tc>
        <w:tc>
          <w:tcPr>
            <w:tcW w:w="1024" w:type="dxa"/>
            <w:vAlign w:val="bottom"/>
          </w:tcPr>
          <w:p w14:paraId="146711EF" w14:textId="2B831ADB" w:rsidR="000C50A5" w:rsidRPr="000C50A5" w:rsidRDefault="000C50A5" w:rsidP="000C50A5">
            <w:pPr>
              <w:contextualSpacing/>
              <w:jc w:val="right"/>
              <w:rPr>
                <w:rFonts w:cs="Arial"/>
                <w:color w:val="000000"/>
                <w:sz w:val="16"/>
                <w:szCs w:val="16"/>
              </w:rPr>
            </w:pPr>
            <w:r w:rsidRPr="000C50A5">
              <w:rPr>
                <w:rFonts w:cs="Arial"/>
                <w:color w:val="000000"/>
                <w:sz w:val="16"/>
                <w:szCs w:val="16"/>
              </w:rPr>
              <w:t>56 481</w:t>
            </w:r>
          </w:p>
        </w:tc>
        <w:tc>
          <w:tcPr>
            <w:tcW w:w="1027" w:type="dxa"/>
            <w:vAlign w:val="bottom"/>
          </w:tcPr>
          <w:p w14:paraId="70310834" w14:textId="34B97721" w:rsidR="000C50A5" w:rsidRPr="000C50A5" w:rsidRDefault="000C50A5" w:rsidP="000C50A5">
            <w:pPr>
              <w:contextualSpacing/>
              <w:jc w:val="right"/>
              <w:rPr>
                <w:rFonts w:cs="Arial"/>
                <w:color w:val="000000"/>
                <w:sz w:val="16"/>
                <w:szCs w:val="16"/>
              </w:rPr>
            </w:pPr>
            <w:r w:rsidRPr="000C50A5">
              <w:rPr>
                <w:rFonts w:cs="Arial"/>
                <w:color w:val="000000"/>
                <w:sz w:val="16"/>
                <w:szCs w:val="16"/>
              </w:rPr>
              <w:t>57 432</w:t>
            </w:r>
          </w:p>
        </w:tc>
        <w:tc>
          <w:tcPr>
            <w:tcW w:w="1027" w:type="dxa"/>
            <w:tcBorders>
              <w:top w:val="nil"/>
              <w:left w:val="single" w:sz="4" w:space="0" w:color="auto"/>
              <w:bottom w:val="single" w:sz="4" w:space="0" w:color="auto"/>
              <w:right w:val="single" w:sz="4" w:space="0" w:color="auto"/>
            </w:tcBorders>
            <w:vAlign w:val="bottom"/>
          </w:tcPr>
          <w:p w14:paraId="1064DF99" w14:textId="4718BC98" w:rsidR="000C50A5" w:rsidRPr="000C50A5" w:rsidRDefault="000C50A5" w:rsidP="000C50A5">
            <w:pPr>
              <w:contextualSpacing/>
              <w:jc w:val="right"/>
              <w:rPr>
                <w:rFonts w:cs="Arial"/>
                <w:color w:val="000000"/>
                <w:sz w:val="16"/>
                <w:szCs w:val="16"/>
              </w:rPr>
            </w:pPr>
            <w:r w:rsidRPr="000C50A5">
              <w:rPr>
                <w:rFonts w:cs="Arial"/>
                <w:color w:val="000000"/>
                <w:sz w:val="16"/>
                <w:szCs w:val="16"/>
              </w:rPr>
              <w:t>58</w:t>
            </w:r>
            <w:r w:rsidR="0054323B">
              <w:rPr>
                <w:rFonts w:cs="Arial"/>
                <w:color w:val="000000"/>
                <w:sz w:val="16"/>
                <w:szCs w:val="16"/>
              </w:rPr>
              <w:t xml:space="preserve"> </w:t>
            </w:r>
            <w:r w:rsidRPr="000C50A5">
              <w:rPr>
                <w:rFonts w:cs="Arial"/>
                <w:color w:val="000000"/>
                <w:sz w:val="16"/>
                <w:szCs w:val="16"/>
              </w:rPr>
              <w:t>147</w:t>
            </w:r>
          </w:p>
        </w:tc>
      </w:tr>
      <w:tr w:rsidR="000C50A5" w:rsidRPr="000C50A5" w14:paraId="46BCEC66" w14:textId="1F8D5601" w:rsidTr="000C50A5">
        <w:trPr>
          <w:trHeight w:val="287"/>
        </w:trPr>
        <w:tc>
          <w:tcPr>
            <w:tcW w:w="782" w:type="dxa"/>
            <w:vMerge w:val="restart"/>
            <w:vAlign w:val="center"/>
            <w:hideMark/>
          </w:tcPr>
          <w:p w14:paraId="0003A504" w14:textId="77777777" w:rsidR="000C50A5" w:rsidRPr="000C50A5" w:rsidRDefault="000C50A5" w:rsidP="000C50A5">
            <w:pPr>
              <w:contextualSpacing/>
              <w:rPr>
                <w:b/>
                <w:sz w:val="16"/>
                <w:szCs w:val="16"/>
              </w:rPr>
            </w:pPr>
            <w:r w:rsidRPr="000C50A5">
              <w:rPr>
                <w:b/>
                <w:sz w:val="16"/>
                <w:szCs w:val="16"/>
              </w:rPr>
              <w:t>Moravy</w:t>
            </w:r>
          </w:p>
        </w:tc>
        <w:tc>
          <w:tcPr>
            <w:tcW w:w="402" w:type="dxa"/>
            <w:noWrap/>
            <w:vAlign w:val="center"/>
            <w:hideMark/>
          </w:tcPr>
          <w:p w14:paraId="26DE4307" w14:textId="77777777" w:rsidR="000C50A5" w:rsidRPr="000C50A5" w:rsidRDefault="000C50A5" w:rsidP="000C50A5">
            <w:pPr>
              <w:contextualSpacing/>
              <w:rPr>
                <w:sz w:val="16"/>
                <w:szCs w:val="16"/>
              </w:rPr>
            </w:pPr>
            <w:r w:rsidRPr="000C50A5">
              <w:rPr>
                <w:sz w:val="16"/>
                <w:szCs w:val="16"/>
              </w:rPr>
              <w:t>a)</w:t>
            </w:r>
          </w:p>
        </w:tc>
        <w:tc>
          <w:tcPr>
            <w:tcW w:w="1023" w:type="dxa"/>
            <w:vAlign w:val="center"/>
          </w:tcPr>
          <w:p w14:paraId="37BE1C57" w14:textId="66E6C1E9" w:rsidR="000C50A5" w:rsidRPr="000C50A5" w:rsidRDefault="000C50A5" w:rsidP="000C50A5">
            <w:pPr>
              <w:ind w:left="-28" w:firstLineChars="100" w:firstLine="160"/>
              <w:contextualSpacing/>
              <w:jc w:val="right"/>
              <w:rPr>
                <w:sz w:val="16"/>
                <w:szCs w:val="16"/>
              </w:rPr>
            </w:pPr>
            <w:r w:rsidRPr="000C50A5">
              <w:rPr>
                <w:sz w:val="16"/>
                <w:szCs w:val="16"/>
              </w:rPr>
              <w:t>151 857</w:t>
            </w:r>
          </w:p>
        </w:tc>
        <w:tc>
          <w:tcPr>
            <w:tcW w:w="1023" w:type="dxa"/>
            <w:vAlign w:val="center"/>
          </w:tcPr>
          <w:p w14:paraId="13521122" w14:textId="3DA9E588" w:rsidR="000C50A5" w:rsidRPr="000C50A5" w:rsidRDefault="000C50A5" w:rsidP="000C50A5">
            <w:pPr>
              <w:ind w:right="-6" w:firstLineChars="100" w:firstLine="160"/>
              <w:contextualSpacing/>
              <w:jc w:val="right"/>
              <w:rPr>
                <w:sz w:val="16"/>
                <w:szCs w:val="16"/>
              </w:rPr>
            </w:pPr>
            <w:r w:rsidRPr="000C50A5">
              <w:rPr>
                <w:sz w:val="16"/>
                <w:szCs w:val="16"/>
              </w:rPr>
              <w:t>156 666</w:t>
            </w:r>
          </w:p>
        </w:tc>
        <w:tc>
          <w:tcPr>
            <w:tcW w:w="1023" w:type="dxa"/>
            <w:vAlign w:val="center"/>
          </w:tcPr>
          <w:p w14:paraId="4E680723" w14:textId="39D75CBC" w:rsidR="000C50A5" w:rsidRPr="000C50A5" w:rsidRDefault="000C50A5" w:rsidP="000C50A5">
            <w:pPr>
              <w:ind w:firstLineChars="100" w:firstLine="160"/>
              <w:contextualSpacing/>
              <w:jc w:val="right"/>
              <w:rPr>
                <w:sz w:val="16"/>
                <w:szCs w:val="16"/>
              </w:rPr>
            </w:pPr>
            <w:r w:rsidRPr="000C50A5">
              <w:rPr>
                <w:sz w:val="16"/>
                <w:szCs w:val="16"/>
              </w:rPr>
              <w:t>168 582</w:t>
            </w:r>
          </w:p>
        </w:tc>
        <w:tc>
          <w:tcPr>
            <w:tcW w:w="1023" w:type="dxa"/>
            <w:vAlign w:val="center"/>
          </w:tcPr>
          <w:p w14:paraId="07E6B5FD" w14:textId="160D7955" w:rsidR="000C50A5" w:rsidRPr="000C50A5" w:rsidRDefault="000C50A5" w:rsidP="000C50A5">
            <w:pPr>
              <w:ind w:right="72" w:firstLineChars="100" w:firstLine="160"/>
              <w:contextualSpacing/>
              <w:jc w:val="right"/>
              <w:rPr>
                <w:sz w:val="16"/>
                <w:szCs w:val="16"/>
              </w:rPr>
            </w:pPr>
            <w:r w:rsidRPr="000C50A5">
              <w:rPr>
                <w:rFonts w:cs="Arial"/>
                <w:sz w:val="16"/>
                <w:szCs w:val="16"/>
              </w:rPr>
              <w:t>176 873</w:t>
            </w:r>
          </w:p>
        </w:tc>
        <w:tc>
          <w:tcPr>
            <w:tcW w:w="1023" w:type="dxa"/>
            <w:vAlign w:val="bottom"/>
          </w:tcPr>
          <w:p w14:paraId="38E07072" w14:textId="1DF46DF9" w:rsidR="000C50A5" w:rsidRPr="000C50A5" w:rsidRDefault="000C50A5" w:rsidP="000C50A5">
            <w:pPr>
              <w:ind w:right="71"/>
              <w:contextualSpacing/>
              <w:jc w:val="right"/>
              <w:rPr>
                <w:sz w:val="16"/>
                <w:szCs w:val="16"/>
              </w:rPr>
            </w:pPr>
            <w:r w:rsidRPr="000C50A5">
              <w:rPr>
                <w:rFonts w:cs="Arial"/>
                <w:sz w:val="16"/>
                <w:szCs w:val="16"/>
              </w:rPr>
              <w:t>162 369</w:t>
            </w:r>
          </w:p>
        </w:tc>
        <w:tc>
          <w:tcPr>
            <w:tcW w:w="1024" w:type="dxa"/>
            <w:vAlign w:val="bottom"/>
          </w:tcPr>
          <w:p w14:paraId="15468E79" w14:textId="452BB6DC" w:rsidR="000C50A5" w:rsidRPr="000C50A5" w:rsidRDefault="000C50A5" w:rsidP="000C50A5">
            <w:pPr>
              <w:contextualSpacing/>
              <w:jc w:val="center"/>
              <w:rPr>
                <w:sz w:val="16"/>
                <w:szCs w:val="16"/>
              </w:rPr>
            </w:pPr>
            <w:r w:rsidRPr="000C50A5">
              <w:rPr>
                <w:rFonts w:cs="Arial"/>
                <w:sz w:val="16"/>
                <w:szCs w:val="16"/>
              </w:rPr>
              <w:t>155 580</w:t>
            </w:r>
          </w:p>
        </w:tc>
        <w:tc>
          <w:tcPr>
            <w:tcW w:w="1024" w:type="dxa"/>
            <w:vAlign w:val="bottom"/>
          </w:tcPr>
          <w:p w14:paraId="4ED46F41" w14:textId="4F9B3CDA" w:rsidR="000C50A5" w:rsidRPr="000C50A5" w:rsidRDefault="000C50A5" w:rsidP="000C50A5">
            <w:pPr>
              <w:contextualSpacing/>
              <w:jc w:val="right"/>
              <w:rPr>
                <w:sz w:val="16"/>
                <w:szCs w:val="16"/>
              </w:rPr>
            </w:pPr>
            <w:r w:rsidRPr="000C50A5">
              <w:rPr>
                <w:rFonts w:cs="Arial"/>
                <w:color w:val="000000"/>
                <w:sz w:val="16"/>
                <w:szCs w:val="16"/>
              </w:rPr>
              <w:t>155 429</w:t>
            </w:r>
          </w:p>
        </w:tc>
        <w:tc>
          <w:tcPr>
            <w:tcW w:w="1024" w:type="dxa"/>
            <w:vAlign w:val="bottom"/>
          </w:tcPr>
          <w:p w14:paraId="7AF7A692" w14:textId="5FAA18AD" w:rsidR="000C50A5" w:rsidRPr="000C50A5" w:rsidRDefault="000C50A5" w:rsidP="000C50A5">
            <w:pPr>
              <w:contextualSpacing/>
              <w:jc w:val="right"/>
              <w:rPr>
                <w:rFonts w:cs="Arial"/>
                <w:color w:val="000000"/>
                <w:sz w:val="16"/>
                <w:szCs w:val="16"/>
              </w:rPr>
            </w:pPr>
            <w:r w:rsidRPr="000C50A5">
              <w:rPr>
                <w:rFonts w:cs="Arial"/>
                <w:color w:val="000000"/>
                <w:sz w:val="16"/>
                <w:szCs w:val="16"/>
              </w:rPr>
              <w:t>123 860</w:t>
            </w:r>
          </w:p>
        </w:tc>
        <w:tc>
          <w:tcPr>
            <w:tcW w:w="1027" w:type="dxa"/>
            <w:vAlign w:val="bottom"/>
          </w:tcPr>
          <w:p w14:paraId="0A8D4FE0" w14:textId="4A1BFBAA" w:rsidR="000C50A5" w:rsidRPr="000C50A5" w:rsidRDefault="000C50A5" w:rsidP="000C50A5">
            <w:pPr>
              <w:contextualSpacing/>
              <w:jc w:val="right"/>
              <w:rPr>
                <w:rFonts w:cs="Arial"/>
                <w:color w:val="000000"/>
                <w:sz w:val="16"/>
                <w:szCs w:val="16"/>
              </w:rPr>
            </w:pPr>
            <w:r w:rsidRPr="000C50A5">
              <w:rPr>
                <w:rFonts w:cs="Arial"/>
                <w:color w:val="000000"/>
                <w:sz w:val="16"/>
                <w:szCs w:val="16"/>
              </w:rPr>
              <w:t>94 644</w:t>
            </w:r>
          </w:p>
        </w:tc>
        <w:tc>
          <w:tcPr>
            <w:tcW w:w="1027" w:type="dxa"/>
            <w:tcBorders>
              <w:top w:val="nil"/>
              <w:left w:val="single" w:sz="4" w:space="0" w:color="auto"/>
              <w:bottom w:val="single" w:sz="4" w:space="0" w:color="auto"/>
              <w:right w:val="single" w:sz="4" w:space="0" w:color="auto"/>
            </w:tcBorders>
            <w:vAlign w:val="bottom"/>
          </w:tcPr>
          <w:p w14:paraId="0C29301F" w14:textId="1B07F527" w:rsidR="000C50A5" w:rsidRPr="000C50A5" w:rsidRDefault="000C50A5" w:rsidP="000C50A5">
            <w:pPr>
              <w:contextualSpacing/>
              <w:jc w:val="right"/>
              <w:rPr>
                <w:rFonts w:cs="Arial"/>
                <w:color w:val="000000"/>
                <w:sz w:val="16"/>
                <w:szCs w:val="16"/>
              </w:rPr>
            </w:pPr>
            <w:r w:rsidRPr="000C50A5">
              <w:rPr>
                <w:rFonts w:cs="Arial"/>
                <w:color w:val="000000"/>
                <w:sz w:val="16"/>
                <w:szCs w:val="16"/>
              </w:rPr>
              <w:t>96</w:t>
            </w:r>
            <w:r w:rsidR="0054323B">
              <w:rPr>
                <w:rFonts w:cs="Arial"/>
                <w:color w:val="000000"/>
                <w:sz w:val="16"/>
                <w:szCs w:val="16"/>
              </w:rPr>
              <w:t xml:space="preserve"> </w:t>
            </w:r>
            <w:r w:rsidRPr="000C50A5">
              <w:rPr>
                <w:rFonts w:cs="Arial"/>
                <w:color w:val="000000"/>
                <w:sz w:val="16"/>
                <w:szCs w:val="16"/>
              </w:rPr>
              <w:t>066</w:t>
            </w:r>
          </w:p>
        </w:tc>
      </w:tr>
      <w:tr w:rsidR="000C50A5" w:rsidRPr="000C50A5" w14:paraId="4EC29A93" w14:textId="14652C80" w:rsidTr="000C50A5">
        <w:trPr>
          <w:trHeight w:val="287"/>
        </w:trPr>
        <w:tc>
          <w:tcPr>
            <w:tcW w:w="782" w:type="dxa"/>
            <w:vMerge/>
            <w:vAlign w:val="center"/>
            <w:hideMark/>
          </w:tcPr>
          <w:p w14:paraId="58C5F273" w14:textId="77777777" w:rsidR="000C50A5" w:rsidRPr="000C50A5" w:rsidRDefault="000C50A5" w:rsidP="000C50A5">
            <w:pPr>
              <w:contextualSpacing/>
              <w:rPr>
                <w:sz w:val="16"/>
                <w:szCs w:val="16"/>
              </w:rPr>
            </w:pPr>
          </w:p>
        </w:tc>
        <w:tc>
          <w:tcPr>
            <w:tcW w:w="402" w:type="dxa"/>
            <w:noWrap/>
            <w:vAlign w:val="center"/>
            <w:hideMark/>
          </w:tcPr>
          <w:p w14:paraId="3CF3071C" w14:textId="77777777" w:rsidR="000C50A5" w:rsidRPr="000C50A5" w:rsidRDefault="000C50A5" w:rsidP="000C50A5">
            <w:pPr>
              <w:contextualSpacing/>
              <w:rPr>
                <w:sz w:val="16"/>
                <w:szCs w:val="16"/>
              </w:rPr>
            </w:pPr>
            <w:r w:rsidRPr="000C50A5">
              <w:rPr>
                <w:sz w:val="16"/>
                <w:szCs w:val="16"/>
              </w:rPr>
              <w:t>b)</w:t>
            </w:r>
          </w:p>
        </w:tc>
        <w:tc>
          <w:tcPr>
            <w:tcW w:w="1023" w:type="dxa"/>
            <w:vAlign w:val="center"/>
          </w:tcPr>
          <w:p w14:paraId="52649523" w14:textId="246B55B3" w:rsidR="000C50A5" w:rsidRPr="000C50A5" w:rsidRDefault="000C50A5" w:rsidP="000C50A5">
            <w:pPr>
              <w:ind w:left="-28" w:firstLineChars="100" w:firstLine="160"/>
              <w:contextualSpacing/>
              <w:jc w:val="right"/>
              <w:rPr>
                <w:sz w:val="16"/>
                <w:szCs w:val="16"/>
              </w:rPr>
            </w:pPr>
            <w:r w:rsidRPr="000C50A5">
              <w:rPr>
                <w:sz w:val="16"/>
                <w:szCs w:val="16"/>
              </w:rPr>
              <w:t>32 816</w:t>
            </w:r>
          </w:p>
        </w:tc>
        <w:tc>
          <w:tcPr>
            <w:tcW w:w="1023" w:type="dxa"/>
            <w:vAlign w:val="center"/>
          </w:tcPr>
          <w:p w14:paraId="77BA42FE" w14:textId="44C36A6D" w:rsidR="000C50A5" w:rsidRPr="000C50A5" w:rsidRDefault="000C50A5" w:rsidP="000C50A5">
            <w:pPr>
              <w:ind w:right="-6" w:firstLineChars="100" w:firstLine="160"/>
              <w:contextualSpacing/>
              <w:jc w:val="right"/>
              <w:rPr>
                <w:sz w:val="16"/>
                <w:szCs w:val="16"/>
              </w:rPr>
            </w:pPr>
            <w:r w:rsidRPr="000C50A5">
              <w:rPr>
                <w:sz w:val="16"/>
                <w:szCs w:val="16"/>
              </w:rPr>
              <w:t>35 763</w:t>
            </w:r>
          </w:p>
        </w:tc>
        <w:tc>
          <w:tcPr>
            <w:tcW w:w="1023" w:type="dxa"/>
            <w:vAlign w:val="center"/>
          </w:tcPr>
          <w:p w14:paraId="3FA8FDF7" w14:textId="17D6AC7F" w:rsidR="000C50A5" w:rsidRPr="000C50A5" w:rsidRDefault="000C50A5" w:rsidP="000C50A5">
            <w:pPr>
              <w:ind w:firstLineChars="100" w:firstLine="160"/>
              <w:contextualSpacing/>
              <w:jc w:val="right"/>
              <w:rPr>
                <w:sz w:val="16"/>
                <w:szCs w:val="16"/>
              </w:rPr>
            </w:pPr>
            <w:r w:rsidRPr="000C50A5">
              <w:rPr>
                <w:sz w:val="16"/>
                <w:szCs w:val="16"/>
              </w:rPr>
              <w:t>37 715</w:t>
            </w:r>
          </w:p>
        </w:tc>
        <w:tc>
          <w:tcPr>
            <w:tcW w:w="1023" w:type="dxa"/>
            <w:vAlign w:val="center"/>
          </w:tcPr>
          <w:p w14:paraId="5123B197" w14:textId="21A42FE6" w:rsidR="000C50A5" w:rsidRPr="000C50A5" w:rsidRDefault="000C50A5" w:rsidP="000C50A5">
            <w:pPr>
              <w:ind w:right="72" w:firstLineChars="100" w:firstLine="160"/>
              <w:contextualSpacing/>
              <w:jc w:val="right"/>
              <w:rPr>
                <w:sz w:val="16"/>
                <w:szCs w:val="16"/>
              </w:rPr>
            </w:pPr>
            <w:r w:rsidRPr="000C50A5">
              <w:rPr>
                <w:rFonts w:cs="Arial"/>
                <w:sz w:val="16"/>
                <w:szCs w:val="16"/>
              </w:rPr>
              <w:t>39 478</w:t>
            </w:r>
          </w:p>
        </w:tc>
        <w:tc>
          <w:tcPr>
            <w:tcW w:w="1023" w:type="dxa"/>
            <w:vAlign w:val="bottom"/>
          </w:tcPr>
          <w:p w14:paraId="6160C4EC" w14:textId="32CE4107" w:rsidR="000C50A5" w:rsidRPr="000C50A5" w:rsidRDefault="000C50A5" w:rsidP="000C50A5">
            <w:pPr>
              <w:ind w:right="71"/>
              <w:contextualSpacing/>
              <w:jc w:val="right"/>
              <w:rPr>
                <w:sz w:val="16"/>
                <w:szCs w:val="16"/>
              </w:rPr>
            </w:pPr>
            <w:r w:rsidRPr="000C50A5">
              <w:rPr>
                <w:rFonts w:cs="Arial"/>
                <w:sz w:val="16"/>
                <w:szCs w:val="16"/>
              </w:rPr>
              <w:t>37 144</w:t>
            </w:r>
          </w:p>
        </w:tc>
        <w:tc>
          <w:tcPr>
            <w:tcW w:w="1024" w:type="dxa"/>
            <w:vAlign w:val="bottom"/>
          </w:tcPr>
          <w:p w14:paraId="586F6E1F" w14:textId="2DA18568" w:rsidR="000C50A5" w:rsidRPr="000C50A5" w:rsidRDefault="000C50A5" w:rsidP="000C50A5">
            <w:pPr>
              <w:contextualSpacing/>
              <w:jc w:val="center"/>
              <w:rPr>
                <w:sz w:val="16"/>
                <w:szCs w:val="16"/>
              </w:rPr>
            </w:pPr>
            <w:r w:rsidRPr="000C50A5">
              <w:rPr>
                <w:rFonts w:cs="Arial"/>
                <w:sz w:val="16"/>
                <w:szCs w:val="16"/>
              </w:rPr>
              <w:t>33 321</w:t>
            </w:r>
          </w:p>
        </w:tc>
        <w:tc>
          <w:tcPr>
            <w:tcW w:w="1024" w:type="dxa"/>
            <w:vAlign w:val="bottom"/>
          </w:tcPr>
          <w:p w14:paraId="45E073AD" w14:textId="117A68B7" w:rsidR="000C50A5" w:rsidRPr="000C50A5" w:rsidRDefault="000C50A5" w:rsidP="000C50A5">
            <w:pPr>
              <w:contextualSpacing/>
              <w:jc w:val="right"/>
              <w:rPr>
                <w:sz w:val="16"/>
                <w:szCs w:val="16"/>
              </w:rPr>
            </w:pPr>
            <w:r w:rsidRPr="000C50A5">
              <w:rPr>
                <w:rFonts w:cs="Arial"/>
                <w:color w:val="000000"/>
                <w:sz w:val="16"/>
                <w:szCs w:val="16"/>
              </w:rPr>
              <w:t>36 146</w:t>
            </w:r>
          </w:p>
        </w:tc>
        <w:tc>
          <w:tcPr>
            <w:tcW w:w="1024" w:type="dxa"/>
            <w:vAlign w:val="bottom"/>
          </w:tcPr>
          <w:p w14:paraId="61B3DD6C" w14:textId="1B818BE0" w:rsidR="000C50A5" w:rsidRPr="000C50A5" w:rsidRDefault="000C50A5" w:rsidP="000C50A5">
            <w:pPr>
              <w:contextualSpacing/>
              <w:jc w:val="right"/>
              <w:rPr>
                <w:rFonts w:cs="Arial"/>
                <w:color w:val="000000"/>
                <w:sz w:val="16"/>
                <w:szCs w:val="16"/>
              </w:rPr>
            </w:pPr>
            <w:r w:rsidRPr="000C50A5">
              <w:rPr>
                <w:rFonts w:cs="Arial"/>
                <w:color w:val="000000"/>
                <w:sz w:val="16"/>
                <w:szCs w:val="16"/>
              </w:rPr>
              <w:t>34 226</w:t>
            </w:r>
          </w:p>
        </w:tc>
        <w:tc>
          <w:tcPr>
            <w:tcW w:w="1027" w:type="dxa"/>
            <w:vAlign w:val="bottom"/>
          </w:tcPr>
          <w:p w14:paraId="139DC688" w14:textId="2E9277F5" w:rsidR="000C50A5" w:rsidRPr="000C50A5" w:rsidRDefault="000C50A5" w:rsidP="000C50A5">
            <w:pPr>
              <w:contextualSpacing/>
              <w:jc w:val="right"/>
              <w:rPr>
                <w:rFonts w:cs="Arial"/>
                <w:color w:val="000000"/>
                <w:sz w:val="16"/>
                <w:szCs w:val="16"/>
              </w:rPr>
            </w:pPr>
            <w:r w:rsidRPr="000C50A5">
              <w:rPr>
                <w:rFonts w:cs="Arial"/>
                <w:color w:val="000000"/>
                <w:sz w:val="16"/>
                <w:szCs w:val="16"/>
              </w:rPr>
              <w:t>33 968</w:t>
            </w:r>
          </w:p>
        </w:tc>
        <w:tc>
          <w:tcPr>
            <w:tcW w:w="1027" w:type="dxa"/>
            <w:tcBorders>
              <w:top w:val="nil"/>
              <w:left w:val="single" w:sz="4" w:space="0" w:color="auto"/>
              <w:bottom w:val="single" w:sz="4" w:space="0" w:color="auto"/>
              <w:right w:val="single" w:sz="4" w:space="0" w:color="auto"/>
            </w:tcBorders>
            <w:vAlign w:val="bottom"/>
          </w:tcPr>
          <w:p w14:paraId="0868D9C9" w14:textId="1B549C28" w:rsidR="000C50A5" w:rsidRPr="000C50A5" w:rsidRDefault="000C50A5" w:rsidP="000C50A5">
            <w:pPr>
              <w:contextualSpacing/>
              <w:jc w:val="right"/>
              <w:rPr>
                <w:rFonts w:cs="Arial"/>
                <w:color w:val="000000"/>
                <w:sz w:val="16"/>
                <w:szCs w:val="16"/>
              </w:rPr>
            </w:pPr>
            <w:r w:rsidRPr="000C50A5">
              <w:rPr>
                <w:rFonts w:cs="Arial"/>
                <w:color w:val="000000"/>
                <w:sz w:val="16"/>
                <w:szCs w:val="16"/>
              </w:rPr>
              <w:t>35</w:t>
            </w:r>
            <w:r w:rsidR="0054323B">
              <w:rPr>
                <w:rFonts w:cs="Arial"/>
                <w:color w:val="000000"/>
                <w:sz w:val="16"/>
                <w:szCs w:val="16"/>
              </w:rPr>
              <w:t xml:space="preserve"> </w:t>
            </w:r>
            <w:r w:rsidRPr="000C50A5">
              <w:rPr>
                <w:rFonts w:cs="Arial"/>
                <w:color w:val="000000"/>
                <w:sz w:val="16"/>
                <w:szCs w:val="16"/>
              </w:rPr>
              <w:t>199</w:t>
            </w:r>
          </w:p>
        </w:tc>
      </w:tr>
      <w:tr w:rsidR="000C50A5" w:rsidRPr="000C50A5" w14:paraId="1DED4515" w14:textId="62015620" w:rsidTr="0054323B">
        <w:trPr>
          <w:trHeight w:val="391"/>
        </w:trPr>
        <w:tc>
          <w:tcPr>
            <w:tcW w:w="782" w:type="dxa"/>
            <w:vMerge w:val="restart"/>
            <w:shd w:val="clear" w:color="auto" w:fill="BFBFBF"/>
            <w:vAlign w:val="center"/>
            <w:hideMark/>
          </w:tcPr>
          <w:p w14:paraId="1AB0D45E" w14:textId="77777777" w:rsidR="000C50A5" w:rsidRPr="000C50A5" w:rsidRDefault="000C50A5" w:rsidP="000C50A5">
            <w:pPr>
              <w:contextualSpacing/>
              <w:rPr>
                <w:b/>
                <w:sz w:val="16"/>
                <w:szCs w:val="16"/>
              </w:rPr>
            </w:pPr>
            <w:r w:rsidRPr="000C50A5">
              <w:rPr>
                <w:b/>
                <w:sz w:val="16"/>
                <w:szCs w:val="16"/>
              </w:rPr>
              <w:t>Celkem státní podniky Povodí</w:t>
            </w:r>
          </w:p>
        </w:tc>
        <w:tc>
          <w:tcPr>
            <w:tcW w:w="402" w:type="dxa"/>
            <w:shd w:val="clear" w:color="auto" w:fill="BFBFBF"/>
            <w:noWrap/>
            <w:vAlign w:val="center"/>
            <w:hideMark/>
          </w:tcPr>
          <w:p w14:paraId="0CCFE142" w14:textId="77777777" w:rsidR="000C50A5" w:rsidRPr="000C50A5" w:rsidRDefault="000C50A5" w:rsidP="000C50A5">
            <w:pPr>
              <w:contextualSpacing/>
              <w:rPr>
                <w:b/>
                <w:sz w:val="16"/>
                <w:szCs w:val="16"/>
              </w:rPr>
            </w:pPr>
            <w:r w:rsidRPr="000C50A5">
              <w:rPr>
                <w:b/>
                <w:sz w:val="16"/>
                <w:szCs w:val="16"/>
              </w:rPr>
              <w:t>a)</w:t>
            </w:r>
          </w:p>
        </w:tc>
        <w:tc>
          <w:tcPr>
            <w:tcW w:w="1023" w:type="dxa"/>
            <w:shd w:val="clear" w:color="auto" w:fill="BFBFBF"/>
            <w:vAlign w:val="center"/>
          </w:tcPr>
          <w:p w14:paraId="1E0162EA" w14:textId="792F39DD" w:rsidR="000C50A5" w:rsidRPr="000C50A5" w:rsidRDefault="000C50A5" w:rsidP="000C50A5">
            <w:pPr>
              <w:ind w:left="-28" w:firstLineChars="100" w:firstLine="161"/>
              <w:contextualSpacing/>
              <w:jc w:val="right"/>
              <w:rPr>
                <w:b/>
                <w:sz w:val="16"/>
                <w:szCs w:val="16"/>
              </w:rPr>
            </w:pPr>
            <w:r w:rsidRPr="000C50A5">
              <w:rPr>
                <w:b/>
                <w:sz w:val="16"/>
                <w:szCs w:val="16"/>
              </w:rPr>
              <w:t>1 218 498</w:t>
            </w:r>
          </w:p>
        </w:tc>
        <w:tc>
          <w:tcPr>
            <w:tcW w:w="1023" w:type="dxa"/>
            <w:shd w:val="clear" w:color="auto" w:fill="BFBFBF"/>
            <w:noWrap/>
            <w:vAlign w:val="center"/>
          </w:tcPr>
          <w:p w14:paraId="363C7EDA" w14:textId="23CBD1FE" w:rsidR="000C50A5" w:rsidRPr="000C50A5" w:rsidRDefault="000C50A5" w:rsidP="000C50A5">
            <w:pPr>
              <w:ind w:right="-6"/>
              <w:contextualSpacing/>
              <w:jc w:val="right"/>
              <w:rPr>
                <w:b/>
                <w:sz w:val="16"/>
                <w:szCs w:val="16"/>
              </w:rPr>
            </w:pPr>
            <w:r w:rsidRPr="000C50A5">
              <w:rPr>
                <w:b/>
                <w:sz w:val="16"/>
                <w:szCs w:val="16"/>
              </w:rPr>
              <w:t>1</w:t>
            </w:r>
            <w:r w:rsidRPr="000C50A5">
              <w:rPr>
                <w:rFonts w:cs="Arial"/>
                <w:b/>
                <w:sz w:val="16"/>
                <w:szCs w:val="16"/>
              </w:rPr>
              <w:t> </w:t>
            </w:r>
            <w:r w:rsidRPr="000C50A5">
              <w:rPr>
                <w:b/>
                <w:sz w:val="16"/>
                <w:szCs w:val="16"/>
              </w:rPr>
              <w:t>206 623</w:t>
            </w:r>
          </w:p>
        </w:tc>
        <w:tc>
          <w:tcPr>
            <w:tcW w:w="1023" w:type="dxa"/>
            <w:shd w:val="clear" w:color="auto" w:fill="BFBFBF"/>
            <w:vAlign w:val="center"/>
          </w:tcPr>
          <w:p w14:paraId="49DB54DA" w14:textId="5D43B6BE" w:rsidR="000C50A5" w:rsidRPr="000C50A5" w:rsidRDefault="000C50A5" w:rsidP="000C50A5">
            <w:pPr>
              <w:contextualSpacing/>
              <w:jc w:val="right"/>
              <w:rPr>
                <w:b/>
                <w:sz w:val="16"/>
                <w:szCs w:val="16"/>
              </w:rPr>
            </w:pPr>
            <w:r w:rsidRPr="000C50A5">
              <w:rPr>
                <w:b/>
                <w:sz w:val="16"/>
                <w:szCs w:val="16"/>
              </w:rPr>
              <w:t>1 169 432</w:t>
            </w:r>
          </w:p>
        </w:tc>
        <w:tc>
          <w:tcPr>
            <w:tcW w:w="1023" w:type="dxa"/>
            <w:shd w:val="clear" w:color="auto" w:fill="BFBFBF"/>
            <w:vAlign w:val="center"/>
          </w:tcPr>
          <w:p w14:paraId="7E52F8FF" w14:textId="09C67D14" w:rsidR="000C50A5" w:rsidRPr="000C50A5" w:rsidRDefault="000C50A5" w:rsidP="000C50A5">
            <w:pPr>
              <w:ind w:right="72" w:hanging="31"/>
              <w:contextualSpacing/>
              <w:jc w:val="right"/>
              <w:rPr>
                <w:b/>
                <w:sz w:val="16"/>
                <w:szCs w:val="16"/>
              </w:rPr>
            </w:pPr>
            <w:r w:rsidRPr="000C50A5">
              <w:rPr>
                <w:rFonts w:cs="Arial"/>
                <w:b/>
                <w:bCs/>
                <w:sz w:val="16"/>
                <w:szCs w:val="16"/>
              </w:rPr>
              <w:t>1 101 038</w:t>
            </w:r>
          </w:p>
        </w:tc>
        <w:tc>
          <w:tcPr>
            <w:tcW w:w="1023" w:type="dxa"/>
            <w:shd w:val="clear" w:color="auto" w:fill="BFBFBF"/>
            <w:vAlign w:val="center"/>
          </w:tcPr>
          <w:p w14:paraId="50274B9E" w14:textId="1EB92AE1" w:rsidR="000C50A5" w:rsidRPr="000C50A5" w:rsidRDefault="000C50A5" w:rsidP="000C50A5">
            <w:pPr>
              <w:ind w:right="71"/>
              <w:contextualSpacing/>
              <w:jc w:val="right"/>
              <w:rPr>
                <w:b/>
                <w:sz w:val="16"/>
                <w:szCs w:val="16"/>
              </w:rPr>
            </w:pPr>
            <w:r w:rsidRPr="000C50A5">
              <w:rPr>
                <w:rFonts w:cs="Arial"/>
                <w:b/>
                <w:bCs/>
                <w:sz w:val="16"/>
                <w:szCs w:val="16"/>
              </w:rPr>
              <w:t>969 905</w:t>
            </w:r>
          </w:p>
        </w:tc>
        <w:tc>
          <w:tcPr>
            <w:tcW w:w="1024" w:type="dxa"/>
            <w:shd w:val="clear" w:color="auto" w:fill="BFBFBF"/>
            <w:vAlign w:val="bottom"/>
          </w:tcPr>
          <w:p w14:paraId="0E8CC557" w14:textId="40AEBF92" w:rsidR="000C50A5" w:rsidRPr="000C50A5" w:rsidRDefault="000C50A5" w:rsidP="000C50A5">
            <w:pPr>
              <w:contextualSpacing/>
              <w:jc w:val="center"/>
              <w:rPr>
                <w:b/>
                <w:sz w:val="16"/>
                <w:szCs w:val="16"/>
              </w:rPr>
            </w:pPr>
            <w:r w:rsidRPr="000C50A5">
              <w:rPr>
                <w:rFonts w:cs="Arial"/>
                <w:b/>
                <w:sz w:val="16"/>
                <w:szCs w:val="16"/>
              </w:rPr>
              <w:t>948 038</w:t>
            </w:r>
          </w:p>
        </w:tc>
        <w:tc>
          <w:tcPr>
            <w:tcW w:w="1024" w:type="dxa"/>
            <w:shd w:val="clear" w:color="auto" w:fill="BFBFBF" w:themeFill="background1" w:themeFillShade="BF"/>
            <w:vAlign w:val="bottom"/>
          </w:tcPr>
          <w:p w14:paraId="497B6562" w14:textId="200FEF14" w:rsidR="000C50A5" w:rsidRPr="000C50A5" w:rsidRDefault="000C50A5" w:rsidP="000C50A5">
            <w:pPr>
              <w:contextualSpacing/>
              <w:jc w:val="right"/>
              <w:rPr>
                <w:b/>
                <w:sz w:val="16"/>
                <w:szCs w:val="16"/>
              </w:rPr>
            </w:pPr>
            <w:r w:rsidRPr="000C50A5">
              <w:rPr>
                <w:rFonts w:cs="Arial"/>
                <w:b/>
                <w:bCs/>
                <w:color w:val="000000"/>
                <w:sz w:val="16"/>
                <w:szCs w:val="16"/>
              </w:rPr>
              <w:t>104 1814</w:t>
            </w:r>
          </w:p>
        </w:tc>
        <w:tc>
          <w:tcPr>
            <w:tcW w:w="1024" w:type="dxa"/>
            <w:shd w:val="clear" w:color="auto" w:fill="BFBFBF" w:themeFill="background1" w:themeFillShade="BF"/>
            <w:vAlign w:val="bottom"/>
          </w:tcPr>
          <w:p w14:paraId="29503DAF" w14:textId="5C7D3EC6" w:rsidR="000C50A5" w:rsidRPr="000C50A5" w:rsidRDefault="000C50A5" w:rsidP="000C50A5">
            <w:pPr>
              <w:contextualSpacing/>
              <w:jc w:val="right"/>
              <w:rPr>
                <w:rFonts w:cs="Arial"/>
                <w:b/>
                <w:bCs/>
                <w:color w:val="000000"/>
                <w:sz w:val="16"/>
                <w:szCs w:val="16"/>
              </w:rPr>
            </w:pPr>
            <w:r w:rsidRPr="000C50A5">
              <w:rPr>
                <w:rFonts w:cs="Arial"/>
                <w:b/>
                <w:bCs/>
                <w:color w:val="000000"/>
                <w:sz w:val="16"/>
                <w:szCs w:val="16"/>
              </w:rPr>
              <w:t>897 029</w:t>
            </w:r>
          </w:p>
        </w:tc>
        <w:tc>
          <w:tcPr>
            <w:tcW w:w="1027" w:type="dxa"/>
            <w:shd w:val="clear" w:color="auto" w:fill="BFBFBF" w:themeFill="background1" w:themeFillShade="BF"/>
            <w:vAlign w:val="bottom"/>
          </w:tcPr>
          <w:p w14:paraId="7BBE9E1B" w14:textId="4410CB9E" w:rsidR="000C50A5" w:rsidRPr="000C50A5" w:rsidRDefault="000C50A5" w:rsidP="000C50A5">
            <w:pPr>
              <w:contextualSpacing/>
              <w:jc w:val="right"/>
              <w:rPr>
                <w:rFonts w:cs="Arial"/>
                <w:b/>
                <w:bCs/>
                <w:color w:val="000000"/>
                <w:sz w:val="16"/>
                <w:szCs w:val="16"/>
              </w:rPr>
            </w:pPr>
            <w:r w:rsidRPr="000C50A5">
              <w:rPr>
                <w:rFonts w:cs="Arial"/>
                <w:b/>
                <w:bCs/>
                <w:color w:val="000000"/>
                <w:sz w:val="16"/>
                <w:szCs w:val="16"/>
              </w:rPr>
              <w:t>778 107</w:t>
            </w:r>
          </w:p>
        </w:tc>
        <w:tc>
          <w:tcPr>
            <w:tcW w:w="1027" w:type="dxa"/>
            <w:tcBorders>
              <w:top w:val="nil"/>
              <w:left w:val="single" w:sz="4" w:space="0" w:color="auto"/>
              <w:bottom w:val="single" w:sz="4" w:space="0" w:color="auto"/>
              <w:right w:val="single" w:sz="4" w:space="0" w:color="auto"/>
            </w:tcBorders>
            <w:shd w:val="clear" w:color="auto" w:fill="BFBFBF" w:themeFill="background1" w:themeFillShade="BF"/>
            <w:vAlign w:val="bottom"/>
          </w:tcPr>
          <w:p w14:paraId="68520122" w14:textId="17F76CD8" w:rsidR="000C50A5" w:rsidRPr="000C50A5" w:rsidRDefault="000C50A5" w:rsidP="000C50A5">
            <w:pPr>
              <w:contextualSpacing/>
              <w:jc w:val="right"/>
              <w:rPr>
                <w:rFonts w:cs="Arial"/>
                <w:b/>
                <w:bCs/>
                <w:color w:val="000000"/>
                <w:sz w:val="16"/>
                <w:szCs w:val="16"/>
              </w:rPr>
            </w:pPr>
            <w:r w:rsidRPr="000C50A5">
              <w:rPr>
                <w:rFonts w:cs="Arial"/>
                <w:b/>
                <w:bCs/>
                <w:color w:val="000000"/>
                <w:sz w:val="16"/>
                <w:szCs w:val="16"/>
              </w:rPr>
              <w:t>755</w:t>
            </w:r>
            <w:r w:rsidR="0054323B">
              <w:rPr>
                <w:rFonts w:cs="Arial"/>
                <w:b/>
                <w:bCs/>
                <w:color w:val="000000"/>
                <w:sz w:val="16"/>
                <w:szCs w:val="16"/>
              </w:rPr>
              <w:t xml:space="preserve"> </w:t>
            </w:r>
            <w:r w:rsidRPr="000C50A5">
              <w:rPr>
                <w:rFonts w:cs="Arial"/>
                <w:b/>
                <w:bCs/>
                <w:color w:val="000000"/>
                <w:sz w:val="16"/>
                <w:szCs w:val="16"/>
              </w:rPr>
              <w:t>742</w:t>
            </w:r>
          </w:p>
        </w:tc>
      </w:tr>
      <w:tr w:rsidR="000C50A5" w:rsidRPr="000C50A5" w14:paraId="00294551" w14:textId="029CB539" w:rsidTr="0054323B">
        <w:trPr>
          <w:trHeight w:val="391"/>
        </w:trPr>
        <w:tc>
          <w:tcPr>
            <w:tcW w:w="782" w:type="dxa"/>
            <w:vMerge/>
            <w:shd w:val="clear" w:color="auto" w:fill="BFBFBF"/>
            <w:vAlign w:val="center"/>
            <w:hideMark/>
          </w:tcPr>
          <w:p w14:paraId="3280005C" w14:textId="77777777" w:rsidR="000C50A5" w:rsidRPr="000C50A5" w:rsidRDefault="000C50A5" w:rsidP="000C50A5">
            <w:pPr>
              <w:contextualSpacing/>
              <w:rPr>
                <w:b/>
                <w:sz w:val="16"/>
                <w:szCs w:val="16"/>
              </w:rPr>
            </w:pPr>
          </w:p>
        </w:tc>
        <w:tc>
          <w:tcPr>
            <w:tcW w:w="402" w:type="dxa"/>
            <w:shd w:val="clear" w:color="auto" w:fill="BFBFBF"/>
            <w:noWrap/>
            <w:vAlign w:val="center"/>
            <w:hideMark/>
          </w:tcPr>
          <w:p w14:paraId="739A9911" w14:textId="77777777" w:rsidR="000C50A5" w:rsidRPr="000C50A5" w:rsidRDefault="000C50A5" w:rsidP="000C50A5">
            <w:pPr>
              <w:contextualSpacing/>
              <w:rPr>
                <w:b/>
                <w:sz w:val="16"/>
                <w:szCs w:val="16"/>
              </w:rPr>
            </w:pPr>
            <w:r w:rsidRPr="000C50A5">
              <w:rPr>
                <w:b/>
                <w:sz w:val="16"/>
                <w:szCs w:val="16"/>
              </w:rPr>
              <w:t>b)</w:t>
            </w:r>
          </w:p>
        </w:tc>
        <w:tc>
          <w:tcPr>
            <w:tcW w:w="1023" w:type="dxa"/>
            <w:shd w:val="clear" w:color="auto" w:fill="BFBFBF"/>
            <w:vAlign w:val="center"/>
          </w:tcPr>
          <w:p w14:paraId="0CEF249A" w14:textId="6D487F44" w:rsidR="000C50A5" w:rsidRPr="000C50A5" w:rsidRDefault="000C50A5" w:rsidP="000C50A5">
            <w:pPr>
              <w:ind w:left="-28" w:firstLineChars="100" w:firstLine="161"/>
              <w:contextualSpacing/>
              <w:jc w:val="right"/>
              <w:rPr>
                <w:b/>
                <w:sz w:val="16"/>
                <w:szCs w:val="16"/>
              </w:rPr>
            </w:pPr>
            <w:r w:rsidRPr="000C50A5">
              <w:rPr>
                <w:b/>
                <w:sz w:val="16"/>
                <w:szCs w:val="16"/>
              </w:rPr>
              <w:t>307 467</w:t>
            </w:r>
          </w:p>
        </w:tc>
        <w:tc>
          <w:tcPr>
            <w:tcW w:w="1023" w:type="dxa"/>
            <w:shd w:val="clear" w:color="auto" w:fill="BFBFBF"/>
            <w:noWrap/>
            <w:vAlign w:val="center"/>
          </w:tcPr>
          <w:p w14:paraId="4D5BF280" w14:textId="1147575B" w:rsidR="000C50A5" w:rsidRPr="000C50A5" w:rsidRDefault="000C50A5" w:rsidP="000C50A5">
            <w:pPr>
              <w:ind w:right="-6" w:firstLineChars="100" w:firstLine="161"/>
              <w:contextualSpacing/>
              <w:jc w:val="right"/>
              <w:rPr>
                <w:b/>
                <w:sz w:val="16"/>
                <w:szCs w:val="16"/>
              </w:rPr>
            </w:pPr>
            <w:r w:rsidRPr="000C50A5">
              <w:rPr>
                <w:b/>
                <w:sz w:val="16"/>
                <w:szCs w:val="16"/>
              </w:rPr>
              <w:t>315 666</w:t>
            </w:r>
          </w:p>
        </w:tc>
        <w:tc>
          <w:tcPr>
            <w:tcW w:w="1023" w:type="dxa"/>
            <w:shd w:val="clear" w:color="auto" w:fill="BFBFBF"/>
            <w:vAlign w:val="center"/>
          </w:tcPr>
          <w:p w14:paraId="5B72E813" w14:textId="78EEF713" w:rsidR="000C50A5" w:rsidRPr="000C50A5" w:rsidRDefault="000C50A5" w:rsidP="000C50A5">
            <w:pPr>
              <w:ind w:firstLineChars="100" w:firstLine="161"/>
              <w:contextualSpacing/>
              <w:jc w:val="right"/>
              <w:rPr>
                <w:b/>
                <w:sz w:val="16"/>
                <w:szCs w:val="16"/>
              </w:rPr>
            </w:pPr>
            <w:r w:rsidRPr="000C50A5">
              <w:rPr>
                <w:b/>
                <w:sz w:val="16"/>
                <w:szCs w:val="16"/>
              </w:rPr>
              <w:t>321 365</w:t>
            </w:r>
          </w:p>
        </w:tc>
        <w:tc>
          <w:tcPr>
            <w:tcW w:w="1023" w:type="dxa"/>
            <w:shd w:val="clear" w:color="auto" w:fill="BFBFBF"/>
            <w:vAlign w:val="center"/>
          </w:tcPr>
          <w:p w14:paraId="623DF6FE" w14:textId="02899CE0" w:rsidR="000C50A5" w:rsidRPr="000C50A5" w:rsidRDefault="000C50A5" w:rsidP="000C50A5">
            <w:pPr>
              <w:ind w:right="72" w:firstLineChars="100" w:firstLine="161"/>
              <w:contextualSpacing/>
              <w:jc w:val="right"/>
              <w:rPr>
                <w:b/>
                <w:sz w:val="16"/>
                <w:szCs w:val="16"/>
              </w:rPr>
            </w:pPr>
            <w:r w:rsidRPr="000C50A5">
              <w:rPr>
                <w:b/>
                <w:sz w:val="16"/>
                <w:szCs w:val="16"/>
              </w:rPr>
              <w:t>321 078</w:t>
            </w:r>
          </w:p>
        </w:tc>
        <w:tc>
          <w:tcPr>
            <w:tcW w:w="1023" w:type="dxa"/>
            <w:shd w:val="clear" w:color="auto" w:fill="BFBFBF"/>
            <w:vAlign w:val="center"/>
          </w:tcPr>
          <w:p w14:paraId="7E396328" w14:textId="7453F259" w:rsidR="000C50A5" w:rsidRPr="000C50A5" w:rsidRDefault="000C50A5" w:rsidP="000C50A5">
            <w:pPr>
              <w:ind w:right="71"/>
              <w:contextualSpacing/>
              <w:jc w:val="right"/>
              <w:rPr>
                <w:b/>
                <w:sz w:val="16"/>
                <w:szCs w:val="16"/>
              </w:rPr>
            </w:pPr>
            <w:r w:rsidRPr="000C50A5">
              <w:rPr>
                <w:rFonts w:cs="Arial"/>
                <w:b/>
                <w:bCs/>
                <w:sz w:val="16"/>
                <w:szCs w:val="16"/>
              </w:rPr>
              <w:t>308 161</w:t>
            </w:r>
          </w:p>
        </w:tc>
        <w:tc>
          <w:tcPr>
            <w:tcW w:w="1024" w:type="dxa"/>
            <w:shd w:val="clear" w:color="auto" w:fill="BFBFBF"/>
            <w:vAlign w:val="bottom"/>
          </w:tcPr>
          <w:p w14:paraId="7A9E0384" w14:textId="53852A48" w:rsidR="000C50A5" w:rsidRPr="000C50A5" w:rsidRDefault="000C50A5" w:rsidP="000C50A5">
            <w:pPr>
              <w:contextualSpacing/>
              <w:jc w:val="center"/>
              <w:rPr>
                <w:b/>
                <w:sz w:val="16"/>
                <w:szCs w:val="16"/>
              </w:rPr>
            </w:pPr>
            <w:r w:rsidRPr="000C50A5">
              <w:rPr>
                <w:rFonts w:cs="Arial"/>
                <w:b/>
                <w:sz w:val="16"/>
                <w:szCs w:val="16"/>
              </w:rPr>
              <w:t>301 824</w:t>
            </w:r>
          </w:p>
        </w:tc>
        <w:tc>
          <w:tcPr>
            <w:tcW w:w="1024" w:type="dxa"/>
            <w:shd w:val="clear" w:color="auto" w:fill="BFBFBF" w:themeFill="background1" w:themeFillShade="BF"/>
            <w:vAlign w:val="bottom"/>
          </w:tcPr>
          <w:p w14:paraId="1AF9E740" w14:textId="1E538764" w:rsidR="000C50A5" w:rsidRPr="000C50A5" w:rsidRDefault="000C50A5" w:rsidP="000C50A5">
            <w:pPr>
              <w:contextualSpacing/>
              <w:jc w:val="right"/>
              <w:rPr>
                <w:b/>
                <w:sz w:val="16"/>
                <w:szCs w:val="16"/>
              </w:rPr>
            </w:pPr>
            <w:r w:rsidRPr="000C50A5">
              <w:rPr>
                <w:rFonts w:cs="Arial"/>
                <w:b/>
                <w:bCs/>
                <w:color w:val="000000"/>
                <w:sz w:val="16"/>
                <w:szCs w:val="16"/>
              </w:rPr>
              <w:t>304 679</w:t>
            </w:r>
          </w:p>
        </w:tc>
        <w:tc>
          <w:tcPr>
            <w:tcW w:w="1024" w:type="dxa"/>
            <w:shd w:val="clear" w:color="auto" w:fill="BFBFBF" w:themeFill="background1" w:themeFillShade="BF"/>
            <w:vAlign w:val="bottom"/>
          </w:tcPr>
          <w:p w14:paraId="750421DC" w14:textId="4BDE2A7D" w:rsidR="000C50A5" w:rsidRPr="000C50A5" w:rsidRDefault="000C50A5" w:rsidP="000C50A5">
            <w:pPr>
              <w:contextualSpacing/>
              <w:jc w:val="right"/>
              <w:rPr>
                <w:rFonts w:cs="Arial"/>
                <w:b/>
                <w:bCs/>
                <w:color w:val="000000"/>
                <w:sz w:val="16"/>
                <w:szCs w:val="16"/>
              </w:rPr>
            </w:pPr>
            <w:r w:rsidRPr="000C50A5">
              <w:rPr>
                <w:rFonts w:cs="Arial"/>
                <w:b/>
                <w:bCs/>
                <w:color w:val="000000"/>
                <w:sz w:val="16"/>
                <w:szCs w:val="16"/>
              </w:rPr>
              <w:t>303 550</w:t>
            </w:r>
          </w:p>
        </w:tc>
        <w:tc>
          <w:tcPr>
            <w:tcW w:w="1027" w:type="dxa"/>
            <w:shd w:val="clear" w:color="auto" w:fill="BFBFBF" w:themeFill="background1" w:themeFillShade="BF"/>
            <w:vAlign w:val="bottom"/>
          </w:tcPr>
          <w:p w14:paraId="39228205" w14:textId="53604F87" w:rsidR="000C50A5" w:rsidRPr="000C50A5" w:rsidRDefault="000C50A5" w:rsidP="000C50A5">
            <w:pPr>
              <w:contextualSpacing/>
              <w:jc w:val="right"/>
              <w:rPr>
                <w:rFonts w:cs="Arial"/>
                <w:b/>
                <w:bCs/>
                <w:color w:val="000000"/>
                <w:sz w:val="16"/>
                <w:szCs w:val="16"/>
              </w:rPr>
            </w:pPr>
            <w:r w:rsidRPr="000C50A5">
              <w:rPr>
                <w:rFonts w:cs="Arial"/>
                <w:b/>
                <w:bCs/>
                <w:color w:val="000000"/>
                <w:sz w:val="16"/>
                <w:szCs w:val="16"/>
              </w:rPr>
              <w:t>305 511</w:t>
            </w:r>
          </w:p>
        </w:tc>
        <w:tc>
          <w:tcPr>
            <w:tcW w:w="1027" w:type="dxa"/>
            <w:tcBorders>
              <w:top w:val="nil"/>
              <w:left w:val="single" w:sz="4" w:space="0" w:color="auto"/>
              <w:bottom w:val="single" w:sz="4" w:space="0" w:color="auto"/>
              <w:right w:val="single" w:sz="4" w:space="0" w:color="auto"/>
            </w:tcBorders>
            <w:shd w:val="clear" w:color="auto" w:fill="BFBFBF" w:themeFill="background1" w:themeFillShade="BF"/>
            <w:vAlign w:val="bottom"/>
          </w:tcPr>
          <w:p w14:paraId="50E109F9" w14:textId="0A176ACC" w:rsidR="000C50A5" w:rsidRPr="000C50A5" w:rsidRDefault="000C50A5" w:rsidP="000C50A5">
            <w:pPr>
              <w:contextualSpacing/>
              <w:jc w:val="right"/>
              <w:rPr>
                <w:rFonts w:cs="Arial"/>
                <w:b/>
                <w:bCs/>
                <w:color w:val="000000"/>
                <w:sz w:val="16"/>
                <w:szCs w:val="16"/>
              </w:rPr>
            </w:pPr>
            <w:r w:rsidRPr="000C50A5">
              <w:rPr>
                <w:rFonts w:cs="Arial"/>
                <w:b/>
                <w:bCs/>
                <w:color w:val="000000"/>
                <w:sz w:val="16"/>
                <w:szCs w:val="16"/>
              </w:rPr>
              <w:t>308</w:t>
            </w:r>
            <w:r w:rsidR="0054323B">
              <w:rPr>
                <w:rFonts w:cs="Arial"/>
                <w:b/>
                <w:bCs/>
                <w:color w:val="000000"/>
                <w:sz w:val="16"/>
                <w:szCs w:val="16"/>
              </w:rPr>
              <w:t xml:space="preserve"> </w:t>
            </w:r>
            <w:r w:rsidRPr="000C50A5">
              <w:rPr>
                <w:rFonts w:cs="Arial"/>
                <w:b/>
                <w:bCs/>
                <w:color w:val="000000"/>
                <w:sz w:val="16"/>
                <w:szCs w:val="16"/>
              </w:rPr>
              <w:t>434</w:t>
            </w:r>
          </w:p>
        </w:tc>
      </w:tr>
    </w:tbl>
    <w:p w14:paraId="4A54D758" w14:textId="16BC695D" w:rsidR="005C3DF4" w:rsidRPr="000C50A5" w:rsidRDefault="005C3DF4" w:rsidP="007C4955">
      <w:pPr>
        <w:contextualSpacing/>
        <w:rPr>
          <w:rFonts w:cs="Arial"/>
          <w:i/>
          <w:sz w:val="20"/>
          <w:szCs w:val="20"/>
        </w:rPr>
      </w:pPr>
      <w:r w:rsidRPr="000C50A5">
        <w:rPr>
          <w:rFonts w:cs="Arial"/>
          <w:i/>
          <w:sz w:val="20"/>
          <w:szCs w:val="20"/>
        </w:rPr>
        <w:t xml:space="preserve">Pramen: </w:t>
      </w:r>
      <w:r w:rsidR="00340859" w:rsidRPr="000C50A5">
        <w:rPr>
          <w:rFonts w:cs="Arial"/>
          <w:i/>
          <w:sz w:val="20"/>
          <w:szCs w:val="20"/>
        </w:rPr>
        <w:t>s</w:t>
      </w:r>
      <w:r w:rsidRPr="000C50A5">
        <w:rPr>
          <w:rFonts w:cs="Arial"/>
          <w:i/>
          <w:sz w:val="20"/>
          <w:szCs w:val="20"/>
        </w:rPr>
        <w:t>. p. Povodí</w:t>
      </w:r>
    </w:p>
    <w:p w14:paraId="33D6172C" w14:textId="77777777" w:rsidR="005C3DF4" w:rsidRPr="000C50A5" w:rsidRDefault="005C3DF4" w:rsidP="007C4955">
      <w:pPr>
        <w:contextualSpacing/>
        <w:rPr>
          <w:rFonts w:cs="Arial"/>
          <w:i/>
          <w:sz w:val="20"/>
          <w:szCs w:val="20"/>
        </w:rPr>
      </w:pPr>
      <w:r w:rsidRPr="000C50A5">
        <w:rPr>
          <w:rFonts w:cs="Arial"/>
          <w:i/>
          <w:sz w:val="20"/>
          <w:szCs w:val="20"/>
        </w:rPr>
        <w:t xml:space="preserve">Pozn.: </w:t>
      </w:r>
      <w:r w:rsidRPr="000C50A5">
        <w:rPr>
          <w:rFonts w:cs="Arial"/>
          <w:i/>
          <w:sz w:val="20"/>
          <w:szCs w:val="20"/>
        </w:rPr>
        <w:tab/>
        <w:t>a) za úplatu celkem,</w:t>
      </w:r>
    </w:p>
    <w:p w14:paraId="1FE450DF" w14:textId="6FDFB05A" w:rsidR="00A7013E" w:rsidRPr="000C50A5" w:rsidRDefault="005C3DF4" w:rsidP="007C4955">
      <w:pPr>
        <w:contextualSpacing/>
        <w:rPr>
          <w:rFonts w:cs="Arial"/>
          <w:i/>
          <w:sz w:val="20"/>
          <w:szCs w:val="20"/>
        </w:rPr>
      </w:pPr>
      <w:r w:rsidRPr="000C50A5">
        <w:rPr>
          <w:rFonts w:cs="Arial"/>
          <w:i/>
          <w:sz w:val="20"/>
          <w:szCs w:val="20"/>
        </w:rPr>
        <w:tab/>
        <w:t>b) z toho pro vodovody pro veřejnou potřebu</w:t>
      </w:r>
      <w:r w:rsidR="009D4F32" w:rsidRPr="000C50A5">
        <w:rPr>
          <w:rFonts w:cs="Arial"/>
          <w:i/>
          <w:sz w:val="20"/>
          <w:szCs w:val="20"/>
        </w:rPr>
        <w:t>.</w:t>
      </w:r>
    </w:p>
    <w:p w14:paraId="0BB8694C" w14:textId="77777777" w:rsidR="00993C98" w:rsidRPr="00104F7D" w:rsidRDefault="00993C98" w:rsidP="007C4955">
      <w:pPr>
        <w:contextualSpacing/>
        <w:rPr>
          <w:b/>
          <w:i/>
          <w:highlight w:val="yellow"/>
        </w:rPr>
      </w:pPr>
    </w:p>
    <w:p w14:paraId="32173069" w14:textId="56DA31E1" w:rsidR="009D4F32" w:rsidRPr="0028130C" w:rsidRDefault="009D4F32" w:rsidP="007C4955">
      <w:pPr>
        <w:contextualSpacing/>
        <w:rPr>
          <w:b/>
          <w:i/>
        </w:rPr>
      </w:pPr>
      <w:r w:rsidRPr="0028130C">
        <w:rPr>
          <w:b/>
          <w:i/>
        </w:rPr>
        <w:t xml:space="preserve">Graf 6.2.3     </w:t>
      </w:r>
    </w:p>
    <w:p w14:paraId="3EA8F4E6" w14:textId="4C790CF8" w:rsidR="00FC217A" w:rsidRPr="0028130C" w:rsidRDefault="009D4F32" w:rsidP="007C4955">
      <w:pPr>
        <w:contextualSpacing/>
        <w:rPr>
          <w:b/>
          <w:i/>
        </w:rPr>
      </w:pPr>
      <w:r w:rsidRPr="0028130C">
        <w:rPr>
          <w:b/>
          <w:i/>
        </w:rPr>
        <w:t>Dodávky vody v územní působnosti státních podniků Povodí za úplatu dle účelu v roce 20</w:t>
      </w:r>
      <w:r w:rsidR="004F7B4F" w:rsidRPr="0028130C">
        <w:rPr>
          <w:b/>
          <w:i/>
        </w:rPr>
        <w:t>2</w:t>
      </w:r>
      <w:r w:rsidR="0028130C" w:rsidRPr="0028130C">
        <w:rPr>
          <w:b/>
          <w:i/>
        </w:rPr>
        <w:t>5</w:t>
      </w:r>
    </w:p>
    <w:p w14:paraId="72C803B4" w14:textId="0F315B70" w:rsidR="009D4F32" w:rsidRPr="0028130C" w:rsidRDefault="0028130C" w:rsidP="007C4955">
      <w:pPr>
        <w:contextualSpacing/>
        <w:rPr>
          <w:b/>
          <w:i/>
          <w:color w:val="FF0000"/>
        </w:rPr>
      </w:pPr>
      <w:r w:rsidRPr="0028130C">
        <w:rPr>
          <w:noProof/>
        </w:rPr>
        <w:drawing>
          <wp:inline distT="0" distB="0" distL="0" distR="0" wp14:anchorId="738D9F64" wp14:editId="7C1E9B3E">
            <wp:extent cx="5267325" cy="2066925"/>
            <wp:effectExtent l="0" t="0" r="9525" b="9525"/>
            <wp:docPr id="469153277" name="Graf 1">
              <a:extLst xmlns:a="http://schemas.openxmlformats.org/drawingml/2006/main">
                <a:ext uri="{FF2B5EF4-FFF2-40B4-BE49-F238E27FC236}">
                  <a16:creationId xmlns:a16="http://schemas.microsoft.com/office/drawing/2014/main" id="{499E30C7-56C0-CBCF-6640-20D9997B36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7E42FCA9" w14:textId="5522CF9A" w:rsidR="009D4F32" w:rsidRPr="0028130C" w:rsidRDefault="009D4F32" w:rsidP="007C4955">
      <w:pPr>
        <w:contextualSpacing/>
        <w:rPr>
          <w:rFonts w:cs="Arial"/>
          <w:i/>
          <w:sz w:val="20"/>
          <w:szCs w:val="20"/>
        </w:rPr>
      </w:pPr>
      <w:r w:rsidRPr="0028130C">
        <w:rPr>
          <w:rFonts w:cs="Arial"/>
          <w:i/>
          <w:sz w:val="20"/>
          <w:szCs w:val="20"/>
        </w:rPr>
        <w:t xml:space="preserve">Pramen: </w:t>
      </w:r>
      <w:r w:rsidR="00340859" w:rsidRPr="0028130C">
        <w:rPr>
          <w:rFonts w:cs="Arial"/>
          <w:i/>
          <w:sz w:val="20"/>
          <w:szCs w:val="20"/>
        </w:rPr>
        <w:t>s</w:t>
      </w:r>
      <w:r w:rsidRPr="0028130C">
        <w:rPr>
          <w:rFonts w:cs="Arial"/>
          <w:i/>
          <w:sz w:val="20"/>
          <w:szCs w:val="20"/>
        </w:rPr>
        <w:t>. p. Povodí</w:t>
      </w:r>
    </w:p>
    <w:p w14:paraId="3FFDA53F" w14:textId="133D65C6" w:rsidR="00FC217A" w:rsidRPr="008472F9" w:rsidRDefault="00FC217A" w:rsidP="00FC217A">
      <w:pPr>
        <w:spacing w:before="240" w:after="240"/>
        <w:rPr>
          <w:rFonts w:cs="Arial"/>
          <w:b/>
        </w:rPr>
      </w:pPr>
      <w:r w:rsidRPr="008472F9">
        <w:rPr>
          <w:rFonts w:cs="Arial"/>
          <w:b/>
        </w:rPr>
        <w:t>Průměrná cena za ostatní odběry povrchové vody za m</w:t>
      </w:r>
      <w:r w:rsidRPr="008472F9">
        <w:rPr>
          <w:rFonts w:cs="Arial"/>
          <w:b/>
          <w:vertAlign w:val="superscript"/>
        </w:rPr>
        <w:t xml:space="preserve">3 </w:t>
      </w:r>
      <w:r w:rsidRPr="008472F9">
        <w:rPr>
          <w:rFonts w:cs="Arial"/>
          <w:b/>
        </w:rPr>
        <w:t>v roce 202</w:t>
      </w:r>
      <w:r w:rsidR="008472F9">
        <w:rPr>
          <w:rFonts w:cs="Arial"/>
          <w:b/>
        </w:rPr>
        <w:t>5</w:t>
      </w:r>
      <w:r w:rsidRPr="008472F9">
        <w:rPr>
          <w:rFonts w:cs="Arial"/>
          <w:b/>
        </w:rPr>
        <w:t xml:space="preserve"> byla </w:t>
      </w:r>
      <w:r w:rsidR="00A833A3" w:rsidRPr="008472F9">
        <w:rPr>
          <w:rFonts w:cs="Arial"/>
          <w:b/>
        </w:rPr>
        <w:t>6,</w:t>
      </w:r>
      <w:r w:rsidR="005031A1">
        <w:rPr>
          <w:rFonts w:cs="Arial"/>
          <w:b/>
        </w:rPr>
        <w:t>7</w:t>
      </w:r>
      <w:r w:rsidRPr="008472F9">
        <w:rPr>
          <w:rFonts w:cs="Arial"/>
          <w:b/>
        </w:rPr>
        <w:t xml:space="preserve"> Kč, oproti minulému roku se zvýšila o </w:t>
      </w:r>
      <w:r w:rsidR="002E67A5">
        <w:rPr>
          <w:rFonts w:cs="Arial"/>
          <w:b/>
        </w:rPr>
        <w:t>1,5</w:t>
      </w:r>
      <w:r w:rsidRPr="008472F9">
        <w:rPr>
          <w:rFonts w:cs="Arial"/>
          <w:b/>
        </w:rPr>
        <w:t xml:space="preserve"> %. </w:t>
      </w:r>
      <w:r w:rsidR="005942E8" w:rsidRPr="008472F9">
        <w:rPr>
          <w:rFonts w:cs="Arial"/>
          <w:b/>
          <w:bCs/>
          <w:color w:val="000000"/>
        </w:rPr>
        <w:t>Cena povrchové vody odebrané z vodních toků a ostatních povrchových vod je věcně usměrňovanou cenou, do níž lze promítnout pouze ekonomicky oprávněné náklady, přiměřený zisk a daň podle příslušných daňových předpisů.</w:t>
      </w:r>
    </w:p>
    <w:p w14:paraId="00B94279" w14:textId="7CA59436" w:rsidR="00FC217A" w:rsidRPr="008472F9" w:rsidRDefault="00FC217A" w:rsidP="00FC217A">
      <w:pPr>
        <w:rPr>
          <w:rStyle w:val="ModrzprvaChar"/>
          <w:b w:val="0"/>
          <w:color w:val="FF0000"/>
        </w:rPr>
      </w:pPr>
      <w:r w:rsidRPr="008472F9">
        <w:rPr>
          <w:rFonts w:cs="Arial"/>
        </w:rPr>
        <w:t>Kromě průtočného chlazení a ostatních odběrů se od roku 2003 zjišťují i úrovně odběrů a ceny povrchové vody pro účely zpoplatněných zemědělských závlah a zatápění umělých prohlubní terénu. Odběry pro účely zemědělských závlah se v roce 202</w:t>
      </w:r>
      <w:r w:rsidR="006A4CBA">
        <w:rPr>
          <w:rFonts w:cs="Arial"/>
        </w:rPr>
        <w:t>5</w:t>
      </w:r>
      <w:r w:rsidRPr="008472F9">
        <w:rPr>
          <w:rFonts w:cs="Arial"/>
        </w:rPr>
        <w:t xml:space="preserve"> realizovaly v územní působnosti všech s. p. Povodí, s výjimkou územní působnosti Povodí Odry a Povodí Moravy. Tyto odběry představovaly </w:t>
      </w:r>
      <w:r w:rsidRPr="002F13AD">
        <w:rPr>
          <w:rFonts w:cs="Arial"/>
        </w:rPr>
        <w:t xml:space="preserve">celkem </w:t>
      </w:r>
      <w:r w:rsidR="002F13AD" w:rsidRPr="002F13AD">
        <w:rPr>
          <w:rFonts w:cs="Arial"/>
        </w:rPr>
        <w:t>395</w:t>
      </w:r>
      <w:r w:rsidRPr="002F13AD">
        <w:rPr>
          <w:rFonts w:cs="Arial"/>
        </w:rPr>
        <w:t> tis. m</w:t>
      </w:r>
      <w:r w:rsidRPr="002F13AD">
        <w:rPr>
          <w:rFonts w:cs="Arial"/>
          <w:vertAlign w:val="superscript"/>
        </w:rPr>
        <w:t>3</w:t>
      </w:r>
      <w:r w:rsidRPr="002F13AD">
        <w:rPr>
          <w:rFonts w:cs="Arial"/>
        </w:rPr>
        <w:t>, došlo k</w:t>
      </w:r>
      <w:r w:rsidR="00242DDB" w:rsidRPr="002F13AD">
        <w:rPr>
          <w:rFonts w:cs="Arial"/>
        </w:rPr>
        <w:t> </w:t>
      </w:r>
      <w:r w:rsidRPr="002F13AD">
        <w:rPr>
          <w:rFonts w:cs="Arial"/>
        </w:rPr>
        <w:t>meziročnímu</w:t>
      </w:r>
      <w:r w:rsidR="00242DDB" w:rsidRPr="002F13AD">
        <w:rPr>
          <w:rFonts w:cs="Arial"/>
        </w:rPr>
        <w:t xml:space="preserve"> </w:t>
      </w:r>
      <w:r w:rsidR="00B77466" w:rsidRPr="002F13AD">
        <w:rPr>
          <w:rFonts w:cs="Arial"/>
        </w:rPr>
        <w:t>nárůstu</w:t>
      </w:r>
      <w:r w:rsidRPr="002F13AD">
        <w:rPr>
          <w:rFonts w:cs="Arial"/>
        </w:rPr>
        <w:t>.</w:t>
      </w:r>
      <w:r w:rsidRPr="008472F9">
        <w:rPr>
          <w:rFonts w:cs="Arial"/>
        </w:rPr>
        <w:t xml:space="preserve"> Odběry povrchové vody pro zatápění umělých prohlubní v terénu ve sledovaném roce opět </w:t>
      </w:r>
      <w:r w:rsidRPr="008472F9">
        <w:rPr>
          <w:rStyle w:val="ModrzprvaChar"/>
          <w:b w:val="0"/>
        </w:rPr>
        <w:t xml:space="preserve">nezaznamenal žádný s. p. Povodí. </w:t>
      </w:r>
    </w:p>
    <w:p w14:paraId="5E37D49A" w14:textId="77777777" w:rsidR="00657F2A" w:rsidRPr="00104F7D" w:rsidRDefault="00657F2A" w:rsidP="007C4955">
      <w:pPr>
        <w:contextualSpacing/>
        <w:rPr>
          <w:rFonts w:cs="Arial"/>
          <w:b/>
          <w:color w:val="FF0000"/>
          <w:highlight w:val="yellow"/>
        </w:rPr>
      </w:pPr>
    </w:p>
    <w:p w14:paraId="1EE3FE13" w14:textId="77777777" w:rsidR="00C1173A" w:rsidRPr="002D6632" w:rsidRDefault="00C1173A" w:rsidP="007C4955">
      <w:pPr>
        <w:contextualSpacing/>
        <w:rPr>
          <w:b/>
          <w:i/>
        </w:rPr>
      </w:pPr>
      <w:bookmarkStart w:id="68" w:name="_Toc482564966"/>
      <w:r w:rsidRPr="002D6632">
        <w:rPr>
          <w:b/>
          <w:i/>
        </w:rPr>
        <w:t>Tabulka 6.2.</w:t>
      </w:r>
      <w:bookmarkEnd w:id="68"/>
      <w:r w:rsidR="0069387B" w:rsidRPr="002D6632">
        <w:rPr>
          <w:b/>
          <w:i/>
        </w:rPr>
        <w:t xml:space="preserve">6 </w:t>
      </w:r>
    </w:p>
    <w:p w14:paraId="2B96F3F3" w14:textId="0F21E89D" w:rsidR="00C1173A" w:rsidRPr="002D6632" w:rsidRDefault="00C1173A" w:rsidP="007C4955">
      <w:pPr>
        <w:contextualSpacing/>
        <w:rPr>
          <w:b/>
          <w:i/>
          <w:vertAlign w:val="superscript"/>
        </w:rPr>
      </w:pPr>
      <w:bookmarkStart w:id="69" w:name="_Toc482564967"/>
      <w:r w:rsidRPr="002D6632">
        <w:rPr>
          <w:b/>
          <w:i/>
        </w:rPr>
        <w:t xml:space="preserve">Cena za odběry </w:t>
      </w:r>
      <w:r w:rsidR="00437C95" w:rsidRPr="002D6632">
        <w:rPr>
          <w:b/>
          <w:i/>
        </w:rPr>
        <w:t xml:space="preserve">povrchové vody </w:t>
      </w:r>
      <w:r w:rsidRPr="002D6632">
        <w:rPr>
          <w:b/>
          <w:i/>
        </w:rPr>
        <w:t>pro průtočné chlazení v letech 201</w:t>
      </w:r>
      <w:r w:rsidR="007375E5" w:rsidRPr="002D6632">
        <w:rPr>
          <w:b/>
          <w:i/>
        </w:rPr>
        <w:t>6</w:t>
      </w:r>
      <w:r w:rsidRPr="002D6632">
        <w:rPr>
          <w:b/>
          <w:i/>
        </w:rPr>
        <w:t>–20</w:t>
      </w:r>
      <w:bookmarkEnd w:id="69"/>
      <w:r w:rsidR="00657F2A" w:rsidRPr="002D6632">
        <w:rPr>
          <w:b/>
          <w:i/>
        </w:rPr>
        <w:t>2</w:t>
      </w:r>
      <w:r w:rsidR="005D677F">
        <w:rPr>
          <w:b/>
          <w:i/>
        </w:rPr>
        <w:t>5</w:t>
      </w:r>
    </w:p>
    <w:tbl>
      <w:tblPr>
        <w:tblW w:w="957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8"/>
        <w:gridCol w:w="850"/>
        <w:gridCol w:w="850"/>
        <w:gridCol w:w="850"/>
        <w:gridCol w:w="850"/>
        <w:gridCol w:w="850"/>
        <w:gridCol w:w="935"/>
        <w:gridCol w:w="902"/>
        <w:gridCol w:w="890"/>
        <w:gridCol w:w="827"/>
        <w:gridCol w:w="751"/>
      </w:tblGrid>
      <w:tr w:rsidR="0008333C" w:rsidRPr="002D6632" w14:paraId="303D7B06" w14:textId="4AD945C7" w:rsidTr="0008333C">
        <w:trPr>
          <w:trHeight w:val="20"/>
        </w:trPr>
        <w:tc>
          <w:tcPr>
            <w:tcW w:w="1018" w:type="dxa"/>
            <w:vMerge w:val="restart"/>
            <w:shd w:val="clear" w:color="auto" w:fill="BFBFBF"/>
            <w:vAlign w:val="center"/>
            <w:hideMark/>
          </w:tcPr>
          <w:p w14:paraId="59196AF9" w14:textId="77777777" w:rsidR="0008333C" w:rsidRPr="002D6632" w:rsidRDefault="0008333C" w:rsidP="007375E5">
            <w:pPr>
              <w:contextualSpacing/>
              <w:rPr>
                <w:rFonts w:cs="Arial"/>
                <w:b/>
                <w:bCs/>
                <w:sz w:val="18"/>
                <w:szCs w:val="18"/>
              </w:rPr>
            </w:pPr>
            <w:r w:rsidRPr="002D6632">
              <w:rPr>
                <w:rFonts w:cs="Arial"/>
                <w:b/>
                <w:bCs/>
                <w:sz w:val="18"/>
                <w:szCs w:val="18"/>
              </w:rPr>
              <w:t>Státní podnik Povodí</w:t>
            </w:r>
          </w:p>
        </w:tc>
        <w:tc>
          <w:tcPr>
            <w:tcW w:w="850" w:type="dxa"/>
            <w:shd w:val="clear" w:color="auto" w:fill="BFBFBF"/>
            <w:vAlign w:val="center"/>
          </w:tcPr>
          <w:p w14:paraId="3F29A70D" w14:textId="44C46D02" w:rsidR="0008333C" w:rsidRPr="002D6632" w:rsidRDefault="0008333C" w:rsidP="007375E5">
            <w:pPr>
              <w:contextualSpacing/>
              <w:jc w:val="center"/>
              <w:rPr>
                <w:rFonts w:cs="Arial"/>
                <w:b/>
                <w:bCs/>
                <w:sz w:val="18"/>
                <w:szCs w:val="18"/>
              </w:rPr>
            </w:pPr>
            <w:r w:rsidRPr="002D6632">
              <w:rPr>
                <w:rFonts w:cs="Arial"/>
                <w:b/>
                <w:bCs/>
                <w:sz w:val="18"/>
                <w:szCs w:val="18"/>
              </w:rPr>
              <w:t>2016</w:t>
            </w:r>
          </w:p>
        </w:tc>
        <w:tc>
          <w:tcPr>
            <w:tcW w:w="850" w:type="dxa"/>
            <w:shd w:val="clear" w:color="auto" w:fill="BFBFBF"/>
            <w:vAlign w:val="center"/>
          </w:tcPr>
          <w:p w14:paraId="3BFA7A56" w14:textId="3E96AD36" w:rsidR="0008333C" w:rsidRPr="002D6632" w:rsidRDefault="0008333C" w:rsidP="007375E5">
            <w:pPr>
              <w:contextualSpacing/>
              <w:jc w:val="center"/>
              <w:rPr>
                <w:rFonts w:cs="Arial"/>
                <w:b/>
                <w:bCs/>
                <w:sz w:val="18"/>
                <w:szCs w:val="18"/>
              </w:rPr>
            </w:pPr>
            <w:r w:rsidRPr="002D6632">
              <w:rPr>
                <w:rFonts w:cs="Arial"/>
                <w:b/>
                <w:bCs/>
                <w:sz w:val="18"/>
                <w:szCs w:val="18"/>
              </w:rPr>
              <w:t>2017</w:t>
            </w:r>
          </w:p>
        </w:tc>
        <w:tc>
          <w:tcPr>
            <w:tcW w:w="850" w:type="dxa"/>
            <w:shd w:val="clear" w:color="auto" w:fill="BFBFBF"/>
            <w:vAlign w:val="center"/>
          </w:tcPr>
          <w:p w14:paraId="1333FC34" w14:textId="357FC609" w:rsidR="0008333C" w:rsidRPr="002D6632" w:rsidRDefault="0008333C" w:rsidP="007375E5">
            <w:pPr>
              <w:contextualSpacing/>
              <w:jc w:val="center"/>
              <w:rPr>
                <w:rFonts w:cs="Arial"/>
                <w:b/>
                <w:bCs/>
                <w:sz w:val="18"/>
                <w:szCs w:val="18"/>
              </w:rPr>
            </w:pPr>
            <w:r w:rsidRPr="002D6632">
              <w:rPr>
                <w:rFonts w:cs="Arial"/>
                <w:b/>
                <w:bCs/>
                <w:sz w:val="18"/>
                <w:szCs w:val="18"/>
              </w:rPr>
              <w:t>2018</w:t>
            </w:r>
          </w:p>
        </w:tc>
        <w:tc>
          <w:tcPr>
            <w:tcW w:w="850" w:type="dxa"/>
            <w:shd w:val="clear" w:color="auto" w:fill="BFBFBF"/>
          </w:tcPr>
          <w:p w14:paraId="4C5F0AE4" w14:textId="01DD23CF" w:rsidR="0008333C" w:rsidRPr="002D6632" w:rsidRDefault="0008333C" w:rsidP="007375E5">
            <w:pPr>
              <w:contextualSpacing/>
              <w:jc w:val="center"/>
              <w:rPr>
                <w:rFonts w:cs="Arial"/>
                <w:b/>
                <w:bCs/>
                <w:sz w:val="18"/>
                <w:szCs w:val="18"/>
              </w:rPr>
            </w:pPr>
            <w:r w:rsidRPr="002D6632">
              <w:rPr>
                <w:rFonts w:cs="Arial"/>
                <w:b/>
                <w:bCs/>
                <w:sz w:val="18"/>
                <w:szCs w:val="18"/>
              </w:rPr>
              <w:t>2019</w:t>
            </w:r>
          </w:p>
        </w:tc>
        <w:tc>
          <w:tcPr>
            <w:tcW w:w="850" w:type="dxa"/>
            <w:shd w:val="clear" w:color="auto" w:fill="BFBFBF"/>
          </w:tcPr>
          <w:p w14:paraId="7531A8E9" w14:textId="1BB37C31" w:rsidR="0008333C" w:rsidRPr="002D6632" w:rsidRDefault="0008333C" w:rsidP="007375E5">
            <w:pPr>
              <w:contextualSpacing/>
              <w:jc w:val="center"/>
              <w:rPr>
                <w:rFonts w:cs="Arial"/>
                <w:b/>
                <w:bCs/>
                <w:sz w:val="18"/>
                <w:szCs w:val="18"/>
              </w:rPr>
            </w:pPr>
            <w:r w:rsidRPr="002D6632">
              <w:rPr>
                <w:rFonts w:cs="Arial"/>
                <w:b/>
                <w:bCs/>
                <w:sz w:val="18"/>
                <w:szCs w:val="18"/>
              </w:rPr>
              <w:t>2020</w:t>
            </w:r>
          </w:p>
        </w:tc>
        <w:tc>
          <w:tcPr>
            <w:tcW w:w="935" w:type="dxa"/>
            <w:shd w:val="clear" w:color="auto" w:fill="BFBFBF"/>
          </w:tcPr>
          <w:p w14:paraId="0D29FBEB" w14:textId="4FB01BEC" w:rsidR="0008333C" w:rsidRPr="002D6632" w:rsidRDefault="0008333C" w:rsidP="007375E5">
            <w:pPr>
              <w:contextualSpacing/>
              <w:jc w:val="center"/>
              <w:rPr>
                <w:rFonts w:cs="Arial"/>
                <w:b/>
                <w:bCs/>
                <w:sz w:val="18"/>
                <w:szCs w:val="18"/>
              </w:rPr>
            </w:pPr>
            <w:r w:rsidRPr="002D6632">
              <w:rPr>
                <w:rFonts w:cs="Arial"/>
                <w:b/>
                <w:bCs/>
                <w:sz w:val="18"/>
                <w:szCs w:val="18"/>
              </w:rPr>
              <w:t>2021</w:t>
            </w:r>
          </w:p>
        </w:tc>
        <w:tc>
          <w:tcPr>
            <w:tcW w:w="902" w:type="dxa"/>
            <w:shd w:val="clear" w:color="auto" w:fill="BFBFBF"/>
          </w:tcPr>
          <w:p w14:paraId="1EB210DC" w14:textId="4C4D37CA" w:rsidR="0008333C" w:rsidRPr="002D6632" w:rsidRDefault="0008333C" w:rsidP="007375E5">
            <w:pPr>
              <w:contextualSpacing/>
              <w:jc w:val="center"/>
              <w:rPr>
                <w:rFonts w:cs="Arial"/>
                <w:b/>
                <w:bCs/>
                <w:sz w:val="18"/>
                <w:szCs w:val="18"/>
              </w:rPr>
            </w:pPr>
            <w:r w:rsidRPr="002D6632">
              <w:rPr>
                <w:rFonts w:cs="Arial"/>
                <w:b/>
                <w:bCs/>
                <w:sz w:val="18"/>
                <w:szCs w:val="18"/>
              </w:rPr>
              <w:t>2022</w:t>
            </w:r>
          </w:p>
        </w:tc>
        <w:tc>
          <w:tcPr>
            <w:tcW w:w="890" w:type="dxa"/>
            <w:shd w:val="clear" w:color="auto" w:fill="BFBFBF"/>
          </w:tcPr>
          <w:p w14:paraId="140E4BA7" w14:textId="2866608E" w:rsidR="0008333C" w:rsidRPr="002D6632" w:rsidRDefault="0008333C" w:rsidP="007375E5">
            <w:pPr>
              <w:contextualSpacing/>
              <w:jc w:val="center"/>
              <w:rPr>
                <w:rFonts w:cs="Arial"/>
                <w:b/>
                <w:bCs/>
                <w:sz w:val="18"/>
                <w:szCs w:val="18"/>
              </w:rPr>
            </w:pPr>
            <w:r w:rsidRPr="002D6632">
              <w:rPr>
                <w:rFonts w:cs="Arial"/>
                <w:b/>
                <w:bCs/>
                <w:sz w:val="18"/>
                <w:szCs w:val="18"/>
              </w:rPr>
              <w:t>2023</w:t>
            </w:r>
          </w:p>
        </w:tc>
        <w:tc>
          <w:tcPr>
            <w:tcW w:w="827" w:type="dxa"/>
            <w:shd w:val="clear" w:color="auto" w:fill="BFBFBF"/>
          </w:tcPr>
          <w:p w14:paraId="341ED86A" w14:textId="3AB8FB97" w:rsidR="0008333C" w:rsidRPr="002D6632" w:rsidRDefault="0008333C" w:rsidP="007375E5">
            <w:pPr>
              <w:contextualSpacing/>
              <w:jc w:val="center"/>
              <w:rPr>
                <w:rFonts w:cs="Arial"/>
                <w:b/>
                <w:bCs/>
                <w:sz w:val="18"/>
                <w:szCs w:val="18"/>
              </w:rPr>
            </w:pPr>
            <w:r w:rsidRPr="002D6632">
              <w:rPr>
                <w:rFonts w:cs="Arial"/>
                <w:b/>
                <w:bCs/>
                <w:sz w:val="18"/>
                <w:szCs w:val="18"/>
              </w:rPr>
              <w:t>2024</w:t>
            </w:r>
          </w:p>
        </w:tc>
        <w:tc>
          <w:tcPr>
            <w:tcW w:w="751" w:type="dxa"/>
            <w:shd w:val="clear" w:color="auto" w:fill="BFBFBF"/>
          </w:tcPr>
          <w:p w14:paraId="0C56C4A1" w14:textId="44C54A7F" w:rsidR="0008333C" w:rsidRPr="002D6632" w:rsidRDefault="0008333C" w:rsidP="007375E5">
            <w:pPr>
              <w:contextualSpacing/>
              <w:jc w:val="center"/>
              <w:rPr>
                <w:rFonts w:cs="Arial"/>
                <w:b/>
                <w:bCs/>
                <w:sz w:val="18"/>
                <w:szCs w:val="18"/>
              </w:rPr>
            </w:pPr>
            <w:r w:rsidRPr="002D6632">
              <w:rPr>
                <w:rFonts w:cs="Arial"/>
                <w:b/>
                <w:bCs/>
                <w:sz w:val="18"/>
                <w:szCs w:val="18"/>
              </w:rPr>
              <w:t>2025</w:t>
            </w:r>
          </w:p>
        </w:tc>
      </w:tr>
      <w:tr w:rsidR="0008333C" w:rsidRPr="002D6632" w14:paraId="3C5CC394" w14:textId="1C76D19E" w:rsidTr="0008333C">
        <w:trPr>
          <w:trHeight w:val="20"/>
        </w:trPr>
        <w:tc>
          <w:tcPr>
            <w:tcW w:w="1018" w:type="dxa"/>
            <w:vMerge/>
            <w:shd w:val="clear" w:color="auto" w:fill="BFBFBF"/>
            <w:vAlign w:val="center"/>
          </w:tcPr>
          <w:p w14:paraId="41A56A60" w14:textId="77777777" w:rsidR="0008333C" w:rsidRPr="002D6632" w:rsidRDefault="0008333C" w:rsidP="00FC217A">
            <w:pPr>
              <w:contextualSpacing/>
              <w:rPr>
                <w:rFonts w:cs="Arial"/>
                <w:b/>
                <w:bCs/>
                <w:sz w:val="18"/>
                <w:szCs w:val="18"/>
              </w:rPr>
            </w:pPr>
          </w:p>
        </w:tc>
        <w:tc>
          <w:tcPr>
            <w:tcW w:w="7804" w:type="dxa"/>
            <w:gridSpan w:val="9"/>
            <w:shd w:val="clear" w:color="auto" w:fill="BFBFBF"/>
            <w:vAlign w:val="center"/>
          </w:tcPr>
          <w:p w14:paraId="27DB7436" w14:textId="229339E6" w:rsidR="0008333C" w:rsidRPr="002D6632" w:rsidRDefault="0008333C" w:rsidP="00FC217A">
            <w:pPr>
              <w:contextualSpacing/>
              <w:jc w:val="center"/>
              <w:rPr>
                <w:rFonts w:cs="Arial"/>
                <w:b/>
                <w:sz w:val="18"/>
                <w:szCs w:val="18"/>
              </w:rPr>
            </w:pPr>
            <w:r w:rsidRPr="002D6632">
              <w:rPr>
                <w:rFonts w:cs="Arial"/>
                <w:b/>
                <w:sz w:val="18"/>
                <w:szCs w:val="18"/>
              </w:rPr>
              <w:t>Kč/m</w:t>
            </w:r>
            <w:r w:rsidRPr="002D6632">
              <w:rPr>
                <w:rFonts w:cs="Arial"/>
                <w:b/>
                <w:sz w:val="18"/>
                <w:szCs w:val="18"/>
                <w:vertAlign w:val="superscript"/>
              </w:rPr>
              <w:t>3</w:t>
            </w:r>
          </w:p>
        </w:tc>
        <w:tc>
          <w:tcPr>
            <w:tcW w:w="751" w:type="dxa"/>
            <w:shd w:val="clear" w:color="auto" w:fill="BFBFBF"/>
          </w:tcPr>
          <w:p w14:paraId="1554663B" w14:textId="77777777" w:rsidR="0008333C" w:rsidRPr="002D6632" w:rsidRDefault="0008333C" w:rsidP="00FC217A">
            <w:pPr>
              <w:contextualSpacing/>
              <w:jc w:val="center"/>
              <w:rPr>
                <w:rFonts w:cs="Arial"/>
                <w:b/>
                <w:sz w:val="18"/>
                <w:szCs w:val="18"/>
              </w:rPr>
            </w:pPr>
          </w:p>
        </w:tc>
      </w:tr>
      <w:tr w:rsidR="0008333C" w:rsidRPr="002D6632" w14:paraId="224E1BCC" w14:textId="7D2B92DF" w:rsidTr="00275265">
        <w:trPr>
          <w:trHeight w:val="20"/>
        </w:trPr>
        <w:tc>
          <w:tcPr>
            <w:tcW w:w="1018" w:type="dxa"/>
            <w:shd w:val="clear" w:color="auto" w:fill="BFBFBF"/>
            <w:vAlign w:val="center"/>
            <w:hideMark/>
          </w:tcPr>
          <w:p w14:paraId="4DC7E221" w14:textId="77777777" w:rsidR="0008333C" w:rsidRPr="002D6632" w:rsidRDefault="0008333C" w:rsidP="0008333C">
            <w:pPr>
              <w:contextualSpacing/>
              <w:rPr>
                <w:rFonts w:cs="Arial"/>
                <w:b/>
                <w:sz w:val="18"/>
                <w:szCs w:val="18"/>
              </w:rPr>
            </w:pPr>
            <w:r w:rsidRPr="002D6632">
              <w:rPr>
                <w:rFonts w:cs="Arial"/>
                <w:b/>
                <w:sz w:val="18"/>
                <w:szCs w:val="18"/>
              </w:rPr>
              <w:t>Labe</w:t>
            </w:r>
          </w:p>
        </w:tc>
        <w:tc>
          <w:tcPr>
            <w:tcW w:w="850" w:type="dxa"/>
            <w:vAlign w:val="center"/>
          </w:tcPr>
          <w:p w14:paraId="083AE2E9" w14:textId="3AC0E782" w:rsidR="0008333C" w:rsidRPr="002D6632" w:rsidRDefault="0008333C" w:rsidP="0008333C">
            <w:pPr>
              <w:contextualSpacing/>
              <w:jc w:val="center"/>
              <w:rPr>
                <w:rFonts w:cs="Arial"/>
                <w:sz w:val="18"/>
                <w:szCs w:val="18"/>
              </w:rPr>
            </w:pPr>
            <w:r w:rsidRPr="002D6632">
              <w:rPr>
                <w:rFonts w:cs="Arial"/>
                <w:sz w:val="18"/>
                <w:szCs w:val="18"/>
              </w:rPr>
              <w:t>0,72</w:t>
            </w:r>
          </w:p>
        </w:tc>
        <w:tc>
          <w:tcPr>
            <w:tcW w:w="850" w:type="dxa"/>
            <w:vAlign w:val="center"/>
          </w:tcPr>
          <w:p w14:paraId="561FACBB" w14:textId="157E270B" w:rsidR="0008333C" w:rsidRPr="002D6632" w:rsidRDefault="0008333C" w:rsidP="0008333C">
            <w:pPr>
              <w:contextualSpacing/>
              <w:jc w:val="center"/>
              <w:rPr>
                <w:rFonts w:cs="Arial"/>
                <w:sz w:val="18"/>
                <w:szCs w:val="18"/>
              </w:rPr>
            </w:pPr>
            <w:r w:rsidRPr="002D6632">
              <w:rPr>
                <w:rFonts w:cs="Arial"/>
                <w:sz w:val="18"/>
                <w:szCs w:val="18"/>
              </w:rPr>
              <w:t>0,74</w:t>
            </w:r>
          </w:p>
        </w:tc>
        <w:tc>
          <w:tcPr>
            <w:tcW w:w="850" w:type="dxa"/>
            <w:vAlign w:val="center"/>
          </w:tcPr>
          <w:p w14:paraId="18326298" w14:textId="23AC890B" w:rsidR="0008333C" w:rsidRPr="002D6632" w:rsidRDefault="0008333C" w:rsidP="0008333C">
            <w:pPr>
              <w:contextualSpacing/>
              <w:jc w:val="center"/>
              <w:rPr>
                <w:rFonts w:cs="Arial"/>
                <w:sz w:val="18"/>
                <w:szCs w:val="18"/>
              </w:rPr>
            </w:pPr>
            <w:r w:rsidRPr="002D6632">
              <w:rPr>
                <w:rFonts w:cs="Arial"/>
                <w:sz w:val="18"/>
                <w:szCs w:val="18"/>
              </w:rPr>
              <w:t>0,77</w:t>
            </w:r>
          </w:p>
        </w:tc>
        <w:tc>
          <w:tcPr>
            <w:tcW w:w="850" w:type="dxa"/>
            <w:vAlign w:val="bottom"/>
          </w:tcPr>
          <w:p w14:paraId="5FFD20D5" w14:textId="2D123FBE" w:rsidR="0008333C" w:rsidRPr="002D6632" w:rsidRDefault="0008333C" w:rsidP="0008333C">
            <w:pPr>
              <w:contextualSpacing/>
              <w:jc w:val="center"/>
              <w:rPr>
                <w:rFonts w:cs="Arial"/>
                <w:sz w:val="18"/>
                <w:szCs w:val="18"/>
              </w:rPr>
            </w:pPr>
            <w:r w:rsidRPr="002D6632">
              <w:rPr>
                <w:rFonts w:cs="Arial"/>
                <w:sz w:val="18"/>
                <w:szCs w:val="18"/>
              </w:rPr>
              <w:t>0,79</w:t>
            </w:r>
          </w:p>
        </w:tc>
        <w:tc>
          <w:tcPr>
            <w:tcW w:w="850" w:type="dxa"/>
            <w:vAlign w:val="center"/>
          </w:tcPr>
          <w:p w14:paraId="0CE16D63" w14:textId="30242036" w:rsidR="0008333C" w:rsidRPr="002D6632" w:rsidRDefault="0008333C" w:rsidP="0008333C">
            <w:pPr>
              <w:contextualSpacing/>
              <w:jc w:val="center"/>
              <w:rPr>
                <w:rFonts w:cs="Arial"/>
                <w:sz w:val="18"/>
                <w:szCs w:val="18"/>
              </w:rPr>
            </w:pPr>
            <w:r w:rsidRPr="002D6632">
              <w:rPr>
                <w:rFonts w:cs="Arial"/>
                <w:sz w:val="18"/>
                <w:szCs w:val="18"/>
              </w:rPr>
              <w:t>0,82</w:t>
            </w:r>
          </w:p>
        </w:tc>
        <w:tc>
          <w:tcPr>
            <w:tcW w:w="935" w:type="dxa"/>
            <w:vAlign w:val="bottom"/>
          </w:tcPr>
          <w:p w14:paraId="3F2E38EB" w14:textId="74F47654" w:rsidR="0008333C" w:rsidRPr="002D6632" w:rsidRDefault="0008333C" w:rsidP="0008333C">
            <w:pPr>
              <w:contextualSpacing/>
              <w:jc w:val="center"/>
              <w:rPr>
                <w:rFonts w:cs="Arial"/>
                <w:sz w:val="18"/>
                <w:szCs w:val="18"/>
              </w:rPr>
            </w:pPr>
            <w:r w:rsidRPr="002D6632">
              <w:rPr>
                <w:rFonts w:cs="Arial"/>
                <w:sz w:val="18"/>
                <w:szCs w:val="18"/>
              </w:rPr>
              <w:t>0,96</w:t>
            </w:r>
          </w:p>
        </w:tc>
        <w:tc>
          <w:tcPr>
            <w:tcW w:w="902" w:type="dxa"/>
            <w:vAlign w:val="bottom"/>
          </w:tcPr>
          <w:p w14:paraId="6B4A73EC" w14:textId="0033D545" w:rsidR="0008333C" w:rsidRPr="002D6632" w:rsidRDefault="0008333C" w:rsidP="0008333C">
            <w:pPr>
              <w:contextualSpacing/>
              <w:jc w:val="center"/>
              <w:rPr>
                <w:rFonts w:cs="Arial"/>
                <w:sz w:val="18"/>
                <w:szCs w:val="18"/>
              </w:rPr>
            </w:pPr>
            <w:r w:rsidRPr="002D6632">
              <w:rPr>
                <w:rFonts w:cs="Arial"/>
                <w:sz w:val="18"/>
                <w:szCs w:val="18"/>
              </w:rPr>
              <w:t>1,1</w:t>
            </w:r>
          </w:p>
        </w:tc>
        <w:tc>
          <w:tcPr>
            <w:tcW w:w="890" w:type="dxa"/>
            <w:vAlign w:val="bottom"/>
          </w:tcPr>
          <w:p w14:paraId="1D5CD326" w14:textId="18270F6B" w:rsidR="0008333C" w:rsidRPr="002D6632" w:rsidRDefault="0008333C" w:rsidP="0008333C">
            <w:pPr>
              <w:contextualSpacing/>
              <w:jc w:val="center"/>
              <w:rPr>
                <w:rFonts w:cs="Arial"/>
                <w:sz w:val="18"/>
                <w:szCs w:val="18"/>
              </w:rPr>
            </w:pPr>
            <w:r w:rsidRPr="002D6632">
              <w:rPr>
                <w:rFonts w:cs="Arial"/>
                <w:color w:val="000000"/>
                <w:sz w:val="18"/>
                <w:szCs w:val="18"/>
              </w:rPr>
              <w:t xml:space="preserve">1,41 </w:t>
            </w:r>
            <w:r w:rsidRPr="002D6632">
              <w:rPr>
                <w:rFonts w:cs="Arial"/>
                <w:color w:val="000000"/>
                <w:sz w:val="18"/>
                <w:szCs w:val="18"/>
                <w:vertAlign w:val="superscript"/>
              </w:rPr>
              <w:t>*)</w:t>
            </w:r>
          </w:p>
        </w:tc>
        <w:tc>
          <w:tcPr>
            <w:tcW w:w="827" w:type="dxa"/>
            <w:vAlign w:val="bottom"/>
          </w:tcPr>
          <w:p w14:paraId="191938EA" w14:textId="4D188CEB" w:rsidR="0008333C" w:rsidRPr="002D6632" w:rsidRDefault="0008333C" w:rsidP="0008333C">
            <w:pPr>
              <w:contextualSpacing/>
              <w:jc w:val="center"/>
              <w:rPr>
                <w:rFonts w:cs="Arial"/>
                <w:color w:val="000000"/>
                <w:sz w:val="18"/>
                <w:szCs w:val="18"/>
              </w:rPr>
            </w:pPr>
            <w:r w:rsidRPr="002D6632">
              <w:rPr>
                <w:rFonts w:cs="Arial"/>
                <w:color w:val="000000"/>
                <w:sz w:val="18"/>
                <w:szCs w:val="18"/>
              </w:rPr>
              <w:t>1,57</w:t>
            </w:r>
          </w:p>
        </w:tc>
        <w:tc>
          <w:tcPr>
            <w:tcW w:w="751" w:type="dxa"/>
            <w:vAlign w:val="bottom"/>
          </w:tcPr>
          <w:p w14:paraId="0BAE6D80" w14:textId="42D97447" w:rsidR="0008333C" w:rsidRPr="002D6632" w:rsidRDefault="0008333C" w:rsidP="0008333C">
            <w:pPr>
              <w:contextualSpacing/>
              <w:jc w:val="center"/>
              <w:rPr>
                <w:rFonts w:cs="Arial"/>
                <w:color w:val="000000"/>
                <w:sz w:val="18"/>
                <w:szCs w:val="18"/>
              </w:rPr>
            </w:pPr>
            <w:r w:rsidRPr="002D6632">
              <w:rPr>
                <w:rFonts w:cs="Arial"/>
                <w:color w:val="000000"/>
                <w:sz w:val="18"/>
                <w:szCs w:val="18"/>
              </w:rPr>
              <w:t>1,86</w:t>
            </w:r>
          </w:p>
        </w:tc>
      </w:tr>
      <w:tr w:rsidR="0008333C" w:rsidRPr="002D6632" w14:paraId="102251AA" w14:textId="38C938CA" w:rsidTr="00275265">
        <w:trPr>
          <w:trHeight w:val="20"/>
        </w:trPr>
        <w:tc>
          <w:tcPr>
            <w:tcW w:w="1018" w:type="dxa"/>
            <w:shd w:val="clear" w:color="auto" w:fill="BFBFBF"/>
            <w:vAlign w:val="center"/>
            <w:hideMark/>
          </w:tcPr>
          <w:p w14:paraId="298D2CB7" w14:textId="77777777" w:rsidR="0008333C" w:rsidRPr="002D6632" w:rsidRDefault="0008333C" w:rsidP="0008333C">
            <w:pPr>
              <w:contextualSpacing/>
              <w:rPr>
                <w:rFonts w:cs="Arial"/>
                <w:b/>
                <w:sz w:val="18"/>
                <w:szCs w:val="18"/>
              </w:rPr>
            </w:pPr>
            <w:r w:rsidRPr="002D6632">
              <w:rPr>
                <w:rFonts w:cs="Arial"/>
                <w:b/>
                <w:sz w:val="18"/>
                <w:szCs w:val="18"/>
              </w:rPr>
              <w:t xml:space="preserve">Vltavy </w:t>
            </w:r>
          </w:p>
        </w:tc>
        <w:tc>
          <w:tcPr>
            <w:tcW w:w="850" w:type="dxa"/>
            <w:vAlign w:val="center"/>
          </w:tcPr>
          <w:p w14:paraId="27F92686" w14:textId="18F76652" w:rsidR="0008333C" w:rsidRPr="002D6632" w:rsidRDefault="0008333C" w:rsidP="0008333C">
            <w:pPr>
              <w:contextualSpacing/>
              <w:jc w:val="center"/>
              <w:rPr>
                <w:rFonts w:cs="Arial"/>
                <w:sz w:val="18"/>
                <w:szCs w:val="18"/>
              </w:rPr>
            </w:pPr>
            <w:r w:rsidRPr="002D6632">
              <w:rPr>
                <w:rFonts w:cs="Arial"/>
                <w:sz w:val="18"/>
                <w:szCs w:val="18"/>
              </w:rPr>
              <w:t>1,27</w:t>
            </w:r>
          </w:p>
        </w:tc>
        <w:tc>
          <w:tcPr>
            <w:tcW w:w="850" w:type="dxa"/>
            <w:vAlign w:val="center"/>
          </w:tcPr>
          <w:p w14:paraId="1C47A571" w14:textId="661D117B" w:rsidR="0008333C" w:rsidRPr="002D6632" w:rsidRDefault="0008333C" w:rsidP="0008333C">
            <w:pPr>
              <w:contextualSpacing/>
              <w:jc w:val="center"/>
              <w:rPr>
                <w:rFonts w:cs="Arial"/>
                <w:sz w:val="18"/>
                <w:szCs w:val="18"/>
              </w:rPr>
            </w:pPr>
            <w:r w:rsidRPr="002D6632">
              <w:rPr>
                <w:rFonts w:cs="Arial"/>
                <w:sz w:val="18"/>
                <w:szCs w:val="18"/>
              </w:rPr>
              <w:t>1,32</w:t>
            </w:r>
          </w:p>
        </w:tc>
        <w:tc>
          <w:tcPr>
            <w:tcW w:w="850" w:type="dxa"/>
            <w:vAlign w:val="center"/>
          </w:tcPr>
          <w:p w14:paraId="03A2B3D3" w14:textId="043496A5" w:rsidR="0008333C" w:rsidRPr="002D6632" w:rsidRDefault="0008333C" w:rsidP="0008333C">
            <w:pPr>
              <w:contextualSpacing/>
              <w:jc w:val="center"/>
              <w:rPr>
                <w:rFonts w:cs="Arial"/>
                <w:sz w:val="18"/>
                <w:szCs w:val="18"/>
              </w:rPr>
            </w:pPr>
            <w:r w:rsidRPr="002D6632">
              <w:rPr>
                <w:rFonts w:cs="Arial"/>
                <w:sz w:val="18"/>
                <w:szCs w:val="18"/>
              </w:rPr>
              <w:t>1,32</w:t>
            </w:r>
          </w:p>
        </w:tc>
        <w:tc>
          <w:tcPr>
            <w:tcW w:w="850" w:type="dxa"/>
            <w:vAlign w:val="bottom"/>
          </w:tcPr>
          <w:p w14:paraId="13D95BFA" w14:textId="7083EE30" w:rsidR="0008333C" w:rsidRPr="002D6632" w:rsidRDefault="0008333C" w:rsidP="0008333C">
            <w:pPr>
              <w:contextualSpacing/>
              <w:jc w:val="center"/>
              <w:rPr>
                <w:rFonts w:cs="Arial"/>
                <w:sz w:val="18"/>
                <w:szCs w:val="18"/>
              </w:rPr>
            </w:pPr>
            <w:r w:rsidRPr="002D6632">
              <w:rPr>
                <w:rFonts w:cs="Arial"/>
                <w:sz w:val="18"/>
                <w:szCs w:val="18"/>
              </w:rPr>
              <w:t>1,34</w:t>
            </w:r>
          </w:p>
        </w:tc>
        <w:tc>
          <w:tcPr>
            <w:tcW w:w="850" w:type="dxa"/>
            <w:vAlign w:val="center"/>
          </w:tcPr>
          <w:p w14:paraId="14AA53C0" w14:textId="105594C3" w:rsidR="0008333C" w:rsidRPr="002D6632" w:rsidRDefault="0008333C" w:rsidP="0008333C">
            <w:pPr>
              <w:contextualSpacing/>
              <w:jc w:val="center"/>
              <w:rPr>
                <w:rFonts w:cs="Arial"/>
                <w:sz w:val="18"/>
                <w:szCs w:val="18"/>
              </w:rPr>
            </w:pPr>
            <w:r w:rsidRPr="002D6632">
              <w:rPr>
                <w:rFonts w:cs="Arial"/>
                <w:sz w:val="18"/>
                <w:szCs w:val="18"/>
              </w:rPr>
              <w:t>1,37</w:t>
            </w:r>
          </w:p>
        </w:tc>
        <w:tc>
          <w:tcPr>
            <w:tcW w:w="935" w:type="dxa"/>
            <w:vAlign w:val="bottom"/>
          </w:tcPr>
          <w:p w14:paraId="655B9CA1" w14:textId="3E38B0EA" w:rsidR="0008333C" w:rsidRPr="002D6632" w:rsidRDefault="0008333C" w:rsidP="0008333C">
            <w:pPr>
              <w:contextualSpacing/>
              <w:jc w:val="center"/>
              <w:rPr>
                <w:rFonts w:cs="Arial"/>
                <w:sz w:val="18"/>
                <w:szCs w:val="18"/>
              </w:rPr>
            </w:pPr>
            <w:r w:rsidRPr="002D6632">
              <w:rPr>
                <w:rFonts w:cs="Arial"/>
                <w:sz w:val="18"/>
                <w:szCs w:val="18"/>
              </w:rPr>
              <w:t>1,41</w:t>
            </w:r>
          </w:p>
        </w:tc>
        <w:tc>
          <w:tcPr>
            <w:tcW w:w="902" w:type="dxa"/>
            <w:vAlign w:val="bottom"/>
          </w:tcPr>
          <w:p w14:paraId="0694A8F4" w14:textId="5F8979B4" w:rsidR="0008333C" w:rsidRPr="002D6632" w:rsidRDefault="0008333C" w:rsidP="0008333C">
            <w:pPr>
              <w:contextualSpacing/>
              <w:jc w:val="center"/>
              <w:rPr>
                <w:rFonts w:cs="Arial"/>
                <w:sz w:val="18"/>
                <w:szCs w:val="18"/>
              </w:rPr>
            </w:pPr>
            <w:r w:rsidRPr="002D6632">
              <w:rPr>
                <w:rFonts w:cs="Arial"/>
                <w:sz w:val="18"/>
                <w:szCs w:val="18"/>
              </w:rPr>
              <w:t>1,45</w:t>
            </w:r>
          </w:p>
        </w:tc>
        <w:tc>
          <w:tcPr>
            <w:tcW w:w="890" w:type="dxa"/>
            <w:vAlign w:val="bottom"/>
          </w:tcPr>
          <w:p w14:paraId="3310226B" w14:textId="05ECC71C" w:rsidR="0008333C" w:rsidRPr="002D6632" w:rsidRDefault="0008333C" w:rsidP="0008333C">
            <w:pPr>
              <w:contextualSpacing/>
              <w:jc w:val="center"/>
              <w:rPr>
                <w:rFonts w:cs="Arial"/>
                <w:sz w:val="18"/>
                <w:szCs w:val="18"/>
              </w:rPr>
            </w:pPr>
            <w:r w:rsidRPr="002D6632">
              <w:rPr>
                <w:rFonts w:cs="Arial"/>
                <w:color w:val="000000"/>
                <w:sz w:val="18"/>
                <w:szCs w:val="18"/>
              </w:rPr>
              <w:t>1,52</w:t>
            </w:r>
          </w:p>
        </w:tc>
        <w:tc>
          <w:tcPr>
            <w:tcW w:w="827" w:type="dxa"/>
            <w:vAlign w:val="bottom"/>
          </w:tcPr>
          <w:p w14:paraId="3D9E6359" w14:textId="41E2E57E" w:rsidR="0008333C" w:rsidRPr="002D6632" w:rsidRDefault="0008333C" w:rsidP="0008333C">
            <w:pPr>
              <w:contextualSpacing/>
              <w:jc w:val="center"/>
              <w:rPr>
                <w:rFonts w:cs="Arial"/>
                <w:color w:val="000000"/>
                <w:sz w:val="18"/>
                <w:szCs w:val="18"/>
              </w:rPr>
            </w:pPr>
            <w:r w:rsidRPr="002D6632">
              <w:rPr>
                <w:rFonts w:cs="Arial"/>
                <w:color w:val="000000"/>
                <w:sz w:val="18"/>
                <w:szCs w:val="18"/>
              </w:rPr>
              <w:t>1,68</w:t>
            </w:r>
          </w:p>
        </w:tc>
        <w:tc>
          <w:tcPr>
            <w:tcW w:w="751" w:type="dxa"/>
            <w:vAlign w:val="bottom"/>
          </w:tcPr>
          <w:p w14:paraId="1A947AAC" w14:textId="2B4EAB39" w:rsidR="0008333C" w:rsidRPr="002D6632" w:rsidRDefault="0008333C" w:rsidP="0008333C">
            <w:pPr>
              <w:contextualSpacing/>
              <w:jc w:val="center"/>
              <w:rPr>
                <w:rFonts w:cs="Arial"/>
                <w:color w:val="000000"/>
                <w:sz w:val="18"/>
                <w:szCs w:val="18"/>
              </w:rPr>
            </w:pPr>
            <w:r w:rsidRPr="002D6632">
              <w:rPr>
                <w:rFonts w:cs="Arial"/>
                <w:color w:val="000000"/>
                <w:sz w:val="18"/>
                <w:szCs w:val="18"/>
              </w:rPr>
              <w:t>1,74</w:t>
            </w:r>
          </w:p>
        </w:tc>
      </w:tr>
      <w:tr w:rsidR="0008333C" w:rsidRPr="002D6632" w14:paraId="53626A81" w14:textId="5FE9810A" w:rsidTr="00275265">
        <w:trPr>
          <w:trHeight w:val="20"/>
        </w:trPr>
        <w:tc>
          <w:tcPr>
            <w:tcW w:w="1018" w:type="dxa"/>
            <w:shd w:val="clear" w:color="auto" w:fill="BFBFBF"/>
            <w:vAlign w:val="center"/>
            <w:hideMark/>
          </w:tcPr>
          <w:p w14:paraId="0FA3A301" w14:textId="77777777" w:rsidR="0008333C" w:rsidRPr="002D6632" w:rsidRDefault="0008333C" w:rsidP="0008333C">
            <w:pPr>
              <w:contextualSpacing/>
              <w:rPr>
                <w:rFonts w:cs="Arial"/>
                <w:b/>
                <w:sz w:val="18"/>
                <w:szCs w:val="18"/>
              </w:rPr>
            </w:pPr>
            <w:r w:rsidRPr="002D6632">
              <w:rPr>
                <w:rFonts w:cs="Arial"/>
                <w:b/>
                <w:sz w:val="18"/>
                <w:szCs w:val="18"/>
              </w:rPr>
              <w:t>Moravy</w:t>
            </w:r>
          </w:p>
        </w:tc>
        <w:tc>
          <w:tcPr>
            <w:tcW w:w="850" w:type="dxa"/>
            <w:vAlign w:val="center"/>
          </w:tcPr>
          <w:p w14:paraId="13B11257" w14:textId="1E251899" w:rsidR="0008333C" w:rsidRPr="002D6632" w:rsidRDefault="0008333C" w:rsidP="0008333C">
            <w:pPr>
              <w:contextualSpacing/>
              <w:jc w:val="center"/>
              <w:rPr>
                <w:rFonts w:cs="Arial"/>
                <w:sz w:val="18"/>
                <w:szCs w:val="18"/>
              </w:rPr>
            </w:pPr>
            <w:r w:rsidRPr="002D6632">
              <w:rPr>
                <w:rFonts w:cs="Arial"/>
                <w:sz w:val="18"/>
                <w:szCs w:val="18"/>
              </w:rPr>
              <w:t>1,21</w:t>
            </w:r>
          </w:p>
        </w:tc>
        <w:tc>
          <w:tcPr>
            <w:tcW w:w="850" w:type="dxa"/>
            <w:vAlign w:val="center"/>
          </w:tcPr>
          <w:p w14:paraId="0B195732" w14:textId="102D76CF" w:rsidR="0008333C" w:rsidRPr="002D6632" w:rsidRDefault="0008333C" w:rsidP="0008333C">
            <w:pPr>
              <w:contextualSpacing/>
              <w:jc w:val="center"/>
              <w:rPr>
                <w:rFonts w:cs="Arial"/>
                <w:sz w:val="18"/>
                <w:szCs w:val="18"/>
              </w:rPr>
            </w:pPr>
            <w:r w:rsidRPr="002D6632">
              <w:rPr>
                <w:rFonts w:cs="Arial"/>
                <w:sz w:val="18"/>
                <w:szCs w:val="18"/>
              </w:rPr>
              <w:t>1,22</w:t>
            </w:r>
          </w:p>
        </w:tc>
        <w:tc>
          <w:tcPr>
            <w:tcW w:w="850" w:type="dxa"/>
            <w:vAlign w:val="center"/>
          </w:tcPr>
          <w:p w14:paraId="6632C67E" w14:textId="3B3392C8" w:rsidR="0008333C" w:rsidRPr="002D6632" w:rsidRDefault="0008333C" w:rsidP="0008333C">
            <w:pPr>
              <w:contextualSpacing/>
              <w:jc w:val="center"/>
              <w:rPr>
                <w:rFonts w:cs="Arial"/>
                <w:sz w:val="18"/>
                <w:szCs w:val="18"/>
              </w:rPr>
            </w:pPr>
            <w:r w:rsidRPr="002D6632">
              <w:rPr>
                <w:rFonts w:cs="Arial"/>
                <w:sz w:val="18"/>
                <w:szCs w:val="18"/>
              </w:rPr>
              <w:t>1,23</w:t>
            </w:r>
          </w:p>
        </w:tc>
        <w:tc>
          <w:tcPr>
            <w:tcW w:w="850" w:type="dxa"/>
            <w:vAlign w:val="bottom"/>
          </w:tcPr>
          <w:p w14:paraId="44F5CBDB" w14:textId="4492C33F" w:rsidR="0008333C" w:rsidRPr="002D6632" w:rsidRDefault="0008333C" w:rsidP="0008333C">
            <w:pPr>
              <w:contextualSpacing/>
              <w:jc w:val="center"/>
              <w:rPr>
                <w:rFonts w:cs="Arial"/>
                <w:sz w:val="18"/>
                <w:szCs w:val="18"/>
              </w:rPr>
            </w:pPr>
            <w:r w:rsidRPr="002D6632">
              <w:rPr>
                <w:rFonts w:cs="Arial"/>
                <w:sz w:val="18"/>
                <w:szCs w:val="18"/>
              </w:rPr>
              <w:t>1,25</w:t>
            </w:r>
          </w:p>
        </w:tc>
        <w:tc>
          <w:tcPr>
            <w:tcW w:w="850" w:type="dxa"/>
            <w:vAlign w:val="center"/>
          </w:tcPr>
          <w:p w14:paraId="249A629B" w14:textId="4D591164" w:rsidR="0008333C" w:rsidRPr="002D6632" w:rsidRDefault="0008333C" w:rsidP="0008333C">
            <w:pPr>
              <w:contextualSpacing/>
              <w:jc w:val="center"/>
              <w:rPr>
                <w:rFonts w:cs="Arial"/>
                <w:sz w:val="18"/>
                <w:szCs w:val="18"/>
              </w:rPr>
            </w:pPr>
            <w:r w:rsidRPr="002D6632">
              <w:rPr>
                <w:rFonts w:cs="Arial"/>
                <w:sz w:val="18"/>
                <w:szCs w:val="18"/>
              </w:rPr>
              <w:t>1,28</w:t>
            </w:r>
          </w:p>
        </w:tc>
        <w:tc>
          <w:tcPr>
            <w:tcW w:w="935" w:type="dxa"/>
            <w:vAlign w:val="bottom"/>
          </w:tcPr>
          <w:p w14:paraId="51C5AA2D" w14:textId="6CFD0A6F" w:rsidR="0008333C" w:rsidRPr="002D6632" w:rsidRDefault="0008333C" w:rsidP="0008333C">
            <w:pPr>
              <w:contextualSpacing/>
              <w:jc w:val="center"/>
              <w:rPr>
                <w:rFonts w:cs="Arial"/>
                <w:sz w:val="18"/>
                <w:szCs w:val="18"/>
              </w:rPr>
            </w:pPr>
            <w:r w:rsidRPr="002D6632">
              <w:rPr>
                <w:rFonts w:cs="Arial"/>
                <w:sz w:val="18"/>
                <w:szCs w:val="18"/>
              </w:rPr>
              <w:t>1,38</w:t>
            </w:r>
          </w:p>
        </w:tc>
        <w:tc>
          <w:tcPr>
            <w:tcW w:w="902" w:type="dxa"/>
            <w:vAlign w:val="bottom"/>
          </w:tcPr>
          <w:p w14:paraId="271E6055" w14:textId="380ECCBA" w:rsidR="0008333C" w:rsidRPr="002D6632" w:rsidRDefault="0008333C" w:rsidP="0008333C">
            <w:pPr>
              <w:contextualSpacing/>
              <w:jc w:val="center"/>
              <w:rPr>
                <w:rFonts w:cs="Arial"/>
                <w:sz w:val="18"/>
                <w:szCs w:val="18"/>
              </w:rPr>
            </w:pPr>
            <w:r w:rsidRPr="002D6632">
              <w:rPr>
                <w:rFonts w:cs="Arial"/>
                <w:sz w:val="18"/>
                <w:szCs w:val="18"/>
              </w:rPr>
              <w:t>1,44</w:t>
            </w:r>
          </w:p>
        </w:tc>
        <w:tc>
          <w:tcPr>
            <w:tcW w:w="890" w:type="dxa"/>
            <w:vAlign w:val="bottom"/>
          </w:tcPr>
          <w:p w14:paraId="1ACC1CC0" w14:textId="679F3AFC" w:rsidR="0008333C" w:rsidRPr="002D6632" w:rsidRDefault="0008333C" w:rsidP="0008333C">
            <w:pPr>
              <w:contextualSpacing/>
              <w:jc w:val="center"/>
              <w:rPr>
                <w:rFonts w:cs="Arial"/>
                <w:sz w:val="18"/>
                <w:szCs w:val="18"/>
              </w:rPr>
            </w:pPr>
            <w:r w:rsidRPr="002D6632">
              <w:rPr>
                <w:rFonts w:cs="Arial"/>
                <w:color w:val="000000"/>
                <w:sz w:val="18"/>
                <w:szCs w:val="18"/>
              </w:rPr>
              <w:t>1,51</w:t>
            </w:r>
          </w:p>
        </w:tc>
        <w:tc>
          <w:tcPr>
            <w:tcW w:w="827" w:type="dxa"/>
            <w:vAlign w:val="bottom"/>
          </w:tcPr>
          <w:p w14:paraId="4ACA31EC" w14:textId="388AEF9C" w:rsidR="0008333C" w:rsidRPr="002D6632" w:rsidRDefault="0008333C" w:rsidP="0008333C">
            <w:pPr>
              <w:contextualSpacing/>
              <w:jc w:val="center"/>
              <w:rPr>
                <w:rFonts w:cs="Arial"/>
                <w:color w:val="000000"/>
                <w:sz w:val="18"/>
                <w:szCs w:val="18"/>
              </w:rPr>
            </w:pPr>
            <w:r w:rsidRPr="002D6632">
              <w:rPr>
                <w:rFonts w:cs="Arial"/>
                <w:color w:val="000000"/>
                <w:sz w:val="18"/>
                <w:szCs w:val="18"/>
              </w:rPr>
              <w:t>1,63</w:t>
            </w:r>
          </w:p>
        </w:tc>
        <w:tc>
          <w:tcPr>
            <w:tcW w:w="751" w:type="dxa"/>
            <w:vAlign w:val="bottom"/>
          </w:tcPr>
          <w:p w14:paraId="1C084636" w14:textId="040B84F9" w:rsidR="0008333C" w:rsidRPr="002D6632" w:rsidRDefault="0008333C" w:rsidP="0008333C">
            <w:pPr>
              <w:contextualSpacing/>
              <w:jc w:val="center"/>
              <w:rPr>
                <w:rFonts w:cs="Arial"/>
                <w:color w:val="000000"/>
                <w:sz w:val="18"/>
                <w:szCs w:val="18"/>
              </w:rPr>
            </w:pPr>
            <w:r w:rsidRPr="002D6632">
              <w:rPr>
                <w:rFonts w:cs="Arial"/>
                <w:color w:val="000000"/>
                <w:sz w:val="18"/>
                <w:szCs w:val="18"/>
              </w:rPr>
              <w:t>1,73</w:t>
            </w:r>
          </w:p>
        </w:tc>
      </w:tr>
    </w:tbl>
    <w:p w14:paraId="019CB79A" w14:textId="33833757" w:rsidR="00C1173A" w:rsidRPr="002D6632" w:rsidRDefault="00C1173A" w:rsidP="007C4955">
      <w:pPr>
        <w:contextualSpacing/>
        <w:rPr>
          <w:rFonts w:cs="Arial"/>
          <w:i/>
          <w:sz w:val="20"/>
          <w:szCs w:val="20"/>
        </w:rPr>
      </w:pPr>
      <w:r w:rsidRPr="002D6632">
        <w:rPr>
          <w:rFonts w:cs="Arial"/>
          <w:i/>
          <w:sz w:val="20"/>
          <w:szCs w:val="20"/>
        </w:rPr>
        <w:t xml:space="preserve">Pramen: </w:t>
      </w:r>
      <w:r w:rsidR="00340859" w:rsidRPr="002D6632">
        <w:rPr>
          <w:rFonts w:cs="Arial"/>
          <w:i/>
          <w:sz w:val="20"/>
          <w:szCs w:val="20"/>
        </w:rPr>
        <w:t>s</w:t>
      </w:r>
      <w:r w:rsidRPr="002D6632">
        <w:rPr>
          <w:rFonts w:cs="Arial"/>
          <w:i/>
          <w:sz w:val="20"/>
          <w:szCs w:val="20"/>
        </w:rPr>
        <w:t>. p. Povodí</w:t>
      </w:r>
    </w:p>
    <w:p w14:paraId="743C2F29" w14:textId="77777777" w:rsidR="00C1173A" w:rsidRPr="002D6632" w:rsidRDefault="00C1173A" w:rsidP="007C4955">
      <w:pPr>
        <w:contextualSpacing/>
        <w:rPr>
          <w:rFonts w:cs="Arial"/>
          <w:i/>
          <w:sz w:val="20"/>
          <w:szCs w:val="20"/>
        </w:rPr>
      </w:pPr>
      <w:r w:rsidRPr="002D6632">
        <w:rPr>
          <w:rFonts w:cs="Arial"/>
          <w:i/>
          <w:sz w:val="20"/>
          <w:szCs w:val="20"/>
        </w:rPr>
        <w:t>Pozn.: Jednotková cena za m</w:t>
      </w:r>
      <w:r w:rsidRPr="002D6632">
        <w:rPr>
          <w:rFonts w:cs="Arial"/>
          <w:i/>
          <w:sz w:val="20"/>
          <w:szCs w:val="20"/>
          <w:vertAlign w:val="superscript"/>
        </w:rPr>
        <w:t>3</w:t>
      </w:r>
      <w:r w:rsidRPr="002D6632">
        <w:rPr>
          <w:rFonts w:cs="Arial"/>
          <w:i/>
          <w:sz w:val="20"/>
          <w:szCs w:val="20"/>
        </w:rPr>
        <w:t xml:space="preserve"> je uváděna bez daně z přidané hodnoty.</w:t>
      </w:r>
    </w:p>
    <w:p w14:paraId="26EC7148" w14:textId="77777777" w:rsidR="00F325C7" w:rsidRPr="00104F7D" w:rsidRDefault="00F325C7" w:rsidP="007C4955">
      <w:pPr>
        <w:contextualSpacing/>
        <w:rPr>
          <w:b/>
          <w:i/>
          <w:highlight w:val="yellow"/>
        </w:rPr>
      </w:pPr>
      <w:bookmarkStart w:id="70" w:name="_Toc482564968"/>
    </w:p>
    <w:p w14:paraId="0C122D63" w14:textId="289E025D" w:rsidR="00C1173A" w:rsidRPr="00576502" w:rsidRDefault="00C1173A" w:rsidP="007C4955">
      <w:pPr>
        <w:contextualSpacing/>
        <w:rPr>
          <w:b/>
          <w:i/>
        </w:rPr>
      </w:pPr>
      <w:r w:rsidRPr="00576502">
        <w:rPr>
          <w:b/>
          <w:i/>
        </w:rPr>
        <w:t>Tabulka 6.2.</w:t>
      </w:r>
      <w:bookmarkEnd w:id="70"/>
      <w:r w:rsidR="0069387B" w:rsidRPr="00576502">
        <w:rPr>
          <w:b/>
          <w:i/>
        </w:rPr>
        <w:t xml:space="preserve">7 </w:t>
      </w:r>
    </w:p>
    <w:p w14:paraId="3063EF8E" w14:textId="582EBFE2" w:rsidR="00C1173A" w:rsidRPr="00576502" w:rsidRDefault="00C1173A" w:rsidP="007C4955">
      <w:pPr>
        <w:contextualSpacing/>
        <w:rPr>
          <w:b/>
          <w:i/>
        </w:rPr>
      </w:pPr>
      <w:bookmarkStart w:id="71" w:name="_Toc482564969"/>
      <w:r w:rsidRPr="00576502">
        <w:rPr>
          <w:b/>
          <w:i/>
        </w:rPr>
        <w:t>Cena za ostatní odběry povrchové vody v letech 201</w:t>
      </w:r>
      <w:r w:rsidR="007375E5" w:rsidRPr="00576502">
        <w:rPr>
          <w:b/>
          <w:i/>
        </w:rPr>
        <w:t>6</w:t>
      </w:r>
      <w:r w:rsidRPr="00576502">
        <w:rPr>
          <w:b/>
          <w:i/>
        </w:rPr>
        <w:t>–20</w:t>
      </w:r>
      <w:bookmarkEnd w:id="71"/>
      <w:r w:rsidR="00657F2A" w:rsidRPr="00576502">
        <w:rPr>
          <w:b/>
          <w:i/>
        </w:rPr>
        <w:t>2</w:t>
      </w:r>
      <w:r w:rsidR="005D677F">
        <w:rPr>
          <w:b/>
          <w:i/>
        </w:rPr>
        <w:t>5</w:t>
      </w:r>
    </w:p>
    <w:tbl>
      <w:tblPr>
        <w:tblW w:w="11571" w:type="dxa"/>
        <w:tblInd w:w="-916" w:type="dxa"/>
        <w:tblLayout w:type="fixed"/>
        <w:tblCellMar>
          <w:left w:w="30" w:type="dxa"/>
          <w:right w:w="30" w:type="dxa"/>
        </w:tblCellMar>
        <w:tblLook w:val="0000" w:firstRow="0" w:lastRow="0" w:firstColumn="0" w:lastColumn="0" w:noHBand="0" w:noVBand="0"/>
      </w:tblPr>
      <w:tblGrid>
        <w:gridCol w:w="2357"/>
        <w:gridCol w:w="861"/>
        <w:gridCol w:w="861"/>
        <w:gridCol w:w="861"/>
        <w:gridCol w:w="861"/>
        <w:gridCol w:w="861"/>
        <w:gridCol w:w="861"/>
        <w:gridCol w:w="1012"/>
        <w:gridCol w:w="1012"/>
        <w:gridCol w:w="1012"/>
        <w:gridCol w:w="1012"/>
      </w:tblGrid>
      <w:tr w:rsidR="0090515A" w:rsidRPr="00576502" w14:paraId="5867547A" w14:textId="71668AC4" w:rsidTr="0090515A">
        <w:trPr>
          <w:trHeight w:val="227"/>
        </w:trPr>
        <w:tc>
          <w:tcPr>
            <w:tcW w:w="2357" w:type="dxa"/>
            <w:vMerge w:val="restart"/>
            <w:tcBorders>
              <w:top w:val="single" w:sz="6" w:space="0" w:color="auto"/>
              <w:left w:val="single" w:sz="6" w:space="0" w:color="auto"/>
              <w:right w:val="single" w:sz="6" w:space="0" w:color="auto"/>
            </w:tcBorders>
            <w:shd w:val="clear" w:color="auto" w:fill="BFBFBF"/>
            <w:vAlign w:val="center"/>
          </w:tcPr>
          <w:p w14:paraId="04E9E418" w14:textId="77777777" w:rsidR="0090515A" w:rsidRPr="00576502" w:rsidRDefault="0090515A" w:rsidP="007375E5">
            <w:pPr>
              <w:autoSpaceDE w:val="0"/>
              <w:autoSpaceDN w:val="0"/>
              <w:adjustRightInd w:val="0"/>
              <w:contextualSpacing/>
              <w:rPr>
                <w:rFonts w:cs="Arial"/>
                <w:b/>
                <w:bCs/>
                <w:sz w:val="18"/>
                <w:szCs w:val="18"/>
              </w:rPr>
            </w:pPr>
            <w:r w:rsidRPr="00576502">
              <w:rPr>
                <w:rFonts w:cs="Arial"/>
                <w:b/>
                <w:bCs/>
                <w:sz w:val="18"/>
                <w:szCs w:val="18"/>
              </w:rPr>
              <w:t>Státní podnik Povodí</w:t>
            </w:r>
          </w:p>
        </w:tc>
        <w:tc>
          <w:tcPr>
            <w:tcW w:w="861" w:type="dxa"/>
            <w:tcBorders>
              <w:top w:val="single" w:sz="6" w:space="0" w:color="auto"/>
              <w:left w:val="single" w:sz="6" w:space="0" w:color="auto"/>
              <w:bottom w:val="single" w:sz="6" w:space="0" w:color="auto"/>
              <w:right w:val="single" w:sz="6" w:space="0" w:color="auto"/>
            </w:tcBorders>
            <w:shd w:val="clear" w:color="auto" w:fill="BFBFBF"/>
            <w:vAlign w:val="center"/>
          </w:tcPr>
          <w:p w14:paraId="1BE02777" w14:textId="11B3267A" w:rsidR="0090515A" w:rsidRPr="00576502" w:rsidRDefault="0090515A" w:rsidP="007375E5">
            <w:pPr>
              <w:autoSpaceDE w:val="0"/>
              <w:autoSpaceDN w:val="0"/>
              <w:adjustRightInd w:val="0"/>
              <w:contextualSpacing/>
              <w:jc w:val="center"/>
              <w:rPr>
                <w:rFonts w:cs="Arial"/>
                <w:b/>
                <w:bCs/>
                <w:sz w:val="18"/>
                <w:szCs w:val="18"/>
              </w:rPr>
            </w:pPr>
            <w:r w:rsidRPr="00576502">
              <w:rPr>
                <w:rFonts w:cs="Arial"/>
                <w:b/>
                <w:bCs/>
                <w:sz w:val="18"/>
                <w:szCs w:val="18"/>
              </w:rPr>
              <w:t>2016</w:t>
            </w:r>
          </w:p>
        </w:tc>
        <w:tc>
          <w:tcPr>
            <w:tcW w:w="861" w:type="dxa"/>
            <w:tcBorders>
              <w:top w:val="single" w:sz="6" w:space="0" w:color="auto"/>
              <w:left w:val="single" w:sz="6" w:space="0" w:color="auto"/>
              <w:bottom w:val="single" w:sz="6" w:space="0" w:color="auto"/>
              <w:right w:val="single" w:sz="6" w:space="0" w:color="auto"/>
            </w:tcBorders>
            <w:shd w:val="clear" w:color="auto" w:fill="BFBFBF"/>
            <w:vAlign w:val="center"/>
          </w:tcPr>
          <w:p w14:paraId="0156C34C" w14:textId="20D7C2AE" w:rsidR="0090515A" w:rsidRPr="00576502" w:rsidRDefault="0090515A" w:rsidP="007375E5">
            <w:pPr>
              <w:autoSpaceDE w:val="0"/>
              <w:autoSpaceDN w:val="0"/>
              <w:adjustRightInd w:val="0"/>
              <w:contextualSpacing/>
              <w:jc w:val="center"/>
              <w:rPr>
                <w:rFonts w:cs="Arial"/>
                <w:b/>
                <w:bCs/>
                <w:sz w:val="18"/>
                <w:szCs w:val="18"/>
              </w:rPr>
            </w:pPr>
            <w:r w:rsidRPr="00576502">
              <w:rPr>
                <w:rFonts w:cs="Arial"/>
                <w:b/>
                <w:bCs/>
                <w:sz w:val="18"/>
                <w:szCs w:val="18"/>
              </w:rPr>
              <w:t>2017</w:t>
            </w:r>
          </w:p>
        </w:tc>
        <w:tc>
          <w:tcPr>
            <w:tcW w:w="861" w:type="dxa"/>
            <w:tcBorders>
              <w:top w:val="single" w:sz="6" w:space="0" w:color="auto"/>
              <w:left w:val="single" w:sz="6" w:space="0" w:color="auto"/>
              <w:bottom w:val="single" w:sz="6" w:space="0" w:color="auto"/>
              <w:right w:val="single" w:sz="6" w:space="0" w:color="auto"/>
            </w:tcBorders>
            <w:shd w:val="clear" w:color="auto" w:fill="BFBFBF"/>
          </w:tcPr>
          <w:p w14:paraId="788EDD86" w14:textId="10545512" w:rsidR="0090515A" w:rsidRPr="00576502" w:rsidRDefault="0090515A" w:rsidP="007375E5">
            <w:pPr>
              <w:autoSpaceDE w:val="0"/>
              <w:autoSpaceDN w:val="0"/>
              <w:adjustRightInd w:val="0"/>
              <w:contextualSpacing/>
              <w:jc w:val="center"/>
              <w:rPr>
                <w:rFonts w:cs="Arial"/>
                <w:b/>
                <w:bCs/>
                <w:sz w:val="18"/>
                <w:szCs w:val="18"/>
              </w:rPr>
            </w:pPr>
            <w:r w:rsidRPr="00576502">
              <w:rPr>
                <w:rFonts w:cs="Arial"/>
                <w:b/>
                <w:bCs/>
                <w:sz w:val="18"/>
                <w:szCs w:val="18"/>
              </w:rPr>
              <w:t>2018</w:t>
            </w:r>
          </w:p>
        </w:tc>
        <w:tc>
          <w:tcPr>
            <w:tcW w:w="861" w:type="dxa"/>
            <w:tcBorders>
              <w:top w:val="single" w:sz="6" w:space="0" w:color="auto"/>
              <w:left w:val="single" w:sz="6" w:space="0" w:color="auto"/>
              <w:bottom w:val="single" w:sz="6" w:space="0" w:color="auto"/>
              <w:right w:val="single" w:sz="6" w:space="0" w:color="auto"/>
            </w:tcBorders>
            <w:shd w:val="clear" w:color="auto" w:fill="BFBFBF"/>
          </w:tcPr>
          <w:p w14:paraId="1BD55040" w14:textId="0E504E70" w:rsidR="0090515A" w:rsidRPr="00576502" w:rsidRDefault="0090515A" w:rsidP="007375E5">
            <w:pPr>
              <w:autoSpaceDE w:val="0"/>
              <w:autoSpaceDN w:val="0"/>
              <w:adjustRightInd w:val="0"/>
              <w:contextualSpacing/>
              <w:jc w:val="center"/>
              <w:rPr>
                <w:rFonts w:cs="Arial"/>
                <w:b/>
                <w:bCs/>
                <w:sz w:val="18"/>
                <w:szCs w:val="18"/>
              </w:rPr>
            </w:pPr>
            <w:r w:rsidRPr="00576502">
              <w:rPr>
                <w:rFonts w:cs="Arial"/>
                <w:b/>
                <w:bCs/>
                <w:sz w:val="18"/>
                <w:szCs w:val="18"/>
              </w:rPr>
              <w:t>2019</w:t>
            </w:r>
          </w:p>
        </w:tc>
        <w:tc>
          <w:tcPr>
            <w:tcW w:w="861" w:type="dxa"/>
            <w:tcBorders>
              <w:top w:val="single" w:sz="6" w:space="0" w:color="auto"/>
              <w:left w:val="single" w:sz="6" w:space="0" w:color="auto"/>
              <w:bottom w:val="single" w:sz="6" w:space="0" w:color="auto"/>
              <w:right w:val="single" w:sz="6" w:space="0" w:color="auto"/>
            </w:tcBorders>
            <w:shd w:val="clear" w:color="auto" w:fill="BFBFBF"/>
          </w:tcPr>
          <w:p w14:paraId="61745BEC" w14:textId="39DDC953" w:rsidR="0090515A" w:rsidRPr="00576502" w:rsidRDefault="0090515A" w:rsidP="007375E5">
            <w:pPr>
              <w:autoSpaceDE w:val="0"/>
              <w:autoSpaceDN w:val="0"/>
              <w:adjustRightInd w:val="0"/>
              <w:contextualSpacing/>
              <w:jc w:val="center"/>
              <w:rPr>
                <w:rFonts w:cs="Arial"/>
                <w:b/>
                <w:bCs/>
                <w:sz w:val="18"/>
                <w:szCs w:val="18"/>
              </w:rPr>
            </w:pPr>
            <w:r w:rsidRPr="00576502">
              <w:rPr>
                <w:rFonts w:cs="Arial"/>
                <w:b/>
                <w:bCs/>
                <w:sz w:val="18"/>
                <w:szCs w:val="18"/>
              </w:rPr>
              <w:t>2020</w:t>
            </w:r>
          </w:p>
        </w:tc>
        <w:tc>
          <w:tcPr>
            <w:tcW w:w="861" w:type="dxa"/>
            <w:tcBorders>
              <w:top w:val="single" w:sz="6" w:space="0" w:color="auto"/>
              <w:left w:val="single" w:sz="6" w:space="0" w:color="auto"/>
              <w:bottom w:val="single" w:sz="6" w:space="0" w:color="auto"/>
              <w:right w:val="single" w:sz="6" w:space="0" w:color="auto"/>
            </w:tcBorders>
            <w:shd w:val="clear" w:color="auto" w:fill="BFBFBF"/>
          </w:tcPr>
          <w:p w14:paraId="47F7612C" w14:textId="0C813632" w:rsidR="0090515A" w:rsidRPr="00576502" w:rsidRDefault="0090515A" w:rsidP="007375E5">
            <w:pPr>
              <w:autoSpaceDE w:val="0"/>
              <w:autoSpaceDN w:val="0"/>
              <w:adjustRightInd w:val="0"/>
              <w:contextualSpacing/>
              <w:jc w:val="center"/>
              <w:rPr>
                <w:rFonts w:cs="Arial"/>
                <w:b/>
                <w:bCs/>
                <w:sz w:val="18"/>
                <w:szCs w:val="18"/>
              </w:rPr>
            </w:pPr>
            <w:r w:rsidRPr="00576502">
              <w:rPr>
                <w:rFonts w:cs="Arial"/>
                <w:b/>
                <w:bCs/>
                <w:sz w:val="18"/>
                <w:szCs w:val="18"/>
              </w:rPr>
              <w:t>2021</w:t>
            </w:r>
          </w:p>
        </w:tc>
        <w:tc>
          <w:tcPr>
            <w:tcW w:w="1012" w:type="dxa"/>
            <w:tcBorders>
              <w:top w:val="single" w:sz="6" w:space="0" w:color="auto"/>
              <w:left w:val="single" w:sz="6" w:space="0" w:color="auto"/>
              <w:bottom w:val="single" w:sz="6" w:space="0" w:color="auto"/>
              <w:right w:val="single" w:sz="6" w:space="0" w:color="auto"/>
            </w:tcBorders>
            <w:shd w:val="clear" w:color="auto" w:fill="BFBFBF"/>
          </w:tcPr>
          <w:p w14:paraId="7857B929" w14:textId="6F71EC13" w:rsidR="0090515A" w:rsidRPr="00576502" w:rsidDel="007E7EDE" w:rsidRDefault="0090515A" w:rsidP="007375E5">
            <w:pPr>
              <w:autoSpaceDE w:val="0"/>
              <w:autoSpaceDN w:val="0"/>
              <w:adjustRightInd w:val="0"/>
              <w:contextualSpacing/>
              <w:jc w:val="center"/>
              <w:rPr>
                <w:rFonts w:cs="Arial"/>
                <w:b/>
                <w:bCs/>
                <w:sz w:val="18"/>
                <w:szCs w:val="18"/>
              </w:rPr>
            </w:pPr>
            <w:r w:rsidRPr="00576502">
              <w:rPr>
                <w:rFonts w:cs="Arial"/>
                <w:b/>
                <w:bCs/>
                <w:sz w:val="18"/>
                <w:szCs w:val="18"/>
              </w:rPr>
              <w:t>2022</w:t>
            </w:r>
          </w:p>
        </w:tc>
        <w:tc>
          <w:tcPr>
            <w:tcW w:w="1012" w:type="dxa"/>
            <w:tcBorders>
              <w:top w:val="single" w:sz="6" w:space="0" w:color="auto"/>
              <w:left w:val="single" w:sz="6" w:space="0" w:color="auto"/>
              <w:bottom w:val="single" w:sz="6" w:space="0" w:color="auto"/>
              <w:right w:val="single" w:sz="6" w:space="0" w:color="auto"/>
            </w:tcBorders>
            <w:shd w:val="clear" w:color="auto" w:fill="BFBFBF"/>
          </w:tcPr>
          <w:p w14:paraId="33B31E93" w14:textId="7957A7AB" w:rsidR="0090515A" w:rsidRPr="00576502" w:rsidRDefault="0090515A" w:rsidP="007375E5">
            <w:pPr>
              <w:autoSpaceDE w:val="0"/>
              <w:autoSpaceDN w:val="0"/>
              <w:adjustRightInd w:val="0"/>
              <w:contextualSpacing/>
              <w:jc w:val="center"/>
              <w:rPr>
                <w:rFonts w:cs="Arial"/>
                <w:b/>
                <w:bCs/>
                <w:sz w:val="18"/>
                <w:szCs w:val="18"/>
              </w:rPr>
            </w:pPr>
            <w:r w:rsidRPr="00576502">
              <w:rPr>
                <w:rFonts w:cs="Arial"/>
                <w:b/>
                <w:bCs/>
                <w:sz w:val="18"/>
                <w:szCs w:val="18"/>
              </w:rPr>
              <w:t>2023</w:t>
            </w:r>
          </w:p>
        </w:tc>
        <w:tc>
          <w:tcPr>
            <w:tcW w:w="1012" w:type="dxa"/>
            <w:tcBorders>
              <w:top w:val="single" w:sz="6" w:space="0" w:color="auto"/>
              <w:left w:val="single" w:sz="6" w:space="0" w:color="auto"/>
              <w:bottom w:val="single" w:sz="6" w:space="0" w:color="auto"/>
              <w:right w:val="single" w:sz="6" w:space="0" w:color="auto"/>
            </w:tcBorders>
            <w:shd w:val="clear" w:color="auto" w:fill="BFBFBF"/>
          </w:tcPr>
          <w:p w14:paraId="022ECFE2" w14:textId="13FDAA46" w:rsidR="0090515A" w:rsidRPr="00576502" w:rsidRDefault="0090515A" w:rsidP="007375E5">
            <w:pPr>
              <w:autoSpaceDE w:val="0"/>
              <w:autoSpaceDN w:val="0"/>
              <w:adjustRightInd w:val="0"/>
              <w:contextualSpacing/>
              <w:jc w:val="center"/>
              <w:rPr>
                <w:rFonts w:cs="Arial"/>
                <w:b/>
                <w:bCs/>
                <w:sz w:val="18"/>
                <w:szCs w:val="18"/>
              </w:rPr>
            </w:pPr>
            <w:r w:rsidRPr="00576502">
              <w:rPr>
                <w:rFonts w:cs="Arial"/>
                <w:b/>
                <w:bCs/>
                <w:sz w:val="18"/>
                <w:szCs w:val="18"/>
              </w:rPr>
              <w:t>2024</w:t>
            </w:r>
          </w:p>
        </w:tc>
        <w:tc>
          <w:tcPr>
            <w:tcW w:w="1012" w:type="dxa"/>
            <w:tcBorders>
              <w:top w:val="single" w:sz="6" w:space="0" w:color="auto"/>
              <w:left w:val="single" w:sz="6" w:space="0" w:color="auto"/>
              <w:bottom w:val="single" w:sz="6" w:space="0" w:color="auto"/>
              <w:right w:val="single" w:sz="6" w:space="0" w:color="auto"/>
            </w:tcBorders>
            <w:shd w:val="clear" w:color="auto" w:fill="BFBFBF"/>
          </w:tcPr>
          <w:p w14:paraId="05E66469" w14:textId="2AB0A224" w:rsidR="0090515A" w:rsidRPr="00576502" w:rsidRDefault="0090515A" w:rsidP="007375E5">
            <w:pPr>
              <w:autoSpaceDE w:val="0"/>
              <w:autoSpaceDN w:val="0"/>
              <w:adjustRightInd w:val="0"/>
              <w:contextualSpacing/>
              <w:jc w:val="center"/>
              <w:rPr>
                <w:rFonts w:cs="Arial"/>
                <w:b/>
                <w:bCs/>
                <w:sz w:val="18"/>
                <w:szCs w:val="18"/>
              </w:rPr>
            </w:pPr>
            <w:r w:rsidRPr="00576502">
              <w:rPr>
                <w:rFonts w:cs="Arial"/>
                <w:b/>
                <w:bCs/>
                <w:sz w:val="18"/>
                <w:szCs w:val="18"/>
              </w:rPr>
              <w:t>2025</w:t>
            </w:r>
          </w:p>
        </w:tc>
      </w:tr>
      <w:tr w:rsidR="0090515A" w:rsidRPr="00576502" w14:paraId="1875D383" w14:textId="1521C450" w:rsidTr="008F4435">
        <w:trPr>
          <w:trHeight w:val="227"/>
        </w:trPr>
        <w:tc>
          <w:tcPr>
            <w:tcW w:w="2357" w:type="dxa"/>
            <w:vMerge/>
            <w:tcBorders>
              <w:left w:val="single" w:sz="6" w:space="0" w:color="auto"/>
              <w:bottom w:val="single" w:sz="6" w:space="0" w:color="auto"/>
              <w:right w:val="single" w:sz="6" w:space="0" w:color="auto"/>
            </w:tcBorders>
            <w:shd w:val="clear" w:color="auto" w:fill="BFBFBF"/>
            <w:vAlign w:val="center"/>
          </w:tcPr>
          <w:p w14:paraId="0F20AC75" w14:textId="77777777" w:rsidR="0090515A" w:rsidRPr="00576502" w:rsidRDefault="0090515A" w:rsidP="00FC217A">
            <w:pPr>
              <w:autoSpaceDE w:val="0"/>
              <w:autoSpaceDN w:val="0"/>
              <w:adjustRightInd w:val="0"/>
              <w:contextualSpacing/>
              <w:rPr>
                <w:rFonts w:cs="Arial"/>
                <w:b/>
                <w:bCs/>
                <w:sz w:val="18"/>
                <w:szCs w:val="18"/>
              </w:rPr>
            </w:pPr>
          </w:p>
        </w:tc>
        <w:tc>
          <w:tcPr>
            <w:tcW w:w="861" w:type="dxa"/>
            <w:tcBorders>
              <w:left w:val="single" w:sz="6" w:space="0" w:color="auto"/>
              <w:bottom w:val="single" w:sz="6" w:space="0" w:color="auto"/>
              <w:right w:val="single" w:sz="6" w:space="0" w:color="auto"/>
            </w:tcBorders>
            <w:shd w:val="clear" w:color="auto" w:fill="BFBFBF"/>
          </w:tcPr>
          <w:p w14:paraId="7384B9B3" w14:textId="77777777" w:rsidR="0090515A" w:rsidRPr="00576502" w:rsidRDefault="0090515A" w:rsidP="00FC217A">
            <w:pPr>
              <w:autoSpaceDE w:val="0"/>
              <w:autoSpaceDN w:val="0"/>
              <w:adjustRightInd w:val="0"/>
              <w:contextualSpacing/>
              <w:jc w:val="center"/>
              <w:rPr>
                <w:rFonts w:cs="Arial"/>
                <w:b/>
                <w:sz w:val="18"/>
                <w:szCs w:val="18"/>
              </w:rPr>
            </w:pPr>
          </w:p>
        </w:tc>
        <w:tc>
          <w:tcPr>
            <w:tcW w:w="8353" w:type="dxa"/>
            <w:gridSpan w:val="9"/>
            <w:tcBorders>
              <w:top w:val="single" w:sz="6" w:space="0" w:color="auto"/>
              <w:left w:val="single" w:sz="6" w:space="0" w:color="auto"/>
              <w:bottom w:val="single" w:sz="6" w:space="0" w:color="auto"/>
              <w:right w:val="single" w:sz="6" w:space="0" w:color="auto"/>
            </w:tcBorders>
            <w:shd w:val="clear" w:color="auto" w:fill="BFBFBF"/>
            <w:vAlign w:val="center"/>
          </w:tcPr>
          <w:p w14:paraId="4B74F88B" w14:textId="77E6BDB7" w:rsidR="0090515A" w:rsidRPr="00576502" w:rsidRDefault="0090515A" w:rsidP="00FC217A">
            <w:pPr>
              <w:autoSpaceDE w:val="0"/>
              <w:autoSpaceDN w:val="0"/>
              <w:adjustRightInd w:val="0"/>
              <w:contextualSpacing/>
              <w:jc w:val="center"/>
              <w:rPr>
                <w:rFonts w:cs="Arial"/>
                <w:b/>
                <w:sz w:val="18"/>
                <w:szCs w:val="18"/>
              </w:rPr>
            </w:pPr>
            <w:r w:rsidRPr="00576502">
              <w:rPr>
                <w:rFonts w:cs="Arial"/>
                <w:b/>
                <w:sz w:val="18"/>
                <w:szCs w:val="18"/>
              </w:rPr>
              <w:t>Kč/m</w:t>
            </w:r>
            <w:r w:rsidRPr="00576502">
              <w:rPr>
                <w:rFonts w:cs="Arial"/>
                <w:b/>
                <w:sz w:val="18"/>
                <w:szCs w:val="18"/>
                <w:vertAlign w:val="superscript"/>
              </w:rPr>
              <w:t>3</w:t>
            </w:r>
          </w:p>
        </w:tc>
      </w:tr>
      <w:tr w:rsidR="00576502" w:rsidRPr="00576502" w14:paraId="16C2B0A7" w14:textId="6857286F" w:rsidTr="007344EA">
        <w:trPr>
          <w:trHeight w:val="227"/>
        </w:trPr>
        <w:tc>
          <w:tcPr>
            <w:tcW w:w="2357" w:type="dxa"/>
            <w:tcBorders>
              <w:top w:val="single" w:sz="6" w:space="0" w:color="auto"/>
              <w:left w:val="single" w:sz="6" w:space="0" w:color="auto"/>
              <w:bottom w:val="single" w:sz="6" w:space="0" w:color="auto"/>
              <w:right w:val="single" w:sz="6" w:space="0" w:color="auto"/>
            </w:tcBorders>
            <w:shd w:val="clear" w:color="auto" w:fill="BFBFBF"/>
            <w:vAlign w:val="center"/>
          </w:tcPr>
          <w:p w14:paraId="7B400009" w14:textId="77777777" w:rsidR="00576502" w:rsidRPr="00576502" w:rsidRDefault="00576502" w:rsidP="00576502">
            <w:pPr>
              <w:autoSpaceDE w:val="0"/>
              <w:autoSpaceDN w:val="0"/>
              <w:adjustRightInd w:val="0"/>
              <w:contextualSpacing/>
              <w:rPr>
                <w:rFonts w:cs="Arial"/>
                <w:b/>
                <w:sz w:val="18"/>
                <w:szCs w:val="18"/>
              </w:rPr>
            </w:pPr>
            <w:r w:rsidRPr="00576502">
              <w:rPr>
                <w:rFonts w:cs="Arial"/>
                <w:b/>
                <w:sz w:val="18"/>
                <w:szCs w:val="18"/>
              </w:rPr>
              <w:t xml:space="preserve">Labe </w:t>
            </w:r>
          </w:p>
        </w:tc>
        <w:tc>
          <w:tcPr>
            <w:tcW w:w="861" w:type="dxa"/>
            <w:tcBorders>
              <w:top w:val="single" w:sz="6" w:space="0" w:color="auto"/>
              <w:left w:val="single" w:sz="6" w:space="0" w:color="auto"/>
              <w:bottom w:val="single" w:sz="6" w:space="0" w:color="auto"/>
              <w:right w:val="single" w:sz="6" w:space="0" w:color="auto"/>
            </w:tcBorders>
            <w:vAlign w:val="center"/>
          </w:tcPr>
          <w:p w14:paraId="614E42FE" w14:textId="08054FEA" w:rsidR="00576502" w:rsidRPr="00576502" w:rsidRDefault="00576502" w:rsidP="00576502">
            <w:pPr>
              <w:autoSpaceDE w:val="0"/>
              <w:autoSpaceDN w:val="0"/>
              <w:adjustRightInd w:val="0"/>
              <w:contextualSpacing/>
              <w:jc w:val="center"/>
              <w:rPr>
                <w:rFonts w:cs="Arial"/>
                <w:sz w:val="18"/>
                <w:szCs w:val="18"/>
              </w:rPr>
            </w:pPr>
            <w:r w:rsidRPr="00576502">
              <w:rPr>
                <w:rFonts w:cs="Arial"/>
                <w:sz w:val="18"/>
                <w:szCs w:val="18"/>
              </w:rPr>
              <w:t>4,49</w:t>
            </w:r>
          </w:p>
        </w:tc>
        <w:tc>
          <w:tcPr>
            <w:tcW w:w="861" w:type="dxa"/>
            <w:tcBorders>
              <w:top w:val="single" w:sz="6" w:space="0" w:color="auto"/>
              <w:left w:val="single" w:sz="6" w:space="0" w:color="auto"/>
              <w:bottom w:val="single" w:sz="6" w:space="0" w:color="auto"/>
              <w:right w:val="single" w:sz="6" w:space="0" w:color="auto"/>
            </w:tcBorders>
            <w:vAlign w:val="center"/>
          </w:tcPr>
          <w:p w14:paraId="126CEF81" w14:textId="4ED77A55" w:rsidR="00576502" w:rsidRPr="00576502" w:rsidRDefault="00576502" w:rsidP="00576502">
            <w:pPr>
              <w:autoSpaceDE w:val="0"/>
              <w:autoSpaceDN w:val="0"/>
              <w:adjustRightInd w:val="0"/>
              <w:contextualSpacing/>
              <w:jc w:val="center"/>
              <w:rPr>
                <w:rFonts w:cs="Arial"/>
                <w:sz w:val="18"/>
                <w:szCs w:val="18"/>
              </w:rPr>
            </w:pPr>
            <w:r w:rsidRPr="00576502">
              <w:rPr>
                <w:rFonts w:cs="Arial"/>
                <w:sz w:val="18"/>
                <w:szCs w:val="18"/>
              </w:rPr>
              <w:t>4,58</w:t>
            </w:r>
          </w:p>
        </w:tc>
        <w:tc>
          <w:tcPr>
            <w:tcW w:w="861" w:type="dxa"/>
            <w:tcBorders>
              <w:top w:val="single" w:sz="6" w:space="0" w:color="auto"/>
              <w:left w:val="single" w:sz="6" w:space="0" w:color="auto"/>
              <w:bottom w:val="single" w:sz="6" w:space="0" w:color="auto"/>
              <w:right w:val="single" w:sz="6" w:space="0" w:color="auto"/>
            </w:tcBorders>
            <w:vAlign w:val="center"/>
          </w:tcPr>
          <w:p w14:paraId="782CEA8C" w14:textId="3B7CDCCE" w:rsidR="00576502" w:rsidRPr="00576502" w:rsidRDefault="00576502" w:rsidP="00576502">
            <w:pPr>
              <w:autoSpaceDE w:val="0"/>
              <w:autoSpaceDN w:val="0"/>
              <w:adjustRightInd w:val="0"/>
              <w:contextualSpacing/>
              <w:jc w:val="center"/>
              <w:rPr>
                <w:rFonts w:cs="Arial"/>
                <w:sz w:val="18"/>
                <w:szCs w:val="18"/>
              </w:rPr>
            </w:pPr>
            <w:r w:rsidRPr="00576502">
              <w:rPr>
                <w:rFonts w:cs="Arial"/>
                <w:sz w:val="18"/>
                <w:szCs w:val="18"/>
              </w:rPr>
              <w:t>4,72</w:t>
            </w:r>
          </w:p>
        </w:tc>
        <w:tc>
          <w:tcPr>
            <w:tcW w:w="861" w:type="dxa"/>
            <w:tcBorders>
              <w:top w:val="single" w:sz="6" w:space="0" w:color="auto"/>
              <w:left w:val="single" w:sz="6" w:space="0" w:color="auto"/>
              <w:bottom w:val="single" w:sz="6" w:space="0" w:color="auto"/>
              <w:right w:val="single" w:sz="6" w:space="0" w:color="auto"/>
            </w:tcBorders>
            <w:vAlign w:val="center"/>
          </w:tcPr>
          <w:p w14:paraId="6E2EF006" w14:textId="402FA114" w:rsidR="00576502" w:rsidRPr="00576502" w:rsidRDefault="00576502" w:rsidP="00576502">
            <w:pPr>
              <w:autoSpaceDE w:val="0"/>
              <w:autoSpaceDN w:val="0"/>
              <w:adjustRightInd w:val="0"/>
              <w:contextualSpacing/>
              <w:jc w:val="center"/>
              <w:rPr>
                <w:rFonts w:cs="Arial"/>
                <w:sz w:val="18"/>
                <w:szCs w:val="18"/>
              </w:rPr>
            </w:pPr>
            <w:r w:rsidRPr="00576502">
              <w:rPr>
                <w:rFonts w:cs="Arial"/>
                <w:sz w:val="18"/>
                <w:szCs w:val="18"/>
              </w:rPr>
              <w:t>4,82</w:t>
            </w:r>
          </w:p>
        </w:tc>
        <w:tc>
          <w:tcPr>
            <w:tcW w:w="861" w:type="dxa"/>
            <w:tcBorders>
              <w:top w:val="single" w:sz="6" w:space="0" w:color="auto"/>
              <w:left w:val="single" w:sz="6" w:space="0" w:color="auto"/>
              <w:bottom w:val="single" w:sz="6" w:space="0" w:color="auto"/>
              <w:right w:val="single" w:sz="6" w:space="0" w:color="auto"/>
            </w:tcBorders>
            <w:vAlign w:val="center"/>
          </w:tcPr>
          <w:p w14:paraId="19BAF711" w14:textId="7E4358B9" w:rsidR="00576502" w:rsidRPr="00576502" w:rsidRDefault="00576502" w:rsidP="00576502">
            <w:pPr>
              <w:contextualSpacing/>
              <w:jc w:val="center"/>
              <w:rPr>
                <w:rFonts w:cs="Arial"/>
                <w:sz w:val="18"/>
                <w:szCs w:val="18"/>
              </w:rPr>
            </w:pPr>
            <w:r w:rsidRPr="00576502">
              <w:rPr>
                <w:rFonts w:cs="Arial"/>
                <w:sz w:val="18"/>
                <w:szCs w:val="18"/>
              </w:rPr>
              <w:t>4,99</w:t>
            </w:r>
          </w:p>
        </w:tc>
        <w:tc>
          <w:tcPr>
            <w:tcW w:w="861" w:type="dxa"/>
            <w:tcBorders>
              <w:top w:val="single" w:sz="6" w:space="0" w:color="auto"/>
              <w:left w:val="single" w:sz="6" w:space="0" w:color="auto"/>
              <w:bottom w:val="single" w:sz="6" w:space="0" w:color="auto"/>
              <w:right w:val="single" w:sz="6" w:space="0" w:color="auto"/>
            </w:tcBorders>
            <w:vAlign w:val="bottom"/>
          </w:tcPr>
          <w:p w14:paraId="34A4F568" w14:textId="78AFB6F3" w:rsidR="00576502" w:rsidRPr="00576502" w:rsidRDefault="00576502" w:rsidP="00576502">
            <w:pPr>
              <w:contextualSpacing/>
              <w:jc w:val="center"/>
              <w:rPr>
                <w:rFonts w:cs="Arial"/>
                <w:sz w:val="18"/>
                <w:szCs w:val="18"/>
              </w:rPr>
            </w:pPr>
            <w:r w:rsidRPr="00576502">
              <w:rPr>
                <w:rFonts w:cs="Arial"/>
                <w:sz w:val="18"/>
                <w:szCs w:val="18"/>
              </w:rPr>
              <w:t>5,38</w:t>
            </w:r>
          </w:p>
        </w:tc>
        <w:tc>
          <w:tcPr>
            <w:tcW w:w="1012" w:type="dxa"/>
            <w:tcBorders>
              <w:top w:val="single" w:sz="6" w:space="0" w:color="auto"/>
              <w:left w:val="single" w:sz="6" w:space="0" w:color="auto"/>
              <w:bottom w:val="single" w:sz="6" w:space="0" w:color="auto"/>
              <w:right w:val="single" w:sz="6" w:space="0" w:color="auto"/>
            </w:tcBorders>
            <w:vAlign w:val="bottom"/>
          </w:tcPr>
          <w:p w14:paraId="37677365" w14:textId="34B8E236" w:rsidR="00576502" w:rsidRPr="00576502" w:rsidRDefault="00576502" w:rsidP="00576502">
            <w:pPr>
              <w:contextualSpacing/>
              <w:jc w:val="center"/>
              <w:rPr>
                <w:rFonts w:cs="Arial"/>
                <w:sz w:val="18"/>
                <w:szCs w:val="18"/>
              </w:rPr>
            </w:pPr>
            <w:r w:rsidRPr="00576502">
              <w:rPr>
                <w:rFonts w:cs="Arial"/>
                <w:color w:val="000000"/>
                <w:sz w:val="18"/>
                <w:szCs w:val="18"/>
              </w:rPr>
              <w:t>5,57</w:t>
            </w:r>
          </w:p>
        </w:tc>
        <w:tc>
          <w:tcPr>
            <w:tcW w:w="1012" w:type="dxa"/>
            <w:tcBorders>
              <w:top w:val="single" w:sz="6" w:space="0" w:color="auto"/>
              <w:left w:val="single" w:sz="6" w:space="0" w:color="auto"/>
              <w:bottom w:val="single" w:sz="6" w:space="0" w:color="auto"/>
              <w:right w:val="single" w:sz="6" w:space="0" w:color="auto"/>
            </w:tcBorders>
            <w:vAlign w:val="bottom"/>
          </w:tcPr>
          <w:p w14:paraId="3E2C60CF" w14:textId="59840C13" w:rsidR="00576502" w:rsidRPr="00576502" w:rsidRDefault="00576502" w:rsidP="00576502">
            <w:pPr>
              <w:contextualSpacing/>
              <w:jc w:val="center"/>
              <w:rPr>
                <w:rFonts w:cs="Arial"/>
                <w:color w:val="000000"/>
                <w:sz w:val="18"/>
                <w:szCs w:val="18"/>
              </w:rPr>
            </w:pPr>
            <w:r w:rsidRPr="00576502">
              <w:rPr>
                <w:rFonts w:cs="Arial"/>
                <w:sz w:val="18"/>
                <w:szCs w:val="18"/>
              </w:rPr>
              <w:t xml:space="preserve">   6,18 </w:t>
            </w:r>
            <w:r w:rsidRPr="00576502">
              <w:rPr>
                <w:rFonts w:cs="Arial"/>
                <w:color w:val="000000"/>
                <w:sz w:val="18"/>
                <w:szCs w:val="18"/>
                <w:vertAlign w:val="superscript"/>
              </w:rPr>
              <w:t>**)</w:t>
            </w:r>
          </w:p>
        </w:tc>
        <w:tc>
          <w:tcPr>
            <w:tcW w:w="1012" w:type="dxa"/>
            <w:tcBorders>
              <w:top w:val="single" w:sz="6" w:space="0" w:color="auto"/>
              <w:left w:val="single" w:sz="6" w:space="0" w:color="auto"/>
              <w:bottom w:val="single" w:sz="6" w:space="0" w:color="auto"/>
              <w:right w:val="single" w:sz="6" w:space="0" w:color="auto"/>
            </w:tcBorders>
            <w:vAlign w:val="bottom"/>
          </w:tcPr>
          <w:p w14:paraId="5A4EA86E" w14:textId="5B50A39D" w:rsidR="00576502" w:rsidRPr="00576502" w:rsidRDefault="00576502" w:rsidP="00576502">
            <w:pPr>
              <w:contextualSpacing/>
              <w:jc w:val="center"/>
              <w:rPr>
                <w:rFonts w:cs="Arial"/>
                <w:sz w:val="18"/>
                <w:szCs w:val="18"/>
              </w:rPr>
            </w:pPr>
            <w:r w:rsidRPr="00576502">
              <w:rPr>
                <w:rFonts w:cs="Arial"/>
                <w:color w:val="000000"/>
                <w:sz w:val="18"/>
                <w:szCs w:val="18"/>
              </w:rPr>
              <w:t>6,79</w:t>
            </w:r>
          </w:p>
        </w:tc>
        <w:tc>
          <w:tcPr>
            <w:tcW w:w="1012" w:type="dxa"/>
            <w:tcBorders>
              <w:top w:val="single" w:sz="6" w:space="0" w:color="auto"/>
              <w:left w:val="single" w:sz="6" w:space="0" w:color="auto"/>
              <w:bottom w:val="single" w:sz="6" w:space="0" w:color="auto"/>
              <w:right w:val="single" w:sz="6" w:space="0" w:color="auto"/>
            </w:tcBorders>
            <w:vAlign w:val="bottom"/>
          </w:tcPr>
          <w:p w14:paraId="72B708E2" w14:textId="0210685B" w:rsidR="00576502" w:rsidRPr="00576502" w:rsidRDefault="00576502" w:rsidP="00576502">
            <w:pPr>
              <w:contextualSpacing/>
              <w:jc w:val="center"/>
              <w:rPr>
                <w:rFonts w:cs="Arial"/>
                <w:color w:val="000000"/>
                <w:sz w:val="18"/>
                <w:szCs w:val="18"/>
              </w:rPr>
            </w:pPr>
            <w:r w:rsidRPr="00576502">
              <w:rPr>
                <w:rFonts w:cs="Arial"/>
                <w:color w:val="000000"/>
                <w:sz w:val="20"/>
                <w:szCs w:val="20"/>
              </w:rPr>
              <w:t>7,97</w:t>
            </w:r>
          </w:p>
        </w:tc>
      </w:tr>
      <w:tr w:rsidR="00576502" w:rsidRPr="00576502" w14:paraId="17053482" w14:textId="4569BD24" w:rsidTr="007344EA">
        <w:trPr>
          <w:trHeight w:val="227"/>
        </w:trPr>
        <w:tc>
          <w:tcPr>
            <w:tcW w:w="2357" w:type="dxa"/>
            <w:tcBorders>
              <w:top w:val="single" w:sz="6" w:space="0" w:color="auto"/>
              <w:left w:val="single" w:sz="6" w:space="0" w:color="auto"/>
              <w:bottom w:val="single" w:sz="6" w:space="0" w:color="auto"/>
              <w:right w:val="single" w:sz="6" w:space="0" w:color="auto"/>
            </w:tcBorders>
            <w:shd w:val="clear" w:color="auto" w:fill="BFBFBF"/>
            <w:vAlign w:val="center"/>
          </w:tcPr>
          <w:p w14:paraId="45FFAAAB" w14:textId="77777777" w:rsidR="00576502" w:rsidRPr="00576502" w:rsidRDefault="00576502" w:rsidP="00576502">
            <w:pPr>
              <w:autoSpaceDE w:val="0"/>
              <w:autoSpaceDN w:val="0"/>
              <w:adjustRightInd w:val="0"/>
              <w:contextualSpacing/>
              <w:rPr>
                <w:rFonts w:cs="Arial"/>
                <w:b/>
                <w:sz w:val="18"/>
                <w:szCs w:val="18"/>
              </w:rPr>
            </w:pPr>
            <w:r w:rsidRPr="00576502">
              <w:rPr>
                <w:rFonts w:cs="Arial"/>
                <w:b/>
                <w:sz w:val="18"/>
                <w:szCs w:val="18"/>
              </w:rPr>
              <w:t>Vltavy</w:t>
            </w:r>
          </w:p>
        </w:tc>
        <w:tc>
          <w:tcPr>
            <w:tcW w:w="861" w:type="dxa"/>
            <w:tcBorders>
              <w:top w:val="single" w:sz="6" w:space="0" w:color="auto"/>
              <w:left w:val="single" w:sz="6" w:space="0" w:color="auto"/>
              <w:bottom w:val="single" w:sz="6" w:space="0" w:color="auto"/>
              <w:right w:val="single" w:sz="6" w:space="0" w:color="auto"/>
            </w:tcBorders>
            <w:vAlign w:val="center"/>
          </w:tcPr>
          <w:p w14:paraId="7C433E34" w14:textId="1875D92C" w:rsidR="00576502" w:rsidRPr="00576502" w:rsidRDefault="00576502" w:rsidP="00576502">
            <w:pPr>
              <w:autoSpaceDE w:val="0"/>
              <w:autoSpaceDN w:val="0"/>
              <w:adjustRightInd w:val="0"/>
              <w:contextualSpacing/>
              <w:jc w:val="center"/>
              <w:rPr>
                <w:rFonts w:cs="Arial"/>
                <w:sz w:val="18"/>
                <w:szCs w:val="18"/>
              </w:rPr>
            </w:pPr>
            <w:r w:rsidRPr="00576502">
              <w:rPr>
                <w:rFonts w:cs="Arial"/>
                <w:sz w:val="18"/>
                <w:szCs w:val="18"/>
              </w:rPr>
              <w:t>3,69</w:t>
            </w:r>
          </w:p>
        </w:tc>
        <w:tc>
          <w:tcPr>
            <w:tcW w:w="861" w:type="dxa"/>
            <w:tcBorders>
              <w:top w:val="single" w:sz="6" w:space="0" w:color="auto"/>
              <w:left w:val="single" w:sz="6" w:space="0" w:color="auto"/>
              <w:bottom w:val="single" w:sz="6" w:space="0" w:color="auto"/>
              <w:right w:val="single" w:sz="6" w:space="0" w:color="auto"/>
            </w:tcBorders>
            <w:vAlign w:val="center"/>
          </w:tcPr>
          <w:p w14:paraId="3AB65A29" w14:textId="7C19336A" w:rsidR="00576502" w:rsidRPr="00576502" w:rsidRDefault="00576502" w:rsidP="00576502">
            <w:pPr>
              <w:autoSpaceDE w:val="0"/>
              <w:autoSpaceDN w:val="0"/>
              <w:adjustRightInd w:val="0"/>
              <w:contextualSpacing/>
              <w:jc w:val="center"/>
              <w:rPr>
                <w:rFonts w:cs="Arial"/>
                <w:sz w:val="18"/>
                <w:szCs w:val="18"/>
              </w:rPr>
            </w:pPr>
            <w:r w:rsidRPr="00576502">
              <w:rPr>
                <w:rFonts w:cs="Arial"/>
                <w:sz w:val="18"/>
                <w:szCs w:val="18"/>
              </w:rPr>
              <w:t>3,84</w:t>
            </w:r>
          </w:p>
        </w:tc>
        <w:tc>
          <w:tcPr>
            <w:tcW w:w="861" w:type="dxa"/>
            <w:tcBorders>
              <w:top w:val="single" w:sz="6" w:space="0" w:color="auto"/>
              <w:left w:val="single" w:sz="6" w:space="0" w:color="auto"/>
              <w:bottom w:val="single" w:sz="6" w:space="0" w:color="auto"/>
              <w:right w:val="single" w:sz="6" w:space="0" w:color="auto"/>
            </w:tcBorders>
            <w:vAlign w:val="center"/>
          </w:tcPr>
          <w:p w14:paraId="00ADA7BF" w14:textId="6DD65FD1" w:rsidR="00576502" w:rsidRPr="00576502" w:rsidRDefault="00576502" w:rsidP="00576502">
            <w:pPr>
              <w:autoSpaceDE w:val="0"/>
              <w:autoSpaceDN w:val="0"/>
              <w:adjustRightInd w:val="0"/>
              <w:contextualSpacing/>
              <w:jc w:val="center"/>
              <w:rPr>
                <w:rFonts w:cs="Arial"/>
                <w:sz w:val="18"/>
                <w:szCs w:val="18"/>
              </w:rPr>
            </w:pPr>
            <w:r w:rsidRPr="00576502">
              <w:rPr>
                <w:rFonts w:cs="Arial"/>
                <w:sz w:val="18"/>
                <w:szCs w:val="18"/>
              </w:rPr>
              <w:t>3,84</w:t>
            </w:r>
          </w:p>
        </w:tc>
        <w:tc>
          <w:tcPr>
            <w:tcW w:w="861" w:type="dxa"/>
            <w:tcBorders>
              <w:top w:val="single" w:sz="6" w:space="0" w:color="auto"/>
              <w:left w:val="single" w:sz="6" w:space="0" w:color="auto"/>
              <w:bottom w:val="single" w:sz="6" w:space="0" w:color="auto"/>
              <w:right w:val="single" w:sz="6" w:space="0" w:color="auto"/>
            </w:tcBorders>
            <w:vAlign w:val="center"/>
          </w:tcPr>
          <w:p w14:paraId="2108FD7D" w14:textId="5426CDEF" w:rsidR="00576502" w:rsidRPr="00576502" w:rsidRDefault="00576502" w:rsidP="00576502">
            <w:pPr>
              <w:autoSpaceDE w:val="0"/>
              <w:autoSpaceDN w:val="0"/>
              <w:adjustRightInd w:val="0"/>
              <w:contextualSpacing/>
              <w:jc w:val="center"/>
              <w:rPr>
                <w:rFonts w:cs="Arial"/>
                <w:sz w:val="18"/>
                <w:szCs w:val="18"/>
              </w:rPr>
            </w:pPr>
            <w:r w:rsidRPr="00576502">
              <w:rPr>
                <w:rFonts w:cs="Arial"/>
                <w:sz w:val="18"/>
                <w:szCs w:val="18"/>
              </w:rPr>
              <w:t>3,9</w:t>
            </w:r>
          </w:p>
        </w:tc>
        <w:tc>
          <w:tcPr>
            <w:tcW w:w="861" w:type="dxa"/>
            <w:tcBorders>
              <w:top w:val="single" w:sz="6" w:space="0" w:color="auto"/>
              <w:left w:val="single" w:sz="6" w:space="0" w:color="auto"/>
              <w:bottom w:val="single" w:sz="6" w:space="0" w:color="auto"/>
              <w:right w:val="single" w:sz="6" w:space="0" w:color="auto"/>
            </w:tcBorders>
            <w:vAlign w:val="center"/>
          </w:tcPr>
          <w:p w14:paraId="70F1799A" w14:textId="6FB73126" w:rsidR="00576502" w:rsidRPr="00576502" w:rsidRDefault="00576502" w:rsidP="00576502">
            <w:pPr>
              <w:contextualSpacing/>
              <w:jc w:val="center"/>
              <w:rPr>
                <w:rFonts w:cs="Arial"/>
                <w:sz w:val="18"/>
                <w:szCs w:val="18"/>
              </w:rPr>
            </w:pPr>
            <w:r w:rsidRPr="00576502">
              <w:rPr>
                <w:rFonts w:cs="Arial"/>
                <w:sz w:val="18"/>
                <w:szCs w:val="18"/>
              </w:rPr>
              <w:t>3,98</w:t>
            </w:r>
          </w:p>
        </w:tc>
        <w:tc>
          <w:tcPr>
            <w:tcW w:w="861" w:type="dxa"/>
            <w:tcBorders>
              <w:top w:val="single" w:sz="6" w:space="0" w:color="auto"/>
              <w:left w:val="single" w:sz="6" w:space="0" w:color="auto"/>
              <w:bottom w:val="single" w:sz="6" w:space="0" w:color="auto"/>
              <w:right w:val="single" w:sz="6" w:space="0" w:color="auto"/>
            </w:tcBorders>
            <w:vAlign w:val="bottom"/>
          </w:tcPr>
          <w:p w14:paraId="7AD30270" w14:textId="61E56B26" w:rsidR="00576502" w:rsidRPr="00576502" w:rsidRDefault="00576502" w:rsidP="00576502">
            <w:pPr>
              <w:contextualSpacing/>
              <w:jc w:val="center"/>
              <w:rPr>
                <w:rFonts w:cs="Arial"/>
                <w:sz w:val="18"/>
                <w:szCs w:val="18"/>
              </w:rPr>
            </w:pPr>
            <w:r w:rsidRPr="00576502">
              <w:rPr>
                <w:rFonts w:cs="Arial"/>
                <w:sz w:val="18"/>
                <w:szCs w:val="18"/>
              </w:rPr>
              <w:t>4,1</w:t>
            </w:r>
          </w:p>
        </w:tc>
        <w:tc>
          <w:tcPr>
            <w:tcW w:w="1012" w:type="dxa"/>
            <w:tcBorders>
              <w:top w:val="single" w:sz="6" w:space="0" w:color="auto"/>
              <w:left w:val="single" w:sz="6" w:space="0" w:color="auto"/>
              <w:bottom w:val="single" w:sz="6" w:space="0" w:color="auto"/>
              <w:right w:val="single" w:sz="6" w:space="0" w:color="auto"/>
            </w:tcBorders>
            <w:vAlign w:val="bottom"/>
          </w:tcPr>
          <w:p w14:paraId="0C118418" w14:textId="33CB09A9" w:rsidR="00576502" w:rsidRPr="00576502" w:rsidRDefault="00576502" w:rsidP="00576502">
            <w:pPr>
              <w:contextualSpacing/>
              <w:jc w:val="center"/>
              <w:rPr>
                <w:rFonts w:cs="Arial"/>
                <w:sz w:val="18"/>
                <w:szCs w:val="18"/>
              </w:rPr>
            </w:pPr>
            <w:r w:rsidRPr="00576502">
              <w:rPr>
                <w:rFonts w:cs="Arial"/>
                <w:color w:val="000000"/>
                <w:sz w:val="18"/>
                <w:szCs w:val="18"/>
              </w:rPr>
              <w:t>4,22</w:t>
            </w:r>
          </w:p>
        </w:tc>
        <w:tc>
          <w:tcPr>
            <w:tcW w:w="1012" w:type="dxa"/>
            <w:tcBorders>
              <w:top w:val="single" w:sz="6" w:space="0" w:color="auto"/>
              <w:left w:val="single" w:sz="6" w:space="0" w:color="auto"/>
              <w:bottom w:val="single" w:sz="6" w:space="0" w:color="auto"/>
              <w:right w:val="single" w:sz="6" w:space="0" w:color="auto"/>
            </w:tcBorders>
            <w:vAlign w:val="bottom"/>
          </w:tcPr>
          <w:p w14:paraId="2D885A12" w14:textId="75A8159F" w:rsidR="00576502" w:rsidRPr="00576502" w:rsidRDefault="00576502" w:rsidP="00576502">
            <w:pPr>
              <w:contextualSpacing/>
              <w:jc w:val="center"/>
              <w:rPr>
                <w:rFonts w:cs="Arial"/>
                <w:color w:val="000000"/>
                <w:sz w:val="18"/>
                <w:szCs w:val="18"/>
              </w:rPr>
            </w:pPr>
            <w:r w:rsidRPr="00576502">
              <w:rPr>
                <w:rFonts w:cs="Arial"/>
                <w:color w:val="000000"/>
                <w:sz w:val="18"/>
                <w:szCs w:val="18"/>
              </w:rPr>
              <w:t>4,42</w:t>
            </w:r>
          </w:p>
        </w:tc>
        <w:tc>
          <w:tcPr>
            <w:tcW w:w="1012" w:type="dxa"/>
            <w:tcBorders>
              <w:top w:val="single" w:sz="6" w:space="0" w:color="auto"/>
              <w:left w:val="single" w:sz="6" w:space="0" w:color="auto"/>
              <w:bottom w:val="single" w:sz="6" w:space="0" w:color="auto"/>
              <w:right w:val="single" w:sz="6" w:space="0" w:color="auto"/>
            </w:tcBorders>
            <w:vAlign w:val="bottom"/>
          </w:tcPr>
          <w:p w14:paraId="2D66B3BD" w14:textId="3FA19314" w:rsidR="00576502" w:rsidRPr="00576502" w:rsidRDefault="00576502" w:rsidP="00576502">
            <w:pPr>
              <w:contextualSpacing/>
              <w:jc w:val="center"/>
              <w:rPr>
                <w:rFonts w:cs="Arial"/>
                <w:color w:val="000000"/>
                <w:sz w:val="18"/>
                <w:szCs w:val="18"/>
              </w:rPr>
            </w:pPr>
            <w:r w:rsidRPr="00576502">
              <w:rPr>
                <w:rFonts w:cs="Arial"/>
                <w:color w:val="000000"/>
                <w:sz w:val="18"/>
                <w:szCs w:val="18"/>
              </w:rPr>
              <w:t>4,88</w:t>
            </w:r>
          </w:p>
        </w:tc>
        <w:tc>
          <w:tcPr>
            <w:tcW w:w="1012" w:type="dxa"/>
            <w:tcBorders>
              <w:top w:val="single" w:sz="6" w:space="0" w:color="auto"/>
              <w:left w:val="single" w:sz="6" w:space="0" w:color="auto"/>
              <w:bottom w:val="single" w:sz="6" w:space="0" w:color="auto"/>
              <w:right w:val="single" w:sz="6" w:space="0" w:color="auto"/>
            </w:tcBorders>
            <w:vAlign w:val="bottom"/>
          </w:tcPr>
          <w:p w14:paraId="0489E500" w14:textId="4A801EC2" w:rsidR="00576502" w:rsidRPr="00576502" w:rsidRDefault="00576502" w:rsidP="00576502">
            <w:pPr>
              <w:contextualSpacing/>
              <w:jc w:val="center"/>
              <w:rPr>
                <w:rFonts w:cs="Arial"/>
                <w:color w:val="000000"/>
                <w:sz w:val="18"/>
                <w:szCs w:val="18"/>
              </w:rPr>
            </w:pPr>
            <w:r w:rsidRPr="00576502">
              <w:rPr>
                <w:rFonts w:cs="Arial"/>
                <w:color w:val="000000"/>
                <w:sz w:val="20"/>
                <w:szCs w:val="20"/>
              </w:rPr>
              <w:t>5,06</w:t>
            </w:r>
          </w:p>
        </w:tc>
      </w:tr>
      <w:tr w:rsidR="00576502" w:rsidRPr="00576502" w14:paraId="3981C2ED" w14:textId="541F2348" w:rsidTr="007344EA">
        <w:trPr>
          <w:trHeight w:val="227"/>
        </w:trPr>
        <w:tc>
          <w:tcPr>
            <w:tcW w:w="2357" w:type="dxa"/>
            <w:tcBorders>
              <w:top w:val="single" w:sz="6" w:space="0" w:color="auto"/>
              <w:left w:val="single" w:sz="6" w:space="0" w:color="auto"/>
              <w:bottom w:val="single" w:sz="6" w:space="0" w:color="auto"/>
              <w:right w:val="single" w:sz="6" w:space="0" w:color="auto"/>
            </w:tcBorders>
            <w:shd w:val="clear" w:color="auto" w:fill="BFBFBF"/>
            <w:vAlign w:val="center"/>
          </w:tcPr>
          <w:p w14:paraId="3DBC2403" w14:textId="77777777" w:rsidR="00576502" w:rsidRPr="00576502" w:rsidRDefault="00576502" w:rsidP="00576502">
            <w:pPr>
              <w:autoSpaceDE w:val="0"/>
              <w:autoSpaceDN w:val="0"/>
              <w:adjustRightInd w:val="0"/>
              <w:contextualSpacing/>
              <w:rPr>
                <w:rFonts w:cs="Arial"/>
                <w:b/>
                <w:sz w:val="18"/>
                <w:szCs w:val="18"/>
              </w:rPr>
            </w:pPr>
            <w:r w:rsidRPr="00576502">
              <w:rPr>
                <w:rFonts w:cs="Arial"/>
                <w:b/>
                <w:sz w:val="18"/>
                <w:szCs w:val="18"/>
              </w:rPr>
              <w:t>Ohře</w:t>
            </w:r>
          </w:p>
        </w:tc>
        <w:tc>
          <w:tcPr>
            <w:tcW w:w="861" w:type="dxa"/>
            <w:tcBorders>
              <w:top w:val="single" w:sz="6" w:space="0" w:color="auto"/>
              <w:left w:val="single" w:sz="6" w:space="0" w:color="auto"/>
              <w:bottom w:val="single" w:sz="6" w:space="0" w:color="auto"/>
              <w:right w:val="single" w:sz="6" w:space="0" w:color="auto"/>
            </w:tcBorders>
            <w:vAlign w:val="center"/>
          </w:tcPr>
          <w:p w14:paraId="75BE572F" w14:textId="4769E229" w:rsidR="00576502" w:rsidRPr="00576502" w:rsidRDefault="00576502" w:rsidP="00576502">
            <w:pPr>
              <w:autoSpaceDE w:val="0"/>
              <w:autoSpaceDN w:val="0"/>
              <w:adjustRightInd w:val="0"/>
              <w:contextualSpacing/>
              <w:jc w:val="center"/>
              <w:rPr>
                <w:rFonts w:cs="Arial"/>
                <w:sz w:val="18"/>
                <w:szCs w:val="18"/>
              </w:rPr>
            </w:pPr>
            <w:r w:rsidRPr="00576502">
              <w:rPr>
                <w:rFonts w:cs="Arial"/>
                <w:sz w:val="18"/>
                <w:szCs w:val="18"/>
              </w:rPr>
              <w:t>4,69</w:t>
            </w:r>
          </w:p>
        </w:tc>
        <w:tc>
          <w:tcPr>
            <w:tcW w:w="861" w:type="dxa"/>
            <w:tcBorders>
              <w:top w:val="single" w:sz="6" w:space="0" w:color="auto"/>
              <w:left w:val="single" w:sz="6" w:space="0" w:color="auto"/>
              <w:bottom w:val="single" w:sz="6" w:space="0" w:color="auto"/>
              <w:right w:val="single" w:sz="6" w:space="0" w:color="auto"/>
            </w:tcBorders>
            <w:vAlign w:val="center"/>
          </w:tcPr>
          <w:p w14:paraId="2223ACF3" w14:textId="441614B0" w:rsidR="00576502" w:rsidRPr="00576502" w:rsidRDefault="00576502" w:rsidP="00576502">
            <w:pPr>
              <w:autoSpaceDE w:val="0"/>
              <w:autoSpaceDN w:val="0"/>
              <w:adjustRightInd w:val="0"/>
              <w:contextualSpacing/>
              <w:jc w:val="center"/>
              <w:rPr>
                <w:rFonts w:cs="Arial"/>
                <w:sz w:val="18"/>
                <w:szCs w:val="18"/>
              </w:rPr>
            </w:pPr>
            <w:r w:rsidRPr="00576502">
              <w:rPr>
                <w:rFonts w:cs="Arial"/>
                <w:sz w:val="18"/>
                <w:szCs w:val="18"/>
              </w:rPr>
              <w:t>4,92</w:t>
            </w:r>
          </w:p>
        </w:tc>
        <w:tc>
          <w:tcPr>
            <w:tcW w:w="861" w:type="dxa"/>
            <w:tcBorders>
              <w:top w:val="single" w:sz="6" w:space="0" w:color="auto"/>
              <w:left w:val="single" w:sz="6" w:space="0" w:color="auto"/>
              <w:bottom w:val="single" w:sz="6" w:space="0" w:color="auto"/>
              <w:right w:val="single" w:sz="6" w:space="0" w:color="auto"/>
            </w:tcBorders>
            <w:vAlign w:val="center"/>
          </w:tcPr>
          <w:p w14:paraId="4DAE97F4" w14:textId="1E247CF4" w:rsidR="00576502" w:rsidRPr="00576502" w:rsidRDefault="00576502" w:rsidP="00576502">
            <w:pPr>
              <w:autoSpaceDE w:val="0"/>
              <w:autoSpaceDN w:val="0"/>
              <w:adjustRightInd w:val="0"/>
              <w:contextualSpacing/>
              <w:jc w:val="center"/>
              <w:rPr>
                <w:rFonts w:cs="Arial"/>
                <w:sz w:val="18"/>
                <w:szCs w:val="18"/>
              </w:rPr>
            </w:pPr>
            <w:r w:rsidRPr="00576502">
              <w:rPr>
                <w:rFonts w:cs="Arial"/>
                <w:sz w:val="18"/>
                <w:szCs w:val="18"/>
              </w:rPr>
              <w:t>4,97</w:t>
            </w:r>
          </w:p>
        </w:tc>
        <w:tc>
          <w:tcPr>
            <w:tcW w:w="861" w:type="dxa"/>
            <w:tcBorders>
              <w:top w:val="single" w:sz="6" w:space="0" w:color="auto"/>
              <w:left w:val="single" w:sz="6" w:space="0" w:color="auto"/>
              <w:bottom w:val="single" w:sz="6" w:space="0" w:color="auto"/>
              <w:right w:val="single" w:sz="6" w:space="0" w:color="auto"/>
            </w:tcBorders>
            <w:vAlign w:val="center"/>
          </w:tcPr>
          <w:p w14:paraId="3E0855E4" w14:textId="78DA6E62" w:rsidR="00576502" w:rsidRPr="00576502" w:rsidRDefault="00576502" w:rsidP="00576502">
            <w:pPr>
              <w:autoSpaceDE w:val="0"/>
              <w:autoSpaceDN w:val="0"/>
              <w:adjustRightInd w:val="0"/>
              <w:contextualSpacing/>
              <w:jc w:val="center"/>
              <w:rPr>
                <w:rFonts w:cs="Arial"/>
                <w:sz w:val="18"/>
                <w:szCs w:val="18"/>
              </w:rPr>
            </w:pPr>
            <w:r w:rsidRPr="00576502">
              <w:rPr>
                <w:rFonts w:cs="Arial"/>
                <w:sz w:val="18"/>
                <w:szCs w:val="18"/>
              </w:rPr>
              <w:t>5,07</w:t>
            </w:r>
          </w:p>
        </w:tc>
        <w:tc>
          <w:tcPr>
            <w:tcW w:w="861" w:type="dxa"/>
            <w:tcBorders>
              <w:top w:val="single" w:sz="6" w:space="0" w:color="auto"/>
              <w:left w:val="single" w:sz="6" w:space="0" w:color="auto"/>
              <w:bottom w:val="single" w:sz="6" w:space="0" w:color="auto"/>
              <w:right w:val="single" w:sz="6" w:space="0" w:color="auto"/>
            </w:tcBorders>
            <w:vAlign w:val="center"/>
          </w:tcPr>
          <w:p w14:paraId="60D3D508" w14:textId="6EC9AC52" w:rsidR="00576502" w:rsidRPr="00576502" w:rsidRDefault="00576502" w:rsidP="00576502">
            <w:pPr>
              <w:contextualSpacing/>
              <w:jc w:val="center"/>
              <w:rPr>
                <w:rFonts w:cs="Arial"/>
                <w:sz w:val="18"/>
                <w:szCs w:val="18"/>
              </w:rPr>
            </w:pPr>
            <w:r w:rsidRPr="00576502">
              <w:rPr>
                <w:rFonts w:cs="Arial"/>
                <w:sz w:val="18"/>
                <w:szCs w:val="18"/>
              </w:rPr>
              <w:t>5,17</w:t>
            </w:r>
          </w:p>
        </w:tc>
        <w:tc>
          <w:tcPr>
            <w:tcW w:w="861" w:type="dxa"/>
            <w:tcBorders>
              <w:top w:val="single" w:sz="6" w:space="0" w:color="auto"/>
              <w:left w:val="single" w:sz="6" w:space="0" w:color="auto"/>
              <w:bottom w:val="single" w:sz="6" w:space="0" w:color="auto"/>
              <w:right w:val="single" w:sz="6" w:space="0" w:color="auto"/>
            </w:tcBorders>
            <w:vAlign w:val="bottom"/>
          </w:tcPr>
          <w:p w14:paraId="39A07F81" w14:textId="49E4B668" w:rsidR="00576502" w:rsidRPr="00576502" w:rsidRDefault="00576502" w:rsidP="00576502">
            <w:pPr>
              <w:contextualSpacing/>
              <w:jc w:val="center"/>
              <w:rPr>
                <w:rFonts w:cs="Arial"/>
                <w:sz w:val="18"/>
                <w:szCs w:val="18"/>
              </w:rPr>
            </w:pPr>
            <w:r w:rsidRPr="00576502">
              <w:rPr>
                <w:rFonts w:cs="Arial"/>
                <w:sz w:val="18"/>
                <w:szCs w:val="18"/>
              </w:rPr>
              <w:t>5,61</w:t>
            </w:r>
          </w:p>
        </w:tc>
        <w:tc>
          <w:tcPr>
            <w:tcW w:w="1012" w:type="dxa"/>
            <w:tcBorders>
              <w:top w:val="single" w:sz="6" w:space="0" w:color="auto"/>
              <w:left w:val="single" w:sz="6" w:space="0" w:color="auto"/>
              <w:bottom w:val="single" w:sz="6" w:space="0" w:color="auto"/>
              <w:right w:val="single" w:sz="6" w:space="0" w:color="auto"/>
            </w:tcBorders>
            <w:vAlign w:val="bottom"/>
          </w:tcPr>
          <w:p w14:paraId="5D484B68" w14:textId="0F3E5C48" w:rsidR="00576502" w:rsidRPr="00576502" w:rsidRDefault="00576502" w:rsidP="00576502">
            <w:pPr>
              <w:contextualSpacing/>
              <w:jc w:val="center"/>
              <w:rPr>
                <w:rFonts w:cs="Arial"/>
                <w:sz w:val="18"/>
                <w:szCs w:val="18"/>
              </w:rPr>
            </w:pPr>
            <w:r w:rsidRPr="00576502">
              <w:rPr>
                <w:rFonts w:cs="Arial"/>
                <w:color w:val="000000"/>
                <w:sz w:val="18"/>
                <w:szCs w:val="18"/>
              </w:rPr>
              <w:t>5,89</w:t>
            </w:r>
          </w:p>
        </w:tc>
        <w:tc>
          <w:tcPr>
            <w:tcW w:w="1012" w:type="dxa"/>
            <w:tcBorders>
              <w:top w:val="single" w:sz="6" w:space="0" w:color="auto"/>
              <w:left w:val="single" w:sz="6" w:space="0" w:color="auto"/>
              <w:bottom w:val="single" w:sz="6" w:space="0" w:color="auto"/>
              <w:right w:val="single" w:sz="6" w:space="0" w:color="auto"/>
            </w:tcBorders>
            <w:vAlign w:val="bottom"/>
          </w:tcPr>
          <w:p w14:paraId="4B554B96" w14:textId="4C5276C3" w:rsidR="00576502" w:rsidRPr="00576502" w:rsidRDefault="00576502" w:rsidP="00576502">
            <w:pPr>
              <w:contextualSpacing/>
              <w:jc w:val="center"/>
              <w:rPr>
                <w:rFonts w:cs="Arial"/>
                <w:color w:val="000000"/>
                <w:sz w:val="18"/>
                <w:szCs w:val="18"/>
              </w:rPr>
            </w:pPr>
            <w:r w:rsidRPr="00576502">
              <w:rPr>
                <w:rFonts w:cs="Arial"/>
                <w:color w:val="000000"/>
                <w:sz w:val="18"/>
                <w:szCs w:val="18"/>
              </w:rPr>
              <w:t>5,99</w:t>
            </w:r>
          </w:p>
        </w:tc>
        <w:tc>
          <w:tcPr>
            <w:tcW w:w="1012" w:type="dxa"/>
            <w:tcBorders>
              <w:top w:val="single" w:sz="6" w:space="0" w:color="auto"/>
              <w:left w:val="single" w:sz="6" w:space="0" w:color="auto"/>
              <w:bottom w:val="single" w:sz="6" w:space="0" w:color="auto"/>
              <w:right w:val="single" w:sz="6" w:space="0" w:color="auto"/>
            </w:tcBorders>
            <w:vAlign w:val="bottom"/>
          </w:tcPr>
          <w:p w14:paraId="6411EC11" w14:textId="34944653" w:rsidR="00576502" w:rsidRPr="00576502" w:rsidRDefault="00576502" w:rsidP="00576502">
            <w:pPr>
              <w:contextualSpacing/>
              <w:jc w:val="center"/>
              <w:rPr>
                <w:rFonts w:cs="Arial"/>
                <w:color w:val="000000"/>
                <w:sz w:val="18"/>
                <w:szCs w:val="18"/>
              </w:rPr>
            </w:pPr>
            <w:r w:rsidRPr="00576502">
              <w:rPr>
                <w:rFonts w:cs="Arial"/>
                <w:color w:val="000000"/>
                <w:sz w:val="18"/>
                <w:szCs w:val="18"/>
              </w:rPr>
              <w:t>6,79</w:t>
            </w:r>
          </w:p>
        </w:tc>
        <w:tc>
          <w:tcPr>
            <w:tcW w:w="1012" w:type="dxa"/>
            <w:tcBorders>
              <w:top w:val="single" w:sz="6" w:space="0" w:color="auto"/>
              <w:left w:val="single" w:sz="6" w:space="0" w:color="auto"/>
              <w:bottom w:val="single" w:sz="6" w:space="0" w:color="auto"/>
              <w:right w:val="single" w:sz="6" w:space="0" w:color="auto"/>
            </w:tcBorders>
            <w:vAlign w:val="bottom"/>
          </w:tcPr>
          <w:p w14:paraId="4999632A" w14:textId="3028DF0F" w:rsidR="00576502" w:rsidRPr="00576502" w:rsidRDefault="00576502" w:rsidP="00576502">
            <w:pPr>
              <w:contextualSpacing/>
              <w:jc w:val="center"/>
              <w:rPr>
                <w:rFonts w:cs="Arial"/>
                <w:color w:val="000000"/>
                <w:sz w:val="18"/>
                <w:szCs w:val="18"/>
              </w:rPr>
            </w:pPr>
            <w:r w:rsidRPr="00576502">
              <w:rPr>
                <w:rFonts w:cs="Arial"/>
                <w:color w:val="000000"/>
                <w:sz w:val="20"/>
                <w:szCs w:val="20"/>
              </w:rPr>
              <w:t>7,77</w:t>
            </w:r>
          </w:p>
        </w:tc>
      </w:tr>
      <w:tr w:rsidR="00576502" w:rsidRPr="00576502" w14:paraId="16E17527" w14:textId="70EE60AE" w:rsidTr="007344EA">
        <w:trPr>
          <w:trHeight w:val="227"/>
        </w:trPr>
        <w:tc>
          <w:tcPr>
            <w:tcW w:w="2357" w:type="dxa"/>
            <w:tcBorders>
              <w:top w:val="single" w:sz="6" w:space="0" w:color="auto"/>
              <w:left w:val="single" w:sz="6" w:space="0" w:color="auto"/>
              <w:bottom w:val="single" w:sz="6" w:space="0" w:color="auto"/>
              <w:right w:val="single" w:sz="6" w:space="0" w:color="auto"/>
            </w:tcBorders>
            <w:shd w:val="clear" w:color="auto" w:fill="BFBFBF"/>
            <w:vAlign w:val="center"/>
          </w:tcPr>
          <w:p w14:paraId="421FD863" w14:textId="77777777" w:rsidR="00576502" w:rsidRPr="00576502" w:rsidRDefault="00576502" w:rsidP="00576502">
            <w:pPr>
              <w:autoSpaceDE w:val="0"/>
              <w:autoSpaceDN w:val="0"/>
              <w:adjustRightInd w:val="0"/>
              <w:contextualSpacing/>
              <w:rPr>
                <w:rFonts w:cs="Arial"/>
                <w:b/>
                <w:sz w:val="18"/>
                <w:szCs w:val="18"/>
              </w:rPr>
            </w:pPr>
            <w:r w:rsidRPr="00576502">
              <w:rPr>
                <w:rFonts w:cs="Arial"/>
                <w:b/>
                <w:sz w:val="18"/>
                <w:szCs w:val="18"/>
              </w:rPr>
              <w:t>Odry</w:t>
            </w:r>
          </w:p>
        </w:tc>
        <w:tc>
          <w:tcPr>
            <w:tcW w:w="861" w:type="dxa"/>
            <w:tcBorders>
              <w:top w:val="single" w:sz="6" w:space="0" w:color="auto"/>
              <w:left w:val="single" w:sz="6" w:space="0" w:color="auto"/>
              <w:bottom w:val="single" w:sz="6" w:space="0" w:color="auto"/>
              <w:right w:val="single" w:sz="6" w:space="0" w:color="auto"/>
            </w:tcBorders>
            <w:vAlign w:val="center"/>
          </w:tcPr>
          <w:p w14:paraId="5ABD2315" w14:textId="55EF5DEA" w:rsidR="00576502" w:rsidRPr="00576502" w:rsidRDefault="00576502" w:rsidP="00576502">
            <w:pPr>
              <w:autoSpaceDE w:val="0"/>
              <w:autoSpaceDN w:val="0"/>
              <w:adjustRightInd w:val="0"/>
              <w:contextualSpacing/>
              <w:jc w:val="center"/>
              <w:rPr>
                <w:rFonts w:cs="Arial"/>
                <w:sz w:val="18"/>
                <w:szCs w:val="18"/>
              </w:rPr>
            </w:pPr>
            <w:r w:rsidRPr="00576502">
              <w:rPr>
                <w:rFonts w:cs="Arial"/>
                <w:sz w:val="18"/>
                <w:szCs w:val="18"/>
              </w:rPr>
              <w:t>4,33</w:t>
            </w:r>
          </w:p>
        </w:tc>
        <w:tc>
          <w:tcPr>
            <w:tcW w:w="861" w:type="dxa"/>
            <w:tcBorders>
              <w:top w:val="single" w:sz="6" w:space="0" w:color="auto"/>
              <w:left w:val="single" w:sz="6" w:space="0" w:color="auto"/>
              <w:bottom w:val="single" w:sz="6" w:space="0" w:color="auto"/>
              <w:right w:val="single" w:sz="6" w:space="0" w:color="auto"/>
            </w:tcBorders>
            <w:vAlign w:val="center"/>
          </w:tcPr>
          <w:p w14:paraId="24F7C3A8" w14:textId="5AF2C946" w:rsidR="00576502" w:rsidRPr="00576502" w:rsidRDefault="00576502" w:rsidP="00576502">
            <w:pPr>
              <w:autoSpaceDE w:val="0"/>
              <w:autoSpaceDN w:val="0"/>
              <w:adjustRightInd w:val="0"/>
              <w:contextualSpacing/>
              <w:jc w:val="center"/>
              <w:rPr>
                <w:rFonts w:cs="Arial"/>
                <w:sz w:val="18"/>
                <w:szCs w:val="18"/>
              </w:rPr>
            </w:pPr>
            <w:r w:rsidRPr="00576502">
              <w:rPr>
                <w:rFonts w:cs="Arial"/>
                <w:sz w:val="18"/>
                <w:szCs w:val="18"/>
              </w:rPr>
              <w:t>4,46</w:t>
            </w:r>
          </w:p>
        </w:tc>
        <w:tc>
          <w:tcPr>
            <w:tcW w:w="861" w:type="dxa"/>
            <w:tcBorders>
              <w:top w:val="single" w:sz="6" w:space="0" w:color="auto"/>
              <w:left w:val="single" w:sz="6" w:space="0" w:color="auto"/>
              <w:bottom w:val="single" w:sz="6" w:space="0" w:color="auto"/>
              <w:right w:val="single" w:sz="6" w:space="0" w:color="auto"/>
            </w:tcBorders>
            <w:vAlign w:val="center"/>
          </w:tcPr>
          <w:p w14:paraId="5019D481" w14:textId="2F207885" w:rsidR="00576502" w:rsidRPr="00576502" w:rsidRDefault="00576502" w:rsidP="00576502">
            <w:pPr>
              <w:autoSpaceDE w:val="0"/>
              <w:autoSpaceDN w:val="0"/>
              <w:adjustRightInd w:val="0"/>
              <w:contextualSpacing/>
              <w:jc w:val="center"/>
              <w:rPr>
                <w:rFonts w:cs="Arial"/>
                <w:sz w:val="18"/>
                <w:szCs w:val="18"/>
              </w:rPr>
            </w:pPr>
            <w:r w:rsidRPr="00576502">
              <w:rPr>
                <w:rFonts w:cs="Arial"/>
                <w:sz w:val="18"/>
                <w:szCs w:val="18"/>
              </w:rPr>
              <w:t>4,62</w:t>
            </w:r>
          </w:p>
        </w:tc>
        <w:tc>
          <w:tcPr>
            <w:tcW w:w="861" w:type="dxa"/>
            <w:tcBorders>
              <w:top w:val="single" w:sz="6" w:space="0" w:color="auto"/>
              <w:left w:val="single" w:sz="6" w:space="0" w:color="auto"/>
              <w:bottom w:val="single" w:sz="6" w:space="0" w:color="auto"/>
              <w:right w:val="single" w:sz="6" w:space="0" w:color="auto"/>
            </w:tcBorders>
            <w:vAlign w:val="center"/>
          </w:tcPr>
          <w:p w14:paraId="09FA35DA" w14:textId="0BBC43FC" w:rsidR="00576502" w:rsidRPr="00576502" w:rsidRDefault="00576502" w:rsidP="00576502">
            <w:pPr>
              <w:autoSpaceDE w:val="0"/>
              <w:autoSpaceDN w:val="0"/>
              <w:adjustRightInd w:val="0"/>
              <w:contextualSpacing/>
              <w:jc w:val="center"/>
              <w:rPr>
                <w:rFonts w:cs="Arial"/>
                <w:sz w:val="18"/>
                <w:szCs w:val="18"/>
              </w:rPr>
            </w:pPr>
            <w:r w:rsidRPr="00576502">
              <w:rPr>
                <w:rFonts w:cs="Arial"/>
                <w:sz w:val="18"/>
                <w:szCs w:val="18"/>
              </w:rPr>
              <w:t>4,78</w:t>
            </w:r>
          </w:p>
        </w:tc>
        <w:tc>
          <w:tcPr>
            <w:tcW w:w="861" w:type="dxa"/>
            <w:tcBorders>
              <w:top w:val="single" w:sz="6" w:space="0" w:color="auto"/>
              <w:left w:val="single" w:sz="6" w:space="0" w:color="auto"/>
              <w:bottom w:val="single" w:sz="6" w:space="0" w:color="auto"/>
              <w:right w:val="single" w:sz="6" w:space="0" w:color="auto"/>
            </w:tcBorders>
            <w:vAlign w:val="center"/>
          </w:tcPr>
          <w:p w14:paraId="5EF0AFA1" w14:textId="5088E0D4" w:rsidR="00576502" w:rsidRPr="00576502" w:rsidRDefault="00576502" w:rsidP="00576502">
            <w:pPr>
              <w:contextualSpacing/>
              <w:jc w:val="center"/>
              <w:rPr>
                <w:rFonts w:cs="Arial"/>
                <w:sz w:val="18"/>
                <w:szCs w:val="18"/>
              </w:rPr>
            </w:pPr>
            <w:r w:rsidRPr="00576502">
              <w:rPr>
                <w:rFonts w:cs="Arial"/>
                <w:sz w:val="18"/>
                <w:szCs w:val="18"/>
              </w:rPr>
              <w:t>4,97</w:t>
            </w:r>
          </w:p>
        </w:tc>
        <w:tc>
          <w:tcPr>
            <w:tcW w:w="861" w:type="dxa"/>
            <w:tcBorders>
              <w:top w:val="single" w:sz="6" w:space="0" w:color="auto"/>
              <w:left w:val="single" w:sz="6" w:space="0" w:color="auto"/>
              <w:bottom w:val="single" w:sz="6" w:space="0" w:color="auto"/>
              <w:right w:val="single" w:sz="6" w:space="0" w:color="auto"/>
            </w:tcBorders>
            <w:vAlign w:val="bottom"/>
          </w:tcPr>
          <w:p w14:paraId="528E9F9C" w14:textId="2E260D64" w:rsidR="00576502" w:rsidRPr="00576502" w:rsidRDefault="00576502" w:rsidP="00576502">
            <w:pPr>
              <w:contextualSpacing/>
              <w:jc w:val="center"/>
              <w:rPr>
                <w:rFonts w:cs="Arial"/>
                <w:sz w:val="18"/>
                <w:szCs w:val="18"/>
              </w:rPr>
            </w:pPr>
            <w:r w:rsidRPr="00576502">
              <w:rPr>
                <w:rFonts w:cs="Arial"/>
                <w:sz w:val="18"/>
                <w:szCs w:val="18"/>
              </w:rPr>
              <w:t>5,47</w:t>
            </w:r>
          </w:p>
        </w:tc>
        <w:tc>
          <w:tcPr>
            <w:tcW w:w="1012" w:type="dxa"/>
            <w:tcBorders>
              <w:top w:val="single" w:sz="6" w:space="0" w:color="auto"/>
              <w:left w:val="single" w:sz="6" w:space="0" w:color="auto"/>
              <w:bottom w:val="single" w:sz="6" w:space="0" w:color="auto"/>
              <w:right w:val="single" w:sz="6" w:space="0" w:color="auto"/>
            </w:tcBorders>
            <w:vAlign w:val="bottom"/>
          </w:tcPr>
          <w:p w14:paraId="448E01A2" w14:textId="6666FF5C" w:rsidR="00576502" w:rsidRPr="00576502" w:rsidRDefault="00576502" w:rsidP="00576502">
            <w:pPr>
              <w:contextualSpacing/>
              <w:jc w:val="center"/>
              <w:rPr>
                <w:rFonts w:cs="Arial"/>
                <w:sz w:val="18"/>
                <w:szCs w:val="18"/>
              </w:rPr>
            </w:pPr>
            <w:r w:rsidRPr="00576502">
              <w:rPr>
                <w:rFonts w:cs="Arial"/>
                <w:color w:val="000000"/>
                <w:sz w:val="18"/>
                <w:szCs w:val="18"/>
              </w:rPr>
              <w:t>5,74</w:t>
            </w:r>
          </w:p>
        </w:tc>
        <w:tc>
          <w:tcPr>
            <w:tcW w:w="1012" w:type="dxa"/>
            <w:tcBorders>
              <w:top w:val="single" w:sz="6" w:space="0" w:color="auto"/>
              <w:left w:val="single" w:sz="6" w:space="0" w:color="auto"/>
              <w:bottom w:val="single" w:sz="6" w:space="0" w:color="auto"/>
              <w:right w:val="single" w:sz="6" w:space="0" w:color="auto"/>
            </w:tcBorders>
            <w:vAlign w:val="bottom"/>
          </w:tcPr>
          <w:p w14:paraId="4B41D895" w14:textId="12A2F660" w:rsidR="00576502" w:rsidRPr="00576502" w:rsidRDefault="00576502" w:rsidP="00576502">
            <w:pPr>
              <w:contextualSpacing/>
              <w:jc w:val="center"/>
              <w:rPr>
                <w:rFonts w:cs="Arial"/>
                <w:color w:val="000000"/>
                <w:sz w:val="18"/>
                <w:szCs w:val="18"/>
              </w:rPr>
            </w:pPr>
            <w:r w:rsidRPr="00576502">
              <w:rPr>
                <w:rFonts w:cs="Arial"/>
                <w:color w:val="000000"/>
                <w:sz w:val="18"/>
                <w:szCs w:val="18"/>
              </w:rPr>
              <w:t>6,2</w:t>
            </w:r>
          </w:p>
        </w:tc>
        <w:tc>
          <w:tcPr>
            <w:tcW w:w="1012" w:type="dxa"/>
            <w:tcBorders>
              <w:top w:val="single" w:sz="6" w:space="0" w:color="auto"/>
              <w:left w:val="single" w:sz="6" w:space="0" w:color="auto"/>
              <w:bottom w:val="single" w:sz="6" w:space="0" w:color="auto"/>
              <w:right w:val="single" w:sz="6" w:space="0" w:color="auto"/>
            </w:tcBorders>
            <w:vAlign w:val="bottom"/>
          </w:tcPr>
          <w:p w14:paraId="5786295D" w14:textId="375AB2BF" w:rsidR="00576502" w:rsidRPr="00576502" w:rsidRDefault="00576502" w:rsidP="00576502">
            <w:pPr>
              <w:contextualSpacing/>
              <w:jc w:val="center"/>
              <w:rPr>
                <w:rFonts w:cs="Arial"/>
                <w:color w:val="000000"/>
                <w:sz w:val="18"/>
                <w:szCs w:val="18"/>
              </w:rPr>
            </w:pPr>
            <w:r w:rsidRPr="00576502">
              <w:rPr>
                <w:rFonts w:cs="Arial"/>
                <w:color w:val="000000"/>
                <w:sz w:val="18"/>
                <w:szCs w:val="18"/>
              </w:rPr>
              <w:t>6,8</w:t>
            </w:r>
          </w:p>
        </w:tc>
        <w:tc>
          <w:tcPr>
            <w:tcW w:w="1012" w:type="dxa"/>
            <w:tcBorders>
              <w:top w:val="single" w:sz="6" w:space="0" w:color="auto"/>
              <w:left w:val="single" w:sz="6" w:space="0" w:color="auto"/>
              <w:bottom w:val="single" w:sz="6" w:space="0" w:color="auto"/>
              <w:right w:val="single" w:sz="6" w:space="0" w:color="auto"/>
            </w:tcBorders>
            <w:vAlign w:val="bottom"/>
          </w:tcPr>
          <w:p w14:paraId="03FFE51B" w14:textId="2B02001E" w:rsidR="00576502" w:rsidRPr="00576502" w:rsidRDefault="00576502" w:rsidP="00576502">
            <w:pPr>
              <w:contextualSpacing/>
              <w:jc w:val="center"/>
              <w:rPr>
                <w:rFonts w:cs="Arial"/>
                <w:color w:val="000000"/>
                <w:sz w:val="18"/>
                <w:szCs w:val="18"/>
              </w:rPr>
            </w:pPr>
            <w:r w:rsidRPr="00576502">
              <w:rPr>
                <w:rFonts w:cs="Arial"/>
                <w:color w:val="000000"/>
                <w:sz w:val="20"/>
                <w:szCs w:val="20"/>
              </w:rPr>
              <w:t>7,21</w:t>
            </w:r>
          </w:p>
        </w:tc>
      </w:tr>
      <w:tr w:rsidR="00576502" w:rsidRPr="00576502" w14:paraId="5953BDE7" w14:textId="02C5F5F2" w:rsidTr="007344EA">
        <w:trPr>
          <w:trHeight w:val="227"/>
        </w:trPr>
        <w:tc>
          <w:tcPr>
            <w:tcW w:w="2357" w:type="dxa"/>
            <w:tcBorders>
              <w:top w:val="single" w:sz="6" w:space="0" w:color="auto"/>
              <w:left w:val="single" w:sz="6" w:space="0" w:color="auto"/>
              <w:bottom w:val="single" w:sz="6" w:space="0" w:color="auto"/>
              <w:right w:val="single" w:sz="6" w:space="0" w:color="auto"/>
            </w:tcBorders>
            <w:shd w:val="clear" w:color="auto" w:fill="BFBFBF"/>
            <w:vAlign w:val="center"/>
          </w:tcPr>
          <w:p w14:paraId="62580FB7" w14:textId="77777777" w:rsidR="00576502" w:rsidRPr="00576502" w:rsidRDefault="00576502" w:rsidP="00576502">
            <w:pPr>
              <w:autoSpaceDE w:val="0"/>
              <w:autoSpaceDN w:val="0"/>
              <w:adjustRightInd w:val="0"/>
              <w:contextualSpacing/>
              <w:rPr>
                <w:rFonts w:cs="Arial"/>
                <w:b/>
                <w:sz w:val="18"/>
                <w:szCs w:val="18"/>
              </w:rPr>
            </w:pPr>
            <w:r w:rsidRPr="00576502">
              <w:rPr>
                <w:rFonts w:cs="Arial"/>
                <w:b/>
                <w:sz w:val="18"/>
                <w:szCs w:val="18"/>
              </w:rPr>
              <w:t xml:space="preserve">Moravy </w:t>
            </w:r>
          </w:p>
        </w:tc>
        <w:tc>
          <w:tcPr>
            <w:tcW w:w="861" w:type="dxa"/>
            <w:tcBorders>
              <w:top w:val="single" w:sz="6" w:space="0" w:color="auto"/>
              <w:left w:val="single" w:sz="6" w:space="0" w:color="auto"/>
              <w:bottom w:val="single" w:sz="6" w:space="0" w:color="auto"/>
              <w:right w:val="single" w:sz="6" w:space="0" w:color="auto"/>
            </w:tcBorders>
            <w:vAlign w:val="center"/>
          </w:tcPr>
          <w:p w14:paraId="675FC24F" w14:textId="1C92949D" w:rsidR="00576502" w:rsidRPr="00576502" w:rsidRDefault="00576502" w:rsidP="00576502">
            <w:pPr>
              <w:autoSpaceDE w:val="0"/>
              <w:autoSpaceDN w:val="0"/>
              <w:adjustRightInd w:val="0"/>
              <w:contextualSpacing/>
              <w:jc w:val="center"/>
              <w:rPr>
                <w:rFonts w:cs="Arial"/>
                <w:sz w:val="18"/>
                <w:szCs w:val="18"/>
              </w:rPr>
            </w:pPr>
            <w:r w:rsidRPr="00576502">
              <w:rPr>
                <w:rFonts w:cs="Arial"/>
                <w:sz w:val="18"/>
                <w:szCs w:val="18"/>
              </w:rPr>
              <w:t>6,65</w:t>
            </w:r>
          </w:p>
        </w:tc>
        <w:tc>
          <w:tcPr>
            <w:tcW w:w="861" w:type="dxa"/>
            <w:tcBorders>
              <w:top w:val="single" w:sz="6" w:space="0" w:color="auto"/>
              <w:left w:val="single" w:sz="6" w:space="0" w:color="auto"/>
              <w:bottom w:val="single" w:sz="6" w:space="0" w:color="auto"/>
              <w:right w:val="single" w:sz="6" w:space="0" w:color="auto"/>
            </w:tcBorders>
            <w:vAlign w:val="center"/>
          </w:tcPr>
          <w:p w14:paraId="5FAE40F1" w14:textId="3E5C1537" w:rsidR="00576502" w:rsidRPr="00576502" w:rsidRDefault="00576502" w:rsidP="00576502">
            <w:pPr>
              <w:autoSpaceDE w:val="0"/>
              <w:autoSpaceDN w:val="0"/>
              <w:adjustRightInd w:val="0"/>
              <w:contextualSpacing/>
              <w:jc w:val="center"/>
              <w:rPr>
                <w:rFonts w:cs="Arial"/>
                <w:sz w:val="18"/>
                <w:szCs w:val="18"/>
              </w:rPr>
            </w:pPr>
            <w:r w:rsidRPr="00576502">
              <w:rPr>
                <w:rFonts w:cs="Arial"/>
                <w:sz w:val="18"/>
                <w:szCs w:val="18"/>
              </w:rPr>
              <w:t>6,68</w:t>
            </w:r>
          </w:p>
        </w:tc>
        <w:tc>
          <w:tcPr>
            <w:tcW w:w="861" w:type="dxa"/>
            <w:tcBorders>
              <w:top w:val="single" w:sz="6" w:space="0" w:color="auto"/>
              <w:left w:val="single" w:sz="6" w:space="0" w:color="auto"/>
              <w:bottom w:val="single" w:sz="6" w:space="0" w:color="auto"/>
              <w:right w:val="single" w:sz="6" w:space="0" w:color="auto"/>
            </w:tcBorders>
            <w:vAlign w:val="center"/>
          </w:tcPr>
          <w:p w14:paraId="3AFE3B23" w14:textId="6DA6B213" w:rsidR="00576502" w:rsidRPr="00576502" w:rsidRDefault="00576502" w:rsidP="00576502">
            <w:pPr>
              <w:autoSpaceDE w:val="0"/>
              <w:autoSpaceDN w:val="0"/>
              <w:adjustRightInd w:val="0"/>
              <w:contextualSpacing/>
              <w:jc w:val="center"/>
              <w:rPr>
                <w:rFonts w:cs="Arial"/>
                <w:sz w:val="18"/>
                <w:szCs w:val="18"/>
              </w:rPr>
            </w:pPr>
            <w:r w:rsidRPr="00576502">
              <w:rPr>
                <w:rFonts w:cs="Arial"/>
                <w:sz w:val="18"/>
                <w:szCs w:val="18"/>
              </w:rPr>
              <w:t>6,69</w:t>
            </w:r>
          </w:p>
        </w:tc>
        <w:tc>
          <w:tcPr>
            <w:tcW w:w="861" w:type="dxa"/>
            <w:tcBorders>
              <w:top w:val="single" w:sz="6" w:space="0" w:color="auto"/>
              <w:left w:val="single" w:sz="6" w:space="0" w:color="auto"/>
              <w:bottom w:val="single" w:sz="6" w:space="0" w:color="auto"/>
              <w:right w:val="single" w:sz="6" w:space="0" w:color="auto"/>
            </w:tcBorders>
            <w:vAlign w:val="center"/>
          </w:tcPr>
          <w:p w14:paraId="462F8289" w14:textId="2F0A6D9A" w:rsidR="00576502" w:rsidRPr="00576502" w:rsidRDefault="00576502" w:rsidP="00576502">
            <w:pPr>
              <w:autoSpaceDE w:val="0"/>
              <w:autoSpaceDN w:val="0"/>
              <w:adjustRightInd w:val="0"/>
              <w:contextualSpacing/>
              <w:jc w:val="center"/>
              <w:rPr>
                <w:rFonts w:cs="Arial"/>
                <w:sz w:val="18"/>
                <w:szCs w:val="18"/>
              </w:rPr>
            </w:pPr>
            <w:r w:rsidRPr="00576502">
              <w:rPr>
                <w:rFonts w:cs="Arial"/>
                <w:sz w:val="18"/>
                <w:szCs w:val="18"/>
              </w:rPr>
              <w:t>6,79</w:t>
            </w:r>
          </w:p>
        </w:tc>
        <w:tc>
          <w:tcPr>
            <w:tcW w:w="861" w:type="dxa"/>
            <w:tcBorders>
              <w:top w:val="single" w:sz="6" w:space="0" w:color="auto"/>
              <w:left w:val="single" w:sz="6" w:space="0" w:color="auto"/>
              <w:bottom w:val="single" w:sz="6" w:space="0" w:color="auto"/>
              <w:right w:val="single" w:sz="6" w:space="0" w:color="auto"/>
            </w:tcBorders>
            <w:vAlign w:val="center"/>
          </w:tcPr>
          <w:p w14:paraId="27AF8CED" w14:textId="3E1B7999" w:rsidR="00576502" w:rsidRPr="00576502" w:rsidRDefault="00576502" w:rsidP="00576502">
            <w:pPr>
              <w:contextualSpacing/>
              <w:jc w:val="center"/>
              <w:rPr>
                <w:rFonts w:cs="Arial"/>
                <w:sz w:val="18"/>
                <w:szCs w:val="18"/>
              </w:rPr>
            </w:pPr>
            <w:r w:rsidRPr="00576502">
              <w:rPr>
                <w:rFonts w:cs="Arial"/>
                <w:sz w:val="18"/>
                <w:szCs w:val="18"/>
              </w:rPr>
              <w:t>6,93</w:t>
            </w:r>
          </w:p>
        </w:tc>
        <w:tc>
          <w:tcPr>
            <w:tcW w:w="861" w:type="dxa"/>
            <w:tcBorders>
              <w:top w:val="single" w:sz="6" w:space="0" w:color="auto"/>
              <w:left w:val="single" w:sz="6" w:space="0" w:color="auto"/>
              <w:bottom w:val="single" w:sz="6" w:space="0" w:color="auto"/>
              <w:right w:val="single" w:sz="6" w:space="0" w:color="auto"/>
            </w:tcBorders>
            <w:vAlign w:val="bottom"/>
          </w:tcPr>
          <w:p w14:paraId="14BE1AB2" w14:textId="3F14B574" w:rsidR="00576502" w:rsidRPr="00576502" w:rsidRDefault="00576502" w:rsidP="00576502">
            <w:pPr>
              <w:contextualSpacing/>
              <w:jc w:val="center"/>
              <w:rPr>
                <w:rFonts w:cs="Arial"/>
                <w:sz w:val="18"/>
                <w:szCs w:val="18"/>
              </w:rPr>
            </w:pPr>
            <w:r w:rsidRPr="00576502">
              <w:rPr>
                <w:rFonts w:cs="Arial"/>
                <w:sz w:val="18"/>
                <w:szCs w:val="18"/>
              </w:rPr>
              <w:t>6,99</w:t>
            </w:r>
          </w:p>
        </w:tc>
        <w:tc>
          <w:tcPr>
            <w:tcW w:w="1012" w:type="dxa"/>
            <w:tcBorders>
              <w:top w:val="single" w:sz="6" w:space="0" w:color="auto"/>
              <w:left w:val="single" w:sz="6" w:space="0" w:color="auto"/>
              <w:bottom w:val="single" w:sz="6" w:space="0" w:color="auto"/>
              <w:right w:val="single" w:sz="6" w:space="0" w:color="auto"/>
            </w:tcBorders>
            <w:vAlign w:val="bottom"/>
          </w:tcPr>
          <w:p w14:paraId="5C12D3C9" w14:textId="185F5806" w:rsidR="00576502" w:rsidRPr="00576502" w:rsidRDefault="00576502" w:rsidP="00576502">
            <w:pPr>
              <w:contextualSpacing/>
              <w:jc w:val="center"/>
              <w:rPr>
                <w:rFonts w:cs="Arial"/>
                <w:sz w:val="18"/>
                <w:szCs w:val="18"/>
              </w:rPr>
            </w:pPr>
            <w:r w:rsidRPr="00576502">
              <w:rPr>
                <w:rFonts w:cs="Arial"/>
                <w:color w:val="000000"/>
                <w:sz w:val="18"/>
                <w:szCs w:val="18"/>
              </w:rPr>
              <w:t>7,19</w:t>
            </w:r>
          </w:p>
        </w:tc>
        <w:tc>
          <w:tcPr>
            <w:tcW w:w="1012" w:type="dxa"/>
            <w:tcBorders>
              <w:top w:val="single" w:sz="6" w:space="0" w:color="auto"/>
              <w:left w:val="single" w:sz="6" w:space="0" w:color="auto"/>
              <w:bottom w:val="single" w:sz="6" w:space="0" w:color="auto"/>
              <w:right w:val="single" w:sz="6" w:space="0" w:color="auto"/>
            </w:tcBorders>
            <w:vAlign w:val="bottom"/>
          </w:tcPr>
          <w:p w14:paraId="0A64B1AF" w14:textId="10D28B0F" w:rsidR="00576502" w:rsidRPr="00576502" w:rsidRDefault="00576502" w:rsidP="00576502">
            <w:pPr>
              <w:contextualSpacing/>
              <w:jc w:val="center"/>
              <w:rPr>
                <w:rFonts w:cs="Arial"/>
                <w:color w:val="000000"/>
                <w:sz w:val="18"/>
                <w:szCs w:val="18"/>
              </w:rPr>
            </w:pPr>
            <w:r w:rsidRPr="00576502">
              <w:rPr>
                <w:rFonts w:cs="Arial"/>
                <w:color w:val="000000"/>
                <w:sz w:val="18"/>
                <w:szCs w:val="18"/>
              </w:rPr>
              <w:t>7,55</w:t>
            </w:r>
          </w:p>
        </w:tc>
        <w:tc>
          <w:tcPr>
            <w:tcW w:w="1012" w:type="dxa"/>
            <w:tcBorders>
              <w:top w:val="single" w:sz="6" w:space="0" w:color="auto"/>
              <w:left w:val="single" w:sz="6" w:space="0" w:color="auto"/>
              <w:bottom w:val="single" w:sz="6" w:space="0" w:color="auto"/>
              <w:right w:val="single" w:sz="6" w:space="0" w:color="auto"/>
            </w:tcBorders>
            <w:vAlign w:val="bottom"/>
          </w:tcPr>
          <w:p w14:paraId="2DDB1634" w14:textId="2D882600" w:rsidR="00576502" w:rsidRPr="00576502" w:rsidRDefault="00576502" w:rsidP="00576502">
            <w:pPr>
              <w:contextualSpacing/>
              <w:jc w:val="center"/>
              <w:rPr>
                <w:rFonts w:cs="Arial"/>
                <w:color w:val="000000"/>
                <w:sz w:val="18"/>
                <w:szCs w:val="18"/>
              </w:rPr>
            </w:pPr>
            <w:r w:rsidRPr="00576502">
              <w:rPr>
                <w:rFonts w:cs="Arial"/>
                <w:color w:val="000000"/>
                <w:sz w:val="18"/>
                <w:szCs w:val="18"/>
              </w:rPr>
              <w:t>8,15</w:t>
            </w:r>
          </w:p>
        </w:tc>
        <w:tc>
          <w:tcPr>
            <w:tcW w:w="1012" w:type="dxa"/>
            <w:tcBorders>
              <w:top w:val="single" w:sz="6" w:space="0" w:color="auto"/>
              <w:left w:val="single" w:sz="6" w:space="0" w:color="auto"/>
              <w:bottom w:val="single" w:sz="6" w:space="0" w:color="auto"/>
              <w:right w:val="single" w:sz="6" w:space="0" w:color="auto"/>
            </w:tcBorders>
            <w:vAlign w:val="bottom"/>
          </w:tcPr>
          <w:p w14:paraId="7F78FEC1" w14:textId="06CB452F" w:rsidR="00576502" w:rsidRPr="00576502" w:rsidRDefault="00576502" w:rsidP="00576502">
            <w:pPr>
              <w:contextualSpacing/>
              <w:jc w:val="center"/>
              <w:rPr>
                <w:rFonts w:cs="Arial"/>
                <w:color w:val="000000"/>
                <w:sz w:val="18"/>
                <w:szCs w:val="18"/>
              </w:rPr>
            </w:pPr>
            <w:r w:rsidRPr="00576502">
              <w:rPr>
                <w:rFonts w:cs="Arial"/>
                <w:color w:val="000000"/>
                <w:sz w:val="20"/>
                <w:szCs w:val="20"/>
              </w:rPr>
              <w:t>8,64</w:t>
            </w:r>
          </w:p>
        </w:tc>
      </w:tr>
      <w:tr w:rsidR="00576502" w:rsidRPr="00576502" w14:paraId="46A91454" w14:textId="5BCD4F16" w:rsidTr="007344EA">
        <w:trPr>
          <w:trHeight w:val="227"/>
        </w:trPr>
        <w:tc>
          <w:tcPr>
            <w:tcW w:w="2357" w:type="dxa"/>
            <w:tcBorders>
              <w:top w:val="single" w:sz="6" w:space="0" w:color="auto"/>
              <w:left w:val="single" w:sz="6" w:space="0" w:color="auto"/>
              <w:bottom w:val="single" w:sz="6" w:space="0" w:color="auto"/>
              <w:right w:val="single" w:sz="6" w:space="0" w:color="auto"/>
            </w:tcBorders>
            <w:shd w:val="clear" w:color="auto" w:fill="BFBFBF"/>
            <w:vAlign w:val="center"/>
          </w:tcPr>
          <w:p w14:paraId="7CA938BB" w14:textId="77777777" w:rsidR="00576502" w:rsidRPr="00576502" w:rsidRDefault="00576502" w:rsidP="00576502">
            <w:pPr>
              <w:autoSpaceDE w:val="0"/>
              <w:autoSpaceDN w:val="0"/>
              <w:adjustRightInd w:val="0"/>
              <w:contextualSpacing/>
              <w:rPr>
                <w:rFonts w:cs="Arial"/>
                <w:b/>
                <w:bCs/>
                <w:sz w:val="18"/>
                <w:szCs w:val="18"/>
                <w:vertAlign w:val="superscript"/>
              </w:rPr>
            </w:pPr>
            <w:r w:rsidRPr="00576502">
              <w:rPr>
                <w:rFonts w:cs="Arial"/>
                <w:b/>
                <w:bCs/>
                <w:sz w:val="18"/>
                <w:szCs w:val="18"/>
              </w:rPr>
              <w:t xml:space="preserve">Průměrná cena státní podniky Povodí </w:t>
            </w:r>
            <w:r w:rsidRPr="00576502">
              <w:rPr>
                <w:rFonts w:cs="Arial"/>
                <w:b/>
                <w:bCs/>
                <w:sz w:val="18"/>
                <w:szCs w:val="18"/>
                <w:vertAlign w:val="superscript"/>
              </w:rPr>
              <w:t>*)</w:t>
            </w:r>
          </w:p>
        </w:tc>
        <w:tc>
          <w:tcPr>
            <w:tcW w:w="861" w:type="dxa"/>
            <w:tcBorders>
              <w:top w:val="single" w:sz="6" w:space="0" w:color="auto"/>
              <w:left w:val="single" w:sz="6" w:space="0" w:color="auto"/>
              <w:bottom w:val="single" w:sz="6" w:space="0" w:color="auto"/>
              <w:right w:val="single" w:sz="6" w:space="0" w:color="auto"/>
            </w:tcBorders>
            <w:shd w:val="clear" w:color="auto" w:fill="BFBFBF"/>
            <w:vAlign w:val="center"/>
          </w:tcPr>
          <w:p w14:paraId="02F25AC5" w14:textId="4D37C1D7" w:rsidR="00576502" w:rsidRPr="00576502" w:rsidRDefault="00576502" w:rsidP="00576502">
            <w:pPr>
              <w:autoSpaceDE w:val="0"/>
              <w:autoSpaceDN w:val="0"/>
              <w:adjustRightInd w:val="0"/>
              <w:contextualSpacing/>
              <w:jc w:val="center"/>
              <w:rPr>
                <w:rFonts w:cs="Arial"/>
                <w:b/>
                <w:bCs/>
                <w:sz w:val="18"/>
                <w:szCs w:val="18"/>
              </w:rPr>
            </w:pPr>
            <w:r w:rsidRPr="00576502">
              <w:rPr>
                <w:rFonts w:cs="Arial"/>
                <w:b/>
                <w:bCs/>
                <w:sz w:val="18"/>
                <w:szCs w:val="18"/>
              </w:rPr>
              <w:t>4,64</w:t>
            </w:r>
          </w:p>
        </w:tc>
        <w:tc>
          <w:tcPr>
            <w:tcW w:w="861" w:type="dxa"/>
            <w:tcBorders>
              <w:top w:val="single" w:sz="6" w:space="0" w:color="auto"/>
              <w:left w:val="single" w:sz="6" w:space="0" w:color="auto"/>
              <w:bottom w:val="single" w:sz="6" w:space="0" w:color="auto"/>
              <w:right w:val="single" w:sz="6" w:space="0" w:color="auto"/>
            </w:tcBorders>
            <w:shd w:val="clear" w:color="auto" w:fill="BFBFBF"/>
            <w:vAlign w:val="center"/>
          </w:tcPr>
          <w:p w14:paraId="2690DC5C" w14:textId="6F1426DA" w:rsidR="00576502" w:rsidRPr="00576502" w:rsidRDefault="00576502" w:rsidP="00576502">
            <w:pPr>
              <w:autoSpaceDE w:val="0"/>
              <w:autoSpaceDN w:val="0"/>
              <w:adjustRightInd w:val="0"/>
              <w:contextualSpacing/>
              <w:jc w:val="center"/>
              <w:rPr>
                <w:rFonts w:cs="Arial"/>
                <w:b/>
                <w:bCs/>
                <w:sz w:val="18"/>
                <w:szCs w:val="18"/>
              </w:rPr>
            </w:pPr>
            <w:r w:rsidRPr="00576502">
              <w:rPr>
                <w:b/>
                <w:sz w:val="18"/>
              </w:rPr>
              <w:t>4,</w:t>
            </w:r>
            <w:r w:rsidRPr="00576502">
              <w:rPr>
                <w:rFonts w:cs="Arial"/>
                <w:b/>
                <w:bCs/>
                <w:sz w:val="18"/>
                <w:szCs w:val="18"/>
              </w:rPr>
              <w:t>77</w:t>
            </w:r>
          </w:p>
        </w:tc>
        <w:tc>
          <w:tcPr>
            <w:tcW w:w="861" w:type="dxa"/>
            <w:tcBorders>
              <w:top w:val="single" w:sz="6" w:space="0" w:color="auto"/>
              <w:left w:val="single" w:sz="6" w:space="0" w:color="auto"/>
              <w:bottom w:val="single" w:sz="6" w:space="0" w:color="auto"/>
              <w:right w:val="single" w:sz="6" w:space="0" w:color="auto"/>
            </w:tcBorders>
            <w:shd w:val="clear" w:color="auto" w:fill="BFBFBF"/>
            <w:vAlign w:val="center"/>
          </w:tcPr>
          <w:p w14:paraId="1E627005" w14:textId="7323598D" w:rsidR="00576502" w:rsidRPr="00576502" w:rsidRDefault="00576502" w:rsidP="00576502">
            <w:pPr>
              <w:autoSpaceDE w:val="0"/>
              <w:autoSpaceDN w:val="0"/>
              <w:adjustRightInd w:val="0"/>
              <w:contextualSpacing/>
              <w:jc w:val="center"/>
              <w:rPr>
                <w:rFonts w:cs="Arial"/>
                <w:b/>
                <w:bCs/>
                <w:sz w:val="18"/>
                <w:szCs w:val="18"/>
              </w:rPr>
            </w:pPr>
            <w:r w:rsidRPr="00576502">
              <w:rPr>
                <w:b/>
                <w:sz w:val="18"/>
              </w:rPr>
              <w:t>4,</w:t>
            </w:r>
            <w:r w:rsidRPr="00576502">
              <w:rPr>
                <w:rFonts w:cs="Arial"/>
                <w:b/>
                <w:bCs/>
                <w:sz w:val="18"/>
                <w:szCs w:val="18"/>
              </w:rPr>
              <w:t>88</w:t>
            </w:r>
          </w:p>
        </w:tc>
        <w:tc>
          <w:tcPr>
            <w:tcW w:w="861" w:type="dxa"/>
            <w:tcBorders>
              <w:top w:val="single" w:sz="6" w:space="0" w:color="auto"/>
              <w:left w:val="single" w:sz="6" w:space="0" w:color="auto"/>
              <w:bottom w:val="single" w:sz="6" w:space="0" w:color="auto"/>
              <w:right w:val="single" w:sz="6" w:space="0" w:color="auto"/>
            </w:tcBorders>
            <w:shd w:val="clear" w:color="auto" w:fill="BFBFBF"/>
            <w:vAlign w:val="center"/>
          </w:tcPr>
          <w:p w14:paraId="41703BF2" w14:textId="2E2F66D7" w:rsidR="00576502" w:rsidRPr="00576502" w:rsidRDefault="00576502" w:rsidP="00576502">
            <w:pPr>
              <w:contextualSpacing/>
              <w:jc w:val="center"/>
              <w:rPr>
                <w:rFonts w:cs="Arial"/>
                <w:b/>
                <w:bCs/>
                <w:sz w:val="18"/>
                <w:szCs w:val="18"/>
              </w:rPr>
            </w:pPr>
            <w:r w:rsidRPr="00576502">
              <w:rPr>
                <w:b/>
                <w:sz w:val="18"/>
                <w:szCs w:val="18"/>
              </w:rPr>
              <w:t>4,97</w:t>
            </w:r>
          </w:p>
        </w:tc>
        <w:tc>
          <w:tcPr>
            <w:tcW w:w="861" w:type="dxa"/>
            <w:tcBorders>
              <w:top w:val="single" w:sz="6" w:space="0" w:color="auto"/>
              <w:left w:val="single" w:sz="6" w:space="0" w:color="auto"/>
              <w:bottom w:val="single" w:sz="6" w:space="0" w:color="auto"/>
              <w:right w:val="single" w:sz="6" w:space="0" w:color="auto"/>
            </w:tcBorders>
            <w:shd w:val="clear" w:color="auto" w:fill="BFBFBF"/>
            <w:vAlign w:val="center"/>
          </w:tcPr>
          <w:p w14:paraId="09B87B60" w14:textId="6B89203E" w:rsidR="00576502" w:rsidRPr="00576502" w:rsidRDefault="00576502" w:rsidP="00576502">
            <w:pPr>
              <w:contextualSpacing/>
              <w:jc w:val="center"/>
              <w:rPr>
                <w:rFonts w:cs="Arial"/>
                <w:b/>
                <w:bCs/>
                <w:sz w:val="18"/>
                <w:szCs w:val="18"/>
              </w:rPr>
            </w:pPr>
            <w:r w:rsidRPr="00576502">
              <w:rPr>
                <w:b/>
                <w:sz w:val="18"/>
                <w:szCs w:val="18"/>
              </w:rPr>
              <w:t>5,10</w:t>
            </w:r>
          </w:p>
        </w:tc>
        <w:tc>
          <w:tcPr>
            <w:tcW w:w="861" w:type="dxa"/>
            <w:tcBorders>
              <w:top w:val="single" w:sz="6" w:space="0" w:color="auto"/>
              <w:left w:val="single" w:sz="6" w:space="0" w:color="auto"/>
              <w:bottom w:val="single" w:sz="6" w:space="0" w:color="auto"/>
              <w:right w:val="single" w:sz="6" w:space="0" w:color="auto"/>
            </w:tcBorders>
            <w:shd w:val="clear" w:color="auto" w:fill="BFBFBF"/>
            <w:vAlign w:val="center"/>
          </w:tcPr>
          <w:p w14:paraId="0561B7CB" w14:textId="06A6D813" w:rsidR="00576502" w:rsidRPr="00576502" w:rsidRDefault="00576502" w:rsidP="00576502">
            <w:pPr>
              <w:contextualSpacing/>
              <w:jc w:val="center"/>
              <w:rPr>
                <w:rFonts w:cs="Arial"/>
                <w:b/>
                <w:bCs/>
                <w:sz w:val="18"/>
                <w:szCs w:val="18"/>
              </w:rPr>
            </w:pPr>
            <w:r w:rsidRPr="00576502">
              <w:rPr>
                <w:b/>
                <w:sz w:val="18"/>
                <w:szCs w:val="18"/>
              </w:rPr>
              <w:t>5,50</w:t>
            </w:r>
          </w:p>
        </w:tc>
        <w:tc>
          <w:tcPr>
            <w:tcW w:w="1012" w:type="dxa"/>
            <w:tcBorders>
              <w:top w:val="single" w:sz="6" w:space="0" w:color="auto"/>
              <w:left w:val="single" w:sz="6" w:space="0" w:color="auto"/>
              <w:bottom w:val="single" w:sz="6" w:space="0" w:color="auto"/>
              <w:right w:val="single" w:sz="6" w:space="0" w:color="auto"/>
            </w:tcBorders>
            <w:shd w:val="clear" w:color="auto" w:fill="BFBFBF"/>
            <w:vAlign w:val="center"/>
          </w:tcPr>
          <w:p w14:paraId="10D496C7" w14:textId="312CE3AC" w:rsidR="00576502" w:rsidRPr="00576502" w:rsidRDefault="00576502" w:rsidP="00576502">
            <w:pPr>
              <w:contextualSpacing/>
              <w:jc w:val="center"/>
              <w:rPr>
                <w:b/>
                <w:sz w:val="18"/>
                <w:szCs w:val="18"/>
              </w:rPr>
            </w:pPr>
            <w:r w:rsidRPr="00576502">
              <w:rPr>
                <w:b/>
                <w:sz w:val="18"/>
                <w:szCs w:val="18"/>
              </w:rPr>
              <w:t>5,60</w:t>
            </w:r>
          </w:p>
        </w:tc>
        <w:tc>
          <w:tcPr>
            <w:tcW w:w="101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4E8451BD" w14:textId="091176C6" w:rsidR="00576502" w:rsidRPr="00576502" w:rsidRDefault="00576502" w:rsidP="00576502">
            <w:pPr>
              <w:contextualSpacing/>
              <w:jc w:val="center"/>
              <w:rPr>
                <w:b/>
                <w:sz w:val="18"/>
                <w:szCs w:val="18"/>
              </w:rPr>
            </w:pPr>
            <w:r w:rsidRPr="00576502">
              <w:rPr>
                <w:b/>
                <w:sz w:val="18"/>
                <w:szCs w:val="18"/>
              </w:rPr>
              <w:t>5,84</w:t>
            </w:r>
          </w:p>
        </w:tc>
        <w:tc>
          <w:tcPr>
            <w:tcW w:w="101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5143B1C4" w14:textId="364299AA" w:rsidR="00576502" w:rsidRPr="00576502" w:rsidRDefault="00576502" w:rsidP="00576502">
            <w:pPr>
              <w:contextualSpacing/>
              <w:jc w:val="center"/>
              <w:rPr>
                <w:b/>
                <w:sz w:val="18"/>
                <w:szCs w:val="18"/>
              </w:rPr>
            </w:pPr>
            <w:r w:rsidRPr="00576502">
              <w:rPr>
                <w:b/>
                <w:sz w:val="18"/>
                <w:szCs w:val="18"/>
              </w:rPr>
              <w:t>6,67</w:t>
            </w:r>
          </w:p>
        </w:tc>
        <w:tc>
          <w:tcPr>
            <w:tcW w:w="101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bottom"/>
          </w:tcPr>
          <w:p w14:paraId="6E5FD322" w14:textId="3F29DE16" w:rsidR="00576502" w:rsidRPr="00576502" w:rsidRDefault="00576502" w:rsidP="00576502">
            <w:pPr>
              <w:contextualSpacing/>
              <w:jc w:val="center"/>
              <w:rPr>
                <w:b/>
                <w:sz w:val="18"/>
                <w:szCs w:val="18"/>
              </w:rPr>
            </w:pPr>
            <w:r w:rsidRPr="00576502">
              <w:rPr>
                <w:rFonts w:cs="Arial"/>
                <w:b/>
                <w:bCs/>
                <w:color w:val="000000"/>
                <w:sz w:val="20"/>
                <w:szCs w:val="20"/>
              </w:rPr>
              <w:t>6,74</w:t>
            </w:r>
          </w:p>
        </w:tc>
      </w:tr>
    </w:tbl>
    <w:p w14:paraId="5F7DB1A8" w14:textId="4BEEC9C4" w:rsidR="00C1173A" w:rsidRPr="00576502" w:rsidRDefault="00C1173A" w:rsidP="007C4955">
      <w:pPr>
        <w:contextualSpacing/>
        <w:rPr>
          <w:rFonts w:cs="Arial"/>
          <w:i/>
          <w:sz w:val="20"/>
          <w:szCs w:val="20"/>
        </w:rPr>
      </w:pPr>
      <w:r w:rsidRPr="00576502">
        <w:rPr>
          <w:rFonts w:cs="Arial"/>
          <w:i/>
          <w:sz w:val="20"/>
          <w:szCs w:val="20"/>
        </w:rPr>
        <w:t xml:space="preserve">Pramen: </w:t>
      </w:r>
      <w:r w:rsidR="00340859" w:rsidRPr="00576502">
        <w:rPr>
          <w:rFonts w:cs="Arial"/>
          <w:i/>
          <w:sz w:val="20"/>
          <w:szCs w:val="20"/>
        </w:rPr>
        <w:t>s</w:t>
      </w:r>
      <w:r w:rsidRPr="00576502">
        <w:rPr>
          <w:rFonts w:cs="Arial"/>
          <w:i/>
          <w:sz w:val="20"/>
          <w:szCs w:val="20"/>
        </w:rPr>
        <w:t>. p. Povodí</w:t>
      </w:r>
    </w:p>
    <w:p w14:paraId="74155D62" w14:textId="77777777" w:rsidR="00C1173A" w:rsidRPr="00576502" w:rsidRDefault="00C1173A" w:rsidP="007C4955">
      <w:pPr>
        <w:contextualSpacing/>
        <w:rPr>
          <w:rFonts w:cs="Arial"/>
          <w:i/>
          <w:sz w:val="20"/>
          <w:szCs w:val="20"/>
        </w:rPr>
      </w:pPr>
      <w:r w:rsidRPr="00576502">
        <w:rPr>
          <w:rFonts w:cs="Arial"/>
          <w:i/>
          <w:sz w:val="20"/>
          <w:szCs w:val="20"/>
        </w:rPr>
        <w:t>Pozn.: Jednotková cena za m</w:t>
      </w:r>
      <w:r w:rsidRPr="00576502">
        <w:rPr>
          <w:rFonts w:cs="Arial"/>
          <w:i/>
          <w:sz w:val="20"/>
          <w:szCs w:val="20"/>
          <w:vertAlign w:val="superscript"/>
        </w:rPr>
        <w:t>3</w:t>
      </w:r>
      <w:r w:rsidRPr="00576502">
        <w:rPr>
          <w:rFonts w:cs="Arial"/>
          <w:i/>
          <w:sz w:val="20"/>
          <w:szCs w:val="20"/>
        </w:rPr>
        <w:t xml:space="preserve"> je uváděna bez daně z přidané hodnoty.</w:t>
      </w:r>
    </w:p>
    <w:p w14:paraId="72AC7342" w14:textId="77777777" w:rsidR="00C1173A" w:rsidRPr="00576502" w:rsidRDefault="00C1173A" w:rsidP="007C4955">
      <w:pPr>
        <w:contextualSpacing/>
        <w:rPr>
          <w:rFonts w:cs="Arial"/>
          <w:i/>
          <w:sz w:val="20"/>
          <w:szCs w:val="20"/>
        </w:rPr>
      </w:pPr>
      <w:r w:rsidRPr="00576502">
        <w:rPr>
          <w:rFonts w:cs="Arial"/>
          <w:i/>
          <w:sz w:val="20"/>
          <w:szCs w:val="20"/>
        </w:rPr>
        <w:t xml:space="preserve">         </w:t>
      </w:r>
      <w:r w:rsidRPr="00576502">
        <w:rPr>
          <w:rFonts w:cs="Arial"/>
          <w:i/>
          <w:sz w:val="20"/>
          <w:szCs w:val="20"/>
          <w:vertAlign w:val="superscript"/>
        </w:rPr>
        <w:t xml:space="preserve"> *)</w:t>
      </w:r>
      <w:r w:rsidRPr="00576502">
        <w:rPr>
          <w:rFonts w:cs="Arial"/>
          <w:i/>
          <w:sz w:val="20"/>
          <w:szCs w:val="20"/>
        </w:rPr>
        <w:t xml:space="preserve"> Vypočteno váženým průměrem.</w:t>
      </w:r>
    </w:p>
    <w:p w14:paraId="55D31912" w14:textId="06B89725" w:rsidR="00B634C8" w:rsidRPr="00576502" w:rsidRDefault="00B634C8" w:rsidP="55DFC2AA">
      <w:pPr>
        <w:pStyle w:val="Modrzprva-pramen"/>
        <w:rPr>
          <w:b w:val="0"/>
          <w:lang w:val="en-US"/>
        </w:rPr>
      </w:pPr>
      <w:r w:rsidRPr="55DFC2AA">
        <w:rPr>
          <w:color w:val="000000" w:themeColor="text1"/>
          <w:vertAlign w:val="superscript"/>
          <w:lang w:val="en-US"/>
        </w:rPr>
        <w:t xml:space="preserve">              </w:t>
      </w:r>
      <w:r w:rsidRPr="55DFC2AA">
        <w:rPr>
          <w:b w:val="0"/>
          <w:lang w:val="en-US"/>
        </w:rPr>
        <w:t xml:space="preserve">**) 6,18 </w:t>
      </w:r>
      <w:proofErr w:type="spellStart"/>
      <w:r w:rsidRPr="55DFC2AA">
        <w:rPr>
          <w:b w:val="0"/>
          <w:lang w:val="en-US"/>
        </w:rPr>
        <w:t>Kč</w:t>
      </w:r>
      <w:proofErr w:type="spellEnd"/>
      <w:r w:rsidRPr="55DFC2AA">
        <w:rPr>
          <w:b w:val="0"/>
          <w:lang w:val="en-US"/>
        </w:rPr>
        <w:t xml:space="preserve"> je </w:t>
      </w:r>
      <w:proofErr w:type="spellStart"/>
      <w:r w:rsidRPr="55DFC2AA">
        <w:rPr>
          <w:b w:val="0"/>
          <w:lang w:val="en-US"/>
        </w:rPr>
        <w:t>vážený</w:t>
      </w:r>
      <w:proofErr w:type="spellEnd"/>
      <w:r w:rsidRPr="55DFC2AA">
        <w:rPr>
          <w:b w:val="0"/>
          <w:lang w:val="en-US"/>
        </w:rPr>
        <w:t xml:space="preserve"> </w:t>
      </w:r>
      <w:proofErr w:type="spellStart"/>
      <w:r w:rsidRPr="55DFC2AA">
        <w:rPr>
          <w:b w:val="0"/>
          <w:lang w:val="en-US"/>
        </w:rPr>
        <w:t>průměr</w:t>
      </w:r>
      <w:proofErr w:type="spellEnd"/>
      <w:r w:rsidRPr="55DFC2AA">
        <w:rPr>
          <w:b w:val="0"/>
          <w:lang w:val="en-US"/>
        </w:rPr>
        <w:t xml:space="preserve"> ze </w:t>
      </w:r>
      <w:proofErr w:type="spellStart"/>
      <w:r w:rsidRPr="55DFC2AA">
        <w:rPr>
          <w:b w:val="0"/>
          <w:lang w:val="en-US"/>
        </w:rPr>
        <w:t>dvou</w:t>
      </w:r>
      <w:proofErr w:type="spellEnd"/>
      <w:r w:rsidRPr="55DFC2AA">
        <w:rPr>
          <w:b w:val="0"/>
          <w:lang w:val="en-US"/>
        </w:rPr>
        <w:t xml:space="preserve"> </w:t>
      </w:r>
      <w:proofErr w:type="spellStart"/>
      <w:r w:rsidRPr="55DFC2AA">
        <w:rPr>
          <w:b w:val="0"/>
          <w:lang w:val="en-US"/>
        </w:rPr>
        <w:t>cen</w:t>
      </w:r>
      <w:proofErr w:type="spellEnd"/>
      <w:r w:rsidRPr="55DFC2AA">
        <w:rPr>
          <w:b w:val="0"/>
          <w:lang w:val="en-US"/>
        </w:rPr>
        <w:t xml:space="preserve"> – v </w:t>
      </w:r>
      <w:proofErr w:type="spellStart"/>
      <w:r w:rsidRPr="55DFC2AA">
        <w:rPr>
          <w:b w:val="0"/>
          <w:lang w:val="en-US"/>
        </w:rPr>
        <w:t>roce</w:t>
      </w:r>
      <w:proofErr w:type="spellEnd"/>
      <w:r w:rsidRPr="55DFC2AA">
        <w:rPr>
          <w:b w:val="0"/>
          <w:lang w:val="en-US"/>
        </w:rPr>
        <w:t xml:space="preserve"> 2023 </w:t>
      </w:r>
      <w:proofErr w:type="spellStart"/>
      <w:r w:rsidRPr="55DFC2AA">
        <w:rPr>
          <w:b w:val="0"/>
          <w:lang w:val="en-US"/>
        </w:rPr>
        <w:t>poprvé</w:t>
      </w:r>
      <w:proofErr w:type="spellEnd"/>
      <w:r w:rsidRPr="55DFC2AA">
        <w:rPr>
          <w:b w:val="0"/>
          <w:lang w:val="en-US"/>
        </w:rPr>
        <w:t xml:space="preserve"> </w:t>
      </w:r>
      <w:proofErr w:type="spellStart"/>
      <w:r w:rsidRPr="55DFC2AA">
        <w:rPr>
          <w:b w:val="0"/>
          <w:lang w:val="en-US"/>
        </w:rPr>
        <w:t>došlo</w:t>
      </w:r>
      <w:proofErr w:type="spellEnd"/>
      <w:r w:rsidRPr="55DFC2AA">
        <w:rPr>
          <w:b w:val="0"/>
          <w:lang w:val="en-US"/>
        </w:rPr>
        <w:t xml:space="preserve"> </w:t>
      </w:r>
      <w:proofErr w:type="spellStart"/>
      <w:r w:rsidRPr="55DFC2AA">
        <w:rPr>
          <w:b w:val="0"/>
          <w:lang w:val="en-US"/>
        </w:rPr>
        <w:t>ke</w:t>
      </w:r>
      <w:proofErr w:type="spellEnd"/>
      <w:r w:rsidRPr="55DFC2AA">
        <w:rPr>
          <w:b w:val="0"/>
          <w:lang w:val="en-US"/>
        </w:rPr>
        <w:t xml:space="preserve"> </w:t>
      </w:r>
      <w:proofErr w:type="spellStart"/>
      <w:r w:rsidRPr="55DFC2AA">
        <w:rPr>
          <w:b w:val="0"/>
          <w:lang w:val="en-US"/>
        </w:rPr>
        <w:t>zvýšení</w:t>
      </w:r>
      <w:proofErr w:type="spellEnd"/>
      <w:r w:rsidRPr="55DFC2AA">
        <w:rPr>
          <w:b w:val="0"/>
          <w:lang w:val="en-US"/>
        </w:rPr>
        <w:t xml:space="preserve"> </w:t>
      </w:r>
      <w:proofErr w:type="spellStart"/>
      <w:r w:rsidRPr="55DFC2AA">
        <w:rPr>
          <w:b w:val="0"/>
          <w:lang w:val="en-US"/>
        </w:rPr>
        <w:t>ceny</w:t>
      </w:r>
      <w:proofErr w:type="spellEnd"/>
      <w:r w:rsidRPr="55DFC2AA">
        <w:rPr>
          <w:b w:val="0"/>
          <w:lang w:val="en-US"/>
        </w:rPr>
        <w:t xml:space="preserve"> v </w:t>
      </w:r>
      <w:proofErr w:type="spellStart"/>
      <w:r w:rsidRPr="55DFC2AA">
        <w:rPr>
          <w:b w:val="0"/>
          <w:lang w:val="en-US"/>
        </w:rPr>
        <w:t>průběhu</w:t>
      </w:r>
      <w:proofErr w:type="spellEnd"/>
      <w:r w:rsidRPr="55DFC2AA">
        <w:rPr>
          <w:b w:val="0"/>
          <w:lang w:val="en-US"/>
        </w:rPr>
        <w:t xml:space="preserve"> </w:t>
      </w:r>
      <w:proofErr w:type="spellStart"/>
      <w:r w:rsidRPr="55DFC2AA">
        <w:rPr>
          <w:b w:val="0"/>
          <w:lang w:val="en-US"/>
        </w:rPr>
        <w:t>roku</w:t>
      </w:r>
      <w:proofErr w:type="spellEnd"/>
      <w:r w:rsidRPr="55DFC2AA">
        <w:rPr>
          <w:b w:val="0"/>
          <w:lang w:val="en-US"/>
        </w:rPr>
        <w:t xml:space="preserve">, </w:t>
      </w:r>
      <w:proofErr w:type="spellStart"/>
      <w:r w:rsidRPr="55DFC2AA">
        <w:rPr>
          <w:b w:val="0"/>
          <w:lang w:val="en-US"/>
        </w:rPr>
        <w:t>protože</w:t>
      </w:r>
      <w:proofErr w:type="spellEnd"/>
      <w:r w:rsidRPr="55DFC2AA">
        <w:rPr>
          <w:b w:val="0"/>
          <w:lang w:val="en-US"/>
        </w:rPr>
        <w:t xml:space="preserve"> </w:t>
      </w:r>
      <w:proofErr w:type="spellStart"/>
      <w:r w:rsidRPr="55DFC2AA">
        <w:rPr>
          <w:b w:val="0"/>
          <w:lang w:val="en-US"/>
        </w:rPr>
        <w:t>odběratelé</w:t>
      </w:r>
      <w:proofErr w:type="spellEnd"/>
      <w:r w:rsidRPr="55DFC2AA">
        <w:rPr>
          <w:b w:val="0"/>
          <w:lang w:val="en-US"/>
        </w:rPr>
        <w:t xml:space="preserve"> </w:t>
      </w:r>
      <w:proofErr w:type="spellStart"/>
      <w:r w:rsidRPr="55DFC2AA">
        <w:rPr>
          <w:b w:val="0"/>
          <w:lang w:val="en-US"/>
        </w:rPr>
        <w:t>neodebírali</w:t>
      </w:r>
      <w:proofErr w:type="spellEnd"/>
      <w:r w:rsidRPr="55DFC2AA">
        <w:rPr>
          <w:b w:val="0"/>
          <w:lang w:val="en-US"/>
        </w:rPr>
        <w:t xml:space="preserve"> </w:t>
      </w:r>
      <w:proofErr w:type="spellStart"/>
      <w:r w:rsidRPr="55DFC2AA">
        <w:rPr>
          <w:b w:val="0"/>
          <w:lang w:val="en-US"/>
        </w:rPr>
        <w:t>nasmlouvané</w:t>
      </w:r>
      <w:proofErr w:type="spellEnd"/>
      <w:r w:rsidRPr="55DFC2AA">
        <w:rPr>
          <w:b w:val="0"/>
          <w:lang w:val="en-US"/>
        </w:rPr>
        <w:t xml:space="preserve"> </w:t>
      </w:r>
      <w:proofErr w:type="spellStart"/>
      <w:r w:rsidRPr="55DFC2AA">
        <w:rPr>
          <w:b w:val="0"/>
          <w:lang w:val="en-US"/>
        </w:rPr>
        <w:t>množství</w:t>
      </w:r>
      <w:proofErr w:type="spellEnd"/>
      <w:r w:rsidRPr="55DFC2AA">
        <w:rPr>
          <w:b w:val="0"/>
          <w:lang w:val="en-US"/>
        </w:rPr>
        <w:t xml:space="preserve"> </w:t>
      </w:r>
      <w:proofErr w:type="spellStart"/>
      <w:r w:rsidRPr="55DFC2AA">
        <w:rPr>
          <w:b w:val="0"/>
          <w:lang w:val="en-US"/>
        </w:rPr>
        <w:t>vody</w:t>
      </w:r>
      <w:proofErr w:type="spellEnd"/>
      <w:r w:rsidRPr="55DFC2AA">
        <w:rPr>
          <w:b w:val="0"/>
          <w:lang w:val="en-US"/>
        </w:rPr>
        <w:t xml:space="preserve">. Cena od 1. 1. 2023 do 31. 7. 2023 </w:t>
      </w:r>
      <w:proofErr w:type="spellStart"/>
      <w:r w:rsidRPr="55DFC2AA">
        <w:rPr>
          <w:b w:val="0"/>
          <w:lang w:val="en-US"/>
        </w:rPr>
        <w:t>byla</w:t>
      </w:r>
      <w:proofErr w:type="spellEnd"/>
      <w:r w:rsidRPr="55DFC2AA">
        <w:rPr>
          <w:b w:val="0"/>
          <w:lang w:val="en-US"/>
        </w:rPr>
        <w:t xml:space="preserve"> 6,10 </w:t>
      </w:r>
      <w:proofErr w:type="spellStart"/>
      <w:r w:rsidRPr="55DFC2AA">
        <w:rPr>
          <w:b w:val="0"/>
          <w:lang w:val="en-US"/>
        </w:rPr>
        <w:t>Kč</w:t>
      </w:r>
      <w:proofErr w:type="spellEnd"/>
      <w:r w:rsidRPr="55DFC2AA">
        <w:rPr>
          <w:b w:val="0"/>
          <w:lang w:val="en-US"/>
        </w:rPr>
        <w:t xml:space="preserve"> a od 1. 8. </w:t>
      </w:r>
      <w:proofErr w:type="spellStart"/>
      <w:r w:rsidRPr="55DFC2AA">
        <w:rPr>
          <w:b w:val="0"/>
          <w:lang w:val="en-US"/>
        </w:rPr>
        <w:t>do</w:t>
      </w:r>
      <w:proofErr w:type="spellEnd"/>
      <w:r w:rsidRPr="55DFC2AA">
        <w:rPr>
          <w:b w:val="0"/>
          <w:lang w:val="en-US"/>
        </w:rPr>
        <w:t xml:space="preserve"> 31. 12. 2023 </w:t>
      </w:r>
      <w:proofErr w:type="spellStart"/>
      <w:r w:rsidRPr="55DFC2AA">
        <w:rPr>
          <w:b w:val="0"/>
          <w:lang w:val="en-US"/>
        </w:rPr>
        <w:t>byla</w:t>
      </w:r>
      <w:proofErr w:type="spellEnd"/>
      <w:r w:rsidRPr="55DFC2AA">
        <w:rPr>
          <w:b w:val="0"/>
          <w:lang w:val="en-US"/>
        </w:rPr>
        <w:t xml:space="preserve"> 6,29 </w:t>
      </w:r>
      <w:proofErr w:type="spellStart"/>
      <w:r w:rsidRPr="55DFC2AA">
        <w:rPr>
          <w:b w:val="0"/>
          <w:lang w:val="en-US"/>
        </w:rPr>
        <w:t>Kč</w:t>
      </w:r>
      <w:proofErr w:type="spellEnd"/>
      <w:r w:rsidRPr="55DFC2AA">
        <w:rPr>
          <w:b w:val="0"/>
          <w:lang w:val="en-US"/>
        </w:rPr>
        <w:t>.</w:t>
      </w:r>
    </w:p>
    <w:p w14:paraId="5CCE9227" w14:textId="77777777" w:rsidR="00657F2A" w:rsidRPr="00104F7D" w:rsidRDefault="00657F2A" w:rsidP="007C4955">
      <w:pPr>
        <w:contextualSpacing/>
        <w:rPr>
          <w:rFonts w:cs="Arial"/>
          <w:i/>
          <w:sz w:val="20"/>
          <w:szCs w:val="20"/>
          <w:highlight w:val="yellow"/>
        </w:rPr>
      </w:pPr>
    </w:p>
    <w:p w14:paraId="7BC9C0A6" w14:textId="0BA55E7B" w:rsidR="00FC217A" w:rsidRPr="00CC37F9" w:rsidRDefault="00FC217A" w:rsidP="00FC217A">
      <w:pPr>
        <w:rPr>
          <w:rFonts w:cs="Arial"/>
        </w:rPr>
      </w:pPr>
      <w:r w:rsidRPr="00CC37F9">
        <w:rPr>
          <w:rFonts w:cs="Arial"/>
        </w:rPr>
        <w:t>Současné ceny odběrů povrchové vody v dnešním pojetí nevyjadřují hodnotu povrchové vody, ale vyjadřují náklady vynaložené jednotlivými s. p. Povodí na správu vodních toků a správu povodí. Tyto ceny podléhají regulaci formou věcného usměrňování podle zákona č. 526/1990 Sb., o cenách,</w:t>
      </w:r>
      <w:r w:rsidR="006667AD" w:rsidRPr="00CC37F9">
        <w:rPr>
          <w:rFonts w:cs="Arial"/>
        </w:rPr>
        <w:t xml:space="preserve"> ve znění pozdějších předpisů,</w:t>
      </w:r>
      <w:r w:rsidRPr="00CC37F9">
        <w:rPr>
          <w:rFonts w:cs="Arial"/>
        </w:rPr>
        <w:t xml:space="preserve"> a pravidlům stanoveným rozhodnutími Ministerstva financí</w:t>
      </w:r>
      <w:r w:rsidR="006667AD" w:rsidRPr="00CC37F9">
        <w:rPr>
          <w:rFonts w:cs="Arial"/>
        </w:rPr>
        <w:t>, kterými se vydává seznam zboží s regulovanými cenami</w:t>
      </w:r>
      <w:r w:rsidRPr="00CC37F9">
        <w:rPr>
          <w:rFonts w:cs="Arial"/>
        </w:rPr>
        <w:t>, zveřejňovanými v Cenovém věstníku</w:t>
      </w:r>
      <w:r w:rsidR="006667AD" w:rsidRPr="00CC37F9">
        <w:rPr>
          <w:rFonts w:cs="Arial"/>
        </w:rPr>
        <w:t xml:space="preserve"> Ministerstva financí</w:t>
      </w:r>
      <w:r w:rsidRPr="00CC37F9">
        <w:rPr>
          <w:rFonts w:cs="Arial"/>
        </w:rPr>
        <w:t xml:space="preserve">. </w:t>
      </w:r>
    </w:p>
    <w:p w14:paraId="05F0A262" w14:textId="3D6A28B5" w:rsidR="00FC217A" w:rsidRPr="00CC37F9" w:rsidRDefault="00FC217A" w:rsidP="00FC217A">
      <w:pPr>
        <w:spacing w:before="240" w:after="240"/>
        <w:rPr>
          <w:rFonts w:cs="Arial"/>
        </w:rPr>
      </w:pPr>
      <w:r w:rsidRPr="00CC37F9">
        <w:rPr>
          <w:rFonts w:cs="Arial"/>
          <w:b/>
        </w:rPr>
        <w:t>Příjmy za odběry povrchové vody jsou nejvýznamnějším zdrojem příjmů. V roce 202</w:t>
      </w:r>
      <w:r w:rsidR="005B1699" w:rsidRPr="00CC37F9">
        <w:rPr>
          <w:rFonts w:cs="Arial"/>
          <w:b/>
        </w:rPr>
        <w:t>5</w:t>
      </w:r>
      <w:r w:rsidRPr="00CC37F9">
        <w:rPr>
          <w:rFonts w:cs="Arial"/>
          <w:b/>
        </w:rPr>
        <w:t xml:space="preserve"> zaznamenaly oproti roku 202</w:t>
      </w:r>
      <w:r w:rsidR="00095EAB" w:rsidRPr="00CC37F9">
        <w:rPr>
          <w:rFonts w:cs="Arial"/>
          <w:b/>
        </w:rPr>
        <w:t>4</w:t>
      </w:r>
      <w:r w:rsidRPr="00CC37F9">
        <w:rPr>
          <w:rFonts w:cs="Arial"/>
          <w:b/>
        </w:rPr>
        <w:t xml:space="preserve"> </w:t>
      </w:r>
      <w:r w:rsidR="00697089" w:rsidRPr="00CC37F9">
        <w:rPr>
          <w:rFonts w:cs="Arial"/>
          <w:b/>
        </w:rPr>
        <w:t>nárůst</w:t>
      </w:r>
      <w:r w:rsidR="00B9378F" w:rsidRPr="00CC37F9">
        <w:rPr>
          <w:rFonts w:cs="Arial"/>
          <w:b/>
        </w:rPr>
        <w:t xml:space="preserve"> o</w:t>
      </w:r>
      <w:r w:rsidRPr="00CC37F9">
        <w:rPr>
          <w:rFonts w:cs="Arial"/>
          <w:b/>
        </w:rPr>
        <w:t xml:space="preserve"> </w:t>
      </w:r>
      <w:r w:rsidR="00CC37F9" w:rsidRPr="00CC37F9">
        <w:rPr>
          <w:rFonts w:cs="Arial"/>
          <w:b/>
        </w:rPr>
        <w:t>8</w:t>
      </w:r>
      <w:r w:rsidRPr="00CC37F9">
        <w:rPr>
          <w:rFonts w:cs="Arial"/>
          <w:b/>
        </w:rPr>
        <w:t xml:space="preserve"> %</w:t>
      </w:r>
      <w:r w:rsidR="00CC37F9" w:rsidRPr="00CC37F9">
        <w:rPr>
          <w:rFonts w:cs="Arial"/>
          <w:b/>
        </w:rPr>
        <w:t xml:space="preserve">. </w:t>
      </w:r>
      <w:r w:rsidRPr="00CC37F9">
        <w:rPr>
          <w:rFonts w:cs="Arial"/>
          <w:b/>
        </w:rPr>
        <w:t xml:space="preserve">Celková výše těchto příjmů činila </w:t>
      </w:r>
      <w:r w:rsidR="00D70C16" w:rsidRPr="00CC37F9">
        <w:rPr>
          <w:rFonts w:cs="Arial"/>
          <w:b/>
        </w:rPr>
        <w:t xml:space="preserve">4 </w:t>
      </w:r>
      <w:r w:rsidR="005B1699" w:rsidRPr="00CC37F9">
        <w:rPr>
          <w:rFonts w:cs="Arial"/>
          <w:b/>
        </w:rPr>
        <w:t>449</w:t>
      </w:r>
      <w:r w:rsidRPr="00CC37F9">
        <w:rPr>
          <w:rFonts w:cs="Arial"/>
          <w:b/>
        </w:rPr>
        <w:t xml:space="preserve"> m</w:t>
      </w:r>
      <w:r w:rsidR="009045E2" w:rsidRPr="00CC37F9">
        <w:rPr>
          <w:rFonts w:cs="Arial"/>
          <w:b/>
        </w:rPr>
        <w:t>i</w:t>
      </w:r>
      <w:r w:rsidRPr="00CC37F9">
        <w:rPr>
          <w:rFonts w:cs="Arial"/>
          <w:b/>
        </w:rPr>
        <w:t>l. Kč.</w:t>
      </w:r>
    </w:p>
    <w:p w14:paraId="7B9249A9" w14:textId="77777777" w:rsidR="00C1173A" w:rsidRPr="005B1699" w:rsidRDefault="00C1173A" w:rsidP="007C4955">
      <w:pPr>
        <w:contextualSpacing/>
        <w:rPr>
          <w:b/>
          <w:i/>
        </w:rPr>
      </w:pPr>
      <w:bookmarkStart w:id="72" w:name="_Toc482564970"/>
      <w:r w:rsidRPr="005B1699">
        <w:rPr>
          <w:b/>
          <w:i/>
        </w:rPr>
        <w:t>Tabulka 6.2.</w:t>
      </w:r>
      <w:bookmarkEnd w:id="72"/>
      <w:r w:rsidR="0069387B" w:rsidRPr="005B1699">
        <w:rPr>
          <w:b/>
          <w:i/>
        </w:rPr>
        <w:t xml:space="preserve">8 </w:t>
      </w:r>
    </w:p>
    <w:p w14:paraId="3620E436" w14:textId="33E4E9EA" w:rsidR="00C1173A" w:rsidRPr="005B1699" w:rsidRDefault="00C1173A" w:rsidP="007C4955">
      <w:pPr>
        <w:contextualSpacing/>
        <w:rPr>
          <w:b/>
          <w:i/>
        </w:rPr>
      </w:pPr>
      <w:bookmarkStart w:id="73" w:name="_Toc482564971"/>
      <w:r w:rsidRPr="005B1699">
        <w:rPr>
          <w:b/>
          <w:i/>
        </w:rPr>
        <w:t>Platby za odběry povrchové vody v letech 201</w:t>
      </w:r>
      <w:r w:rsidR="007375E5" w:rsidRPr="005B1699">
        <w:rPr>
          <w:b/>
          <w:i/>
        </w:rPr>
        <w:t>6</w:t>
      </w:r>
      <w:r w:rsidRPr="005B1699">
        <w:rPr>
          <w:b/>
          <w:i/>
        </w:rPr>
        <w:t>–20</w:t>
      </w:r>
      <w:bookmarkEnd w:id="73"/>
      <w:r w:rsidR="00133C87" w:rsidRPr="005B1699">
        <w:rPr>
          <w:b/>
          <w:i/>
        </w:rPr>
        <w:t>2</w:t>
      </w:r>
      <w:r w:rsidR="005B1699">
        <w:rPr>
          <w:b/>
          <w:i/>
        </w:rPr>
        <w:t>5</w:t>
      </w:r>
    </w:p>
    <w:tbl>
      <w:tblPr>
        <w:tblW w:w="10057" w:type="dxa"/>
        <w:jc w:val="center"/>
        <w:tblLayout w:type="fixed"/>
        <w:tblCellMar>
          <w:left w:w="30" w:type="dxa"/>
          <w:right w:w="30" w:type="dxa"/>
        </w:tblCellMar>
        <w:tblLook w:val="0000" w:firstRow="0" w:lastRow="0" w:firstColumn="0" w:lastColumn="0" w:noHBand="0" w:noVBand="0"/>
      </w:tblPr>
      <w:tblGrid>
        <w:gridCol w:w="1268"/>
        <w:gridCol w:w="992"/>
        <w:gridCol w:w="851"/>
        <w:gridCol w:w="850"/>
        <w:gridCol w:w="851"/>
        <w:gridCol w:w="850"/>
        <w:gridCol w:w="851"/>
        <w:gridCol w:w="850"/>
        <w:gridCol w:w="851"/>
        <w:gridCol w:w="992"/>
        <w:gridCol w:w="851"/>
      </w:tblGrid>
      <w:tr w:rsidR="00864995" w:rsidRPr="005B1699" w14:paraId="1E4ACB93" w14:textId="620DB05B" w:rsidTr="005B1699">
        <w:trPr>
          <w:trHeight w:val="227"/>
          <w:jc w:val="center"/>
        </w:trPr>
        <w:tc>
          <w:tcPr>
            <w:tcW w:w="1268" w:type="dxa"/>
            <w:vMerge w:val="restart"/>
            <w:tcBorders>
              <w:top w:val="single" w:sz="6" w:space="0" w:color="auto"/>
              <w:left w:val="single" w:sz="6" w:space="0" w:color="auto"/>
              <w:right w:val="single" w:sz="6" w:space="0" w:color="auto"/>
            </w:tcBorders>
            <w:shd w:val="clear" w:color="auto" w:fill="BFBFBF"/>
            <w:vAlign w:val="center"/>
          </w:tcPr>
          <w:p w14:paraId="26DFC35C" w14:textId="77777777" w:rsidR="00864995" w:rsidRPr="005B1699" w:rsidRDefault="00864995" w:rsidP="007375E5">
            <w:pPr>
              <w:autoSpaceDE w:val="0"/>
              <w:autoSpaceDN w:val="0"/>
              <w:adjustRightInd w:val="0"/>
              <w:contextualSpacing/>
              <w:rPr>
                <w:rFonts w:cs="Arial"/>
                <w:b/>
                <w:bCs/>
                <w:sz w:val="18"/>
                <w:szCs w:val="18"/>
              </w:rPr>
            </w:pPr>
            <w:r w:rsidRPr="005B1699">
              <w:rPr>
                <w:rFonts w:cs="Arial"/>
                <w:b/>
                <w:bCs/>
                <w:sz w:val="18"/>
                <w:szCs w:val="18"/>
              </w:rPr>
              <w:t>Státní podnik Povodí</w:t>
            </w: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tcPr>
          <w:p w14:paraId="71566ECB" w14:textId="4C7864D4" w:rsidR="00864995" w:rsidRPr="005B1699" w:rsidRDefault="00864995" w:rsidP="007375E5">
            <w:pPr>
              <w:autoSpaceDE w:val="0"/>
              <w:autoSpaceDN w:val="0"/>
              <w:adjustRightInd w:val="0"/>
              <w:contextualSpacing/>
              <w:jc w:val="center"/>
              <w:rPr>
                <w:rFonts w:cs="Arial"/>
                <w:b/>
                <w:bCs/>
                <w:sz w:val="18"/>
                <w:szCs w:val="18"/>
              </w:rPr>
            </w:pPr>
            <w:r w:rsidRPr="005B1699">
              <w:rPr>
                <w:rFonts w:cs="Arial"/>
                <w:b/>
                <w:bCs/>
                <w:sz w:val="18"/>
                <w:szCs w:val="18"/>
              </w:rPr>
              <w:t>2016</w:t>
            </w:r>
          </w:p>
        </w:tc>
        <w:tc>
          <w:tcPr>
            <w:tcW w:w="851" w:type="dxa"/>
            <w:tcBorders>
              <w:top w:val="single" w:sz="6" w:space="0" w:color="auto"/>
              <w:left w:val="single" w:sz="6" w:space="0" w:color="auto"/>
              <w:bottom w:val="single" w:sz="6" w:space="0" w:color="auto"/>
              <w:right w:val="single" w:sz="6" w:space="0" w:color="auto"/>
            </w:tcBorders>
            <w:shd w:val="clear" w:color="auto" w:fill="BFBFBF"/>
            <w:vAlign w:val="center"/>
          </w:tcPr>
          <w:p w14:paraId="1BE561CD" w14:textId="24427570" w:rsidR="00864995" w:rsidRPr="005B1699" w:rsidRDefault="00864995" w:rsidP="007375E5">
            <w:pPr>
              <w:autoSpaceDE w:val="0"/>
              <w:autoSpaceDN w:val="0"/>
              <w:adjustRightInd w:val="0"/>
              <w:contextualSpacing/>
              <w:jc w:val="center"/>
              <w:rPr>
                <w:rFonts w:cs="Arial"/>
                <w:b/>
                <w:bCs/>
                <w:sz w:val="18"/>
                <w:szCs w:val="18"/>
              </w:rPr>
            </w:pPr>
            <w:r w:rsidRPr="005B1699">
              <w:rPr>
                <w:rFonts w:cs="Arial"/>
                <w:b/>
                <w:bCs/>
                <w:sz w:val="18"/>
                <w:szCs w:val="18"/>
              </w:rPr>
              <w:t>2017</w:t>
            </w:r>
          </w:p>
        </w:tc>
        <w:tc>
          <w:tcPr>
            <w:tcW w:w="850" w:type="dxa"/>
            <w:tcBorders>
              <w:top w:val="single" w:sz="6" w:space="0" w:color="auto"/>
              <w:left w:val="single" w:sz="6" w:space="0" w:color="auto"/>
              <w:bottom w:val="single" w:sz="6" w:space="0" w:color="auto"/>
              <w:right w:val="single" w:sz="6" w:space="0" w:color="auto"/>
            </w:tcBorders>
            <w:shd w:val="clear" w:color="auto" w:fill="BFBFBF"/>
            <w:vAlign w:val="center"/>
          </w:tcPr>
          <w:p w14:paraId="49E5B948" w14:textId="2A07B730" w:rsidR="00864995" w:rsidRPr="005B1699" w:rsidRDefault="00864995" w:rsidP="007375E5">
            <w:pPr>
              <w:autoSpaceDE w:val="0"/>
              <w:autoSpaceDN w:val="0"/>
              <w:adjustRightInd w:val="0"/>
              <w:contextualSpacing/>
              <w:jc w:val="center"/>
              <w:rPr>
                <w:rFonts w:cs="Arial"/>
                <w:b/>
                <w:bCs/>
                <w:sz w:val="18"/>
                <w:szCs w:val="18"/>
              </w:rPr>
            </w:pPr>
            <w:r w:rsidRPr="005B1699">
              <w:rPr>
                <w:rFonts w:cs="Arial"/>
                <w:b/>
                <w:bCs/>
                <w:sz w:val="18"/>
                <w:szCs w:val="18"/>
              </w:rPr>
              <w:t>2018</w:t>
            </w:r>
          </w:p>
        </w:tc>
        <w:tc>
          <w:tcPr>
            <w:tcW w:w="851" w:type="dxa"/>
            <w:tcBorders>
              <w:top w:val="single" w:sz="6" w:space="0" w:color="auto"/>
              <w:left w:val="single" w:sz="6" w:space="0" w:color="auto"/>
              <w:bottom w:val="single" w:sz="6" w:space="0" w:color="auto"/>
              <w:right w:val="single" w:sz="6" w:space="0" w:color="auto"/>
            </w:tcBorders>
            <w:shd w:val="clear" w:color="auto" w:fill="BFBFBF"/>
            <w:vAlign w:val="center"/>
          </w:tcPr>
          <w:p w14:paraId="0D01E7C2" w14:textId="24AFB48A" w:rsidR="00864995" w:rsidRPr="005B1699" w:rsidRDefault="00864995" w:rsidP="007375E5">
            <w:pPr>
              <w:autoSpaceDE w:val="0"/>
              <w:autoSpaceDN w:val="0"/>
              <w:adjustRightInd w:val="0"/>
              <w:contextualSpacing/>
              <w:jc w:val="center"/>
              <w:rPr>
                <w:rFonts w:cs="Arial"/>
                <w:b/>
                <w:bCs/>
                <w:sz w:val="18"/>
                <w:szCs w:val="18"/>
              </w:rPr>
            </w:pPr>
            <w:r w:rsidRPr="005B1699">
              <w:rPr>
                <w:rFonts w:cs="Arial"/>
                <w:b/>
                <w:bCs/>
                <w:sz w:val="18"/>
                <w:szCs w:val="18"/>
              </w:rPr>
              <w:t>2019</w:t>
            </w:r>
          </w:p>
        </w:tc>
        <w:tc>
          <w:tcPr>
            <w:tcW w:w="850" w:type="dxa"/>
            <w:tcBorders>
              <w:top w:val="single" w:sz="6" w:space="0" w:color="auto"/>
              <w:left w:val="single" w:sz="6" w:space="0" w:color="auto"/>
              <w:bottom w:val="single" w:sz="6" w:space="0" w:color="auto"/>
              <w:right w:val="single" w:sz="6" w:space="0" w:color="auto"/>
            </w:tcBorders>
            <w:shd w:val="clear" w:color="auto" w:fill="BFBFBF"/>
            <w:vAlign w:val="center"/>
          </w:tcPr>
          <w:p w14:paraId="1D24C6D5" w14:textId="3D79F839" w:rsidR="00864995" w:rsidRPr="005B1699" w:rsidRDefault="00864995" w:rsidP="007375E5">
            <w:pPr>
              <w:autoSpaceDE w:val="0"/>
              <w:autoSpaceDN w:val="0"/>
              <w:adjustRightInd w:val="0"/>
              <w:contextualSpacing/>
              <w:jc w:val="center"/>
              <w:rPr>
                <w:rFonts w:cs="Arial"/>
                <w:b/>
                <w:bCs/>
                <w:sz w:val="18"/>
                <w:szCs w:val="18"/>
              </w:rPr>
            </w:pPr>
            <w:r w:rsidRPr="005B1699">
              <w:rPr>
                <w:rFonts w:cs="Arial"/>
                <w:b/>
                <w:bCs/>
                <w:sz w:val="18"/>
                <w:szCs w:val="18"/>
              </w:rPr>
              <w:t>2020</w:t>
            </w:r>
          </w:p>
        </w:tc>
        <w:tc>
          <w:tcPr>
            <w:tcW w:w="851" w:type="dxa"/>
            <w:tcBorders>
              <w:top w:val="single" w:sz="6" w:space="0" w:color="auto"/>
              <w:left w:val="single" w:sz="6" w:space="0" w:color="auto"/>
              <w:bottom w:val="single" w:sz="6" w:space="0" w:color="auto"/>
              <w:right w:val="single" w:sz="6" w:space="0" w:color="auto"/>
            </w:tcBorders>
            <w:shd w:val="clear" w:color="auto" w:fill="BFBFBF"/>
            <w:vAlign w:val="center"/>
          </w:tcPr>
          <w:p w14:paraId="26ECAC8D" w14:textId="762AE915" w:rsidR="00864995" w:rsidRPr="005B1699" w:rsidRDefault="00864995" w:rsidP="007375E5">
            <w:pPr>
              <w:autoSpaceDE w:val="0"/>
              <w:autoSpaceDN w:val="0"/>
              <w:adjustRightInd w:val="0"/>
              <w:contextualSpacing/>
              <w:jc w:val="center"/>
              <w:rPr>
                <w:rFonts w:cs="Arial"/>
                <w:b/>
                <w:bCs/>
                <w:sz w:val="18"/>
                <w:szCs w:val="18"/>
              </w:rPr>
            </w:pPr>
            <w:r w:rsidRPr="005B1699">
              <w:rPr>
                <w:rFonts w:cs="Arial"/>
                <w:b/>
                <w:bCs/>
                <w:sz w:val="18"/>
                <w:szCs w:val="18"/>
              </w:rPr>
              <w:t>2021</w:t>
            </w:r>
          </w:p>
        </w:tc>
        <w:tc>
          <w:tcPr>
            <w:tcW w:w="850" w:type="dxa"/>
            <w:tcBorders>
              <w:top w:val="single" w:sz="6" w:space="0" w:color="auto"/>
              <w:left w:val="single" w:sz="6" w:space="0" w:color="auto"/>
              <w:bottom w:val="single" w:sz="6" w:space="0" w:color="auto"/>
              <w:right w:val="single" w:sz="6" w:space="0" w:color="auto"/>
            </w:tcBorders>
            <w:shd w:val="clear" w:color="auto" w:fill="BFBFBF"/>
            <w:vAlign w:val="center"/>
          </w:tcPr>
          <w:p w14:paraId="60A46886" w14:textId="20BCF075" w:rsidR="00864995" w:rsidRPr="005B1699" w:rsidRDefault="00864995" w:rsidP="007375E5">
            <w:pPr>
              <w:autoSpaceDE w:val="0"/>
              <w:autoSpaceDN w:val="0"/>
              <w:adjustRightInd w:val="0"/>
              <w:contextualSpacing/>
              <w:jc w:val="center"/>
              <w:rPr>
                <w:rFonts w:cs="Arial"/>
                <w:b/>
                <w:bCs/>
                <w:sz w:val="18"/>
                <w:szCs w:val="18"/>
              </w:rPr>
            </w:pPr>
            <w:r w:rsidRPr="005B1699">
              <w:rPr>
                <w:rFonts w:cs="Arial"/>
                <w:b/>
                <w:bCs/>
                <w:sz w:val="18"/>
                <w:szCs w:val="18"/>
              </w:rPr>
              <w:t>2022</w:t>
            </w:r>
          </w:p>
        </w:tc>
        <w:tc>
          <w:tcPr>
            <w:tcW w:w="851" w:type="dxa"/>
            <w:tcBorders>
              <w:top w:val="single" w:sz="6" w:space="0" w:color="auto"/>
              <w:left w:val="single" w:sz="6" w:space="0" w:color="auto"/>
              <w:bottom w:val="single" w:sz="6" w:space="0" w:color="auto"/>
              <w:right w:val="single" w:sz="6" w:space="0" w:color="auto"/>
            </w:tcBorders>
            <w:shd w:val="clear" w:color="auto" w:fill="BFBFBF"/>
          </w:tcPr>
          <w:p w14:paraId="401427BA" w14:textId="6968D5CE" w:rsidR="00864995" w:rsidRPr="005B1699" w:rsidRDefault="00864995" w:rsidP="007375E5">
            <w:pPr>
              <w:autoSpaceDE w:val="0"/>
              <w:autoSpaceDN w:val="0"/>
              <w:adjustRightInd w:val="0"/>
              <w:contextualSpacing/>
              <w:jc w:val="center"/>
              <w:rPr>
                <w:rFonts w:cs="Arial"/>
                <w:b/>
                <w:bCs/>
                <w:sz w:val="18"/>
                <w:szCs w:val="18"/>
              </w:rPr>
            </w:pPr>
            <w:r w:rsidRPr="005B1699">
              <w:rPr>
                <w:rFonts w:cs="Arial"/>
                <w:b/>
                <w:bCs/>
                <w:sz w:val="18"/>
                <w:szCs w:val="18"/>
              </w:rPr>
              <w:t>2023</w:t>
            </w:r>
          </w:p>
        </w:tc>
        <w:tc>
          <w:tcPr>
            <w:tcW w:w="992" w:type="dxa"/>
            <w:tcBorders>
              <w:top w:val="single" w:sz="6" w:space="0" w:color="auto"/>
              <w:left w:val="single" w:sz="6" w:space="0" w:color="auto"/>
              <w:bottom w:val="single" w:sz="6" w:space="0" w:color="auto"/>
              <w:right w:val="single" w:sz="6" w:space="0" w:color="auto"/>
            </w:tcBorders>
            <w:shd w:val="clear" w:color="auto" w:fill="BFBFBF"/>
          </w:tcPr>
          <w:p w14:paraId="713C8EEF" w14:textId="18B21277" w:rsidR="00864995" w:rsidRPr="005B1699" w:rsidRDefault="00864995" w:rsidP="007375E5">
            <w:pPr>
              <w:autoSpaceDE w:val="0"/>
              <w:autoSpaceDN w:val="0"/>
              <w:adjustRightInd w:val="0"/>
              <w:contextualSpacing/>
              <w:jc w:val="center"/>
              <w:rPr>
                <w:rFonts w:cs="Arial"/>
                <w:b/>
                <w:bCs/>
                <w:sz w:val="18"/>
                <w:szCs w:val="18"/>
              </w:rPr>
            </w:pPr>
            <w:r w:rsidRPr="005B1699">
              <w:rPr>
                <w:rFonts w:cs="Arial"/>
                <w:b/>
                <w:bCs/>
                <w:sz w:val="18"/>
                <w:szCs w:val="18"/>
              </w:rPr>
              <w:t>2024</w:t>
            </w:r>
          </w:p>
        </w:tc>
        <w:tc>
          <w:tcPr>
            <w:tcW w:w="851" w:type="dxa"/>
            <w:tcBorders>
              <w:top w:val="single" w:sz="6" w:space="0" w:color="auto"/>
              <w:left w:val="single" w:sz="6" w:space="0" w:color="auto"/>
              <w:bottom w:val="single" w:sz="6" w:space="0" w:color="auto"/>
              <w:right w:val="single" w:sz="6" w:space="0" w:color="auto"/>
            </w:tcBorders>
            <w:shd w:val="clear" w:color="auto" w:fill="BFBFBF"/>
          </w:tcPr>
          <w:p w14:paraId="423372AB" w14:textId="11725D94" w:rsidR="00864995" w:rsidRPr="005B1699" w:rsidRDefault="00864995" w:rsidP="007375E5">
            <w:pPr>
              <w:autoSpaceDE w:val="0"/>
              <w:autoSpaceDN w:val="0"/>
              <w:adjustRightInd w:val="0"/>
              <w:contextualSpacing/>
              <w:jc w:val="center"/>
              <w:rPr>
                <w:rFonts w:cs="Arial"/>
                <w:b/>
                <w:bCs/>
                <w:sz w:val="18"/>
                <w:szCs w:val="18"/>
              </w:rPr>
            </w:pPr>
            <w:r w:rsidRPr="005B1699">
              <w:rPr>
                <w:rFonts w:cs="Arial"/>
                <w:b/>
                <w:bCs/>
                <w:sz w:val="18"/>
                <w:szCs w:val="18"/>
              </w:rPr>
              <w:t>2025</w:t>
            </w:r>
          </w:p>
        </w:tc>
      </w:tr>
      <w:tr w:rsidR="00864995" w:rsidRPr="005B1699" w14:paraId="169DBD2E" w14:textId="55C82BB4" w:rsidTr="005B1699">
        <w:trPr>
          <w:trHeight w:val="227"/>
          <w:jc w:val="center"/>
        </w:trPr>
        <w:tc>
          <w:tcPr>
            <w:tcW w:w="1268" w:type="dxa"/>
            <w:vMerge/>
            <w:tcBorders>
              <w:left w:val="single" w:sz="6" w:space="0" w:color="auto"/>
              <w:bottom w:val="single" w:sz="6" w:space="0" w:color="auto"/>
              <w:right w:val="single" w:sz="6" w:space="0" w:color="auto"/>
            </w:tcBorders>
            <w:shd w:val="clear" w:color="auto" w:fill="BFBFBF"/>
            <w:vAlign w:val="center"/>
          </w:tcPr>
          <w:p w14:paraId="367099A6" w14:textId="77777777" w:rsidR="00864995" w:rsidRPr="005B1699" w:rsidRDefault="00864995" w:rsidP="00FC217A">
            <w:pPr>
              <w:autoSpaceDE w:val="0"/>
              <w:autoSpaceDN w:val="0"/>
              <w:adjustRightInd w:val="0"/>
              <w:contextualSpacing/>
              <w:rPr>
                <w:rFonts w:cs="Arial"/>
                <w:b/>
                <w:bCs/>
                <w:sz w:val="18"/>
                <w:szCs w:val="18"/>
              </w:rPr>
            </w:pPr>
          </w:p>
        </w:tc>
        <w:tc>
          <w:tcPr>
            <w:tcW w:w="8789" w:type="dxa"/>
            <w:gridSpan w:val="10"/>
            <w:tcBorders>
              <w:top w:val="single" w:sz="6" w:space="0" w:color="auto"/>
              <w:left w:val="single" w:sz="6" w:space="0" w:color="auto"/>
              <w:bottom w:val="single" w:sz="6" w:space="0" w:color="auto"/>
              <w:right w:val="single" w:sz="6" w:space="0" w:color="auto"/>
            </w:tcBorders>
            <w:shd w:val="clear" w:color="auto" w:fill="BFBFBF"/>
            <w:vAlign w:val="center"/>
          </w:tcPr>
          <w:p w14:paraId="7B4187E1" w14:textId="3182E16E" w:rsidR="00864995" w:rsidRPr="005B1699" w:rsidRDefault="00864995" w:rsidP="00FC217A">
            <w:pPr>
              <w:autoSpaceDE w:val="0"/>
              <w:autoSpaceDN w:val="0"/>
              <w:adjustRightInd w:val="0"/>
              <w:contextualSpacing/>
              <w:jc w:val="center"/>
              <w:rPr>
                <w:rFonts w:cs="Arial"/>
                <w:b/>
                <w:sz w:val="18"/>
                <w:szCs w:val="18"/>
              </w:rPr>
            </w:pPr>
            <w:r w:rsidRPr="005B1699">
              <w:rPr>
                <w:rFonts w:cs="Arial"/>
                <w:b/>
                <w:sz w:val="18"/>
                <w:szCs w:val="18"/>
              </w:rPr>
              <w:t>mil. Kč</w:t>
            </w:r>
          </w:p>
        </w:tc>
      </w:tr>
      <w:tr w:rsidR="005B1699" w:rsidRPr="005B1699" w14:paraId="6294C264" w14:textId="037CF93A" w:rsidTr="005B1699">
        <w:trPr>
          <w:trHeight w:val="227"/>
          <w:jc w:val="center"/>
        </w:trPr>
        <w:tc>
          <w:tcPr>
            <w:tcW w:w="1268" w:type="dxa"/>
            <w:tcBorders>
              <w:top w:val="single" w:sz="6" w:space="0" w:color="auto"/>
              <w:left w:val="single" w:sz="6" w:space="0" w:color="auto"/>
              <w:bottom w:val="single" w:sz="6" w:space="0" w:color="auto"/>
              <w:right w:val="single" w:sz="6" w:space="0" w:color="auto"/>
            </w:tcBorders>
            <w:shd w:val="clear" w:color="auto" w:fill="BFBFBF"/>
            <w:vAlign w:val="center"/>
          </w:tcPr>
          <w:p w14:paraId="3C6F3AF8" w14:textId="77777777" w:rsidR="005B1699" w:rsidRPr="005B1699" w:rsidRDefault="005B1699" w:rsidP="005B1699">
            <w:pPr>
              <w:autoSpaceDE w:val="0"/>
              <w:autoSpaceDN w:val="0"/>
              <w:adjustRightInd w:val="0"/>
              <w:contextualSpacing/>
              <w:rPr>
                <w:rFonts w:cs="Arial"/>
                <w:b/>
                <w:sz w:val="18"/>
                <w:szCs w:val="18"/>
              </w:rPr>
            </w:pPr>
            <w:r w:rsidRPr="005B1699">
              <w:rPr>
                <w:rFonts w:cs="Arial"/>
                <w:b/>
                <w:sz w:val="18"/>
                <w:szCs w:val="18"/>
              </w:rPr>
              <w:t>Labe</w:t>
            </w:r>
          </w:p>
        </w:tc>
        <w:tc>
          <w:tcPr>
            <w:tcW w:w="992" w:type="dxa"/>
            <w:tcBorders>
              <w:top w:val="single" w:sz="6" w:space="0" w:color="auto"/>
              <w:left w:val="single" w:sz="6" w:space="0" w:color="auto"/>
              <w:bottom w:val="single" w:sz="6" w:space="0" w:color="auto"/>
              <w:right w:val="single" w:sz="6" w:space="0" w:color="auto"/>
            </w:tcBorders>
            <w:vAlign w:val="center"/>
          </w:tcPr>
          <w:p w14:paraId="12360AD9" w14:textId="3125DE95" w:rsidR="005B1699" w:rsidRPr="005B1699" w:rsidRDefault="005B1699" w:rsidP="005B1699">
            <w:pPr>
              <w:autoSpaceDE w:val="0"/>
              <w:autoSpaceDN w:val="0"/>
              <w:adjustRightInd w:val="0"/>
              <w:ind w:right="74"/>
              <w:contextualSpacing/>
              <w:jc w:val="right"/>
              <w:rPr>
                <w:rFonts w:cs="Arial"/>
                <w:sz w:val="18"/>
                <w:szCs w:val="18"/>
              </w:rPr>
            </w:pPr>
            <w:r w:rsidRPr="005B1699">
              <w:rPr>
                <w:rFonts w:cs="Arial"/>
                <w:sz w:val="18"/>
                <w:szCs w:val="18"/>
              </w:rPr>
              <w:t>996</w:t>
            </w:r>
          </w:p>
        </w:tc>
        <w:tc>
          <w:tcPr>
            <w:tcW w:w="851" w:type="dxa"/>
            <w:tcBorders>
              <w:top w:val="single" w:sz="6" w:space="0" w:color="auto"/>
              <w:left w:val="single" w:sz="6" w:space="0" w:color="auto"/>
              <w:bottom w:val="single" w:sz="6" w:space="0" w:color="auto"/>
              <w:right w:val="single" w:sz="6" w:space="0" w:color="auto"/>
            </w:tcBorders>
            <w:vAlign w:val="center"/>
          </w:tcPr>
          <w:p w14:paraId="3E4AD6A3" w14:textId="14D8C7FC" w:rsidR="005B1699" w:rsidRPr="005B1699" w:rsidRDefault="005B1699" w:rsidP="005B1699">
            <w:pPr>
              <w:autoSpaceDE w:val="0"/>
              <w:autoSpaceDN w:val="0"/>
              <w:adjustRightInd w:val="0"/>
              <w:ind w:right="74"/>
              <w:contextualSpacing/>
              <w:jc w:val="right"/>
              <w:rPr>
                <w:rFonts w:cs="Arial"/>
                <w:sz w:val="18"/>
                <w:szCs w:val="18"/>
              </w:rPr>
            </w:pPr>
            <w:r w:rsidRPr="005B1699">
              <w:rPr>
                <w:rFonts w:cs="Arial"/>
                <w:sz w:val="18"/>
                <w:szCs w:val="18"/>
              </w:rPr>
              <w:t>1 001</w:t>
            </w:r>
          </w:p>
        </w:tc>
        <w:tc>
          <w:tcPr>
            <w:tcW w:w="850" w:type="dxa"/>
            <w:tcBorders>
              <w:top w:val="single" w:sz="6" w:space="0" w:color="auto"/>
              <w:left w:val="single" w:sz="6" w:space="0" w:color="auto"/>
              <w:bottom w:val="single" w:sz="6" w:space="0" w:color="auto"/>
              <w:right w:val="single" w:sz="6" w:space="0" w:color="auto"/>
            </w:tcBorders>
            <w:vAlign w:val="center"/>
          </w:tcPr>
          <w:p w14:paraId="581900B5" w14:textId="5B7CCE76" w:rsidR="005B1699" w:rsidRPr="005B1699" w:rsidRDefault="005B1699" w:rsidP="005B1699">
            <w:pPr>
              <w:autoSpaceDE w:val="0"/>
              <w:autoSpaceDN w:val="0"/>
              <w:adjustRightInd w:val="0"/>
              <w:ind w:right="74"/>
              <w:contextualSpacing/>
              <w:jc w:val="right"/>
              <w:rPr>
                <w:rFonts w:cs="Arial"/>
                <w:sz w:val="18"/>
                <w:szCs w:val="18"/>
              </w:rPr>
            </w:pPr>
            <w:r w:rsidRPr="005B1699">
              <w:rPr>
                <w:rFonts w:cs="Arial"/>
                <w:sz w:val="18"/>
                <w:szCs w:val="18"/>
              </w:rPr>
              <w:t>1 027</w:t>
            </w:r>
          </w:p>
        </w:tc>
        <w:tc>
          <w:tcPr>
            <w:tcW w:w="851" w:type="dxa"/>
            <w:tcBorders>
              <w:top w:val="single" w:sz="6" w:space="0" w:color="auto"/>
              <w:left w:val="single" w:sz="6" w:space="0" w:color="auto"/>
              <w:bottom w:val="single" w:sz="6" w:space="0" w:color="auto"/>
              <w:right w:val="single" w:sz="6" w:space="0" w:color="auto"/>
            </w:tcBorders>
            <w:vAlign w:val="center"/>
          </w:tcPr>
          <w:p w14:paraId="523D0342" w14:textId="5E095C62" w:rsidR="005B1699" w:rsidRPr="005B1699" w:rsidRDefault="005B1699" w:rsidP="005B1699">
            <w:pPr>
              <w:autoSpaceDE w:val="0"/>
              <w:autoSpaceDN w:val="0"/>
              <w:adjustRightInd w:val="0"/>
              <w:ind w:right="74"/>
              <w:contextualSpacing/>
              <w:jc w:val="right"/>
              <w:rPr>
                <w:rFonts w:cs="Arial"/>
                <w:sz w:val="18"/>
                <w:szCs w:val="18"/>
              </w:rPr>
            </w:pPr>
            <w:r w:rsidRPr="005B1699">
              <w:rPr>
                <w:rFonts w:cs="Arial"/>
                <w:sz w:val="18"/>
                <w:szCs w:val="18"/>
              </w:rPr>
              <w:t>993</w:t>
            </w:r>
          </w:p>
        </w:tc>
        <w:tc>
          <w:tcPr>
            <w:tcW w:w="850" w:type="dxa"/>
            <w:tcBorders>
              <w:top w:val="single" w:sz="6" w:space="0" w:color="auto"/>
              <w:left w:val="single" w:sz="6" w:space="0" w:color="auto"/>
              <w:bottom w:val="single" w:sz="6" w:space="0" w:color="auto"/>
              <w:right w:val="single" w:sz="6" w:space="0" w:color="auto"/>
            </w:tcBorders>
            <w:vAlign w:val="bottom"/>
          </w:tcPr>
          <w:p w14:paraId="09B2DD36" w14:textId="2829FB70" w:rsidR="005B1699" w:rsidRPr="005B1699" w:rsidRDefault="005B1699" w:rsidP="005B1699">
            <w:pPr>
              <w:ind w:right="112"/>
              <w:contextualSpacing/>
              <w:jc w:val="right"/>
              <w:rPr>
                <w:rFonts w:cs="Arial"/>
                <w:sz w:val="18"/>
                <w:szCs w:val="18"/>
              </w:rPr>
            </w:pPr>
            <w:r w:rsidRPr="005B1699">
              <w:rPr>
                <w:rFonts w:cs="Arial"/>
                <w:sz w:val="18"/>
                <w:szCs w:val="18"/>
              </w:rPr>
              <w:t>882</w:t>
            </w:r>
          </w:p>
        </w:tc>
        <w:tc>
          <w:tcPr>
            <w:tcW w:w="851" w:type="dxa"/>
            <w:tcBorders>
              <w:top w:val="single" w:sz="6" w:space="0" w:color="auto"/>
              <w:left w:val="single" w:sz="6" w:space="0" w:color="auto"/>
              <w:bottom w:val="single" w:sz="6" w:space="0" w:color="auto"/>
              <w:right w:val="single" w:sz="6" w:space="0" w:color="auto"/>
            </w:tcBorders>
            <w:vAlign w:val="bottom"/>
          </w:tcPr>
          <w:p w14:paraId="2DDD191D" w14:textId="6D9FB760" w:rsidR="005B1699" w:rsidRPr="005B1699" w:rsidRDefault="005B1699" w:rsidP="005B1699">
            <w:pPr>
              <w:contextualSpacing/>
              <w:jc w:val="center"/>
              <w:rPr>
                <w:rFonts w:cs="Arial"/>
                <w:sz w:val="18"/>
                <w:szCs w:val="18"/>
              </w:rPr>
            </w:pPr>
            <w:r w:rsidRPr="005B1699">
              <w:rPr>
                <w:rFonts w:cs="Arial"/>
                <w:sz w:val="18"/>
                <w:szCs w:val="18"/>
              </w:rPr>
              <w:t>976</w:t>
            </w:r>
          </w:p>
        </w:tc>
        <w:tc>
          <w:tcPr>
            <w:tcW w:w="850" w:type="dxa"/>
            <w:tcBorders>
              <w:top w:val="single" w:sz="6" w:space="0" w:color="auto"/>
              <w:left w:val="single" w:sz="6" w:space="0" w:color="auto"/>
              <w:bottom w:val="single" w:sz="6" w:space="0" w:color="auto"/>
              <w:right w:val="single" w:sz="6" w:space="0" w:color="auto"/>
            </w:tcBorders>
            <w:vAlign w:val="bottom"/>
          </w:tcPr>
          <w:p w14:paraId="161945BB" w14:textId="37F9B033" w:rsidR="005B1699" w:rsidRPr="005B1699" w:rsidRDefault="005B1699" w:rsidP="005B1699">
            <w:pPr>
              <w:contextualSpacing/>
              <w:jc w:val="center"/>
              <w:rPr>
                <w:rFonts w:cs="Arial"/>
                <w:sz w:val="18"/>
                <w:szCs w:val="18"/>
              </w:rPr>
            </w:pPr>
            <w:r w:rsidRPr="005B1699">
              <w:rPr>
                <w:rFonts w:cs="Arial"/>
                <w:color w:val="000000"/>
                <w:sz w:val="18"/>
                <w:szCs w:val="18"/>
              </w:rPr>
              <w:t>1 103</w:t>
            </w:r>
          </w:p>
        </w:tc>
        <w:tc>
          <w:tcPr>
            <w:tcW w:w="851" w:type="dxa"/>
            <w:tcBorders>
              <w:top w:val="single" w:sz="6" w:space="0" w:color="auto"/>
              <w:left w:val="single" w:sz="6" w:space="0" w:color="auto"/>
              <w:bottom w:val="single" w:sz="6" w:space="0" w:color="auto"/>
              <w:right w:val="single" w:sz="6" w:space="0" w:color="auto"/>
            </w:tcBorders>
            <w:vAlign w:val="bottom"/>
          </w:tcPr>
          <w:p w14:paraId="1827CF89" w14:textId="758C96F8" w:rsidR="005B1699" w:rsidRPr="005B1699" w:rsidRDefault="005B1699" w:rsidP="005B1699">
            <w:pPr>
              <w:contextualSpacing/>
              <w:jc w:val="center"/>
              <w:rPr>
                <w:rFonts w:cs="Arial"/>
                <w:color w:val="000000"/>
                <w:sz w:val="18"/>
                <w:szCs w:val="18"/>
              </w:rPr>
            </w:pPr>
            <w:r w:rsidRPr="005B1699">
              <w:rPr>
                <w:rFonts w:cs="Arial"/>
                <w:color w:val="000000"/>
                <w:sz w:val="18"/>
                <w:szCs w:val="18"/>
              </w:rPr>
              <w:t>1 064</w:t>
            </w:r>
          </w:p>
        </w:tc>
        <w:tc>
          <w:tcPr>
            <w:tcW w:w="992" w:type="dxa"/>
            <w:tcBorders>
              <w:top w:val="single" w:sz="6" w:space="0" w:color="auto"/>
              <w:left w:val="single" w:sz="6" w:space="0" w:color="auto"/>
              <w:bottom w:val="single" w:sz="6" w:space="0" w:color="auto"/>
              <w:right w:val="single" w:sz="6" w:space="0" w:color="auto"/>
            </w:tcBorders>
            <w:vAlign w:val="bottom"/>
          </w:tcPr>
          <w:p w14:paraId="1FB8A8B1" w14:textId="317E86A2" w:rsidR="005B1699" w:rsidRPr="005B1699" w:rsidRDefault="005B1699" w:rsidP="005B1699">
            <w:pPr>
              <w:contextualSpacing/>
              <w:jc w:val="center"/>
              <w:rPr>
                <w:rFonts w:cs="Arial"/>
                <w:color w:val="000000"/>
                <w:sz w:val="18"/>
                <w:szCs w:val="18"/>
              </w:rPr>
            </w:pPr>
            <w:r w:rsidRPr="005B1699">
              <w:rPr>
                <w:rFonts w:cs="Arial"/>
                <w:color w:val="000000"/>
                <w:sz w:val="18"/>
                <w:szCs w:val="18"/>
              </w:rPr>
              <w:t>1 064</w:t>
            </w:r>
          </w:p>
        </w:tc>
        <w:tc>
          <w:tcPr>
            <w:tcW w:w="851" w:type="dxa"/>
            <w:tcBorders>
              <w:top w:val="single" w:sz="6" w:space="0" w:color="auto"/>
              <w:left w:val="single" w:sz="6" w:space="0" w:color="auto"/>
              <w:bottom w:val="single" w:sz="6" w:space="0" w:color="auto"/>
              <w:right w:val="single" w:sz="6" w:space="0" w:color="auto"/>
            </w:tcBorders>
          </w:tcPr>
          <w:p w14:paraId="6C71D965" w14:textId="2C259BFB" w:rsidR="005B1699" w:rsidRPr="005B1699" w:rsidRDefault="005B1699" w:rsidP="005B1699">
            <w:pPr>
              <w:contextualSpacing/>
              <w:jc w:val="center"/>
              <w:rPr>
                <w:rFonts w:cs="Arial"/>
                <w:color w:val="000000"/>
                <w:sz w:val="18"/>
                <w:szCs w:val="18"/>
              </w:rPr>
            </w:pPr>
            <w:r w:rsidRPr="005B1699">
              <w:rPr>
                <w:sz w:val="18"/>
                <w:szCs w:val="18"/>
              </w:rPr>
              <w:t>1</w:t>
            </w:r>
            <w:r>
              <w:rPr>
                <w:sz w:val="18"/>
                <w:szCs w:val="18"/>
              </w:rPr>
              <w:t xml:space="preserve"> </w:t>
            </w:r>
            <w:r w:rsidRPr="005B1699">
              <w:rPr>
                <w:sz w:val="18"/>
                <w:szCs w:val="18"/>
              </w:rPr>
              <w:t>179</w:t>
            </w:r>
          </w:p>
        </w:tc>
      </w:tr>
      <w:tr w:rsidR="005B1699" w:rsidRPr="005B1699" w14:paraId="04818B64" w14:textId="3E273AEE" w:rsidTr="005B1699">
        <w:trPr>
          <w:trHeight w:val="227"/>
          <w:jc w:val="center"/>
        </w:trPr>
        <w:tc>
          <w:tcPr>
            <w:tcW w:w="1268" w:type="dxa"/>
            <w:tcBorders>
              <w:top w:val="single" w:sz="6" w:space="0" w:color="auto"/>
              <w:left w:val="single" w:sz="6" w:space="0" w:color="auto"/>
              <w:bottom w:val="single" w:sz="6" w:space="0" w:color="auto"/>
              <w:right w:val="single" w:sz="6" w:space="0" w:color="auto"/>
            </w:tcBorders>
            <w:shd w:val="clear" w:color="auto" w:fill="BFBFBF"/>
            <w:vAlign w:val="center"/>
          </w:tcPr>
          <w:p w14:paraId="7FF25DA7" w14:textId="77777777" w:rsidR="005B1699" w:rsidRPr="005B1699" w:rsidRDefault="005B1699" w:rsidP="005B1699">
            <w:pPr>
              <w:autoSpaceDE w:val="0"/>
              <w:autoSpaceDN w:val="0"/>
              <w:adjustRightInd w:val="0"/>
              <w:contextualSpacing/>
              <w:rPr>
                <w:rFonts w:cs="Arial"/>
                <w:b/>
                <w:sz w:val="18"/>
                <w:szCs w:val="18"/>
              </w:rPr>
            </w:pPr>
            <w:r w:rsidRPr="005B1699">
              <w:rPr>
                <w:rFonts w:cs="Arial"/>
                <w:b/>
                <w:sz w:val="18"/>
                <w:szCs w:val="18"/>
              </w:rPr>
              <w:t>Vltavy</w:t>
            </w:r>
          </w:p>
        </w:tc>
        <w:tc>
          <w:tcPr>
            <w:tcW w:w="992" w:type="dxa"/>
            <w:tcBorders>
              <w:top w:val="single" w:sz="6" w:space="0" w:color="auto"/>
              <w:left w:val="single" w:sz="6" w:space="0" w:color="auto"/>
              <w:bottom w:val="single" w:sz="6" w:space="0" w:color="auto"/>
              <w:right w:val="single" w:sz="6" w:space="0" w:color="auto"/>
            </w:tcBorders>
            <w:vAlign w:val="center"/>
          </w:tcPr>
          <w:p w14:paraId="0FFFBC04" w14:textId="06BB5F1B" w:rsidR="005B1699" w:rsidRPr="005B1699" w:rsidRDefault="005B1699" w:rsidP="005B1699">
            <w:pPr>
              <w:autoSpaceDE w:val="0"/>
              <w:autoSpaceDN w:val="0"/>
              <w:adjustRightInd w:val="0"/>
              <w:ind w:right="74"/>
              <w:contextualSpacing/>
              <w:jc w:val="right"/>
              <w:rPr>
                <w:rFonts w:cs="Arial"/>
                <w:sz w:val="18"/>
                <w:szCs w:val="18"/>
              </w:rPr>
            </w:pPr>
            <w:r w:rsidRPr="005B1699">
              <w:rPr>
                <w:rFonts w:cs="Arial"/>
                <w:sz w:val="18"/>
                <w:szCs w:val="18"/>
              </w:rPr>
              <w:t>745</w:t>
            </w:r>
          </w:p>
        </w:tc>
        <w:tc>
          <w:tcPr>
            <w:tcW w:w="851" w:type="dxa"/>
            <w:tcBorders>
              <w:top w:val="single" w:sz="6" w:space="0" w:color="auto"/>
              <w:left w:val="single" w:sz="6" w:space="0" w:color="auto"/>
              <w:bottom w:val="single" w:sz="6" w:space="0" w:color="auto"/>
              <w:right w:val="single" w:sz="6" w:space="0" w:color="auto"/>
            </w:tcBorders>
            <w:vAlign w:val="center"/>
          </w:tcPr>
          <w:p w14:paraId="60DCB21A" w14:textId="5D3C5457" w:rsidR="005B1699" w:rsidRPr="005B1699" w:rsidRDefault="005B1699" w:rsidP="005B1699">
            <w:pPr>
              <w:autoSpaceDE w:val="0"/>
              <w:autoSpaceDN w:val="0"/>
              <w:adjustRightInd w:val="0"/>
              <w:ind w:right="74"/>
              <w:contextualSpacing/>
              <w:jc w:val="right"/>
              <w:rPr>
                <w:rFonts w:cs="Arial"/>
                <w:sz w:val="18"/>
                <w:szCs w:val="18"/>
              </w:rPr>
            </w:pPr>
            <w:r w:rsidRPr="005B1699">
              <w:rPr>
                <w:rFonts w:cs="Arial"/>
                <w:sz w:val="18"/>
                <w:szCs w:val="18"/>
              </w:rPr>
              <w:t>832</w:t>
            </w:r>
          </w:p>
        </w:tc>
        <w:tc>
          <w:tcPr>
            <w:tcW w:w="850" w:type="dxa"/>
            <w:tcBorders>
              <w:top w:val="single" w:sz="6" w:space="0" w:color="auto"/>
              <w:left w:val="single" w:sz="6" w:space="0" w:color="auto"/>
              <w:bottom w:val="single" w:sz="6" w:space="0" w:color="auto"/>
              <w:right w:val="single" w:sz="6" w:space="0" w:color="auto"/>
            </w:tcBorders>
            <w:vAlign w:val="center"/>
          </w:tcPr>
          <w:p w14:paraId="0DA988AF" w14:textId="6E7C7D05" w:rsidR="005B1699" w:rsidRPr="005B1699" w:rsidRDefault="005B1699" w:rsidP="005B1699">
            <w:pPr>
              <w:autoSpaceDE w:val="0"/>
              <w:autoSpaceDN w:val="0"/>
              <w:adjustRightInd w:val="0"/>
              <w:ind w:right="74"/>
              <w:contextualSpacing/>
              <w:jc w:val="right"/>
              <w:rPr>
                <w:rFonts w:cs="Arial"/>
                <w:sz w:val="18"/>
                <w:szCs w:val="18"/>
              </w:rPr>
            </w:pPr>
            <w:r w:rsidRPr="005B1699">
              <w:rPr>
                <w:rFonts w:cs="Arial"/>
                <w:sz w:val="18"/>
                <w:szCs w:val="18"/>
              </w:rPr>
              <w:t>852</w:t>
            </w:r>
          </w:p>
        </w:tc>
        <w:tc>
          <w:tcPr>
            <w:tcW w:w="851" w:type="dxa"/>
            <w:tcBorders>
              <w:top w:val="single" w:sz="6" w:space="0" w:color="auto"/>
              <w:left w:val="single" w:sz="6" w:space="0" w:color="auto"/>
              <w:bottom w:val="single" w:sz="6" w:space="0" w:color="auto"/>
              <w:right w:val="single" w:sz="6" w:space="0" w:color="auto"/>
            </w:tcBorders>
            <w:vAlign w:val="center"/>
          </w:tcPr>
          <w:p w14:paraId="3BED5101" w14:textId="38D52CD7" w:rsidR="005B1699" w:rsidRPr="005B1699" w:rsidRDefault="005B1699" w:rsidP="005B1699">
            <w:pPr>
              <w:autoSpaceDE w:val="0"/>
              <w:autoSpaceDN w:val="0"/>
              <w:adjustRightInd w:val="0"/>
              <w:ind w:right="74"/>
              <w:contextualSpacing/>
              <w:jc w:val="right"/>
              <w:rPr>
                <w:rFonts w:cs="Arial"/>
                <w:sz w:val="18"/>
                <w:szCs w:val="18"/>
              </w:rPr>
            </w:pPr>
            <w:r w:rsidRPr="005B1699">
              <w:rPr>
                <w:rFonts w:cs="Arial"/>
                <w:sz w:val="18"/>
                <w:szCs w:val="18"/>
              </w:rPr>
              <w:t>861</w:t>
            </w:r>
          </w:p>
        </w:tc>
        <w:tc>
          <w:tcPr>
            <w:tcW w:w="850" w:type="dxa"/>
            <w:tcBorders>
              <w:top w:val="single" w:sz="6" w:space="0" w:color="auto"/>
              <w:left w:val="single" w:sz="6" w:space="0" w:color="auto"/>
              <w:bottom w:val="single" w:sz="6" w:space="0" w:color="auto"/>
              <w:right w:val="single" w:sz="6" w:space="0" w:color="auto"/>
            </w:tcBorders>
            <w:vAlign w:val="bottom"/>
          </w:tcPr>
          <w:p w14:paraId="1A496C61" w14:textId="6526100A" w:rsidR="005B1699" w:rsidRPr="005B1699" w:rsidRDefault="005B1699" w:rsidP="005B1699">
            <w:pPr>
              <w:ind w:right="112"/>
              <w:contextualSpacing/>
              <w:jc w:val="right"/>
              <w:rPr>
                <w:rFonts w:cs="Arial"/>
                <w:sz w:val="18"/>
                <w:szCs w:val="18"/>
              </w:rPr>
            </w:pPr>
            <w:r w:rsidRPr="005B1699">
              <w:rPr>
                <w:rFonts w:cs="Arial"/>
                <w:sz w:val="18"/>
                <w:szCs w:val="18"/>
              </w:rPr>
              <w:t>838</w:t>
            </w:r>
          </w:p>
        </w:tc>
        <w:tc>
          <w:tcPr>
            <w:tcW w:w="851" w:type="dxa"/>
            <w:tcBorders>
              <w:top w:val="single" w:sz="6" w:space="0" w:color="auto"/>
              <w:left w:val="single" w:sz="6" w:space="0" w:color="auto"/>
              <w:bottom w:val="single" w:sz="6" w:space="0" w:color="auto"/>
              <w:right w:val="single" w:sz="6" w:space="0" w:color="auto"/>
            </w:tcBorders>
            <w:vAlign w:val="bottom"/>
          </w:tcPr>
          <w:p w14:paraId="0DCF96FD" w14:textId="00424AF8" w:rsidR="005B1699" w:rsidRPr="005B1699" w:rsidRDefault="005B1699" w:rsidP="005B1699">
            <w:pPr>
              <w:contextualSpacing/>
              <w:jc w:val="center"/>
              <w:rPr>
                <w:rFonts w:cs="Arial"/>
                <w:sz w:val="18"/>
                <w:szCs w:val="18"/>
              </w:rPr>
            </w:pPr>
            <w:r w:rsidRPr="005B1699">
              <w:rPr>
                <w:rFonts w:cs="Arial"/>
                <w:sz w:val="18"/>
                <w:szCs w:val="18"/>
              </w:rPr>
              <w:t>872</w:t>
            </w:r>
          </w:p>
        </w:tc>
        <w:tc>
          <w:tcPr>
            <w:tcW w:w="850" w:type="dxa"/>
            <w:tcBorders>
              <w:top w:val="single" w:sz="6" w:space="0" w:color="auto"/>
              <w:left w:val="single" w:sz="6" w:space="0" w:color="auto"/>
              <w:bottom w:val="single" w:sz="6" w:space="0" w:color="auto"/>
              <w:right w:val="single" w:sz="6" w:space="0" w:color="auto"/>
            </w:tcBorders>
            <w:vAlign w:val="bottom"/>
          </w:tcPr>
          <w:p w14:paraId="6FE021E7" w14:textId="59C52CCC" w:rsidR="005B1699" w:rsidRPr="005B1699" w:rsidRDefault="005B1699" w:rsidP="005B1699">
            <w:pPr>
              <w:contextualSpacing/>
              <w:jc w:val="center"/>
              <w:rPr>
                <w:rFonts w:cs="Arial"/>
                <w:sz w:val="18"/>
                <w:szCs w:val="18"/>
              </w:rPr>
            </w:pPr>
            <w:r w:rsidRPr="005B1699">
              <w:rPr>
                <w:rFonts w:cs="Arial"/>
                <w:color w:val="000000"/>
                <w:sz w:val="18"/>
                <w:szCs w:val="18"/>
              </w:rPr>
              <w:t>908</w:t>
            </w:r>
          </w:p>
        </w:tc>
        <w:tc>
          <w:tcPr>
            <w:tcW w:w="851" w:type="dxa"/>
            <w:tcBorders>
              <w:top w:val="single" w:sz="6" w:space="0" w:color="auto"/>
              <w:left w:val="single" w:sz="6" w:space="0" w:color="auto"/>
              <w:bottom w:val="single" w:sz="6" w:space="0" w:color="auto"/>
              <w:right w:val="single" w:sz="6" w:space="0" w:color="auto"/>
            </w:tcBorders>
            <w:vAlign w:val="bottom"/>
          </w:tcPr>
          <w:p w14:paraId="30D41A80" w14:textId="7EAB899C" w:rsidR="005B1699" w:rsidRPr="005B1699" w:rsidRDefault="005B1699" w:rsidP="005B1699">
            <w:pPr>
              <w:contextualSpacing/>
              <w:jc w:val="center"/>
              <w:rPr>
                <w:rFonts w:cs="Arial"/>
                <w:color w:val="000000"/>
                <w:sz w:val="18"/>
                <w:szCs w:val="18"/>
              </w:rPr>
            </w:pPr>
            <w:r w:rsidRPr="005B1699">
              <w:rPr>
                <w:rFonts w:cs="Arial"/>
                <w:color w:val="000000"/>
                <w:sz w:val="18"/>
                <w:szCs w:val="18"/>
              </w:rPr>
              <w:t>912</w:t>
            </w:r>
          </w:p>
        </w:tc>
        <w:tc>
          <w:tcPr>
            <w:tcW w:w="992" w:type="dxa"/>
            <w:tcBorders>
              <w:top w:val="single" w:sz="6" w:space="0" w:color="auto"/>
              <w:left w:val="single" w:sz="6" w:space="0" w:color="auto"/>
              <w:bottom w:val="single" w:sz="6" w:space="0" w:color="auto"/>
              <w:right w:val="single" w:sz="6" w:space="0" w:color="auto"/>
            </w:tcBorders>
            <w:vAlign w:val="bottom"/>
          </w:tcPr>
          <w:p w14:paraId="149319C3" w14:textId="5EA03170" w:rsidR="005B1699" w:rsidRPr="005B1699" w:rsidRDefault="005B1699" w:rsidP="005B1699">
            <w:pPr>
              <w:contextualSpacing/>
              <w:jc w:val="center"/>
              <w:rPr>
                <w:rFonts w:cs="Arial"/>
                <w:color w:val="000000"/>
                <w:sz w:val="18"/>
                <w:szCs w:val="18"/>
              </w:rPr>
            </w:pPr>
            <w:r w:rsidRPr="005B1699">
              <w:rPr>
                <w:rFonts w:cs="Arial"/>
                <w:color w:val="000000"/>
                <w:sz w:val="18"/>
                <w:szCs w:val="18"/>
              </w:rPr>
              <w:t>980</w:t>
            </w:r>
          </w:p>
        </w:tc>
        <w:tc>
          <w:tcPr>
            <w:tcW w:w="851" w:type="dxa"/>
            <w:tcBorders>
              <w:top w:val="single" w:sz="6" w:space="0" w:color="auto"/>
              <w:left w:val="single" w:sz="6" w:space="0" w:color="auto"/>
              <w:bottom w:val="single" w:sz="6" w:space="0" w:color="auto"/>
              <w:right w:val="single" w:sz="6" w:space="0" w:color="auto"/>
            </w:tcBorders>
          </w:tcPr>
          <w:p w14:paraId="020C8F43" w14:textId="39DDC845" w:rsidR="005B1699" w:rsidRPr="005B1699" w:rsidRDefault="005B1699" w:rsidP="005B1699">
            <w:pPr>
              <w:contextualSpacing/>
              <w:jc w:val="center"/>
              <w:rPr>
                <w:rFonts w:cs="Arial"/>
                <w:color w:val="000000"/>
                <w:sz w:val="18"/>
                <w:szCs w:val="18"/>
              </w:rPr>
            </w:pPr>
            <w:r w:rsidRPr="005B1699">
              <w:rPr>
                <w:sz w:val="18"/>
                <w:szCs w:val="18"/>
              </w:rPr>
              <w:t>1</w:t>
            </w:r>
            <w:r>
              <w:rPr>
                <w:sz w:val="18"/>
                <w:szCs w:val="18"/>
              </w:rPr>
              <w:t xml:space="preserve"> </w:t>
            </w:r>
            <w:r w:rsidRPr="005B1699">
              <w:rPr>
                <w:sz w:val="18"/>
                <w:szCs w:val="18"/>
              </w:rPr>
              <w:t>024</w:t>
            </w:r>
          </w:p>
        </w:tc>
      </w:tr>
      <w:tr w:rsidR="005B1699" w:rsidRPr="005B1699" w14:paraId="348BE7AE" w14:textId="7D49F70B" w:rsidTr="005B1699">
        <w:trPr>
          <w:trHeight w:val="227"/>
          <w:jc w:val="center"/>
        </w:trPr>
        <w:tc>
          <w:tcPr>
            <w:tcW w:w="1268" w:type="dxa"/>
            <w:tcBorders>
              <w:top w:val="single" w:sz="6" w:space="0" w:color="auto"/>
              <w:left w:val="single" w:sz="6" w:space="0" w:color="auto"/>
              <w:bottom w:val="single" w:sz="6" w:space="0" w:color="auto"/>
              <w:right w:val="single" w:sz="6" w:space="0" w:color="auto"/>
            </w:tcBorders>
            <w:shd w:val="clear" w:color="auto" w:fill="BFBFBF"/>
            <w:vAlign w:val="center"/>
          </w:tcPr>
          <w:p w14:paraId="78CD212A" w14:textId="77777777" w:rsidR="005B1699" w:rsidRPr="005B1699" w:rsidRDefault="005B1699" w:rsidP="005B1699">
            <w:pPr>
              <w:autoSpaceDE w:val="0"/>
              <w:autoSpaceDN w:val="0"/>
              <w:adjustRightInd w:val="0"/>
              <w:contextualSpacing/>
              <w:rPr>
                <w:rFonts w:cs="Arial"/>
                <w:b/>
                <w:bCs/>
                <w:sz w:val="18"/>
                <w:szCs w:val="18"/>
                <w:vertAlign w:val="superscript"/>
              </w:rPr>
            </w:pPr>
            <w:r w:rsidRPr="005B1699">
              <w:rPr>
                <w:rFonts w:cs="Arial"/>
                <w:b/>
                <w:sz w:val="18"/>
                <w:szCs w:val="18"/>
              </w:rPr>
              <w:t>Ohře</w:t>
            </w:r>
          </w:p>
        </w:tc>
        <w:tc>
          <w:tcPr>
            <w:tcW w:w="992" w:type="dxa"/>
            <w:tcBorders>
              <w:top w:val="single" w:sz="6" w:space="0" w:color="auto"/>
              <w:left w:val="single" w:sz="6" w:space="0" w:color="auto"/>
              <w:bottom w:val="single" w:sz="6" w:space="0" w:color="auto"/>
              <w:right w:val="single" w:sz="6" w:space="0" w:color="auto"/>
            </w:tcBorders>
            <w:vAlign w:val="center"/>
          </w:tcPr>
          <w:p w14:paraId="707E3E0B" w14:textId="3D9F5702" w:rsidR="005B1699" w:rsidRPr="005B1699" w:rsidRDefault="005B1699" w:rsidP="005B1699">
            <w:pPr>
              <w:autoSpaceDE w:val="0"/>
              <w:autoSpaceDN w:val="0"/>
              <w:adjustRightInd w:val="0"/>
              <w:ind w:right="74"/>
              <w:contextualSpacing/>
              <w:jc w:val="right"/>
              <w:rPr>
                <w:rFonts w:cs="Arial"/>
                <w:sz w:val="18"/>
                <w:szCs w:val="18"/>
              </w:rPr>
            </w:pPr>
            <w:r w:rsidRPr="005B1699">
              <w:rPr>
                <w:rFonts w:cs="Arial"/>
                <w:sz w:val="18"/>
                <w:szCs w:val="18"/>
              </w:rPr>
              <w:t>560</w:t>
            </w:r>
          </w:p>
        </w:tc>
        <w:tc>
          <w:tcPr>
            <w:tcW w:w="851" w:type="dxa"/>
            <w:tcBorders>
              <w:top w:val="single" w:sz="6" w:space="0" w:color="auto"/>
              <w:left w:val="single" w:sz="6" w:space="0" w:color="auto"/>
              <w:bottom w:val="single" w:sz="6" w:space="0" w:color="auto"/>
              <w:right w:val="single" w:sz="6" w:space="0" w:color="auto"/>
            </w:tcBorders>
            <w:vAlign w:val="center"/>
          </w:tcPr>
          <w:p w14:paraId="361F1A84" w14:textId="24D9ABFB" w:rsidR="005B1699" w:rsidRPr="005B1699" w:rsidRDefault="005B1699" w:rsidP="005B1699">
            <w:pPr>
              <w:autoSpaceDE w:val="0"/>
              <w:autoSpaceDN w:val="0"/>
              <w:adjustRightInd w:val="0"/>
              <w:ind w:right="74"/>
              <w:contextualSpacing/>
              <w:jc w:val="right"/>
              <w:rPr>
                <w:rFonts w:cs="Arial"/>
                <w:sz w:val="18"/>
                <w:szCs w:val="18"/>
              </w:rPr>
            </w:pPr>
            <w:r w:rsidRPr="005B1699">
              <w:rPr>
                <w:rFonts w:cs="Arial"/>
                <w:sz w:val="18"/>
                <w:szCs w:val="18"/>
              </w:rPr>
              <w:t>604</w:t>
            </w:r>
          </w:p>
        </w:tc>
        <w:tc>
          <w:tcPr>
            <w:tcW w:w="850" w:type="dxa"/>
            <w:tcBorders>
              <w:top w:val="single" w:sz="6" w:space="0" w:color="auto"/>
              <w:left w:val="single" w:sz="6" w:space="0" w:color="auto"/>
              <w:bottom w:val="single" w:sz="6" w:space="0" w:color="auto"/>
              <w:right w:val="single" w:sz="6" w:space="0" w:color="auto"/>
            </w:tcBorders>
            <w:vAlign w:val="center"/>
          </w:tcPr>
          <w:p w14:paraId="624910CB" w14:textId="4DA77295" w:rsidR="005B1699" w:rsidRPr="005B1699" w:rsidRDefault="005B1699" w:rsidP="005B1699">
            <w:pPr>
              <w:autoSpaceDE w:val="0"/>
              <w:autoSpaceDN w:val="0"/>
              <w:adjustRightInd w:val="0"/>
              <w:ind w:right="74"/>
              <w:contextualSpacing/>
              <w:jc w:val="right"/>
              <w:rPr>
                <w:rFonts w:cs="Arial"/>
                <w:sz w:val="18"/>
                <w:szCs w:val="18"/>
              </w:rPr>
            </w:pPr>
            <w:r w:rsidRPr="005B1699">
              <w:rPr>
                <w:rFonts w:cs="Arial"/>
                <w:sz w:val="18"/>
                <w:szCs w:val="18"/>
              </w:rPr>
              <w:t>617</w:t>
            </w:r>
          </w:p>
        </w:tc>
        <w:tc>
          <w:tcPr>
            <w:tcW w:w="851" w:type="dxa"/>
            <w:tcBorders>
              <w:top w:val="single" w:sz="6" w:space="0" w:color="auto"/>
              <w:left w:val="single" w:sz="6" w:space="0" w:color="auto"/>
              <w:bottom w:val="single" w:sz="6" w:space="0" w:color="auto"/>
              <w:right w:val="single" w:sz="6" w:space="0" w:color="auto"/>
            </w:tcBorders>
            <w:vAlign w:val="center"/>
          </w:tcPr>
          <w:p w14:paraId="28162998" w14:textId="2BE39306" w:rsidR="005B1699" w:rsidRPr="005B1699" w:rsidRDefault="005B1699" w:rsidP="005B1699">
            <w:pPr>
              <w:autoSpaceDE w:val="0"/>
              <w:autoSpaceDN w:val="0"/>
              <w:adjustRightInd w:val="0"/>
              <w:ind w:right="74"/>
              <w:contextualSpacing/>
              <w:jc w:val="right"/>
              <w:rPr>
                <w:rFonts w:cs="Arial"/>
                <w:sz w:val="18"/>
                <w:szCs w:val="18"/>
              </w:rPr>
            </w:pPr>
            <w:r w:rsidRPr="005B1699">
              <w:rPr>
                <w:rFonts w:cs="Arial"/>
                <w:sz w:val="18"/>
                <w:szCs w:val="18"/>
              </w:rPr>
              <w:t>622</w:t>
            </w:r>
          </w:p>
        </w:tc>
        <w:tc>
          <w:tcPr>
            <w:tcW w:w="850" w:type="dxa"/>
            <w:tcBorders>
              <w:top w:val="single" w:sz="6" w:space="0" w:color="auto"/>
              <w:left w:val="single" w:sz="6" w:space="0" w:color="auto"/>
              <w:bottom w:val="single" w:sz="6" w:space="0" w:color="auto"/>
              <w:right w:val="single" w:sz="6" w:space="0" w:color="auto"/>
            </w:tcBorders>
            <w:vAlign w:val="bottom"/>
          </w:tcPr>
          <w:p w14:paraId="75466AA2" w14:textId="548C1F4D" w:rsidR="005B1699" w:rsidRPr="005B1699" w:rsidRDefault="005B1699" w:rsidP="005B1699">
            <w:pPr>
              <w:ind w:right="112"/>
              <w:contextualSpacing/>
              <w:jc w:val="right"/>
              <w:rPr>
                <w:rFonts w:cs="Arial"/>
                <w:sz w:val="18"/>
                <w:szCs w:val="18"/>
              </w:rPr>
            </w:pPr>
            <w:r w:rsidRPr="005B1699">
              <w:rPr>
                <w:rFonts w:cs="Arial"/>
                <w:sz w:val="18"/>
                <w:szCs w:val="18"/>
              </w:rPr>
              <w:t>568</w:t>
            </w:r>
          </w:p>
        </w:tc>
        <w:tc>
          <w:tcPr>
            <w:tcW w:w="851" w:type="dxa"/>
            <w:tcBorders>
              <w:top w:val="single" w:sz="6" w:space="0" w:color="auto"/>
              <w:left w:val="single" w:sz="6" w:space="0" w:color="auto"/>
              <w:bottom w:val="single" w:sz="6" w:space="0" w:color="auto"/>
              <w:right w:val="single" w:sz="6" w:space="0" w:color="auto"/>
            </w:tcBorders>
            <w:vAlign w:val="bottom"/>
          </w:tcPr>
          <w:p w14:paraId="2975AE75" w14:textId="1E99A9D0" w:rsidR="005B1699" w:rsidRPr="005B1699" w:rsidRDefault="005B1699" w:rsidP="005B1699">
            <w:pPr>
              <w:contextualSpacing/>
              <w:jc w:val="center"/>
              <w:rPr>
                <w:rFonts w:cs="Arial"/>
                <w:sz w:val="18"/>
                <w:szCs w:val="18"/>
              </w:rPr>
            </w:pPr>
            <w:r w:rsidRPr="005B1699">
              <w:rPr>
                <w:rFonts w:cs="Arial"/>
                <w:sz w:val="18"/>
                <w:szCs w:val="18"/>
              </w:rPr>
              <w:t>582</w:t>
            </w:r>
          </w:p>
        </w:tc>
        <w:tc>
          <w:tcPr>
            <w:tcW w:w="850" w:type="dxa"/>
            <w:tcBorders>
              <w:top w:val="single" w:sz="6" w:space="0" w:color="auto"/>
              <w:left w:val="single" w:sz="6" w:space="0" w:color="auto"/>
              <w:bottom w:val="single" w:sz="6" w:space="0" w:color="auto"/>
              <w:right w:val="single" w:sz="6" w:space="0" w:color="auto"/>
            </w:tcBorders>
            <w:vAlign w:val="bottom"/>
          </w:tcPr>
          <w:p w14:paraId="22B27DAC" w14:textId="7C546DCA" w:rsidR="005B1699" w:rsidRPr="005B1699" w:rsidRDefault="005B1699" w:rsidP="005B1699">
            <w:pPr>
              <w:contextualSpacing/>
              <w:jc w:val="center"/>
              <w:rPr>
                <w:rFonts w:cs="Arial"/>
                <w:sz w:val="18"/>
                <w:szCs w:val="18"/>
              </w:rPr>
            </w:pPr>
            <w:r w:rsidRPr="005B1699">
              <w:rPr>
                <w:rFonts w:cs="Arial"/>
                <w:color w:val="000000"/>
                <w:sz w:val="18"/>
                <w:szCs w:val="18"/>
              </w:rPr>
              <w:t>636</w:t>
            </w:r>
          </w:p>
        </w:tc>
        <w:tc>
          <w:tcPr>
            <w:tcW w:w="851" w:type="dxa"/>
            <w:tcBorders>
              <w:top w:val="single" w:sz="6" w:space="0" w:color="auto"/>
              <w:left w:val="single" w:sz="6" w:space="0" w:color="auto"/>
              <w:bottom w:val="single" w:sz="6" w:space="0" w:color="auto"/>
              <w:right w:val="single" w:sz="6" w:space="0" w:color="auto"/>
            </w:tcBorders>
            <w:vAlign w:val="bottom"/>
          </w:tcPr>
          <w:p w14:paraId="0859E7CB" w14:textId="15CB238E" w:rsidR="005B1699" w:rsidRPr="005B1699" w:rsidRDefault="005B1699" w:rsidP="005B1699">
            <w:pPr>
              <w:contextualSpacing/>
              <w:jc w:val="center"/>
              <w:rPr>
                <w:rFonts w:cs="Arial"/>
                <w:color w:val="000000"/>
                <w:sz w:val="18"/>
                <w:szCs w:val="18"/>
              </w:rPr>
            </w:pPr>
            <w:r w:rsidRPr="005B1699">
              <w:rPr>
                <w:rFonts w:cs="Arial"/>
                <w:color w:val="000000"/>
                <w:sz w:val="18"/>
                <w:szCs w:val="18"/>
              </w:rPr>
              <w:t>609</w:t>
            </w:r>
          </w:p>
        </w:tc>
        <w:tc>
          <w:tcPr>
            <w:tcW w:w="992" w:type="dxa"/>
            <w:tcBorders>
              <w:top w:val="single" w:sz="6" w:space="0" w:color="auto"/>
              <w:left w:val="single" w:sz="6" w:space="0" w:color="auto"/>
              <w:bottom w:val="single" w:sz="6" w:space="0" w:color="auto"/>
              <w:right w:val="single" w:sz="6" w:space="0" w:color="auto"/>
            </w:tcBorders>
            <w:vAlign w:val="bottom"/>
          </w:tcPr>
          <w:p w14:paraId="10453630" w14:textId="42958ABA" w:rsidR="005B1699" w:rsidRPr="005B1699" w:rsidRDefault="005B1699" w:rsidP="005B1699">
            <w:pPr>
              <w:contextualSpacing/>
              <w:jc w:val="center"/>
              <w:rPr>
                <w:rFonts w:cs="Arial"/>
                <w:color w:val="000000"/>
                <w:sz w:val="18"/>
                <w:szCs w:val="18"/>
              </w:rPr>
            </w:pPr>
            <w:r w:rsidRPr="005B1699">
              <w:rPr>
                <w:rFonts w:cs="Arial"/>
                <w:color w:val="000000"/>
                <w:sz w:val="18"/>
                <w:szCs w:val="18"/>
              </w:rPr>
              <w:t>668</w:t>
            </w:r>
          </w:p>
        </w:tc>
        <w:tc>
          <w:tcPr>
            <w:tcW w:w="851" w:type="dxa"/>
            <w:tcBorders>
              <w:top w:val="single" w:sz="6" w:space="0" w:color="auto"/>
              <w:left w:val="single" w:sz="6" w:space="0" w:color="auto"/>
              <w:bottom w:val="single" w:sz="6" w:space="0" w:color="auto"/>
              <w:right w:val="single" w:sz="6" w:space="0" w:color="auto"/>
            </w:tcBorders>
          </w:tcPr>
          <w:p w14:paraId="1997622D" w14:textId="65E0175B" w:rsidR="005B1699" w:rsidRPr="005B1699" w:rsidRDefault="005B1699" w:rsidP="005B1699">
            <w:pPr>
              <w:contextualSpacing/>
              <w:jc w:val="center"/>
              <w:rPr>
                <w:rFonts w:cs="Arial"/>
                <w:color w:val="000000"/>
                <w:sz w:val="18"/>
                <w:szCs w:val="18"/>
              </w:rPr>
            </w:pPr>
            <w:r w:rsidRPr="005B1699">
              <w:rPr>
                <w:sz w:val="18"/>
                <w:szCs w:val="18"/>
              </w:rPr>
              <w:t>747</w:t>
            </w:r>
          </w:p>
        </w:tc>
      </w:tr>
      <w:tr w:rsidR="005B1699" w:rsidRPr="005B1699" w14:paraId="775788BE" w14:textId="45FB0C3B" w:rsidTr="005B1699">
        <w:trPr>
          <w:trHeight w:val="227"/>
          <w:jc w:val="center"/>
        </w:trPr>
        <w:tc>
          <w:tcPr>
            <w:tcW w:w="1268" w:type="dxa"/>
            <w:tcBorders>
              <w:top w:val="single" w:sz="6" w:space="0" w:color="auto"/>
              <w:left w:val="single" w:sz="6" w:space="0" w:color="auto"/>
              <w:bottom w:val="single" w:sz="6" w:space="0" w:color="auto"/>
              <w:right w:val="single" w:sz="6" w:space="0" w:color="auto"/>
            </w:tcBorders>
            <w:shd w:val="clear" w:color="auto" w:fill="BFBFBF"/>
            <w:vAlign w:val="center"/>
          </w:tcPr>
          <w:p w14:paraId="7643E0E3" w14:textId="77777777" w:rsidR="005B1699" w:rsidRPr="005B1699" w:rsidRDefault="005B1699" w:rsidP="005B1699">
            <w:pPr>
              <w:autoSpaceDE w:val="0"/>
              <w:autoSpaceDN w:val="0"/>
              <w:adjustRightInd w:val="0"/>
              <w:contextualSpacing/>
              <w:rPr>
                <w:rFonts w:cs="Arial"/>
                <w:b/>
                <w:sz w:val="18"/>
                <w:szCs w:val="18"/>
              </w:rPr>
            </w:pPr>
            <w:r w:rsidRPr="005B1699">
              <w:rPr>
                <w:rFonts w:cs="Arial"/>
                <w:b/>
                <w:sz w:val="18"/>
                <w:szCs w:val="18"/>
              </w:rPr>
              <w:t>Odry</w:t>
            </w:r>
          </w:p>
        </w:tc>
        <w:tc>
          <w:tcPr>
            <w:tcW w:w="992" w:type="dxa"/>
            <w:tcBorders>
              <w:top w:val="single" w:sz="6" w:space="0" w:color="auto"/>
              <w:left w:val="single" w:sz="6" w:space="0" w:color="auto"/>
              <w:bottom w:val="single" w:sz="6" w:space="0" w:color="auto"/>
              <w:right w:val="single" w:sz="6" w:space="0" w:color="auto"/>
            </w:tcBorders>
            <w:vAlign w:val="center"/>
          </w:tcPr>
          <w:p w14:paraId="25176D23" w14:textId="0CD0A1D1" w:rsidR="005B1699" w:rsidRPr="005B1699" w:rsidRDefault="005B1699" w:rsidP="005B1699">
            <w:pPr>
              <w:autoSpaceDE w:val="0"/>
              <w:autoSpaceDN w:val="0"/>
              <w:adjustRightInd w:val="0"/>
              <w:ind w:right="74"/>
              <w:contextualSpacing/>
              <w:jc w:val="right"/>
              <w:rPr>
                <w:rFonts w:cs="Arial"/>
                <w:sz w:val="18"/>
                <w:szCs w:val="18"/>
              </w:rPr>
            </w:pPr>
            <w:r w:rsidRPr="005B1699">
              <w:rPr>
                <w:rFonts w:cs="Arial"/>
                <w:sz w:val="18"/>
                <w:szCs w:val="18"/>
              </w:rPr>
              <w:t>554</w:t>
            </w:r>
          </w:p>
        </w:tc>
        <w:tc>
          <w:tcPr>
            <w:tcW w:w="851" w:type="dxa"/>
            <w:tcBorders>
              <w:top w:val="single" w:sz="6" w:space="0" w:color="auto"/>
              <w:left w:val="single" w:sz="6" w:space="0" w:color="auto"/>
              <w:bottom w:val="single" w:sz="6" w:space="0" w:color="auto"/>
              <w:right w:val="single" w:sz="6" w:space="0" w:color="auto"/>
            </w:tcBorders>
            <w:vAlign w:val="center"/>
          </w:tcPr>
          <w:p w14:paraId="0EC2972F" w14:textId="3ADC85C6" w:rsidR="005B1699" w:rsidRPr="005B1699" w:rsidRDefault="005B1699" w:rsidP="005B1699">
            <w:pPr>
              <w:autoSpaceDE w:val="0"/>
              <w:autoSpaceDN w:val="0"/>
              <w:adjustRightInd w:val="0"/>
              <w:ind w:right="74"/>
              <w:contextualSpacing/>
              <w:jc w:val="right"/>
              <w:rPr>
                <w:rFonts w:cs="Arial"/>
                <w:sz w:val="18"/>
                <w:szCs w:val="18"/>
              </w:rPr>
            </w:pPr>
            <w:r w:rsidRPr="005B1699">
              <w:rPr>
                <w:rFonts w:cs="Arial"/>
                <w:sz w:val="18"/>
                <w:szCs w:val="18"/>
              </w:rPr>
              <w:t>554</w:t>
            </w:r>
          </w:p>
        </w:tc>
        <w:tc>
          <w:tcPr>
            <w:tcW w:w="850" w:type="dxa"/>
            <w:tcBorders>
              <w:top w:val="single" w:sz="6" w:space="0" w:color="auto"/>
              <w:left w:val="single" w:sz="6" w:space="0" w:color="auto"/>
              <w:bottom w:val="single" w:sz="6" w:space="0" w:color="auto"/>
              <w:right w:val="single" w:sz="6" w:space="0" w:color="auto"/>
            </w:tcBorders>
            <w:vAlign w:val="center"/>
          </w:tcPr>
          <w:p w14:paraId="5A2E93C7" w14:textId="3904D545" w:rsidR="005B1699" w:rsidRPr="005B1699" w:rsidRDefault="005B1699" w:rsidP="005B1699">
            <w:pPr>
              <w:autoSpaceDE w:val="0"/>
              <w:autoSpaceDN w:val="0"/>
              <w:adjustRightInd w:val="0"/>
              <w:ind w:right="74"/>
              <w:contextualSpacing/>
              <w:jc w:val="right"/>
              <w:rPr>
                <w:rFonts w:cs="Arial"/>
                <w:sz w:val="18"/>
                <w:szCs w:val="18"/>
              </w:rPr>
            </w:pPr>
            <w:r w:rsidRPr="005B1699">
              <w:rPr>
                <w:rFonts w:cs="Arial"/>
                <w:sz w:val="18"/>
                <w:szCs w:val="18"/>
              </w:rPr>
              <w:t>579</w:t>
            </w:r>
          </w:p>
        </w:tc>
        <w:tc>
          <w:tcPr>
            <w:tcW w:w="851" w:type="dxa"/>
            <w:tcBorders>
              <w:top w:val="single" w:sz="6" w:space="0" w:color="auto"/>
              <w:left w:val="single" w:sz="6" w:space="0" w:color="auto"/>
              <w:bottom w:val="single" w:sz="6" w:space="0" w:color="auto"/>
              <w:right w:val="single" w:sz="6" w:space="0" w:color="auto"/>
            </w:tcBorders>
            <w:vAlign w:val="center"/>
          </w:tcPr>
          <w:p w14:paraId="47E831DA" w14:textId="097697D4" w:rsidR="005B1699" w:rsidRPr="005B1699" w:rsidRDefault="005B1699" w:rsidP="005B1699">
            <w:pPr>
              <w:autoSpaceDE w:val="0"/>
              <w:autoSpaceDN w:val="0"/>
              <w:adjustRightInd w:val="0"/>
              <w:ind w:right="74"/>
              <w:contextualSpacing/>
              <w:jc w:val="right"/>
              <w:rPr>
                <w:rFonts w:cs="Arial"/>
                <w:sz w:val="18"/>
                <w:szCs w:val="18"/>
              </w:rPr>
            </w:pPr>
            <w:r w:rsidRPr="005B1699">
              <w:rPr>
                <w:rFonts w:cs="Arial"/>
                <w:sz w:val="18"/>
                <w:szCs w:val="18"/>
              </w:rPr>
              <w:t>553</w:t>
            </w:r>
          </w:p>
        </w:tc>
        <w:tc>
          <w:tcPr>
            <w:tcW w:w="850" w:type="dxa"/>
            <w:tcBorders>
              <w:top w:val="single" w:sz="6" w:space="0" w:color="auto"/>
              <w:left w:val="single" w:sz="6" w:space="0" w:color="auto"/>
              <w:bottom w:val="single" w:sz="6" w:space="0" w:color="auto"/>
              <w:right w:val="single" w:sz="6" w:space="0" w:color="auto"/>
            </w:tcBorders>
            <w:vAlign w:val="bottom"/>
          </w:tcPr>
          <w:p w14:paraId="31CD5C00" w14:textId="25AB58BD" w:rsidR="005B1699" w:rsidRPr="005B1699" w:rsidRDefault="005B1699" w:rsidP="005B1699">
            <w:pPr>
              <w:ind w:right="112"/>
              <w:contextualSpacing/>
              <w:jc w:val="right"/>
              <w:rPr>
                <w:rFonts w:cs="Arial"/>
                <w:sz w:val="18"/>
                <w:szCs w:val="18"/>
              </w:rPr>
            </w:pPr>
            <w:r w:rsidRPr="005B1699">
              <w:rPr>
                <w:rFonts w:cs="Arial"/>
                <w:sz w:val="18"/>
                <w:szCs w:val="18"/>
              </w:rPr>
              <w:t>540</w:t>
            </w:r>
          </w:p>
        </w:tc>
        <w:tc>
          <w:tcPr>
            <w:tcW w:w="851" w:type="dxa"/>
            <w:tcBorders>
              <w:top w:val="single" w:sz="6" w:space="0" w:color="auto"/>
              <w:left w:val="single" w:sz="6" w:space="0" w:color="auto"/>
              <w:bottom w:val="single" w:sz="6" w:space="0" w:color="auto"/>
              <w:right w:val="single" w:sz="6" w:space="0" w:color="auto"/>
            </w:tcBorders>
            <w:vAlign w:val="bottom"/>
          </w:tcPr>
          <w:p w14:paraId="2E4F43BE" w14:textId="39781165" w:rsidR="005B1699" w:rsidRPr="005B1699" w:rsidRDefault="005B1699" w:rsidP="005B1699">
            <w:pPr>
              <w:contextualSpacing/>
              <w:jc w:val="center"/>
              <w:rPr>
                <w:rFonts w:cs="Arial"/>
                <w:sz w:val="18"/>
                <w:szCs w:val="18"/>
              </w:rPr>
            </w:pPr>
            <w:r w:rsidRPr="005B1699">
              <w:rPr>
                <w:rFonts w:cs="Arial"/>
                <w:sz w:val="18"/>
                <w:szCs w:val="18"/>
              </w:rPr>
              <w:t>617</w:t>
            </w:r>
          </w:p>
        </w:tc>
        <w:tc>
          <w:tcPr>
            <w:tcW w:w="850" w:type="dxa"/>
            <w:tcBorders>
              <w:top w:val="single" w:sz="6" w:space="0" w:color="auto"/>
              <w:left w:val="single" w:sz="6" w:space="0" w:color="auto"/>
              <w:bottom w:val="single" w:sz="6" w:space="0" w:color="auto"/>
              <w:right w:val="single" w:sz="6" w:space="0" w:color="auto"/>
            </w:tcBorders>
            <w:vAlign w:val="bottom"/>
          </w:tcPr>
          <w:p w14:paraId="31E69E66" w14:textId="4E04DCDC" w:rsidR="005B1699" w:rsidRPr="005B1699" w:rsidRDefault="005B1699" w:rsidP="005B1699">
            <w:pPr>
              <w:contextualSpacing/>
              <w:jc w:val="center"/>
              <w:rPr>
                <w:rFonts w:cs="Arial"/>
                <w:sz w:val="18"/>
                <w:szCs w:val="18"/>
              </w:rPr>
            </w:pPr>
            <w:r w:rsidRPr="005B1699">
              <w:rPr>
                <w:rFonts w:cs="Arial"/>
                <w:color w:val="000000"/>
                <w:sz w:val="18"/>
                <w:szCs w:val="18"/>
              </w:rPr>
              <w:t>628</w:t>
            </w:r>
          </w:p>
        </w:tc>
        <w:tc>
          <w:tcPr>
            <w:tcW w:w="851" w:type="dxa"/>
            <w:tcBorders>
              <w:top w:val="single" w:sz="6" w:space="0" w:color="auto"/>
              <w:left w:val="single" w:sz="6" w:space="0" w:color="auto"/>
              <w:bottom w:val="single" w:sz="6" w:space="0" w:color="auto"/>
              <w:right w:val="single" w:sz="6" w:space="0" w:color="auto"/>
            </w:tcBorders>
            <w:vAlign w:val="bottom"/>
          </w:tcPr>
          <w:p w14:paraId="27895DBC" w14:textId="2D1FB80F" w:rsidR="005B1699" w:rsidRPr="005B1699" w:rsidRDefault="005B1699" w:rsidP="005B1699">
            <w:pPr>
              <w:contextualSpacing/>
              <w:jc w:val="center"/>
              <w:rPr>
                <w:rFonts w:cs="Arial"/>
                <w:color w:val="000000"/>
                <w:sz w:val="18"/>
                <w:szCs w:val="18"/>
              </w:rPr>
            </w:pPr>
            <w:r w:rsidRPr="005B1699">
              <w:rPr>
                <w:rFonts w:cs="Arial"/>
                <w:color w:val="000000"/>
                <w:sz w:val="18"/>
                <w:szCs w:val="18"/>
              </w:rPr>
              <w:t>626</w:t>
            </w:r>
          </w:p>
        </w:tc>
        <w:tc>
          <w:tcPr>
            <w:tcW w:w="992" w:type="dxa"/>
            <w:tcBorders>
              <w:top w:val="single" w:sz="6" w:space="0" w:color="auto"/>
              <w:left w:val="single" w:sz="6" w:space="0" w:color="auto"/>
              <w:bottom w:val="single" w:sz="6" w:space="0" w:color="auto"/>
              <w:right w:val="single" w:sz="6" w:space="0" w:color="auto"/>
            </w:tcBorders>
            <w:vAlign w:val="bottom"/>
          </w:tcPr>
          <w:p w14:paraId="2C8A561E" w14:textId="7DF7D0C4" w:rsidR="005B1699" w:rsidRPr="005B1699" w:rsidRDefault="005B1699" w:rsidP="005B1699">
            <w:pPr>
              <w:contextualSpacing/>
              <w:jc w:val="center"/>
              <w:rPr>
                <w:rFonts w:cs="Arial"/>
                <w:color w:val="000000"/>
                <w:sz w:val="18"/>
                <w:szCs w:val="18"/>
              </w:rPr>
            </w:pPr>
            <w:r w:rsidRPr="005B1699">
              <w:rPr>
                <w:rFonts w:cs="Arial"/>
                <w:color w:val="000000"/>
                <w:sz w:val="18"/>
                <w:szCs w:val="18"/>
              </w:rPr>
              <w:t>636</w:t>
            </w:r>
          </w:p>
        </w:tc>
        <w:tc>
          <w:tcPr>
            <w:tcW w:w="851" w:type="dxa"/>
            <w:tcBorders>
              <w:top w:val="single" w:sz="6" w:space="0" w:color="auto"/>
              <w:left w:val="single" w:sz="6" w:space="0" w:color="auto"/>
              <w:bottom w:val="single" w:sz="6" w:space="0" w:color="auto"/>
              <w:right w:val="single" w:sz="6" w:space="0" w:color="auto"/>
            </w:tcBorders>
          </w:tcPr>
          <w:p w14:paraId="4B111E22" w14:textId="60ECEED3" w:rsidR="005B1699" w:rsidRPr="005B1699" w:rsidRDefault="005B1699" w:rsidP="005B1699">
            <w:pPr>
              <w:contextualSpacing/>
              <w:jc w:val="center"/>
              <w:rPr>
                <w:rFonts w:cs="Arial"/>
                <w:color w:val="000000"/>
                <w:sz w:val="18"/>
                <w:szCs w:val="18"/>
              </w:rPr>
            </w:pPr>
            <w:r w:rsidRPr="005B1699">
              <w:rPr>
                <w:sz w:val="18"/>
                <w:szCs w:val="18"/>
              </w:rPr>
              <w:t>670</w:t>
            </w:r>
          </w:p>
        </w:tc>
      </w:tr>
      <w:tr w:rsidR="005B1699" w:rsidRPr="005B1699" w14:paraId="2B184BB3" w14:textId="3EA5AB97" w:rsidTr="005B1699">
        <w:trPr>
          <w:trHeight w:val="227"/>
          <w:jc w:val="center"/>
        </w:trPr>
        <w:tc>
          <w:tcPr>
            <w:tcW w:w="1268" w:type="dxa"/>
            <w:tcBorders>
              <w:top w:val="single" w:sz="6" w:space="0" w:color="auto"/>
              <w:left w:val="single" w:sz="6" w:space="0" w:color="auto"/>
              <w:bottom w:val="single" w:sz="6" w:space="0" w:color="auto"/>
              <w:right w:val="single" w:sz="6" w:space="0" w:color="auto"/>
            </w:tcBorders>
            <w:shd w:val="clear" w:color="auto" w:fill="BFBFBF"/>
            <w:vAlign w:val="center"/>
          </w:tcPr>
          <w:p w14:paraId="7425CB1E" w14:textId="77777777" w:rsidR="005B1699" w:rsidRPr="005B1699" w:rsidRDefault="005B1699" w:rsidP="005B1699">
            <w:pPr>
              <w:autoSpaceDE w:val="0"/>
              <w:autoSpaceDN w:val="0"/>
              <w:adjustRightInd w:val="0"/>
              <w:contextualSpacing/>
              <w:rPr>
                <w:rFonts w:cs="Arial"/>
                <w:b/>
                <w:sz w:val="18"/>
                <w:szCs w:val="18"/>
              </w:rPr>
            </w:pPr>
            <w:r w:rsidRPr="005B1699">
              <w:rPr>
                <w:rFonts w:cs="Arial"/>
                <w:b/>
                <w:sz w:val="18"/>
                <w:szCs w:val="18"/>
              </w:rPr>
              <w:t>Moravy</w:t>
            </w:r>
          </w:p>
        </w:tc>
        <w:tc>
          <w:tcPr>
            <w:tcW w:w="992" w:type="dxa"/>
            <w:tcBorders>
              <w:top w:val="single" w:sz="6" w:space="0" w:color="auto"/>
              <w:left w:val="single" w:sz="6" w:space="0" w:color="auto"/>
              <w:bottom w:val="single" w:sz="6" w:space="0" w:color="auto"/>
              <w:right w:val="single" w:sz="6" w:space="0" w:color="auto"/>
            </w:tcBorders>
            <w:vAlign w:val="center"/>
          </w:tcPr>
          <w:p w14:paraId="68EE45E4" w14:textId="0B783B42" w:rsidR="005B1699" w:rsidRPr="005B1699" w:rsidRDefault="005B1699" w:rsidP="005B1699">
            <w:pPr>
              <w:autoSpaceDE w:val="0"/>
              <w:autoSpaceDN w:val="0"/>
              <w:adjustRightInd w:val="0"/>
              <w:ind w:right="74"/>
              <w:contextualSpacing/>
              <w:jc w:val="right"/>
              <w:rPr>
                <w:rFonts w:cs="Arial"/>
                <w:sz w:val="18"/>
                <w:szCs w:val="18"/>
              </w:rPr>
            </w:pPr>
            <w:r w:rsidRPr="005B1699">
              <w:rPr>
                <w:rFonts w:cs="Arial"/>
                <w:sz w:val="18"/>
                <w:szCs w:val="18"/>
              </w:rPr>
              <w:t>672</w:t>
            </w:r>
          </w:p>
        </w:tc>
        <w:tc>
          <w:tcPr>
            <w:tcW w:w="851" w:type="dxa"/>
            <w:tcBorders>
              <w:top w:val="single" w:sz="6" w:space="0" w:color="auto"/>
              <w:left w:val="single" w:sz="6" w:space="0" w:color="auto"/>
              <w:bottom w:val="single" w:sz="6" w:space="0" w:color="auto"/>
              <w:right w:val="single" w:sz="6" w:space="0" w:color="auto"/>
            </w:tcBorders>
            <w:vAlign w:val="center"/>
          </w:tcPr>
          <w:p w14:paraId="17FC2FBF" w14:textId="1E860E66" w:rsidR="005B1699" w:rsidRPr="005B1699" w:rsidRDefault="005B1699" w:rsidP="005B1699">
            <w:pPr>
              <w:autoSpaceDE w:val="0"/>
              <w:autoSpaceDN w:val="0"/>
              <w:adjustRightInd w:val="0"/>
              <w:ind w:right="74"/>
              <w:contextualSpacing/>
              <w:jc w:val="right"/>
              <w:rPr>
                <w:rFonts w:cs="Arial"/>
                <w:sz w:val="18"/>
                <w:szCs w:val="18"/>
              </w:rPr>
            </w:pPr>
            <w:r w:rsidRPr="005B1699">
              <w:rPr>
                <w:rFonts w:cs="Arial"/>
                <w:sz w:val="18"/>
                <w:szCs w:val="18"/>
              </w:rPr>
              <w:t>715</w:t>
            </w:r>
          </w:p>
        </w:tc>
        <w:tc>
          <w:tcPr>
            <w:tcW w:w="850" w:type="dxa"/>
            <w:tcBorders>
              <w:top w:val="single" w:sz="6" w:space="0" w:color="auto"/>
              <w:left w:val="single" w:sz="6" w:space="0" w:color="auto"/>
              <w:bottom w:val="single" w:sz="6" w:space="0" w:color="auto"/>
              <w:right w:val="single" w:sz="6" w:space="0" w:color="auto"/>
            </w:tcBorders>
            <w:vAlign w:val="center"/>
          </w:tcPr>
          <w:p w14:paraId="40C065CA" w14:textId="17E3141B" w:rsidR="005B1699" w:rsidRPr="005B1699" w:rsidRDefault="005B1699" w:rsidP="005B1699">
            <w:pPr>
              <w:autoSpaceDE w:val="0"/>
              <w:autoSpaceDN w:val="0"/>
              <w:adjustRightInd w:val="0"/>
              <w:ind w:right="74"/>
              <w:contextualSpacing/>
              <w:jc w:val="right"/>
              <w:rPr>
                <w:rFonts w:cs="Arial"/>
                <w:sz w:val="18"/>
                <w:szCs w:val="18"/>
              </w:rPr>
            </w:pPr>
            <w:r w:rsidRPr="005B1699">
              <w:rPr>
                <w:rFonts w:cs="Arial"/>
                <w:sz w:val="18"/>
                <w:szCs w:val="18"/>
              </w:rPr>
              <w:t>804</w:t>
            </w:r>
          </w:p>
        </w:tc>
        <w:tc>
          <w:tcPr>
            <w:tcW w:w="851" w:type="dxa"/>
            <w:tcBorders>
              <w:top w:val="single" w:sz="6" w:space="0" w:color="auto"/>
              <w:left w:val="single" w:sz="6" w:space="0" w:color="auto"/>
              <w:bottom w:val="single" w:sz="6" w:space="0" w:color="auto"/>
              <w:right w:val="single" w:sz="6" w:space="0" w:color="auto"/>
            </w:tcBorders>
            <w:vAlign w:val="center"/>
          </w:tcPr>
          <w:p w14:paraId="300DC116" w14:textId="7D871A5C" w:rsidR="005B1699" w:rsidRPr="005B1699" w:rsidRDefault="005B1699" w:rsidP="005B1699">
            <w:pPr>
              <w:autoSpaceDE w:val="0"/>
              <w:autoSpaceDN w:val="0"/>
              <w:adjustRightInd w:val="0"/>
              <w:ind w:right="74"/>
              <w:contextualSpacing/>
              <w:jc w:val="right"/>
              <w:rPr>
                <w:rFonts w:cs="Arial"/>
                <w:sz w:val="18"/>
                <w:szCs w:val="18"/>
              </w:rPr>
            </w:pPr>
            <w:r w:rsidRPr="005B1699">
              <w:rPr>
                <w:rFonts w:cs="Arial"/>
                <w:sz w:val="18"/>
                <w:szCs w:val="18"/>
              </w:rPr>
              <w:t>827</w:t>
            </w:r>
          </w:p>
        </w:tc>
        <w:tc>
          <w:tcPr>
            <w:tcW w:w="850" w:type="dxa"/>
            <w:tcBorders>
              <w:top w:val="single" w:sz="6" w:space="0" w:color="auto"/>
              <w:left w:val="single" w:sz="6" w:space="0" w:color="auto"/>
              <w:bottom w:val="single" w:sz="6" w:space="0" w:color="auto"/>
              <w:right w:val="single" w:sz="6" w:space="0" w:color="auto"/>
            </w:tcBorders>
            <w:vAlign w:val="bottom"/>
          </w:tcPr>
          <w:p w14:paraId="1AB54681" w14:textId="430B315C" w:rsidR="005B1699" w:rsidRPr="005B1699" w:rsidRDefault="005B1699" w:rsidP="005B1699">
            <w:pPr>
              <w:ind w:right="112"/>
              <w:contextualSpacing/>
              <w:jc w:val="right"/>
              <w:rPr>
                <w:rFonts w:cs="Arial"/>
                <w:sz w:val="18"/>
                <w:szCs w:val="18"/>
              </w:rPr>
            </w:pPr>
            <w:r w:rsidRPr="005B1699">
              <w:rPr>
                <w:rFonts w:cs="Arial"/>
                <w:sz w:val="18"/>
                <w:szCs w:val="18"/>
              </w:rPr>
              <w:t>786</w:t>
            </w:r>
          </w:p>
        </w:tc>
        <w:tc>
          <w:tcPr>
            <w:tcW w:w="851" w:type="dxa"/>
            <w:tcBorders>
              <w:top w:val="single" w:sz="6" w:space="0" w:color="auto"/>
              <w:left w:val="single" w:sz="6" w:space="0" w:color="auto"/>
              <w:bottom w:val="single" w:sz="6" w:space="0" w:color="auto"/>
              <w:right w:val="single" w:sz="6" w:space="0" w:color="auto"/>
            </w:tcBorders>
            <w:vAlign w:val="bottom"/>
          </w:tcPr>
          <w:p w14:paraId="375E90B7" w14:textId="1F716CAB" w:rsidR="005B1699" w:rsidRPr="005B1699" w:rsidRDefault="005B1699" w:rsidP="005B1699">
            <w:pPr>
              <w:contextualSpacing/>
              <w:jc w:val="center"/>
              <w:rPr>
                <w:rFonts w:cs="Arial"/>
                <w:sz w:val="18"/>
                <w:szCs w:val="18"/>
              </w:rPr>
            </w:pPr>
            <w:r w:rsidRPr="005B1699">
              <w:rPr>
                <w:rFonts w:cs="Arial"/>
                <w:sz w:val="18"/>
                <w:szCs w:val="18"/>
              </w:rPr>
              <w:t>759</w:t>
            </w:r>
          </w:p>
        </w:tc>
        <w:tc>
          <w:tcPr>
            <w:tcW w:w="850" w:type="dxa"/>
            <w:tcBorders>
              <w:top w:val="single" w:sz="6" w:space="0" w:color="auto"/>
              <w:left w:val="single" w:sz="6" w:space="0" w:color="auto"/>
              <w:bottom w:val="single" w:sz="6" w:space="0" w:color="auto"/>
              <w:right w:val="single" w:sz="6" w:space="0" w:color="auto"/>
            </w:tcBorders>
            <w:vAlign w:val="bottom"/>
          </w:tcPr>
          <w:p w14:paraId="41E28BC1" w14:textId="2B99D524" w:rsidR="005B1699" w:rsidRPr="005B1699" w:rsidRDefault="005B1699" w:rsidP="005B1699">
            <w:pPr>
              <w:contextualSpacing/>
              <w:jc w:val="center"/>
              <w:rPr>
                <w:rFonts w:cs="Arial"/>
                <w:sz w:val="18"/>
                <w:szCs w:val="18"/>
              </w:rPr>
            </w:pPr>
            <w:r w:rsidRPr="005B1699">
              <w:rPr>
                <w:rFonts w:cs="Arial"/>
                <w:color w:val="000000"/>
                <w:sz w:val="18"/>
                <w:szCs w:val="18"/>
              </w:rPr>
              <w:t>808</w:t>
            </w:r>
          </w:p>
        </w:tc>
        <w:tc>
          <w:tcPr>
            <w:tcW w:w="851" w:type="dxa"/>
            <w:tcBorders>
              <w:top w:val="single" w:sz="6" w:space="0" w:color="auto"/>
              <w:left w:val="single" w:sz="6" w:space="0" w:color="auto"/>
              <w:bottom w:val="single" w:sz="6" w:space="0" w:color="auto"/>
              <w:right w:val="single" w:sz="6" w:space="0" w:color="auto"/>
            </w:tcBorders>
            <w:vAlign w:val="bottom"/>
          </w:tcPr>
          <w:p w14:paraId="643B6799" w14:textId="010B8E5B" w:rsidR="005B1699" w:rsidRPr="005B1699" w:rsidRDefault="005B1699" w:rsidP="005B1699">
            <w:pPr>
              <w:contextualSpacing/>
              <w:jc w:val="center"/>
              <w:rPr>
                <w:rFonts w:cs="Arial"/>
                <w:color w:val="000000"/>
                <w:sz w:val="18"/>
                <w:szCs w:val="18"/>
              </w:rPr>
            </w:pPr>
            <w:r w:rsidRPr="005B1699">
              <w:rPr>
                <w:rFonts w:cs="Arial"/>
                <w:color w:val="000000"/>
                <w:sz w:val="18"/>
                <w:szCs w:val="18"/>
              </w:rPr>
              <w:t>775</w:t>
            </w:r>
          </w:p>
        </w:tc>
        <w:tc>
          <w:tcPr>
            <w:tcW w:w="992" w:type="dxa"/>
            <w:tcBorders>
              <w:top w:val="single" w:sz="6" w:space="0" w:color="auto"/>
              <w:left w:val="single" w:sz="6" w:space="0" w:color="auto"/>
              <w:bottom w:val="single" w:sz="6" w:space="0" w:color="auto"/>
              <w:right w:val="single" w:sz="6" w:space="0" w:color="auto"/>
            </w:tcBorders>
            <w:vAlign w:val="bottom"/>
          </w:tcPr>
          <w:p w14:paraId="2F139E24" w14:textId="2710EF2F" w:rsidR="005B1699" w:rsidRPr="005B1699" w:rsidRDefault="005B1699" w:rsidP="005B1699">
            <w:pPr>
              <w:contextualSpacing/>
              <w:jc w:val="center"/>
              <w:rPr>
                <w:rFonts w:cs="Arial"/>
                <w:color w:val="000000"/>
                <w:sz w:val="18"/>
                <w:szCs w:val="18"/>
              </w:rPr>
            </w:pPr>
            <w:r w:rsidRPr="005B1699">
              <w:rPr>
                <w:rFonts w:cs="Arial"/>
                <w:color w:val="000000"/>
                <w:sz w:val="18"/>
                <w:szCs w:val="18"/>
              </w:rPr>
              <w:t>771</w:t>
            </w:r>
          </w:p>
        </w:tc>
        <w:tc>
          <w:tcPr>
            <w:tcW w:w="851" w:type="dxa"/>
            <w:tcBorders>
              <w:top w:val="single" w:sz="6" w:space="0" w:color="auto"/>
              <w:left w:val="single" w:sz="6" w:space="0" w:color="auto"/>
              <w:bottom w:val="single" w:sz="6" w:space="0" w:color="auto"/>
              <w:right w:val="single" w:sz="6" w:space="0" w:color="auto"/>
            </w:tcBorders>
          </w:tcPr>
          <w:p w14:paraId="74B498DE" w14:textId="7C92FCA6" w:rsidR="005B1699" w:rsidRPr="005B1699" w:rsidRDefault="005B1699" w:rsidP="005B1699">
            <w:pPr>
              <w:contextualSpacing/>
              <w:jc w:val="center"/>
              <w:rPr>
                <w:rFonts w:cs="Arial"/>
                <w:color w:val="000000"/>
                <w:sz w:val="18"/>
                <w:szCs w:val="18"/>
              </w:rPr>
            </w:pPr>
            <w:r w:rsidRPr="005B1699">
              <w:rPr>
                <w:sz w:val="18"/>
                <w:szCs w:val="18"/>
              </w:rPr>
              <w:t>829</w:t>
            </w:r>
          </w:p>
        </w:tc>
      </w:tr>
      <w:tr w:rsidR="005B1699" w:rsidRPr="005B1699" w14:paraId="3EAAC29B" w14:textId="1738B9B8" w:rsidTr="005B1699">
        <w:trPr>
          <w:trHeight w:val="227"/>
          <w:jc w:val="center"/>
        </w:trPr>
        <w:tc>
          <w:tcPr>
            <w:tcW w:w="1268" w:type="dxa"/>
            <w:tcBorders>
              <w:top w:val="single" w:sz="6" w:space="0" w:color="auto"/>
              <w:left w:val="single" w:sz="6" w:space="0" w:color="auto"/>
              <w:bottom w:val="single" w:sz="6" w:space="0" w:color="auto"/>
              <w:right w:val="single" w:sz="6" w:space="0" w:color="auto"/>
            </w:tcBorders>
            <w:shd w:val="clear" w:color="auto" w:fill="BFBFBF"/>
            <w:vAlign w:val="center"/>
          </w:tcPr>
          <w:p w14:paraId="5E1CCAAC" w14:textId="77777777" w:rsidR="005B1699" w:rsidRPr="005B1699" w:rsidRDefault="005B1699" w:rsidP="005B1699">
            <w:pPr>
              <w:autoSpaceDE w:val="0"/>
              <w:autoSpaceDN w:val="0"/>
              <w:adjustRightInd w:val="0"/>
              <w:contextualSpacing/>
              <w:rPr>
                <w:rFonts w:cs="Arial"/>
                <w:b/>
                <w:bCs/>
                <w:sz w:val="18"/>
                <w:szCs w:val="18"/>
              </w:rPr>
            </w:pPr>
            <w:r w:rsidRPr="005B1699">
              <w:rPr>
                <w:rFonts w:cs="Arial"/>
                <w:b/>
                <w:bCs/>
                <w:sz w:val="18"/>
                <w:szCs w:val="18"/>
              </w:rPr>
              <w:t>Celkem státní podniky Povodí</w:t>
            </w: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tcPr>
          <w:p w14:paraId="11980E9D" w14:textId="29904DBB" w:rsidR="005B1699" w:rsidRPr="005B1699" w:rsidRDefault="005B1699" w:rsidP="005B1699">
            <w:pPr>
              <w:autoSpaceDE w:val="0"/>
              <w:autoSpaceDN w:val="0"/>
              <w:adjustRightInd w:val="0"/>
              <w:ind w:right="74"/>
              <w:contextualSpacing/>
              <w:jc w:val="right"/>
              <w:rPr>
                <w:rFonts w:cs="Arial"/>
                <w:b/>
                <w:bCs/>
                <w:sz w:val="18"/>
                <w:szCs w:val="18"/>
              </w:rPr>
            </w:pPr>
            <w:r w:rsidRPr="005B1699">
              <w:rPr>
                <w:rFonts w:cs="Arial"/>
                <w:b/>
                <w:bCs/>
                <w:sz w:val="18"/>
                <w:szCs w:val="18"/>
              </w:rPr>
              <w:t>3 527</w:t>
            </w:r>
          </w:p>
        </w:tc>
        <w:tc>
          <w:tcPr>
            <w:tcW w:w="851" w:type="dxa"/>
            <w:tcBorders>
              <w:top w:val="single" w:sz="6" w:space="0" w:color="auto"/>
              <w:left w:val="single" w:sz="6" w:space="0" w:color="auto"/>
              <w:bottom w:val="single" w:sz="6" w:space="0" w:color="auto"/>
              <w:right w:val="single" w:sz="6" w:space="0" w:color="auto"/>
            </w:tcBorders>
            <w:shd w:val="clear" w:color="auto" w:fill="BFBFBF"/>
            <w:vAlign w:val="center"/>
          </w:tcPr>
          <w:p w14:paraId="1175669E" w14:textId="2002BB2E" w:rsidR="005B1699" w:rsidRPr="005B1699" w:rsidRDefault="005B1699" w:rsidP="005B1699">
            <w:pPr>
              <w:autoSpaceDE w:val="0"/>
              <w:autoSpaceDN w:val="0"/>
              <w:adjustRightInd w:val="0"/>
              <w:ind w:right="74"/>
              <w:contextualSpacing/>
              <w:jc w:val="right"/>
              <w:rPr>
                <w:rFonts w:cs="Arial"/>
                <w:b/>
                <w:bCs/>
                <w:sz w:val="18"/>
                <w:szCs w:val="18"/>
              </w:rPr>
            </w:pPr>
            <w:r w:rsidRPr="005B1699">
              <w:rPr>
                <w:rFonts w:cs="Arial"/>
                <w:b/>
                <w:bCs/>
                <w:sz w:val="18"/>
                <w:szCs w:val="18"/>
              </w:rPr>
              <w:t>3 706</w:t>
            </w:r>
          </w:p>
        </w:tc>
        <w:tc>
          <w:tcPr>
            <w:tcW w:w="850" w:type="dxa"/>
            <w:tcBorders>
              <w:top w:val="single" w:sz="6" w:space="0" w:color="auto"/>
              <w:left w:val="single" w:sz="6" w:space="0" w:color="auto"/>
              <w:bottom w:val="single" w:sz="6" w:space="0" w:color="auto"/>
              <w:right w:val="single" w:sz="6" w:space="0" w:color="auto"/>
            </w:tcBorders>
            <w:shd w:val="clear" w:color="auto" w:fill="BFBFBF"/>
            <w:vAlign w:val="center"/>
          </w:tcPr>
          <w:p w14:paraId="5FEE7D1C" w14:textId="23D388B0" w:rsidR="005B1699" w:rsidRPr="005B1699" w:rsidRDefault="005B1699" w:rsidP="005B1699">
            <w:pPr>
              <w:autoSpaceDE w:val="0"/>
              <w:autoSpaceDN w:val="0"/>
              <w:adjustRightInd w:val="0"/>
              <w:ind w:right="74"/>
              <w:contextualSpacing/>
              <w:jc w:val="right"/>
              <w:rPr>
                <w:rFonts w:cs="Arial"/>
                <w:b/>
                <w:bCs/>
                <w:sz w:val="18"/>
                <w:szCs w:val="18"/>
              </w:rPr>
            </w:pPr>
            <w:r w:rsidRPr="005B1699">
              <w:rPr>
                <w:rFonts w:cs="Arial"/>
                <w:b/>
                <w:bCs/>
                <w:sz w:val="18"/>
                <w:szCs w:val="18"/>
              </w:rPr>
              <w:t>3 879</w:t>
            </w:r>
          </w:p>
        </w:tc>
        <w:tc>
          <w:tcPr>
            <w:tcW w:w="851" w:type="dxa"/>
            <w:tcBorders>
              <w:top w:val="single" w:sz="6" w:space="0" w:color="auto"/>
              <w:left w:val="single" w:sz="6" w:space="0" w:color="auto"/>
              <w:bottom w:val="single" w:sz="6" w:space="0" w:color="auto"/>
              <w:right w:val="single" w:sz="6" w:space="0" w:color="auto"/>
            </w:tcBorders>
            <w:shd w:val="clear" w:color="auto" w:fill="BFBFBF"/>
            <w:vAlign w:val="center"/>
          </w:tcPr>
          <w:p w14:paraId="5B428079" w14:textId="052F8B87" w:rsidR="005B1699" w:rsidRPr="005B1699" w:rsidRDefault="005B1699" w:rsidP="005B1699">
            <w:pPr>
              <w:autoSpaceDE w:val="0"/>
              <w:autoSpaceDN w:val="0"/>
              <w:adjustRightInd w:val="0"/>
              <w:ind w:right="74"/>
              <w:contextualSpacing/>
              <w:jc w:val="right"/>
              <w:rPr>
                <w:rFonts w:cs="Arial"/>
                <w:b/>
                <w:bCs/>
                <w:sz w:val="18"/>
                <w:szCs w:val="18"/>
              </w:rPr>
            </w:pPr>
            <w:r w:rsidRPr="005B1699">
              <w:rPr>
                <w:rFonts w:cs="Arial"/>
                <w:b/>
                <w:bCs/>
                <w:sz w:val="18"/>
                <w:szCs w:val="18"/>
              </w:rPr>
              <w:t>3 856</w:t>
            </w:r>
          </w:p>
        </w:tc>
        <w:tc>
          <w:tcPr>
            <w:tcW w:w="850" w:type="dxa"/>
            <w:tcBorders>
              <w:top w:val="single" w:sz="6" w:space="0" w:color="auto"/>
              <w:left w:val="single" w:sz="6" w:space="0" w:color="auto"/>
              <w:bottom w:val="single" w:sz="6" w:space="0" w:color="auto"/>
              <w:right w:val="single" w:sz="6" w:space="0" w:color="auto"/>
            </w:tcBorders>
            <w:shd w:val="clear" w:color="auto" w:fill="BFBFBF"/>
            <w:vAlign w:val="center"/>
          </w:tcPr>
          <w:p w14:paraId="214791FA" w14:textId="0C086761" w:rsidR="005B1699" w:rsidRPr="005B1699" w:rsidRDefault="005B1699" w:rsidP="005B1699">
            <w:pPr>
              <w:ind w:right="112"/>
              <w:contextualSpacing/>
              <w:jc w:val="right"/>
              <w:rPr>
                <w:rFonts w:cs="Arial"/>
                <w:b/>
                <w:bCs/>
                <w:sz w:val="18"/>
                <w:szCs w:val="18"/>
              </w:rPr>
            </w:pPr>
            <w:r w:rsidRPr="005B1699">
              <w:rPr>
                <w:rFonts w:cs="Arial"/>
                <w:b/>
                <w:bCs/>
                <w:sz w:val="18"/>
                <w:szCs w:val="18"/>
              </w:rPr>
              <w:t>3 614</w:t>
            </w:r>
          </w:p>
        </w:tc>
        <w:tc>
          <w:tcPr>
            <w:tcW w:w="851" w:type="dxa"/>
            <w:tcBorders>
              <w:top w:val="single" w:sz="6" w:space="0" w:color="auto"/>
              <w:left w:val="single" w:sz="6" w:space="0" w:color="auto"/>
              <w:bottom w:val="single" w:sz="6" w:space="0" w:color="auto"/>
              <w:right w:val="single" w:sz="6" w:space="0" w:color="auto"/>
            </w:tcBorders>
            <w:shd w:val="clear" w:color="auto" w:fill="BFBFBF"/>
            <w:vAlign w:val="center"/>
          </w:tcPr>
          <w:p w14:paraId="51B7EC80" w14:textId="2EECBFCA" w:rsidR="005B1699" w:rsidRPr="005B1699" w:rsidRDefault="005B1699" w:rsidP="005B1699">
            <w:pPr>
              <w:contextualSpacing/>
              <w:jc w:val="center"/>
              <w:rPr>
                <w:rFonts w:cs="Arial"/>
                <w:b/>
                <w:bCs/>
                <w:sz w:val="18"/>
                <w:szCs w:val="18"/>
              </w:rPr>
            </w:pPr>
            <w:r w:rsidRPr="005B1699">
              <w:rPr>
                <w:rFonts w:cs="Arial"/>
                <w:b/>
                <w:bCs/>
                <w:sz w:val="18"/>
                <w:szCs w:val="18"/>
              </w:rPr>
              <w:t>3 806</w:t>
            </w:r>
          </w:p>
        </w:tc>
        <w:tc>
          <w:tcPr>
            <w:tcW w:w="850" w:type="dxa"/>
            <w:tcBorders>
              <w:top w:val="single" w:sz="6" w:space="0" w:color="auto"/>
              <w:left w:val="single" w:sz="6" w:space="0" w:color="auto"/>
              <w:bottom w:val="single" w:sz="6" w:space="0" w:color="auto"/>
              <w:right w:val="single" w:sz="6" w:space="0" w:color="auto"/>
            </w:tcBorders>
            <w:shd w:val="clear" w:color="auto" w:fill="BFBFBF"/>
            <w:vAlign w:val="center"/>
          </w:tcPr>
          <w:p w14:paraId="17F8CBAF" w14:textId="545B40AB" w:rsidR="005B1699" w:rsidRPr="005B1699" w:rsidRDefault="005B1699" w:rsidP="005B1699">
            <w:pPr>
              <w:contextualSpacing/>
              <w:jc w:val="center"/>
              <w:rPr>
                <w:rFonts w:cs="Arial"/>
                <w:b/>
                <w:bCs/>
                <w:sz w:val="18"/>
                <w:szCs w:val="18"/>
              </w:rPr>
            </w:pPr>
            <w:r w:rsidRPr="005B1699">
              <w:rPr>
                <w:rFonts w:cs="Arial"/>
                <w:b/>
                <w:bCs/>
                <w:sz w:val="18"/>
                <w:szCs w:val="18"/>
              </w:rPr>
              <w:t>4 083</w:t>
            </w:r>
          </w:p>
        </w:tc>
        <w:tc>
          <w:tcPr>
            <w:tcW w:w="851" w:type="dxa"/>
            <w:tcBorders>
              <w:top w:val="single" w:sz="6" w:space="0" w:color="auto"/>
              <w:left w:val="single" w:sz="6" w:space="0" w:color="auto"/>
              <w:bottom w:val="single" w:sz="6" w:space="0" w:color="auto"/>
              <w:right w:val="single" w:sz="6" w:space="0" w:color="auto"/>
            </w:tcBorders>
            <w:shd w:val="clear" w:color="auto" w:fill="BFBFBF"/>
            <w:vAlign w:val="center"/>
          </w:tcPr>
          <w:p w14:paraId="2DB6E683" w14:textId="30FFD99D" w:rsidR="005B1699" w:rsidRPr="005B1699" w:rsidRDefault="005B1699" w:rsidP="005B1699">
            <w:pPr>
              <w:contextualSpacing/>
              <w:jc w:val="center"/>
              <w:rPr>
                <w:rFonts w:cs="Arial"/>
                <w:b/>
                <w:bCs/>
                <w:sz w:val="18"/>
                <w:szCs w:val="18"/>
              </w:rPr>
            </w:pPr>
            <w:r w:rsidRPr="005B1699">
              <w:rPr>
                <w:rFonts w:cs="Arial"/>
                <w:b/>
                <w:bCs/>
                <w:color w:val="000000"/>
                <w:sz w:val="18"/>
                <w:szCs w:val="18"/>
              </w:rPr>
              <w:t>3 986</w:t>
            </w: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tcPr>
          <w:p w14:paraId="712722E6" w14:textId="7D6C1292" w:rsidR="005B1699" w:rsidRPr="005B1699" w:rsidRDefault="005B1699" w:rsidP="005B1699">
            <w:pPr>
              <w:contextualSpacing/>
              <w:jc w:val="center"/>
              <w:rPr>
                <w:rFonts w:cs="Arial"/>
                <w:b/>
                <w:bCs/>
                <w:color w:val="000000"/>
                <w:sz w:val="18"/>
                <w:szCs w:val="18"/>
              </w:rPr>
            </w:pPr>
            <w:r w:rsidRPr="005B1699">
              <w:rPr>
                <w:rFonts w:cs="Arial"/>
                <w:b/>
                <w:bCs/>
                <w:color w:val="000000"/>
                <w:sz w:val="18"/>
                <w:szCs w:val="18"/>
              </w:rPr>
              <w:t>4 119</w:t>
            </w:r>
          </w:p>
        </w:tc>
        <w:tc>
          <w:tcPr>
            <w:tcW w:w="851" w:type="dxa"/>
            <w:tcBorders>
              <w:top w:val="single" w:sz="6" w:space="0" w:color="auto"/>
              <w:left w:val="single" w:sz="6" w:space="0" w:color="auto"/>
              <w:bottom w:val="single" w:sz="6" w:space="0" w:color="auto"/>
              <w:right w:val="single" w:sz="6" w:space="0" w:color="auto"/>
            </w:tcBorders>
            <w:shd w:val="clear" w:color="auto" w:fill="BFBFBF"/>
          </w:tcPr>
          <w:p w14:paraId="56854D19" w14:textId="77777777" w:rsidR="005B1699" w:rsidRPr="005B1699" w:rsidRDefault="005B1699" w:rsidP="005B1699">
            <w:pPr>
              <w:contextualSpacing/>
              <w:jc w:val="center"/>
              <w:rPr>
                <w:sz w:val="18"/>
                <w:szCs w:val="18"/>
              </w:rPr>
            </w:pPr>
          </w:p>
          <w:p w14:paraId="76398FD9" w14:textId="21B4B237" w:rsidR="005B1699" w:rsidRPr="005B1699" w:rsidRDefault="005B1699" w:rsidP="005B1699">
            <w:pPr>
              <w:contextualSpacing/>
              <w:jc w:val="center"/>
              <w:rPr>
                <w:rFonts w:cs="Arial"/>
                <w:b/>
                <w:bCs/>
                <w:color w:val="000000"/>
                <w:sz w:val="18"/>
                <w:szCs w:val="18"/>
              </w:rPr>
            </w:pPr>
            <w:r w:rsidRPr="005B1699">
              <w:rPr>
                <w:b/>
                <w:bCs/>
                <w:sz w:val="18"/>
                <w:szCs w:val="18"/>
              </w:rPr>
              <w:t>4 449</w:t>
            </w:r>
          </w:p>
        </w:tc>
      </w:tr>
    </w:tbl>
    <w:p w14:paraId="37F87978" w14:textId="22BF30C8" w:rsidR="00C1173A" w:rsidRPr="005B1699" w:rsidRDefault="00C1173A" w:rsidP="007C4955">
      <w:pPr>
        <w:contextualSpacing/>
        <w:rPr>
          <w:rFonts w:cs="Arial"/>
          <w:i/>
          <w:sz w:val="20"/>
          <w:szCs w:val="20"/>
        </w:rPr>
      </w:pPr>
      <w:r w:rsidRPr="005B1699">
        <w:rPr>
          <w:rFonts w:cs="Arial"/>
          <w:i/>
          <w:sz w:val="20"/>
          <w:szCs w:val="20"/>
        </w:rPr>
        <w:t xml:space="preserve">Pramen: </w:t>
      </w:r>
      <w:r w:rsidR="00340859" w:rsidRPr="005B1699">
        <w:rPr>
          <w:rFonts w:cs="Arial"/>
          <w:i/>
          <w:sz w:val="20"/>
          <w:szCs w:val="20"/>
        </w:rPr>
        <w:t>s</w:t>
      </w:r>
      <w:r w:rsidRPr="005B1699">
        <w:rPr>
          <w:rFonts w:cs="Arial"/>
          <w:i/>
          <w:sz w:val="20"/>
          <w:szCs w:val="20"/>
        </w:rPr>
        <w:t>. p. Povodí</w:t>
      </w:r>
    </w:p>
    <w:p w14:paraId="315E0CE3" w14:textId="4101ED4E" w:rsidR="00FC217A" w:rsidRPr="00E11827" w:rsidRDefault="00C7234C" w:rsidP="00FC217A">
      <w:pPr>
        <w:spacing w:before="240" w:after="240"/>
        <w:rPr>
          <w:rFonts w:cs="Arial"/>
        </w:rPr>
      </w:pPr>
      <w:r w:rsidRPr="00E11827">
        <w:rPr>
          <w:rFonts w:cs="Arial"/>
          <w:b/>
        </w:rPr>
        <w:t xml:space="preserve">Dalším </w:t>
      </w:r>
      <w:r w:rsidR="00FC217A" w:rsidRPr="00E11827">
        <w:rPr>
          <w:rFonts w:cs="Arial"/>
          <w:b/>
        </w:rPr>
        <w:t>významn</w:t>
      </w:r>
      <w:r w:rsidR="00F32431" w:rsidRPr="00E11827">
        <w:rPr>
          <w:rFonts w:cs="Arial"/>
          <w:b/>
        </w:rPr>
        <w:t>ým</w:t>
      </w:r>
      <w:r w:rsidR="00FC217A" w:rsidRPr="00E11827">
        <w:rPr>
          <w:rFonts w:cs="Arial"/>
          <w:b/>
        </w:rPr>
        <w:t xml:space="preserve"> zdrojem příjmů s. p. Povodí je výroba elektrické energie, </w:t>
      </w:r>
      <w:r w:rsidR="006D7310">
        <w:rPr>
          <w:rFonts w:cs="Arial"/>
          <w:b/>
        </w:rPr>
        <w:t xml:space="preserve">která </w:t>
      </w:r>
      <w:r w:rsidR="00FC217A" w:rsidRPr="00E11827">
        <w:rPr>
          <w:rFonts w:cs="Arial"/>
          <w:b/>
        </w:rPr>
        <w:t>představuje</w:t>
      </w:r>
      <w:r w:rsidR="00CA7316" w:rsidRPr="00E11827">
        <w:rPr>
          <w:rFonts w:cs="Arial"/>
          <w:b/>
        </w:rPr>
        <w:t xml:space="preserve"> v roce 2025</w:t>
      </w:r>
      <w:r w:rsidR="00FC217A" w:rsidRPr="00E11827">
        <w:rPr>
          <w:rFonts w:cs="Arial"/>
          <w:b/>
        </w:rPr>
        <w:t xml:space="preserve"> </w:t>
      </w:r>
      <w:r w:rsidR="00830E01" w:rsidRPr="00E11827">
        <w:rPr>
          <w:rFonts w:cs="Arial"/>
          <w:b/>
        </w:rPr>
        <w:t>téměř</w:t>
      </w:r>
      <w:r w:rsidR="00FC217A" w:rsidRPr="00E11827">
        <w:rPr>
          <w:rFonts w:cs="Arial"/>
          <w:b/>
        </w:rPr>
        <w:t> </w:t>
      </w:r>
      <w:r w:rsidR="00023F54" w:rsidRPr="00E11827">
        <w:rPr>
          <w:rFonts w:cs="Arial"/>
          <w:b/>
        </w:rPr>
        <w:t>15</w:t>
      </w:r>
      <w:r w:rsidR="00FC217A" w:rsidRPr="00E11827">
        <w:rPr>
          <w:rFonts w:cs="Arial"/>
          <w:b/>
        </w:rPr>
        <w:t xml:space="preserve"> % z celkových příjmů. Počet provozovaných malých vodních elektráren se oproti předchozímu r</w:t>
      </w:r>
      <w:r w:rsidRPr="00E11827">
        <w:rPr>
          <w:rFonts w:cs="Arial"/>
          <w:b/>
        </w:rPr>
        <w:t xml:space="preserve">oku </w:t>
      </w:r>
      <w:r w:rsidR="0031026E" w:rsidRPr="00E11827">
        <w:rPr>
          <w:rFonts w:cs="Arial"/>
          <w:b/>
        </w:rPr>
        <w:t>nezvýšil</w:t>
      </w:r>
      <w:r w:rsidR="00FC217A" w:rsidRPr="00E11827">
        <w:rPr>
          <w:rFonts w:cs="Arial"/>
          <w:b/>
        </w:rPr>
        <w:t>, celkový počet je 10</w:t>
      </w:r>
      <w:r w:rsidRPr="00E11827">
        <w:rPr>
          <w:rFonts w:cs="Arial"/>
          <w:b/>
        </w:rPr>
        <w:t>6</w:t>
      </w:r>
      <w:r w:rsidR="00FC217A" w:rsidRPr="00E11827">
        <w:rPr>
          <w:rFonts w:cs="Arial"/>
          <w:b/>
        </w:rPr>
        <w:t xml:space="preserve">. Souhrn tržeb v této položce oproti předchozímu roku </w:t>
      </w:r>
      <w:r w:rsidR="00854A0B" w:rsidRPr="00E11827">
        <w:rPr>
          <w:rFonts w:cs="Arial"/>
          <w:b/>
        </w:rPr>
        <w:t>klesl</w:t>
      </w:r>
      <w:r w:rsidR="00FC217A" w:rsidRPr="00E11827">
        <w:rPr>
          <w:rFonts w:cs="Arial"/>
          <w:b/>
        </w:rPr>
        <w:t xml:space="preserve"> o více než </w:t>
      </w:r>
      <w:r w:rsidR="00FD5DDD" w:rsidRPr="00E11827">
        <w:rPr>
          <w:rFonts w:cs="Arial"/>
          <w:b/>
        </w:rPr>
        <w:t>19</w:t>
      </w:r>
      <w:r w:rsidR="00FC217A" w:rsidRPr="00E11827">
        <w:rPr>
          <w:rFonts w:cs="Arial"/>
          <w:b/>
        </w:rPr>
        <w:t xml:space="preserve"> % a činil </w:t>
      </w:r>
      <w:r w:rsidR="00FD5DDD" w:rsidRPr="00E11827">
        <w:rPr>
          <w:rFonts w:cs="Arial"/>
          <w:b/>
        </w:rPr>
        <w:t>více než</w:t>
      </w:r>
      <w:r w:rsidR="00FC217A" w:rsidRPr="00E11827">
        <w:rPr>
          <w:rFonts w:cs="Arial"/>
          <w:b/>
        </w:rPr>
        <w:t xml:space="preserve"> </w:t>
      </w:r>
      <w:r w:rsidR="00D662D9" w:rsidRPr="00E11827">
        <w:rPr>
          <w:rFonts w:cs="Arial"/>
          <w:b/>
        </w:rPr>
        <w:t>987</w:t>
      </w:r>
      <w:r w:rsidR="00FC217A" w:rsidRPr="00E11827">
        <w:rPr>
          <w:rFonts w:cs="Arial"/>
          <w:b/>
        </w:rPr>
        <w:t xml:space="preserve"> mil. Kč.</w:t>
      </w:r>
      <w:r w:rsidR="00FC217A" w:rsidRPr="00E11827">
        <w:rPr>
          <w:rFonts w:cs="Arial"/>
        </w:rPr>
        <w:t xml:space="preserve"> </w:t>
      </w:r>
    </w:p>
    <w:p w14:paraId="00213A62" w14:textId="54DEB8AC" w:rsidR="00FC217A" w:rsidRPr="00E11827" w:rsidRDefault="00FC217A" w:rsidP="00AF687D">
      <w:r w:rsidRPr="00E11827">
        <w:rPr>
          <w:rFonts w:cs="Arial"/>
        </w:rPr>
        <w:t xml:space="preserve">Nejvyšší tržby za výrobu elektrické energie vykazují opakovaně s. p. Povodí Vltavy a Povodí Ohře. </w:t>
      </w:r>
      <w:r w:rsidR="009B29C2" w:rsidRPr="00E11827">
        <w:rPr>
          <w:rFonts w:cs="Arial"/>
        </w:rPr>
        <w:t xml:space="preserve">Rekordní tržby Povodí Vltavy byly způsobeny cenou elektrické energie na velkoobchodním trhu. </w:t>
      </w:r>
      <w:r w:rsidR="00AF687D" w:rsidRPr="00E11827">
        <w:rPr>
          <w:rFonts w:cs="Arial"/>
        </w:rPr>
        <w:t>Nižší tržby zaznamen</w:t>
      </w:r>
      <w:r w:rsidR="00575070" w:rsidRPr="00E11827">
        <w:rPr>
          <w:rFonts w:cs="Arial"/>
        </w:rPr>
        <w:t xml:space="preserve">al státní podnik Povodí Labe a Povodí Moravy. </w:t>
      </w:r>
      <w:r w:rsidRPr="00E11827">
        <w:rPr>
          <w:rFonts w:cs="Arial"/>
        </w:rPr>
        <w:t>Podrobnosti o vlastních MVE v jednotlivých s. p. Povodí jsou v tabulce 6.2.</w:t>
      </w:r>
      <w:r w:rsidR="0069387B" w:rsidRPr="00E11827">
        <w:rPr>
          <w:rFonts w:cs="Arial"/>
        </w:rPr>
        <w:t xml:space="preserve">9 </w:t>
      </w:r>
      <w:r w:rsidRPr="00E11827">
        <w:rPr>
          <w:rFonts w:cs="Arial"/>
        </w:rPr>
        <w:t>a grafu 6.2.4</w:t>
      </w:r>
      <w:r w:rsidRPr="00E11827">
        <w:t>.</w:t>
      </w:r>
      <w:r w:rsidR="00DF53CB" w:rsidRPr="00E11827">
        <w:t xml:space="preserve"> </w:t>
      </w:r>
    </w:p>
    <w:p w14:paraId="402A52A8" w14:textId="77777777" w:rsidR="00DB4218" w:rsidRPr="00104F7D" w:rsidRDefault="00DB4218" w:rsidP="007C4955">
      <w:pPr>
        <w:contextualSpacing/>
        <w:rPr>
          <w:b/>
          <w:i/>
          <w:highlight w:val="yellow"/>
        </w:rPr>
      </w:pPr>
      <w:bookmarkStart w:id="74" w:name="_Toc482564972"/>
    </w:p>
    <w:p w14:paraId="15C973E2" w14:textId="72F51B6E" w:rsidR="00C1173A" w:rsidRPr="00BB0618" w:rsidRDefault="00C1173A" w:rsidP="007C4955">
      <w:pPr>
        <w:contextualSpacing/>
        <w:rPr>
          <w:b/>
          <w:i/>
        </w:rPr>
      </w:pPr>
      <w:r w:rsidRPr="00BB0618">
        <w:rPr>
          <w:b/>
          <w:i/>
        </w:rPr>
        <w:t>Tabulka 6.2.</w:t>
      </w:r>
      <w:bookmarkEnd w:id="74"/>
      <w:r w:rsidR="0069387B" w:rsidRPr="00BB0618">
        <w:rPr>
          <w:b/>
          <w:i/>
        </w:rPr>
        <w:t>9   </w:t>
      </w:r>
    </w:p>
    <w:p w14:paraId="6C6F5401" w14:textId="0EB47196" w:rsidR="00C1173A" w:rsidRPr="00BB0618" w:rsidRDefault="00C1173A" w:rsidP="007C4955">
      <w:pPr>
        <w:contextualSpacing/>
        <w:rPr>
          <w:b/>
          <w:i/>
        </w:rPr>
      </w:pPr>
      <w:bookmarkStart w:id="75" w:name="_Toc482564973"/>
      <w:r w:rsidRPr="00BB0618">
        <w:rPr>
          <w:b/>
          <w:i/>
        </w:rPr>
        <w:t>Vlastní malé vodní elektrárny státních podniků Povodí v letech 201</w:t>
      </w:r>
      <w:r w:rsidR="00BA143C" w:rsidRPr="00BB0618">
        <w:rPr>
          <w:b/>
          <w:i/>
        </w:rPr>
        <w:t>6</w:t>
      </w:r>
      <w:r w:rsidRPr="00BB0618">
        <w:rPr>
          <w:b/>
          <w:i/>
        </w:rPr>
        <w:t>–20</w:t>
      </w:r>
      <w:bookmarkEnd w:id="75"/>
      <w:r w:rsidR="00133C87" w:rsidRPr="00BB0618">
        <w:rPr>
          <w:b/>
          <w:i/>
        </w:rPr>
        <w:t>2</w:t>
      </w:r>
      <w:r w:rsidR="009E3227">
        <w:rPr>
          <w:b/>
          <w:i/>
        </w:rPr>
        <w:t>5</w:t>
      </w:r>
    </w:p>
    <w:tbl>
      <w:tblPr>
        <w:tblW w:w="12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8"/>
        <w:gridCol w:w="1992"/>
        <w:gridCol w:w="972"/>
        <w:gridCol w:w="972"/>
        <w:gridCol w:w="972"/>
        <w:gridCol w:w="972"/>
        <w:gridCol w:w="972"/>
        <w:gridCol w:w="972"/>
        <w:gridCol w:w="972"/>
        <w:gridCol w:w="972"/>
        <w:gridCol w:w="972"/>
        <w:gridCol w:w="972"/>
      </w:tblGrid>
      <w:tr w:rsidR="00EA1982" w:rsidRPr="00BB0618" w14:paraId="560087EC" w14:textId="1BFE81BC" w:rsidTr="00EA1982">
        <w:trPr>
          <w:trHeight w:val="20"/>
          <w:jc w:val="center"/>
        </w:trPr>
        <w:tc>
          <w:tcPr>
            <w:tcW w:w="848" w:type="dxa"/>
            <w:shd w:val="clear" w:color="auto" w:fill="BFBFBF"/>
            <w:vAlign w:val="center"/>
            <w:hideMark/>
          </w:tcPr>
          <w:p w14:paraId="05F6ADB3" w14:textId="77777777" w:rsidR="00EA1982" w:rsidRPr="00BB0618" w:rsidRDefault="00EA1982" w:rsidP="0043077D">
            <w:pPr>
              <w:contextualSpacing/>
              <w:rPr>
                <w:rFonts w:cs="Arial"/>
                <w:b/>
                <w:bCs/>
                <w:sz w:val="16"/>
                <w:szCs w:val="16"/>
              </w:rPr>
            </w:pPr>
            <w:r w:rsidRPr="00BB0618">
              <w:rPr>
                <w:rFonts w:cs="Arial"/>
                <w:b/>
                <w:bCs/>
                <w:sz w:val="16"/>
                <w:szCs w:val="16"/>
              </w:rPr>
              <w:t>Státní podnik Povodí</w:t>
            </w:r>
          </w:p>
        </w:tc>
        <w:tc>
          <w:tcPr>
            <w:tcW w:w="1992" w:type="dxa"/>
            <w:shd w:val="clear" w:color="auto" w:fill="BFBFBF"/>
            <w:vAlign w:val="center"/>
            <w:hideMark/>
          </w:tcPr>
          <w:p w14:paraId="637250F7" w14:textId="77777777" w:rsidR="00EA1982" w:rsidRPr="00BB0618" w:rsidRDefault="00EA1982" w:rsidP="0043077D">
            <w:pPr>
              <w:contextualSpacing/>
              <w:jc w:val="center"/>
              <w:rPr>
                <w:rFonts w:cs="Arial"/>
                <w:b/>
                <w:bCs/>
                <w:sz w:val="16"/>
                <w:szCs w:val="16"/>
              </w:rPr>
            </w:pPr>
            <w:r w:rsidRPr="00BB0618">
              <w:rPr>
                <w:rFonts w:cs="Arial"/>
                <w:b/>
                <w:bCs/>
                <w:sz w:val="16"/>
                <w:szCs w:val="16"/>
              </w:rPr>
              <w:t>Ukazatel</w:t>
            </w:r>
          </w:p>
        </w:tc>
        <w:tc>
          <w:tcPr>
            <w:tcW w:w="972" w:type="dxa"/>
            <w:shd w:val="clear" w:color="auto" w:fill="BFBFBF"/>
            <w:vAlign w:val="center"/>
          </w:tcPr>
          <w:p w14:paraId="339902A0" w14:textId="20A9EB7B" w:rsidR="00EA1982" w:rsidRPr="00BB0618" w:rsidRDefault="00EA1982" w:rsidP="0043077D">
            <w:pPr>
              <w:contextualSpacing/>
              <w:jc w:val="center"/>
              <w:rPr>
                <w:rFonts w:cs="Arial"/>
                <w:b/>
                <w:bCs/>
                <w:sz w:val="16"/>
                <w:szCs w:val="16"/>
              </w:rPr>
            </w:pPr>
            <w:r w:rsidRPr="00BB0618">
              <w:rPr>
                <w:rFonts w:cs="Arial"/>
                <w:b/>
                <w:bCs/>
                <w:sz w:val="16"/>
                <w:szCs w:val="16"/>
              </w:rPr>
              <w:t>2016</w:t>
            </w:r>
          </w:p>
        </w:tc>
        <w:tc>
          <w:tcPr>
            <w:tcW w:w="972" w:type="dxa"/>
            <w:shd w:val="clear" w:color="auto" w:fill="BFBFBF"/>
            <w:vAlign w:val="center"/>
          </w:tcPr>
          <w:p w14:paraId="10068760" w14:textId="31BB8DE6" w:rsidR="00EA1982" w:rsidRPr="00BB0618" w:rsidRDefault="00EA1982" w:rsidP="0043077D">
            <w:pPr>
              <w:contextualSpacing/>
              <w:jc w:val="center"/>
              <w:rPr>
                <w:rFonts w:cs="Arial"/>
                <w:b/>
                <w:bCs/>
                <w:sz w:val="16"/>
                <w:szCs w:val="16"/>
              </w:rPr>
            </w:pPr>
            <w:r w:rsidRPr="00BB0618">
              <w:rPr>
                <w:rFonts w:cs="Arial"/>
                <w:b/>
                <w:bCs/>
                <w:sz w:val="16"/>
                <w:szCs w:val="16"/>
              </w:rPr>
              <w:t>2017</w:t>
            </w:r>
          </w:p>
        </w:tc>
        <w:tc>
          <w:tcPr>
            <w:tcW w:w="972" w:type="dxa"/>
            <w:shd w:val="clear" w:color="auto" w:fill="BFBFBF"/>
            <w:vAlign w:val="center"/>
          </w:tcPr>
          <w:p w14:paraId="658419C8" w14:textId="033F7D96" w:rsidR="00EA1982" w:rsidRPr="00BB0618" w:rsidRDefault="00EA1982" w:rsidP="0043077D">
            <w:pPr>
              <w:contextualSpacing/>
              <w:jc w:val="center"/>
              <w:rPr>
                <w:rFonts w:cs="Arial"/>
                <w:b/>
                <w:bCs/>
                <w:sz w:val="16"/>
                <w:szCs w:val="16"/>
              </w:rPr>
            </w:pPr>
            <w:r w:rsidRPr="00BB0618">
              <w:rPr>
                <w:rFonts w:cs="Arial"/>
                <w:b/>
                <w:bCs/>
                <w:sz w:val="16"/>
                <w:szCs w:val="16"/>
              </w:rPr>
              <w:t>2018</w:t>
            </w:r>
          </w:p>
        </w:tc>
        <w:tc>
          <w:tcPr>
            <w:tcW w:w="972" w:type="dxa"/>
            <w:shd w:val="clear" w:color="auto" w:fill="BFBFBF"/>
            <w:vAlign w:val="center"/>
          </w:tcPr>
          <w:p w14:paraId="17DDF86F" w14:textId="35C18C7B" w:rsidR="00EA1982" w:rsidRPr="00BB0618" w:rsidRDefault="00EA1982" w:rsidP="0043077D">
            <w:pPr>
              <w:contextualSpacing/>
              <w:jc w:val="center"/>
              <w:rPr>
                <w:rFonts w:cs="Arial"/>
                <w:b/>
                <w:bCs/>
                <w:sz w:val="16"/>
                <w:szCs w:val="16"/>
              </w:rPr>
            </w:pPr>
            <w:r w:rsidRPr="00BB0618">
              <w:rPr>
                <w:rFonts w:cs="Arial"/>
                <w:b/>
                <w:bCs/>
                <w:sz w:val="16"/>
                <w:szCs w:val="16"/>
              </w:rPr>
              <w:t>2019</w:t>
            </w:r>
          </w:p>
        </w:tc>
        <w:tc>
          <w:tcPr>
            <w:tcW w:w="972" w:type="dxa"/>
            <w:shd w:val="clear" w:color="auto" w:fill="BFBFBF"/>
            <w:vAlign w:val="center"/>
          </w:tcPr>
          <w:p w14:paraId="39906795" w14:textId="5D370BDF" w:rsidR="00EA1982" w:rsidRPr="00BB0618" w:rsidRDefault="00EA1982" w:rsidP="0043077D">
            <w:pPr>
              <w:contextualSpacing/>
              <w:jc w:val="center"/>
              <w:rPr>
                <w:rFonts w:cs="Arial"/>
                <w:b/>
                <w:bCs/>
                <w:sz w:val="16"/>
                <w:szCs w:val="16"/>
              </w:rPr>
            </w:pPr>
            <w:r w:rsidRPr="00BB0618">
              <w:rPr>
                <w:rFonts w:cs="Arial"/>
                <w:b/>
                <w:bCs/>
                <w:sz w:val="16"/>
                <w:szCs w:val="16"/>
              </w:rPr>
              <w:t>2020</w:t>
            </w:r>
          </w:p>
        </w:tc>
        <w:tc>
          <w:tcPr>
            <w:tcW w:w="972" w:type="dxa"/>
            <w:shd w:val="clear" w:color="auto" w:fill="BFBFBF"/>
            <w:vAlign w:val="center"/>
          </w:tcPr>
          <w:p w14:paraId="73E28DE0" w14:textId="23CF5BE8" w:rsidR="00EA1982" w:rsidRPr="00BB0618" w:rsidRDefault="00EA1982" w:rsidP="0043077D">
            <w:pPr>
              <w:contextualSpacing/>
              <w:jc w:val="center"/>
              <w:rPr>
                <w:rFonts w:cs="Arial"/>
                <w:b/>
                <w:bCs/>
                <w:sz w:val="16"/>
                <w:szCs w:val="16"/>
              </w:rPr>
            </w:pPr>
            <w:r w:rsidRPr="00BB0618">
              <w:rPr>
                <w:rFonts w:cs="Arial"/>
                <w:b/>
                <w:bCs/>
                <w:sz w:val="16"/>
                <w:szCs w:val="16"/>
              </w:rPr>
              <w:t>2021</w:t>
            </w:r>
          </w:p>
        </w:tc>
        <w:tc>
          <w:tcPr>
            <w:tcW w:w="972" w:type="dxa"/>
            <w:shd w:val="clear" w:color="auto" w:fill="BFBFBF"/>
            <w:vAlign w:val="center"/>
          </w:tcPr>
          <w:p w14:paraId="5569C6E8" w14:textId="5F78BA1D" w:rsidR="00EA1982" w:rsidRPr="00BB0618" w:rsidRDefault="00EA1982" w:rsidP="0043077D">
            <w:pPr>
              <w:contextualSpacing/>
              <w:jc w:val="center"/>
              <w:rPr>
                <w:rFonts w:cs="Arial"/>
                <w:b/>
                <w:bCs/>
                <w:sz w:val="16"/>
                <w:szCs w:val="16"/>
              </w:rPr>
            </w:pPr>
            <w:r w:rsidRPr="00BB0618">
              <w:rPr>
                <w:rFonts w:cs="Arial"/>
                <w:b/>
                <w:bCs/>
                <w:sz w:val="16"/>
                <w:szCs w:val="16"/>
              </w:rPr>
              <w:t>2022</w:t>
            </w:r>
          </w:p>
        </w:tc>
        <w:tc>
          <w:tcPr>
            <w:tcW w:w="972" w:type="dxa"/>
            <w:shd w:val="clear" w:color="auto" w:fill="BFBFBF"/>
            <w:vAlign w:val="center"/>
          </w:tcPr>
          <w:p w14:paraId="018B623D" w14:textId="0FF7E1C5" w:rsidR="00EA1982" w:rsidRPr="00BB0618" w:rsidRDefault="00EA1982" w:rsidP="0043077D">
            <w:pPr>
              <w:contextualSpacing/>
              <w:jc w:val="center"/>
              <w:rPr>
                <w:rFonts w:cs="Arial"/>
                <w:b/>
                <w:bCs/>
                <w:sz w:val="16"/>
                <w:szCs w:val="16"/>
              </w:rPr>
            </w:pPr>
            <w:r w:rsidRPr="00BB0618">
              <w:rPr>
                <w:rFonts w:cs="Arial"/>
                <w:b/>
                <w:bCs/>
                <w:sz w:val="16"/>
                <w:szCs w:val="16"/>
              </w:rPr>
              <w:t>2023</w:t>
            </w:r>
          </w:p>
        </w:tc>
        <w:tc>
          <w:tcPr>
            <w:tcW w:w="972" w:type="dxa"/>
            <w:shd w:val="clear" w:color="auto" w:fill="BFBFBF"/>
            <w:vAlign w:val="center"/>
          </w:tcPr>
          <w:p w14:paraId="355F224B" w14:textId="31D1ED66" w:rsidR="00EA1982" w:rsidRPr="00BB0618" w:rsidRDefault="00EA1982" w:rsidP="0043077D">
            <w:pPr>
              <w:contextualSpacing/>
              <w:jc w:val="center"/>
              <w:rPr>
                <w:rFonts w:cs="Arial"/>
                <w:b/>
                <w:bCs/>
                <w:sz w:val="16"/>
                <w:szCs w:val="16"/>
              </w:rPr>
            </w:pPr>
            <w:r w:rsidRPr="00BB0618">
              <w:rPr>
                <w:rFonts w:cs="Arial"/>
                <w:b/>
                <w:bCs/>
                <w:sz w:val="16"/>
                <w:szCs w:val="16"/>
              </w:rPr>
              <w:t>2024</w:t>
            </w:r>
          </w:p>
        </w:tc>
        <w:tc>
          <w:tcPr>
            <w:tcW w:w="972" w:type="dxa"/>
            <w:shd w:val="clear" w:color="auto" w:fill="BFBFBF"/>
          </w:tcPr>
          <w:p w14:paraId="2E0211D7" w14:textId="77777777" w:rsidR="00EA1982" w:rsidRDefault="00EA1982" w:rsidP="0043077D">
            <w:pPr>
              <w:contextualSpacing/>
              <w:jc w:val="center"/>
              <w:rPr>
                <w:rFonts w:cs="Arial"/>
                <w:b/>
                <w:bCs/>
                <w:sz w:val="16"/>
                <w:szCs w:val="16"/>
              </w:rPr>
            </w:pPr>
          </w:p>
          <w:p w14:paraId="0DC3D86D" w14:textId="27561F78" w:rsidR="00EA1982" w:rsidRPr="00BB0618" w:rsidRDefault="00EA1982" w:rsidP="0043077D">
            <w:pPr>
              <w:contextualSpacing/>
              <w:jc w:val="center"/>
              <w:rPr>
                <w:rFonts w:cs="Arial"/>
                <w:b/>
                <w:bCs/>
                <w:sz w:val="16"/>
                <w:szCs w:val="16"/>
              </w:rPr>
            </w:pPr>
            <w:r>
              <w:rPr>
                <w:rFonts w:cs="Arial"/>
                <w:b/>
                <w:bCs/>
                <w:sz w:val="16"/>
                <w:szCs w:val="16"/>
              </w:rPr>
              <w:t>2025</w:t>
            </w:r>
          </w:p>
        </w:tc>
      </w:tr>
      <w:tr w:rsidR="00986EB0" w:rsidRPr="00BB0618" w14:paraId="3B1A6522" w14:textId="26AC364A" w:rsidTr="000A082F">
        <w:trPr>
          <w:trHeight w:val="20"/>
          <w:jc w:val="center"/>
        </w:trPr>
        <w:tc>
          <w:tcPr>
            <w:tcW w:w="848" w:type="dxa"/>
            <w:vMerge w:val="restart"/>
            <w:shd w:val="clear" w:color="auto" w:fill="BFBFBF"/>
            <w:vAlign w:val="center"/>
            <w:hideMark/>
          </w:tcPr>
          <w:p w14:paraId="6D6B5A2C" w14:textId="77777777" w:rsidR="00986EB0" w:rsidRPr="00BB0618" w:rsidRDefault="00986EB0" w:rsidP="00986EB0">
            <w:pPr>
              <w:contextualSpacing/>
              <w:rPr>
                <w:rFonts w:cs="Arial"/>
                <w:b/>
                <w:bCs/>
                <w:sz w:val="16"/>
                <w:szCs w:val="16"/>
              </w:rPr>
            </w:pPr>
            <w:r w:rsidRPr="00BB0618">
              <w:rPr>
                <w:rFonts w:cs="Arial"/>
                <w:b/>
                <w:bCs/>
                <w:sz w:val="16"/>
                <w:szCs w:val="16"/>
              </w:rPr>
              <w:t>Labe</w:t>
            </w:r>
          </w:p>
        </w:tc>
        <w:tc>
          <w:tcPr>
            <w:tcW w:w="1992" w:type="dxa"/>
            <w:vAlign w:val="center"/>
            <w:hideMark/>
          </w:tcPr>
          <w:p w14:paraId="4A6F4A56" w14:textId="77777777" w:rsidR="00986EB0" w:rsidRPr="00BB0618" w:rsidRDefault="00986EB0" w:rsidP="00986EB0">
            <w:pPr>
              <w:contextualSpacing/>
              <w:rPr>
                <w:rFonts w:cs="Arial"/>
                <w:sz w:val="16"/>
                <w:szCs w:val="16"/>
              </w:rPr>
            </w:pPr>
            <w:r w:rsidRPr="00BB0618">
              <w:rPr>
                <w:rFonts w:cs="Arial"/>
                <w:sz w:val="16"/>
                <w:szCs w:val="16"/>
              </w:rPr>
              <w:t>Počet MVE</w:t>
            </w:r>
          </w:p>
        </w:tc>
        <w:tc>
          <w:tcPr>
            <w:tcW w:w="972" w:type="dxa"/>
            <w:vAlign w:val="center"/>
          </w:tcPr>
          <w:p w14:paraId="2A83A4ED" w14:textId="481FD59D" w:rsidR="00986EB0" w:rsidRPr="00BB0618" w:rsidRDefault="00986EB0" w:rsidP="00986EB0">
            <w:pPr>
              <w:contextualSpacing/>
              <w:jc w:val="center"/>
              <w:rPr>
                <w:rFonts w:cs="Arial"/>
                <w:sz w:val="16"/>
                <w:szCs w:val="16"/>
              </w:rPr>
            </w:pPr>
            <w:r w:rsidRPr="00BB0618">
              <w:rPr>
                <w:rFonts w:cs="Arial"/>
                <w:sz w:val="16"/>
                <w:szCs w:val="16"/>
              </w:rPr>
              <w:t>20</w:t>
            </w:r>
          </w:p>
        </w:tc>
        <w:tc>
          <w:tcPr>
            <w:tcW w:w="972" w:type="dxa"/>
            <w:vAlign w:val="center"/>
          </w:tcPr>
          <w:p w14:paraId="175AF037" w14:textId="696EA559" w:rsidR="00986EB0" w:rsidRPr="00BB0618" w:rsidRDefault="00986EB0" w:rsidP="00986EB0">
            <w:pPr>
              <w:contextualSpacing/>
              <w:jc w:val="center"/>
              <w:rPr>
                <w:rFonts w:cs="Arial"/>
                <w:sz w:val="16"/>
                <w:szCs w:val="16"/>
              </w:rPr>
            </w:pPr>
            <w:r w:rsidRPr="00BB0618">
              <w:rPr>
                <w:rFonts w:cs="Arial"/>
                <w:sz w:val="16"/>
                <w:szCs w:val="16"/>
              </w:rPr>
              <w:t>20</w:t>
            </w:r>
          </w:p>
        </w:tc>
        <w:tc>
          <w:tcPr>
            <w:tcW w:w="972" w:type="dxa"/>
            <w:vAlign w:val="center"/>
          </w:tcPr>
          <w:p w14:paraId="16BE38D6" w14:textId="6BA92CA9" w:rsidR="00986EB0" w:rsidRPr="00BB0618" w:rsidRDefault="00986EB0" w:rsidP="00986EB0">
            <w:pPr>
              <w:contextualSpacing/>
              <w:jc w:val="center"/>
              <w:rPr>
                <w:rFonts w:cs="Arial"/>
                <w:sz w:val="16"/>
                <w:szCs w:val="16"/>
              </w:rPr>
            </w:pPr>
            <w:r w:rsidRPr="00BB0618">
              <w:rPr>
                <w:rFonts w:cs="Arial"/>
                <w:sz w:val="16"/>
                <w:szCs w:val="16"/>
              </w:rPr>
              <w:t>20</w:t>
            </w:r>
          </w:p>
        </w:tc>
        <w:tc>
          <w:tcPr>
            <w:tcW w:w="972" w:type="dxa"/>
            <w:vAlign w:val="center"/>
          </w:tcPr>
          <w:p w14:paraId="1A972ED4" w14:textId="66393A5D" w:rsidR="00986EB0" w:rsidRPr="00BB0618" w:rsidRDefault="00986EB0" w:rsidP="00986EB0">
            <w:pPr>
              <w:contextualSpacing/>
              <w:jc w:val="center"/>
              <w:rPr>
                <w:rFonts w:cs="Arial"/>
                <w:sz w:val="16"/>
                <w:szCs w:val="16"/>
              </w:rPr>
            </w:pPr>
            <w:r w:rsidRPr="00BB0618">
              <w:rPr>
                <w:rFonts w:cs="Arial"/>
                <w:sz w:val="16"/>
                <w:szCs w:val="16"/>
              </w:rPr>
              <w:t>20</w:t>
            </w:r>
          </w:p>
        </w:tc>
        <w:tc>
          <w:tcPr>
            <w:tcW w:w="972" w:type="dxa"/>
            <w:vAlign w:val="bottom"/>
          </w:tcPr>
          <w:p w14:paraId="34EC40A0" w14:textId="399856B7" w:rsidR="00986EB0" w:rsidRPr="00BB0618" w:rsidRDefault="00986EB0" w:rsidP="00986EB0">
            <w:pPr>
              <w:contextualSpacing/>
              <w:jc w:val="center"/>
              <w:rPr>
                <w:rFonts w:cs="Arial"/>
                <w:sz w:val="16"/>
                <w:szCs w:val="16"/>
              </w:rPr>
            </w:pPr>
            <w:r w:rsidRPr="00BB0618">
              <w:rPr>
                <w:rFonts w:cs="Arial"/>
                <w:sz w:val="16"/>
                <w:szCs w:val="16"/>
              </w:rPr>
              <w:t>20</w:t>
            </w:r>
          </w:p>
        </w:tc>
        <w:tc>
          <w:tcPr>
            <w:tcW w:w="972" w:type="dxa"/>
            <w:vAlign w:val="bottom"/>
          </w:tcPr>
          <w:p w14:paraId="66780A25" w14:textId="4D51EE4C" w:rsidR="00986EB0" w:rsidRPr="00BB0618" w:rsidRDefault="00986EB0" w:rsidP="00986EB0">
            <w:pPr>
              <w:contextualSpacing/>
              <w:jc w:val="center"/>
              <w:rPr>
                <w:rFonts w:cs="Arial"/>
                <w:sz w:val="16"/>
                <w:szCs w:val="16"/>
              </w:rPr>
            </w:pPr>
            <w:r w:rsidRPr="00BB0618">
              <w:rPr>
                <w:rFonts w:cs="Arial"/>
                <w:sz w:val="16"/>
                <w:szCs w:val="16"/>
              </w:rPr>
              <w:t>20</w:t>
            </w:r>
          </w:p>
        </w:tc>
        <w:tc>
          <w:tcPr>
            <w:tcW w:w="972" w:type="dxa"/>
            <w:vAlign w:val="bottom"/>
          </w:tcPr>
          <w:p w14:paraId="262A2D59" w14:textId="20943723" w:rsidR="00986EB0" w:rsidRPr="00BB0618" w:rsidRDefault="00986EB0" w:rsidP="00986EB0">
            <w:pPr>
              <w:contextualSpacing/>
              <w:jc w:val="center"/>
              <w:rPr>
                <w:rFonts w:cs="Arial"/>
                <w:sz w:val="16"/>
                <w:szCs w:val="16"/>
              </w:rPr>
            </w:pPr>
            <w:r w:rsidRPr="00BB0618">
              <w:rPr>
                <w:rFonts w:cs="Arial"/>
                <w:sz w:val="16"/>
                <w:szCs w:val="16"/>
              </w:rPr>
              <w:t>20</w:t>
            </w:r>
          </w:p>
        </w:tc>
        <w:tc>
          <w:tcPr>
            <w:tcW w:w="972" w:type="dxa"/>
            <w:vAlign w:val="bottom"/>
          </w:tcPr>
          <w:p w14:paraId="6D15BCE2" w14:textId="333E3A70" w:rsidR="00986EB0" w:rsidRPr="00BB0618" w:rsidRDefault="00986EB0" w:rsidP="00986EB0">
            <w:pPr>
              <w:contextualSpacing/>
              <w:jc w:val="center"/>
              <w:rPr>
                <w:rFonts w:cs="Arial"/>
                <w:sz w:val="16"/>
                <w:szCs w:val="16"/>
              </w:rPr>
            </w:pPr>
            <w:r w:rsidRPr="00BB0618">
              <w:rPr>
                <w:rFonts w:cs="Arial"/>
                <w:color w:val="000000"/>
                <w:sz w:val="16"/>
                <w:szCs w:val="16"/>
              </w:rPr>
              <w:t>20</w:t>
            </w:r>
          </w:p>
        </w:tc>
        <w:tc>
          <w:tcPr>
            <w:tcW w:w="972" w:type="dxa"/>
            <w:vAlign w:val="bottom"/>
          </w:tcPr>
          <w:p w14:paraId="55A8C166" w14:textId="267434B8" w:rsidR="00986EB0" w:rsidRPr="00BB0618" w:rsidRDefault="00986EB0" w:rsidP="00986EB0">
            <w:pPr>
              <w:contextualSpacing/>
              <w:jc w:val="center"/>
              <w:rPr>
                <w:rFonts w:cs="Arial"/>
                <w:color w:val="000000"/>
                <w:sz w:val="16"/>
                <w:szCs w:val="16"/>
              </w:rPr>
            </w:pPr>
            <w:r w:rsidRPr="00BB0618">
              <w:rPr>
                <w:rFonts w:cs="Arial"/>
                <w:color w:val="000000"/>
                <w:sz w:val="16"/>
                <w:szCs w:val="16"/>
              </w:rPr>
              <w:t>20</w:t>
            </w:r>
          </w:p>
        </w:tc>
        <w:tc>
          <w:tcPr>
            <w:tcW w:w="972" w:type="dxa"/>
            <w:tcBorders>
              <w:top w:val="single" w:sz="4" w:space="0" w:color="auto"/>
              <w:left w:val="single" w:sz="4" w:space="0" w:color="auto"/>
              <w:bottom w:val="single" w:sz="4" w:space="0" w:color="auto"/>
              <w:right w:val="single" w:sz="4" w:space="0" w:color="auto"/>
            </w:tcBorders>
            <w:vAlign w:val="bottom"/>
          </w:tcPr>
          <w:p w14:paraId="37AB8582" w14:textId="2AB0C0A4" w:rsidR="00986EB0" w:rsidRPr="00986EB0" w:rsidRDefault="00986EB0" w:rsidP="00986EB0">
            <w:pPr>
              <w:contextualSpacing/>
              <w:jc w:val="center"/>
              <w:rPr>
                <w:rFonts w:cs="Arial"/>
                <w:color w:val="000000"/>
                <w:sz w:val="16"/>
                <w:szCs w:val="16"/>
              </w:rPr>
            </w:pPr>
            <w:r w:rsidRPr="00986EB0">
              <w:rPr>
                <w:rFonts w:cs="Arial"/>
                <w:color w:val="000000"/>
                <w:sz w:val="16"/>
                <w:szCs w:val="16"/>
              </w:rPr>
              <w:t>20</w:t>
            </w:r>
          </w:p>
        </w:tc>
      </w:tr>
      <w:tr w:rsidR="00986EB0" w:rsidRPr="00BB0618" w14:paraId="134D3D81" w14:textId="2CD80446" w:rsidTr="000A082F">
        <w:trPr>
          <w:trHeight w:val="20"/>
          <w:jc w:val="center"/>
        </w:trPr>
        <w:tc>
          <w:tcPr>
            <w:tcW w:w="848" w:type="dxa"/>
            <w:vMerge/>
            <w:shd w:val="clear" w:color="auto" w:fill="BFBFBF"/>
            <w:vAlign w:val="center"/>
            <w:hideMark/>
          </w:tcPr>
          <w:p w14:paraId="7EA68CDC" w14:textId="77777777" w:rsidR="00986EB0" w:rsidRPr="00BB0618" w:rsidRDefault="00986EB0" w:rsidP="00986EB0">
            <w:pPr>
              <w:contextualSpacing/>
              <w:rPr>
                <w:rFonts w:cs="Arial"/>
                <w:b/>
                <w:bCs/>
                <w:sz w:val="16"/>
                <w:szCs w:val="16"/>
              </w:rPr>
            </w:pPr>
          </w:p>
        </w:tc>
        <w:tc>
          <w:tcPr>
            <w:tcW w:w="1992" w:type="dxa"/>
            <w:vAlign w:val="center"/>
            <w:hideMark/>
          </w:tcPr>
          <w:p w14:paraId="5676C703" w14:textId="77777777" w:rsidR="00986EB0" w:rsidRPr="00BB0618" w:rsidRDefault="00986EB0" w:rsidP="00986EB0">
            <w:pPr>
              <w:contextualSpacing/>
              <w:rPr>
                <w:rFonts w:cs="Arial"/>
                <w:sz w:val="16"/>
                <w:szCs w:val="16"/>
              </w:rPr>
            </w:pPr>
            <w:r w:rsidRPr="00BB0618">
              <w:rPr>
                <w:rFonts w:cs="Arial"/>
                <w:sz w:val="16"/>
                <w:szCs w:val="16"/>
              </w:rPr>
              <w:t>Instalovaný výkon (kW)</w:t>
            </w:r>
          </w:p>
        </w:tc>
        <w:tc>
          <w:tcPr>
            <w:tcW w:w="972" w:type="dxa"/>
            <w:vAlign w:val="center"/>
          </w:tcPr>
          <w:p w14:paraId="25BD97EE" w14:textId="5023B307" w:rsidR="00986EB0" w:rsidRPr="00BB0618" w:rsidRDefault="00986EB0" w:rsidP="00986EB0">
            <w:pPr>
              <w:contextualSpacing/>
              <w:jc w:val="center"/>
              <w:rPr>
                <w:rFonts w:cs="Arial"/>
                <w:sz w:val="16"/>
                <w:szCs w:val="16"/>
              </w:rPr>
            </w:pPr>
            <w:r w:rsidRPr="00BB0618">
              <w:rPr>
                <w:rFonts w:cs="Arial"/>
                <w:sz w:val="16"/>
                <w:szCs w:val="16"/>
              </w:rPr>
              <w:t>6 795</w:t>
            </w:r>
          </w:p>
        </w:tc>
        <w:tc>
          <w:tcPr>
            <w:tcW w:w="972" w:type="dxa"/>
            <w:vAlign w:val="center"/>
          </w:tcPr>
          <w:p w14:paraId="757A5721" w14:textId="525E0713" w:rsidR="00986EB0" w:rsidRPr="00BB0618" w:rsidRDefault="00986EB0" w:rsidP="00986EB0">
            <w:pPr>
              <w:contextualSpacing/>
              <w:jc w:val="center"/>
              <w:rPr>
                <w:rFonts w:cs="Arial"/>
                <w:sz w:val="16"/>
                <w:szCs w:val="16"/>
              </w:rPr>
            </w:pPr>
            <w:r w:rsidRPr="00BB0618">
              <w:rPr>
                <w:rFonts w:cs="Arial"/>
                <w:sz w:val="16"/>
                <w:szCs w:val="16"/>
              </w:rPr>
              <w:t>6 819</w:t>
            </w:r>
          </w:p>
        </w:tc>
        <w:tc>
          <w:tcPr>
            <w:tcW w:w="972" w:type="dxa"/>
            <w:vAlign w:val="center"/>
          </w:tcPr>
          <w:p w14:paraId="716D8CBD" w14:textId="17DC6A71" w:rsidR="00986EB0" w:rsidRPr="00BB0618" w:rsidRDefault="00986EB0" w:rsidP="00986EB0">
            <w:pPr>
              <w:contextualSpacing/>
              <w:jc w:val="center"/>
              <w:rPr>
                <w:rFonts w:cs="Arial"/>
                <w:sz w:val="16"/>
                <w:szCs w:val="16"/>
              </w:rPr>
            </w:pPr>
            <w:r w:rsidRPr="00BB0618">
              <w:rPr>
                <w:rFonts w:cs="Arial"/>
                <w:sz w:val="16"/>
                <w:szCs w:val="16"/>
              </w:rPr>
              <w:t>6 819</w:t>
            </w:r>
          </w:p>
        </w:tc>
        <w:tc>
          <w:tcPr>
            <w:tcW w:w="972" w:type="dxa"/>
            <w:vAlign w:val="center"/>
          </w:tcPr>
          <w:p w14:paraId="12BD2354" w14:textId="6B69B0DD" w:rsidR="00986EB0" w:rsidRPr="00BB0618" w:rsidRDefault="00986EB0" w:rsidP="00986EB0">
            <w:pPr>
              <w:contextualSpacing/>
              <w:jc w:val="center"/>
              <w:rPr>
                <w:rFonts w:cs="Arial"/>
                <w:sz w:val="16"/>
                <w:szCs w:val="16"/>
              </w:rPr>
            </w:pPr>
            <w:r w:rsidRPr="00BB0618">
              <w:rPr>
                <w:rFonts w:cs="Arial"/>
                <w:sz w:val="16"/>
                <w:szCs w:val="16"/>
              </w:rPr>
              <w:t>6 989</w:t>
            </w:r>
          </w:p>
        </w:tc>
        <w:tc>
          <w:tcPr>
            <w:tcW w:w="972" w:type="dxa"/>
            <w:vAlign w:val="bottom"/>
          </w:tcPr>
          <w:p w14:paraId="7D00F9F2" w14:textId="7BE45555" w:rsidR="00986EB0" w:rsidRPr="00BB0618" w:rsidRDefault="00986EB0" w:rsidP="00986EB0">
            <w:pPr>
              <w:contextualSpacing/>
              <w:jc w:val="center"/>
              <w:rPr>
                <w:rFonts w:cs="Arial"/>
                <w:sz w:val="16"/>
                <w:szCs w:val="16"/>
              </w:rPr>
            </w:pPr>
            <w:r w:rsidRPr="00BB0618">
              <w:rPr>
                <w:rFonts w:cs="Arial"/>
                <w:sz w:val="16"/>
                <w:szCs w:val="16"/>
              </w:rPr>
              <w:t>7 001</w:t>
            </w:r>
          </w:p>
        </w:tc>
        <w:tc>
          <w:tcPr>
            <w:tcW w:w="972" w:type="dxa"/>
            <w:vAlign w:val="bottom"/>
          </w:tcPr>
          <w:p w14:paraId="2981AE1B" w14:textId="08A2076A" w:rsidR="00986EB0" w:rsidRPr="00BB0618" w:rsidRDefault="00986EB0" w:rsidP="00986EB0">
            <w:pPr>
              <w:contextualSpacing/>
              <w:jc w:val="center"/>
              <w:rPr>
                <w:rFonts w:cs="Arial"/>
                <w:sz w:val="16"/>
                <w:szCs w:val="16"/>
              </w:rPr>
            </w:pPr>
            <w:r w:rsidRPr="00BB0618">
              <w:rPr>
                <w:rFonts w:cs="Arial"/>
                <w:sz w:val="16"/>
                <w:szCs w:val="16"/>
              </w:rPr>
              <w:t>7 001</w:t>
            </w:r>
          </w:p>
        </w:tc>
        <w:tc>
          <w:tcPr>
            <w:tcW w:w="972" w:type="dxa"/>
            <w:vAlign w:val="bottom"/>
          </w:tcPr>
          <w:p w14:paraId="6F00F894" w14:textId="276AA0DA" w:rsidR="00986EB0" w:rsidRPr="00BB0618" w:rsidRDefault="00986EB0" w:rsidP="00986EB0">
            <w:pPr>
              <w:contextualSpacing/>
              <w:jc w:val="center"/>
              <w:rPr>
                <w:rFonts w:cs="Arial"/>
                <w:sz w:val="16"/>
                <w:szCs w:val="16"/>
              </w:rPr>
            </w:pPr>
            <w:r w:rsidRPr="00BB0618">
              <w:rPr>
                <w:rFonts w:cs="Arial"/>
                <w:sz w:val="16"/>
                <w:szCs w:val="16"/>
              </w:rPr>
              <w:t>7 001</w:t>
            </w:r>
          </w:p>
        </w:tc>
        <w:tc>
          <w:tcPr>
            <w:tcW w:w="972" w:type="dxa"/>
            <w:vAlign w:val="bottom"/>
          </w:tcPr>
          <w:p w14:paraId="64EFEFAA" w14:textId="7554BBA4" w:rsidR="00986EB0" w:rsidRPr="00BB0618" w:rsidRDefault="00986EB0" w:rsidP="00986EB0">
            <w:pPr>
              <w:contextualSpacing/>
              <w:jc w:val="center"/>
              <w:rPr>
                <w:rFonts w:cs="Arial"/>
                <w:sz w:val="16"/>
                <w:szCs w:val="16"/>
              </w:rPr>
            </w:pPr>
            <w:r w:rsidRPr="00BB0618">
              <w:rPr>
                <w:rFonts w:cs="Arial"/>
                <w:color w:val="000000"/>
                <w:sz w:val="16"/>
                <w:szCs w:val="16"/>
              </w:rPr>
              <w:t>7 048</w:t>
            </w:r>
          </w:p>
        </w:tc>
        <w:tc>
          <w:tcPr>
            <w:tcW w:w="972" w:type="dxa"/>
            <w:vAlign w:val="bottom"/>
          </w:tcPr>
          <w:p w14:paraId="7D00DE47" w14:textId="64AA6422" w:rsidR="00986EB0" w:rsidRPr="00BB0618" w:rsidRDefault="00986EB0" w:rsidP="00986EB0">
            <w:pPr>
              <w:contextualSpacing/>
              <w:jc w:val="center"/>
              <w:rPr>
                <w:rFonts w:cs="Arial"/>
                <w:color w:val="000000"/>
                <w:sz w:val="16"/>
                <w:szCs w:val="16"/>
              </w:rPr>
            </w:pPr>
            <w:r w:rsidRPr="00BB0618">
              <w:rPr>
                <w:rFonts w:cs="Arial"/>
                <w:color w:val="000000"/>
                <w:sz w:val="16"/>
                <w:szCs w:val="16"/>
              </w:rPr>
              <w:t>7 048</w:t>
            </w:r>
          </w:p>
        </w:tc>
        <w:tc>
          <w:tcPr>
            <w:tcW w:w="972" w:type="dxa"/>
            <w:tcBorders>
              <w:top w:val="nil"/>
              <w:left w:val="single" w:sz="4" w:space="0" w:color="auto"/>
              <w:bottom w:val="single" w:sz="4" w:space="0" w:color="auto"/>
              <w:right w:val="single" w:sz="4" w:space="0" w:color="auto"/>
            </w:tcBorders>
            <w:vAlign w:val="bottom"/>
          </w:tcPr>
          <w:p w14:paraId="7628C858" w14:textId="59DB161D" w:rsidR="00986EB0" w:rsidRPr="00986EB0" w:rsidRDefault="00986EB0" w:rsidP="00986EB0">
            <w:pPr>
              <w:contextualSpacing/>
              <w:jc w:val="center"/>
              <w:rPr>
                <w:rFonts w:cs="Arial"/>
                <w:color w:val="000000"/>
                <w:sz w:val="16"/>
                <w:szCs w:val="16"/>
              </w:rPr>
            </w:pPr>
            <w:r w:rsidRPr="00986EB0">
              <w:rPr>
                <w:rFonts w:cs="Arial"/>
                <w:color w:val="000000"/>
                <w:sz w:val="16"/>
                <w:szCs w:val="16"/>
              </w:rPr>
              <w:t>7048</w:t>
            </w:r>
          </w:p>
        </w:tc>
      </w:tr>
      <w:tr w:rsidR="00986EB0" w:rsidRPr="00BB0618" w14:paraId="6E0CB4E2" w14:textId="4908C3E9" w:rsidTr="000A082F">
        <w:trPr>
          <w:trHeight w:val="20"/>
          <w:jc w:val="center"/>
        </w:trPr>
        <w:tc>
          <w:tcPr>
            <w:tcW w:w="848" w:type="dxa"/>
            <w:vMerge/>
            <w:shd w:val="clear" w:color="auto" w:fill="BFBFBF"/>
            <w:vAlign w:val="center"/>
            <w:hideMark/>
          </w:tcPr>
          <w:p w14:paraId="153D3B88" w14:textId="77777777" w:rsidR="00986EB0" w:rsidRPr="00BB0618" w:rsidRDefault="00986EB0" w:rsidP="00986EB0">
            <w:pPr>
              <w:contextualSpacing/>
              <w:rPr>
                <w:rFonts w:cs="Arial"/>
                <w:b/>
                <w:bCs/>
                <w:sz w:val="16"/>
                <w:szCs w:val="16"/>
              </w:rPr>
            </w:pPr>
          </w:p>
        </w:tc>
        <w:tc>
          <w:tcPr>
            <w:tcW w:w="1992" w:type="dxa"/>
            <w:vAlign w:val="center"/>
            <w:hideMark/>
          </w:tcPr>
          <w:p w14:paraId="692196B0" w14:textId="77777777" w:rsidR="00986EB0" w:rsidRPr="00BB0618" w:rsidRDefault="00986EB0" w:rsidP="00986EB0">
            <w:pPr>
              <w:contextualSpacing/>
              <w:rPr>
                <w:rFonts w:cs="Arial"/>
                <w:sz w:val="16"/>
                <w:szCs w:val="16"/>
              </w:rPr>
            </w:pPr>
            <w:r w:rsidRPr="00BB0618">
              <w:rPr>
                <w:rFonts w:cs="Arial"/>
                <w:sz w:val="16"/>
                <w:szCs w:val="16"/>
              </w:rPr>
              <w:t>Výr. el. energie (</w:t>
            </w:r>
            <w:proofErr w:type="spellStart"/>
            <w:r w:rsidRPr="00BB0618">
              <w:rPr>
                <w:rFonts w:cs="Arial"/>
                <w:sz w:val="16"/>
                <w:szCs w:val="16"/>
              </w:rPr>
              <w:t>MWh</w:t>
            </w:r>
            <w:proofErr w:type="spellEnd"/>
            <w:r w:rsidRPr="00BB0618">
              <w:rPr>
                <w:rFonts w:cs="Arial"/>
                <w:sz w:val="16"/>
                <w:szCs w:val="16"/>
              </w:rPr>
              <w:t>)</w:t>
            </w:r>
          </w:p>
        </w:tc>
        <w:tc>
          <w:tcPr>
            <w:tcW w:w="972" w:type="dxa"/>
            <w:vAlign w:val="center"/>
          </w:tcPr>
          <w:p w14:paraId="489EC650" w14:textId="4FEA852C" w:rsidR="00986EB0" w:rsidRPr="00BB0618" w:rsidRDefault="00986EB0" w:rsidP="00986EB0">
            <w:pPr>
              <w:contextualSpacing/>
              <w:jc w:val="center"/>
              <w:rPr>
                <w:rFonts w:cs="Arial"/>
                <w:sz w:val="16"/>
                <w:szCs w:val="16"/>
              </w:rPr>
            </w:pPr>
            <w:r w:rsidRPr="00BB0618">
              <w:rPr>
                <w:rFonts w:cs="Arial"/>
                <w:sz w:val="16"/>
                <w:szCs w:val="16"/>
              </w:rPr>
              <w:t>12 288</w:t>
            </w:r>
          </w:p>
        </w:tc>
        <w:tc>
          <w:tcPr>
            <w:tcW w:w="972" w:type="dxa"/>
            <w:vAlign w:val="center"/>
          </w:tcPr>
          <w:p w14:paraId="0E2AC5E1" w14:textId="72D464A2" w:rsidR="00986EB0" w:rsidRPr="00BB0618" w:rsidRDefault="00986EB0" w:rsidP="00986EB0">
            <w:pPr>
              <w:contextualSpacing/>
              <w:jc w:val="center"/>
              <w:rPr>
                <w:rFonts w:cs="Arial"/>
                <w:sz w:val="16"/>
                <w:szCs w:val="16"/>
              </w:rPr>
            </w:pPr>
            <w:r w:rsidRPr="00BB0618">
              <w:rPr>
                <w:rFonts w:cs="Arial"/>
                <w:sz w:val="16"/>
                <w:szCs w:val="16"/>
              </w:rPr>
              <w:t>22 440</w:t>
            </w:r>
          </w:p>
        </w:tc>
        <w:tc>
          <w:tcPr>
            <w:tcW w:w="972" w:type="dxa"/>
            <w:vAlign w:val="center"/>
          </w:tcPr>
          <w:p w14:paraId="19F601E9" w14:textId="0E816A76" w:rsidR="00986EB0" w:rsidRPr="00BB0618" w:rsidRDefault="00986EB0" w:rsidP="00986EB0">
            <w:pPr>
              <w:contextualSpacing/>
              <w:jc w:val="center"/>
              <w:rPr>
                <w:rFonts w:cs="Arial"/>
                <w:sz w:val="16"/>
                <w:szCs w:val="16"/>
              </w:rPr>
            </w:pPr>
            <w:r w:rsidRPr="00BB0618">
              <w:rPr>
                <w:rFonts w:cs="Arial"/>
                <w:sz w:val="16"/>
                <w:szCs w:val="16"/>
              </w:rPr>
              <w:t>13 835</w:t>
            </w:r>
          </w:p>
        </w:tc>
        <w:tc>
          <w:tcPr>
            <w:tcW w:w="972" w:type="dxa"/>
            <w:vAlign w:val="center"/>
          </w:tcPr>
          <w:p w14:paraId="0DB411D4" w14:textId="7FC6D085" w:rsidR="00986EB0" w:rsidRPr="00BB0618" w:rsidRDefault="00986EB0" w:rsidP="00986EB0">
            <w:pPr>
              <w:contextualSpacing/>
              <w:jc w:val="center"/>
              <w:rPr>
                <w:rFonts w:cs="Arial"/>
                <w:sz w:val="16"/>
                <w:szCs w:val="16"/>
              </w:rPr>
            </w:pPr>
            <w:r w:rsidRPr="00BB0618">
              <w:rPr>
                <w:rFonts w:cs="Arial"/>
                <w:sz w:val="16"/>
                <w:szCs w:val="16"/>
              </w:rPr>
              <w:t>16 327</w:t>
            </w:r>
          </w:p>
        </w:tc>
        <w:tc>
          <w:tcPr>
            <w:tcW w:w="972" w:type="dxa"/>
            <w:vAlign w:val="bottom"/>
          </w:tcPr>
          <w:p w14:paraId="501C9EBF" w14:textId="24FD5B84" w:rsidR="00986EB0" w:rsidRPr="00BB0618" w:rsidRDefault="00986EB0" w:rsidP="00986EB0">
            <w:pPr>
              <w:contextualSpacing/>
              <w:jc w:val="center"/>
              <w:rPr>
                <w:rFonts w:cs="Arial"/>
                <w:sz w:val="16"/>
                <w:szCs w:val="16"/>
              </w:rPr>
            </w:pPr>
            <w:r w:rsidRPr="00BB0618">
              <w:rPr>
                <w:rFonts w:cs="Arial"/>
                <w:sz w:val="16"/>
                <w:szCs w:val="16"/>
              </w:rPr>
              <w:t>24 796</w:t>
            </w:r>
          </w:p>
        </w:tc>
        <w:tc>
          <w:tcPr>
            <w:tcW w:w="972" w:type="dxa"/>
            <w:vAlign w:val="bottom"/>
          </w:tcPr>
          <w:p w14:paraId="7502F015" w14:textId="45EDFC9F" w:rsidR="00986EB0" w:rsidRPr="00BB0618" w:rsidRDefault="00986EB0" w:rsidP="00986EB0">
            <w:pPr>
              <w:contextualSpacing/>
              <w:jc w:val="center"/>
              <w:rPr>
                <w:rFonts w:cs="Arial"/>
                <w:sz w:val="16"/>
                <w:szCs w:val="16"/>
              </w:rPr>
            </w:pPr>
            <w:r w:rsidRPr="00BB0618">
              <w:rPr>
                <w:rFonts w:cs="Arial"/>
                <w:sz w:val="16"/>
                <w:szCs w:val="16"/>
              </w:rPr>
              <w:t>23 343</w:t>
            </w:r>
          </w:p>
        </w:tc>
        <w:tc>
          <w:tcPr>
            <w:tcW w:w="972" w:type="dxa"/>
            <w:vAlign w:val="bottom"/>
          </w:tcPr>
          <w:p w14:paraId="0CC148A6" w14:textId="41C95A05" w:rsidR="00986EB0" w:rsidRPr="00BB0618" w:rsidRDefault="00986EB0" w:rsidP="00986EB0">
            <w:pPr>
              <w:contextualSpacing/>
              <w:jc w:val="center"/>
              <w:rPr>
                <w:rFonts w:cs="Arial"/>
                <w:sz w:val="16"/>
                <w:szCs w:val="16"/>
              </w:rPr>
            </w:pPr>
            <w:r w:rsidRPr="00BB0618">
              <w:rPr>
                <w:rFonts w:cs="Arial"/>
                <w:sz w:val="16"/>
                <w:szCs w:val="16"/>
              </w:rPr>
              <w:t>20 632</w:t>
            </w:r>
          </w:p>
        </w:tc>
        <w:tc>
          <w:tcPr>
            <w:tcW w:w="972" w:type="dxa"/>
            <w:vAlign w:val="bottom"/>
          </w:tcPr>
          <w:p w14:paraId="6278D0BA" w14:textId="4EAF846E" w:rsidR="00986EB0" w:rsidRPr="00BB0618" w:rsidRDefault="00986EB0" w:rsidP="00986EB0">
            <w:pPr>
              <w:contextualSpacing/>
              <w:jc w:val="center"/>
              <w:rPr>
                <w:rFonts w:cs="Arial"/>
                <w:sz w:val="16"/>
                <w:szCs w:val="16"/>
              </w:rPr>
            </w:pPr>
            <w:r w:rsidRPr="00BB0618">
              <w:rPr>
                <w:rFonts w:cs="Arial"/>
                <w:color w:val="000000"/>
                <w:sz w:val="16"/>
                <w:szCs w:val="16"/>
              </w:rPr>
              <w:t>23 884</w:t>
            </w:r>
          </w:p>
        </w:tc>
        <w:tc>
          <w:tcPr>
            <w:tcW w:w="972" w:type="dxa"/>
            <w:vAlign w:val="bottom"/>
          </w:tcPr>
          <w:p w14:paraId="39A5B768" w14:textId="021116F5" w:rsidR="00986EB0" w:rsidRPr="00BB0618" w:rsidRDefault="00986EB0" w:rsidP="00986EB0">
            <w:pPr>
              <w:contextualSpacing/>
              <w:jc w:val="center"/>
              <w:rPr>
                <w:rFonts w:cs="Arial"/>
                <w:color w:val="000000"/>
                <w:sz w:val="16"/>
                <w:szCs w:val="16"/>
              </w:rPr>
            </w:pPr>
            <w:r w:rsidRPr="00BB0618">
              <w:rPr>
                <w:rFonts w:cs="Arial"/>
                <w:color w:val="000000"/>
                <w:sz w:val="16"/>
                <w:szCs w:val="16"/>
              </w:rPr>
              <w:t>24 232</w:t>
            </w:r>
          </w:p>
        </w:tc>
        <w:tc>
          <w:tcPr>
            <w:tcW w:w="972" w:type="dxa"/>
            <w:tcBorders>
              <w:top w:val="nil"/>
              <w:left w:val="single" w:sz="4" w:space="0" w:color="auto"/>
              <w:bottom w:val="single" w:sz="4" w:space="0" w:color="auto"/>
              <w:right w:val="single" w:sz="4" w:space="0" w:color="auto"/>
            </w:tcBorders>
            <w:vAlign w:val="bottom"/>
          </w:tcPr>
          <w:p w14:paraId="70509FAD" w14:textId="44EC3BC3" w:rsidR="00986EB0" w:rsidRPr="00986EB0" w:rsidRDefault="00986EB0" w:rsidP="00986EB0">
            <w:pPr>
              <w:contextualSpacing/>
              <w:jc w:val="center"/>
              <w:rPr>
                <w:rFonts w:cs="Arial"/>
                <w:color w:val="000000"/>
                <w:sz w:val="16"/>
                <w:szCs w:val="16"/>
              </w:rPr>
            </w:pPr>
            <w:r w:rsidRPr="00986EB0">
              <w:rPr>
                <w:rFonts w:cs="Arial"/>
                <w:color w:val="000000"/>
                <w:sz w:val="16"/>
                <w:szCs w:val="16"/>
              </w:rPr>
              <w:t>17176</w:t>
            </w:r>
          </w:p>
        </w:tc>
      </w:tr>
      <w:tr w:rsidR="00986EB0" w:rsidRPr="00BB0618" w14:paraId="7230A3D2" w14:textId="3124701F" w:rsidTr="000A082F">
        <w:trPr>
          <w:trHeight w:val="20"/>
          <w:jc w:val="center"/>
        </w:trPr>
        <w:tc>
          <w:tcPr>
            <w:tcW w:w="848" w:type="dxa"/>
            <w:vMerge/>
            <w:shd w:val="clear" w:color="auto" w:fill="BFBFBF"/>
            <w:vAlign w:val="center"/>
            <w:hideMark/>
          </w:tcPr>
          <w:p w14:paraId="78844539" w14:textId="77777777" w:rsidR="00986EB0" w:rsidRPr="00BB0618" w:rsidRDefault="00986EB0" w:rsidP="00986EB0">
            <w:pPr>
              <w:contextualSpacing/>
              <w:rPr>
                <w:rFonts w:cs="Arial"/>
                <w:b/>
                <w:bCs/>
                <w:sz w:val="16"/>
                <w:szCs w:val="16"/>
              </w:rPr>
            </w:pPr>
          </w:p>
        </w:tc>
        <w:tc>
          <w:tcPr>
            <w:tcW w:w="1992" w:type="dxa"/>
            <w:vAlign w:val="center"/>
            <w:hideMark/>
          </w:tcPr>
          <w:p w14:paraId="0560971E" w14:textId="77777777" w:rsidR="00986EB0" w:rsidRPr="00BB0618" w:rsidRDefault="00986EB0" w:rsidP="00986EB0">
            <w:pPr>
              <w:contextualSpacing/>
              <w:rPr>
                <w:rFonts w:cs="Arial"/>
                <w:sz w:val="16"/>
                <w:szCs w:val="16"/>
              </w:rPr>
            </w:pPr>
            <w:r w:rsidRPr="00BB0618">
              <w:rPr>
                <w:rFonts w:cs="Arial"/>
                <w:sz w:val="16"/>
                <w:szCs w:val="16"/>
              </w:rPr>
              <w:t>Tržby (tis. Kč)</w:t>
            </w:r>
          </w:p>
        </w:tc>
        <w:tc>
          <w:tcPr>
            <w:tcW w:w="972" w:type="dxa"/>
            <w:vAlign w:val="center"/>
          </w:tcPr>
          <w:p w14:paraId="659213AB" w14:textId="092DED8F" w:rsidR="00986EB0" w:rsidRPr="00BB0618" w:rsidRDefault="00986EB0" w:rsidP="00986EB0">
            <w:pPr>
              <w:contextualSpacing/>
              <w:jc w:val="center"/>
              <w:rPr>
                <w:rFonts w:cs="Arial"/>
                <w:sz w:val="16"/>
                <w:szCs w:val="16"/>
              </w:rPr>
            </w:pPr>
            <w:r w:rsidRPr="00BB0618">
              <w:rPr>
                <w:rFonts w:cs="Arial"/>
                <w:sz w:val="16"/>
                <w:szCs w:val="16"/>
              </w:rPr>
              <w:t>27 754</w:t>
            </w:r>
          </w:p>
        </w:tc>
        <w:tc>
          <w:tcPr>
            <w:tcW w:w="972" w:type="dxa"/>
            <w:vAlign w:val="center"/>
          </w:tcPr>
          <w:p w14:paraId="300962AF" w14:textId="783D5016" w:rsidR="00986EB0" w:rsidRPr="00BB0618" w:rsidRDefault="00986EB0" w:rsidP="00986EB0">
            <w:pPr>
              <w:contextualSpacing/>
              <w:jc w:val="center"/>
              <w:rPr>
                <w:rFonts w:cs="Arial"/>
                <w:sz w:val="16"/>
                <w:szCs w:val="16"/>
              </w:rPr>
            </w:pPr>
            <w:r w:rsidRPr="00BB0618">
              <w:rPr>
                <w:rFonts w:cs="Arial"/>
                <w:sz w:val="16"/>
                <w:szCs w:val="16"/>
              </w:rPr>
              <w:t>61 268</w:t>
            </w:r>
          </w:p>
        </w:tc>
        <w:tc>
          <w:tcPr>
            <w:tcW w:w="972" w:type="dxa"/>
            <w:vAlign w:val="center"/>
          </w:tcPr>
          <w:p w14:paraId="731BAC10" w14:textId="33CFC620" w:rsidR="00986EB0" w:rsidRPr="00BB0618" w:rsidRDefault="00986EB0" w:rsidP="00986EB0">
            <w:pPr>
              <w:contextualSpacing/>
              <w:jc w:val="center"/>
              <w:rPr>
                <w:rFonts w:cs="Arial"/>
                <w:sz w:val="16"/>
                <w:szCs w:val="16"/>
              </w:rPr>
            </w:pPr>
            <w:r w:rsidRPr="00BB0618">
              <w:rPr>
                <w:rFonts w:cs="Arial"/>
                <w:sz w:val="16"/>
                <w:szCs w:val="16"/>
              </w:rPr>
              <w:t>38 012</w:t>
            </w:r>
          </w:p>
        </w:tc>
        <w:tc>
          <w:tcPr>
            <w:tcW w:w="972" w:type="dxa"/>
            <w:vAlign w:val="center"/>
          </w:tcPr>
          <w:p w14:paraId="07A4CF83" w14:textId="4A735AF9" w:rsidR="00986EB0" w:rsidRPr="00BB0618" w:rsidRDefault="00986EB0" w:rsidP="00986EB0">
            <w:pPr>
              <w:contextualSpacing/>
              <w:jc w:val="center"/>
              <w:rPr>
                <w:rFonts w:cs="Arial"/>
                <w:sz w:val="16"/>
                <w:szCs w:val="16"/>
              </w:rPr>
            </w:pPr>
            <w:r w:rsidRPr="00BB0618">
              <w:rPr>
                <w:rFonts w:cs="Arial"/>
                <w:sz w:val="16"/>
                <w:szCs w:val="16"/>
              </w:rPr>
              <w:t>48 758</w:t>
            </w:r>
          </w:p>
        </w:tc>
        <w:tc>
          <w:tcPr>
            <w:tcW w:w="972" w:type="dxa"/>
            <w:vAlign w:val="bottom"/>
          </w:tcPr>
          <w:p w14:paraId="58B98511" w14:textId="03C090E4" w:rsidR="00986EB0" w:rsidRPr="00BB0618" w:rsidRDefault="00986EB0" w:rsidP="00986EB0">
            <w:pPr>
              <w:contextualSpacing/>
              <w:jc w:val="center"/>
              <w:rPr>
                <w:rFonts w:cs="Arial"/>
                <w:sz w:val="16"/>
                <w:szCs w:val="16"/>
              </w:rPr>
            </w:pPr>
            <w:r w:rsidRPr="00BB0618">
              <w:rPr>
                <w:rFonts w:cs="Arial"/>
                <w:sz w:val="16"/>
                <w:szCs w:val="16"/>
              </w:rPr>
              <w:t>76 808</w:t>
            </w:r>
          </w:p>
        </w:tc>
        <w:tc>
          <w:tcPr>
            <w:tcW w:w="972" w:type="dxa"/>
            <w:vAlign w:val="bottom"/>
          </w:tcPr>
          <w:p w14:paraId="6032CB05" w14:textId="7DD349A6" w:rsidR="00986EB0" w:rsidRPr="00BB0618" w:rsidRDefault="00986EB0" w:rsidP="00986EB0">
            <w:pPr>
              <w:contextualSpacing/>
              <w:jc w:val="center"/>
              <w:rPr>
                <w:rFonts w:cs="Arial"/>
                <w:sz w:val="16"/>
                <w:szCs w:val="16"/>
              </w:rPr>
            </w:pPr>
            <w:r w:rsidRPr="00BB0618">
              <w:rPr>
                <w:rFonts w:cs="Arial"/>
                <w:sz w:val="16"/>
                <w:szCs w:val="16"/>
              </w:rPr>
              <w:t>50 914</w:t>
            </w:r>
          </w:p>
        </w:tc>
        <w:tc>
          <w:tcPr>
            <w:tcW w:w="972" w:type="dxa"/>
            <w:vAlign w:val="bottom"/>
          </w:tcPr>
          <w:p w14:paraId="17A36399" w14:textId="65C11B72" w:rsidR="00986EB0" w:rsidRPr="00BB0618" w:rsidRDefault="00986EB0" w:rsidP="00986EB0">
            <w:pPr>
              <w:contextualSpacing/>
              <w:jc w:val="center"/>
              <w:rPr>
                <w:rFonts w:cs="Arial"/>
                <w:sz w:val="16"/>
                <w:szCs w:val="16"/>
              </w:rPr>
            </w:pPr>
            <w:r w:rsidRPr="00BB0618">
              <w:rPr>
                <w:rFonts w:cs="Arial"/>
                <w:sz w:val="16"/>
                <w:szCs w:val="16"/>
              </w:rPr>
              <w:t>67 568</w:t>
            </w:r>
          </w:p>
        </w:tc>
        <w:tc>
          <w:tcPr>
            <w:tcW w:w="972" w:type="dxa"/>
            <w:vAlign w:val="bottom"/>
          </w:tcPr>
          <w:p w14:paraId="3AE5237C" w14:textId="3E78418F" w:rsidR="00986EB0" w:rsidRPr="00BB0618" w:rsidRDefault="00986EB0" w:rsidP="00986EB0">
            <w:pPr>
              <w:contextualSpacing/>
              <w:jc w:val="center"/>
              <w:rPr>
                <w:rFonts w:cs="Arial"/>
                <w:sz w:val="16"/>
                <w:szCs w:val="16"/>
              </w:rPr>
            </w:pPr>
            <w:r w:rsidRPr="00BB0618">
              <w:rPr>
                <w:rFonts w:cs="Arial"/>
                <w:color w:val="000000"/>
                <w:sz w:val="16"/>
                <w:szCs w:val="16"/>
              </w:rPr>
              <w:t>92 970</w:t>
            </w:r>
          </w:p>
        </w:tc>
        <w:tc>
          <w:tcPr>
            <w:tcW w:w="972" w:type="dxa"/>
            <w:vAlign w:val="bottom"/>
          </w:tcPr>
          <w:p w14:paraId="5F6504A1" w14:textId="4BC60F48" w:rsidR="00986EB0" w:rsidRPr="00BB0618" w:rsidRDefault="00986EB0" w:rsidP="00986EB0">
            <w:pPr>
              <w:contextualSpacing/>
              <w:jc w:val="center"/>
              <w:rPr>
                <w:rFonts w:cs="Arial"/>
                <w:color w:val="000000"/>
                <w:sz w:val="16"/>
                <w:szCs w:val="16"/>
              </w:rPr>
            </w:pPr>
            <w:r w:rsidRPr="00BB0618">
              <w:rPr>
                <w:rFonts w:cs="Arial"/>
                <w:color w:val="000000"/>
                <w:sz w:val="16"/>
                <w:szCs w:val="16"/>
              </w:rPr>
              <w:t>63 795</w:t>
            </w:r>
          </w:p>
        </w:tc>
        <w:tc>
          <w:tcPr>
            <w:tcW w:w="972" w:type="dxa"/>
            <w:tcBorders>
              <w:top w:val="nil"/>
              <w:left w:val="single" w:sz="4" w:space="0" w:color="auto"/>
              <w:bottom w:val="single" w:sz="4" w:space="0" w:color="auto"/>
              <w:right w:val="single" w:sz="4" w:space="0" w:color="auto"/>
            </w:tcBorders>
            <w:vAlign w:val="bottom"/>
          </w:tcPr>
          <w:p w14:paraId="5DEE1360" w14:textId="35BD90E4" w:rsidR="00986EB0" w:rsidRPr="00986EB0" w:rsidRDefault="00986EB0" w:rsidP="00986EB0">
            <w:pPr>
              <w:contextualSpacing/>
              <w:jc w:val="center"/>
              <w:rPr>
                <w:rFonts w:cs="Arial"/>
                <w:color w:val="000000"/>
                <w:sz w:val="16"/>
                <w:szCs w:val="16"/>
              </w:rPr>
            </w:pPr>
            <w:r w:rsidRPr="00986EB0">
              <w:rPr>
                <w:rFonts w:cs="Arial"/>
                <w:color w:val="000000"/>
                <w:sz w:val="16"/>
                <w:szCs w:val="16"/>
              </w:rPr>
              <w:t>52 257</w:t>
            </w:r>
          </w:p>
        </w:tc>
      </w:tr>
      <w:tr w:rsidR="00986EB0" w:rsidRPr="00BB0618" w14:paraId="77AD419E" w14:textId="06C28C17" w:rsidTr="000A082F">
        <w:trPr>
          <w:trHeight w:val="20"/>
          <w:jc w:val="center"/>
        </w:trPr>
        <w:tc>
          <w:tcPr>
            <w:tcW w:w="848" w:type="dxa"/>
            <w:vMerge w:val="restart"/>
            <w:shd w:val="clear" w:color="auto" w:fill="BFBFBF"/>
            <w:vAlign w:val="center"/>
            <w:hideMark/>
          </w:tcPr>
          <w:p w14:paraId="4F0994D1" w14:textId="77777777" w:rsidR="00986EB0" w:rsidRPr="00BB0618" w:rsidRDefault="00986EB0" w:rsidP="00986EB0">
            <w:pPr>
              <w:contextualSpacing/>
              <w:rPr>
                <w:rFonts w:cs="Arial"/>
                <w:b/>
                <w:bCs/>
                <w:sz w:val="16"/>
                <w:szCs w:val="16"/>
              </w:rPr>
            </w:pPr>
            <w:r w:rsidRPr="00BB0618">
              <w:rPr>
                <w:rFonts w:cs="Arial"/>
                <w:b/>
                <w:bCs/>
                <w:sz w:val="16"/>
                <w:szCs w:val="16"/>
              </w:rPr>
              <w:t>Vltavy</w:t>
            </w:r>
          </w:p>
        </w:tc>
        <w:tc>
          <w:tcPr>
            <w:tcW w:w="1992" w:type="dxa"/>
            <w:vAlign w:val="center"/>
            <w:hideMark/>
          </w:tcPr>
          <w:p w14:paraId="3D9EF490" w14:textId="77777777" w:rsidR="00986EB0" w:rsidRPr="00BB0618" w:rsidRDefault="00986EB0" w:rsidP="00986EB0">
            <w:pPr>
              <w:contextualSpacing/>
              <w:rPr>
                <w:rFonts w:cs="Arial"/>
                <w:sz w:val="16"/>
                <w:szCs w:val="16"/>
              </w:rPr>
            </w:pPr>
            <w:r w:rsidRPr="00BB0618">
              <w:rPr>
                <w:rFonts w:cs="Arial"/>
                <w:sz w:val="16"/>
                <w:szCs w:val="16"/>
              </w:rPr>
              <w:t>Počet MVE</w:t>
            </w:r>
          </w:p>
        </w:tc>
        <w:tc>
          <w:tcPr>
            <w:tcW w:w="972" w:type="dxa"/>
            <w:vAlign w:val="center"/>
          </w:tcPr>
          <w:p w14:paraId="1618FB9A" w14:textId="564AD9A1" w:rsidR="00986EB0" w:rsidRPr="00BB0618" w:rsidRDefault="00986EB0" w:rsidP="00986EB0">
            <w:pPr>
              <w:contextualSpacing/>
              <w:jc w:val="center"/>
              <w:rPr>
                <w:rFonts w:cs="Arial"/>
                <w:sz w:val="16"/>
                <w:szCs w:val="16"/>
              </w:rPr>
            </w:pPr>
            <w:r w:rsidRPr="00BB0618">
              <w:rPr>
                <w:rFonts w:cs="Arial"/>
                <w:sz w:val="16"/>
                <w:szCs w:val="16"/>
              </w:rPr>
              <w:t>19</w:t>
            </w:r>
          </w:p>
        </w:tc>
        <w:tc>
          <w:tcPr>
            <w:tcW w:w="972" w:type="dxa"/>
            <w:vAlign w:val="center"/>
          </w:tcPr>
          <w:p w14:paraId="5778FAC4" w14:textId="612A1DD4" w:rsidR="00986EB0" w:rsidRPr="00BB0618" w:rsidRDefault="00986EB0" w:rsidP="00986EB0">
            <w:pPr>
              <w:contextualSpacing/>
              <w:jc w:val="center"/>
              <w:rPr>
                <w:rFonts w:cs="Arial"/>
                <w:sz w:val="16"/>
                <w:szCs w:val="16"/>
              </w:rPr>
            </w:pPr>
            <w:r w:rsidRPr="00BB0618">
              <w:rPr>
                <w:rFonts w:cs="Arial"/>
                <w:sz w:val="16"/>
                <w:szCs w:val="16"/>
              </w:rPr>
              <w:t>19</w:t>
            </w:r>
          </w:p>
        </w:tc>
        <w:tc>
          <w:tcPr>
            <w:tcW w:w="972" w:type="dxa"/>
            <w:vAlign w:val="center"/>
          </w:tcPr>
          <w:p w14:paraId="57391767" w14:textId="21C90645" w:rsidR="00986EB0" w:rsidRPr="00BB0618" w:rsidRDefault="00986EB0" w:rsidP="00986EB0">
            <w:pPr>
              <w:contextualSpacing/>
              <w:jc w:val="center"/>
              <w:rPr>
                <w:rFonts w:cs="Arial"/>
                <w:sz w:val="16"/>
                <w:szCs w:val="16"/>
              </w:rPr>
            </w:pPr>
            <w:r w:rsidRPr="00BB0618">
              <w:rPr>
                <w:rFonts w:cs="Arial"/>
                <w:sz w:val="16"/>
                <w:szCs w:val="16"/>
              </w:rPr>
              <w:t>20</w:t>
            </w:r>
          </w:p>
        </w:tc>
        <w:tc>
          <w:tcPr>
            <w:tcW w:w="972" w:type="dxa"/>
            <w:vAlign w:val="center"/>
          </w:tcPr>
          <w:p w14:paraId="4443C154" w14:textId="4CD1E988" w:rsidR="00986EB0" w:rsidRPr="00BB0618" w:rsidRDefault="00986EB0" w:rsidP="00986EB0">
            <w:pPr>
              <w:contextualSpacing/>
              <w:jc w:val="center"/>
              <w:rPr>
                <w:rFonts w:cs="Arial"/>
                <w:sz w:val="16"/>
                <w:szCs w:val="16"/>
              </w:rPr>
            </w:pPr>
            <w:r w:rsidRPr="00BB0618">
              <w:rPr>
                <w:rFonts w:cs="Arial"/>
                <w:sz w:val="16"/>
                <w:szCs w:val="16"/>
              </w:rPr>
              <w:t>20</w:t>
            </w:r>
          </w:p>
        </w:tc>
        <w:tc>
          <w:tcPr>
            <w:tcW w:w="972" w:type="dxa"/>
            <w:vAlign w:val="bottom"/>
          </w:tcPr>
          <w:p w14:paraId="765C9778" w14:textId="074970D8" w:rsidR="00986EB0" w:rsidRPr="00BB0618" w:rsidRDefault="00986EB0" w:rsidP="00986EB0">
            <w:pPr>
              <w:contextualSpacing/>
              <w:jc w:val="center"/>
              <w:rPr>
                <w:rFonts w:cs="Arial"/>
                <w:sz w:val="16"/>
                <w:szCs w:val="16"/>
              </w:rPr>
            </w:pPr>
            <w:r w:rsidRPr="00BB0618">
              <w:rPr>
                <w:rFonts w:cs="Arial"/>
                <w:sz w:val="16"/>
                <w:szCs w:val="16"/>
              </w:rPr>
              <w:t>21</w:t>
            </w:r>
          </w:p>
        </w:tc>
        <w:tc>
          <w:tcPr>
            <w:tcW w:w="972" w:type="dxa"/>
            <w:vAlign w:val="bottom"/>
          </w:tcPr>
          <w:p w14:paraId="592BBC45" w14:textId="2CFEC09C" w:rsidR="00986EB0" w:rsidRPr="00BB0618" w:rsidRDefault="00986EB0" w:rsidP="00986EB0">
            <w:pPr>
              <w:contextualSpacing/>
              <w:jc w:val="center"/>
              <w:rPr>
                <w:rFonts w:cs="Arial"/>
                <w:sz w:val="16"/>
                <w:szCs w:val="16"/>
              </w:rPr>
            </w:pPr>
            <w:r w:rsidRPr="00BB0618">
              <w:rPr>
                <w:rFonts w:cs="Arial"/>
                <w:sz w:val="16"/>
                <w:szCs w:val="16"/>
              </w:rPr>
              <w:t>21</w:t>
            </w:r>
          </w:p>
        </w:tc>
        <w:tc>
          <w:tcPr>
            <w:tcW w:w="972" w:type="dxa"/>
            <w:vAlign w:val="bottom"/>
          </w:tcPr>
          <w:p w14:paraId="7DE28FA2" w14:textId="04FCE740" w:rsidR="00986EB0" w:rsidRPr="00BB0618" w:rsidRDefault="00986EB0" w:rsidP="00986EB0">
            <w:pPr>
              <w:contextualSpacing/>
              <w:jc w:val="center"/>
              <w:rPr>
                <w:rFonts w:cs="Arial"/>
                <w:sz w:val="16"/>
                <w:szCs w:val="16"/>
              </w:rPr>
            </w:pPr>
            <w:r w:rsidRPr="00BB0618">
              <w:rPr>
                <w:rFonts w:cs="Arial"/>
                <w:sz w:val="16"/>
                <w:szCs w:val="16"/>
              </w:rPr>
              <w:t>22</w:t>
            </w:r>
          </w:p>
        </w:tc>
        <w:tc>
          <w:tcPr>
            <w:tcW w:w="972" w:type="dxa"/>
            <w:vAlign w:val="bottom"/>
          </w:tcPr>
          <w:p w14:paraId="23CA5CDE" w14:textId="2677DD5F" w:rsidR="00986EB0" w:rsidRPr="00BB0618" w:rsidRDefault="00986EB0" w:rsidP="00986EB0">
            <w:pPr>
              <w:contextualSpacing/>
              <w:jc w:val="center"/>
              <w:rPr>
                <w:rFonts w:cs="Arial"/>
                <w:sz w:val="16"/>
                <w:szCs w:val="16"/>
              </w:rPr>
            </w:pPr>
            <w:r w:rsidRPr="00BB0618">
              <w:rPr>
                <w:rFonts w:cs="Arial"/>
                <w:color w:val="000000"/>
                <w:sz w:val="16"/>
                <w:szCs w:val="16"/>
              </w:rPr>
              <w:t>22</w:t>
            </w:r>
          </w:p>
        </w:tc>
        <w:tc>
          <w:tcPr>
            <w:tcW w:w="972" w:type="dxa"/>
            <w:vAlign w:val="bottom"/>
          </w:tcPr>
          <w:p w14:paraId="4BC79E36" w14:textId="35927523" w:rsidR="00986EB0" w:rsidRPr="00BB0618" w:rsidRDefault="00986EB0" w:rsidP="00986EB0">
            <w:pPr>
              <w:contextualSpacing/>
              <w:jc w:val="center"/>
              <w:rPr>
                <w:rFonts w:cs="Arial"/>
                <w:color w:val="000000"/>
                <w:sz w:val="16"/>
                <w:szCs w:val="16"/>
              </w:rPr>
            </w:pPr>
            <w:r w:rsidRPr="00BB0618">
              <w:rPr>
                <w:rFonts w:cs="Arial"/>
                <w:color w:val="000000"/>
                <w:sz w:val="16"/>
                <w:szCs w:val="16"/>
              </w:rPr>
              <w:t>22</w:t>
            </w:r>
          </w:p>
        </w:tc>
        <w:tc>
          <w:tcPr>
            <w:tcW w:w="972" w:type="dxa"/>
            <w:tcBorders>
              <w:top w:val="nil"/>
              <w:left w:val="single" w:sz="4" w:space="0" w:color="auto"/>
              <w:bottom w:val="single" w:sz="4" w:space="0" w:color="auto"/>
              <w:right w:val="single" w:sz="4" w:space="0" w:color="auto"/>
            </w:tcBorders>
            <w:vAlign w:val="bottom"/>
          </w:tcPr>
          <w:p w14:paraId="7084F265" w14:textId="446C47A1" w:rsidR="00986EB0" w:rsidRPr="00986EB0" w:rsidRDefault="00986EB0" w:rsidP="00986EB0">
            <w:pPr>
              <w:contextualSpacing/>
              <w:jc w:val="center"/>
              <w:rPr>
                <w:rFonts w:cs="Arial"/>
                <w:color w:val="000000"/>
                <w:sz w:val="16"/>
                <w:szCs w:val="16"/>
              </w:rPr>
            </w:pPr>
            <w:r w:rsidRPr="00986EB0">
              <w:rPr>
                <w:rFonts w:cs="Arial"/>
                <w:color w:val="000000"/>
                <w:sz w:val="16"/>
                <w:szCs w:val="16"/>
              </w:rPr>
              <w:t>22</w:t>
            </w:r>
          </w:p>
        </w:tc>
      </w:tr>
      <w:tr w:rsidR="00986EB0" w:rsidRPr="00BB0618" w14:paraId="7179307E" w14:textId="495B22FD" w:rsidTr="000A082F">
        <w:trPr>
          <w:trHeight w:val="20"/>
          <w:jc w:val="center"/>
        </w:trPr>
        <w:tc>
          <w:tcPr>
            <w:tcW w:w="848" w:type="dxa"/>
            <w:vMerge/>
            <w:shd w:val="clear" w:color="auto" w:fill="BFBFBF"/>
            <w:vAlign w:val="center"/>
            <w:hideMark/>
          </w:tcPr>
          <w:p w14:paraId="4CBB4FB2" w14:textId="77777777" w:rsidR="00986EB0" w:rsidRPr="00BB0618" w:rsidRDefault="00986EB0" w:rsidP="00986EB0">
            <w:pPr>
              <w:contextualSpacing/>
              <w:rPr>
                <w:rFonts w:cs="Arial"/>
                <w:b/>
                <w:bCs/>
                <w:sz w:val="16"/>
                <w:szCs w:val="16"/>
              </w:rPr>
            </w:pPr>
          </w:p>
        </w:tc>
        <w:tc>
          <w:tcPr>
            <w:tcW w:w="1992" w:type="dxa"/>
            <w:vAlign w:val="center"/>
            <w:hideMark/>
          </w:tcPr>
          <w:p w14:paraId="48ED3EE6" w14:textId="77777777" w:rsidR="00986EB0" w:rsidRPr="00BB0618" w:rsidRDefault="00986EB0" w:rsidP="00986EB0">
            <w:pPr>
              <w:contextualSpacing/>
              <w:rPr>
                <w:rFonts w:cs="Arial"/>
                <w:sz w:val="16"/>
                <w:szCs w:val="16"/>
              </w:rPr>
            </w:pPr>
            <w:r w:rsidRPr="00BB0618">
              <w:rPr>
                <w:rFonts w:cs="Arial"/>
                <w:sz w:val="16"/>
                <w:szCs w:val="16"/>
              </w:rPr>
              <w:t>Instalovaný výkon (kW)</w:t>
            </w:r>
          </w:p>
        </w:tc>
        <w:tc>
          <w:tcPr>
            <w:tcW w:w="972" w:type="dxa"/>
            <w:vAlign w:val="center"/>
          </w:tcPr>
          <w:p w14:paraId="5092D239" w14:textId="7FFDA182" w:rsidR="00986EB0" w:rsidRPr="00BB0618" w:rsidRDefault="00986EB0" w:rsidP="00986EB0">
            <w:pPr>
              <w:contextualSpacing/>
              <w:jc w:val="center"/>
              <w:rPr>
                <w:rFonts w:cs="Arial"/>
                <w:sz w:val="16"/>
                <w:szCs w:val="16"/>
              </w:rPr>
            </w:pPr>
            <w:r w:rsidRPr="00BB0618">
              <w:rPr>
                <w:rFonts w:cs="Arial"/>
                <w:sz w:val="16"/>
                <w:szCs w:val="16"/>
              </w:rPr>
              <w:t>22 128</w:t>
            </w:r>
          </w:p>
        </w:tc>
        <w:tc>
          <w:tcPr>
            <w:tcW w:w="972" w:type="dxa"/>
            <w:vAlign w:val="center"/>
          </w:tcPr>
          <w:p w14:paraId="2B97B84A" w14:textId="24718E31" w:rsidR="00986EB0" w:rsidRPr="00BB0618" w:rsidRDefault="00986EB0" w:rsidP="00986EB0">
            <w:pPr>
              <w:contextualSpacing/>
              <w:jc w:val="center"/>
              <w:rPr>
                <w:rFonts w:cs="Arial"/>
                <w:sz w:val="16"/>
                <w:szCs w:val="16"/>
              </w:rPr>
            </w:pPr>
            <w:r w:rsidRPr="00BB0618">
              <w:rPr>
                <w:rFonts w:cs="Arial"/>
                <w:sz w:val="16"/>
                <w:szCs w:val="16"/>
              </w:rPr>
              <w:t>22 128</w:t>
            </w:r>
          </w:p>
        </w:tc>
        <w:tc>
          <w:tcPr>
            <w:tcW w:w="972" w:type="dxa"/>
            <w:vAlign w:val="center"/>
          </w:tcPr>
          <w:p w14:paraId="7685B1B7" w14:textId="51EB7C59" w:rsidR="00986EB0" w:rsidRPr="00BB0618" w:rsidRDefault="00986EB0" w:rsidP="00986EB0">
            <w:pPr>
              <w:contextualSpacing/>
              <w:jc w:val="center"/>
              <w:rPr>
                <w:rFonts w:cs="Arial"/>
                <w:sz w:val="16"/>
                <w:szCs w:val="16"/>
              </w:rPr>
            </w:pPr>
            <w:r w:rsidRPr="00BB0618">
              <w:rPr>
                <w:rFonts w:cs="Arial"/>
                <w:sz w:val="16"/>
                <w:szCs w:val="16"/>
              </w:rPr>
              <w:t>22 328</w:t>
            </w:r>
          </w:p>
        </w:tc>
        <w:tc>
          <w:tcPr>
            <w:tcW w:w="972" w:type="dxa"/>
            <w:vAlign w:val="center"/>
          </w:tcPr>
          <w:p w14:paraId="01FFBA96" w14:textId="0AB66CAA" w:rsidR="00986EB0" w:rsidRPr="00BB0618" w:rsidRDefault="00986EB0" w:rsidP="00986EB0">
            <w:pPr>
              <w:contextualSpacing/>
              <w:jc w:val="center"/>
              <w:rPr>
                <w:rFonts w:cs="Arial"/>
                <w:sz w:val="16"/>
                <w:szCs w:val="16"/>
              </w:rPr>
            </w:pPr>
            <w:r w:rsidRPr="00BB0618">
              <w:rPr>
                <w:rFonts w:cs="Arial"/>
                <w:sz w:val="16"/>
                <w:szCs w:val="16"/>
              </w:rPr>
              <w:t>22 328</w:t>
            </w:r>
          </w:p>
        </w:tc>
        <w:tc>
          <w:tcPr>
            <w:tcW w:w="972" w:type="dxa"/>
            <w:vAlign w:val="bottom"/>
          </w:tcPr>
          <w:p w14:paraId="4AA5BEC5" w14:textId="4D3A18BC" w:rsidR="00986EB0" w:rsidRPr="00BB0618" w:rsidRDefault="00986EB0" w:rsidP="00986EB0">
            <w:pPr>
              <w:contextualSpacing/>
              <w:jc w:val="center"/>
              <w:rPr>
                <w:rFonts w:cs="Arial"/>
                <w:sz w:val="16"/>
                <w:szCs w:val="16"/>
              </w:rPr>
            </w:pPr>
            <w:r w:rsidRPr="00BB0618">
              <w:rPr>
                <w:rFonts w:cs="Arial"/>
                <w:sz w:val="16"/>
                <w:szCs w:val="16"/>
              </w:rPr>
              <w:t>21 950</w:t>
            </w:r>
          </w:p>
        </w:tc>
        <w:tc>
          <w:tcPr>
            <w:tcW w:w="972" w:type="dxa"/>
            <w:vAlign w:val="bottom"/>
          </w:tcPr>
          <w:p w14:paraId="539460D6" w14:textId="0142D316" w:rsidR="00986EB0" w:rsidRPr="00BB0618" w:rsidRDefault="00986EB0" w:rsidP="00986EB0">
            <w:pPr>
              <w:contextualSpacing/>
              <w:jc w:val="center"/>
              <w:rPr>
                <w:rFonts w:cs="Arial"/>
                <w:sz w:val="16"/>
                <w:szCs w:val="16"/>
              </w:rPr>
            </w:pPr>
            <w:r w:rsidRPr="00BB0618">
              <w:rPr>
                <w:rFonts w:cs="Arial"/>
                <w:sz w:val="16"/>
                <w:szCs w:val="16"/>
              </w:rPr>
              <w:t>21 950</w:t>
            </w:r>
          </w:p>
        </w:tc>
        <w:tc>
          <w:tcPr>
            <w:tcW w:w="972" w:type="dxa"/>
            <w:vAlign w:val="bottom"/>
          </w:tcPr>
          <w:p w14:paraId="7E53D757" w14:textId="39E4430E" w:rsidR="00986EB0" w:rsidRPr="00BB0618" w:rsidRDefault="00986EB0" w:rsidP="00986EB0">
            <w:pPr>
              <w:contextualSpacing/>
              <w:jc w:val="center"/>
              <w:rPr>
                <w:rFonts w:cs="Arial"/>
                <w:sz w:val="16"/>
                <w:szCs w:val="16"/>
              </w:rPr>
            </w:pPr>
            <w:r w:rsidRPr="00BB0618">
              <w:rPr>
                <w:rFonts w:cs="Arial"/>
                <w:sz w:val="16"/>
                <w:szCs w:val="16"/>
              </w:rPr>
              <w:t>22 040</w:t>
            </w:r>
          </w:p>
        </w:tc>
        <w:tc>
          <w:tcPr>
            <w:tcW w:w="972" w:type="dxa"/>
            <w:vAlign w:val="bottom"/>
          </w:tcPr>
          <w:p w14:paraId="7196AEF7" w14:textId="5F7457DB" w:rsidR="00986EB0" w:rsidRPr="00BB0618" w:rsidRDefault="00986EB0" w:rsidP="00986EB0">
            <w:pPr>
              <w:contextualSpacing/>
              <w:jc w:val="center"/>
              <w:rPr>
                <w:rFonts w:cs="Arial"/>
                <w:sz w:val="16"/>
                <w:szCs w:val="16"/>
              </w:rPr>
            </w:pPr>
            <w:r w:rsidRPr="00BB0618">
              <w:rPr>
                <w:rFonts w:cs="Arial"/>
                <w:color w:val="000000"/>
                <w:sz w:val="16"/>
                <w:szCs w:val="16"/>
              </w:rPr>
              <w:t>22 040</w:t>
            </w:r>
          </w:p>
        </w:tc>
        <w:tc>
          <w:tcPr>
            <w:tcW w:w="972" w:type="dxa"/>
            <w:vAlign w:val="bottom"/>
          </w:tcPr>
          <w:p w14:paraId="77FA15A8" w14:textId="77D04FDB" w:rsidR="00986EB0" w:rsidRPr="00BB0618" w:rsidRDefault="00986EB0" w:rsidP="00986EB0">
            <w:pPr>
              <w:contextualSpacing/>
              <w:jc w:val="center"/>
              <w:rPr>
                <w:rFonts w:cs="Arial"/>
                <w:color w:val="000000"/>
                <w:sz w:val="16"/>
                <w:szCs w:val="16"/>
              </w:rPr>
            </w:pPr>
            <w:r w:rsidRPr="00BB0618">
              <w:rPr>
                <w:rFonts w:cs="Arial"/>
                <w:color w:val="000000"/>
                <w:sz w:val="16"/>
                <w:szCs w:val="16"/>
              </w:rPr>
              <w:t>22 040</w:t>
            </w:r>
          </w:p>
        </w:tc>
        <w:tc>
          <w:tcPr>
            <w:tcW w:w="972" w:type="dxa"/>
            <w:tcBorders>
              <w:top w:val="nil"/>
              <w:left w:val="single" w:sz="4" w:space="0" w:color="auto"/>
              <w:bottom w:val="single" w:sz="4" w:space="0" w:color="auto"/>
              <w:right w:val="single" w:sz="4" w:space="0" w:color="auto"/>
            </w:tcBorders>
            <w:vAlign w:val="bottom"/>
          </w:tcPr>
          <w:p w14:paraId="485A3294" w14:textId="0904CC4D" w:rsidR="00986EB0" w:rsidRPr="00986EB0" w:rsidRDefault="00986EB0" w:rsidP="00986EB0">
            <w:pPr>
              <w:contextualSpacing/>
              <w:jc w:val="center"/>
              <w:rPr>
                <w:rFonts w:cs="Arial"/>
                <w:color w:val="000000"/>
                <w:sz w:val="16"/>
                <w:szCs w:val="16"/>
              </w:rPr>
            </w:pPr>
            <w:r w:rsidRPr="00986EB0">
              <w:rPr>
                <w:rFonts w:cs="Arial"/>
                <w:color w:val="000000"/>
                <w:sz w:val="16"/>
                <w:szCs w:val="16"/>
              </w:rPr>
              <w:t>22040</w:t>
            </w:r>
          </w:p>
        </w:tc>
      </w:tr>
      <w:tr w:rsidR="00986EB0" w:rsidRPr="00BB0618" w14:paraId="58AECFF8" w14:textId="414CE8B8" w:rsidTr="000A082F">
        <w:trPr>
          <w:trHeight w:val="20"/>
          <w:jc w:val="center"/>
        </w:trPr>
        <w:tc>
          <w:tcPr>
            <w:tcW w:w="848" w:type="dxa"/>
            <w:vMerge/>
            <w:shd w:val="clear" w:color="auto" w:fill="BFBFBF"/>
            <w:vAlign w:val="center"/>
            <w:hideMark/>
          </w:tcPr>
          <w:p w14:paraId="514656C5" w14:textId="77777777" w:rsidR="00986EB0" w:rsidRPr="00BB0618" w:rsidRDefault="00986EB0" w:rsidP="00986EB0">
            <w:pPr>
              <w:contextualSpacing/>
              <w:rPr>
                <w:rFonts w:cs="Arial"/>
                <w:b/>
                <w:bCs/>
                <w:sz w:val="16"/>
                <w:szCs w:val="16"/>
              </w:rPr>
            </w:pPr>
          </w:p>
        </w:tc>
        <w:tc>
          <w:tcPr>
            <w:tcW w:w="1992" w:type="dxa"/>
            <w:vAlign w:val="center"/>
            <w:hideMark/>
          </w:tcPr>
          <w:p w14:paraId="127BAD4B" w14:textId="77777777" w:rsidR="00986EB0" w:rsidRPr="00BB0618" w:rsidRDefault="00986EB0" w:rsidP="00986EB0">
            <w:pPr>
              <w:contextualSpacing/>
              <w:rPr>
                <w:rFonts w:cs="Arial"/>
                <w:sz w:val="16"/>
                <w:szCs w:val="16"/>
              </w:rPr>
            </w:pPr>
            <w:r w:rsidRPr="00BB0618">
              <w:rPr>
                <w:rFonts w:cs="Arial"/>
                <w:sz w:val="16"/>
                <w:szCs w:val="16"/>
              </w:rPr>
              <w:t>Výr. el. energie (</w:t>
            </w:r>
            <w:proofErr w:type="spellStart"/>
            <w:r w:rsidRPr="00BB0618">
              <w:rPr>
                <w:rFonts w:cs="Arial"/>
                <w:sz w:val="16"/>
                <w:szCs w:val="16"/>
              </w:rPr>
              <w:t>MWh</w:t>
            </w:r>
            <w:proofErr w:type="spellEnd"/>
            <w:r w:rsidRPr="00BB0618">
              <w:rPr>
                <w:rFonts w:cs="Arial"/>
                <w:sz w:val="16"/>
                <w:szCs w:val="16"/>
              </w:rPr>
              <w:t>)</w:t>
            </w:r>
          </w:p>
        </w:tc>
        <w:tc>
          <w:tcPr>
            <w:tcW w:w="972" w:type="dxa"/>
            <w:vAlign w:val="center"/>
          </w:tcPr>
          <w:p w14:paraId="2DB3D50A" w14:textId="0E15D1A5" w:rsidR="00986EB0" w:rsidRPr="00BB0618" w:rsidRDefault="00986EB0" w:rsidP="00986EB0">
            <w:pPr>
              <w:contextualSpacing/>
              <w:jc w:val="center"/>
              <w:rPr>
                <w:rFonts w:cs="Arial"/>
                <w:sz w:val="16"/>
                <w:szCs w:val="16"/>
              </w:rPr>
            </w:pPr>
            <w:r w:rsidRPr="00BB0618">
              <w:rPr>
                <w:rFonts w:cs="Arial"/>
                <w:sz w:val="16"/>
                <w:szCs w:val="16"/>
              </w:rPr>
              <w:t>99 497</w:t>
            </w:r>
          </w:p>
        </w:tc>
        <w:tc>
          <w:tcPr>
            <w:tcW w:w="972" w:type="dxa"/>
            <w:vAlign w:val="center"/>
          </w:tcPr>
          <w:p w14:paraId="67009C59" w14:textId="1E9994D2" w:rsidR="00986EB0" w:rsidRPr="00BB0618" w:rsidRDefault="00986EB0" w:rsidP="00986EB0">
            <w:pPr>
              <w:contextualSpacing/>
              <w:jc w:val="center"/>
              <w:rPr>
                <w:rFonts w:cs="Arial"/>
                <w:sz w:val="16"/>
                <w:szCs w:val="16"/>
              </w:rPr>
            </w:pPr>
            <w:r w:rsidRPr="00BB0618">
              <w:rPr>
                <w:rFonts w:cs="Arial"/>
                <w:sz w:val="16"/>
                <w:szCs w:val="16"/>
              </w:rPr>
              <w:t>77 475</w:t>
            </w:r>
          </w:p>
        </w:tc>
        <w:tc>
          <w:tcPr>
            <w:tcW w:w="972" w:type="dxa"/>
            <w:vAlign w:val="center"/>
          </w:tcPr>
          <w:p w14:paraId="1D7AF99F" w14:textId="626D4A74" w:rsidR="00986EB0" w:rsidRPr="00BB0618" w:rsidRDefault="00986EB0" w:rsidP="00986EB0">
            <w:pPr>
              <w:contextualSpacing/>
              <w:jc w:val="center"/>
              <w:rPr>
                <w:rFonts w:cs="Arial"/>
                <w:sz w:val="16"/>
                <w:szCs w:val="16"/>
              </w:rPr>
            </w:pPr>
            <w:r w:rsidRPr="00BB0618">
              <w:rPr>
                <w:rFonts w:cs="Arial"/>
                <w:sz w:val="16"/>
                <w:szCs w:val="16"/>
              </w:rPr>
              <w:t>77 922</w:t>
            </w:r>
          </w:p>
        </w:tc>
        <w:tc>
          <w:tcPr>
            <w:tcW w:w="972" w:type="dxa"/>
            <w:vAlign w:val="center"/>
          </w:tcPr>
          <w:p w14:paraId="11C702D6" w14:textId="21102475" w:rsidR="00986EB0" w:rsidRPr="00BB0618" w:rsidRDefault="00986EB0" w:rsidP="00986EB0">
            <w:pPr>
              <w:contextualSpacing/>
              <w:jc w:val="center"/>
              <w:rPr>
                <w:rFonts w:cs="Arial"/>
                <w:sz w:val="16"/>
                <w:szCs w:val="16"/>
              </w:rPr>
            </w:pPr>
            <w:r w:rsidRPr="00BB0618">
              <w:rPr>
                <w:rFonts w:cs="Arial"/>
                <w:sz w:val="16"/>
                <w:szCs w:val="16"/>
              </w:rPr>
              <w:t>91 123</w:t>
            </w:r>
          </w:p>
        </w:tc>
        <w:tc>
          <w:tcPr>
            <w:tcW w:w="972" w:type="dxa"/>
            <w:vAlign w:val="bottom"/>
          </w:tcPr>
          <w:p w14:paraId="1AC47674" w14:textId="3337E7EB" w:rsidR="00986EB0" w:rsidRPr="00BB0618" w:rsidRDefault="00986EB0" w:rsidP="00986EB0">
            <w:pPr>
              <w:contextualSpacing/>
              <w:jc w:val="center"/>
              <w:rPr>
                <w:rFonts w:cs="Arial"/>
                <w:sz w:val="16"/>
                <w:szCs w:val="16"/>
              </w:rPr>
            </w:pPr>
            <w:r w:rsidRPr="00BB0618">
              <w:rPr>
                <w:rFonts w:cs="Arial"/>
                <w:sz w:val="16"/>
                <w:szCs w:val="16"/>
              </w:rPr>
              <w:t>91 693</w:t>
            </w:r>
          </w:p>
        </w:tc>
        <w:tc>
          <w:tcPr>
            <w:tcW w:w="972" w:type="dxa"/>
            <w:vAlign w:val="bottom"/>
          </w:tcPr>
          <w:p w14:paraId="7E010825" w14:textId="72B75558" w:rsidR="00986EB0" w:rsidRPr="00BB0618" w:rsidRDefault="00986EB0" w:rsidP="00986EB0">
            <w:pPr>
              <w:contextualSpacing/>
              <w:jc w:val="center"/>
              <w:rPr>
                <w:rFonts w:cs="Arial"/>
                <w:sz w:val="16"/>
                <w:szCs w:val="16"/>
              </w:rPr>
            </w:pPr>
            <w:r w:rsidRPr="00BB0618">
              <w:rPr>
                <w:rFonts w:cs="Arial"/>
                <w:sz w:val="16"/>
                <w:szCs w:val="16"/>
              </w:rPr>
              <w:t>102 569</w:t>
            </w:r>
          </w:p>
        </w:tc>
        <w:tc>
          <w:tcPr>
            <w:tcW w:w="972" w:type="dxa"/>
            <w:vAlign w:val="bottom"/>
          </w:tcPr>
          <w:p w14:paraId="08A262A4" w14:textId="1DF4DDE0" w:rsidR="00986EB0" w:rsidRPr="00BB0618" w:rsidRDefault="00986EB0" w:rsidP="00986EB0">
            <w:pPr>
              <w:contextualSpacing/>
              <w:jc w:val="center"/>
              <w:rPr>
                <w:rFonts w:cs="Arial"/>
                <w:sz w:val="16"/>
                <w:szCs w:val="16"/>
              </w:rPr>
            </w:pPr>
            <w:r w:rsidRPr="00BB0618">
              <w:rPr>
                <w:rFonts w:cs="Arial"/>
                <w:sz w:val="16"/>
                <w:szCs w:val="16"/>
              </w:rPr>
              <w:t>106 526</w:t>
            </w:r>
          </w:p>
        </w:tc>
        <w:tc>
          <w:tcPr>
            <w:tcW w:w="972" w:type="dxa"/>
            <w:vAlign w:val="bottom"/>
          </w:tcPr>
          <w:p w14:paraId="28E2D3F4" w14:textId="0D5B5E4E" w:rsidR="00986EB0" w:rsidRPr="00BB0618" w:rsidRDefault="00986EB0" w:rsidP="00986EB0">
            <w:pPr>
              <w:contextualSpacing/>
              <w:jc w:val="center"/>
              <w:rPr>
                <w:rFonts w:cs="Arial"/>
                <w:sz w:val="16"/>
                <w:szCs w:val="16"/>
              </w:rPr>
            </w:pPr>
            <w:r w:rsidRPr="00BB0618">
              <w:rPr>
                <w:rFonts w:cs="Arial"/>
                <w:color w:val="000000"/>
                <w:sz w:val="16"/>
                <w:szCs w:val="16"/>
              </w:rPr>
              <w:t>96 678</w:t>
            </w:r>
          </w:p>
        </w:tc>
        <w:tc>
          <w:tcPr>
            <w:tcW w:w="972" w:type="dxa"/>
            <w:vAlign w:val="bottom"/>
          </w:tcPr>
          <w:p w14:paraId="59EDD6F0" w14:textId="758ED662" w:rsidR="00986EB0" w:rsidRPr="00BB0618" w:rsidRDefault="00986EB0" w:rsidP="00986EB0">
            <w:pPr>
              <w:contextualSpacing/>
              <w:jc w:val="center"/>
              <w:rPr>
                <w:rFonts w:cs="Arial"/>
                <w:color w:val="000000"/>
                <w:sz w:val="16"/>
                <w:szCs w:val="16"/>
              </w:rPr>
            </w:pPr>
            <w:r w:rsidRPr="00BB0618">
              <w:rPr>
                <w:rFonts w:cs="Arial"/>
                <w:color w:val="000000"/>
                <w:sz w:val="16"/>
                <w:szCs w:val="16"/>
              </w:rPr>
              <w:t>99 876</w:t>
            </w:r>
          </w:p>
        </w:tc>
        <w:tc>
          <w:tcPr>
            <w:tcW w:w="972" w:type="dxa"/>
            <w:tcBorders>
              <w:top w:val="nil"/>
              <w:left w:val="single" w:sz="4" w:space="0" w:color="auto"/>
              <w:bottom w:val="single" w:sz="4" w:space="0" w:color="auto"/>
              <w:right w:val="single" w:sz="4" w:space="0" w:color="auto"/>
            </w:tcBorders>
            <w:vAlign w:val="bottom"/>
          </w:tcPr>
          <w:p w14:paraId="3E88B907" w14:textId="181E4D2A" w:rsidR="00986EB0" w:rsidRPr="00986EB0" w:rsidRDefault="00986EB0" w:rsidP="00986EB0">
            <w:pPr>
              <w:contextualSpacing/>
              <w:jc w:val="center"/>
              <w:rPr>
                <w:rFonts w:cs="Arial"/>
                <w:color w:val="000000"/>
                <w:sz w:val="16"/>
                <w:szCs w:val="16"/>
              </w:rPr>
            </w:pPr>
            <w:r w:rsidRPr="00986EB0">
              <w:rPr>
                <w:rFonts w:cs="Arial"/>
                <w:color w:val="000000"/>
                <w:sz w:val="16"/>
                <w:szCs w:val="16"/>
              </w:rPr>
              <w:t>81696</w:t>
            </w:r>
          </w:p>
        </w:tc>
      </w:tr>
      <w:tr w:rsidR="00986EB0" w:rsidRPr="00BB0618" w14:paraId="0520B420" w14:textId="3B88A6C7" w:rsidTr="000A082F">
        <w:trPr>
          <w:trHeight w:val="20"/>
          <w:jc w:val="center"/>
        </w:trPr>
        <w:tc>
          <w:tcPr>
            <w:tcW w:w="848" w:type="dxa"/>
            <w:vMerge/>
            <w:shd w:val="clear" w:color="auto" w:fill="BFBFBF"/>
            <w:vAlign w:val="center"/>
            <w:hideMark/>
          </w:tcPr>
          <w:p w14:paraId="456D453E" w14:textId="77777777" w:rsidR="00986EB0" w:rsidRPr="00BB0618" w:rsidRDefault="00986EB0" w:rsidP="00986EB0">
            <w:pPr>
              <w:contextualSpacing/>
              <w:rPr>
                <w:rFonts w:cs="Arial"/>
                <w:b/>
                <w:bCs/>
                <w:sz w:val="16"/>
                <w:szCs w:val="16"/>
              </w:rPr>
            </w:pPr>
          </w:p>
        </w:tc>
        <w:tc>
          <w:tcPr>
            <w:tcW w:w="1992" w:type="dxa"/>
            <w:vAlign w:val="center"/>
            <w:hideMark/>
          </w:tcPr>
          <w:p w14:paraId="0C0647CC" w14:textId="77777777" w:rsidR="00986EB0" w:rsidRPr="00BB0618" w:rsidRDefault="00986EB0" w:rsidP="00986EB0">
            <w:pPr>
              <w:contextualSpacing/>
              <w:rPr>
                <w:rFonts w:cs="Arial"/>
                <w:sz w:val="16"/>
                <w:szCs w:val="16"/>
              </w:rPr>
            </w:pPr>
            <w:r w:rsidRPr="00BB0618">
              <w:rPr>
                <w:rFonts w:cs="Arial"/>
                <w:sz w:val="16"/>
                <w:szCs w:val="16"/>
              </w:rPr>
              <w:t>Tržby (tis. Kč)</w:t>
            </w:r>
          </w:p>
        </w:tc>
        <w:tc>
          <w:tcPr>
            <w:tcW w:w="972" w:type="dxa"/>
            <w:vAlign w:val="center"/>
          </w:tcPr>
          <w:p w14:paraId="67FD22A4" w14:textId="29397DF9" w:rsidR="00986EB0" w:rsidRPr="00BB0618" w:rsidRDefault="00986EB0" w:rsidP="00986EB0">
            <w:pPr>
              <w:contextualSpacing/>
              <w:jc w:val="center"/>
              <w:rPr>
                <w:rFonts w:cs="Arial"/>
                <w:sz w:val="16"/>
                <w:szCs w:val="16"/>
              </w:rPr>
            </w:pPr>
            <w:r w:rsidRPr="00BB0618">
              <w:rPr>
                <w:rFonts w:cs="Arial"/>
                <w:sz w:val="16"/>
                <w:szCs w:val="16"/>
              </w:rPr>
              <w:t>225 704</w:t>
            </w:r>
          </w:p>
        </w:tc>
        <w:tc>
          <w:tcPr>
            <w:tcW w:w="972" w:type="dxa"/>
            <w:vAlign w:val="center"/>
          </w:tcPr>
          <w:p w14:paraId="7526DCFE" w14:textId="00FF5C07" w:rsidR="00986EB0" w:rsidRPr="00BB0618" w:rsidRDefault="00986EB0" w:rsidP="00986EB0">
            <w:pPr>
              <w:contextualSpacing/>
              <w:jc w:val="center"/>
              <w:rPr>
                <w:rFonts w:cs="Arial"/>
                <w:sz w:val="16"/>
                <w:szCs w:val="16"/>
              </w:rPr>
            </w:pPr>
            <w:r w:rsidRPr="00BB0618">
              <w:rPr>
                <w:rFonts w:cs="Arial"/>
                <w:sz w:val="16"/>
                <w:szCs w:val="16"/>
              </w:rPr>
              <w:t>276 114</w:t>
            </w:r>
          </w:p>
        </w:tc>
        <w:tc>
          <w:tcPr>
            <w:tcW w:w="972" w:type="dxa"/>
            <w:vAlign w:val="center"/>
          </w:tcPr>
          <w:p w14:paraId="6EF9004B" w14:textId="6BAA1C7D" w:rsidR="00986EB0" w:rsidRPr="00BB0618" w:rsidRDefault="00986EB0" w:rsidP="00986EB0">
            <w:pPr>
              <w:contextualSpacing/>
              <w:jc w:val="center"/>
              <w:rPr>
                <w:rFonts w:cs="Arial"/>
                <w:sz w:val="16"/>
                <w:szCs w:val="16"/>
              </w:rPr>
            </w:pPr>
            <w:r w:rsidRPr="00BB0618">
              <w:rPr>
                <w:rFonts w:cs="Arial"/>
                <w:sz w:val="16"/>
                <w:szCs w:val="16"/>
              </w:rPr>
              <w:t>211 048</w:t>
            </w:r>
          </w:p>
        </w:tc>
        <w:tc>
          <w:tcPr>
            <w:tcW w:w="972" w:type="dxa"/>
            <w:vAlign w:val="center"/>
          </w:tcPr>
          <w:p w14:paraId="618D3F8B" w14:textId="2D36748B" w:rsidR="00986EB0" w:rsidRPr="00BB0618" w:rsidRDefault="00986EB0" w:rsidP="00986EB0">
            <w:pPr>
              <w:contextualSpacing/>
              <w:jc w:val="center"/>
              <w:rPr>
                <w:rFonts w:cs="Arial"/>
                <w:sz w:val="16"/>
                <w:szCs w:val="16"/>
              </w:rPr>
            </w:pPr>
            <w:r w:rsidRPr="00BB0618">
              <w:rPr>
                <w:rFonts w:cs="Arial"/>
                <w:sz w:val="16"/>
                <w:szCs w:val="16"/>
              </w:rPr>
              <w:t>271 244</w:t>
            </w:r>
          </w:p>
        </w:tc>
        <w:tc>
          <w:tcPr>
            <w:tcW w:w="972" w:type="dxa"/>
            <w:vAlign w:val="bottom"/>
          </w:tcPr>
          <w:p w14:paraId="02CBB2E8" w14:textId="3105B32A" w:rsidR="00986EB0" w:rsidRPr="00BB0618" w:rsidRDefault="00986EB0" w:rsidP="00986EB0">
            <w:pPr>
              <w:contextualSpacing/>
              <w:jc w:val="center"/>
              <w:rPr>
                <w:rFonts w:cs="Arial"/>
                <w:sz w:val="16"/>
                <w:szCs w:val="16"/>
              </w:rPr>
            </w:pPr>
            <w:r w:rsidRPr="00BB0618">
              <w:rPr>
                <w:rFonts w:cs="Arial"/>
                <w:sz w:val="16"/>
                <w:szCs w:val="16"/>
              </w:rPr>
              <w:t>283 769</w:t>
            </w:r>
          </w:p>
        </w:tc>
        <w:tc>
          <w:tcPr>
            <w:tcW w:w="972" w:type="dxa"/>
            <w:vAlign w:val="bottom"/>
          </w:tcPr>
          <w:p w14:paraId="5B9B27FA" w14:textId="049CF55E" w:rsidR="00986EB0" w:rsidRPr="00BB0618" w:rsidRDefault="00986EB0" w:rsidP="00986EB0">
            <w:pPr>
              <w:contextualSpacing/>
              <w:jc w:val="center"/>
              <w:rPr>
                <w:rFonts w:cs="Arial"/>
                <w:sz w:val="16"/>
                <w:szCs w:val="16"/>
              </w:rPr>
            </w:pPr>
            <w:r w:rsidRPr="00BB0618">
              <w:rPr>
                <w:rFonts w:cs="Arial"/>
                <w:sz w:val="16"/>
                <w:szCs w:val="16"/>
              </w:rPr>
              <w:t>265 892</w:t>
            </w:r>
          </w:p>
        </w:tc>
        <w:tc>
          <w:tcPr>
            <w:tcW w:w="972" w:type="dxa"/>
            <w:vAlign w:val="bottom"/>
          </w:tcPr>
          <w:p w14:paraId="6A59766A" w14:textId="0BC0505E" w:rsidR="00986EB0" w:rsidRPr="00BB0618" w:rsidRDefault="00986EB0" w:rsidP="00986EB0">
            <w:pPr>
              <w:contextualSpacing/>
              <w:jc w:val="center"/>
              <w:rPr>
                <w:rFonts w:cs="Arial"/>
                <w:sz w:val="16"/>
                <w:szCs w:val="16"/>
              </w:rPr>
            </w:pPr>
            <w:r w:rsidRPr="00BB0618">
              <w:rPr>
                <w:rFonts w:cs="Arial"/>
                <w:sz w:val="16"/>
                <w:szCs w:val="16"/>
              </w:rPr>
              <w:t>299 867</w:t>
            </w:r>
          </w:p>
        </w:tc>
        <w:tc>
          <w:tcPr>
            <w:tcW w:w="972" w:type="dxa"/>
            <w:vAlign w:val="bottom"/>
          </w:tcPr>
          <w:p w14:paraId="49DC44D6" w14:textId="053D7F7A" w:rsidR="00986EB0" w:rsidRPr="00BB0618" w:rsidRDefault="00986EB0" w:rsidP="00986EB0">
            <w:pPr>
              <w:contextualSpacing/>
              <w:jc w:val="center"/>
              <w:rPr>
                <w:rFonts w:cs="Arial"/>
                <w:sz w:val="16"/>
                <w:szCs w:val="16"/>
              </w:rPr>
            </w:pPr>
            <w:r w:rsidRPr="00BB0618">
              <w:rPr>
                <w:rFonts w:cs="Arial"/>
                <w:color w:val="000000"/>
                <w:sz w:val="16"/>
                <w:szCs w:val="16"/>
              </w:rPr>
              <w:t>443 803</w:t>
            </w:r>
          </w:p>
        </w:tc>
        <w:tc>
          <w:tcPr>
            <w:tcW w:w="972" w:type="dxa"/>
            <w:vAlign w:val="bottom"/>
          </w:tcPr>
          <w:p w14:paraId="3B79198F" w14:textId="08451979" w:rsidR="00986EB0" w:rsidRPr="00BB0618" w:rsidRDefault="00986EB0" w:rsidP="00986EB0">
            <w:pPr>
              <w:contextualSpacing/>
              <w:jc w:val="center"/>
              <w:rPr>
                <w:rFonts w:cs="Arial"/>
                <w:color w:val="000000"/>
                <w:sz w:val="16"/>
                <w:szCs w:val="16"/>
              </w:rPr>
            </w:pPr>
            <w:r w:rsidRPr="00BB0618">
              <w:rPr>
                <w:rFonts w:cs="Arial"/>
                <w:color w:val="000000"/>
                <w:sz w:val="16"/>
                <w:szCs w:val="16"/>
              </w:rPr>
              <w:t>362 324</w:t>
            </w:r>
          </w:p>
        </w:tc>
        <w:tc>
          <w:tcPr>
            <w:tcW w:w="972" w:type="dxa"/>
            <w:tcBorders>
              <w:top w:val="nil"/>
              <w:left w:val="single" w:sz="4" w:space="0" w:color="auto"/>
              <w:bottom w:val="single" w:sz="4" w:space="0" w:color="auto"/>
              <w:right w:val="single" w:sz="4" w:space="0" w:color="auto"/>
            </w:tcBorders>
            <w:vAlign w:val="bottom"/>
          </w:tcPr>
          <w:p w14:paraId="047305FA" w14:textId="5D82F7A8" w:rsidR="00986EB0" w:rsidRPr="00986EB0" w:rsidRDefault="00986EB0" w:rsidP="00986EB0">
            <w:pPr>
              <w:contextualSpacing/>
              <w:jc w:val="center"/>
              <w:rPr>
                <w:rFonts w:cs="Arial"/>
                <w:color w:val="000000"/>
                <w:sz w:val="16"/>
                <w:szCs w:val="16"/>
              </w:rPr>
            </w:pPr>
            <w:r w:rsidRPr="00986EB0">
              <w:rPr>
                <w:rFonts w:cs="Arial"/>
                <w:color w:val="000000"/>
                <w:sz w:val="16"/>
                <w:szCs w:val="16"/>
              </w:rPr>
              <w:t>295 292</w:t>
            </w:r>
          </w:p>
        </w:tc>
      </w:tr>
      <w:tr w:rsidR="00986EB0" w:rsidRPr="00BB0618" w14:paraId="2CFEEABB" w14:textId="0AF62E4E" w:rsidTr="000A082F">
        <w:trPr>
          <w:trHeight w:val="20"/>
          <w:jc w:val="center"/>
        </w:trPr>
        <w:tc>
          <w:tcPr>
            <w:tcW w:w="848" w:type="dxa"/>
            <w:vMerge w:val="restart"/>
            <w:shd w:val="clear" w:color="auto" w:fill="BFBFBF"/>
            <w:vAlign w:val="center"/>
            <w:hideMark/>
          </w:tcPr>
          <w:p w14:paraId="52AAED84" w14:textId="77777777" w:rsidR="00986EB0" w:rsidRPr="00BB0618" w:rsidRDefault="00986EB0" w:rsidP="00986EB0">
            <w:pPr>
              <w:contextualSpacing/>
              <w:rPr>
                <w:rFonts w:cs="Arial"/>
                <w:b/>
                <w:bCs/>
                <w:sz w:val="16"/>
                <w:szCs w:val="16"/>
              </w:rPr>
            </w:pPr>
            <w:r w:rsidRPr="00BB0618">
              <w:rPr>
                <w:rFonts w:cs="Arial"/>
                <w:b/>
                <w:bCs/>
                <w:sz w:val="16"/>
                <w:szCs w:val="16"/>
              </w:rPr>
              <w:t>Ohře</w:t>
            </w:r>
          </w:p>
        </w:tc>
        <w:tc>
          <w:tcPr>
            <w:tcW w:w="1992" w:type="dxa"/>
            <w:vAlign w:val="center"/>
            <w:hideMark/>
          </w:tcPr>
          <w:p w14:paraId="0266BC25" w14:textId="77777777" w:rsidR="00986EB0" w:rsidRPr="00BB0618" w:rsidRDefault="00986EB0" w:rsidP="00986EB0">
            <w:pPr>
              <w:contextualSpacing/>
              <w:rPr>
                <w:rFonts w:cs="Arial"/>
                <w:sz w:val="16"/>
                <w:szCs w:val="16"/>
              </w:rPr>
            </w:pPr>
            <w:r w:rsidRPr="00BB0618">
              <w:rPr>
                <w:rFonts w:cs="Arial"/>
                <w:sz w:val="16"/>
                <w:szCs w:val="16"/>
              </w:rPr>
              <w:t>Počet MVE</w:t>
            </w:r>
          </w:p>
        </w:tc>
        <w:tc>
          <w:tcPr>
            <w:tcW w:w="972" w:type="dxa"/>
            <w:vAlign w:val="center"/>
          </w:tcPr>
          <w:p w14:paraId="3A4C8D17" w14:textId="3735406C" w:rsidR="00986EB0" w:rsidRPr="00BB0618" w:rsidRDefault="00986EB0" w:rsidP="00986EB0">
            <w:pPr>
              <w:contextualSpacing/>
              <w:jc w:val="center"/>
              <w:rPr>
                <w:rFonts w:cs="Arial"/>
                <w:sz w:val="16"/>
                <w:szCs w:val="16"/>
              </w:rPr>
            </w:pPr>
            <w:r w:rsidRPr="00BB0618">
              <w:rPr>
                <w:rFonts w:cs="Arial"/>
                <w:sz w:val="16"/>
                <w:szCs w:val="16"/>
              </w:rPr>
              <w:t>21</w:t>
            </w:r>
          </w:p>
        </w:tc>
        <w:tc>
          <w:tcPr>
            <w:tcW w:w="972" w:type="dxa"/>
            <w:vAlign w:val="center"/>
          </w:tcPr>
          <w:p w14:paraId="25CD874C" w14:textId="29E21387" w:rsidR="00986EB0" w:rsidRPr="00BB0618" w:rsidRDefault="00986EB0" w:rsidP="00986EB0">
            <w:pPr>
              <w:contextualSpacing/>
              <w:jc w:val="center"/>
              <w:rPr>
                <w:rFonts w:cs="Arial"/>
                <w:sz w:val="16"/>
                <w:szCs w:val="16"/>
              </w:rPr>
            </w:pPr>
            <w:r w:rsidRPr="00BB0618">
              <w:rPr>
                <w:rFonts w:cs="Arial"/>
                <w:sz w:val="16"/>
                <w:szCs w:val="16"/>
              </w:rPr>
              <w:t>22</w:t>
            </w:r>
          </w:p>
        </w:tc>
        <w:tc>
          <w:tcPr>
            <w:tcW w:w="972" w:type="dxa"/>
            <w:vAlign w:val="center"/>
          </w:tcPr>
          <w:p w14:paraId="58CC3437" w14:textId="55D8689A" w:rsidR="00986EB0" w:rsidRPr="00BB0618" w:rsidRDefault="00986EB0" w:rsidP="00986EB0">
            <w:pPr>
              <w:contextualSpacing/>
              <w:jc w:val="center"/>
              <w:rPr>
                <w:rFonts w:cs="Arial"/>
                <w:sz w:val="16"/>
                <w:szCs w:val="16"/>
              </w:rPr>
            </w:pPr>
            <w:r w:rsidRPr="00BB0618">
              <w:rPr>
                <w:rFonts w:cs="Arial"/>
                <w:sz w:val="16"/>
                <w:szCs w:val="16"/>
              </w:rPr>
              <w:t>22</w:t>
            </w:r>
          </w:p>
        </w:tc>
        <w:tc>
          <w:tcPr>
            <w:tcW w:w="972" w:type="dxa"/>
            <w:vAlign w:val="center"/>
          </w:tcPr>
          <w:p w14:paraId="2CFC185E" w14:textId="10F7E79B" w:rsidR="00986EB0" w:rsidRPr="00BB0618" w:rsidRDefault="00986EB0" w:rsidP="00986EB0">
            <w:pPr>
              <w:contextualSpacing/>
              <w:jc w:val="center"/>
              <w:rPr>
                <w:rFonts w:cs="Arial"/>
                <w:sz w:val="16"/>
                <w:szCs w:val="16"/>
              </w:rPr>
            </w:pPr>
            <w:r w:rsidRPr="00BB0618">
              <w:rPr>
                <w:rFonts w:cs="Arial"/>
                <w:sz w:val="16"/>
                <w:szCs w:val="16"/>
              </w:rPr>
              <w:t>22</w:t>
            </w:r>
          </w:p>
        </w:tc>
        <w:tc>
          <w:tcPr>
            <w:tcW w:w="972" w:type="dxa"/>
            <w:vAlign w:val="bottom"/>
          </w:tcPr>
          <w:p w14:paraId="5E3FA7B0" w14:textId="01164059" w:rsidR="00986EB0" w:rsidRPr="00BB0618" w:rsidRDefault="00986EB0" w:rsidP="00986EB0">
            <w:pPr>
              <w:contextualSpacing/>
              <w:jc w:val="center"/>
              <w:rPr>
                <w:rFonts w:cs="Arial"/>
                <w:sz w:val="16"/>
                <w:szCs w:val="16"/>
              </w:rPr>
            </w:pPr>
            <w:r w:rsidRPr="00BB0618">
              <w:rPr>
                <w:rFonts w:cs="Arial"/>
                <w:sz w:val="16"/>
                <w:szCs w:val="16"/>
              </w:rPr>
              <w:t>22</w:t>
            </w:r>
          </w:p>
        </w:tc>
        <w:tc>
          <w:tcPr>
            <w:tcW w:w="972" w:type="dxa"/>
            <w:vAlign w:val="bottom"/>
          </w:tcPr>
          <w:p w14:paraId="4B10E719" w14:textId="55A73ECA" w:rsidR="00986EB0" w:rsidRPr="00BB0618" w:rsidRDefault="00986EB0" w:rsidP="00986EB0">
            <w:pPr>
              <w:contextualSpacing/>
              <w:jc w:val="center"/>
              <w:rPr>
                <w:rFonts w:cs="Arial"/>
                <w:sz w:val="16"/>
                <w:szCs w:val="16"/>
              </w:rPr>
            </w:pPr>
            <w:r w:rsidRPr="00BB0618">
              <w:rPr>
                <w:rFonts w:cs="Arial"/>
                <w:sz w:val="16"/>
                <w:szCs w:val="16"/>
              </w:rPr>
              <w:t>22</w:t>
            </w:r>
          </w:p>
        </w:tc>
        <w:tc>
          <w:tcPr>
            <w:tcW w:w="972" w:type="dxa"/>
            <w:vAlign w:val="bottom"/>
          </w:tcPr>
          <w:p w14:paraId="627E93F4" w14:textId="51D32BA9" w:rsidR="00986EB0" w:rsidRPr="00BB0618" w:rsidRDefault="00986EB0" w:rsidP="00986EB0">
            <w:pPr>
              <w:contextualSpacing/>
              <w:jc w:val="center"/>
              <w:rPr>
                <w:rFonts w:cs="Arial"/>
                <w:sz w:val="16"/>
                <w:szCs w:val="16"/>
              </w:rPr>
            </w:pPr>
            <w:r w:rsidRPr="00BB0618">
              <w:rPr>
                <w:rFonts w:cs="Arial"/>
                <w:sz w:val="16"/>
                <w:szCs w:val="16"/>
              </w:rPr>
              <w:t>23</w:t>
            </w:r>
          </w:p>
        </w:tc>
        <w:tc>
          <w:tcPr>
            <w:tcW w:w="972" w:type="dxa"/>
            <w:vAlign w:val="bottom"/>
          </w:tcPr>
          <w:p w14:paraId="7DE64403" w14:textId="23501415" w:rsidR="00986EB0" w:rsidRPr="00BB0618" w:rsidRDefault="00986EB0" w:rsidP="00986EB0">
            <w:pPr>
              <w:contextualSpacing/>
              <w:jc w:val="center"/>
              <w:rPr>
                <w:rFonts w:cs="Arial"/>
                <w:sz w:val="16"/>
                <w:szCs w:val="16"/>
              </w:rPr>
            </w:pPr>
            <w:r w:rsidRPr="00BB0618">
              <w:rPr>
                <w:rFonts w:cs="Arial"/>
                <w:color w:val="000000"/>
                <w:sz w:val="16"/>
                <w:szCs w:val="16"/>
              </w:rPr>
              <w:t>23</w:t>
            </w:r>
          </w:p>
        </w:tc>
        <w:tc>
          <w:tcPr>
            <w:tcW w:w="972" w:type="dxa"/>
            <w:vAlign w:val="bottom"/>
          </w:tcPr>
          <w:p w14:paraId="1AAE529C" w14:textId="20C84216" w:rsidR="00986EB0" w:rsidRPr="00BB0618" w:rsidRDefault="00986EB0" w:rsidP="00986EB0">
            <w:pPr>
              <w:contextualSpacing/>
              <w:jc w:val="center"/>
              <w:rPr>
                <w:rFonts w:cs="Arial"/>
                <w:color w:val="000000"/>
                <w:sz w:val="16"/>
                <w:szCs w:val="16"/>
              </w:rPr>
            </w:pPr>
            <w:r w:rsidRPr="00BB0618">
              <w:rPr>
                <w:rFonts w:cs="Arial"/>
                <w:color w:val="000000"/>
                <w:sz w:val="16"/>
                <w:szCs w:val="16"/>
              </w:rPr>
              <w:t>23</w:t>
            </w:r>
          </w:p>
        </w:tc>
        <w:tc>
          <w:tcPr>
            <w:tcW w:w="972" w:type="dxa"/>
            <w:tcBorders>
              <w:top w:val="nil"/>
              <w:left w:val="single" w:sz="4" w:space="0" w:color="auto"/>
              <w:bottom w:val="single" w:sz="4" w:space="0" w:color="auto"/>
              <w:right w:val="single" w:sz="4" w:space="0" w:color="auto"/>
            </w:tcBorders>
            <w:vAlign w:val="bottom"/>
          </w:tcPr>
          <w:p w14:paraId="215B1EC2" w14:textId="0463D91A" w:rsidR="00986EB0" w:rsidRPr="00986EB0" w:rsidRDefault="00986EB0" w:rsidP="00986EB0">
            <w:pPr>
              <w:contextualSpacing/>
              <w:jc w:val="center"/>
              <w:rPr>
                <w:rFonts w:cs="Arial"/>
                <w:color w:val="000000"/>
                <w:sz w:val="16"/>
                <w:szCs w:val="16"/>
              </w:rPr>
            </w:pPr>
            <w:r w:rsidRPr="00986EB0">
              <w:rPr>
                <w:rFonts w:cs="Arial"/>
                <w:color w:val="000000"/>
                <w:sz w:val="16"/>
                <w:szCs w:val="16"/>
              </w:rPr>
              <w:t>23</w:t>
            </w:r>
          </w:p>
        </w:tc>
      </w:tr>
      <w:tr w:rsidR="00986EB0" w:rsidRPr="00BB0618" w14:paraId="08E86C1F" w14:textId="093BEA0D" w:rsidTr="000A082F">
        <w:trPr>
          <w:trHeight w:val="20"/>
          <w:jc w:val="center"/>
        </w:trPr>
        <w:tc>
          <w:tcPr>
            <w:tcW w:w="848" w:type="dxa"/>
            <w:vMerge/>
            <w:shd w:val="clear" w:color="auto" w:fill="BFBFBF"/>
            <w:vAlign w:val="center"/>
            <w:hideMark/>
          </w:tcPr>
          <w:p w14:paraId="4A7FE1C6" w14:textId="77777777" w:rsidR="00986EB0" w:rsidRPr="00BB0618" w:rsidRDefault="00986EB0" w:rsidP="00986EB0">
            <w:pPr>
              <w:contextualSpacing/>
              <w:rPr>
                <w:rFonts w:cs="Arial"/>
                <w:b/>
                <w:bCs/>
                <w:sz w:val="16"/>
                <w:szCs w:val="16"/>
              </w:rPr>
            </w:pPr>
          </w:p>
        </w:tc>
        <w:tc>
          <w:tcPr>
            <w:tcW w:w="1992" w:type="dxa"/>
            <w:vAlign w:val="center"/>
            <w:hideMark/>
          </w:tcPr>
          <w:p w14:paraId="27053A9A" w14:textId="77777777" w:rsidR="00986EB0" w:rsidRPr="00BB0618" w:rsidRDefault="00986EB0" w:rsidP="00986EB0">
            <w:pPr>
              <w:contextualSpacing/>
              <w:rPr>
                <w:rFonts w:cs="Arial"/>
                <w:sz w:val="16"/>
                <w:szCs w:val="16"/>
              </w:rPr>
            </w:pPr>
            <w:r w:rsidRPr="00BB0618">
              <w:rPr>
                <w:rFonts w:cs="Arial"/>
                <w:sz w:val="16"/>
                <w:szCs w:val="16"/>
              </w:rPr>
              <w:t>Instalovaný výkon (kW)</w:t>
            </w:r>
          </w:p>
        </w:tc>
        <w:tc>
          <w:tcPr>
            <w:tcW w:w="972" w:type="dxa"/>
            <w:vAlign w:val="center"/>
          </w:tcPr>
          <w:p w14:paraId="0EA5FF57" w14:textId="5D1B9A1C" w:rsidR="00986EB0" w:rsidRPr="00BB0618" w:rsidRDefault="00986EB0" w:rsidP="00986EB0">
            <w:pPr>
              <w:contextualSpacing/>
              <w:jc w:val="center"/>
              <w:rPr>
                <w:rFonts w:cs="Arial"/>
                <w:sz w:val="16"/>
                <w:szCs w:val="16"/>
              </w:rPr>
            </w:pPr>
            <w:r w:rsidRPr="00BB0618">
              <w:rPr>
                <w:rFonts w:cs="Arial"/>
                <w:sz w:val="16"/>
                <w:szCs w:val="16"/>
              </w:rPr>
              <w:t>16 966</w:t>
            </w:r>
          </w:p>
        </w:tc>
        <w:tc>
          <w:tcPr>
            <w:tcW w:w="972" w:type="dxa"/>
            <w:vAlign w:val="center"/>
          </w:tcPr>
          <w:p w14:paraId="11415478" w14:textId="594AABED" w:rsidR="00986EB0" w:rsidRPr="00BB0618" w:rsidRDefault="00986EB0" w:rsidP="00986EB0">
            <w:pPr>
              <w:contextualSpacing/>
              <w:jc w:val="center"/>
              <w:rPr>
                <w:rFonts w:cs="Arial"/>
                <w:sz w:val="16"/>
                <w:szCs w:val="16"/>
              </w:rPr>
            </w:pPr>
            <w:r w:rsidRPr="00BB0618">
              <w:rPr>
                <w:rFonts w:cs="Arial"/>
                <w:sz w:val="16"/>
                <w:szCs w:val="16"/>
              </w:rPr>
              <w:t>17 091</w:t>
            </w:r>
          </w:p>
        </w:tc>
        <w:tc>
          <w:tcPr>
            <w:tcW w:w="972" w:type="dxa"/>
            <w:vAlign w:val="center"/>
          </w:tcPr>
          <w:p w14:paraId="12524B59" w14:textId="7A2DB7D5" w:rsidR="00986EB0" w:rsidRPr="00BB0618" w:rsidRDefault="00986EB0" w:rsidP="00986EB0">
            <w:pPr>
              <w:contextualSpacing/>
              <w:jc w:val="center"/>
              <w:rPr>
                <w:rFonts w:cs="Arial"/>
                <w:sz w:val="16"/>
                <w:szCs w:val="16"/>
              </w:rPr>
            </w:pPr>
            <w:r w:rsidRPr="00BB0618">
              <w:rPr>
                <w:rFonts w:cs="Arial"/>
                <w:sz w:val="16"/>
                <w:szCs w:val="16"/>
              </w:rPr>
              <w:t>17 091</w:t>
            </w:r>
          </w:p>
        </w:tc>
        <w:tc>
          <w:tcPr>
            <w:tcW w:w="972" w:type="dxa"/>
            <w:vAlign w:val="center"/>
          </w:tcPr>
          <w:p w14:paraId="7A21614E" w14:textId="5939F7C6" w:rsidR="00986EB0" w:rsidRPr="00BB0618" w:rsidRDefault="00986EB0" w:rsidP="00986EB0">
            <w:pPr>
              <w:contextualSpacing/>
              <w:jc w:val="center"/>
              <w:rPr>
                <w:rFonts w:cs="Arial"/>
                <w:sz w:val="16"/>
                <w:szCs w:val="16"/>
              </w:rPr>
            </w:pPr>
            <w:r w:rsidRPr="00BB0618">
              <w:rPr>
                <w:rFonts w:cs="Arial"/>
                <w:sz w:val="16"/>
                <w:szCs w:val="16"/>
              </w:rPr>
              <w:t>17 091</w:t>
            </w:r>
          </w:p>
        </w:tc>
        <w:tc>
          <w:tcPr>
            <w:tcW w:w="972" w:type="dxa"/>
            <w:vAlign w:val="bottom"/>
          </w:tcPr>
          <w:p w14:paraId="6D9EF494" w14:textId="6CD6B01F" w:rsidR="00986EB0" w:rsidRPr="00BB0618" w:rsidRDefault="00986EB0" w:rsidP="00986EB0">
            <w:pPr>
              <w:contextualSpacing/>
              <w:jc w:val="center"/>
              <w:rPr>
                <w:rFonts w:cs="Arial"/>
                <w:sz w:val="16"/>
                <w:szCs w:val="16"/>
              </w:rPr>
            </w:pPr>
            <w:r w:rsidRPr="00BB0618">
              <w:rPr>
                <w:rFonts w:cs="Arial"/>
                <w:sz w:val="16"/>
                <w:szCs w:val="16"/>
              </w:rPr>
              <w:t>17 091</w:t>
            </w:r>
          </w:p>
        </w:tc>
        <w:tc>
          <w:tcPr>
            <w:tcW w:w="972" w:type="dxa"/>
            <w:vAlign w:val="bottom"/>
          </w:tcPr>
          <w:p w14:paraId="0619CCBA" w14:textId="53FBA299" w:rsidR="00986EB0" w:rsidRPr="00BB0618" w:rsidRDefault="00986EB0" w:rsidP="00986EB0">
            <w:pPr>
              <w:contextualSpacing/>
              <w:jc w:val="center"/>
              <w:rPr>
                <w:rFonts w:cs="Arial"/>
                <w:sz w:val="16"/>
                <w:szCs w:val="16"/>
              </w:rPr>
            </w:pPr>
            <w:r w:rsidRPr="00BB0618">
              <w:rPr>
                <w:rFonts w:cs="Arial"/>
                <w:sz w:val="16"/>
                <w:szCs w:val="16"/>
              </w:rPr>
              <w:t>17 091</w:t>
            </w:r>
          </w:p>
        </w:tc>
        <w:tc>
          <w:tcPr>
            <w:tcW w:w="972" w:type="dxa"/>
            <w:vAlign w:val="bottom"/>
          </w:tcPr>
          <w:p w14:paraId="26CFB1E5" w14:textId="5D44EA6F" w:rsidR="00986EB0" w:rsidRPr="00BB0618" w:rsidRDefault="00986EB0" w:rsidP="00986EB0">
            <w:pPr>
              <w:contextualSpacing/>
              <w:jc w:val="center"/>
              <w:rPr>
                <w:rFonts w:cs="Arial"/>
                <w:sz w:val="16"/>
                <w:szCs w:val="16"/>
              </w:rPr>
            </w:pPr>
            <w:r w:rsidRPr="00BB0618">
              <w:rPr>
                <w:rFonts w:cs="Arial"/>
                <w:sz w:val="16"/>
                <w:szCs w:val="16"/>
              </w:rPr>
              <w:t>17 113</w:t>
            </w:r>
          </w:p>
        </w:tc>
        <w:tc>
          <w:tcPr>
            <w:tcW w:w="972" w:type="dxa"/>
            <w:vAlign w:val="bottom"/>
          </w:tcPr>
          <w:p w14:paraId="0420592B" w14:textId="521F3C46" w:rsidR="00986EB0" w:rsidRPr="00BB0618" w:rsidRDefault="00986EB0" w:rsidP="00986EB0">
            <w:pPr>
              <w:contextualSpacing/>
              <w:jc w:val="center"/>
              <w:rPr>
                <w:rFonts w:cs="Arial"/>
                <w:sz w:val="16"/>
                <w:szCs w:val="16"/>
              </w:rPr>
            </w:pPr>
            <w:r w:rsidRPr="00BB0618">
              <w:rPr>
                <w:rFonts w:cs="Arial"/>
                <w:color w:val="000000"/>
                <w:sz w:val="16"/>
                <w:szCs w:val="16"/>
              </w:rPr>
              <w:t>17 113</w:t>
            </w:r>
          </w:p>
        </w:tc>
        <w:tc>
          <w:tcPr>
            <w:tcW w:w="972" w:type="dxa"/>
            <w:vAlign w:val="bottom"/>
          </w:tcPr>
          <w:p w14:paraId="1BA00A70" w14:textId="03C36C3C" w:rsidR="00986EB0" w:rsidRPr="00BB0618" w:rsidRDefault="00986EB0" w:rsidP="00986EB0">
            <w:pPr>
              <w:contextualSpacing/>
              <w:jc w:val="center"/>
              <w:rPr>
                <w:rFonts w:cs="Arial"/>
                <w:color w:val="000000"/>
                <w:sz w:val="16"/>
                <w:szCs w:val="16"/>
              </w:rPr>
            </w:pPr>
            <w:r w:rsidRPr="00BB0618">
              <w:rPr>
                <w:rFonts w:cs="Arial"/>
                <w:color w:val="000000"/>
                <w:sz w:val="16"/>
                <w:szCs w:val="16"/>
              </w:rPr>
              <w:t>17 113</w:t>
            </w:r>
          </w:p>
        </w:tc>
        <w:tc>
          <w:tcPr>
            <w:tcW w:w="972" w:type="dxa"/>
            <w:tcBorders>
              <w:top w:val="nil"/>
              <w:left w:val="single" w:sz="4" w:space="0" w:color="auto"/>
              <w:bottom w:val="single" w:sz="4" w:space="0" w:color="auto"/>
              <w:right w:val="single" w:sz="4" w:space="0" w:color="auto"/>
            </w:tcBorders>
            <w:vAlign w:val="bottom"/>
          </w:tcPr>
          <w:p w14:paraId="5A8E97DD" w14:textId="058C7199" w:rsidR="00986EB0" w:rsidRPr="00986EB0" w:rsidRDefault="00986EB0" w:rsidP="00986EB0">
            <w:pPr>
              <w:contextualSpacing/>
              <w:jc w:val="center"/>
              <w:rPr>
                <w:rFonts w:cs="Arial"/>
                <w:color w:val="000000"/>
                <w:sz w:val="16"/>
                <w:szCs w:val="16"/>
              </w:rPr>
            </w:pPr>
            <w:r w:rsidRPr="00986EB0">
              <w:rPr>
                <w:rFonts w:cs="Arial"/>
                <w:color w:val="000000"/>
                <w:sz w:val="16"/>
                <w:szCs w:val="16"/>
              </w:rPr>
              <w:t>17185</w:t>
            </w:r>
          </w:p>
        </w:tc>
      </w:tr>
      <w:tr w:rsidR="00986EB0" w:rsidRPr="00BB0618" w14:paraId="58663649" w14:textId="456B1065" w:rsidTr="000A082F">
        <w:trPr>
          <w:trHeight w:val="20"/>
          <w:jc w:val="center"/>
        </w:trPr>
        <w:tc>
          <w:tcPr>
            <w:tcW w:w="848" w:type="dxa"/>
            <w:vMerge/>
            <w:shd w:val="clear" w:color="auto" w:fill="BFBFBF"/>
            <w:vAlign w:val="center"/>
            <w:hideMark/>
          </w:tcPr>
          <w:p w14:paraId="57889124" w14:textId="77777777" w:rsidR="00986EB0" w:rsidRPr="00BB0618" w:rsidRDefault="00986EB0" w:rsidP="00986EB0">
            <w:pPr>
              <w:contextualSpacing/>
              <w:rPr>
                <w:rFonts w:cs="Arial"/>
                <w:b/>
                <w:bCs/>
                <w:sz w:val="16"/>
                <w:szCs w:val="16"/>
              </w:rPr>
            </w:pPr>
          </w:p>
        </w:tc>
        <w:tc>
          <w:tcPr>
            <w:tcW w:w="1992" w:type="dxa"/>
            <w:vAlign w:val="center"/>
            <w:hideMark/>
          </w:tcPr>
          <w:p w14:paraId="2D34EE8B" w14:textId="77777777" w:rsidR="00986EB0" w:rsidRPr="00BB0618" w:rsidRDefault="00986EB0" w:rsidP="00986EB0">
            <w:pPr>
              <w:contextualSpacing/>
              <w:rPr>
                <w:rFonts w:cs="Arial"/>
                <w:sz w:val="16"/>
                <w:szCs w:val="16"/>
              </w:rPr>
            </w:pPr>
            <w:r w:rsidRPr="00BB0618">
              <w:rPr>
                <w:rFonts w:cs="Arial"/>
                <w:sz w:val="16"/>
                <w:szCs w:val="16"/>
              </w:rPr>
              <w:t>Výr. el. energie (</w:t>
            </w:r>
            <w:proofErr w:type="spellStart"/>
            <w:r w:rsidRPr="00BB0618">
              <w:rPr>
                <w:rFonts w:cs="Arial"/>
                <w:sz w:val="16"/>
                <w:szCs w:val="16"/>
              </w:rPr>
              <w:t>MWh</w:t>
            </w:r>
            <w:proofErr w:type="spellEnd"/>
            <w:r w:rsidRPr="00BB0618">
              <w:rPr>
                <w:rFonts w:cs="Arial"/>
                <w:sz w:val="16"/>
                <w:szCs w:val="16"/>
              </w:rPr>
              <w:t>)</w:t>
            </w:r>
          </w:p>
        </w:tc>
        <w:tc>
          <w:tcPr>
            <w:tcW w:w="972" w:type="dxa"/>
            <w:vAlign w:val="center"/>
          </w:tcPr>
          <w:p w14:paraId="62B00384" w14:textId="5F2E0E3D" w:rsidR="00986EB0" w:rsidRPr="00BB0618" w:rsidRDefault="00986EB0" w:rsidP="00986EB0">
            <w:pPr>
              <w:contextualSpacing/>
              <w:jc w:val="center"/>
              <w:rPr>
                <w:rFonts w:cs="Arial"/>
                <w:sz w:val="16"/>
                <w:szCs w:val="16"/>
              </w:rPr>
            </w:pPr>
            <w:r w:rsidRPr="00BB0618">
              <w:rPr>
                <w:rFonts w:cs="Arial"/>
                <w:sz w:val="16"/>
                <w:szCs w:val="16"/>
              </w:rPr>
              <w:t>84 910</w:t>
            </w:r>
          </w:p>
        </w:tc>
        <w:tc>
          <w:tcPr>
            <w:tcW w:w="972" w:type="dxa"/>
            <w:vAlign w:val="center"/>
          </w:tcPr>
          <w:p w14:paraId="1583C190" w14:textId="66E06BC5" w:rsidR="00986EB0" w:rsidRPr="00BB0618" w:rsidRDefault="00986EB0" w:rsidP="00986EB0">
            <w:pPr>
              <w:contextualSpacing/>
              <w:jc w:val="center"/>
              <w:rPr>
                <w:rFonts w:cs="Arial"/>
                <w:sz w:val="16"/>
                <w:szCs w:val="16"/>
              </w:rPr>
            </w:pPr>
            <w:r w:rsidRPr="00BB0618">
              <w:rPr>
                <w:rFonts w:cs="Arial"/>
                <w:sz w:val="16"/>
                <w:szCs w:val="16"/>
              </w:rPr>
              <w:t>84 244</w:t>
            </w:r>
          </w:p>
        </w:tc>
        <w:tc>
          <w:tcPr>
            <w:tcW w:w="972" w:type="dxa"/>
            <w:vAlign w:val="center"/>
          </w:tcPr>
          <w:p w14:paraId="7AA56649" w14:textId="0EDC214D" w:rsidR="00986EB0" w:rsidRPr="00BB0618" w:rsidRDefault="00986EB0" w:rsidP="00986EB0">
            <w:pPr>
              <w:contextualSpacing/>
              <w:jc w:val="center"/>
              <w:rPr>
                <w:rFonts w:cs="Arial"/>
                <w:sz w:val="16"/>
                <w:szCs w:val="16"/>
              </w:rPr>
            </w:pPr>
            <w:r w:rsidRPr="00BB0618">
              <w:rPr>
                <w:rFonts w:cs="Arial"/>
                <w:sz w:val="16"/>
                <w:szCs w:val="16"/>
              </w:rPr>
              <w:t>72 908</w:t>
            </w:r>
          </w:p>
        </w:tc>
        <w:tc>
          <w:tcPr>
            <w:tcW w:w="972" w:type="dxa"/>
            <w:vAlign w:val="center"/>
          </w:tcPr>
          <w:p w14:paraId="3651E878" w14:textId="598C26B1" w:rsidR="00986EB0" w:rsidRPr="00BB0618" w:rsidRDefault="00986EB0" w:rsidP="00986EB0">
            <w:pPr>
              <w:contextualSpacing/>
              <w:jc w:val="center"/>
              <w:rPr>
                <w:rFonts w:cs="Arial"/>
                <w:sz w:val="16"/>
                <w:szCs w:val="16"/>
              </w:rPr>
            </w:pPr>
            <w:r w:rsidRPr="00BB0618">
              <w:rPr>
                <w:rFonts w:cs="Arial"/>
                <w:sz w:val="16"/>
                <w:szCs w:val="16"/>
              </w:rPr>
              <w:t>76 484</w:t>
            </w:r>
          </w:p>
        </w:tc>
        <w:tc>
          <w:tcPr>
            <w:tcW w:w="972" w:type="dxa"/>
            <w:vAlign w:val="bottom"/>
          </w:tcPr>
          <w:p w14:paraId="7F50176F" w14:textId="71BDAC7D" w:rsidR="00986EB0" w:rsidRPr="00BB0618" w:rsidRDefault="00986EB0" w:rsidP="00986EB0">
            <w:pPr>
              <w:contextualSpacing/>
              <w:jc w:val="center"/>
              <w:rPr>
                <w:rFonts w:cs="Arial"/>
                <w:sz w:val="16"/>
                <w:szCs w:val="16"/>
              </w:rPr>
            </w:pPr>
            <w:r w:rsidRPr="00BB0618">
              <w:rPr>
                <w:rFonts w:cs="Arial"/>
                <w:sz w:val="16"/>
                <w:szCs w:val="16"/>
              </w:rPr>
              <w:t>67 024</w:t>
            </w:r>
          </w:p>
        </w:tc>
        <w:tc>
          <w:tcPr>
            <w:tcW w:w="972" w:type="dxa"/>
            <w:vAlign w:val="bottom"/>
          </w:tcPr>
          <w:p w14:paraId="3EA00758" w14:textId="5407E2C8" w:rsidR="00986EB0" w:rsidRPr="00BB0618" w:rsidRDefault="00986EB0" w:rsidP="00986EB0">
            <w:pPr>
              <w:contextualSpacing/>
              <w:jc w:val="center"/>
              <w:rPr>
                <w:rFonts w:cs="Arial"/>
                <w:sz w:val="16"/>
                <w:szCs w:val="16"/>
              </w:rPr>
            </w:pPr>
            <w:r w:rsidRPr="00BB0618">
              <w:rPr>
                <w:rFonts w:cs="Arial"/>
                <w:sz w:val="16"/>
                <w:szCs w:val="16"/>
              </w:rPr>
              <w:t>92 537</w:t>
            </w:r>
          </w:p>
        </w:tc>
        <w:tc>
          <w:tcPr>
            <w:tcW w:w="972" w:type="dxa"/>
            <w:vAlign w:val="bottom"/>
          </w:tcPr>
          <w:p w14:paraId="1C4684ED" w14:textId="07CC9A66" w:rsidR="00986EB0" w:rsidRPr="00BB0618" w:rsidRDefault="00986EB0" w:rsidP="00986EB0">
            <w:pPr>
              <w:contextualSpacing/>
              <w:jc w:val="center"/>
              <w:rPr>
                <w:rFonts w:cs="Arial"/>
                <w:sz w:val="16"/>
                <w:szCs w:val="16"/>
              </w:rPr>
            </w:pPr>
            <w:r w:rsidRPr="00BB0618">
              <w:rPr>
                <w:rFonts w:cs="Arial"/>
                <w:sz w:val="16"/>
                <w:szCs w:val="16"/>
              </w:rPr>
              <w:t>73 279</w:t>
            </w:r>
          </w:p>
        </w:tc>
        <w:tc>
          <w:tcPr>
            <w:tcW w:w="972" w:type="dxa"/>
            <w:vAlign w:val="bottom"/>
          </w:tcPr>
          <w:p w14:paraId="4C509D44" w14:textId="135830AF" w:rsidR="00986EB0" w:rsidRPr="00BB0618" w:rsidRDefault="00986EB0" w:rsidP="00986EB0">
            <w:pPr>
              <w:contextualSpacing/>
              <w:jc w:val="center"/>
              <w:rPr>
                <w:rFonts w:cs="Arial"/>
                <w:sz w:val="16"/>
                <w:szCs w:val="16"/>
              </w:rPr>
            </w:pPr>
            <w:r w:rsidRPr="00BB0618">
              <w:rPr>
                <w:rFonts w:cs="Arial"/>
                <w:color w:val="000000"/>
                <w:sz w:val="16"/>
                <w:szCs w:val="16"/>
              </w:rPr>
              <w:t>77 617</w:t>
            </w:r>
          </w:p>
        </w:tc>
        <w:tc>
          <w:tcPr>
            <w:tcW w:w="972" w:type="dxa"/>
            <w:vAlign w:val="bottom"/>
          </w:tcPr>
          <w:p w14:paraId="4E8BC885" w14:textId="7B1BEC5F" w:rsidR="00986EB0" w:rsidRPr="00BB0618" w:rsidRDefault="00986EB0" w:rsidP="00986EB0">
            <w:pPr>
              <w:contextualSpacing/>
              <w:jc w:val="center"/>
              <w:rPr>
                <w:rFonts w:cs="Arial"/>
                <w:color w:val="000000"/>
                <w:sz w:val="16"/>
                <w:szCs w:val="16"/>
              </w:rPr>
            </w:pPr>
            <w:r w:rsidRPr="00BB0618">
              <w:rPr>
                <w:rFonts w:cs="Arial"/>
                <w:color w:val="000000"/>
                <w:sz w:val="16"/>
                <w:szCs w:val="16"/>
              </w:rPr>
              <w:t>92 347</w:t>
            </w:r>
          </w:p>
        </w:tc>
        <w:tc>
          <w:tcPr>
            <w:tcW w:w="972" w:type="dxa"/>
            <w:tcBorders>
              <w:top w:val="nil"/>
              <w:left w:val="single" w:sz="4" w:space="0" w:color="auto"/>
              <w:bottom w:val="single" w:sz="4" w:space="0" w:color="auto"/>
              <w:right w:val="single" w:sz="4" w:space="0" w:color="auto"/>
            </w:tcBorders>
            <w:vAlign w:val="bottom"/>
          </w:tcPr>
          <w:p w14:paraId="3760BEE5" w14:textId="77EEA211" w:rsidR="00986EB0" w:rsidRPr="00986EB0" w:rsidRDefault="00986EB0" w:rsidP="00986EB0">
            <w:pPr>
              <w:contextualSpacing/>
              <w:jc w:val="center"/>
              <w:rPr>
                <w:rFonts w:cs="Arial"/>
                <w:color w:val="000000"/>
                <w:sz w:val="16"/>
                <w:szCs w:val="16"/>
              </w:rPr>
            </w:pPr>
            <w:r w:rsidRPr="00986EB0">
              <w:rPr>
                <w:rFonts w:cs="Arial"/>
                <w:color w:val="000000"/>
                <w:sz w:val="16"/>
                <w:szCs w:val="16"/>
              </w:rPr>
              <w:t>57812</w:t>
            </w:r>
          </w:p>
        </w:tc>
      </w:tr>
      <w:tr w:rsidR="00986EB0" w:rsidRPr="00BB0618" w14:paraId="73DE6B01" w14:textId="26B2755B" w:rsidTr="000A082F">
        <w:trPr>
          <w:trHeight w:val="20"/>
          <w:jc w:val="center"/>
        </w:trPr>
        <w:tc>
          <w:tcPr>
            <w:tcW w:w="848" w:type="dxa"/>
            <w:vMerge/>
            <w:shd w:val="clear" w:color="auto" w:fill="BFBFBF"/>
            <w:vAlign w:val="center"/>
            <w:hideMark/>
          </w:tcPr>
          <w:p w14:paraId="643D8594" w14:textId="77777777" w:rsidR="00986EB0" w:rsidRPr="00BB0618" w:rsidRDefault="00986EB0" w:rsidP="00986EB0">
            <w:pPr>
              <w:contextualSpacing/>
              <w:rPr>
                <w:rFonts w:cs="Arial"/>
                <w:b/>
                <w:bCs/>
                <w:sz w:val="16"/>
                <w:szCs w:val="16"/>
              </w:rPr>
            </w:pPr>
          </w:p>
        </w:tc>
        <w:tc>
          <w:tcPr>
            <w:tcW w:w="1992" w:type="dxa"/>
            <w:vAlign w:val="center"/>
            <w:hideMark/>
          </w:tcPr>
          <w:p w14:paraId="273A70A9" w14:textId="77777777" w:rsidR="00986EB0" w:rsidRPr="00BB0618" w:rsidRDefault="00986EB0" w:rsidP="00986EB0">
            <w:pPr>
              <w:contextualSpacing/>
              <w:rPr>
                <w:rFonts w:cs="Arial"/>
                <w:sz w:val="16"/>
                <w:szCs w:val="16"/>
              </w:rPr>
            </w:pPr>
            <w:r w:rsidRPr="00BB0618">
              <w:rPr>
                <w:rFonts w:cs="Arial"/>
                <w:sz w:val="16"/>
                <w:szCs w:val="16"/>
              </w:rPr>
              <w:t>Tržby (tis. Kč)</w:t>
            </w:r>
          </w:p>
        </w:tc>
        <w:tc>
          <w:tcPr>
            <w:tcW w:w="972" w:type="dxa"/>
            <w:vAlign w:val="center"/>
          </w:tcPr>
          <w:p w14:paraId="0800BA78" w14:textId="42850C09" w:rsidR="00986EB0" w:rsidRPr="00BB0618" w:rsidRDefault="00986EB0" w:rsidP="00986EB0">
            <w:pPr>
              <w:contextualSpacing/>
              <w:jc w:val="center"/>
              <w:rPr>
                <w:rFonts w:cs="Arial"/>
                <w:sz w:val="16"/>
                <w:szCs w:val="16"/>
              </w:rPr>
            </w:pPr>
            <w:r w:rsidRPr="00BB0618">
              <w:rPr>
                <w:rFonts w:cs="Arial"/>
                <w:sz w:val="16"/>
                <w:szCs w:val="16"/>
              </w:rPr>
              <w:t>136 223</w:t>
            </w:r>
          </w:p>
        </w:tc>
        <w:tc>
          <w:tcPr>
            <w:tcW w:w="972" w:type="dxa"/>
            <w:vAlign w:val="center"/>
          </w:tcPr>
          <w:p w14:paraId="1EFE547A" w14:textId="74CA4392" w:rsidR="00986EB0" w:rsidRPr="00BB0618" w:rsidRDefault="00986EB0" w:rsidP="00986EB0">
            <w:pPr>
              <w:contextualSpacing/>
              <w:jc w:val="center"/>
              <w:rPr>
                <w:rFonts w:cs="Arial"/>
                <w:sz w:val="16"/>
                <w:szCs w:val="16"/>
              </w:rPr>
            </w:pPr>
            <w:r w:rsidRPr="00BB0618">
              <w:rPr>
                <w:rFonts w:cs="Arial"/>
                <w:sz w:val="16"/>
                <w:szCs w:val="16"/>
              </w:rPr>
              <w:t>327 221</w:t>
            </w:r>
          </w:p>
        </w:tc>
        <w:tc>
          <w:tcPr>
            <w:tcW w:w="972" w:type="dxa"/>
            <w:vAlign w:val="center"/>
          </w:tcPr>
          <w:p w14:paraId="1DFB9FB8" w14:textId="27539583" w:rsidR="00986EB0" w:rsidRPr="00BB0618" w:rsidRDefault="00986EB0" w:rsidP="00986EB0">
            <w:pPr>
              <w:contextualSpacing/>
              <w:jc w:val="center"/>
              <w:rPr>
                <w:rFonts w:cs="Arial"/>
                <w:sz w:val="16"/>
                <w:szCs w:val="16"/>
              </w:rPr>
            </w:pPr>
            <w:r w:rsidRPr="00BB0618">
              <w:rPr>
                <w:rFonts w:cs="Arial"/>
                <w:sz w:val="16"/>
                <w:szCs w:val="16"/>
              </w:rPr>
              <w:t>189 511</w:t>
            </w:r>
          </w:p>
        </w:tc>
        <w:tc>
          <w:tcPr>
            <w:tcW w:w="972" w:type="dxa"/>
            <w:vAlign w:val="center"/>
          </w:tcPr>
          <w:p w14:paraId="592B0FB0" w14:textId="04E1C6C5" w:rsidR="00986EB0" w:rsidRPr="00BB0618" w:rsidRDefault="00986EB0" w:rsidP="00986EB0">
            <w:pPr>
              <w:contextualSpacing/>
              <w:jc w:val="center"/>
              <w:rPr>
                <w:rFonts w:cs="Arial"/>
                <w:sz w:val="16"/>
                <w:szCs w:val="16"/>
              </w:rPr>
            </w:pPr>
            <w:r w:rsidRPr="00BB0618">
              <w:rPr>
                <w:rFonts w:cs="Arial"/>
                <w:sz w:val="16"/>
                <w:szCs w:val="16"/>
              </w:rPr>
              <w:t>211 005</w:t>
            </w:r>
          </w:p>
        </w:tc>
        <w:tc>
          <w:tcPr>
            <w:tcW w:w="972" w:type="dxa"/>
            <w:vAlign w:val="bottom"/>
          </w:tcPr>
          <w:p w14:paraId="6405B577" w14:textId="7F0DE2FB" w:rsidR="00986EB0" w:rsidRPr="00BB0618" w:rsidRDefault="00986EB0" w:rsidP="00986EB0">
            <w:pPr>
              <w:contextualSpacing/>
              <w:jc w:val="center"/>
              <w:rPr>
                <w:rFonts w:cs="Arial"/>
                <w:sz w:val="16"/>
                <w:szCs w:val="16"/>
              </w:rPr>
            </w:pPr>
            <w:r w:rsidRPr="00BB0618">
              <w:rPr>
                <w:rFonts w:cs="Arial"/>
                <w:sz w:val="16"/>
                <w:szCs w:val="16"/>
              </w:rPr>
              <w:t>212 222</w:t>
            </w:r>
          </w:p>
        </w:tc>
        <w:tc>
          <w:tcPr>
            <w:tcW w:w="972" w:type="dxa"/>
            <w:vAlign w:val="bottom"/>
          </w:tcPr>
          <w:p w14:paraId="4A0F90F6" w14:textId="1DA758A5" w:rsidR="00986EB0" w:rsidRPr="00BB0618" w:rsidRDefault="00986EB0" w:rsidP="00986EB0">
            <w:pPr>
              <w:contextualSpacing/>
              <w:jc w:val="center"/>
              <w:rPr>
                <w:rFonts w:cs="Arial"/>
                <w:sz w:val="16"/>
                <w:szCs w:val="16"/>
              </w:rPr>
            </w:pPr>
            <w:r w:rsidRPr="00BB0618">
              <w:rPr>
                <w:rFonts w:cs="Arial"/>
                <w:sz w:val="16"/>
                <w:szCs w:val="16"/>
              </w:rPr>
              <w:t>218 543</w:t>
            </w:r>
          </w:p>
        </w:tc>
        <w:tc>
          <w:tcPr>
            <w:tcW w:w="972" w:type="dxa"/>
            <w:vAlign w:val="bottom"/>
          </w:tcPr>
          <w:p w14:paraId="52391B70" w14:textId="2E752FCE" w:rsidR="00986EB0" w:rsidRPr="00BB0618" w:rsidRDefault="00986EB0" w:rsidP="00986EB0">
            <w:pPr>
              <w:contextualSpacing/>
              <w:jc w:val="center"/>
              <w:rPr>
                <w:rFonts w:cs="Arial"/>
                <w:sz w:val="16"/>
                <w:szCs w:val="16"/>
              </w:rPr>
            </w:pPr>
            <w:r w:rsidRPr="00BB0618">
              <w:rPr>
                <w:rFonts w:cs="Arial"/>
                <w:sz w:val="16"/>
                <w:szCs w:val="16"/>
              </w:rPr>
              <w:t>160 079</w:t>
            </w:r>
          </w:p>
        </w:tc>
        <w:tc>
          <w:tcPr>
            <w:tcW w:w="972" w:type="dxa"/>
            <w:vAlign w:val="bottom"/>
          </w:tcPr>
          <w:p w14:paraId="703EEC85" w14:textId="39506897" w:rsidR="00986EB0" w:rsidRPr="00BB0618" w:rsidRDefault="00986EB0" w:rsidP="00986EB0">
            <w:pPr>
              <w:contextualSpacing/>
              <w:jc w:val="center"/>
              <w:rPr>
                <w:rFonts w:cs="Arial"/>
                <w:sz w:val="16"/>
                <w:szCs w:val="16"/>
              </w:rPr>
            </w:pPr>
            <w:r w:rsidRPr="00BB0618">
              <w:rPr>
                <w:rFonts w:cs="Arial"/>
                <w:color w:val="000000"/>
                <w:sz w:val="16"/>
                <w:szCs w:val="16"/>
              </w:rPr>
              <w:t>474 340</w:t>
            </w:r>
          </w:p>
        </w:tc>
        <w:tc>
          <w:tcPr>
            <w:tcW w:w="972" w:type="dxa"/>
            <w:vAlign w:val="bottom"/>
          </w:tcPr>
          <w:p w14:paraId="536F3D9E" w14:textId="5DEEE20A" w:rsidR="00986EB0" w:rsidRPr="00BB0618" w:rsidRDefault="00986EB0" w:rsidP="00986EB0">
            <w:pPr>
              <w:contextualSpacing/>
              <w:jc w:val="center"/>
              <w:rPr>
                <w:rFonts w:cs="Arial"/>
                <w:color w:val="000000"/>
                <w:sz w:val="16"/>
                <w:szCs w:val="16"/>
              </w:rPr>
            </w:pPr>
            <w:r w:rsidRPr="00BB0618">
              <w:rPr>
                <w:rFonts w:cs="Arial"/>
                <w:color w:val="000000"/>
                <w:sz w:val="16"/>
                <w:szCs w:val="16"/>
              </w:rPr>
              <w:t>388 798</w:t>
            </w:r>
          </w:p>
        </w:tc>
        <w:tc>
          <w:tcPr>
            <w:tcW w:w="972" w:type="dxa"/>
            <w:tcBorders>
              <w:top w:val="nil"/>
              <w:left w:val="single" w:sz="4" w:space="0" w:color="auto"/>
              <w:bottom w:val="single" w:sz="4" w:space="0" w:color="auto"/>
              <w:right w:val="single" w:sz="4" w:space="0" w:color="auto"/>
            </w:tcBorders>
            <w:vAlign w:val="bottom"/>
          </w:tcPr>
          <w:p w14:paraId="274CE493" w14:textId="18CC5BD1" w:rsidR="00986EB0" w:rsidRPr="00986EB0" w:rsidRDefault="00986EB0" w:rsidP="00986EB0">
            <w:pPr>
              <w:contextualSpacing/>
              <w:jc w:val="center"/>
              <w:rPr>
                <w:rFonts w:cs="Arial"/>
                <w:color w:val="000000"/>
                <w:sz w:val="16"/>
                <w:szCs w:val="16"/>
              </w:rPr>
            </w:pPr>
            <w:r w:rsidRPr="00986EB0">
              <w:rPr>
                <w:rFonts w:cs="Arial"/>
                <w:color w:val="000000"/>
                <w:sz w:val="16"/>
                <w:szCs w:val="16"/>
              </w:rPr>
              <w:t>188577</w:t>
            </w:r>
          </w:p>
        </w:tc>
      </w:tr>
      <w:tr w:rsidR="00986EB0" w:rsidRPr="00BB0618" w14:paraId="1A7F3E9D" w14:textId="72D9FC8E" w:rsidTr="000C6095">
        <w:trPr>
          <w:trHeight w:val="20"/>
          <w:jc w:val="center"/>
        </w:trPr>
        <w:tc>
          <w:tcPr>
            <w:tcW w:w="848" w:type="dxa"/>
            <w:vMerge w:val="restart"/>
            <w:shd w:val="clear" w:color="auto" w:fill="BFBFBF"/>
            <w:vAlign w:val="center"/>
            <w:hideMark/>
          </w:tcPr>
          <w:p w14:paraId="36BC04F8" w14:textId="77777777" w:rsidR="00986EB0" w:rsidRPr="00BB0618" w:rsidRDefault="00986EB0" w:rsidP="00986EB0">
            <w:pPr>
              <w:contextualSpacing/>
              <w:rPr>
                <w:rFonts w:cs="Arial"/>
                <w:b/>
                <w:bCs/>
                <w:sz w:val="16"/>
                <w:szCs w:val="16"/>
              </w:rPr>
            </w:pPr>
            <w:r w:rsidRPr="00BB0618">
              <w:rPr>
                <w:rFonts w:cs="Arial"/>
                <w:b/>
                <w:bCs/>
                <w:sz w:val="16"/>
                <w:szCs w:val="16"/>
              </w:rPr>
              <w:t>Odry</w:t>
            </w:r>
          </w:p>
        </w:tc>
        <w:tc>
          <w:tcPr>
            <w:tcW w:w="1992" w:type="dxa"/>
            <w:vAlign w:val="center"/>
            <w:hideMark/>
          </w:tcPr>
          <w:p w14:paraId="66175E75" w14:textId="77777777" w:rsidR="00986EB0" w:rsidRPr="00BB0618" w:rsidRDefault="00986EB0" w:rsidP="00986EB0">
            <w:pPr>
              <w:contextualSpacing/>
              <w:rPr>
                <w:rFonts w:cs="Arial"/>
                <w:sz w:val="16"/>
                <w:szCs w:val="16"/>
              </w:rPr>
            </w:pPr>
            <w:r w:rsidRPr="00BB0618">
              <w:rPr>
                <w:rFonts w:cs="Arial"/>
                <w:sz w:val="16"/>
                <w:szCs w:val="16"/>
              </w:rPr>
              <w:t>Počet MVE</w:t>
            </w:r>
          </w:p>
        </w:tc>
        <w:tc>
          <w:tcPr>
            <w:tcW w:w="972" w:type="dxa"/>
            <w:vAlign w:val="center"/>
          </w:tcPr>
          <w:p w14:paraId="298F8978" w14:textId="05280A0D" w:rsidR="00986EB0" w:rsidRPr="00BB0618" w:rsidRDefault="00986EB0" w:rsidP="00986EB0">
            <w:pPr>
              <w:contextualSpacing/>
              <w:jc w:val="center"/>
              <w:rPr>
                <w:rFonts w:cs="Arial"/>
                <w:sz w:val="16"/>
                <w:szCs w:val="16"/>
              </w:rPr>
            </w:pPr>
            <w:r w:rsidRPr="00BB0618">
              <w:rPr>
                <w:rFonts w:cs="Arial"/>
                <w:sz w:val="16"/>
                <w:szCs w:val="16"/>
              </w:rPr>
              <w:t>23</w:t>
            </w:r>
          </w:p>
        </w:tc>
        <w:tc>
          <w:tcPr>
            <w:tcW w:w="972" w:type="dxa"/>
            <w:vAlign w:val="center"/>
          </w:tcPr>
          <w:p w14:paraId="029987B4" w14:textId="2ED0F335" w:rsidR="00986EB0" w:rsidRPr="00BB0618" w:rsidRDefault="00986EB0" w:rsidP="00986EB0">
            <w:pPr>
              <w:contextualSpacing/>
              <w:jc w:val="center"/>
              <w:rPr>
                <w:rFonts w:cs="Arial"/>
                <w:sz w:val="16"/>
                <w:szCs w:val="16"/>
              </w:rPr>
            </w:pPr>
            <w:r w:rsidRPr="00BB0618">
              <w:rPr>
                <w:rFonts w:cs="Arial"/>
                <w:sz w:val="16"/>
                <w:szCs w:val="16"/>
              </w:rPr>
              <w:t>23</w:t>
            </w:r>
          </w:p>
        </w:tc>
        <w:tc>
          <w:tcPr>
            <w:tcW w:w="972" w:type="dxa"/>
            <w:vAlign w:val="center"/>
          </w:tcPr>
          <w:p w14:paraId="56F7C654" w14:textId="5966FDB3" w:rsidR="00986EB0" w:rsidRPr="00BB0618" w:rsidRDefault="00986EB0" w:rsidP="00986EB0">
            <w:pPr>
              <w:contextualSpacing/>
              <w:jc w:val="center"/>
              <w:rPr>
                <w:rFonts w:cs="Arial"/>
                <w:sz w:val="16"/>
                <w:szCs w:val="16"/>
              </w:rPr>
            </w:pPr>
            <w:r w:rsidRPr="00BB0618">
              <w:rPr>
                <w:rFonts w:cs="Arial"/>
                <w:sz w:val="16"/>
                <w:szCs w:val="16"/>
              </w:rPr>
              <w:t>26</w:t>
            </w:r>
          </w:p>
        </w:tc>
        <w:tc>
          <w:tcPr>
            <w:tcW w:w="972" w:type="dxa"/>
            <w:vAlign w:val="center"/>
          </w:tcPr>
          <w:p w14:paraId="7A80585C" w14:textId="5DECC778" w:rsidR="00986EB0" w:rsidRPr="00BB0618" w:rsidRDefault="00986EB0" w:rsidP="00986EB0">
            <w:pPr>
              <w:contextualSpacing/>
              <w:jc w:val="center"/>
              <w:rPr>
                <w:rFonts w:cs="Arial"/>
                <w:sz w:val="16"/>
                <w:szCs w:val="16"/>
              </w:rPr>
            </w:pPr>
            <w:r w:rsidRPr="00BB0618">
              <w:rPr>
                <w:rFonts w:cs="Arial"/>
                <w:sz w:val="16"/>
                <w:szCs w:val="16"/>
              </w:rPr>
              <w:t>25</w:t>
            </w:r>
          </w:p>
        </w:tc>
        <w:tc>
          <w:tcPr>
            <w:tcW w:w="972" w:type="dxa"/>
            <w:vAlign w:val="bottom"/>
          </w:tcPr>
          <w:p w14:paraId="28CABC15" w14:textId="112683F6" w:rsidR="00986EB0" w:rsidRPr="00BB0618" w:rsidRDefault="00986EB0" w:rsidP="00986EB0">
            <w:pPr>
              <w:contextualSpacing/>
              <w:jc w:val="center"/>
              <w:rPr>
                <w:rFonts w:cs="Arial"/>
                <w:sz w:val="16"/>
                <w:szCs w:val="16"/>
              </w:rPr>
            </w:pPr>
            <w:r w:rsidRPr="00BB0618">
              <w:rPr>
                <w:rFonts w:cs="Arial"/>
                <w:sz w:val="16"/>
                <w:szCs w:val="16"/>
              </w:rPr>
              <w:t>26</w:t>
            </w:r>
          </w:p>
        </w:tc>
        <w:tc>
          <w:tcPr>
            <w:tcW w:w="972" w:type="dxa"/>
            <w:vAlign w:val="bottom"/>
          </w:tcPr>
          <w:p w14:paraId="049E3272" w14:textId="7E596EE8" w:rsidR="00986EB0" w:rsidRPr="00BB0618" w:rsidRDefault="00986EB0" w:rsidP="00986EB0">
            <w:pPr>
              <w:contextualSpacing/>
              <w:jc w:val="center"/>
              <w:rPr>
                <w:rFonts w:cs="Arial"/>
                <w:sz w:val="16"/>
                <w:szCs w:val="16"/>
              </w:rPr>
            </w:pPr>
            <w:r w:rsidRPr="00BB0618">
              <w:rPr>
                <w:rFonts w:cs="Arial"/>
                <w:sz w:val="16"/>
                <w:szCs w:val="16"/>
              </w:rPr>
              <w:t>26</w:t>
            </w:r>
          </w:p>
        </w:tc>
        <w:tc>
          <w:tcPr>
            <w:tcW w:w="972" w:type="dxa"/>
            <w:vAlign w:val="bottom"/>
          </w:tcPr>
          <w:p w14:paraId="4401F776" w14:textId="039AD9B7" w:rsidR="00986EB0" w:rsidRPr="00BB0618" w:rsidRDefault="00986EB0" w:rsidP="00986EB0">
            <w:pPr>
              <w:contextualSpacing/>
              <w:jc w:val="center"/>
              <w:rPr>
                <w:rFonts w:cs="Arial"/>
                <w:sz w:val="16"/>
                <w:szCs w:val="16"/>
              </w:rPr>
            </w:pPr>
            <w:r w:rsidRPr="00BB0618">
              <w:rPr>
                <w:rFonts w:cs="Arial"/>
                <w:sz w:val="16"/>
                <w:szCs w:val="16"/>
              </w:rPr>
              <w:t>26</w:t>
            </w:r>
          </w:p>
        </w:tc>
        <w:tc>
          <w:tcPr>
            <w:tcW w:w="972" w:type="dxa"/>
            <w:vAlign w:val="bottom"/>
          </w:tcPr>
          <w:p w14:paraId="7FE6C67A" w14:textId="5CC9397A" w:rsidR="00986EB0" w:rsidRPr="00BB0618" w:rsidRDefault="00986EB0" w:rsidP="00986EB0">
            <w:pPr>
              <w:contextualSpacing/>
              <w:jc w:val="center"/>
              <w:rPr>
                <w:rFonts w:cs="Arial"/>
                <w:sz w:val="16"/>
                <w:szCs w:val="16"/>
              </w:rPr>
            </w:pPr>
            <w:r w:rsidRPr="00BB0618">
              <w:rPr>
                <w:rFonts w:cs="Arial"/>
                <w:color w:val="000000"/>
                <w:sz w:val="16"/>
                <w:szCs w:val="16"/>
              </w:rPr>
              <w:t>26</w:t>
            </w:r>
          </w:p>
        </w:tc>
        <w:tc>
          <w:tcPr>
            <w:tcW w:w="972" w:type="dxa"/>
            <w:vAlign w:val="bottom"/>
          </w:tcPr>
          <w:p w14:paraId="37FA1B9D" w14:textId="74AF3F70" w:rsidR="00986EB0" w:rsidRPr="00BB0618" w:rsidRDefault="00986EB0" w:rsidP="00986EB0">
            <w:pPr>
              <w:contextualSpacing/>
              <w:jc w:val="center"/>
              <w:rPr>
                <w:rFonts w:cs="Arial"/>
                <w:color w:val="000000"/>
                <w:sz w:val="16"/>
                <w:szCs w:val="16"/>
              </w:rPr>
            </w:pPr>
            <w:r w:rsidRPr="00BB0618">
              <w:rPr>
                <w:rFonts w:cs="Arial"/>
                <w:color w:val="000000"/>
                <w:sz w:val="16"/>
                <w:szCs w:val="16"/>
              </w:rPr>
              <w:t>26</w:t>
            </w:r>
          </w:p>
        </w:tc>
        <w:tc>
          <w:tcPr>
            <w:tcW w:w="972" w:type="dxa"/>
            <w:tcBorders>
              <w:top w:val="nil"/>
              <w:left w:val="single" w:sz="4" w:space="0" w:color="auto"/>
              <w:bottom w:val="single" w:sz="4" w:space="0" w:color="auto"/>
              <w:right w:val="single" w:sz="4" w:space="0" w:color="auto"/>
            </w:tcBorders>
            <w:shd w:val="clear" w:color="auto" w:fill="FFFFFF" w:themeFill="background1"/>
            <w:vAlign w:val="bottom"/>
          </w:tcPr>
          <w:p w14:paraId="2FBAC6C1" w14:textId="72EB1B4B" w:rsidR="00986EB0" w:rsidRPr="00986EB0" w:rsidRDefault="00986EB0" w:rsidP="00986EB0">
            <w:pPr>
              <w:contextualSpacing/>
              <w:jc w:val="center"/>
              <w:rPr>
                <w:rFonts w:cs="Arial"/>
                <w:color w:val="000000"/>
                <w:sz w:val="16"/>
                <w:szCs w:val="16"/>
              </w:rPr>
            </w:pPr>
            <w:r w:rsidRPr="00986EB0">
              <w:rPr>
                <w:rFonts w:cs="Arial"/>
                <w:color w:val="000000"/>
                <w:sz w:val="16"/>
                <w:szCs w:val="16"/>
              </w:rPr>
              <w:t>29</w:t>
            </w:r>
          </w:p>
        </w:tc>
      </w:tr>
      <w:tr w:rsidR="00986EB0" w:rsidRPr="00BB0618" w14:paraId="4230E965" w14:textId="722F1527" w:rsidTr="000C6095">
        <w:trPr>
          <w:trHeight w:val="20"/>
          <w:jc w:val="center"/>
        </w:trPr>
        <w:tc>
          <w:tcPr>
            <w:tcW w:w="848" w:type="dxa"/>
            <w:vMerge/>
            <w:shd w:val="clear" w:color="auto" w:fill="BFBFBF"/>
            <w:vAlign w:val="center"/>
            <w:hideMark/>
          </w:tcPr>
          <w:p w14:paraId="1E91D139" w14:textId="77777777" w:rsidR="00986EB0" w:rsidRPr="00BB0618" w:rsidRDefault="00986EB0" w:rsidP="00986EB0">
            <w:pPr>
              <w:contextualSpacing/>
              <w:rPr>
                <w:rFonts w:cs="Arial"/>
                <w:b/>
                <w:bCs/>
                <w:sz w:val="16"/>
                <w:szCs w:val="16"/>
              </w:rPr>
            </w:pPr>
          </w:p>
        </w:tc>
        <w:tc>
          <w:tcPr>
            <w:tcW w:w="1992" w:type="dxa"/>
            <w:vAlign w:val="center"/>
            <w:hideMark/>
          </w:tcPr>
          <w:p w14:paraId="5B14366C" w14:textId="77777777" w:rsidR="00986EB0" w:rsidRPr="00BB0618" w:rsidRDefault="00986EB0" w:rsidP="00986EB0">
            <w:pPr>
              <w:contextualSpacing/>
              <w:rPr>
                <w:rFonts w:cs="Arial"/>
                <w:sz w:val="16"/>
                <w:szCs w:val="16"/>
              </w:rPr>
            </w:pPr>
            <w:r w:rsidRPr="00BB0618">
              <w:rPr>
                <w:rFonts w:cs="Arial"/>
                <w:sz w:val="16"/>
                <w:szCs w:val="16"/>
              </w:rPr>
              <w:t>Instalovaný výkon (kW)</w:t>
            </w:r>
          </w:p>
        </w:tc>
        <w:tc>
          <w:tcPr>
            <w:tcW w:w="972" w:type="dxa"/>
            <w:vAlign w:val="center"/>
          </w:tcPr>
          <w:p w14:paraId="3178A859" w14:textId="606EE83D" w:rsidR="00986EB0" w:rsidRPr="00BB0618" w:rsidRDefault="00986EB0" w:rsidP="00986EB0">
            <w:pPr>
              <w:contextualSpacing/>
              <w:jc w:val="center"/>
              <w:rPr>
                <w:rFonts w:cs="Arial"/>
                <w:sz w:val="16"/>
                <w:szCs w:val="16"/>
              </w:rPr>
            </w:pPr>
            <w:r w:rsidRPr="00BB0618">
              <w:rPr>
                <w:rFonts w:cs="Arial"/>
                <w:sz w:val="16"/>
                <w:szCs w:val="16"/>
              </w:rPr>
              <w:t>6 236</w:t>
            </w:r>
          </w:p>
        </w:tc>
        <w:tc>
          <w:tcPr>
            <w:tcW w:w="972" w:type="dxa"/>
            <w:vAlign w:val="center"/>
          </w:tcPr>
          <w:p w14:paraId="7CDF335F" w14:textId="688443DD" w:rsidR="00986EB0" w:rsidRPr="00BB0618" w:rsidRDefault="00986EB0" w:rsidP="00986EB0">
            <w:pPr>
              <w:contextualSpacing/>
              <w:jc w:val="center"/>
              <w:rPr>
                <w:rFonts w:cs="Arial"/>
                <w:sz w:val="16"/>
                <w:szCs w:val="16"/>
              </w:rPr>
            </w:pPr>
            <w:r w:rsidRPr="00BB0618">
              <w:rPr>
                <w:rFonts w:cs="Arial"/>
                <w:sz w:val="16"/>
                <w:szCs w:val="16"/>
              </w:rPr>
              <w:t>6 236</w:t>
            </w:r>
          </w:p>
        </w:tc>
        <w:tc>
          <w:tcPr>
            <w:tcW w:w="972" w:type="dxa"/>
            <w:vAlign w:val="center"/>
          </w:tcPr>
          <w:p w14:paraId="19C2C9F0" w14:textId="0505F533" w:rsidR="00986EB0" w:rsidRPr="00BB0618" w:rsidRDefault="00986EB0" w:rsidP="00986EB0">
            <w:pPr>
              <w:contextualSpacing/>
              <w:jc w:val="center"/>
              <w:rPr>
                <w:rFonts w:cs="Arial"/>
                <w:sz w:val="16"/>
                <w:szCs w:val="16"/>
              </w:rPr>
            </w:pPr>
            <w:r w:rsidRPr="00BB0618">
              <w:rPr>
                <w:rFonts w:cs="Arial"/>
                <w:sz w:val="16"/>
                <w:szCs w:val="16"/>
              </w:rPr>
              <w:t>6 352</w:t>
            </w:r>
          </w:p>
        </w:tc>
        <w:tc>
          <w:tcPr>
            <w:tcW w:w="972" w:type="dxa"/>
            <w:vAlign w:val="center"/>
          </w:tcPr>
          <w:p w14:paraId="60C9AA91" w14:textId="1876F3E4" w:rsidR="00986EB0" w:rsidRPr="00BB0618" w:rsidRDefault="00986EB0" w:rsidP="00986EB0">
            <w:pPr>
              <w:contextualSpacing/>
              <w:jc w:val="center"/>
              <w:rPr>
                <w:rFonts w:cs="Arial"/>
                <w:sz w:val="16"/>
                <w:szCs w:val="16"/>
              </w:rPr>
            </w:pPr>
            <w:r w:rsidRPr="00BB0618">
              <w:rPr>
                <w:rFonts w:cs="Arial"/>
                <w:sz w:val="16"/>
                <w:szCs w:val="16"/>
              </w:rPr>
              <w:t>6 262</w:t>
            </w:r>
          </w:p>
        </w:tc>
        <w:tc>
          <w:tcPr>
            <w:tcW w:w="972" w:type="dxa"/>
            <w:vAlign w:val="bottom"/>
          </w:tcPr>
          <w:p w14:paraId="33A1673A" w14:textId="47CA25DF" w:rsidR="00986EB0" w:rsidRPr="00BB0618" w:rsidRDefault="00986EB0" w:rsidP="00986EB0">
            <w:pPr>
              <w:contextualSpacing/>
              <w:jc w:val="center"/>
              <w:rPr>
                <w:rFonts w:cs="Arial"/>
                <w:sz w:val="16"/>
                <w:szCs w:val="16"/>
              </w:rPr>
            </w:pPr>
            <w:r w:rsidRPr="00BB0618">
              <w:rPr>
                <w:rFonts w:cs="Arial"/>
                <w:sz w:val="16"/>
                <w:szCs w:val="16"/>
              </w:rPr>
              <w:t>6 524</w:t>
            </w:r>
          </w:p>
        </w:tc>
        <w:tc>
          <w:tcPr>
            <w:tcW w:w="972" w:type="dxa"/>
            <w:vAlign w:val="bottom"/>
          </w:tcPr>
          <w:p w14:paraId="5201DAC9" w14:textId="11F93CE4" w:rsidR="00986EB0" w:rsidRPr="00BB0618" w:rsidRDefault="00986EB0" w:rsidP="00986EB0">
            <w:pPr>
              <w:contextualSpacing/>
              <w:jc w:val="center"/>
              <w:rPr>
                <w:rFonts w:cs="Arial"/>
                <w:sz w:val="16"/>
                <w:szCs w:val="16"/>
              </w:rPr>
            </w:pPr>
            <w:r w:rsidRPr="00BB0618">
              <w:rPr>
                <w:rFonts w:cs="Arial"/>
                <w:sz w:val="16"/>
                <w:szCs w:val="16"/>
              </w:rPr>
              <w:t>6 524</w:t>
            </w:r>
          </w:p>
        </w:tc>
        <w:tc>
          <w:tcPr>
            <w:tcW w:w="972" w:type="dxa"/>
            <w:vAlign w:val="bottom"/>
          </w:tcPr>
          <w:p w14:paraId="2C332C22" w14:textId="7D7E11C6" w:rsidR="00986EB0" w:rsidRPr="00BB0618" w:rsidRDefault="00986EB0" w:rsidP="00986EB0">
            <w:pPr>
              <w:contextualSpacing/>
              <w:jc w:val="center"/>
              <w:rPr>
                <w:rFonts w:cs="Arial"/>
                <w:sz w:val="16"/>
                <w:szCs w:val="16"/>
              </w:rPr>
            </w:pPr>
            <w:r w:rsidRPr="00BB0618">
              <w:rPr>
                <w:rFonts w:cs="Arial"/>
                <w:sz w:val="16"/>
                <w:szCs w:val="16"/>
              </w:rPr>
              <w:t>6 714</w:t>
            </w:r>
          </w:p>
        </w:tc>
        <w:tc>
          <w:tcPr>
            <w:tcW w:w="972" w:type="dxa"/>
            <w:vAlign w:val="bottom"/>
          </w:tcPr>
          <w:p w14:paraId="1DE44327" w14:textId="2EAEE83F" w:rsidR="00986EB0" w:rsidRPr="00BB0618" w:rsidRDefault="00986EB0" w:rsidP="00986EB0">
            <w:pPr>
              <w:contextualSpacing/>
              <w:jc w:val="center"/>
              <w:rPr>
                <w:rFonts w:cs="Arial"/>
                <w:sz w:val="16"/>
                <w:szCs w:val="16"/>
              </w:rPr>
            </w:pPr>
            <w:r w:rsidRPr="00BB0618">
              <w:rPr>
                <w:rFonts w:cs="Arial"/>
                <w:color w:val="000000"/>
                <w:sz w:val="16"/>
                <w:szCs w:val="16"/>
              </w:rPr>
              <w:t>6 714</w:t>
            </w:r>
          </w:p>
        </w:tc>
        <w:tc>
          <w:tcPr>
            <w:tcW w:w="972" w:type="dxa"/>
            <w:vAlign w:val="bottom"/>
          </w:tcPr>
          <w:p w14:paraId="0496C67B" w14:textId="7947E9A6" w:rsidR="00986EB0" w:rsidRPr="00BB0618" w:rsidRDefault="00986EB0" w:rsidP="00986EB0">
            <w:pPr>
              <w:contextualSpacing/>
              <w:jc w:val="center"/>
              <w:rPr>
                <w:rFonts w:cs="Arial"/>
                <w:color w:val="000000"/>
                <w:sz w:val="16"/>
                <w:szCs w:val="16"/>
              </w:rPr>
            </w:pPr>
            <w:r w:rsidRPr="00BB0618">
              <w:rPr>
                <w:rFonts w:cs="Arial"/>
                <w:color w:val="000000"/>
                <w:sz w:val="16"/>
                <w:szCs w:val="16"/>
              </w:rPr>
              <w:t>6 738</w:t>
            </w:r>
          </w:p>
        </w:tc>
        <w:tc>
          <w:tcPr>
            <w:tcW w:w="972" w:type="dxa"/>
            <w:tcBorders>
              <w:top w:val="nil"/>
              <w:left w:val="single" w:sz="4" w:space="0" w:color="auto"/>
              <w:bottom w:val="single" w:sz="4" w:space="0" w:color="auto"/>
              <w:right w:val="single" w:sz="4" w:space="0" w:color="auto"/>
            </w:tcBorders>
            <w:shd w:val="clear" w:color="auto" w:fill="FFFFFF" w:themeFill="background1"/>
            <w:vAlign w:val="bottom"/>
          </w:tcPr>
          <w:p w14:paraId="134B6A9D" w14:textId="4082F931" w:rsidR="00986EB0" w:rsidRPr="00986EB0" w:rsidRDefault="00986EB0" w:rsidP="00986EB0">
            <w:pPr>
              <w:contextualSpacing/>
              <w:jc w:val="center"/>
              <w:rPr>
                <w:rFonts w:cs="Arial"/>
                <w:color w:val="000000"/>
                <w:sz w:val="16"/>
                <w:szCs w:val="16"/>
              </w:rPr>
            </w:pPr>
            <w:r w:rsidRPr="00986EB0">
              <w:rPr>
                <w:rFonts w:cs="Arial"/>
                <w:color w:val="000000"/>
                <w:sz w:val="16"/>
                <w:szCs w:val="16"/>
              </w:rPr>
              <w:t>6512</w:t>
            </w:r>
          </w:p>
        </w:tc>
      </w:tr>
      <w:tr w:rsidR="00986EB0" w:rsidRPr="00BB0618" w14:paraId="1C0F3FB2" w14:textId="7D98EE4A" w:rsidTr="000C6095">
        <w:trPr>
          <w:trHeight w:val="20"/>
          <w:jc w:val="center"/>
        </w:trPr>
        <w:tc>
          <w:tcPr>
            <w:tcW w:w="848" w:type="dxa"/>
            <w:vMerge/>
            <w:shd w:val="clear" w:color="auto" w:fill="BFBFBF"/>
            <w:vAlign w:val="center"/>
            <w:hideMark/>
          </w:tcPr>
          <w:p w14:paraId="6976A7BF" w14:textId="77777777" w:rsidR="00986EB0" w:rsidRPr="00BB0618" w:rsidRDefault="00986EB0" w:rsidP="00986EB0">
            <w:pPr>
              <w:contextualSpacing/>
              <w:rPr>
                <w:rFonts w:cs="Arial"/>
                <w:b/>
                <w:bCs/>
                <w:sz w:val="16"/>
                <w:szCs w:val="16"/>
              </w:rPr>
            </w:pPr>
          </w:p>
        </w:tc>
        <w:tc>
          <w:tcPr>
            <w:tcW w:w="1992" w:type="dxa"/>
            <w:vAlign w:val="center"/>
            <w:hideMark/>
          </w:tcPr>
          <w:p w14:paraId="080E4559" w14:textId="77777777" w:rsidR="00986EB0" w:rsidRPr="00BB0618" w:rsidRDefault="00986EB0" w:rsidP="00986EB0">
            <w:pPr>
              <w:contextualSpacing/>
              <w:rPr>
                <w:rFonts w:cs="Arial"/>
                <w:sz w:val="16"/>
                <w:szCs w:val="16"/>
              </w:rPr>
            </w:pPr>
            <w:r w:rsidRPr="00BB0618">
              <w:rPr>
                <w:rFonts w:cs="Arial"/>
                <w:sz w:val="16"/>
                <w:szCs w:val="16"/>
              </w:rPr>
              <w:t>Výr. el. energie (</w:t>
            </w:r>
            <w:proofErr w:type="spellStart"/>
            <w:r w:rsidRPr="00BB0618">
              <w:rPr>
                <w:rFonts w:cs="Arial"/>
                <w:sz w:val="16"/>
                <w:szCs w:val="16"/>
              </w:rPr>
              <w:t>MWh</w:t>
            </w:r>
            <w:proofErr w:type="spellEnd"/>
            <w:r w:rsidRPr="00BB0618">
              <w:rPr>
                <w:rFonts w:cs="Arial"/>
                <w:sz w:val="16"/>
                <w:szCs w:val="16"/>
              </w:rPr>
              <w:t>)</w:t>
            </w:r>
          </w:p>
        </w:tc>
        <w:tc>
          <w:tcPr>
            <w:tcW w:w="972" w:type="dxa"/>
            <w:vAlign w:val="center"/>
          </w:tcPr>
          <w:p w14:paraId="26871D95" w14:textId="557BFC90" w:rsidR="00986EB0" w:rsidRPr="00BB0618" w:rsidRDefault="00986EB0" w:rsidP="00986EB0">
            <w:pPr>
              <w:contextualSpacing/>
              <w:jc w:val="center"/>
              <w:rPr>
                <w:rFonts w:cs="Arial"/>
                <w:sz w:val="16"/>
                <w:szCs w:val="16"/>
              </w:rPr>
            </w:pPr>
            <w:r w:rsidRPr="00BB0618">
              <w:rPr>
                <w:rFonts w:cs="Arial"/>
                <w:sz w:val="16"/>
                <w:szCs w:val="16"/>
              </w:rPr>
              <w:t>21 569</w:t>
            </w:r>
          </w:p>
        </w:tc>
        <w:tc>
          <w:tcPr>
            <w:tcW w:w="972" w:type="dxa"/>
            <w:vAlign w:val="center"/>
          </w:tcPr>
          <w:p w14:paraId="2886A416" w14:textId="3F980CF8" w:rsidR="00986EB0" w:rsidRPr="00BB0618" w:rsidRDefault="00986EB0" w:rsidP="00986EB0">
            <w:pPr>
              <w:contextualSpacing/>
              <w:jc w:val="center"/>
              <w:rPr>
                <w:rFonts w:cs="Arial"/>
                <w:sz w:val="16"/>
                <w:szCs w:val="16"/>
              </w:rPr>
            </w:pPr>
            <w:r w:rsidRPr="00BB0618">
              <w:rPr>
                <w:rFonts w:cs="Arial"/>
                <w:sz w:val="16"/>
                <w:szCs w:val="16"/>
              </w:rPr>
              <w:t>23 181</w:t>
            </w:r>
          </w:p>
        </w:tc>
        <w:tc>
          <w:tcPr>
            <w:tcW w:w="972" w:type="dxa"/>
            <w:vAlign w:val="center"/>
          </w:tcPr>
          <w:p w14:paraId="5051BA5B" w14:textId="09F19DAF" w:rsidR="00986EB0" w:rsidRPr="00BB0618" w:rsidRDefault="00986EB0" w:rsidP="00986EB0">
            <w:pPr>
              <w:contextualSpacing/>
              <w:jc w:val="center"/>
              <w:rPr>
                <w:rFonts w:cs="Arial"/>
                <w:sz w:val="16"/>
                <w:szCs w:val="16"/>
              </w:rPr>
            </w:pPr>
            <w:r w:rsidRPr="00BB0618">
              <w:rPr>
                <w:rFonts w:cs="Arial"/>
                <w:sz w:val="16"/>
                <w:szCs w:val="16"/>
              </w:rPr>
              <w:t>25 073</w:t>
            </w:r>
          </w:p>
        </w:tc>
        <w:tc>
          <w:tcPr>
            <w:tcW w:w="972" w:type="dxa"/>
            <w:vAlign w:val="center"/>
          </w:tcPr>
          <w:p w14:paraId="6A671125" w14:textId="126E3D5B" w:rsidR="00986EB0" w:rsidRPr="00BB0618" w:rsidRDefault="00986EB0" w:rsidP="00986EB0">
            <w:pPr>
              <w:contextualSpacing/>
              <w:jc w:val="center"/>
              <w:rPr>
                <w:rFonts w:cs="Arial"/>
                <w:sz w:val="16"/>
                <w:szCs w:val="16"/>
              </w:rPr>
            </w:pPr>
            <w:r w:rsidRPr="00BB0618">
              <w:rPr>
                <w:rFonts w:cs="Arial"/>
                <w:sz w:val="16"/>
                <w:szCs w:val="16"/>
              </w:rPr>
              <w:t>27 612</w:t>
            </w:r>
          </w:p>
        </w:tc>
        <w:tc>
          <w:tcPr>
            <w:tcW w:w="972" w:type="dxa"/>
            <w:vAlign w:val="bottom"/>
          </w:tcPr>
          <w:p w14:paraId="0F099B5A" w14:textId="39E569C3" w:rsidR="00986EB0" w:rsidRPr="00BB0618" w:rsidRDefault="00986EB0" w:rsidP="00986EB0">
            <w:pPr>
              <w:contextualSpacing/>
              <w:jc w:val="center"/>
              <w:rPr>
                <w:rFonts w:cs="Arial"/>
                <w:sz w:val="16"/>
                <w:szCs w:val="16"/>
              </w:rPr>
            </w:pPr>
            <w:r w:rsidRPr="00BB0618">
              <w:rPr>
                <w:rFonts w:cs="Arial"/>
                <w:sz w:val="16"/>
                <w:szCs w:val="16"/>
              </w:rPr>
              <w:t>29 943</w:t>
            </w:r>
          </w:p>
        </w:tc>
        <w:tc>
          <w:tcPr>
            <w:tcW w:w="972" w:type="dxa"/>
            <w:vAlign w:val="bottom"/>
          </w:tcPr>
          <w:p w14:paraId="7E99762D" w14:textId="630D7C64" w:rsidR="00986EB0" w:rsidRPr="00BB0618" w:rsidRDefault="00986EB0" w:rsidP="00986EB0">
            <w:pPr>
              <w:contextualSpacing/>
              <w:jc w:val="center"/>
              <w:rPr>
                <w:rFonts w:cs="Arial"/>
                <w:sz w:val="16"/>
                <w:szCs w:val="16"/>
              </w:rPr>
            </w:pPr>
            <w:r w:rsidRPr="00BB0618">
              <w:rPr>
                <w:rFonts w:cs="Arial"/>
                <w:sz w:val="16"/>
                <w:szCs w:val="16"/>
              </w:rPr>
              <w:t>26 673</w:t>
            </w:r>
          </w:p>
        </w:tc>
        <w:tc>
          <w:tcPr>
            <w:tcW w:w="972" w:type="dxa"/>
            <w:vAlign w:val="bottom"/>
          </w:tcPr>
          <w:p w14:paraId="60579C2C" w14:textId="169796A3" w:rsidR="00986EB0" w:rsidRPr="00BB0618" w:rsidRDefault="00986EB0" w:rsidP="00986EB0">
            <w:pPr>
              <w:contextualSpacing/>
              <w:jc w:val="center"/>
              <w:rPr>
                <w:rFonts w:cs="Arial"/>
                <w:sz w:val="16"/>
                <w:szCs w:val="16"/>
              </w:rPr>
            </w:pPr>
            <w:r w:rsidRPr="00BB0618">
              <w:rPr>
                <w:rFonts w:cs="Arial"/>
                <w:sz w:val="16"/>
                <w:szCs w:val="16"/>
              </w:rPr>
              <w:t>24 793</w:t>
            </w:r>
          </w:p>
        </w:tc>
        <w:tc>
          <w:tcPr>
            <w:tcW w:w="972" w:type="dxa"/>
            <w:vAlign w:val="bottom"/>
          </w:tcPr>
          <w:p w14:paraId="30DC8FF2" w14:textId="07107415" w:rsidR="00986EB0" w:rsidRPr="00BB0618" w:rsidRDefault="00986EB0" w:rsidP="00986EB0">
            <w:pPr>
              <w:contextualSpacing/>
              <w:jc w:val="center"/>
              <w:rPr>
                <w:rFonts w:cs="Arial"/>
                <w:sz w:val="16"/>
                <w:szCs w:val="16"/>
              </w:rPr>
            </w:pPr>
            <w:r w:rsidRPr="00BB0618">
              <w:rPr>
                <w:rFonts w:cs="Arial"/>
                <w:color w:val="000000"/>
                <w:sz w:val="16"/>
                <w:szCs w:val="16"/>
              </w:rPr>
              <w:t>30 891</w:t>
            </w:r>
          </w:p>
        </w:tc>
        <w:tc>
          <w:tcPr>
            <w:tcW w:w="972" w:type="dxa"/>
            <w:vAlign w:val="bottom"/>
          </w:tcPr>
          <w:p w14:paraId="74DEA49F" w14:textId="56DB904C" w:rsidR="00986EB0" w:rsidRPr="00BB0618" w:rsidRDefault="00986EB0" w:rsidP="00986EB0">
            <w:pPr>
              <w:contextualSpacing/>
              <w:jc w:val="center"/>
              <w:rPr>
                <w:rFonts w:cs="Arial"/>
                <w:color w:val="000000"/>
                <w:sz w:val="16"/>
                <w:szCs w:val="16"/>
              </w:rPr>
            </w:pPr>
            <w:r w:rsidRPr="00BB0618">
              <w:rPr>
                <w:rFonts w:cs="Arial"/>
                <w:color w:val="000000"/>
                <w:sz w:val="16"/>
                <w:szCs w:val="16"/>
              </w:rPr>
              <w:t>36 920</w:t>
            </w:r>
          </w:p>
        </w:tc>
        <w:tc>
          <w:tcPr>
            <w:tcW w:w="972" w:type="dxa"/>
            <w:tcBorders>
              <w:top w:val="nil"/>
              <w:left w:val="single" w:sz="4" w:space="0" w:color="auto"/>
              <w:bottom w:val="single" w:sz="4" w:space="0" w:color="auto"/>
              <w:right w:val="single" w:sz="4" w:space="0" w:color="auto"/>
            </w:tcBorders>
            <w:shd w:val="clear" w:color="auto" w:fill="FFFFFF" w:themeFill="background1"/>
            <w:vAlign w:val="bottom"/>
          </w:tcPr>
          <w:p w14:paraId="6EFA82F8" w14:textId="7B9EAAD5" w:rsidR="00986EB0" w:rsidRPr="00986EB0" w:rsidRDefault="00986EB0" w:rsidP="00986EB0">
            <w:pPr>
              <w:contextualSpacing/>
              <w:jc w:val="center"/>
              <w:rPr>
                <w:rFonts w:cs="Arial"/>
                <w:color w:val="000000"/>
                <w:sz w:val="16"/>
                <w:szCs w:val="16"/>
              </w:rPr>
            </w:pPr>
            <w:r w:rsidRPr="00986EB0">
              <w:rPr>
                <w:rFonts w:cs="Arial"/>
                <w:color w:val="000000"/>
                <w:sz w:val="16"/>
                <w:szCs w:val="16"/>
              </w:rPr>
              <w:t>25798</w:t>
            </w:r>
          </w:p>
        </w:tc>
      </w:tr>
      <w:tr w:rsidR="00986EB0" w:rsidRPr="00BB0618" w14:paraId="417D3910" w14:textId="5331C187" w:rsidTr="000C6095">
        <w:trPr>
          <w:trHeight w:val="20"/>
          <w:jc w:val="center"/>
        </w:trPr>
        <w:tc>
          <w:tcPr>
            <w:tcW w:w="848" w:type="dxa"/>
            <w:vMerge/>
            <w:shd w:val="clear" w:color="auto" w:fill="BFBFBF"/>
            <w:vAlign w:val="center"/>
            <w:hideMark/>
          </w:tcPr>
          <w:p w14:paraId="100B3EDF" w14:textId="77777777" w:rsidR="00986EB0" w:rsidRPr="00BB0618" w:rsidRDefault="00986EB0" w:rsidP="00986EB0">
            <w:pPr>
              <w:contextualSpacing/>
              <w:rPr>
                <w:rFonts w:cs="Arial"/>
                <w:b/>
                <w:bCs/>
                <w:sz w:val="16"/>
                <w:szCs w:val="16"/>
              </w:rPr>
            </w:pPr>
          </w:p>
        </w:tc>
        <w:tc>
          <w:tcPr>
            <w:tcW w:w="1992" w:type="dxa"/>
            <w:vAlign w:val="center"/>
            <w:hideMark/>
          </w:tcPr>
          <w:p w14:paraId="1A77B520" w14:textId="77777777" w:rsidR="00986EB0" w:rsidRPr="00BB0618" w:rsidRDefault="00986EB0" w:rsidP="00986EB0">
            <w:pPr>
              <w:contextualSpacing/>
              <w:rPr>
                <w:rFonts w:cs="Arial"/>
                <w:sz w:val="16"/>
                <w:szCs w:val="16"/>
              </w:rPr>
            </w:pPr>
            <w:r w:rsidRPr="00BB0618">
              <w:rPr>
                <w:rFonts w:cs="Arial"/>
                <w:sz w:val="16"/>
                <w:szCs w:val="16"/>
              </w:rPr>
              <w:t>Tržby (tis. Kč)</w:t>
            </w:r>
          </w:p>
        </w:tc>
        <w:tc>
          <w:tcPr>
            <w:tcW w:w="972" w:type="dxa"/>
            <w:vAlign w:val="center"/>
          </w:tcPr>
          <w:p w14:paraId="7D6C445E" w14:textId="5497B779" w:rsidR="00986EB0" w:rsidRPr="00BB0618" w:rsidRDefault="00986EB0" w:rsidP="00986EB0">
            <w:pPr>
              <w:contextualSpacing/>
              <w:jc w:val="center"/>
              <w:rPr>
                <w:rFonts w:cs="Arial"/>
                <w:sz w:val="16"/>
                <w:szCs w:val="16"/>
              </w:rPr>
            </w:pPr>
            <w:r w:rsidRPr="00BB0618">
              <w:rPr>
                <w:rFonts w:cs="Arial"/>
                <w:sz w:val="16"/>
                <w:szCs w:val="16"/>
              </w:rPr>
              <w:t>56 669</w:t>
            </w:r>
          </w:p>
        </w:tc>
        <w:tc>
          <w:tcPr>
            <w:tcW w:w="972" w:type="dxa"/>
            <w:vAlign w:val="center"/>
          </w:tcPr>
          <w:p w14:paraId="3D87CFBF" w14:textId="25EEE3DE" w:rsidR="00986EB0" w:rsidRPr="00BB0618" w:rsidRDefault="00986EB0" w:rsidP="00986EB0">
            <w:pPr>
              <w:contextualSpacing/>
              <w:jc w:val="center"/>
              <w:rPr>
                <w:rFonts w:cs="Arial"/>
                <w:sz w:val="16"/>
                <w:szCs w:val="16"/>
              </w:rPr>
            </w:pPr>
            <w:r w:rsidRPr="00BB0618">
              <w:rPr>
                <w:rFonts w:cs="Arial"/>
                <w:sz w:val="16"/>
                <w:szCs w:val="16"/>
              </w:rPr>
              <w:t>62 813</w:t>
            </w:r>
          </w:p>
        </w:tc>
        <w:tc>
          <w:tcPr>
            <w:tcW w:w="972" w:type="dxa"/>
            <w:vAlign w:val="center"/>
          </w:tcPr>
          <w:p w14:paraId="1E39A722" w14:textId="2AADAD9B" w:rsidR="00986EB0" w:rsidRPr="00BB0618" w:rsidRDefault="00986EB0" w:rsidP="00986EB0">
            <w:pPr>
              <w:contextualSpacing/>
              <w:jc w:val="center"/>
              <w:rPr>
                <w:rFonts w:cs="Arial"/>
                <w:sz w:val="16"/>
                <w:szCs w:val="16"/>
              </w:rPr>
            </w:pPr>
            <w:r w:rsidRPr="00BB0618">
              <w:rPr>
                <w:rFonts w:cs="Arial"/>
                <w:sz w:val="16"/>
                <w:szCs w:val="16"/>
              </w:rPr>
              <w:t>69 487</w:t>
            </w:r>
          </w:p>
        </w:tc>
        <w:tc>
          <w:tcPr>
            <w:tcW w:w="972" w:type="dxa"/>
            <w:vAlign w:val="center"/>
          </w:tcPr>
          <w:p w14:paraId="24CD878A" w14:textId="1CAC657A" w:rsidR="00986EB0" w:rsidRPr="00BB0618" w:rsidRDefault="00986EB0" w:rsidP="00986EB0">
            <w:pPr>
              <w:contextualSpacing/>
              <w:jc w:val="center"/>
              <w:rPr>
                <w:rFonts w:cs="Arial"/>
                <w:sz w:val="16"/>
                <w:szCs w:val="16"/>
              </w:rPr>
            </w:pPr>
            <w:r w:rsidRPr="00BB0618">
              <w:rPr>
                <w:rFonts w:cs="Arial"/>
                <w:sz w:val="16"/>
                <w:szCs w:val="16"/>
              </w:rPr>
              <w:t>79 630</w:t>
            </w:r>
          </w:p>
        </w:tc>
        <w:tc>
          <w:tcPr>
            <w:tcW w:w="972" w:type="dxa"/>
            <w:vAlign w:val="bottom"/>
          </w:tcPr>
          <w:p w14:paraId="7BD577D8" w14:textId="33D73D11" w:rsidR="00986EB0" w:rsidRPr="00BB0618" w:rsidRDefault="00986EB0" w:rsidP="00986EB0">
            <w:pPr>
              <w:contextualSpacing/>
              <w:jc w:val="center"/>
              <w:rPr>
                <w:rFonts w:cs="Arial"/>
                <w:sz w:val="16"/>
                <w:szCs w:val="16"/>
              </w:rPr>
            </w:pPr>
            <w:r w:rsidRPr="00BB0618">
              <w:rPr>
                <w:rFonts w:cs="Arial"/>
                <w:sz w:val="16"/>
                <w:szCs w:val="16"/>
              </w:rPr>
              <w:t>89 112</w:t>
            </w:r>
          </w:p>
        </w:tc>
        <w:tc>
          <w:tcPr>
            <w:tcW w:w="972" w:type="dxa"/>
            <w:vAlign w:val="bottom"/>
          </w:tcPr>
          <w:p w14:paraId="47639AF2" w14:textId="56478FD7" w:rsidR="00986EB0" w:rsidRPr="00BB0618" w:rsidRDefault="00986EB0" w:rsidP="00986EB0">
            <w:pPr>
              <w:contextualSpacing/>
              <w:jc w:val="center"/>
              <w:rPr>
                <w:rFonts w:cs="Arial"/>
                <w:sz w:val="16"/>
                <w:szCs w:val="16"/>
              </w:rPr>
            </w:pPr>
            <w:r w:rsidRPr="00BB0618">
              <w:rPr>
                <w:rFonts w:cs="Arial"/>
                <w:sz w:val="16"/>
                <w:szCs w:val="16"/>
              </w:rPr>
              <w:t>77 183</w:t>
            </w:r>
          </w:p>
        </w:tc>
        <w:tc>
          <w:tcPr>
            <w:tcW w:w="972" w:type="dxa"/>
            <w:vAlign w:val="bottom"/>
          </w:tcPr>
          <w:p w14:paraId="533C0AF5" w14:textId="0F4B6E41" w:rsidR="00986EB0" w:rsidRPr="00BB0618" w:rsidRDefault="00986EB0" w:rsidP="00986EB0">
            <w:pPr>
              <w:contextualSpacing/>
              <w:jc w:val="center"/>
              <w:rPr>
                <w:rFonts w:cs="Arial"/>
                <w:sz w:val="16"/>
                <w:szCs w:val="16"/>
              </w:rPr>
            </w:pPr>
            <w:r w:rsidRPr="00BB0618">
              <w:rPr>
                <w:rFonts w:cs="Arial"/>
                <w:sz w:val="16"/>
                <w:szCs w:val="16"/>
              </w:rPr>
              <w:t>75 162</w:t>
            </w:r>
          </w:p>
        </w:tc>
        <w:tc>
          <w:tcPr>
            <w:tcW w:w="972" w:type="dxa"/>
            <w:vAlign w:val="bottom"/>
          </w:tcPr>
          <w:p w14:paraId="26A794F9" w14:textId="1D421024" w:rsidR="00986EB0" w:rsidRPr="00BB0618" w:rsidRDefault="00986EB0" w:rsidP="00986EB0">
            <w:pPr>
              <w:contextualSpacing/>
              <w:jc w:val="center"/>
              <w:rPr>
                <w:rFonts w:cs="Arial"/>
                <w:sz w:val="16"/>
                <w:szCs w:val="16"/>
              </w:rPr>
            </w:pPr>
            <w:r w:rsidRPr="00BB0618">
              <w:rPr>
                <w:rFonts w:cs="Arial"/>
                <w:color w:val="000000"/>
                <w:sz w:val="16"/>
                <w:szCs w:val="16"/>
              </w:rPr>
              <w:t>111 458</w:t>
            </w:r>
          </w:p>
        </w:tc>
        <w:tc>
          <w:tcPr>
            <w:tcW w:w="972" w:type="dxa"/>
            <w:vAlign w:val="bottom"/>
          </w:tcPr>
          <w:p w14:paraId="27979B83" w14:textId="3062847B" w:rsidR="00986EB0" w:rsidRPr="00BB0618" w:rsidRDefault="00986EB0" w:rsidP="00986EB0">
            <w:pPr>
              <w:contextualSpacing/>
              <w:jc w:val="center"/>
              <w:rPr>
                <w:rFonts w:cs="Arial"/>
                <w:color w:val="000000"/>
                <w:sz w:val="16"/>
                <w:szCs w:val="16"/>
              </w:rPr>
            </w:pPr>
            <w:r w:rsidRPr="00BB0618">
              <w:rPr>
                <w:rFonts w:cs="Arial"/>
                <w:color w:val="000000"/>
                <w:sz w:val="16"/>
                <w:szCs w:val="16"/>
              </w:rPr>
              <w:t>124 086</w:t>
            </w:r>
          </w:p>
        </w:tc>
        <w:tc>
          <w:tcPr>
            <w:tcW w:w="972" w:type="dxa"/>
            <w:tcBorders>
              <w:top w:val="nil"/>
              <w:left w:val="single" w:sz="4" w:space="0" w:color="auto"/>
              <w:bottom w:val="single" w:sz="4" w:space="0" w:color="auto"/>
              <w:right w:val="single" w:sz="4" w:space="0" w:color="auto"/>
            </w:tcBorders>
            <w:shd w:val="clear" w:color="auto" w:fill="FFFFFF" w:themeFill="background1"/>
            <w:vAlign w:val="bottom"/>
          </w:tcPr>
          <w:p w14:paraId="36DA2EE3" w14:textId="110CAC03" w:rsidR="00986EB0" w:rsidRPr="00986EB0" w:rsidRDefault="00986EB0" w:rsidP="00986EB0">
            <w:pPr>
              <w:contextualSpacing/>
              <w:jc w:val="center"/>
              <w:rPr>
                <w:rFonts w:cs="Arial"/>
                <w:color w:val="000000"/>
                <w:sz w:val="16"/>
                <w:szCs w:val="16"/>
              </w:rPr>
            </w:pPr>
            <w:r w:rsidRPr="00986EB0">
              <w:rPr>
                <w:rFonts w:cs="Arial"/>
                <w:color w:val="000000"/>
                <w:sz w:val="16"/>
                <w:szCs w:val="16"/>
              </w:rPr>
              <w:t>77 381</w:t>
            </w:r>
          </w:p>
        </w:tc>
      </w:tr>
      <w:tr w:rsidR="00986EB0" w:rsidRPr="00BB0618" w14:paraId="5E260903" w14:textId="10C23CFB" w:rsidTr="000C6095">
        <w:trPr>
          <w:trHeight w:val="20"/>
          <w:jc w:val="center"/>
        </w:trPr>
        <w:tc>
          <w:tcPr>
            <w:tcW w:w="848" w:type="dxa"/>
            <w:vMerge w:val="restart"/>
            <w:shd w:val="clear" w:color="auto" w:fill="BFBFBF"/>
            <w:vAlign w:val="center"/>
            <w:hideMark/>
          </w:tcPr>
          <w:p w14:paraId="7C02EF67" w14:textId="77777777" w:rsidR="00986EB0" w:rsidRPr="00BB0618" w:rsidRDefault="00986EB0" w:rsidP="00986EB0">
            <w:pPr>
              <w:contextualSpacing/>
              <w:rPr>
                <w:rFonts w:cs="Arial"/>
                <w:b/>
                <w:bCs/>
                <w:sz w:val="16"/>
                <w:szCs w:val="16"/>
              </w:rPr>
            </w:pPr>
            <w:r w:rsidRPr="00BB0618">
              <w:rPr>
                <w:rFonts w:cs="Arial"/>
                <w:b/>
                <w:bCs/>
                <w:sz w:val="16"/>
                <w:szCs w:val="16"/>
              </w:rPr>
              <w:t>Moravy</w:t>
            </w:r>
          </w:p>
        </w:tc>
        <w:tc>
          <w:tcPr>
            <w:tcW w:w="1992" w:type="dxa"/>
            <w:vAlign w:val="center"/>
            <w:hideMark/>
          </w:tcPr>
          <w:p w14:paraId="17A74565" w14:textId="77777777" w:rsidR="00986EB0" w:rsidRPr="00BB0618" w:rsidRDefault="00986EB0" w:rsidP="00986EB0">
            <w:pPr>
              <w:contextualSpacing/>
              <w:rPr>
                <w:rFonts w:cs="Arial"/>
                <w:sz w:val="16"/>
                <w:szCs w:val="16"/>
              </w:rPr>
            </w:pPr>
            <w:r w:rsidRPr="00BB0618">
              <w:rPr>
                <w:rFonts w:cs="Arial"/>
                <w:sz w:val="16"/>
                <w:szCs w:val="16"/>
              </w:rPr>
              <w:t>Počet MVE</w:t>
            </w:r>
          </w:p>
        </w:tc>
        <w:tc>
          <w:tcPr>
            <w:tcW w:w="972" w:type="dxa"/>
            <w:vAlign w:val="center"/>
          </w:tcPr>
          <w:p w14:paraId="071DFAA7" w14:textId="72E63AE5" w:rsidR="00986EB0" w:rsidRPr="00BB0618" w:rsidRDefault="00986EB0" w:rsidP="00986EB0">
            <w:pPr>
              <w:contextualSpacing/>
              <w:jc w:val="center"/>
              <w:rPr>
                <w:rFonts w:cs="Arial"/>
                <w:sz w:val="16"/>
                <w:szCs w:val="16"/>
              </w:rPr>
            </w:pPr>
            <w:r w:rsidRPr="00BB0618">
              <w:rPr>
                <w:rFonts w:cs="Arial"/>
                <w:sz w:val="16"/>
                <w:szCs w:val="16"/>
              </w:rPr>
              <w:t>15</w:t>
            </w:r>
          </w:p>
        </w:tc>
        <w:tc>
          <w:tcPr>
            <w:tcW w:w="972" w:type="dxa"/>
            <w:vAlign w:val="center"/>
          </w:tcPr>
          <w:p w14:paraId="24258CAC" w14:textId="781B7DAC" w:rsidR="00986EB0" w:rsidRPr="00BB0618" w:rsidRDefault="00986EB0" w:rsidP="00986EB0">
            <w:pPr>
              <w:contextualSpacing/>
              <w:jc w:val="center"/>
              <w:rPr>
                <w:rFonts w:cs="Arial"/>
                <w:sz w:val="16"/>
                <w:szCs w:val="16"/>
              </w:rPr>
            </w:pPr>
            <w:r w:rsidRPr="00BB0618">
              <w:rPr>
                <w:rFonts w:cs="Arial"/>
                <w:sz w:val="16"/>
                <w:szCs w:val="16"/>
              </w:rPr>
              <w:t>15</w:t>
            </w:r>
          </w:p>
        </w:tc>
        <w:tc>
          <w:tcPr>
            <w:tcW w:w="972" w:type="dxa"/>
            <w:vAlign w:val="center"/>
          </w:tcPr>
          <w:p w14:paraId="4F925835" w14:textId="14AD6E34" w:rsidR="00986EB0" w:rsidRPr="00BB0618" w:rsidRDefault="00986EB0" w:rsidP="00986EB0">
            <w:pPr>
              <w:contextualSpacing/>
              <w:jc w:val="center"/>
              <w:rPr>
                <w:rFonts w:cs="Arial"/>
                <w:sz w:val="16"/>
                <w:szCs w:val="16"/>
              </w:rPr>
            </w:pPr>
            <w:r w:rsidRPr="00BB0618">
              <w:rPr>
                <w:rFonts w:cs="Arial"/>
                <w:sz w:val="16"/>
                <w:szCs w:val="16"/>
              </w:rPr>
              <w:t>15</w:t>
            </w:r>
          </w:p>
        </w:tc>
        <w:tc>
          <w:tcPr>
            <w:tcW w:w="972" w:type="dxa"/>
            <w:vAlign w:val="center"/>
          </w:tcPr>
          <w:p w14:paraId="3C4ECC29" w14:textId="55BE9F04" w:rsidR="00986EB0" w:rsidRPr="00BB0618" w:rsidRDefault="00986EB0" w:rsidP="00986EB0">
            <w:pPr>
              <w:contextualSpacing/>
              <w:jc w:val="center"/>
              <w:rPr>
                <w:rFonts w:cs="Arial"/>
                <w:sz w:val="16"/>
                <w:szCs w:val="16"/>
              </w:rPr>
            </w:pPr>
            <w:r w:rsidRPr="00BB0618">
              <w:rPr>
                <w:rFonts w:cs="Arial"/>
                <w:sz w:val="16"/>
                <w:szCs w:val="16"/>
              </w:rPr>
              <w:t>15</w:t>
            </w:r>
          </w:p>
        </w:tc>
        <w:tc>
          <w:tcPr>
            <w:tcW w:w="972" w:type="dxa"/>
            <w:vAlign w:val="bottom"/>
          </w:tcPr>
          <w:p w14:paraId="35FB11BE" w14:textId="1F22F583" w:rsidR="00986EB0" w:rsidRPr="00BB0618" w:rsidRDefault="00986EB0" w:rsidP="00986EB0">
            <w:pPr>
              <w:contextualSpacing/>
              <w:jc w:val="center"/>
              <w:rPr>
                <w:rFonts w:cs="Arial"/>
                <w:sz w:val="16"/>
                <w:szCs w:val="16"/>
              </w:rPr>
            </w:pPr>
            <w:r w:rsidRPr="00BB0618">
              <w:rPr>
                <w:rFonts w:cs="Arial"/>
                <w:sz w:val="16"/>
                <w:szCs w:val="16"/>
              </w:rPr>
              <w:t>15</w:t>
            </w:r>
          </w:p>
        </w:tc>
        <w:tc>
          <w:tcPr>
            <w:tcW w:w="972" w:type="dxa"/>
            <w:vAlign w:val="bottom"/>
          </w:tcPr>
          <w:p w14:paraId="7BE47F7C" w14:textId="51E197C4" w:rsidR="00986EB0" w:rsidRPr="00BB0618" w:rsidRDefault="00986EB0" w:rsidP="00986EB0">
            <w:pPr>
              <w:contextualSpacing/>
              <w:jc w:val="center"/>
              <w:rPr>
                <w:rFonts w:cs="Arial"/>
                <w:sz w:val="16"/>
                <w:szCs w:val="16"/>
              </w:rPr>
            </w:pPr>
            <w:r w:rsidRPr="00BB0618">
              <w:rPr>
                <w:rFonts w:cs="Arial"/>
                <w:sz w:val="16"/>
                <w:szCs w:val="16"/>
              </w:rPr>
              <w:t>15</w:t>
            </w:r>
          </w:p>
        </w:tc>
        <w:tc>
          <w:tcPr>
            <w:tcW w:w="972" w:type="dxa"/>
            <w:vAlign w:val="bottom"/>
          </w:tcPr>
          <w:p w14:paraId="07FBB39B" w14:textId="0D6F37E2" w:rsidR="00986EB0" w:rsidRPr="00BB0618" w:rsidRDefault="00986EB0" w:rsidP="00986EB0">
            <w:pPr>
              <w:contextualSpacing/>
              <w:jc w:val="center"/>
              <w:rPr>
                <w:rFonts w:cs="Arial"/>
                <w:sz w:val="16"/>
                <w:szCs w:val="16"/>
              </w:rPr>
            </w:pPr>
            <w:r w:rsidRPr="00BB0618">
              <w:rPr>
                <w:rFonts w:cs="Arial"/>
                <w:sz w:val="16"/>
                <w:szCs w:val="16"/>
              </w:rPr>
              <w:t>15</w:t>
            </w:r>
          </w:p>
        </w:tc>
        <w:tc>
          <w:tcPr>
            <w:tcW w:w="972" w:type="dxa"/>
            <w:vAlign w:val="bottom"/>
          </w:tcPr>
          <w:p w14:paraId="69BB69EE" w14:textId="0A71E5A3" w:rsidR="00986EB0" w:rsidRPr="00BB0618" w:rsidRDefault="00986EB0" w:rsidP="00986EB0">
            <w:pPr>
              <w:contextualSpacing/>
              <w:jc w:val="center"/>
              <w:rPr>
                <w:rFonts w:cs="Arial"/>
                <w:sz w:val="16"/>
                <w:szCs w:val="16"/>
              </w:rPr>
            </w:pPr>
            <w:r w:rsidRPr="00BB0618">
              <w:rPr>
                <w:rFonts w:cs="Arial"/>
                <w:color w:val="000000"/>
                <w:sz w:val="16"/>
                <w:szCs w:val="16"/>
              </w:rPr>
              <w:t>15</w:t>
            </w:r>
          </w:p>
        </w:tc>
        <w:tc>
          <w:tcPr>
            <w:tcW w:w="972" w:type="dxa"/>
            <w:vAlign w:val="bottom"/>
          </w:tcPr>
          <w:p w14:paraId="320CAD44" w14:textId="3303C34E" w:rsidR="00986EB0" w:rsidRPr="00BB0618" w:rsidRDefault="00986EB0" w:rsidP="00986EB0">
            <w:pPr>
              <w:contextualSpacing/>
              <w:jc w:val="center"/>
              <w:rPr>
                <w:rFonts w:cs="Arial"/>
                <w:color w:val="000000"/>
                <w:sz w:val="16"/>
                <w:szCs w:val="16"/>
              </w:rPr>
            </w:pPr>
            <w:r w:rsidRPr="00BB0618">
              <w:rPr>
                <w:rFonts w:cs="Arial"/>
                <w:color w:val="000000"/>
                <w:sz w:val="16"/>
                <w:szCs w:val="16"/>
              </w:rPr>
              <w:t>15</w:t>
            </w:r>
          </w:p>
        </w:tc>
        <w:tc>
          <w:tcPr>
            <w:tcW w:w="972" w:type="dxa"/>
            <w:tcBorders>
              <w:top w:val="nil"/>
              <w:left w:val="single" w:sz="4" w:space="0" w:color="auto"/>
              <w:bottom w:val="single" w:sz="4" w:space="0" w:color="auto"/>
              <w:right w:val="single" w:sz="4" w:space="0" w:color="auto"/>
            </w:tcBorders>
            <w:shd w:val="clear" w:color="auto" w:fill="FFFFFF" w:themeFill="background1"/>
            <w:vAlign w:val="bottom"/>
          </w:tcPr>
          <w:p w14:paraId="06AA2F52" w14:textId="2E2FA1AB" w:rsidR="00986EB0" w:rsidRPr="00986EB0" w:rsidRDefault="00986EB0" w:rsidP="00986EB0">
            <w:pPr>
              <w:contextualSpacing/>
              <w:jc w:val="center"/>
              <w:rPr>
                <w:rFonts w:cs="Arial"/>
                <w:color w:val="000000"/>
                <w:sz w:val="16"/>
                <w:szCs w:val="16"/>
              </w:rPr>
            </w:pPr>
            <w:r w:rsidRPr="00986EB0">
              <w:rPr>
                <w:rFonts w:cs="Arial"/>
                <w:color w:val="000000"/>
                <w:sz w:val="16"/>
                <w:szCs w:val="16"/>
              </w:rPr>
              <w:t>15</w:t>
            </w:r>
          </w:p>
        </w:tc>
      </w:tr>
      <w:tr w:rsidR="00986EB0" w:rsidRPr="00BB0618" w14:paraId="3BEB8EAC" w14:textId="1E68D564" w:rsidTr="000C6095">
        <w:trPr>
          <w:trHeight w:val="20"/>
          <w:jc w:val="center"/>
        </w:trPr>
        <w:tc>
          <w:tcPr>
            <w:tcW w:w="848" w:type="dxa"/>
            <w:vMerge/>
            <w:shd w:val="clear" w:color="auto" w:fill="BFBFBF"/>
            <w:vAlign w:val="center"/>
            <w:hideMark/>
          </w:tcPr>
          <w:p w14:paraId="7434B1C5" w14:textId="77777777" w:rsidR="00986EB0" w:rsidRPr="00BB0618" w:rsidRDefault="00986EB0" w:rsidP="00986EB0">
            <w:pPr>
              <w:contextualSpacing/>
              <w:rPr>
                <w:rFonts w:cs="Arial"/>
                <w:b/>
                <w:bCs/>
                <w:sz w:val="16"/>
                <w:szCs w:val="16"/>
              </w:rPr>
            </w:pPr>
          </w:p>
        </w:tc>
        <w:tc>
          <w:tcPr>
            <w:tcW w:w="1992" w:type="dxa"/>
            <w:vAlign w:val="center"/>
            <w:hideMark/>
          </w:tcPr>
          <w:p w14:paraId="2494D22C" w14:textId="77777777" w:rsidR="00986EB0" w:rsidRPr="00BB0618" w:rsidRDefault="00986EB0" w:rsidP="00986EB0">
            <w:pPr>
              <w:contextualSpacing/>
              <w:rPr>
                <w:rFonts w:cs="Arial"/>
                <w:sz w:val="16"/>
                <w:szCs w:val="16"/>
              </w:rPr>
            </w:pPr>
            <w:r w:rsidRPr="00BB0618">
              <w:rPr>
                <w:rFonts w:cs="Arial"/>
                <w:sz w:val="16"/>
                <w:szCs w:val="16"/>
              </w:rPr>
              <w:t>Instalovaný výkon (kW)</w:t>
            </w:r>
          </w:p>
        </w:tc>
        <w:tc>
          <w:tcPr>
            <w:tcW w:w="972" w:type="dxa"/>
            <w:vAlign w:val="center"/>
          </w:tcPr>
          <w:p w14:paraId="7C4FA258" w14:textId="3D8F9A81" w:rsidR="00986EB0" w:rsidRPr="00BB0618" w:rsidRDefault="00986EB0" w:rsidP="00986EB0">
            <w:pPr>
              <w:contextualSpacing/>
              <w:jc w:val="center"/>
              <w:rPr>
                <w:rFonts w:cs="Arial"/>
                <w:sz w:val="16"/>
                <w:szCs w:val="16"/>
              </w:rPr>
            </w:pPr>
            <w:r w:rsidRPr="00BB0618">
              <w:rPr>
                <w:rFonts w:cs="Arial"/>
                <w:sz w:val="16"/>
                <w:szCs w:val="16"/>
              </w:rPr>
              <w:t>3 497</w:t>
            </w:r>
          </w:p>
        </w:tc>
        <w:tc>
          <w:tcPr>
            <w:tcW w:w="972" w:type="dxa"/>
            <w:vAlign w:val="center"/>
          </w:tcPr>
          <w:p w14:paraId="16140B4C" w14:textId="7D3E09A3" w:rsidR="00986EB0" w:rsidRPr="00BB0618" w:rsidRDefault="00986EB0" w:rsidP="00986EB0">
            <w:pPr>
              <w:contextualSpacing/>
              <w:jc w:val="center"/>
              <w:rPr>
                <w:rFonts w:cs="Arial"/>
                <w:sz w:val="16"/>
                <w:szCs w:val="16"/>
              </w:rPr>
            </w:pPr>
            <w:r w:rsidRPr="00BB0618">
              <w:rPr>
                <w:rFonts w:cs="Arial"/>
                <w:sz w:val="16"/>
                <w:szCs w:val="16"/>
              </w:rPr>
              <w:t>3 497</w:t>
            </w:r>
          </w:p>
        </w:tc>
        <w:tc>
          <w:tcPr>
            <w:tcW w:w="972" w:type="dxa"/>
            <w:vAlign w:val="center"/>
          </w:tcPr>
          <w:p w14:paraId="1A0229DE" w14:textId="5E20F158" w:rsidR="00986EB0" w:rsidRPr="00BB0618" w:rsidRDefault="00986EB0" w:rsidP="00986EB0">
            <w:pPr>
              <w:contextualSpacing/>
              <w:jc w:val="center"/>
              <w:rPr>
                <w:rFonts w:cs="Arial"/>
                <w:sz w:val="16"/>
                <w:szCs w:val="16"/>
              </w:rPr>
            </w:pPr>
            <w:r w:rsidRPr="00BB0618">
              <w:rPr>
                <w:rFonts w:cs="Arial"/>
                <w:sz w:val="16"/>
                <w:szCs w:val="16"/>
              </w:rPr>
              <w:t>3 497</w:t>
            </w:r>
          </w:p>
        </w:tc>
        <w:tc>
          <w:tcPr>
            <w:tcW w:w="972" w:type="dxa"/>
            <w:vAlign w:val="center"/>
          </w:tcPr>
          <w:p w14:paraId="600CF985" w14:textId="5D564B9D" w:rsidR="00986EB0" w:rsidRPr="00BB0618" w:rsidRDefault="00986EB0" w:rsidP="00986EB0">
            <w:pPr>
              <w:contextualSpacing/>
              <w:jc w:val="center"/>
              <w:rPr>
                <w:rFonts w:cs="Arial"/>
                <w:sz w:val="16"/>
                <w:szCs w:val="16"/>
              </w:rPr>
            </w:pPr>
            <w:r w:rsidRPr="00BB0618">
              <w:rPr>
                <w:rFonts w:cs="Arial"/>
                <w:sz w:val="16"/>
                <w:szCs w:val="16"/>
              </w:rPr>
              <w:t>3 551</w:t>
            </w:r>
          </w:p>
        </w:tc>
        <w:tc>
          <w:tcPr>
            <w:tcW w:w="972" w:type="dxa"/>
            <w:vAlign w:val="bottom"/>
          </w:tcPr>
          <w:p w14:paraId="6CCD5548" w14:textId="54E9D653" w:rsidR="00986EB0" w:rsidRPr="00BB0618" w:rsidRDefault="00986EB0" w:rsidP="00986EB0">
            <w:pPr>
              <w:contextualSpacing/>
              <w:jc w:val="center"/>
              <w:rPr>
                <w:rFonts w:cs="Arial"/>
                <w:sz w:val="16"/>
                <w:szCs w:val="16"/>
              </w:rPr>
            </w:pPr>
            <w:r w:rsidRPr="00BB0618">
              <w:rPr>
                <w:rFonts w:cs="Arial"/>
                <w:sz w:val="16"/>
                <w:szCs w:val="16"/>
              </w:rPr>
              <w:t>3 635</w:t>
            </w:r>
          </w:p>
        </w:tc>
        <w:tc>
          <w:tcPr>
            <w:tcW w:w="972" w:type="dxa"/>
            <w:vAlign w:val="bottom"/>
          </w:tcPr>
          <w:p w14:paraId="1C4D8F90" w14:textId="2ED1F5CC" w:rsidR="00986EB0" w:rsidRPr="00BB0618" w:rsidRDefault="00986EB0" w:rsidP="00986EB0">
            <w:pPr>
              <w:contextualSpacing/>
              <w:jc w:val="center"/>
              <w:rPr>
                <w:rFonts w:cs="Arial"/>
                <w:sz w:val="16"/>
                <w:szCs w:val="16"/>
              </w:rPr>
            </w:pPr>
            <w:r w:rsidRPr="00BB0618">
              <w:rPr>
                <w:rFonts w:cs="Arial"/>
                <w:sz w:val="16"/>
                <w:szCs w:val="16"/>
              </w:rPr>
              <w:t>3 588</w:t>
            </w:r>
          </w:p>
        </w:tc>
        <w:tc>
          <w:tcPr>
            <w:tcW w:w="972" w:type="dxa"/>
            <w:vAlign w:val="bottom"/>
          </w:tcPr>
          <w:p w14:paraId="66894A12" w14:textId="141F4B59" w:rsidR="00986EB0" w:rsidRPr="00BB0618" w:rsidRDefault="00986EB0" w:rsidP="00986EB0">
            <w:pPr>
              <w:contextualSpacing/>
              <w:jc w:val="center"/>
              <w:rPr>
                <w:rFonts w:cs="Arial"/>
                <w:sz w:val="16"/>
                <w:szCs w:val="16"/>
              </w:rPr>
            </w:pPr>
            <w:r w:rsidRPr="00BB0618">
              <w:rPr>
                <w:rFonts w:cs="Arial"/>
                <w:sz w:val="16"/>
                <w:szCs w:val="16"/>
              </w:rPr>
              <w:t>3 567</w:t>
            </w:r>
          </w:p>
        </w:tc>
        <w:tc>
          <w:tcPr>
            <w:tcW w:w="972" w:type="dxa"/>
            <w:vAlign w:val="bottom"/>
          </w:tcPr>
          <w:p w14:paraId="698D0307" w14:textId="4E83464D" w:rsidR="00986EB0" w:rsidRPr="00BB0618" w:rsidRDefault="00986EB0" w:rsidP="00986EB0">
            <w:pPr>
              <w:contextualSpacing/>
              <w:jc w:val="center"/>
              <w:rPr>
                <w:rFonts w:cs="Arial"/>
                <w:sz w:val="16"/>
                <w:szCs w:val="16"/>
              </w:rPr>
            </w:pPr>
            <w:r w:rsidRPr="00BB0618">
              <w:rPr>
                <w:rFonts w:cs="Arial"/>
                <w:color w:val="000000"/>
                <w:sz w:val="16"/>
                <w:szCs w:val="16"/>
              </w:rPr>
              <w:t>3 567</w:t>
            </w:r>
          </w:p>
        </w:tc>
        <w:tc>
          <w:tcPr>
            <w:tcW w:w="972" w:type="dxa"/>
            <w:vAlign w:val="bottom"/>
          </w:tcPr>
          <w:p w14:paraId="666C0142" w14:textId="403B8B5A" w:rsidR="00986EB0" w:rsidRPr="00BB0618" w:rsidRDefault="00986EB0" w:rsidP="00986EB0">
            <w:pPr>
              <w:contextualSpacing/>
              <w:jc w:val="center"/>
              <w:rPr>
                <w:rFonts w:cs="Arial"/>
                <w:color w:val="000000"/>
                <w:sz w:val="16"/>
                <w:szCs w:val="16"/>
              </w:rPr>
            </w:pPr>
            <w:r w:rsidRPr="00BB0618">
              <w:rPr>
                <w:rFonts w:cs="Arial"/>
                <w:color w:val="000000"/>
                <w:sz w:val="16"/>
                <w:szCs w:val="16"/>
              </w:rPr>
              <w:t>3 567</w:t>
            </w:r>
          </w:p>
        </w:tc>
        <w:tc>
          <w:tcPr>
            <w:tcW w:w="972" w:type="dxa"/>
            <w:tcBorders>
              <w:top w:val="nil"/>
              <w:left w:val="single" w:sz="4" w:space="0" w:color="auto"/>
              <w:bottom w:val="single" w:sz="4" w:space="0" w:color="auto"/>
              <w:right w:val="single" w:sz="4" w:space="0" w:color="auto"/>
            </w:tcBorders>
            <w:shd w:val="clear" w:color="auto" w:fill="FFFFFF" w:themeFill="background1"/>
            <w:vAlign w:val="bottom"/>
          </w:tcPr>
          <w:p w14:paraId="36CF2E8D" w14:textId="7459E7E6" w:rsidR="00986EB0" w:rsidRPr="00986EB0" w:rsidRDefault="00986EB0" w:rsidP="00986EB0">
            <w:pPr>
              <w:contextualSpacing/>
              <w:jc w:val="center"/>
              <w:rPr>
                <w:rFonts w:cs="Arial"/>
                <w:color w:val="000000"/>
                <w:sz w:val="16"/>
                <w:szCs w:val="16"/>
              </w:rPr>
            </w:pPr>
            <w:r w:rsidRPr="00986EB0">
              <w:rPr>
                <w:rFonts w:cs="Arial"/>
                <w:color w:val="000000"/>
                <w:sz w:val="16"/>
                <w:szCs w:val="16"/>
              </w:rPr>
              <w:t>3567</w:t>
            </w:r>
          </w:p>
        </w:tc>
      </w:tr>
      <w:tr w:rsidR="00986EB0" w:rsidRPr="00BB0618" w14:paraId="3E88AB85" w14:textId="42D27878" w:rsidTr="000C6095">
        <w:trPr>
          <w:trHeight w:val="20"/>
          <w:jc w:val="center"/>
        </w:trPr>
        <w:tc>
          <w:tcPr>
            <w:tcW w:w="848" w:type="dxa"/>
            <w:vMerge/>
            <w:shd w:val="clear" w:color="auto" w:fill="BFBFBF"/>
            <w:vAlign w:val="center"/>
            <w:hideMark/>
          </w:tcPr>
          <w:p w14:paraId="56CD392B" w14:textId="77777777" w:rsidR="00986EB0" w:rsidRPr="00BB0618" w:rsidRDefault="00986EB0" w:rsidP="00986EB0">
            <w:pPr>
              <w:contextualSpacing/>
              <w:rPr>
                <w:rFonts w:cs="Arial"/>
                <w:b/>
                <w:bCs/>
                <w:sz w:val="16"/>
                <w:szCs w:val="16"/>
              </w:rPr>
            </w:pPr>
          </w:p>
        </w:tc>
        <w:tc>
          <w:tcPr>
            <w:tcW w:w="1992" w:type="dxa"/>
            <w:vAlign w:val="center"/>
            <w:hideMark/>
          </w:tcPr>
          <w:p w14:paraId="1A171AEA" w14:textId="77777777" w:rsidR="00986EB0" w:rsidRPr="00BB0618" w:rsidRDefault="00986EB0" w:rsidP="00986EB0">
            <w:pPr>
              <w:contextualSpacing/>
              <w:rPr>
                <w:rFonts w:cs="Arial"/>
                <w:sz w:val="16"/>
                <w:szCs w:val="16"/>
              </w:rPr>
            </w:pPr>
            <w:r w:rsidRPr="00BB0618">
              <w:rPr>
                <w:rFonts w:cs="Arial"/>
                <w:sz w:val="16"/>
                <w:szCs w:val="16"/>
              </w:rPr>
              <w:t>Výr. el. energie (</w:t>
            </w:r>
            <w:proofErr w:type="spellStart"/>
            <w:r w:rsidRPr="00BB0618">
              <w:rPr>
                <w:rFonts w:cs="Arial"/>
                <w:sz w:val="16"/>
                <w:szCs w:val="16"/>
              </w:rPr>
              <w:t>MWh</w:t>
            </w:r>
            <w:proofErr w:type="spellEnd"/>
            <w:r w:rsidRPr="00BB0618">
              <w:rPr>
                <w:rFonts w:cs="Arial"/>
                <w:sz w:val="16"/>
                <w:szCs w:val="16"/>
              </w:rPr>
              <w:t>)</w:t>
            </w:r>
          </w:p>
        </w:tc>
        <w:tc>
          <w:tcPr>
            <w:tcW w:w="972" w:type="dxa"/>
            <w:vAlign w:val="center"/>
          </w:tcPr>
          <w:p w14:paraId="037032E4" w14:textId="7A31E7DA" w:rsidR="00986EB0" w:rsidRPr="00BB0618" w:rsidRDefault="00986EB0" w:rsidP="00986EB0">
            <w:pPr>
              <w:contextualSpacing/>
              <w:jc w:val="center"/>
              <w:rPr>
                <w:rFonts w:cs="Arial"/>
                <w:sz w:val="16"/>
                <w:szCs w:val="16"/>
              </w:rPr>
            </w:pPr>
            <w:r w:rsidRPr="00BB0618">
              <w:rPr>
                <w:rFonts w:cs="Arial"/>
                <w:sz w:val="16"/>
                <w:szCs w:val="16"/>
              </w:rPr>
              <w:t>11 008</w:t>
            </w:r>
          </w:p>
        </w:tc>
        <w:tc>
          <w:tcPr>
            <w:tcW w:w="972" w:type="dxa"/>
            <w:vAlign w:val="center"/>
          </w:tcPr>
          <w:p w14:paraId="025D0AEE" w14:textId="64F6AB8E" w:rsidR="00986EB0" w:rsidRPr="00BB0618" w:rsidRDefault="00986EB0" w:rsidP="00986EB0">
            <w:pPr>
              <w:contextualSpacing/>
              <w:jc w:val="center"/>
              <w:rPr>
                <w:rFonts w:cs="Arial"/>
                <w:sz w:val="16"/>
                <w:szCs w:val="16"/>
              </w:rPr>
            </w:pPr>
            <w:r w:rsidRPr="00BB0618">
              <w:rPr>
                <w:rFonts w:cs="Arial"/>
                <w:sz w:val="16"/>
                <w:szCs w:val="16"/>
              </w:rPr>
              <w:t>9 609</w:t>
            </w:r>
          </w:p>
        </w:tc>
        <w:tc>
          <w:tcPr>
            <w:tcW w:w="972" w:type="dxa"/>
            <w:vAlign w:val="center"/>
          </w:tcPr>
          <w:p w14:paraId="4679057B" w14:textId="7FFAF441" w:rsidR="00986EB0" w:rsidRPr="00BB0618" w:rsidRDefault="00986EB0" w:rsidP="00986EB0">
            <w:pPr>
              <w:contextualSpacing/>
              <w:jc w:val="center"/>
              <w:rPr>
                <w:rFonts w:cs="Arial"/>
                <w:sz w:val="16"/>
                <w:szCs w:val="16"/>
              </w:rPr>
            </w:pPr>
            <w:r w:rsidRPr="00BB0618">
              <w:rPr>
                <w:rFonts w:cs="Arial"/>
                <w:sz w:val="16"/>
                <w:szCs w:val="16"/>
              </w:rPr>
              <w:t>8 239</w:t>
            </w:r>
          </w:p>
        </w:tc>
        <w:tc>
          <w:tcPr>
            <w:tcW w:w="972" w:type="dxa"/>
            <w:vAlign w:val="center"/>
          </w:tcPr>
          <w:p w14:paraId="2BD4224B" w14:textId="21CCB38A" w:rsidR="00986EB0" w:rsidRPr="00BB0618" w:rsidRDefault="00986EB0" w:rsidP="00986EB0">
            <w:pPr>
              <w:contextualSpacing/>
              <w:jc w:val="center"/>
              <w:rPr>
                <w:rFonts w:cs="Arial"/>
                <w:sz w:val="16"/>
                <w:szCs w:val="16"/>
              </w:rPr>
            </w:pPr>
            <w:r w:rsidRPr="00BB0618">
              <w:rPr>
                <w:rFonts w:cs="Arial"/>
                <w:sz w:val="16"/>
                <w:szCs w:val="16"/>
              </w:rPr>
              <w:t>7 566</w:t>
            </w:r>
          </w:p>
        </w:tc>
        <w:tc>
          <w:tcPr>
            <w:tcW w:w="972" w:type="dxa"/>
            <w:vAlign w:val="bottom"/>
          </w:tcPr>
          <w:p w14:paraId="0434633A" w14:textId="2256112A" w:rsidR="00986EB0" w:rsidRPr="00BB0618" w:rsidRDefault="00986EB0" w:rsidP="00986EB0">
            <w:pPr>
              <w:contextualSpacing/>
              <w:jc w:val="center"/>
              <w:rPr>
                <w:rFonts w:cs="Arial"/>
                <w:sz w:val="16"/>
                <w:szCs w:val="16"/>
              </w:rPr>
            </w:pPr>
            <w:r w:rsidRPr="00BB0618">
              <w:rPr>
                <w:rFonts w:cs="Arial"/>
                <w:sz w:val="16"/>
                <w:szCs w:val="16"/>
              </w:rPr>
              <w:t>14 614</w:t>
            </w:r>
          </w:p>
        </w:tc>
        <w:tc>
          <w:tcPr>
            <w:tcW w:w="972" w:type="dxa"/>
            <w:vAlign w:val="bottom"/>
          </w:tcPr>
          <w:p w14:paraId="68CF6296" w14:textId="73F7650A" w:rsidR="00986EB0" w:rsidRPr="00BB0618" w:rsidRDefault="00986EB0" w:rsidP="00986EB0">
            <w:pPr>
              <w:contextualSpacing/>
              <w:jc w:val="center"/>
              <w:rPr>
                <w:rFonts w:cs="Arial"/>
                <w:sz w:val="16"/>
                <w:szCs w:val="16"/>
              </w:rPr>
            </w:pPr>
            <w:r w:rsidRPr="00BB0618">
              <w:rPr>
                <w:rFonts w:cs="Arial"/>
                <w:sz w:val="16"/>
                <w:szCs w:val="16"/>
              </w:rPr>
              <w:t>15 576</w:t>
            </w:r>
          </w:p>
        </w:tc>
        <w:tc>
          <w:tcPr>
            <w:tcW w:w="972" w:type="dxa"/>
            <w:vAlign w:val="bottom"/>
          </w:tcPr>
          <w:p w14:paraId="77060F5F" w14:textId="2E12F16C" w:rsidR="00986EB0" w:rsidRPr="00BB0618" w:rsidRDefault="00986EB0" w:rsidP="00986EB0">
            <w:pPr>
              <w:contextualSpacing/>
              <w:jc w:val="center"/>
              <w:rPr>
                <w:rFonts w:cs="Arial"/>
                <w:sz w:val="16"/>
                <w:szCs w:val="16"/>
              </w:rPr>
            </w:pPr>
            <w:r w:rsidRPr="00BB0618">
              <w:rPr>
                <w:rFonts w:cs="Arial"/>
                <w:sz w:val="16"/>
                <w:szCs w:val="16"/>
              </w:rPr>
              <w:t>10 747</w:t>
            </w:r>
          </w:p>
        </w:tc>
        <w:tc>
          <w:tcPr>
            <w:tcW w:w="972" w:type="dxa"/>
            <w:vAlign w:val="bottom"/>
          </w:tcPr>
          <w:p w14:paraId="3976708A" w14:textId="1D2CD8A2" w:rsidR="00986EB0" w:rsidRPr="00BB0618" w:rsidRDefault="00986EB0" w:rsidP="00986EB0">
            <w:pPr>
              <w:contextualSpacing/>
              <w:jc w:val="center"/>
              <w:rPr>
                <w:rFonts w:cs="Arial"/>
                <w:sz w:val="16"/>
                <w:szCs w:val="16"/>
              </w:rPr>
            </w:pPr>
            <w:r w:rsidRPr="00BB0618">
              <w:rPr>
                <w:rFonts w:cs="Arial"/>
                <w:color w:val="000000"/>
                <w:sz w:val="16"/>
                <w:szCs w:val="16"/>
              </w:rPr>
              <w:t>14 991</w:t>
            </w:r>
          </w:p>
        </w:tc>
        <w:tc>
          <w:tcPr>
            <w:tcW w:w="972" w:type="dxa"/>
            <w:vAlign w:val="bottom"/>
          </w:tcPr>
          <w:p w14:paraId="2B4C3A59" w14:textId="475DCA12" w:rsidR="00986EB0" w:rsidRPr="00BB0618" w:rsidRDefault="00986EB0" w:rsidP="00986EB0">
            <w:pPr>
              <w:contextualSpacing/>
              <w:jc w:val="center"/>
              <w:rPr>
                <w:rFonts w:cs="Arial"/>
                <w:color w:val="000000"/>
                <w:sz w:val="16"/>
                <w:szCs w:val="16"/>
              </w:rPr>
            </w:pPr>
            <w:r w:rsidRPr="00BB0618">
              <w:rPr>
                <w:rFonts w:cs="Arial"/>
                <w:color w:val="000000"/>
                <w:sz w:val="16"/>
                <w:szCs w:val="16"/>
              </w:rPr>
              <w:t>15 989</w:t>
            </w:r>
          </w:p>
        </w:tc>
        <w:tc>
          <w:tcPr>
            <w:tcW w:w="972" w:type="dxa"/>
            <w:tcBorders>
              <w:top w:val="nil"/>
              <w:left w:val="single" w:sz="4" w:space="0" w:color="auto"/>
              <w:bottom w:val="single" w:sz="4" w:space="0" w:color="auto"/>
              <w:right w:val="single" w:sz="4" w:space="0" w:color="auto"/>
            </w:tcBorders>
            <w:shd w:val="clear" w:color="auto" w:fill="FFFFFF" w:themeFill="background1"/>
            <w:vAlign w:val="bottom"/>
          </w:tcPr>
          <w:p w14:paraId="1F646066" w14:textId="38224709" w:rsidR="00986EB0" w:rsidRPr="00986EB0" w:rsidRDefault="00986EB0" w:rsidP="00986EB0">
            <w:pPr>
              <w:contextualSpacing/>
              <w:jc w:val="center"/>
              <w:rPr>
                <w:rFonts w:cs="Arial"/>
                <w:color w:val="000000"/>
                <w:sz w:val="16"/>
                <w:szCs w:val="16"/>
              </w:rPr>
            </w:pPr>
            <w:r w:rsidRPr="00986EB0">
              <w:rPr>
                <w:rFonts w:cs="Arial"/>
                <w:color w:val="000000"/>
                <w:sz w:val="16"/>
                <w:szCs w:val="16"/>
              </w:rPr>
              <w:t>11421</w:t>
            </w:r>
          </w:p>
        </w:tc>
      </w:tr>
      <w:tr w:rsidR="00986EB0" w:rsidRPr="00BB0618" w14:paraId="77C66606" w14:textId="1140937D" w:rsidTr="000C6095">
        <w:trPr>
          <w:trHeight w:val="20"/>
          <w:jc w:val="center"/>
        </w:trPr>
        <w:tc>
          <w:tcPr>
            <w:tcW w:w="848" w:type="dxa"/>
            <w:vMerge/>
            <w:shd w:val="clear" w:color="auto" w:fill="BFBFBF"/>
            <w:vAlign w:val="center"/>
            <w:hideMark/>
          </w:tcPr>
          <w:p w14:paraId="1C28D879" w14:textId="77777777" w:rsidR="00986EB0" w:rsidRPr="00BB0618" w:rsidRDefault="00986EB0" w:rsidP="00986EB0">
            <w:pPr>
              <w:contextualSpacing/>
              <w:rPr>
                <w:rFonts w:cs="Arial"/>
                <w:b/>
                <w:bCs/>
                <w:sz w:val="16"/>
                <w:szCs w:val="16"/>
              </w:rPr>
            </w:pPr>
          </w:p>
        </w:tc>
        <w:tc>
          <w:tcPr>
            <w:tcW w:w="1992" w:type="dxa"/>
            <w:vAlign w:val="center"/>
            <w:hideMark/>
          </w:tcPr>
          <w:p w14:paraId="6605548D" w14:textId="77777777" w:rsidR="00986EB0" w:rsidRPr="00BB0618" w:rsidRDefault="00986EB0" w:rsidP="00986EB0">
            <w:pPr>
              <w:contextualSpacing/>
              <w:rPr>
                <w:rFonts w:cs="Arial"/>
                <w:sz w:val="16"/>
                <w:szCs w:val="16"/>
              </w:rPr>
            </w:pPr>
            <w:r w:rsidRPr="00BB0618">
              <w:rPr>
                <w:rFonts w:cs="Arial"/>
                <w:sz w:val="16"/>
                <w:szCs w:val="16"/>
              </w:rPr>
              <w:t>Tržby (tis. Kč)</w:t>
            </w:r>
          </w:p>
        </w:tc>
        <w:tc>
          <w:tcPr>
            <w:tcW w:w="972" w:type="dxa"/>
            <w:vAlign w:val="center"/>
          </w:tcPr>
          <w:p w14:paraId="758980B5" w14:textId="24C3EBF0" w:rsidR="00986EB0" w:rsidRPr="00BB0618" w:rsidRDefault="00986EB0" w:rsidP="00986EB0">
            <w:pPr>
              <w:contextualSpacing/>
              <w:jc w:val="center"/>
              <w:rPr>
                <w:rFonts w:cs="Arial"/>
                <w:sz w:val="16"/>
                <w:szCs w:val="16"/>
              </w:rPr>
            </w:pPr>
            <w:r w:rsidRPr="00BB0618">
              <w:rPr>
                <w:rFonts w:cs="Arial"/>
                <w:sz w:val="16"/>
                <w:szCs w:val="16"/>
              </w:rPr>
              <w:t>28 812</w:t>
            </w:r>
          </w:p>
        </w:tc>
        <w:tc>
          <w:tcPr>
            <w:tcW w:w="972" w:type="dxa"/>
            <w:vAlign w:val="center"/>
          </w:tcPr>
          <w:p w14:paraId="371B97A4" w14:textId="0C798F66" w:rsidR="00986EB0" w:rsidRPr="00BB0618" w:rsidRDefault="00986EB0" w:rsidP="00986EB0">
            <w:pPr>
              <w:contextualSpacing/>
              <w:jc w:val="center"/>
              <w:rPr>
                <w:rFonts w:cs="Arial"/>
                <w:sz w:val="16"/>
                <w:szCs w:val="16"/>
              </w:rPr>
            </w:pPr>
            <w:r w:rsidRPr="00BB0618">
              <w:rPr>
                <w:rFonts w:cs="Arial"/>
                <w:sz w:val="16"/>
                <w:szCs w:val="16"/>
              </w:rPr>
              <w:t>26 039</w:t>
            </w:r>
          </w:p>
        </w:tc>
        <w:tc>
          <w:tcPr>
            <w:tcW w:w="972" w:type="dxa"/>
            <w:vAlign w:val="center"/>
          </w:tcPr>
          <w:p w14:paraId="38953A08" w14:textId="5775BD8B" w:rsidR="00986EB0" w:rsidRPr="00BB0618" w:rsidRDefault="00986EB0" w:rsidP="00986EB0">
            <w:pPr>
              <w:contextualSpacing/>
              <w:jc w:val="center"/>
              <w:rPr>
                <w:rFonts w:cs="Arial"/>
                <w:sz w:val="16"/>
                <w:szCs w:val="16"/>
              </w:rPr>
            </w:pPr>
            <w:r w:rsidRPr="00BB0618">
              <w:rPr>
                <w:rFonts w:cs="Arial"/>
                <w:sz w:val="16"/>
                <w:szCs w:val="16"/>
              </w:rPr>
              <w:t>22 279</w:t>
            </w:r>
          </w:p>
        </w:tc>
        <w:tc>
          <w:tcPr>
            <w:tcW w:w="972" w:type="dxa"/>
            <w:vAlign w:val="center"/>
          </w:tcPr>
          <w:p w14:paraId="4FE01B5F" w14:textId="108ED6A4" w:rsidR="00986EB0" w:rsidRPr="00BB0618" w:rsidRDefault="00986EB0" w:rsidP="00986EB0">
            <w:pPr>
              <w:contextualSpacing/>
              <w:jc w:val="center"/>
              <w:rPr>
                <w:rFonts w:cs="Arial"/>
                <w:sz w:val="16"/>
                <w:szCs w:val="16"/>
              </w:rPr>
            </w:pPr>
            <w:r w:rsidRPr="00BB0618">
              <w:rPr>
                <w:rFonts w:cs="Arial"/>
                <w:sz w:val="16"/>
                <w:szCs w:val="16"/>
              </w:rPr>
              <w:t>22 215</w:t>
            </w:r>
          </w:p>
        </w:tc>
        <w:tc>
          <w:tcPr>
            <w:tcW w:w="972" w:type="dxa"/>
            <w:vAlign w:val="bottom"/>
          </w:tcPr>
          <w:p w14:paraId="6386FCE0" w14:textId="2194D5BD" w:rsidR="00986EB0" w:rsidRPr="00BB0618" w:rsidRDefault="00986EB0" w:rsidP="00986EB0">
            <w:pPr>
              <w:contextualSpacing/>
              <w:jc w:val="center"/>
              <w:rPr>
                <w:rFonts w:cs="Arial"/>
                <w:sz w:val="16"/>
                <w:szCs w:val="16"/>
              </w:rPr>
            </w:pPr>
            <w:r w:rsidRPr="00BB0618">
              <w:rPr>
                <w:rFonts w:cs="Arial"/>
                <w:sz w:val="16"/>
                <w:szCs w:val="16"/>
              </w:rPr>
              <w:t>38 744</w:t>
            </w:r>
          </w:p>
        </w:tc>
        <w:tc>
          <w:tcPr>
            <w:tcW w:w="972" w:type="dxa"/>
            <w:vAlign w:val="bottom"/>
          </w:tcPr>
          <w:p w14:paraId="4CA016C2" w14:textId="3C4F607D" w:rsidR="00986EB0" w:rsidRPr="00BB0618" w:rsidRDefault="00986EB0" w:rsidP="00986EB0">
            <w:pPr>
              <w:contextualSpacing/>
              <w:jc w:val="center"/>
              <w:rPr>
                <w:rFonts w:cs="Arial"/>
                <w:sz w:val="16"/>
                <w:szCs w:val="16"/>
              </w:rPr>
            </w:pPr>
            <w:r w:rsidRPr="00BB0618">
              <w:rPr>
                <w:rFonts w:cs="Arial"/>
                <w:sz w:val="16"/>
                <w:szCs w:val="16"/>
              </w:rPr>
              <w:t>26 748</w:t>
            </w:r>
          </w:p>
        </w:tc>
        <w:tc>
          <w:tcPr>
            <w:tcW w:w="972" w:type="dxa"/>
            <w:vAlign w:val="bottom"/>
          </w:tcPr>
          <w:p w14:paraId="3495F435" w14:textId="3AAFF4BB" w:rsidR="00986EB0" w:rsidRPr="00BB0618" w:rsidRDefault="00986EB0" w:rsidP="00986EB0">
            <w:pPr>
              <w:contextualSpacing/>
              <w:jc w:val="center"/>
              <w:rPr>
                <w:rFonts w:cs="Arial"/>
                <w:sz w:val="16"/>
                <w:szCs w:val="16"/>
              </w:rPr>
            </w:pPr>
            <w:r w:rsidRPr="00BB0618">
              <w:rPr>
                <w:rFonts w:cs="Arial"/>
                <w:sz w:val="16"/>
                <w:szCs w:val="16"/>
              </w:rPr>
              <w:t>15 237</w:t>
            </w:r>
          </w:p>
        </w:tc>
        <w:tc>
          <w:tcPr>
            <w:tcW w:w="972" w:type="dxa"/>
            <w:vAlign w:val="bottom"/>
          </w:tcPr>
          <w:p w14:paraId="0CDC16DE" w14:textId="5C7F7E77" w:rsidR="00986EB0" w:rsidRPr="00BB0618" w:rsidRDefault="00986EB0" w:rsidP="00986EB0">
            <w:pPr>
              <w:contextualSpacing/>
              <w:jc w:val="center"/>
              <w:rPr>
                <w:rFonts w:cs="Arial"/>
                <w:sz w:val="16"/>
                <w:szCs w:val="16"/>
              </w:rPr>
            </w:pPr>
            <w:r w:rsidRPr="00BB0618">
              <w:rPr>
                <w:rFonts w:cs="Arial"/>
                <w:color w:val="000000"/>
                <w:sz w:val="16"/>
                <w:szCs w:val="16"/>
              </w:rPr>
              <w:t>101 356</w:t>
            </w:r>
          </w:p>
        </w:tc>
        <w:tc>
          <w:tcPr>
            <w:tcW w:w="972" w:type="dxa"/>
            <w:vAlign w:val="bottom"/>
          </w:tcPr>
          <w:p w14:paraId="3B57FD19" w14:textId="4E813D45" w:rsidR="00986EB0" w:rsidRPr="00BB0618" w:rsidRDefault="00986EB0" w:rsidP="00986EB0">
            <w:pPr>
              <w:contextualSpacing/>
              <w:jc w:val="center"/>
              <w:rPr>
                <w:rFonts w:cs="Arial"/>
                <w:color w:val="000000"/>
                <w:sz w:val="16"/>
                <w:szCs w:val="16"/>
              </w:rPr>
            </w:pPr>
            <w:r w:rsidRPr="00BB0618">
              <w:rPr>
                <w:rFonts w:cs="Arial"/>
                <w:color w:val="000000"/>
                <w:sz w:val="16"/>
                <w:szCs w:val="16"/>
              </w:rPr>
              <w:t>48 164</w:t>
            </w:r>
          </w:p>
        </w:tc>
        <w:tc>
          <w:tcPr>
            <w:tcW w:w="972" w:type="dxa"/>
            <w:tcBorders>
              <w:top w:val="nil"/>
              <w:left w:val="single" w:sz="4" w:space="0" w:color="auto"/>
              <w:bottom w:val="single" w:sz="4" w:space="0" w:color="auto"/>
              <w:right w:val="single" w:sz="4" w:space="0" w:color="auto"/>
            </w:tcBorders>
            <w:shd w:val="clear" w:color="auto" w:fill="FFFFFF" w:themeFill="background1"/>
            <w:vAlign w:val="bottom"/>
          </w:tcPr>
          <w:p w14:paraId="7566ED43" w14:textId="160BEE14" w:rsidR="00986EB0" w:rsidRPr="00986EB0" w:rsidRDefault="00986EB0" w:rsidP="00986EB0">
            <w:pPr>
              <w:contextualSpacing/>
              <w:jc w:val="center"/>
              <w:rPr>
                <w:rFonts w:cs="Arial"/>
                <w:color w:val="000000"/>
                <w:sz w:val="16"/>
                <w:szCs w:val="16"/>
              </w:rPr>
            </w:pPr>
            <w:r w:rsidRPr="00986EB0">
              <w:rPr>
                <w:rFonts w:cs="Arial"/>
                <w:color w:val="000000"/>
                <w:sz w:val="16"/>
                <w:szCs w:val="16"/>
              </w:rPr>
              <w:t>29 121</w:t>
            </w:r>
          </w:p>
        </w:tc>
      </w:tr>
      <w:tr w:rsidR="00986EB0" w:rsidRPr="00BB0618" w14:paraId="07D277BD" w14:textId="6B694009" w:rsidTr="000C6095">
        <w:trPr>
          <w:trHeight w:val="20"/>
          <w:jc w:val="center"/>
        </w:trPr>
        <w:tc>
          <w:tcPr>
            <w:tcW w:w="848" w:type="dxa"/>
            <w:vMerge w:val="restart"/>
            <w:shd w:val="clear" w:color="auto" w:fill="BFBFBF"/>
            <w:vAlign w:val="center"/>
            <w:hideMark/>
          </w:tcPr>
          <w:p w14:paraId="1144ED0B" w14:textId="77777777" w:rsidR="00986EB0" w:rsidRPr="00BB0618" w:rsidRDefault="00986EB0" w:rsidP="00986EB0">
            <w:pPr>
              <w:contextualSpacing/>
              <w:rPr>
                <w:rFonts w:cs="Arial"/>
                <w:b/>
                <w:bCs/>
                <w:sz w:val="16"/>
                <w:szCs w:val="16"/>
              </w:rPr>
            </w:pPr>
            <w:r w:rsidRPr="00BB0618">
              <w:rPr>
                <w:rFonts w:cs="Arial"/>
                <w:b/>
                <w:bCs/>
                <w:sz w:val="16"/>
                <w:szCs w:val="16"/>
              </w:rPr>
              <w:t xml:space="preserve">Celkem </w:t>
            </w:r>
          </w:p>
        </w:tc>
        <w:tc>
          <w:tcPr>
            <w:tcW w:w="1992" w:type="dxa"/>
            <w:shd w:val="clear" w:color="auto" w:fill="BFBFBF"/>
            <w:vAlign w:val="center"/>
            <w:hideMark/>
          </w:tcPr>
          <w:p w14:paraId="1C467206" w14:textId="77777777" w:rsidR="00986EB0" w:rsidRPr="00BB0618" w:rsidRDefault="00986EB0" w:rsidP="00986EB0">
            <w:pPr>
              <w:contextualSpacing/>
              <w:rPr>
                <w:rFonts w:cs="Arial"/>
                <w:b/>
                <w:bCs/>
                <w:sz w:val="16"/>
                <w:szCs w:val="16"/>
              </w:rPr>
            </w:pPr>
            <w:r w:rsidRPr="00BB0618">
              <w:rPr>
                <w:rFonts w:cs="Arial"/>
                <w:b/>
                <w:bCs/>
                <w:sz w:val="16"/>
                <w:szCs w:val="16"/>
              </w:rPr>
              <w:t>Počet MVE</w:t>
            </w:r>
          </w:p>
        </w:tc>
        <w:tc>
          <w:tcPr>
            <w:tcW w:w="972" w:type="dxa"/>
            <w:shd w:val="clear" w:color="auto" w:fill="BFBFBF"/>
            <w:vAlign w:val="center"/>
          </w:tcPr>
          <w:p w14:paraId="55911E67" w14:textId="37D4C176" w:rsidR="00986EB0" w:rsidRPr="00BB0618" w:rsidRDefault="00986EB0" w:rsidP="00986EB0">
            <w:pPr>
              <w:contextualSpacing/>
              <w:jc w:val="center"/>
              <w:rPr>
                <w:rFonts w:cs="Arial"/>
                <w:b/>
                <w:bCs/>
                <w:sz w:val="16"/>
                <w:szCs w:val="16"/>
              </w:rPr>
            </w:pPr>
            <w:r w:rsidRPr="00BB0618">
              <w:rPr>
                <w:rFonts w:cs="Arial"/>
                <w:b/>
                <w:bCs/>
                <w:sz w:val="16"/>
                <w:szCs w:val="16"/>
              </w:rPr>
              <w:t>98</w:t>
            </w:r>
          </w:p>
        </w:tc>
        <w:tc>
          <w:tcPr>
            <w:tcW w:w="972" w:type="dxa"/>
            <w:shd w:val="clear" w:color="auto" w:fill="BFBFBF"/>
            <w:vAlign w:val="center"/>
          </w:tcPr>
          <w:p w14:paraId="3B484789" w14:textId="625180F2" w:rsidR="00986EB0" w:rsidRPr="00BB0618" w:rsidRDefault="00986EB0" w:rsidP="00986EB0">
            <w:pPr>
              <w:contextualSpacing/>
              <w:jc w:val="center"/>
              <w:rPr>
                <w:rFonts w:cs="Arial"/>
                <w:b/>
                <w:bCs/>
                <w:sz w:val="16"/>
                <w:szCs w:val="16"/>
              </w:rPr>
            </w:pPr>
            <w:r w:rsidRPr="00BB0618">
              <w:rPr>
                <w:rFonts w:cs="Arial"/>
                <w:b/>
                <w:bCs/>
                <w:sz w:val="16"/>
                <w:szCs w:val="16"/>
              </w:rPr>
              <w:t>99</w:t>
            </w:r>
          </w:p>
        </w:tc>
        <w:tc>
          <w:tcPr>
            <w:tcW w:w="972" w:type="dxa"/>
            <w:shd w:val="clear" w:color="auto" w:fill="BFBFBF"/>
            <w:vAlign w:val="center"/>
          </w:tcPr>
          <w:p w14:paraId="5EED1EBF" w14:textId="25C6B007" w:rsidR="00986EB0" w:rsidRPr="00BB0618" w:rsidRDefault="00986EB0" w:rsidP="00986EB0">
            <w:pPr>
              <w:contextualSpacing/>
              <w:jc w:val="center"/>
              <w:rPr>
                <w:rFonts w:cs="Arial"/>
                <w:b/>
                <w:bCs/>
                <w:sz w:val="16"/>
                <w:szCs w:val="16"/>
              </w:rPr>
            </w:pPr>
            <w:r w:rsidRPr="00BB0618">
              <w:rPr>
                <w:rFonts w:cs="Arial"/>
                <w:b/>
                <w:bCs/>
                <w:sz w:val="16"/>
                <w:szCs w:val="16"/>
              </w:rPr>
              <w:t>103</w:t>
            </w:r>
          </w:p>
        </w:tc>
        <w:tc>
          <w:tcPr>
            <w:tcW w:w="972" w:type="dxa"/>
            <w:shd w:val="clear" w:color="auto" w:fill="BFBFBF"/>
            <w:vAlign w:val="center"/>
          </w:tcPr>
          <w:p w14:paraId="49C16645" w14:textId="22FAFBCD" w:rsidR="00986EB0" w:rsidRPr="00BB0618" w:rsidRDefault="00986EB0" w:rsidP="00986EB0">
            <w:pPr>
              <w:contextualSpacing/>
              <w:jc w:val="center"/>
              <w:rPr>
                <w:rFonts w:cs="Arial"/>
                <w:b/>
                <w:sz w:val="16"/>
                <w:szCs w:val="16"/>
              </w:rPr>
            </w:pPr>
            <w:r w:rsidRPr="00BB0618">
              <w:rPr>
                <w:rFonts w:cs="Arial"/>
                <w:b/>
                <w:bCs/>
                <w:sz w:val="16"/>
                <w:szCs w:val="16"/>
              </w:rPr>
              <w:t>102</w:t>
            </w:r>
          </w:p>
        </w:tc>
        <w:tc>
          <w:tcPr>
            <w:tcW w:w="972" w:type="dxa"/>
            <w:shd w:val="clear" w:color="auto" w:fill="BFBFBF"/>
            <w:vAlign w:val="center"/>
          </w:tcPr>
          <w:p w14:paraId="1B7D3997" w14:textId="74B85C9E" w:rsidR="00986EB0" w:rsidRPr="00BB0618" w:rsidRDefault="00986EB0" w:rsidP="00986EB0">
            <w:pPr>
              <w:contextualSpacing/>
              <w:jc w:val="center"/>
              <w:rPr>
                <w:rFonts w:cs="Arial"/>
                <w:b/>
                <w:bCs/>
                <w:sz w:val="16"/>
                <w:szCs w:val="16"/>
              </w:rPr>
            </w:pPr>
            <w:r w:rsidRPr="00BB0618">
              <w:rPr>
                <w:rFonts w:cs="Arial"/>
                <w:b/>
                <w:bCs/>
                <w:sz w:val="16"/>
                <w:szCs w:val="16"/>
              </w:rPr>
              <w:t>104</w:t>
            </w:r>
          </w:p>
        </w:tc>
        <w:tc>
          <w:tcPr>
            <w:tcW w:w="972" w:type="dxa"/>
            <w:shd w:val="clear" w:color="auto" w:fill="BFBFBF"/>
            <w:vAlign w:val="bottom"/>
          </w:tcPr>
          <w:p w14:paraId="2E170523" w14:textId="4B7B1597" w:rsidR="00986EB0" w:rsidRPr="00BB0618" w:rsidRDefault="00986EB0" w:rsidP="00986EB0">
            <w:pPr>
              <w:contextualSpacing/>
              <w:jc w:val="center"/>
              <w:rPr>
                <w:rFonts w:cs="Arial"/>
                <w:b/>
                <w:bCs/>
                <w:sz w:val="16"/>
                <w:szCs w:val="16"/>
              </w:rPr>
            </w:pPr>
            <w:r w:rsidRPr="00BB0618">
              <w:rPr>
                <w:rFonts w:cs="Arial"/>
                <w:b/>
                <w:bCs/>
                <w:sz w:val="16"/>
                <w:szCs w:val="16"/>
              </w:rPr>
              <w:t>104</w:t>
            </w:r>
          </w:p>
        </w:tc>
        <w:tc>
          <w:tcPr>
            <w:tcW w:w="972" w:type="dxa"/>
            <w:shd w:val="clear" w:color="auto" w:fill="BFBFBF"/>
            <w:vAlign w:val="bottom"/>
          </w:tcPr>
          <w:p w14:paraId="442CDACB" w14:textId="6049983D" w:rsidR="00986EB0" w:rsidRPr="00BB0618" w:rsidRDefault="00986EB0" w:rsidP="00986EB0">
            <w:pPr>
              <w:contextualSpacing/>
              <w:jc w:val="center"/>
              <w:rPr>
                <w:rFonts w:cs="Arial"/>
                <w:b/>
                <w:bCs/>
                <w:sz w:val="16"/>
                <w:szCs w:val="16"/>
              </w:rPr>
            </w:pPr>
            <w:r w:rsidRPr="00BB0618">
              <w:rPr>
                <w:rFonts w:cs="Arial"/>
                <w:b/>
                <w:bCs/>
                <w:sz w:val="16"/>
                <w:szCs w:val="16"/>
              </w:rPr>
              <w:t> 106</w:t>
            </w:r>
          </w:p>
        </w:tc>
        <w:tc>
          <w:tcPr>
            <w:tcW w:w="972" w:type="dxa"/>
            <w:shd w:val="clear" w:color="auto" w:fill="BFBFBF"/>
            <w:vAlign w:val="bottom"/>
          </w:tcPr>
          <w:p w14:paraId="4EB9831D" w14:textId="22237D3D" w:rsidR="00986EB0" w:rsidRPr="00BB0618" w:rsidRDefault="00986EB0" w:rsidP="00986EB0">
            <w:pPr>
              <w:contextualSpacing/>
              <w:jc w:val="center"/>
              <w:rPr>
                <w:rFonts w:cs="Arial"/>
                <w:b/>
                <w:bCs/>
                <w:sz w:val="16"/>
                <w:szCs w:val="16"/>
              </w:rPr>
            </w:pPr>
            <w:r w:rsidRPr="00BB0618">
              <w:rPr>
                <w:rFonts w:cs="Arial"/>
                <w:color w:val="000000"/>
                <w:sz w:val="16"/>
                <w:szCs w:val="16"/>
              </w:rPr>
              <w:t>106</w:t>
            </w:r>
          </w:p>
        </w:tc>
        <w:tc>
          <w:tcPr>
            <w:tcW w:w="972" w:type="dxa"/>
            <w:shd w:val="clear" w:color="auto" w:fill="BFBFBF"/>
            <w:vAlign w:val="center"/>
          </w:tcPr>
          <w:p w14:paraId="2F5662B4" w14:textId="3A237D3D" w:rsidR="00986EB0" w:rsidRPr="00BB0618" w:rsidRDefault="00986EB0" w:rsidP="00986EB0">
            <w:pPr>
              <w:contextualSpacing/>
              <w:jc w:val="center"/>
              <w:rPr>
                <w:rFonts w:cs="Arial"/>
                <w:color w:val="000000"/>
                <w:sz w:val="16"/>
                <w:szCs w:val="16"/>
              </w:rPr>
            </w:pPr>
            <w:r w:rsidRPr="00BB0618">
              <w:rPr>
                <w:rFonts w:cs="Arial"/>
                <w:b/>
                <w:bCs/>
                <w:color w:val="000000"/>
                <w:sz w:val="16"/>
                <w:szCs w:val="16"/>
              </w:rPr>
              <w:t>106</w:t>
            </w:r>
          </w:p>
        </w:tc>
        <w:tc>
          <w:tcPr>
            <w:tcW w:w="972"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3FCA90EE" w14:textId="62B92585" w:rsidR="00986EB0" w:rsidRPr="00986EB0" w:rsidRDefault="00986EB0" w:rsidP="00986EB0">
            <w:pPr>
              <w:contextualSpacing/>
              <w:jc w:val="center"/>
              <w:rPr>
                <w:rFonts w:cs="Arial"/>
                <w:b/>
                <w:bCs/>
                <w:color w:val="000000"/>
                <w:sz w:val="16"/>
                <w:szCs w:val="16"/>
              </w:rPr>
            </w:pPr>
            <w:r w:rsidRPr="00986EB0">
              <w:rPr>
                <w:rFonts w:cs="Arial"/>
                <w:b/>
                <w:bCs/>
                <w:color w:val="000000"/>
                <w:sz w:val="16"/>
                <w:szCs w:val="16"/>
              </w:rPr>
              <w:t>109</w:t>
            </w:r>
          </w:p>
        </w:tc>
      </w:tr>
      <w:tr w:rsidR="00986EB0" w:rsidRPr="00BB0618" w14:paraId="62F06B5F" w14:textId="7E0E75BC" w:rsidTr="000C6095">
        <w:trPr>
          <w:trHeight w:val="20"/>
          <w:jc w:val="center"/>
        </w:trPr>
        <w:tc>
          <w:tcPr>
            <w:tcW w:w="848" w:type="dxa"/>
            <w:vMerge/>
            <w:shd w:val="clear" w:color="auto" w:fill="BFBFBF"/>
            <w:vAlign w:val="center"/>
            <w:hideMark/>
          </w:tcPr>
          <w:p w14:paraId="304846E8" w14:textId="77777777" w:rsidR="00986EB0" w:rsidRPr="00BB0618" w:rsidRDefault="00986EB0" w:rsidP="00986EB0">
            <w:pPr>
              <w:contextualSpacing/>
              <w:rPr>
                <w:rFonts w:cs="Arial"/>
                <w:b/>
                <w:bCs/>
                <w:sz w:val="16"/>
                <w:szCs w:val="16"/>
              </w:rPr>
            </w:pPr>
          </w:p>
        </w:tc>
        <w:tc>
          <w:tcPr>
            <w:tcW w:w="1992" w:type="dxa"/>
            <w:shd w:val="clear" w:color="auto" w:fill="BFBFBF"/>
            <w:vAlign w:val="center"/>
            <w:hideMark/>
          </w:tcPr>
          <w:p w14:paraId="5FD5036D" w14:textId="77777777" w:rsidR="00986EB0" w:rsidRPr="00BB0618" w:rsidRDefault="00986EB0" w:rsidP="00986EB0">
            <w:pPr>
              <w:contextualSpacing/>
              <w:rPr>
                <w:rFonts w:cs="Arial"/>
                <w:b/>
                <w:bCs/>
                <w:sz w:val="16"/>
                <w:szCs w:val="16"/>
              </w:rPr>
            </w:pPr>
            <w:r w:rsidRPr="00BB0618">
              <w:rPr>
                <w:rFonts w:cs="Arial"/>
                <w:b/>
                <w:sz w:val="16"/>
                <w:szCs w:val="16"/>
              </w:rPr>
              <w:t>Instalovaný výkon (kW)</w:t>
            </w:r>
          </w:p>
        </w:tc>
        <w:tc>
          <w:tcPr>
            <w:tcW w:w="972" w:type="dxa"/>
            <w:shd w:val="clear" w:color="auto" w:fill="BFBFBF"/>
            <w:vAlign w:val="center"/>
          </w:tcPr>
          <w:p w14:paraId="09F161F0" w14:textId="0B3F4B54" w:rsidR="00986EB0" w:rsidRPr="00BB0618" w:rsidRDefault="00986EB0" w:rsidP="00986EB0">
            <w:pPr>
              <w:contextualSpacing/>
              <w:jc w:val="center"/>
              <w:rPr>
                <w:rFonts w:cs="Arial"/>
                <w:b/>
                <w:bCs/>
                <w:sz w:val="16"/>
                <w:szCs w:val="16"/>
              </w:rPr>
            </w:pPr>
            <w:r w:rsidRPr="00BB0618">
              <w:rPr>
                <w:rFonts w:cs="Arial"/>
                <w:b/>
                <w:bCs/>
                <w:sz w:val="16"/>
                <w:szCs w:val="16"/>
              </w:rPr>
              <w:t>55 622</w:t>
            </w:r>
          </w:p>
        </w:tc>
        <w:tc>
          <w:tcPr>
            <w:tcW w:w="972" w:type="dxa"/>
            <w:shd w:val="clear" w:color="auto" w:fill="BFBFBF"/>
            <w:vAlign w:val="center"/>
          </w:tcPr>
          <w:p w14:paraId="0C46F8E6" w14:textId="36C53B68" w:rsidR="00986EB0" w:rsidRPr="00BB0618" w:rsidRDefault="00986EB0" w:rsidP="00986EB0">
            <w:pPr>
              <w:contextualSpacing/>
              <w:jc w:val="center"/>
              <w:rPr>
                <w:rFonts w:cs="Arial"/>
                <w:b/>
                <w:bCs/>
                <w:sz w:val="16"/>
                <w:szCs w:val="16"/>
              </w:rPr>
            </w:pPr>
            <w:r w:rsidRPr="00BB0618">
              <w:rPr>
                <w:rFonts w:cs="Arial"/>
                <w:b/>
                <w:bCs/>
                <w:sz w:val="16"/>
                <w:szCs w:val="16"/>
              </w:rPr>
              <w:t>55 771</w:t>
            </w:r>
          </w:p>
        </w:tc>
        <w:tc>
          <w:tcPr>
            <w:tcW w:w="972" w:type="dxa"/>
            <w:shd w:val="clear" w:color="auto" w:fill="BFBFBF"/>
            <w:vAlign w:val="center"/>
          </w:tcPr>
          <w:p w14:paraId="19C758B0" w14:textId="4C6F0D30" w:rsidR="00986EB0" w:rsidRPr="00BB0618" w:rsidRDefault="00986EB0" w:rsidP="00986EB0">
            <w:pPr>
              <w:contextualSpacing/>
              <w:jc w:val="center"/>
              <w:rPr>
                <w:rFonts w:cs="Arial"/>
                <w:b/>
                <w:bCs/>
                <w:sz w:val="16"/>
                <w:szCs w:val="16"/>
              </w:rPr>
            </w:pPr>
            <w:r w:rsidRPr="00BB0618">
              <w:rPr>
                <w:rFonts w:cs="Arial"/>
                <w:b/>
                <w:bCs/>
                <w:sz w:val="16"/>
                <w:szCs w:val="16"/>
              </w:rPr>
              <w:t>56 087</w:t>
            </w:r>
          </w:p>
        </w:tc>
        <w:tc>
          <w:tcPr>
            <w:tcW w:w="972" w:type="dxa"/>
            <w:shd w:val="clear" w:color="auto" w:fill="BFBFBF"/>
            <w:vAlign w:val="center"/>
          </w:tcPr>
          <w:p w14:paraId="0FA21635" w14:textId="1DF107C9" w:rsidR="00986EB0" w:rsidRPr="00BB0618" w:rsidRDefault="00986EB0" w:rsidP="00986EB0">
            <w:pPr>
              <w:contextualSpacing/>
              <w:jc w:val="center"/>
              <w:rPr>
                <w:rFonts w:cs="Arial"/>
                <w:b/>
                <w:sz w:val="16"/>
                <w:szCs w:val="16"/>
              </w:rPr>
            </w:pPr>
            <w:r w:rsidRPr="00BB0618">
              <w:rPr>
                <w:rFonts w:cs="Arial"/>
                <w:b/>
                <w:bCs/>
                <w:sz w:val="16"/>
                <w:szCs w:val="16"/>
              </w:rPr>
              <w:t>56 221</w:t>
            </w:r>
          </w:p>
        </w:tc>
        <w:tc>
          <w:tcPr>
            <w:tcW w:w="972" w:type="dxa"/>
            <w:shd w:val="clear" w:color="auto" w:fill="BFBFBF"/>
            <w:vAlign w:val="center"/>
          </w:tcPr>
          <w:p w14:paraId="583AA08E" w14:textId="05AA9BA0" w:rsidR="00986EB0" w:rsidRPr="00BB0618" w:rsidRDefault="00986EB0" w:rsidP="00986EB0">
            <w:pPr>
              <w:contextualSpacing/>
              <w:jc w:val="center"/>
              <w:rPr>
                <w:rFonts w:cs="Arial"/>
                <w:b/>
                <w:bCs/>
                <w:sz w:val="16"/>
                <w:szCs w:val="16"/>
              </w:rPr>
            </w:pPr>
            <w:r w:rsidRPr="00BB0618">
              <w:rPr>
                <w:rFonts w:cs="Arial"/>
                <w:b/>
                <w:bCs/>
                <w:sz w:val="18"/>
                <w:szCs w:val="18"/>
              </w:rPr>
              <w:t>56 201</w:t>
            </w:r>
          </w:p>
        </w:tc>
        <w:tc>
          <w:tcPr>
            <w:tcW w:w="972" w:type="dxa"/>
            <w:shd w:val="clear" w:color="auto" w:fill="BFBFBF"/>
            <w:vAlign w:val="center"/>
          </w:tcPr>
          <w:p w14:paraId="5C2E555B" w14:textId="780E3484" w:rsidR="00986EB0" w:rsidRPr="00BB0618" w:rsidRDefault="00986EB0" w:rsidP="00986EB0">
            <w:pPr>
              <w:contextualSpacing/>
              <w:jc w:val="center"/>
              <w:rPr>
                <w:rFonts w:cs="Arial"/>
                <w:b/>
                <w:bCs/>
                <w:sz w:val="16"/>
                <w:szCs w:val="16"/>
              </w:rPr>
            </w:pPr>
            <w:r w:rsidRPr="00BB0618">
              <w:rPr>
                <w:rFonts w:cs="Arial"/>
                <w:b/>
                <w:bCs/>
                <w:sz w:val="16"/>
                <w:szCs w:val="16"/>
              </w:rPr>
              <w:t>56 154</w:t>
            </w:r>
          </w:p>
        </w:tc>
        <w:tc>
          <w:tcPr>
            <w:tcW w:w="972" w:type="dxa"/>
            <w:shd w:val="clear" w:color="auto" w:fill="BFBFBF"/>
            <w:vAlign w:val="center"/>
          </w:tcPr>
          <w:p w14:paraId="788D61DE" w14:textId="4AEE4764" w:rsidR="00986EB0" w:rsidRPr="00BB0618" w:rsidRDefault="00986EB0" w:rsidP="00986EB0">
            <w:pPr>
              <w:contextualSpacing/>
              <w:jc w:val="center"/>
              <w:rPr>
                <w:rFonts w:cs="Arial"/>
                <w:b/>
                <w:bCs/>
                <w:sz w:val="16"/>
                <w:szCs w:val="16"/>
              </w:rPr>
            </w:pPr>
            <w:r w:rsidRPr="00BB0618">
              <w:rPr>
                <w:rFonts w:cs="Arial"/>
                <w:b/>
                <w:bCs/>
                <w:sz w:val="16"/>
                <w:szCs w:val="16"/>
              </w:rPr>
              <w:t>56 435</w:t>
            </w:r>
          </w:p>
        </w:tc>
        <w:tc>
          <w:tcPr>
            <w:tcW w:w="972" w:type="dxa"/>
            <w:shd w:val="clear" w:color="auto" w:fill="BFBFBF"/>
            <w:vAlign w:val="center"/>
          </w:tcPr>
          <w:p w14:paraId="7F958002" w14:textId="4688571D" w:rsidR="00986EB0" w:rsidRPr="00BB0618" w:rsidRDefault="00986EB0" w:rsidP="00986EB0">
            <w:pPr>
              <w:contextualSpacing/>
              <w:jc w:val="center"/>
              <w:rPr>
                <w:rFonts w:cs="Arial"/>
                <w:b/>
                <w:bCs/>
                <w:sz w:val="16"/>
                <w:szCs w:val="16"/>
              </w:rPr>
            </w:pPr>
            <w:r w:rsidRPr="00BB0618">
              <w:rPr>
                <w:rFonts w:cs="Arial"/>
                <w:b/>
                <w:bCs/>
                <w:color w:val="000000"/>
                <w:sz w:val="16"/>
                <w:szCs w:val="16"/>
              </w:rPr>
              <w:t>56 482</w:t>
            </w:r>
          </w:p>
        </w:tc>
        <w:tc>
          <w:tcPr>
            <w:tcW w:w="972" w:type="dxa"/>
            <w:shd w:val="clear" w:color="auto" w:fill="BFBFBF"/>
            <w:vAlign w:val="center"/>
          </w:tcPr>
          <w:p w14:paraId="4C361B10" w14:textId="7E886CB1" w:rsidR="00986EB0" w:rsidRPr="00BB0618" w:rsidRDefault="00986EB0" w:rsidP="00986EB0">
            <w:pPr>
              <w:contextualSpacing/>
              <w:jc w:val="center"/>
              <w:rPr>
                <w:rFonts w:cs="Arial"/>
                <w:b/>
                <w:bCs/>
                <w:color w:val="000000"/>
                <w:sz w:val="16"/>
                <w:szCs w:val="16"/>
              </w:rPr>
            </w:pPr>
            <w:r w:rsidRPr="00BB0618">
              <w:rPr>
                <w:rFonts w:cs="Arial"/>
                <w:b/>
                <w:bCs/>
                <w:color w:val="000000"/>
                <w:sz w:val="16"/>
                <w:szCs w:val="16"/>
              </w:rPr>
              <w:t>56 506</w:t>
            </w:r>
          </w:p>
        </w:tc>
        <w:tc>
          <w:tcPr>
            <w:tcW w:w="972"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0BC7B1A0" w14:textId="73E13841" w:rsidR="00986EB0" w:rsidRPr="00986EB0" w:rsidRDefault="00986EB0" w:rsidP="00986EB0">
            <w:pPr>
              <w:contextualSpacing/>
              <w:jc w:val="center"/>
              <w:rPr>
                <w:rFonts w:cs="Arial"/>
                <w:b/>
                <w:bCs/>
                <w:color w:val="000000"/>
                <w:sz w:val="16"/>
                <w:szCs w:val="16"/>
              </w:rPr>
            </w:pPr>
            <w:r w:rsidRPr="00986EB0">
              <w:rPr>
                <w:rFonts w:cs="Arial"/>
                <w:b/>
                <w:bCs/>
                <w:color w:val="000000"/>
                <w:sz w:val="16"/>
                <w:szCs w:val="16"/>
              </w:rPr>
              <w:t>56 352</w:t>
            </w:r>
          </w:p>
        </w:tc>
      </w:tr>
      <w:tr w:rsidR="00986EB0" w:rsidRPr="00BB0618" w14:paraId="17AC0B24" w14:textId="2311AE09" w:rsidTr="000C6095">
        <w:trPr>
          <w:trHeight w:val="20"/>
          <w:jc w:val="center"/>
        </w:trPr>
        <w:tc>
          <w:tcPr>
            <w:tcW w:w="848" w:type="dxa"/>
            <w:vMerge/>
            <w:shd w:val="clear" w:color="auto" w:fill="BFBFBF"/>
            <w:vAlign w:val="center"/>
            <w:hideMark/>
          </w:tcPr>
          <w:p w14:paraId="3C5400BE" w14:textId="77777777" w:rsidR="00986EB0" w:rsidRPr="00BB0618" w:rsidRDefault="00986EB0" w:rsidP="00986EB0">
            <w:pPr>
              <w:contextualSpacing/>
              <w:rPr>
                <w:rFonts w:cs="Arial"/>
                <w:b/>
                <w:bCs/>
                <w:sz w:val="16"/>
                <w:szCs w:val="16"/>
              </w:rPr>
            </w:pPr>
          </w:p>
        </w:tc>
        <w:tc>
          <w:tcPr>
            <w:tcW w:w="1992" w:type="dxa"/>
            <w:shd w:val="clear" w:color="auto" w:fill="BFBFBF"/>
            <w:vAlign w:val="center"/>
            <w:hideMark/>
          </w:tcPr>
          <w:p w14:paraId="7DAD3BB5" w14:textId="77777777" w:rsidR="00986EB0" w:rsidRPr="00BB0618" w:rsidRDefault="00986EB0" w:rsidP="00986EB0">
            <w:pPr>
              <w:contextualSpacing/>
              <w:rPr>
                <w:rFonts w:cs="Arial"/>
                <w:b/>
                <w:bCs/>
                <w:sz w:val="16"/>
                <w:szCs w:val="16"/>
              </w:rPr>
            </w:pPr>
            <w:r w:rsidRPr="00BB0618">
              <w:rPr>
                <w:rFonts w:cs="Arial"/>
                <w:b/>
                <w:sz w:val="16"/>
                <w:szCs w:val="16"/>
              </w:rPr>
              <w:t>Výr. el. energie (</w:t>
            </w:r>
            <w:proofErr w:type="spellStart"/>
            <w:r w:rsidRPr="00BB0618">
              <w:rPr>
                <w:rFonts w:cs="Arial"/>
                <w:b/>
                <w:sz w:val="16"/>
                <w:szCs w:val="16"/>
              </w:rPr>
              <w:t>MWh</w:t>
            </w:r>
            <w:proofErr w:type="spellEnd"/>
            <w:r w:rsidRPr="00BB0618">
              <w:rPr>
                <w:rFonts w:cs="Arial"/>
                <w:b/>
                <w:sz w:val="16"/>
                <w:szCs w:val="16"/>
              </w:rPr>
              <w:t>)</w:t>
            </w:r>
          </w:p>
        </w:tc>
        <w:tc>
          <w:tcPr>
            <w:tcW w:w="972" w:type="dxa"/>
            <w:shd w:val="clear" w:color="auto" w:fill="BFBFBF"/>
            <w:vAlign w:val="center"/>
          </w:tcPr>
          <w:p w14:paraId="79D881EA" w14:textId="5E2DD82D" w:rsidR="00986EB0" w:rsidRPr="00BB0618" w:rsidRDefault="00986EB0" w:rsidP="00986EB0">
            <w:pPr>
              <w:contextualSpacing/>
              <w:jc w:val="center"/>
              <w:rPr>
                <w:rFonts w:cs="Arial"/>
                <w:b/>
                <w:bCs/>
                <w:sz w:val="16"/>
                <w:szCs w:val="16"/>
              </w:rPr>
            </w:pPr>
            <w:r w:rsidRPr="00BB0618">
              <w:rPr>
                <w:rFonts w:cs="Arial"/>
                <w:b/>
                <w:bCs/>
                <w:sz w:val="16"/>
                <w:szCs w:val="16"/>
              </w:rPr>
              <w:t>229 272</w:t>
            </w:r>
          </w:p>
        </w:tc>
        <w:tc>
          <w:tcPr>
            <w:tcW w:w="972" w:type="dxa"/>
            <w:shd w:val="clear" w:color="auto" w:fill="BFBFBF"/>
            <w:vAlign w:val="center"/>
          </w:tcPr>
          <w:p w14:paraId="01FCF542" w14:textId="4C866F9E" w:rsidR="00986EB0" w:rsidRPr="00BB0618" w:rsidRDefault="00986EB0" w:rsidP="00986EB0">
            <w:pPr>
              <w:contextualSpacing/>
              <w:jc w:val="center"/>
              <w:rPr>
                <w:rFonts w:cs="Arial"/>
                <w:b/>
                <w:bCs/>
                <w:sz w:val="16"/>
                <w:szCs w:val="16"/>
              </w:rPr>
            </w:pPr>
            <w:r w:rsidRPr="00BB0618">
              <w:rPr>
                <w:rFonts w:cs="Arial"/>
                <w:b/>
                <w:bCs/>
                <w:sz w:val="16"/>
                <w:szCs w:val="16"/>
              </w:rPr>
              <w:t>216 949</w:t>
            </w:r>
          </w:p>
        </w:tc>
        <w:tc>
          <w:tcPr>
            <w:tcW w:w="972" w:type="dxa"/>
            <w:shd w:val="clear" w:color="auto" w:fill="BFBFBF"/>
            <w:vAlign w:val="center"/>
          </w:tcPr>
          <w:p w14:paraId="60599335" w14:textId="0A668204" w:rsidR="00986EB0" w:rsidRPr="00BB0618" w:rsidRDefault="00986EB0" w:rsidP="00986EB0">
            <w:pPr>
              <w:contextualSpacing/>
              <w:jc w:val="center"/>
              <w:rPr>
                <w:rFonts w:cs="Arial"/>
                <w:b/>
                <w:bCs/>
                <w:sz w:val="16"/>
                <w:szCs w:val="16"/>
              </w:rPr>
            </w:pPr>
            <w:r w:rsidRPr="00BB0618">
              <w:rPr>
                <w:rFonts w:cs="Arial"/>
                <w:b/>
                <w:bCs/>
                <w:sz w:val="16"/>
                <w:szCs w:val="16"/>
              </w:rPr>
              <w:t>197 977</w:t>
            </w:r>
          </w:p>
        </w:tc>
        <w:tc>
          <w:tcPr>
            <w:tcW w:w="972" w:type="dxa"/>
            <w:shd w:val="clear" w:color="auto" w:fill="BFBFBF"/>
            <w:vAlign w:val="center"/>
          </w:tcPr>
          <w:p w14:paraId="677134DE" w14:textId="3FA63FEB" w:rsidR="00986EB0" w:rsidRPr="00BB0618" w:rsidRDefault="00986EB0" w:rsidP="00986EB0">
            <w:pPr>
              <w:contextualSpacing/>
              <w:jc w:val="center"/>
              <w:rPr>
                <w:rFonts w:cs="Arial"/>
                <w:b/>
                <w:sz w:val="16"/>
                <w:szCs w:val="16"/>
              </w:rPr>
            </w:pPr>
            <w:r w:rsidRPr="00BB0618">
              <w:rPr>
                <w:rFonts w:cs="Arial"/>
                <w:b/>
                <w:bCs/>
                <w:sz w:val="16"/>
                <w:szCs w:val="16"/>
              </w:rPr>
              <w:t>219 112</w:t>
            </w:r>
          </w:p>
        </w:tc>
        <w:tc>
          <w:tcPr>
            <w:tcW w:w="972" w:type="dxa"/>
            <w:shd w:val="clear" w:color="auto" w:fill="BFBFBF"/>
            <w:vAlign w:val="center"/>
          </w:tcPr>
          <w:p w14:paraId="7D06069B" w14:textId="523E8E44" w:rsidR="00986EB0" w:rsidRPr="00BB0618" w:rsidRDefault="00986EB0" w:rsidP="00986EB0">
            <w:pPr>
              <w:contextualSpacing/>
              <w:jc w:val="center"/>
              <w:rPr>
                <w:rFonts w:cs="Arial"/>
                <w:b/>
                <w:bCs/>
                <w:sz w:val="16"/>
                <w:szCs w:val="16"/>
              </w:rPr>
            </w:pPr>
            <w:r w:rsidRPr="00BB0618">
              <w:rPr>
                <w:rFonts w:cs="Arial"/>
                <w:b/>
                <w:bCs/>
                <w:sz w:val="18"/>
                <w:szCs w:val="18"/>
              </w:rPr>
              <w:t>228 070</w:t>
            </w:r>
          </w:p>
        </w:tc>
        <w:tc>
          <w:tcPr>
            <w:tcW w:w="972" w:type="dxa"/>
            <w:shd w:val="clear" w:color="auto" w:fill="BFBFBF"/>
            <w:vAlign w:val="center"/>
          </w:tcPr>
          <w:p w14:paraId="6B385FF7" w14:textId="14204CF4" w:rsidR="00986EB0" w:rsidRPr="00BB0618" w:rsidRDefault="00986EB0" w:rsidP="00986EB0">
            <w:pPr>
              <w:contextualSpacing/>
              <w:jc w:val="center"/>
              <w:rPr>
                <w:rFonts w:cs="Arial"/>
                <w:b/>
                <w:bCs/>
                <w:sz w:val="16"/>
                <w:szCs w:val="16"/>
              </w:rPr>
            </w:pPr>
            <w:r w:rsidRPr="00BB0618">
              <w:rPr>
                <w:rFonts w:cs="Arial"/>
                <w:b/>
                <w:bCs/>
                <w:sz w:val="16"/>
                <w:szCs w:val="16"/>
              </w:rPr>
              <w:t>260 698</w:t>
            </w:r>
          </w:p>
        </w:tc>
        <w:tc>
          <w:tcPr>
            <w:tcW w:w="972" w:type="dxa"/>
            <w:shd w:val="clear" w:color="auto" w:fill="BFBFBF"/>
            <w:vAlign w:val="center"/>
          </w:tcPr>
          <w:p w14:paraId="6CC68A14" w14:textId="4C1EDB31" w:rsidR="00986EB0" w:rsidRPr="00BB0618" w:rsidRDefault="00986EB0" w:rsidP="00986EB0">
            <w:pPr>
              <w:contextualSpacing/>
              <w:jc w:val="center"/>
              <w:rPr>
                <w:rFonts w:cs="Arial"/>
                <w:b/>
                <w:bCs/>
                <w:sz w:val="16"/>
                <w:szCs w:val="16"/>
              </w:rPr>
            </w:pPr>
            <w:r w:rsidRPr="00BB0618">
              <w:rPr>
                <w:rFonts w:cs="Arial"/>
                <w:b/>
                <w:bCs/>
                <w:sz w:val="16"/>
                <w:szCs w:val="16"/>
              </w:rPr>
              <w:t>235 977</w:t>
            </w:r>
          </w:p>
        </w:tc>
        <w:tc>
          <w:tcPr>
            <w:tcW w:w="972" w:type="dxa"/>
            <w:shd w:val="clear" w:color="auto" w:fill="BFBFBF"/>
            <w:vAlign w:val="center"/>
          </w:tcPr>
          <w:p w14:paraId="763F8069" w14:textId="7782D816" w:rsidR="00986EB0" w:rsidRPr="00BB0618" w:rsidRDefault="00986EB0" w:rsidP="00986EB0">
            <w:pPr>
              <w:contextualSpacing/>
              <w:jc w:val="center"/>
              <w:rPr>
                <w:rFonts w:cs="Arial"/>
                <w:b/>
                <w:bCs/>
                <w:sz w:val="16"/>
                <w:szCs w:val="16"/>
              </w:rPr>
            </w:pPr>
            <w:r w:rsidRPr="00BB0618">
              <w:rPr>
                <w:rFonts w:cs="Arial"/>
                <w:b/>
                <w:bCs/>
                <w:color w:val="000000"/>
                <w:sz w:val="16"/>
                <w:szCs w:val="16"/>
              </w:rPr>
              <w:t>244 061</w:t>
            </w:r>
          </w:p>
        </w:tc>
        <w:tc>
          <w:tcPr>
            <w:tcW w:w="972" w:type="dxa"/>
            <w:shd w:val="clear" w:color="auto" w:fill="BFBFBF"/>
            <w:vAlign w:val="center"/>
          </w:tcPr>
          <w:p w14:paraId="7B7305C3" w14:textId="52BEB2D8" w:rsidR="00986EB0" w:rsidRPr="00BB0618" w:rsidRDefault="00986EB0" w:rsidP="00986EB0">
            <w:pPr>
              <w:contextualSpacing/>
              <w:jc w:val="center"/>
              <w:rPr>
                <w:rFonts w:cs="Arial"/>
                <w:b/>
                <w:bCs/>
                <w:color w:val="000000"/>
                <w:sz w:val="16"/>
                <w:szCs w:val="16"/>
              </w:rPr>
            </w:pPr>
            <w:r w:rsidRPr="00BB0618">
              <w:rPr>
                <w:rFonts w:cs="Arial"/>
                <w:b/>
                <w:bCs/>
                <w:color w:val="000000"/>
                <w:sz w:val="16"/>
                <w:szCs w:val="16"/>
              </w:rPr>
              <w:t>269 364</w:t>
            </w:r>
          </w:p>
        </w:tc>
        <w:tc>
          <w:tcPr>
            <w:tcW w:w="972"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784E59E5" w14:textId="223806C2" w:rsidR="00986EB0" w:rsidRPr="00986EB0" w:rsidRDefault="00986EB0" w:rsidP="00986EB0">
            <w:pPr>
              <w:contextualSpacing/>
              <w:jc w:val="center"/>
              <w:rPr>
                <w:rFonts w:cs="Arial"/>
                <w:b/>
                <w:bCs/>
                <w:color w:val="000000"/>
                <w:sz w:val="16"/>
                <w:szCs w:val="16"/>
              </w:rPr>
            </w:pPr>
            <w:r w:rsidRPr="00986EB0">
              <w:rPr>
                <w:rFonts w:cs="Arial"/>
                <w:b/>
                <w:bCs/>
                <w:color w:val="000000"/>
                <w:sz w:val="16"/>
                <w:szCs w:val="16"/>
              </w:rPr>
              <w:t>193 903</w:t>
            </w:r>
          </w:p>
        </w:tc>
      </w:tr>
      <w:tr w:rsidR="00986EB0" w:rsidRPr="00BB0618" w14:paraId="1A6FBDBA" w14:textId="46666FEE" w:rsidTr="000C6095">
        <w:trPr>
          <w:trHeight w:val="20"/>
          <w:jc w:val="center"/>
        </w:trPr>
        <w:tc>
          <w:tcPr>
            <w:tcW w:w="848" w:type="dxa"/>
            <w:vMerge/>
            <w:shd w:val="clear" w:color="auto" w:fill="BFBFBF"/>
            <w:vAlign w:val="center"/>
            <w:hideMark/>
          </w:tcPr>
          <w:p w14:paraId="3E3430E1" w14:textId="77777777" w:rsidR="00986EB0" w:rsidRPr="00BB0618" w:rsidRDefault="00986EB0" w:rsidP="00986EB0">
            <w:pPr>
              <w:contextualSpacing/>
              <w:rPr>
                <w:rFonts w:cs="Arial"/>
                <w:b/>
                <w:bCs/>
                <w:sz w:val="16"/>
                <w:szCs w:val="16"/>
              </w:rPr>
            </w:pPr>
          </w:p>
        </w:tc>
        <w:tc>
          <w:tcPr>
            <w:tcW w:w="1992" w:type="dxa"/>
            <w:shd w:val="clear" w:color="auto" w:fill="BFBFBF"/>
            <w:vAlign w:val="center"/>
            <w:hideMark/>
          </w:tcPr>
          <w:p w14:paraId="7344088B" w14:textId="77777777" w:rsidR="00986EB0" w:rsidRPr="00BB0618" w:rsidRDefault="00986EB0" w:rsidP="00986EB0">
            <w:pPr>
              <w:contextualSpacing/>
              <w:rPr>
                <w:rFonts w:cs="Arial"/>
                <w:b/>
                <w:bCs/>
                <w:sz w:val="16"/>
                <w:szCs w:val="16"/>
              </w:rPr>
            </w:pPr>
            <w:r w:rsidRPr="00BB0618">
              <w:rPr>
                <w:rFonts w:cs="Arial"/>
                <w:b/>
                <w:bCs/>
                <w:sz w:val="16"/>
                <w:szCs w:val="16"/>
              </w:rPr>
              <w:t>Tržby (tis. Kč)</w:t>
            </w:r>
          </w:p>
        </w:tc>
        <w:tc>
          <w:tcPr>
            <w:tcW w:w="972" w:type="dxa"/>
            <w:shd w:val="clear" w:color="auto" w:fill="BFBFBF"/>
            <w:vAlign w:val="center"/>
          </w:tcPr>
          <w:p w14:paraId="1408B06A" w14:textId="25C30DDB" w:rsidR="00986EB0" w:rsidRPr="00BB0618" w:rsidRDefault="00986EB0" w:rsidP="00986EB0">
            <w:pPr>
              <w:contextualSpacing/>
              <w:jc w:val="center"/>
              <w:rPr>
                <w:rFonts w:cs="Arial"/>
                <w:b/>
                <w:bCs/>
                <w:sz w:val="16"/>
                <w:szCs w:val="16"/>
              </w:rPr>
            </w:pPr>
            <w:r w:rsidRPr="00BB0618">
              <w:rPr>
                <w:rFonts w:cs="Arial"/>
                <w:b/>
                <w:bCs/>
                <w:sz w:val="16"/>
                <w:szCs w:val="16"/>
              </w:rPr>
              <w:t>475 162</w:t>
            </w:r>
          </w:p>
        </w:tc>
        <w:tc>
          <w:tcPr>
            <w:tcW w:w="972" w:type="dxa"/>
            <w:shd w:val="clear" w:color="auto" w:fill="BFBFBF"/>
            <w:vAlign w:val="center"/>
          </w:tcPr>
          <w:p w14:paraId="2C6485FC" w14:textId="1A49A072" w:rsidR="00986EB0" w:rsidRPr="00BB0618" w:rsidRDefault="00986EB0" w:rsidP="00986EB0">
            <w:pPr>
              <w:contextualSpacing/>
              <w:jc w:val="center"/>
              <w:rPr>
                <w:rFonts w:cs="Arial"/>
                <w:b/>
                <w:bCs/>
                <w:sz w:val="16"/>
                <w:szCs w:val="16"/>
              </w:rPr>
            </w:pPr>
            <w:r w:rsidRPr="00BB0618">
              <w:rPr>
                <w:rFonts w:cs="Arial"/>
                <w:b/>
                <w:bCs/>
                <w:sz w:val="16"/>
                <w:szCs w:val="16"/>
              </w:rPr>
              <w:t>753 455</w:t>
            </w:r>
          </w:p>
        </w:tc>
        <w:tc>
          <w:tcPr>
            <w:tcW w:w="972" w:type="dxa"/>
            <w:shd w:val="clear" w:color="auto" w:fill="BFBFBF"/>
            <w:vAlign w:val="center"/>
          </w:tcPr>
          <w:p w14:paraId="2774E638" w14:textId="43ACF5D0" w:rsidR="00986EB0" w:rsidRPr="00BB0618" w:rsidRDefault="00986EB0" w:rsidP="00986EB0">
            <w:pPr>
              <w:contextualSpacing/>
              <w:jc w:val="center"/>
              <w:rPr>
                <w:rFonts w:cs="Arial"/>
                <w:b/>
                <w:bCs/>
                <w:sz w:val="16"/>
                <w:szCs w:val="16"/>
              </w:rPr>
            </w:pPr>
            <w:r w:rsidRPr="00BB0618">
              <w:rPr>
                <w:rFonts w:cs="Arial"/>
                <w:b/>
                <w:bCs/>
                <w:sz w:val="16"/>
                <w:szCs w:val="16"/>
              </w:rPr>
              <w:t>530 337</w:t>
            </w:r>
          </w:p>
        </w:tc>
        <w:tc>
          <w:tcPr>
            <w:tcW w:w="972" w:type="dxa"/>
            <w:shd w:val="clear" w:color="auto" w:fill="BFBFBF"/>
            <w:vAlign w:val="center"/>
          </w:tcPr>
          <w:p w14:paraId="4AB0CBBC" w14:textId="22B90141" w:rsidR="00986EB0" w:rsidRPr="00BB0618" w:rsidRDefault="00986EB0" w:rsidP="00986EB0">
            <w:pPr>
              <w:contextualSpacing/>
              <w:jc w:val="center"/>
              <w:rPr>
                <w:rFonts w:cs="Arial"/>
                <w:b/>
                <w:sz w:val="16"/>
                <w:szCs w:val="16"/>
              </w:rPr>
            </w:pPr>
            <w:r w:rsidRPr="00BB0618">
              <w:rPr>
                <w:rFonts w:cs="Arial"/>
                <w:b/>
                <w:bCs/>
                <w:sz w:val="16"/>
                <w:szCs w:val="16"/>
              </w:rPr>
              <w:t>632 852</w:t>
            </w:r>
          </w:p>
        </w:tc>
        <w:tc>
          <w:tcPr>
            <w:tcW w:w="972" w:type="dxa"/>
            <w:shd w:val="clear" w:color="auto" w:fill="BFBFBF"/>
            <w:vAlign w:val="center"/>
          </w:tcPr>
          <w:p w14:paraId="7B84B985" w14:textId="61D3594E" w:rsidR="00986EB0" w:rsidRPr="00BB0618" w:rsidRDefault="00986EB0" w:rsidP="00986EB0">
            <w:pPr>
              <w:contextualSpacing/>
              <w:jc w:val="center"/>
              <w:rPr>
                <w:rFonts w:cs="Arial"/>
                <w:b/>
                <w:bCs/>
                <w:sz w:val="16"/>
                <w:szCs w:val="16"/>
              </w:rPr>
            </w:pPr>
            <w:r w:rsidRPr="00BB0618">
              <w:rPr>
                <w:rFonts w:cs="Arial"/>
                <w:b/>
                <w:bCs/>
                <w:sz w:val="18"/>
                <w:szCs w:val="18"/>
              </w:rPr>
              <w:t>700 655</w:t>
            </w:r>
          </w:p>
        </w:tc>
        <w:tc>
          <w:tcPr>
            <w:tcW w:w="972" w:type="dxa"/>
            <w:shd w:val="clear" w:color="auto" w:fill="BFBFBF"/>
            <w:vAlign w:val="center"/>
          </w:tcPr>
          <w:p w14:paraId="2DCE156F" w14:textId="5AC87D59" w:rsidR="00986EB0" w:rsidRPr="00BB0618" w:rsidRDefault="00986EB0" w:rsidP="00986EB0">
            <w:pPr>
              <w:contextualSpacing/>
              <w:jc w:val="center"/>
              <w:rPr>
                <w:rFonts w:cs="Arial"/>
                <w:b/>
                <w:bCs/>
                <w:sz w:val="16"/>
                <w:szCs w:val="16"/>
              </w:rPr>
            </w:pPr>
            <w:r w:rsidRPr="00BB0618">
              <w:rPr>
                <w:rFonts w:cs="Arial"/>
                <w:b/>
                <w:bCs/>
                <w:sz w:val="16"/>
                <w:szCs w:val="16"/>
              </w:rPr>
              <w:t>639 280</w:t>
            </w:r>
          </w:p>
        </w:tc>
        <w:tc>
          <w:tcPr>
            <w:tcW w:w="972" w:type="dxa"/>
            <w:shd w:val="clear" w:color="auto" w:fill="BFBFBF"/>
            <w:vAlign w:val="center"/>
          </w:tcPr>
          <w:p w14:paraId="56190F60" w14:textId="6392CF43" w:rsidR="00986EB0" w:rsidRPr="00BB0618" w:rsidRDefault="00986EB0" w:rsidP="00986EB0">
            <w:pPr>
              <w:contextualSpacing/>
              <w:jc w:val="center"/>
              <w:rPr>
                <w:rFonts w:cs="Arial"/>
                <w:b/>
                <w:bCs/>
                <w:sz w:val="16"/>
                <w:szCs w:val="16"/>
              </w:rPr>
            </w:pPr>
            <w:r w:rsidRPr="00BB0618">
              <w:rPr>
                <w:rFonts w:cs="Arial"/>
                <w:b/>
                <w:bCs/>
                <w:sz w:val="16"/>
                <w:szCs w:val="16"/>
              </w:rPr>
              <w:t>617 913</w:t>
            </w:r>
          </w:p>
        </w:tc>
        <w:tc>
          <w:tcPr>
            <w:tcW w:w="972" w:type="dxa"/>
            <w:shd w:val="clear" w:color="auto" w:fill="BFBFBF"/>
            <w:vAlign w:val="center"/>
          </w:tcPr>
          <w:p w14:paraId="6E613B98" w14:textId="71A8BB0D" w:rsidR="00986EB0" w:rsidRPr="00BB0618" w:rsidRDefault="00986EB0" w:rsidP="00986EB0">
            <w:pPr>
              <w:contextualSpacing/>
              <w:jc w:val="center"/>
              <w:rPr>
                <w:rFonts w:cs="Arial"/>
                <w:b/>
                <w:bCs/>
                <w:sz w:val="16"/>
                <w:szCs w:val="16"/>
              </w:rPr>
            </w:pPr>
            <w:r w:rsidRPr="00BB0618">
              <w:rPr>
                <w:rFonts w:cs="Arial"/>
                <w:b/>
                <w:bCs/>
                <w:color w:val="000000"/>
                <w:sz w:val="16"/>
                <w:szCs w:val="16"/>
              </w:rPr>
              <w:t>1 223 927</w:t>
            </w:r>
          </w:p>
        </w:tc>
        <w:tc>
          <w:tcPr>
            <w:tcW w:w="972" w:type="dxa"/>
            <w:shd w:val="clear" w:color="auto" w:fill="BFBFBF"/>
            <w:vAlign w:val="center"/>
          </w:tcPr>
          <w:p w14:paraId="0DFF45CD" w14:textId="78DFDBB6" w:rsidR="00986EB0" w:rsidRPr="00BB0618" w:rsidRDefault="00986EB0" w:rsidP="00986EB0">
            <w:pPr>
              <w:contextualSpacing/>
              <w:jc w:val="center"/>
              <w:rPr>
                <w:rFonts w:cs="Arial"/>
                <w:b/>
                <w:bCs/>
                <w:color w:val="000000"/>
                <w:sz w:val="16"/>
                <w:szCs w:val="16"/>
              </w:rPr>
            </w:pPr>
            <w:r w:rsidRPr="00BB0618">
              <w:rPr>
                <w:rFonts w:cs="Arial"/>
                <w:b/>
                <w:bCs/>
                <w:color w:val="000000"/>
                <w:sz w:val="16"/>
                <w:szCs w:val="16"/>
              </w:rPr>
              <w:t>987 167</w:t>
            </w:r>
          </w:p>
        </w:tc>
        <w:tc>
          <w:tcPr>
            <w:tcW w:w="972"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62E0E469" w14:textId="5A67FEBE" w:rsidR="00986EB0" w:rsidRPr="00986EB0" w:rsidRDefault="00986EB0" w:rsidP="00986EB0">
            <w:pPr>
              <w:contextualSpacing/>
              <w:jc w:val="center"/>
              <w:rPr>
                <w:rFonts w:cs="Arial"/>
                <w:b/>
                <w:bCs/>
                <w:color w:val="000000"/>
                <w:sz w:val="16"/>
                <w:szCs w:val="16"/>
              </w:rPr>
            </w:pPr>
            <w:r w:rsidRPr="00986EB0">
              <w:rPr>
                <w:rFonts w:cs="Arial"/>
                <w:b/>
                <w:bCs/>
                <w:color w:val="000000"/>
                <w:sz w:val="16"/>
                <w:szCs w:val="16"/>
              </w:rPr>
              <w:t>642 628</w:t>
            </w:r>
          </w:p>
        </w:tc>
      </w:tr>
    </w:tbl>
    <w:p w14:paraId="4637F81D" w14:textId="456D4196" w:rsidR="00133C87" w:rsidRPr="00104F7D" w:rsidRDefault="00C1173A" w:rsidP="007C4955">
      <w:pPr>
        <w:tabs>
          <w:tab w:val="left" w:pos="6725"/>
        </w:tabs>
        <w:contextualSpacing/>
        <w:rPr>
          <w:rFonts w:cs="Arial"/>
          <w:i/>
          <w:color w:val="FF0000"/>
          <w:sz w:val="20"/>
          <w:szCs w:val="20"/>
          <w:highlight w:val="yellow"/>
        </w:rPr>
      </w:pPr>
      <w:r w:rsidRPr="00BB0618">
        <w:rPr>
          <w:rFonts w:cs="Arial"/>
          <w:i/>
          <w:sz w:val="20"/>
          <w:szCs w:val="20"/>
        </w:rPr>
        <w:t xml:space="preserve">Pramen: </w:t>
      </w:r>
      <w:r w:rsidR="00340859" w:rsidRPr="00BB0618">
        <w:rPr>
          <w:rFonts w:cs="Arial"/>
          <w:i/>
          <w:sz w:val="20"/>
          <w:szCs w:val="20"/>
        </w:rPr>
        <w:t>s</w:t>
      </w:r>
      <w:r w:rsidRPr="00BB0618">
        <w:rPr>
          <w:rFonts w:cs="Arial"/>
          <w:i/>
          <w:sz w:val="20"/>
          <w:szCs w:val="20"/>
        </w:rPr>
        <w:t>.</w:t>
      </w:r>
      <w:r w:rsidR="00342B09" w:rsidRPr="00BB0618" w:rsidDel="00342B09">
        <w:rPr>
          <w:rFonts w:cs="Arial"/>
          <w:i/>
          <w:sz w:val="20"/>
          <w:szCs w:val="20"/>
        </w:rPr>
        <w:t xml:space="preserve"> </w:t>
      </w:r>
      <w:r w:rsidRPr="00BB0618">
        <w:rPr>
          <w:rFonts w:cs="Arial"/>
          <w:i/>
          <w:sz w:val="20"/>
          <w:szCs w:val="20"/>
        </w:rPr>
        <w:t>p. Povodí</w:t>
      </w:r>
      <w:r w:rsidRPr="00001050">
        <w:rPr>
          <w:rFonts w:cs="Arial"/>
          <w:i/>
          <w:sz w:val="20"/>
          <w:szCs w:val="20"/>
        </w:rPr>
        <w:tab/>
      </w:r>
    </w:p>
    <w:p w14:paraId="080F8996" w14:textId="77777777" w:rsidR="008D6480" w:rsidRPr="00104F7D" w:rsidRDefault="008D6480" w:rsidP="007C4955">
      <w:pPr>
        <w:tabs>
          <w:tab w:val="left" w:pos="6725"/>
        </w:tabs>
        <w:contextualSpacing/>
        <w:rPr>
          <w:rFonts w:cs="Arial"/>
          <w:b/>
          <w:i/>
          <w:highlight w:val="yellow"/>
        </w:rPr>
      </w:pPr>
    </w:p>
    <w:p w14:paraId="6C363817" w14:textId="51A472BD" w:rsidR="00C1173A" w:rsidRPr="00001050" w:rsidRDefault="00C1173A" w:rsidP="007C4955">
      <w:pPr>
        <w:tabs>
          <w:tab w:val="left" w:pos="6725"/>
        </w:tabs>
        <w:contextualSpacing/>
        <w:rPr>
          <w:rFonts w:cs="Arial"/>
          <w:b/>
          <w:i/>
        </w:rPr>
      </w:pPr>
      <w:r w:rsidRPr="00001050">
        <w:rPr>
          <w:rFonts w:cs="Arial"/>
          <w:b/>
          <w:i/>
        </w:rPr>
        <w:t>Graf 6.2.</w:t>
      </w:r>
      <w:r w:rsidR="00120D10" w:rsidRPr="00001050">
        <w:rPr>
          <w:rFonts w:cs="Arial"/>
          <w:b/>
          <w:i/>
        </w:rPr>
        <w:t>4</w:t>
      </w:r>
    </w:p>
    <w:p w14:paraId="7712B619" w14:textId="1185EB9A" w:rsidR="003E0D7E" w:rsidRPr="00001050" w:rsidRDefault="00C1173A" w:rsidP="007C4955">
      <w:pPr>
        <w:tabs>
          <w:tab w:val="left" w:pos="6725"/>
        </w:tabs>
        <w:contextualSpacing/>
        <w:rPr>
          <w:rFonts w:cs="Arial"/>
          <w:b/>
          <w:i/>
        </w:rPr>
      </w:pPr>
      <w:r w:rsidRPr="00001050">
        <w:rPr>
          <w:rFonts w:cs="Arial"/>
          <w:b/>
          <w:i/>
        </w:rPr>
        <w:t xml:space="preserve">Vývoj tržeb ve vlastních malých vodních elektrárnách státních podniků Povodí v letech </w:t>
      </w:r>
      <w:r w:rsidR="00607CF7" w:rsidRPr="00001050">
        <w:rPr>
          <w:rFonts w:cs="Arial"/>
          <w:b/>
          <w:i/>
        </w:rPr>
        <w:br/>
      </w:r>
      <w:r w:rsidRPr="00001050">
        <w:rPr>
          <w:rFonts w:cs="Arial"/>
          <w:b/>
          <w:i/>
        </w:rPr>
        <w:t>201</w:t>
      </w:r>
      <w:r w:rsidR="005C7FD5" w:rsidRPr="00001050">
        <w:rPr>
          <w:rFonts w:cs="Arial"/>
          <w:b/>
          <w:i/>
        </w:rPr>
        <w:t>1</w:t>
      </w:r>
      <w:r w:rsidR="003E0D7E" w:rsidRPr="00001050">
        <w:rPr>
          <w:rFonts w:cs="Arial"/>
          <w:b/>
          <w:i/>
        </w:rPr>
        <w:t>–20</w:t>
      </w:r>
      <w:r w:rsidR="00507121" w:rsidRPr="00001050">
        <w:rPr>
          <w:rFonts w:cs="Arial"/>
          <w:b/>
          <w:i/>
        </w:rPr>
        <w:t>2</w:t>
      </w:r>
      <w:r w:rsidR="00182886" w:rsidRPr="00001050">
        <w:rPr>
          <w:rFonts w:cs="Arial"/>
          <w:b/>
          <w:i/>
        </w:rPr>
        <w:t>5</w:t>
      </w:r>
    </w:p>
    <w:p w14:paraId="436B3C7C" w14:textId="788ACCC0" w:rsidR="00C75C2A" w:rsidRPr="00001050" w:rsidRDefault="00182886" w:rsidP="007C4955">
      <w:pPr>
        <w:tabs>
          <w:tab w:val="left" w:pos="6725"/>
        </w:tabs>
        <w:contextualSpacing/>
        <w:rPr>
          <w:rFonts w:cs="Arial"/>
          <w:i/>
          <w:color w:val="FF0000"/>
          <w:sz w:val="20"/>
          <w:szCs w:val="20"/>
        </w:rPr>
      </w:pPr>
      <w:r w:rsidRPr="00001050">
        <w:rPr>
          <w:noProof/>
        </w:rPr>
        <w:drawing>
          <wp:inline distT="0" distB="0" distL="0" distR="0" wp14:anchorId="7FDDDC67" wp14:editId="574181D7">
            <wp:extent cx="6372225" cy="3219450"/>
            <wp:effectExtent l="0" t="0" r="9525" b="0"/>
            <wp:docPr id="457715551" name="Graf 1">
              <a:extLst xmlns:a="http://schemas.openxmlformats.org/drawingml/2006/main">
                <a:ext uri="{FF2B5EF4-FFF2-40B4-BE49-F238E27FC236}">
                  <a16:creationId xmlns:a16="http://schemas.microsoft.com/office/drawing/2014/main" id="{EDFF804C-57C2-466A-1B09-2B089FC8E0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23E0E514" w14:textId="11502BDE" w:rsidR="00C1173A" w:rsidRPr="00001050" w:rsidRDefault="00C1173A" w:rsidP="007C4955">
      <w:pPr>
        <w:tabs>
          <w:tab w:val="left" w:pos="6725"/>
        </w:tabs>
        <w:contextualSpacing/>
        <w:rPr>
          <w:rFonts w:cs="Arial"/>
          <w:i/>
          <w:sz w:val="20"/>
          <w:szCs w:val="20"/>
        </w:rPr>
      </w:pPr>
      <w:r w:rsidRPr="00001050">
        <w:rPr>
          <w:rFonts w:cs="Arial"/>
          <w:i/>
          <w:sz w:val="20"/>
          <w:szCs w:val="20"/>
        </w:rPr>
        <w:t xml:space="preserve">Pramen: </w:t>
      </w:r>
      <w:r w:rsidR="00340859" w:rsidRPr="00001050">
        <w:rPr>
          <w:rFonts w:cs="Arial"/>
          <w:i/>
          <w:sz w:val="20"/>
          <w:szCs w:val="20"/>
        </w:rPr>
        <w:t>s</w:t>
      </w:r>
      <w:r w:rsidRPr="00001050">
        <w:rPr>
          <w:rFonts w:cs="Arial"/>
          <w:i/>
          <w:sz w:val="20"/>
          <w:szCs w:val="20"/>
        </w:rPr>
        <w:t>. p. Povodí</w:t>
      </w:r>
    </w:p>
    <w:p w14:paraId="05C0FDD2" w14:textId="77777777" w:rsidR="00C1173A" w:rsidRPr="00001050" w:rsidRDefault="00C1173A" w:rsidP="007C4955">
      <w:pPr>
        <w:tabs>
          <w:tab w:val="left" w:pos="6725"/>
        </w:tabs>
        <w:contextualSpacing/>
        <w:rPr>
          <w:rFonts w:cs="Arial"/>
          <w:b/>
          <w:i/>
          <w:color w:val="FF0000"/>
          <w:sz w:val="18"/>
          <w:szCs w:val="18"/>
        </w:rPr>
      </w:pPr>
      <w:r w:rsidRPr="00001050">
        <w:rPr>
          <w:rFonts w:cs="Arial"/>
          <w:b/>
          <w:i/>
          <w:color w:val="FF0000"/>
          <w:sz w:val="18"/>
          <w:szCs w:val="18"/>
        </w:rPr>
        <w:tab/>
      </w:r>
    </w:p>
    <w:p w14:paraId="57D614B0" w14:textId="540B0A66" w:rsidR="00FC217A" w:rsidRPr="00BE65A4" w:rsidRDefault="00FC217A" w:rsidP="00FC217A">
      <w:pPr>
        <w:tabs>
          <w:tab w:val="left" w:pos="6725"/>
        </w:tabs>
        <w:rPr>
          <w:rFonts w:cs="Arial"/>
          <w:b/>
        </w:rPr>
      </w:pPr>
      <w:r w:rsidRPr="00BE65A4">
        <w:rPr>
          <w:rFonts w:cs="Arial"/>
          <w:b/>
        </w:rPr>
        <w:t>Ostatní příjmy</w:t>
      </w:r>
      <w:r w:rsidR="005D2A31" w:rsidRPr="00BE65A4">
        <w:rPr>
          <w:rFonts w:cs="Arial"/>
          <w:b/>
        </w:rPr>
        <w:t xml:space="preserve"> státních</w:t>
      </w:r>
      <w:r w:rsidRPr="00BE65A4">
        <w:rPr>
          <w:rFonts w:cs="Arial"/>
          <w:b/>
        </w:rPr>
        <w:t xml:space="preserve"> podniků Povodí v roce 202</w:t>
      </w:r>
      <w:r w:rsidR="00573C3E" w:rsidRPr="00BE65A4">
        <w:rPr>
          <w:rFonts w:cs="Arial"/>
          <w:b/>
        </w:rPr>
        <w:t>5</w:t>
      </w:r>
      <w:r w:rsidRPr="00BE65A4">
        <w:rPr>
          <w:rFonts w:cs="Arial"/>
          <w:b/>
        </w:rPr>
        <w:t xml:space="preserve"> zaznamenaly </w:t>
      </w:r>
      <w:r w:rsidR="00573C3E" w:rsidRPr="00BE65A4">
        <w:rPr>
          <w:rFonts w:cs="Arial"/>
          <w:b/>
        </w:rPr>
        <w:t>pokles</w:t>
      </w:r>
      <w:r w:rsidRPr="00BE65A4">
        <w:rPr>
          <w:rFonts w:cs="Arial"/>
          <w:b/>
        </w:rPr>
        <w:t xml:space="preserve"> oproti předchozímu roku o více než </w:t>
      </w:r>
      <w:r w:rsidR="009E6F9E" w:rsidRPr="00BE65A4">
        <w:rPr>
          <w:rFonts w:cs="Arial"/>
          <w:b/>
        </w:rPr>
        <w:t>77</w:t>
      </w:r>
      <w:r w:rsidRPr="00BE65A4">
        <w:rPr>
          <w:rFonts w:cs="Arial"/>
          <w:b/>
        </w:rPr>
        <w:t xml:space="preserve"> mil. Kč, jejich celková výše </w:t>
      </w:r>
      <w:r w:rsidR="0001360C" w:rsidRPr="00BE65A4">
        <w:rPr>
          <w:rFonts w:cs="Arial"/>
          <w:b/>
        </w:rPr>
        <w:t>dosáhla téměř</w:t>
      </w:r>
      <w:r w:rsidRPr="00BE65A4">
        <w:rPr>
          <w:rFonts w:cs="Arial"/>
          <w:b/>
        </w:rPr>
        <w:t xml:space="preserve"> </w:t>
      </w:r>
      <w:r w:rsidR="00BE65A4" w:rsidRPr="00BE65A4">
        <w:rPr>
          <w:rFonts w:cs="Arial"/>
          <w:b/>
        </w:rPr>
        <w:t>749</w:t>
      </w:r>
      <w:r w:rsidRPr="00BE65A4">
        <w:rPr>
          <w:rFonts w:cs="Arial"/>
          <w:b/>
        </w:rPr>
        <w:t xml:space="preserve"> mil. Kč.</w:t>
      </w:r>
    </w:p>
    <w:p w14:paraId="07136BD9" w14:textId="553B53A3" w:rsidR="00A4104A" w:rsidRPr="00BE65A4" w:rsidRDefault="00FC217A" w:rsidP="009B29C2">
      <w:pPr>
        <w:spacing w:before="240" w:after="240"/>
        <w:rPr>
          <w:rFonts w:cs="Arial"/>
        </w:rPr>
      </w:pPr>
      <w:r w:rsidRPr="00BE65A4">
        <w:t>Položka ostatních příjmů představuje souhrn méně významných položek, jako jsou pronájmy pozemků, nebytových prostor a</w:t>
      </w:r>
      <w:r w:rsidRPr="00BE65A4">
        <w:rPr>
          <w:rFonts w:cs="Arial"/>
        </w:rPr>
        <w:t xml:space="preserve"> </w:t>
      </w:r>
      <w:r w:rsidRPr="00BE65A4">
        <w:t>vodních ploch a</w:t>
      </w:r>
      <w:r w:rsidRPr="00BE65A4">
        <w:rPr>
          <w:rFonts w:cs="Arial"/>
        </w:rPr>
        <w:t xml:space="preserve"> další podnikatelské aktivity. Nejvýznamnější položkou jsou příjmy z výkonů strojních mechani</w:t>
      </w:r>
      <w:r w:rsidR="002B752E" w:rsidRPr="00BE65A4">
        <w:rPr>
          <w:rFonts w:cs="Arial"/>
        </w:rPr>
        <w:t>s</w:t>
      </w:r>
      <w:r w:rsidRPr="00BE65A4">
        <w:rPr>
          <w:rFonts w:cs="Arial"/>
        </w:rPr>
        <w:t xml:space="preserve">mů a autodopravy, z výkonů laboratoří a za projektovou a inženýrskou činnost. Ostatní příjmy jsou často výrazně ovlivňovány i řadou neplánovaných položek (pojistná plnění, zvýšené přijaté úroky a výše převodů některých definovaných tržeb, které se sice vztahují k minulým obdobím, ale realizovány byly až ve sledovaném roce), které nelze vždy předvídat, takže může docházet k jejich výrazným meziročním výkyvům. </w:t>
      </w:r>
      <w:bookmarkStart w:id="76" w:name="_Toc482564974"/>
    </w:p>
    <w:p w14:paraId="1EB3D42B" w14:textId="77777777" w:rsidR="00E76DFC" w:rsidRDefault="00E76DFC" w:rsidP="007C4955">
      <w:pPr>
        <w:contextualSpacing/>
        <w:rPr>
          <w:b/>
          <w:i/>
        </w:rPr>
      </w:pPr>
    </w:p>
    <w:p w14:paraId="53E20E1F" w14:textId="77777777" w:rsidR="00E76DFC" w:rsidRDefault="00E76DFC" w:rsidP="007C4955">
      <w:pPr>
        <w:contextualSpacing/>
        <w:rPr>
          <w:b/>
          <w:i/>
        </w:rPr>
      </w:pPr>
    </w:p>
    <w:p w14:paraId="3FD8ECEC" w14:textId="77777777" w:rsidR="00E76DFC" w:rsidRDefault="00E76DFC" w:rsidP="007C4955">
      <w:pPr>
        <w:contextualSpacing/>
        <w:rPr>
          <w:b/>
          <w:i/>
        </w:rPr>
      </w:pPr>
    </w:p>
    <w:p w14:paraId="7FFF18D4" w14:textId="77777777" w:rsidR="00E76DFC" w:rsidRDefault="00E76DFC" w:rsidP="007C4955">
      <w:pPr>
        <w:contextualSpacing/>
        <w:rPr>
          <w:b/>
          <w:i/>
        </w:rPr>
      </w:pPr>
    </w:p>
    <w:p w14:paraId="5B706EB0" w14:textId="77777777" w:rsidR="00E76DFC" w:rsidRDefault="00E76DFC" w:rsidP="007C4955">
      <w:pPr>
        <w:contextualSpacing/>
        <w:rPr>
          <w:b/>
          <w:i/>
        </w:rPr>
      </w:pPr>
    </w:p>
    <w:p w14:paraId="29EC7080" w14:textId="77777777" w:rsidR="00E76DFC" w:rsidRDefault="00E76DFC" w:rsidP="007C4955">
      <w:pPr>
        <w:contextualSpacing/>
        <w:rPr>
          <w:b/>
          <w:i/>
        </w:rPr>
      </w:pPr>
    </w:p>
    <w:p w14:paraId="3E0D63A1" w14:textId="77777777" w:rsidR="00E76DFC" w:rsidRDefault="00E76DFC" w:rsidP="007C4955">
      <w:pPr>
        <w:contextualSpacing/>
        <w:rPr>
          <w:b/>
          <w:i/>
        </w:rPr>
      </w:pPr>
    </w:p>
    <w:p w14:paraId="3E3524E0" w14:textId="6EA4A9A7" w:rsidR="00C1173A" w:rsidRPr="00734FEA" w:rsidRDefault="00C1173A" w:rsidP="007C4955">
      <w:pPr>
        <w:contextualSpacing/>
        <w:rPr>
          <w:b/>
          <w:i/>
        </w:rPr>
      </w:pPr>
      <w:r w:rsidRPr="00734FEA">
        <w:rPr>
          <w:b/>
          <w:i/>
        </w:rPr>
        <w:t>Tabulka 6.2.</w:t>
      </w:r>
      <w:bookmarkEnd w:id="76"/>
      <w:r w:rsidR="0069387B" w:rsidRPr="00734FEA">
        <w:rPr>
          <w:b/>
          <w:i/>
        </w:rPr>
        <w:t xml:space="preserve">10 </w:t>
      </w:r>
    </w:p>
    <w:p w14:paraId="17D4733A" w14:textId="43229DDC" w:rsidR="00C1173A" w:rsidRPr="00734FEA" w:rsidRDefault="00C1173A" w:rsidP="007C4955">
      <w:pPr>
        <w:contextualSpacing/>
        <w:rPr>
          <w:b/>
          <w:i/>
        </w:rPr>
      </w:pPr>
      <w:bookmarkStart w:id="77" w:name="_Toc482564975"/>
      <w:r w:rsidRPr="00734FEA">
        <w:rPr>
          <w:b/>
          <w:i/>
        </w:rPr>
        <w:t>Ostatní příjmy státních podniků Povodí v letech 201</w:t>
      </w:r>
      <w:r w:rsidR="00C7234C" w:rsidRPr="00734FEA">
        <w:rPr>
          <w:b/>
          <w:i/>
        </w:rPr>
        <w:t>6</w:t>
      </w:r>
      <w:r w:rsidRPr="00734FEA">
        <w:rPr>
          <w:b/>
          <w:i/>
        </w:rPr>
        <w:t>–20</w:t>
      </w:r>
      <w:bookmarkEnd w:id="77"/>
      <w:r w:rsidR="00507121" w:rsidRPr="00734FEA">
        <w:rPr>
          <w:b/>
          <w:i/>
        </w:rPr>
        <w:t>2</w:t>
      </w:r>
      <w:r w:rsidR="009E3227">
        <w:rPr>
          <w:b/>
          <w:i/>
        </w:rPr>
        <w:t>5</w:t>
      </w: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1"/>
        <w:gridCol w:w="906"/>
        <w:gridCol w:w="904"/>
        <w:gridCol w:w="904"/>
        <w:gridCol w:w="905"/>
        <w:gridCol w:w="877"/>
        <w:gridCol w:w="789"/>
        <w:gridCol w:w="751"/>
        <w:gridCol w:w="847"/>
        <w:gridCol w:w="799"/>
        <w:gridCol w:w="868"/>
      </w:tblGrid>
      <w:tr w:rsidR="00011279" w:rsidRPr="00734FEA" w14:paraId="32A64E77" w14:textId="27870535" w:rsidTr="001C7953">
        <w:trPr>
          <w:trHeight w:val="227"/>
        </w:trPr>
        <w:tc>
          <w:tcPr>
            <w:tcW w:w="1171" w:type="dxa"/>
            <w:vMerge w:val="restart"/>
            <w:shd w:val="clear" w:color="auto" w:fill="BFBFBF"/>
            <w:vAlign w:val="center"/>
            <w:hideMark/>
          </w:tcPr>
          <w:p w14:paraId="4C554758" w14:textId="77777777" w:rsidR="00011279" w:rsidRPr="00734FEA" w:rsidRDefault="00011279" w:rsidP="00C7234C">
            <w:pPr>
              <w:contextualSpacing/>
              <w:rPr>
                <w:rFonts w:cs="Arial"/>
                <w:b/>
                <w:bCs/>
                <w:sz w:val="18"/>
                <w:szCs w:val="18"/>
              </w:rPr>
            </w:pPr>
            <w:r w:rsidRPr="00734FEA">
              <w:rPr>
                <w:rFonts w:cs="Arial"/>
                <w:b/>
                <w:bCs/>
                <w:sz w:val="18"/>
                <w:szCs w:val="18"/>
              </w:rPr>
              <w:t>Státní podnik Povodí</w:t>
            </w:r>
          </w:p>
        </w:tc>
        <w:tc>
          <w:tcPr>
            <w:tcW w:w="906" w:type="dxa"/>
            <w:shd w:val="clear" w:color="auto" w:fill="BFBFBF"/>
            <w:vAlign w:val="center"/>
          </w:tcPr>
          <w:p w14:paraId="7E9EDB8C" w14:textId="6A8BA4EE" w:rsidR="00011279" w:rsidRPr="00734FEA" w:rsidRDefault="00011279" w:rsidP="00C7234C">
            <w:pPr>
              <w:contextualSpacing/>
              <w:jc w:val="center"/>
              <w:rPr>
                <w:rFonts w:cs="Arial"/>
                <w:b/>
                <w:bCs/>
                <w:sz w:val="18"/>
                <w:szCs w:val="18"/>
              </w:rPr>
            </w:pPr>
            <w:r w:rsidRPr="00734FEA">
              <w:rPr>
                <w:rFonts w:cs="Arial"/>
                <w:b/>
                <w:bCs/>
                <w:sz w:val="18"/>
                <w:szCs w:val="18"/>
              </w:rPr>
              <w:t>2016</w:t>
            </w:r>
          </w:p>
        </w:tc>
        <w:tc>
          <w:tcPr>
            <w:tcW w:w="904" w:type="dxa"/>
            <w:shd w:val="clear" w:color="auto" w:fill="BFBFBF"/>
            <w:vAlign w:val="center"/>
          </w:tcPr>
          <w:p w14:paraId="2F598F3C" w14:textId="0A4325A4" w:rsidR="00011279" w:rsidRPr="00734FEA" w:rsidRDefault="00011279" w:rsidP="00C7234C">
            <w:pPr>
              <w:contextualSpacing/>
              <w:jc w:val="center"/>
              <w:rPr>
                <w:rFonts w:cs="Arial"/>
                <w:b/>
                <w:bCs/>
                <w:sz w:val="18"/>
                <w:szCs w:val="18"/>
              </w:rPr>
            </w:pPr>
            <w:r w:rsidRPr="00734FEA">
              <w:rPr>
                <w:rFonts w:cs="Arial"/>
                <w:b/>
                <w:bCs/>
                <w:sz w:val="18"/>
                <w:szCs w:val="18"/>
              </w:rPr>
              <w:t>2017</w:t>
            </w:r>
          </w:p>
        </w:tc>
        <w:tc>
          <w:tcPr>
            <w:tcW w:w="904" w:type="dxa"/>
            <w:shd w:val="clear" w:color="auto" w:fill="BFBFBF"/>
            <w:vAlign w:val="center"/>
          </w:tcPr>
          <w:p w14:paraId="19D8B090" w14:textId="4D07BCA0" w:rsidR="00011279" w:rsidRPr="00734FEA" w:rsidRDefault="00011279" w:rsidP="00C7234C">
            <w:pPr>
              <w:contextualSpacing/>
              <w:jc w:val="center"/>
              <w:rPr>
                <w:rFonts w:cs="Arial"/>
                <w:b/>
                <w:bCs/>
                <w:sz w:val="18"/>
                <w:szCs w:val="18"/>
              </w:rPr>
            </w:pPr>
            <w:r w:rsidRPr="00734FEA">
              <w:rPr>
                <w:rFonts w:cs="Arial"/>
                <w:b/>
                <w:bCs/>
                <w:sz w:val="18"/>
                <w:szCs w:val="18"/>
              </w:rPr>
              <w:t>2018</w:t>
            </w:r>
          </w:p>
        </w:tc>
        <w:tc>
          <w:tcPr>
            <w:tcW w:w="905" w:type="dxa"/>
            <w:shd w:val="clear" w:color="auto" w:fill="BFBFBF"/>
          </w:tcPr>
          <w:p w14:paraId="28FA4DE5" w14:textId="3CDC1ADF" w:rsidR="00011279" w:rsidRPr="00734FEA" w:rsidRDefault="00011279" w:rsidP="00C7234C">
            <w:pPr>
              <w:contextualSpacing/>
              <w:jc w:val="center"/>
              <w:rPr>
                <w:rFonts w:cs="Arial"/>
                <w:b/>
                <w:bCs/>
                <w:sz w:val="18"/>
                <w:szCs w:val="18"/>
              </w:rPr>
            </w:pPr>
            <w:r w:rsidRPr="00734FEA">
              <w:rPr>
                <w:rFonts w:cs="Arial"/>
                <w:b/>
                <w:bCs/>
                <w:sz w:val="18"/>
                <w:szCs w:val="18"/>
              </w:rPr>
              <w:t>2019</w:t>
            </w:r>
          </w:p>
        </w:tc>
        <w:tc>
          <w:tcPr>
            <w:tcW w:w="877" w:type="dxa"/>
            <w:shd w:val="clear" w:color="auto" w:fill="BFBFBF"/>
          </w:tcPr>
          <w:p w14:paraId="258B0BE8" w14:textId="62FFA132" w:rsidR="00011279" w:rsidRPr="00734FEA" w:rsidRDefault="00011279" w:rsidP="00C7234C">
            <w:pPr>
              <w:contextualSpacing/>
              <w:jc w:val="center"/>
              <w:rPr>
                <w:rFonts w:cs="Arial"/>
                <w:b/>
                <w:bCs/>
                <w:sz w:val="18"/>
                <w:szCs w:val="18"/>
              </w:rPr>
            </w:pPr>
            <w:r w:rsidRPr="00734FEA">
              <w:rPr>
                <w:rFonts w:cs="Arial"/>
                <w:b/>
                <w:bCs/>
                <w:sz w:val="18"/>
                <w:szCs w:val="18"/>
              </w:rPr>
              <w:t>2020</w:t>
            </w:r>
          </w:p>
        </w:tc>
        <w:tc>
          <w:tcPr>
            <w:tcW w:w="789" w:type="dxa"/>
            <w:shd w:val="clear" w:color="auto" w:fill="BFBFBF"/>
          </w:tcPr>
          <w:p w14:paraId="62548238" w14:textId="03D7E03F" w:rsidR="00011279" w:rsidRPr="00734FEA" w:rsidRDefault="00011279" w:rsidP="00C7234C">
            <w:pPr>
              <w:contextualSpacing/>
              <w:jc w:val="center"/>
              <w:rPr>
                <w:rFonts w:cs="Arial"/>
                <w:b/>
                <w:bCs/>
                <w:sz w:val="18"/>
                <w:szCs w:val="18"/>
              </w:rPr>
            </w:pPr>
            <w:r w:rsidRPr="00734FEA">
              <w:rPr>
                <w:rFonts w:cs="Arial"/>
                <w:b/>
                <w:bCs/>
                <w:sz w:val="18"/>
                <w:szCs w:val="18"/>
              </w:rPr>
              <w:t>2021</w:t>
            </w:r>
          </w:p>
        </w:tc>
        <w:tc>
          <w:tcPr>
            <w:tcW w:w="751" w:type="dxa"/>
            <w:shd w:val="clear" w:color="auto" w:fill="BFBFBF"/>
          </w:tcPr>
          <w:p w14:paraId="5F148E5C" w14:textId="351ACCDD" w:rsidR="00011279" w:rsidRPr="00734FEA" w:rsidRDefault="00011279" w:rsidP="00C7234C">
            <w:pPr>
              <w:contextualSpacing/>
              <w:jc w:val="center"/>
              <w:rPr>
                <w:rFonts w:cs="Arial"/>
                <w:b/>
                <w:bCs/>
                <w:sz w:val="18"/>
                <w:szCs w:val="18"/>
              </w:rPr>
            </w:pPr>
            <w:r w:rsidRPr="00734FEA">
              <w:rPr>
                <w:rFonts w:cs="Arial"/>
                <w:b/>
                <w:bCs/>
                <w:sz w:val="18"/>
                <w:szCs w:val="18"/>
              </w:rPr>
              <w:t>2022</w:t>
            </w:r>
          </w:p>
        </w:tc>
        <w:tc>
          <w:tcPr>
            <w:tcW w:w="847" w:type="dxa"/>
            <w:shd w:val="clear" w:color="auto" w:fill="BFBFBF"/>
          </w:tcPr>
          <w:p w14:paraId="6703838D" w14:textId="4EC5FF32" w:rsidR="00011279" w:rsidRPr="00734FEA" w:rsidRDefault="00011279" w:rsidP="00C7234C">
            <w:pPr>
              <w:contextualSpacing/>
              <w:jc w:val="center"/>
              <w:rPr>
                <w:rFonts w:cs="Arial"/>
                <w:b/>
                <w:bCs/>
                <w:sz w:val="18"/>
                <w:szCs w:val="18"/>
              </w:rPr>
            </w:pPr>
            <w:r w:rsidRPr="00734FEA">
              <w:rPr>
                <w:rFonts w:cs="Arial"/>
                <w:b/>
                <w:bCs/>
                <w:sz w:val="18"/>
                <w:szCs w:val="18"/>
              </w:rPr>
              <w:t>2023</w:t>
            </w:r>
          </w:p>
        </w:tc>
        <w:tc>
          <w:tcPr>
            <w:tcW w:w="799" w:type="dxa"/>
            <w:shd w:val="clear" w:color="auto" w:fill="BFBFBF"/>
          </w:tcPr>
          <w:p w14:paraId="4534EE3B" w14:textId="3A731F6B" w:rsidR="00011279" w:rsidRPr="00734FEA" w:rsidRDefault="00011279" w:rsidP="00C7234C">
            <w:pPr>
              <w:contextualSpacing/>
              <w:jc w:val="center"/>
              <w:rPr>
                <w:rFonts w:cs="Arial"/>
                <w:b/>
                <w:bCs/>
                <w:sz w:val="18"/>
                <w:szCs w:val="18"/>
              </w:rPr>
            </w:pPr>
            <w:r w:rsidRPr="00734FEA">
              <w:rPr>
                <w:rFonts w:cs="Arial"/>
                <w:b/>
                <w:bCs/>
                <w:sz w:val="18"/>
                <w:szCs w:val="18"/>
              </w:rPr>
              <w:t>2024</w:t>
            </w:r>
          </w:p>
        </w:tc>
        <w:tc>
          <w:tcPr>
            <w:tcW w:w="868" w:type="dxa"/>
            <w:shd w:val="clear" w:color="auto" w:fill="BFBFBF"/>
          </w:tcPr>
          <w:p w14:paraId="01DF77E8" w14:textId="10D186C0" w:rsidR="00011279" w:rsidRPr="00734FEA" w:rsidRDefault="00011279" w:rsidP="00C7234C">
            <w:pPr>
              <w:contextualSpacing/>
              <w:jc w:val="center"/>
              <w:rPr>
                <w:rFonts w:cs="Arial"/>
                <w:b/>
                <w:bCs/>
                <w:sz w:val="18"/>
                <w:szCs w:val="18"/>
              </w:rPr>
            </w:pPr>
            <w:r w:rsidRPr="00734FEA">
              <w:rPr>
                <w:rFonts w:cs="Arial"/>
                <w:b/>
                <w:bCs/>
                <w:sz w:val="18"/>
                <w:szCs w:val="18"/>
              </w:rPr>
              <w:t>2025</w:t>
            </w:r>
          </w:p>
        </w:tc>
      </w:tr>
      <w:tr w:rsidR="00011279" w:rsidRPr="00734FEA" w14:paraId="2BBE5B4B" w14:textId="204ACD36" w:rsidTr="001C7953">
        <w:trPr>
          <w:trHeight w:val="227"/>
        </w:trPr>
        <w:tc>
          <w:tcPr>
            <w:tcW w:w="1171" w:type="dxa"/>
            <w:vMerge/>
            <w:shd w:val="clear" w:color="auto" w:fill="BFBFBF"/>
            <w:vAlign w:val="center"/>
          </w:tcPr>
          <w:p w14:paraId="311D0C6A" w14:textId="77777777" w:rsidR="00011279" w:rsidRPr="00734FEA" w:rsidRDefault="00011279" w:rsidP="00FC217A">
            <w:pPr>
              <w:contextualSpacing/>
              <w:rPr>
                <w:rFonts w:cs="Arial"/>
                <w:b/>
                <w:bCs/>
                <w:sz w:val="18"/>
                <w:szCs w:val="18"/>
              </w:rPr>
            </w:pPr>
          </w:p>
        </w:tc>
        <w:tc>
          <w:tcPr>
            <w:tcW w:w="8550" w:type="dxa"/>
            <w:gridSpan w:val="10"/>
            <w:shd w:val="clear" w:color="auto" w:fill="BFBFBF"/>
            <w:vAlign w:val="center"/>
          </w:tcPr>
          <w:p w14:paraId="70AF673B" w14:textId="412D5CDE" w:rsidR="00011279" w:rsidRPr="00734FEA" w:rsidRDefault="00011279" w:rsidP="00FC217A">
            <w:pPr>
              <w:contextualSpacing/>
              <w:jc w:val="center"/>
              <w:rPr>
                <w:rFonts w:cs="Arial"/>
                <w:b/>
                <w:sz w:val="18"/>
                <w:szCs w:val="18"/>
              </w:rPr>
            </w:pPr>
            <w:r w:rsidRPr="00734FEA">
              <w:rPr>
                <w:rFonts w:cs="Arial"/>
                <w:b/>
                <w:sz w:val="18"/>
                <w:szCs w:val="18"/>
              </w:rPr>
              <w:t>tis. Kč</w:t>
            </w:r>
          </w:p>
        </w:tc>
      </w:tr>
      <w:tr w:rsidR="00734FEA" w:rsidRPr="00734FEA" w14:paraId="1D57CFF0" w14:textId="41661F0A" w:rsidTr="00994710">
        <w:trPr>
          <w:trHeight w:val="227"/>
        </w:trPr>
        <w:tc>
          <w:tcPr>
            <w:tcW w:w="1171" w:type="dxa"/>
            <w:shd w:val="clear" w:color="auto" w:fill="BFBFBF"/>
            <w:vAlign w:val="center"/>
            <w:hideMark/>
          </w:tcPr>
          <w:p w14:paraId="40C118D3" w14:textId="77777777" w:rsidR="00734FEA" w:rsidRPr="00734FEA" w:rsidRDefault="00734FEA" w:rsidP="00734FEA">
            <w:pPr>
              <w:contextualSpacing/>
              <w:rPr>
                <w:rFonts w:cs="Arial"/>
                <w:b/>
                <w:sz w:val="18"/>
                <w:szCs w:val="18"/>
              </w:rPr>
            </w:pPr>
            <w:r w:rsidRPr="00734FEA">
              <w:rPr>
                <w:rFonts w:cs="Arial"/>
                <w:b/>
                <w:sz w:val="18"/>
                <w:szCs w:val="18"/>
              </w:rPr>
              <w:t>Labe</w:t>
            </w:r>
          </w:p>
        </w:tc>
        <w:tc>
          <w:tcPr>
            <w:tcW w:w="906" w:type="dxa"/>
            <w:vAlign w:val="center"/>
          </w:tcPr>
          <w:p w14:paraId="4AE2228E" w14:textId="6644C208" w:rsidR="00734FEA" w:rsidRPr="00734FEA" w:rsidRDefault="00734FEA" w:rsidP="00734FEA">
            <w:pPr>
              <w:ind w:firstLineChars="100" w:firstLine="180"/>
              <w:contextualSpacing/>
              <w:jc w:val="right"/>
              <w:rPr>
                <w:rFonts w:cs="Arial"/>
                <w:sz w:val="18"/>
                <w:szCs w:val="18"/>
              </w:rPr>
            </w:pPr>
            <w:r w:rsidRPr="00734FEA">
              <w:rPr>
                <w:rFonts w:cs="Arial"/>
                <w:sz w:val="18"/>
                <w:szCs w:val="18"/>
              </w:rPr>
              <w:t>73 388</w:t>
            </w:r>
          </w:p>
        </w:tc>
        <w:tc>
          <w:tcPr>
            <w:tcW w:w="904" w:type="dxa"/>
            <w:vAlign w:val="center"/>
          </w:tcPr>
          <w:p w14:paraId="60547B80" w14:textId="4BAF95ED" w:rsidR="00734FEA" w:rsidRPr="00734FEA" w:rsidRDefault="00734FEA" w:rsidP="00734FEA">
            <w:pPr>
              <w:ind w:firstLineChars="100" w:firstLine="180"/>
              <w:contextualSpacing/>
              <w:jc w:val="center"/>
              <w:rPr>
                <w:rFonts w:cs="Arial"/>
                <w:sz w:val="18"/>
                <w:szCs w:val="18"/>
              </w:rPr>
            </w:pPr>
            <w:r w:rsidRPr="00734FEA">
              <w:rPr>
                <w:rFonts w:cs="Arial"/>
                <w:sz w:val="18"/>
                <w:szCs w:val="18"/>
              </w:rPr>
              <w:t>149 163</w:t>
            </w:r>
          </w:p>
        </w:tc>
        <w:tc>
          <w:tcPr>
            <w:tcW w:w="904" w:type="dxa"/>
            <w:vAlign w:val="center"/>
          </w:tcPr>
          <w:p w14:paraId="2412B624" w14:textId="555E5B3C" w:rsidR="00734FEA" w:rsidRPr="00734FEA" w:rsidRDefault="00734FEA" w:rsidP="00734FEA">
            <w:pPr>
              <w:contextualSpacing/>
              <w:jc w:val="right"/>
              <w:rPr>
                <w:rFonts w:cs="Arial"/>
                <w:sz w:val="18"/>
                <w:szCs w:val="18"/>
              </w:rPr>
            </w:pPr>
            <w:r w:rsidRPr="00734FEA">
              <w:rPr>
                <w:rFonts w:cs="Arial"/>
                <w:sz w:val="18"/>
                <w:szCs w:val="18"/>
              </w:rPr>
              <w:t>91 122</w:t>
            </w:r>
          </w:p>
        </w:tc>
        <w:tc>
          <w:tcPr>
            <w:tcW w:w="905" w:type="dxa"/>
            <w:vAlign w:val="bottom"/>
          </w:tcPr>
          <w:p w14:paraId="7CE25858" w14:textId="1FDEEFA1" w:rsidR="00734FEA" w:rsidRPr="00734FEA" w:rsidRDefault="00734FEA" w:rsidP="00734FEA">
            <w:pPr>
              <w:contextualSpacing/>
              <w:jc w:val="right"/>
              <w:rPr>
                <w:rFonts w:cs="Arial"/>
                <w:sz w:val="18"/>
                <w:szCs w:val="18"/>
              </w:rPr>
            </w:pPr>
            <w:r w:rsidRPr="00734FEA">
              <w:rPr>
                <w:rFonts w:cs="Arial"/>
                <w:sz w:val="18"/>
                <w:szCs w:val="18"/>
              </w:rPr>
              <w:t>86 446</w:t>
            </w:r>
          </w:p>
        </w:tc>
        <w:tc>
          <w:tcPr>
            <w:tcW w:w="877" w:type="dxa"/>
            <w:vAlign w:val="bottom"/>
          </w:tcPr>
          <w:p w14:paraId="12641CEF" w14:textId="469BBD5E" w:rsidR="00734FEA" w:rsidRPr="00734FEA" w:rsidRDefault="00734FEA" w:rsidP="00734FEA">
            <w:pPr>
              <w:contextualSpacing/>
              <w:jc w:val="right"/>
              <w:rPr>
                <w:rFonts w:cs="Arial"/>
                <w:sz w:val="18"/>
                <w:szCs w:val="18"/>
              </w:rPr>
            </w:pPr>
            <w:r w:rsidRPr="00734FEA">
              <w:rPr>
                <w:rFonts w:cs="Arial"/>
                <w:sz w:val="18"/>
                <w:szCs w:val="18"/>
              </w:rPr>
              <w:t>69 515</w:t>
            </w:r>
          </w:p>
        </w:tc>
        <w:tc>
          <w:tcPr>
            <w:tcW w:w="789" w:type="dxa"/>
            <w:vAlign w:val="bottom"/>
          </w:tcPr>
          <w:p w14:paraId="25B6C522" w14:textId="5FBC9CBB" w:rsidR="00734FEA" w:rsidRPr="00734FEA" w:rsidRDefault="00734FEA" w:rsidP="00734FEA">
            <w:pPr>
              <w:contextualSpacing/>
              <w:jc w:val="right"/>
              <w:rPr>
                <w:rFonts w:cs="Arial"/>
                <w:sz w:val="18"/>
                <w:szCs w:val="18"/>
              </w:rPr>
            </w:pPr>
            <w:r w:rsidRPr="00734FEA">
              <w:rPr>
                <w:rFonts w:cs="Arial"/>
                <w:sz w:val="18"/>
                <w:szCs w:val="18"/>
              </w:rPr>
              <w:t>70 926</w:t>
            </w:r>
          </w:p>
        </w:tc>
        <w:tc>
          <w:tcPr>
            <w:tcW w:w="751" w:type="dxa"/>
            <w:vAlign w:val="bottom"/>
          </w:tcPr>
          <w:p w14:paraId="6FB567B0" w14:textId="088B5283" w:rsidR="00734FEA" w:rsidRPr="00734FEA" w:rsidRDefault="00734FEA" w:rsidP="00734FEA">
            <w:pPr>
              <w:contextualSpacing/>
              <w:jc w:val="right"/>
              <w:rPr>
                <w:rFonts w:cs="Arial"/>
                <w:sz w:val="18"/>
                <w:szCs w:val="18"/>
              </w:rPr>
            </w:pPr>
            <w:r w:rsidRPr="00734FEA">
              <w:rPr>
                <w:rFonts w:cs="Arial"/>
                <w:sz w:val="18"/>
                <w:szCs w:val="18"/>
              </w:rPr>
              <w:t>162 782</w:t>
            </w:r>
          </w:p>
        </w:tc>
        <w:tc>
          <w:tcPr>
            <w:tcW w:w="847" w:type="dxa"/>
            <w:vAlign w:val="bottom"/>
          </w:tcPr>
          <w:p w14:paraId="6AEA9392" w14:textId="2A0990BF" w:rsidR="00734FEA" w:rsidRPr="00734FEA" w:rsidRDefault="00734FEA" w:rsidP="00734FEA">
            <w:pPr>
              <w:contextualSpacing/>
              <w:jc w:val="right"/>
              <w:rPr>
                <w:rFonts w:cs="Arial"/>
                <w:sz w:val="18"/>
                <w:szCs w:val="18"/>
              </w:rPr>
            </w:pPr>
            <w:r w:rsidRPr="00734FEA">
              <w:rPr>
                <w:rFonts w:cs="Arial"/>
                <w:color w:val="000000"/>
                <w:sz w:val="18"/>
                <w:szCs w:val="18"/>
              </w:rPr>
              <w:t>107 652</w:t>
            </w:r>
          </w:p>
        </w:tc>
        <w:tc>
          <w:tcPr>
            <w:tcW w:w="799" w:type="dxa"/>
            <w:vAlign w:val="bottom"/>
          </w:tcPr>
          <w:p w14:paraId="2EEE3DC2" w14:textId="25CA0002" w:rsidR="00734FEA" w:rsidRPr="00734FEA" w:rsidRDefault="00734FEA" w:rsidP="00734FEA">
            <w:pPr>
              <w:contextualSpacing/>
              <w:jc w:val="right"/>
              <w:rPr>
                <w:rFonts w:cs="Arial"/>
                <w:color w:val="000000"/>
                <w:sz w:val="18"/>
                <w:szCs w:val="18"/>
              </w:rPr>
            </w:pPr>
            <w:r w:rsidRPr="00734FEA">
              <w:rPr>
                <w:rFonts w:cs="Arial"/>
                <w:color w:val="000000"/>
                <w:sz w:val="18"/>
                <w:szCs w:val="18"/>
              </w:rPr>
              <w:t>163 367</w:t>
            </w:r>
          </w:p>
        </w:tc>
        <w:tc>
          <w:tcPr>
            <w:tcW w:w="868" w:type="dxa"/>
            <w:vAlign w:val="bottom"/>
          </w:tcPr>
          <w:p w14:paraId="05C1883F" w14:textId="5F70B6FC" w:rsidR="00734FEA" w:rsidRPr="00734FEA" w:rsidRDefault="00734FEA" w:rsidP="00734FEA">
            <w:pPr>
              <w:contextualSpacing/>
              <w:jc w:val="right"/>
              <w:rPr>
                <w:rFonts w:cs="Arial"/>
                <w:color w:val="000000"/>
                <w:sz w:val="18"/>
                <w:szCs w:val="18"/>
              </w:rPr>
            </w:pPr>
            <w:r w:rsidRPr="00734FEA">
              <w:rPr>
                <w:rFonts w:cs="Arial"/>
                <w:color w:val="000000"/>
                <w:sz w:val="18"/>
                <w:szCs w:val="18"/>
              </w:rPr>
              <w:t>164</w:t>
            </w:r>
            <w:r>
              <w:rPr>
                <w:rFonts w:cs="Arial"/>
                <w:color w:val="000000"/>
                <w:sz w:val="18"/>
                <w:szCs w:val="18"/>
              </w:rPr>
              <w:t xml:space="preserve"> </w:t>
            </w:r>
            <w:r w:rsidRPr="00734FEA">
              <w:rPr>
                <w:rFonts w:cs="Arial"/>
                <w:color w:val="000000"/>
                <w:sz w:val="18"/>
                <w:szCs w:val="18"/>
              </w:rPr>
              <w:t>961</w:t>
            </w:r>
          </w:p>
        </w:tc>
      </w:tr>
      <w:tr w:rsidR="00734FEA" w:rsidRPr="00734FEA" w14:paraId="4B75E97A" w14:textId="4687847D" w:rsidTr="00994710">
        <w:trPr>
          <w:trHeight w:val="227"/>
        </w:trPr>
        <w:tc>
          <w:tcPr>
            <w:tcW w:w="1171" w:type="dxa"/>
            <w:shd w:val="clear" w:color="auto" w:fill="BFBFBF"/>
            <w:vAlign w:val="center"/>
            <w:hideMark/>
          </w:tcPr>
          <w:p w14:paraId="4CD0ED8C" w14:textId="77777777" w:rsidR="00734FEA" w:rsidRPr="00734FEA" w:rsidRDefault="00734FEA" w:rsidP="00734FEA">
            <w:pPr>
              <w:contextualSpacing/>
              <w:rPr>
                <w:rFonts w:cs="Arial"/>
                <w:b/>
                <w:sz w:val="18"/>
                <w:szCs w:val="18"/>
              </w:rPr>
            </w:pPr>
            <w:r w:rsidRPr="00734FEA">
              <w:rPr>
                <w:rFonts w:cs="Arial"/>
                <w:b/>
                <w:sz w:val="18"/>
                <w:szCs w:val="18"/>
              </w:rPr>
              <w:t xml:space="preserve">Vltavy </w:t>
            </w:r>
          </w:p>
        </w:tc>
        <w:tc>
          <w:tcPr>
            <w:tcW w:w="906" w:type="dxa"/>
            <w:vAlign w:val="center"/>
          </w:tcPr>
          <w:p w14:paraId="0635F904" w14:textId="5D5F230D" w:rsidR="00734FEA" w:rsidRPr="00734FEA" w:rsidRDefault="00734FEA" w:rsidP="00734FEA">
            <w:pPr>
              <w:ind w:firstLineChars="100" w:firstLine="180"/>
              <w:contextualSpacing/>
              <w:jc w:val="right"/>
              <w:rPr>
                <w:rFonts w:cs="Arial"/>
                <w:sz w:val="18"/>
                <w:szCs w:val="18"/>
              </w:rPr>
            </w:pPr>
            <w:r w:rsidRPr="00734FEA">
              <w:rPr>
                <w:rFonts w:cs="Arial"/>
                <w:sz w:val="18"/>
                <w:szCs w:val="18"/>
              </w:rPr>
              <w:t>71 409</w:t>
            </w:r>
          </w:p>
        </w:tc>
        <w:tc>
          <w:tcPr>
            <w:tcW w:w="904" w:type="dxa"/>
            <w:vAlign w:val="center"/>
          </w:tcPr>
          <w:p w14:paraId="5F9ECA2B" w14:textId="25D08AAF" w:rsidR="00734FEA" w:rsidRPr="00734FEA" w:rsidRDefault="00734FEA" w:rsidP="00734FEA">
            <w:pPr>
              <w:ind w:firstLineChars="100" w:firstLine="180"/>
              <w:contextualSpacing/>
              <w:jc w:val="right"/>
              <w:rPr>
                <w:rFonts w:cs="Arial"/>
                <w:sz w:val="18"/>
                <w:szCs w:val="18"/>
              </w:rPr>
            </w:pPr>
            <w:r w:rsidRPr="00734FEA">
              <w:rPr>
                <w:rFonts w:cs="Arial"/>
                <w:sz w:val="18"/>
                <w:szCs w:val="18"/>
              </w:rPr>
              <w:t>78 738</w:t>
            </w:r>
          </w:p>
        </w:tc>
        <w:tc>
          <w:tcPr>
            <w:tcW w:w="904" w:type="dxa"/>
            <w:vAlign w:val="center"/>
          </w:tcPr>
          <w:p w14:paraId="69BECAE8" w14:textId="4C6510B3" w:rsidR="00734FEA" w:rsidRPr="00734FEA" w:rsidRDefault="00734FEA" w:rsidP="00734FEA">
            <w:pPr>
              <w:ind w:firstLineChars="100" w:firstLine="180"/>
              <w:contextualSpacing/>
              <w:jc w:val="right"/>
              <w:rPr>
                <w:rFonts w:cs="Arial"/>
                <w:sz w:val="18"/>
                <w:szCs w:val="18"/>
              </w:rPr>
            </w:pPr>
            <w:r w:rsidRPr="00734FEA">
              <w:rPr>
                <w:rFonts w:cs="Arial"/>
                <w:sz w:val="18"/>
                <w:szCs w:val="18"/>
              </w:rPr>
              <w:t>120 231</w:t>
            </w:r>
          </w:p>
        </w:tc>
        <w:tc>
          <w:tcPr>
            <w:tcW w:w="905" w:type="dxa"/>
            <w:vAlign w:val="bottom"/>
          </w:tcPr>
          <w:p w14:paraId="577B06B6" w14:textId="5C3E748C" w:rsidR="00734FEA" w:rsidRPr="00734FEA" w:rsidRDefault="00734FEA" w:rsidP="00734FEA">
            <w:pPr>
              <w:ind w:firstLineChars="100" w:firstLine="180"/>
              <w:contextualSpacing/>
              <w:jc w:val="right"/>
              <w:rPr>
                <w:rFonts w:cs="Arial"/>
                <w:sz w:val="18"/>
                <w:szCs w:val="18"/>
              </w:rPr>
            </w:pPr>
            <w:r w:rsidRPr="00734FEA">
              <w:rPr>
                <w:rFonts w:cs="Arial"/>
                <w:sz w:val="18"/>
                <w:szCs w:val="18"/>
              </w:rPr>
              <w:t>108 072</w:t>
            </w:r>
          </w:p>
        </w:tc>
        <w:tc>
          <w:tcPr>
            <w:tcW w:w="877" w:type="dxa"/>
            <w:vAlign w:val="bottom"/>
          </w:tcPr>
          <w:p w14:paraId="25BD6B8E" w14:textId="630A10AC" w:rsidR="00734FEA" w:rsidRPr="00734FEA" w:rsidRDefault="00734FEA" w:rsidP="00734FEA">
            <w:pPr>
              <w:contextualSpacing/>
              <w:jc w:val="right"/>
              <w:rPr>
                <w:rFonts w:cs="Arial"/>
                <w:sz w:val="18"/>
                <w:szCs w:val="18"/>
              </w:rPr>
            </w:pPr>
            <w:r w:rsidRPr="00734FEA">
              <w:rPr>
                <w:rFonts w:cs="Arial"/>
                <w:sz w:val="18"/>
                <w:szCs w:val="18"/>
              </w:rPr>
              <w:t>96 952</w:t>
            </w:r>
          </w:p>
        </w:tc>
        <w:tc>
          <w:tcPr>
            <w:tcW w:w="789" w:type="dxa"/>
            <w:vAlign w:val="bottom"/>
          </w:tcPr>
          <w:p w14:paraId="6ED3EE97" w14:textId="142E9351" w:rsidR="00734FEA" w:rsidRPr="00734FEA" w:rsidRDefault="00734FEA" w:rsidP="00734FEA">
            <w:pPr>
              <w:contextualSpacing/>
              <w:jc w:val="right"/>
              <w:rPr>
                <w:rFonts w:cs="Arial"/>
                <w:sz w:val="18"/>
                <w:szCs w:val="18"/>
              </w:rPr>
            </w:pPr>
            <w:r w:rsidRPr="00734FEA">
              <w:rPr>
                <w:rFonts w:cs="Arial"/>
                <w:sz w:val="18"/>
                <w:szCs w:val="18"/>
              </w:rPr>
              <w:t>112 483</w:t>
            </w:r>
          </w:p>
        </w:tc>
        <w:tc>
          <w:tcPr>
            <w:tcW w:w="751" w:type="dxa"/>
            <w:vAlign w:val="bottom"/>
          </w:tcPr>
          <w:p w14:paraId="5375060C" w14:textId="63E90FDA" w:rsidR="00734FEA" w:rsidRPr="00734FEA" w:rsidRDefault="00734FEA" w:rsidP="00734FEA">
            <w:pPr>
              <w:contextualSpacing/>
              <w:jc w:val="right"/>
              <w:rPr>
                <w:rFonts w:cs="Arial"/>
                <w:sz w:val="18"/>
                <w:szCs w:val="18"/>
              </w:rPr>
            </w:pPr>
            <w:r w:rsidRPr="00734FEA">
              <w:rPr>
                <w:rFonts w:cs="Arial"/>
                <w:sz w:val="18"/>
                <w:szCs w:val="18"/>
              </w:rPr>
              <w:t>214 169</w:t>
            </w:r>
          </w:p>
        </w:tc>
        <w:tc>
          <w:tcPr>
            <w:tcW w:w="847" w:type="dxa"/>
            <w:vAlign w:val="bottom"/>
          </w:tcPr>
          <w:p w14:paraId="6ED70722" w14:textId="4C02CAF3" w:rsidR="00734FEA" w:rsidRPr="00734FEA" w:rsidRDefault="00734FEA" w:rsidP="00734FEA">
            <w:pPr>
              <w:contextualSpacing/>
              <w:jc w:val="right"/>
              <w:rPr>
                <w:rFonts w:cs="Arial"/>
                <w:sz w:val="18"/>
                <w:szCs w:val="18"/>
              </w:rPr>
            </w:pPr>
            <w:r w:rsidRPr="00734FEA">
              <w:rPr>
                <w:rFonts w:cs="Arial"/>
                <w:color w:val="000000"/>
                <w:sz w:val="18"/>
                <w:szCs w:val="18"/>
              </w:rPr>
              <w:t>196 193</w:t>
            </w:r>
          </w:p>
        </w:tc>
        <w:tc>
          <w:tcPr>
            <w:tcW w:w="799" w:type="dxa"/>
            <w:vAlign w:val="bottom"/>
          </w:tcPr>
          <w:p w14:paraId="03A4C6A6" w14:textId="516F0CB7" w:rsidR="00734FEA" w:rsidRPr="00734FEA" w:rsidRDefault="00734FEA" w:rsidP="00734FEA">
            <w:pPr>
              <w:contextualSpacing/>
              <w:jc w:val="right"/>
              <w:rPr>
                <w:rFonts w:cs="Arial"/>
                <w:color w:val="000000"/>
                <w:sz w:val="18"/>
                <w:szCs w:val="18"/>
              </w:rPr>
            </w:pPr>
            <w:r w:rsidRPr="00734FEA">
              <w:rPr>
                <w:rFonts w:cs="Arial"/>
                <w:color w:val="000000"/>
                <w:sz w:val="18"/>
                <w:szCs w:val="18"/>
              </w:rPr>
              <w:t>181 095</w:t>
            </w:r>
          </w:p>
        </w:tc>
        <w:tc>
          <w:tcPr>
            <w:tcW w:w="868" w:type="dxa"/>
            <w:vAlign w:val="bottom"/>
          </w:tcPr>
          <w:p w14:paraId="57F285E0" w14:textId="0228D10B" w:rsidR="00734FEA" w:rsidRPr="00734FEA" w:rsidRDefault="00734FEA" w:rsidP="00734FEA">
            <w:pPr>
              <w:contextualSpacing/>
              <w:jc w:val="right"/>
              <w:rPr>
                <w:rFonts w:cs="Arial"/>
                <w:color w:val="000000"/>
                <w:sz w:val="18"/>
                <w:szCs w:val="18"/>
              </w:rPr>
            </w:pPr>
            <w:r w:rsidRPr="00734FEA">
              <w:rPr>
                <w:rFonts w:cs="Arial"/>
                <w:color w:val="000000"/>
                <w:sz w:val="18"/>
                <w:szCs w:val="18"/>
              </w:rPr>
              <w:t>208</w:t>
            </w:r>
            <w:r>
              <w:rPr>
                <w:rFonts w:cs="Arial"/>
                <w:color w:val="000000"/>
                <w:sz w:val="18"/>
                <w:szCs w:val="18"/>
              </w:rPr>
              <w:t xml:space="preserve"> </w:t>
            </w:r>
            <w:r w:rsidRPr="00734FEA">
              <w:rPr>
                <w:rFonts w:cs="Arial"/>
                <w:color w:val="000000"/>
                <w:sz w:val="18"/>
                <w:szCs w:val="18"/>
              </w:rPr>
              <w:t>244</w:t>
            </w:r>
          </w:p>
        </w:tc>
      </w:tr>
      <w:tr w:rsidR="00734FEA" w:rsidRPr="00734FEA" w14:paraId="63ED10AB" w14:textId="1479D0BB" w:rsidTr="00994710">
        <w:trPr>
          <w:trHeight w:val="227"/>
        </w:trPr>
        <w:tc>
          <w:tcPr>
            <w:tcW w:w="1171" w:type="dxa"/>
            <w:shd w:val="clear" w:color="auto" w:fill="BFBFBF"/>
            <w:vAlign w:val="center"/>
            <w:hideMark/>
          </w:tcPr>
          <w:p w14:paraId="058AD579" w14:textId="77777777" w:rsidR="00734FEA" w:rsidRPr="00734FEA" w:rsidRDefault="00734FEA" w:rsidP="00734FEA">
            <w:pPr>
              <w:contextualSpacing/>
              <w:rPr>
                <w:rFonts w:cs="Arial"/>
                <w:b/>
                <w:sz w:val="18"/>
                <w:szCs w:val="18"/>
              </w:rPr>
            </w:pPr>
            <w:r w:rsidRPr="00734FEA">
              <w:rPr>
                <w:rFonts w:cs="Arial"/>
                <w:b/>
                <w:sz w:val="18"/>
                <w:szCs w:val="18"/>
              </w:rPr>
              <w:t>Ohře</w:t>
            </w:r>
          </w:p>
        </w:tc>
        <w:tc>
          <w:tcPr>
            <w:tcW w:w="906" w:type="dxa"/>
            <w:vAlign w:val="center"/>
          </w:tcPr>
          <w:p w14:paraId="3A2C48DE" w14:textId="0E982FFC" w:rsidR="00734FEA" w:rsidRPr="00734FEA" w:rsidRDefault="00734FEA" w:rsidP="00734FEA">
            <w:pPr>
              <w:ind w:firstLineChars="100" w:firstLine="180"/>
              <w:contextualSpacing/>
              <w:jc w:val="right"/>
              <w:rPr>
                <w:rFonts w:cs="Arial"/>
                <w:sz w:val="18"/>
                <w:szCs w:val="18"/>
              </w:rPr>
            </w:pPr>
            <w:r w:rsidRPr="00734FEA">
              <w:rPr>
                <w:rFonts w:cs="Arial"/>
                <w:sz w:val="18"/>
                <w:szCs w:val="18"/>
              </w:rPr>
              <w:t>75 702</w:t>
            </w:r>
          </w:p>
        </w:tc>
        <w:tc>
          <w:tcPr>
            <w:tcW w:w="904" w:type="dxa"/>
            <w:vAlign w:val="center"/>
          </w:tcPr>
          <w:p w14:paraId="4FF4322E" w14:textId="7F7593E9" w:rsidR="00734FEA" w:rsidRPr="00734FEA" w:rsidRDefault="00734FEA" w:rsidP="00734FEA">
            <w:pPr>
              <w:ind w:firstLineChars="100" w:firstLine="180"/>
              <w:contextualSpacing/>
              <w:jc w:val="right"/>
              <w:rPr>
                <w:rFonts w:cs="Arial"/>
                <w:sz w:val="18"/>
                <w:szCs w:val="18"/>
              </w:rPr>
            </w:pPr>
            <w:r w:rsidRPr="00734FEA">
              <w:rPr>
                <w:rFonts w:cs="Arial"/>
                <w:sz w:val="18"/>
                <w:szCs w:val="18"/>
              </w:rPr>
              <w:t>85 264</w:t>
            </w:r>
          </w:p>
        </w:tc>
        <w:tc>
          <w:tcPr>
            <w:tcW w:w="904" w:type="dxa"/>
            <w:vAlign w:val="center"/>
          </w:tcPr>
          <w:p w14:paraId="6635FE21" w14:textId="5CB848C7" w:rsidR="00734FEA" w:rsidRPr="00734FEA" w:rsidRDefault="00734FEA" w:rsidP="00734FEA">
            <w:pPr>
              <w:ind w:firstLineChars="100" w:firstLine="180"/>
              <w:contextualSpacing/>
              <w:jc w:val="right"/>
              <w:rPr>
                <w:rFonts w:cs="Arial"/>
                <w:sz w:val="18"/>
                <w:szCs w:val="18"/>
              </w:rPr>
            </w:pPr>
            <w:r w:rsidRPr="00734FEA">
              <w:rPr>
                <w:rFonts w:cs="Arial"/>
                <w:sz w:val="18"/>
                <w:szCs w:val="18"/>
              </w:rPr>
              <w:t>108 496</w:t>
            </w:r>
          </w:p>
        </w:tc>
        <w:tc>
          <w:tcPr>
            <w:tcW w:w="905" w:type="dxa"/>
            <w:vAlign w:val="bottom"/>
          </w:tcPr>
          <w:p w14:paraId="406315A6" w14:textId="24CCF34E" w:rsidR="00734FEA" w:rsidRPr="00734FEA" w:rsidRDefault="00734FEA" w:rsidP="00734FEA">
            <w:pPr>
              <w:ind w:firstLineChars="100" w:firstLine="180"/>
              <w:contextualSpacing/>
              <w:jc w:val="right"/>
              <w:rPr>
                <w:rFonts w:cs="Arial"/>
                <w:sz w:val="18"/>
                <w:szCs w:val="18"/>
              </w:rPr>
            </w:pPr>
            <w:r w:rsidRPr="00734FEA">
              <w:rPr>
                <w:rFonts w:cs="Arial"/>
                <w:sz w:val="18"/>
                <w:szCs w:val="18"/>
              </w:rPr>
              <w:t>96 623</w:t>
            </w:r>
          </w:p>
        </w:tc>
        <w:tc>
          <w:tcPr>
            <w:tcW w:w="877" w:type="dxa"/>
            <w:vAlign w:val="bottom"/>
          </w:tcPr>
          <w:p w14:paraId="34425D18" w14:textId="659EB839" w:rsidR="00734FEA" w:rsidRPr="00734FEA" w:rsidRDefault="00734FEA" w:rsidP="00734FEA">
            <w:pPr>
              <w:contextualSpacing/>
              <w:jc w:val="right"/>
              <w:rPr>
                <w:rFonts w:cs="Arial"/>
                <w:sz w:val="18"/>
                <w:szCs w:val="18"/>
              </w:rPr>
            </w:pPr>
            <w:r w:rsidRPr="00734FEA">
              <w:rPr>
                <w:rFonts w:cs="Arial"/>
                <w:sz w:val="18"/>
                <w:szCs w:val="18"/>
              </w:rPr>
              <w:t>111 563</w:t>
            </w:r>
          </w:p>
        </w:tc>
        <w:tc>
          <w:tcPr>
            <w:tcW w:w="789" w:type="dxa"/>
            <w:vAlign w:val="bottom"/>
          </w:tcPr>
          <w:p w14:paraId="70FA28C0" w14:textId="150E4817" w:rsidR="00734FEA" w:rsidRPr="00734FEA" w:rsidRDefault="00734FEA" w:rsidP="00734FEA">
            <w:pPr>
              <w:contextualSpacing/>
              <w:jc w:val="right"/>
              <w:rPr>
                <w:rFonts w:cs="Arial"/>
                <w:sz w:val="18"/>
                <w:szCs w:val="18"/>
              </w:rPr>
            </w:pPr>
            <w:r w:rsidRPr="00734FEA">
              <w:rPr>
                <w:rFonts w:cs="Arial"/>
                <w:sz w:val="18"/>
                <w:szCs w:val="18"/>
              </w:rPr>
              <w:t>89 726</w:t>
            </w:r>
          </w:p>
        </w:tc>
        <w:tc>
          <w:tcPr>
            <w:tcW w:w="751" w:type="dxa"/>
            <w:vAlign w:val="bottom"/>
          </w:tcPr>
          <w:p w14:paraId="47FA2F15" w14:textId="7F121B19" w:rsidR="00734FEA" w:rsidRPr="00734FEA" w:rsidRDefault="00734FEA" w:rsidP="00734FEA">
            <w:pPr>
              <w:contextualSpacing/>
              <w:jc w:val="right"/>
              <w:rPr>
                <w:rFonts w:cs="Arial"/>
                <w:sz w:val="18"/>
                <w:szCs w:val="18"/>
              </w:rPr>
            </w:pPr>
            <w:r w:rsidRPr="00734FEA">
              <w:rPr>
                <w:rFonts w:cs="Arial"/>
                <w:sz w:val="18"/>
                <w:szCs w:val="18"/>
              </w:rPr>
              <w:t>176 029</w:t>
            </w:r>
          </w:p>
        </w:tc>
        <w:tc>
          <w:tcPr>
            <w:tcW w:w="847" w:type="dxa"/>
            <w:vAlign w:val="bottom"/>
          </w:tcPr>
          <w:p w14:paraId="1BF1A233" w14:textId="2230A4C5" w:rsidR="00734FEA" w:rsidRPr="00734FEA" w:rsidRDefault="00734FEA" w:rsidP="00734FEA">
            <w:pPr>
              <w:contextualSpacing/>
              <w:jc w:val="right"/>
              <w:rPr>
                <w:rFonts w:cs="Arial"/>
                <w:sz w:val="18"/>
                <w:szCs w:val="18"/>
              </w:rPr>
            </w:pPr>
            <w:r w:rsidRPr="00734FEA">
              <w:rPr>
                <w:rFonts w:cs="Arial"/>
                <w:color w:val="000000"/>
                <w:sz w:val="18"/>
                <w:szCs w:val="18"/>
              </w:rPr>
              <w:t>188 626</w:t>
            </w:r>
          </w:p>
        </w:tc>
        <w:tc>
          <w:tcPr>
            <w:tcW w:w="799" w:type="dxa"/>
            <w:vAlign w:val="bottom"/>
          </w:tcPr>
          <w:p w14:paraId="782A9CD6" w14:textId="2C47A6F7" w:rsidR="00734FEA" w:rsidRPr="00734FEA" w:rsidRDefault="00734FEA" w:rsidP="00734FEA">
            <w:pPr>
              <w:contextualSpacing/>
              <w:jc w:val="right"/>
              <w:rPr>
                <w:rFonts w:cs="Arial"/>
                <w:color w:val="000000"/>
                <w:sz w:val="18"/>
                <w:szCs w:val="18"/>
              </w:rPr>
            </w:pPr>
            <w:r w:rsidRPr="00734FEA">
              <w:rPr>
                <w:rFonts w:cs="Arial"/>
                <w:color w:val="000000"/>
                <w:sz w:val="18"/>
                <w:szCs w:val="18"/>
              </w:rPr>
              <w:t>165 876</w:t>
            </w:r>
          </w:p>
        </w:tc>
        <w:tc>
          <w:tcPr>
            <w:tcW w:w="868" w:type="dxa"/>
            <w:vAlign w:val="bottom"/>
          </w:tcPr>
          <w:p w14:paraId="20494058" w14:textId="72E85142" w:rsidR="00734FEA" w:rsidRPr="00734FEA" w:rsidRDefault="00734FEA" w:rsidP="00734FEA">
            <w:pPr>
              <w:contextualSpacing/>
              <w:jc w:val="right"/>
              <w:rPr>
                <w:rFonts w:cs="Arial"/>
                <w:color w:val="000000"/>
                <w:sz w:val="18"/>
                <w:szCs w:val="18"/>
              </w:rPr>
            </w:pPr>
            <w:r w:rsidRPr="00734FEA">
              <w:rPr>
                <w:rFonts w:cs="Arial"/>
                <w:color w:val="000000"/>
                <w:sz w:val="18"/>
                <w:szCs w:val="18"/>
              </w:rPr>
              <w:t>168</w:t>
            </w:r>
            <w:r>
              <w:rPr>
                <w:rFonts w:cs="Arial"/>
                <w:color w:val="000000"/>
                <w:sz w:val="18"/>
                <w:szCs w:val="18"/>
              </w:rPr>
              <w:t xml:space="preserve"> </w:t>
            </w:r>
            <w:r w:rsidRPr="00734FEA">
              <w:rPr>
                <w:rFonts w:cs="Arial"/>
                <w:color w:val="000000"/>
                <w:sz w:val="18"/>
                <w:szCs w:val="18"/>
              </w:rPr>
              <w:t>895</w:t>
            </w:r>
          </w:p>
        </w:tc>
      </w:tr>
      <w:tr w:rsidR="00734FEA" w:rsidRPr="00734FEA" w14:paraId="3C646DDC" w14:textId="176ECA1E" w:rsidTr="00994710">
        <w:trPr>
          <w:trHeight w:val="227"/>
        </w:trPr>
        <w:tc>
          <w:tcPr>
            <w:tcW w:w="1171" w:type="dxa"/>
            <w:shd w:val="clear" w:color="auto" w:fill="BFBFBF"/>
            <w:vAlign w:val="center"/>
            <w:hideMark/>
          </w:tcPr>
          <w:p w14:paraId="18A55A5F" w14:textId="77777777" w:rsidR="00734FEA" w:rsidRPr="00734FEA" w:rsidRDefault="00734FEA" w:rsidP="00734FEA">
            <w:pPr>
              <w:contextualSpacing/>
              <w:rPr>
                <w:rFonts w:cs="Arial"/>
                <w:b/>
                <w:sz w:val="18"/>
                <w:szCs w:val="18"/>
              </w:rPr>
            </w:pPr>
            <w:r w:rsidRPr="00734FEA">
              <w:rPr>
                <w:rFonts w:cs="Arial"/>
                <w:b/>
                <w:sz w:val="18"/>
                <w:szCs w:val="18"/>
              </w:rPr>
              <w:t>Odry</w:t>
            </w:r>
          </w:p>
        </w:tc>
        <w:tc>
          <w:tcPr>
            <w:tcW w:w="906" w:type="dxa"/>
            <w:vAlign w:val="center"/>
          </w:tcPr>
          <w:p w14:paraId="1A88B7B8" w14:textId="1F8525F6" w:rsidR="00734FEA" w:rsidRPr="00734FEA" w:rsidRDefault="00734FEA" w:rsidP="00734FEA">
            <w:pPr>
              <w:ind w:firstLineChars="100" w:firstLine="180"/>
              <w:contextualSpacing/>
              <w:jc w:val="right"/>
              <w:rPr>
                <w:rFonts w:cs="Arial"/>
                <w:sz w:val="18"/>
                <w:szCs w:val="18"/>
              </w:rPr>
            </w:pPr>
            <w:r w:rsidRPr="00734FEA">
              <w:rPr>
                <w:rFonts w:cs="Arial"/>
                <w:sz w:val="18"/>
                <w:szCs w:val="18"/>
              </w:rPr>
              <w:t>41 191</w:t>
            </w:r>
          </w:p>
        </w:tc>
        <w:tc>
          <w:tcPr>
            <w:tcW w:w="904" w:type="dxa"/>
            <w:vAlign w:val="center"/>
          </w:tcPr>
          <w:p w14:paraId="09FCD315" w14:textId="520E098F" w:rsidR="00734FEA" w:rsidRPr="00734FEA" w:rsidRDefault="00734FEA" w:rsidP="00734FEA">
            <w:pPr>
              <w:ind w:firstLineChars="100" w:firstLine="180"/>
              <w:contextualSpacing/>
              <w:jc w:val="right"/>
              <w:rPr>
                <w:rFonts w:cs="Arial"/>
                <w:sz w:val="18"/>
                <w:szCs w:val="18"/>
              </w:rPr>
            </w:pPr>
            <w:r w:rsidRPr="00734FEA">
              <w:rPr>
                <w:rFonts w:cs="Arial"/>
                <w:sz w:val="18"/>
                <w:szCs w:val="18"/>
              </w:rPr>
              <w:t>49 013</w:t>
            </w:r>
          </w:p>
        </w:tc>
        <w:tc>
          <w:tcPr>
            <w:tcW w:w="904" w:type="dxa"/>
            <w:vAlign w:val="center"/>
          </w:tcPr>
          <w:p w14:paraId="433A79D0" w14:textId="7F919FD1" w:rsidR="00734FEA" w:rsidRPr="00734FEA" w:rsidRDefault="00734FEA" w:rsidP="00734FEA">
            <w:pPr>
              <w:ind w:firstLineChars="100" w:firstLine="180"/>
              <w:contextualSpacing/>
              <w:jc w:val="right"/>
              <w:rPr>
                <w:rFonts w:cs="Arial"/>
                <w:sz w:val="18"/>
                <w:szCs w:val="18"/>
              </w:rPr>
            </w:pPr>
            <w:r w:rsidRPr="00734FEA">
              <w:rPr>
                <w:rFonts w:cs="Arial"/>
                <w:sz w:val="18"/>
                <w:szCs w:val="18"/>
              </w:rPr>
              <w:t>61 595</w:t>
            </w:r>
          </w:p>
        </w:tc>
        <w:tc>
          <w:tcPr>
            <w:tcW w:w="905" w:type="dxa"/>
            <w:vAlign w:val="bottom"/>
          </w:tcPr>
          <w:p w14:paraId="355FE858" w14:textId="10AD1236" w:rsidR="00734FEA" w:rsidRPr="00734FEA" w:rsidRDefault="00734FEA" w:rsidP="00734FEA">
            <w:pPr>
              <w:ind w:firstLineChars="100" w:firstLine="180"/>
              <w:contextualSpacing/>
              <w:jc w:val="right"/>
              <w:rPr>
                <w:rFonts w:cs="Arial"/>
                <w:sz w:val="18"/>
                <w:szCs w:val="18"/>
              </w:rPr>
            </w:pPr>
            <w:r w:rsidRPr="00734FEA">
              <w:rPr>
                <w:rFonts w:cs="Arial"/>
                <w:sz w:val="18"/>
                <w:szCs w:val="18"/>
              </w:rPr>
              <w:t>45 375</w:t>
            </w:r>
          </w:p>
        </w:tc>
        <w:tc>
          <w:tcPr>
            <w:tcW w:w="877" w:type="dxa"/>
            <w:vAlign w:val="bottom"/>
          </w:tcPr>
          <w:p w14:paraId="3B615242" w14:textId="5AA049B4" w:rsidR="00734FEA" w:rsidRPr="00734FEA" w:rsidRDefault="00734FEA" w:rsidP="00734FEA">
            <w:pPr>
              <w:contextualSpacing/>
              <w:jc w:val="right"/>
              <w:rPr>
                <w:rFonts w:cs="Arial"/>
                <w:sz w:val="18"/>
                <w:szCs w:val="18"/>
              </w:rPr>
            </w:pPr>
            <w:r w:rsidRPr="00734FEA">
              <w:rPr>
                <w:rFonts w:cs="Arial"/>
                <w:sz w:val="18"/>
                <w:szCs w:val="18"/>
              </w:rPr>
              <w:t>34 989</w:t>
            </w:r>
          </w:p>
        </w:tc>
        <w:tc>
          <w:tcPr>
            <w:tcW w:w="789" w:type="dxa"/>
            <w:vAlign w:val="bottom"/>
          </w:tcPr>
          <w:p w14:paraId="1F9D8319" w14:textId="52385F0C" w:rsidR="00734FEA" w:rsidRPr="00734FEA" w:rsidRDefault="00734FEA" w:rsidP="00734FEA">
            <w:pPr>
              <w:contextualSpacing/>
              <w:jc w:val="right"/>
              <w:rPr>
                <w:rFonts w:cs="Arial"/>
                <w:sz w:val="18"/>
                <w:szCs w:val="18"/>
              </w:rPr>
            </w:pPr>
            <w:r w:rsidRPr="00734FEA">
              <w:rPr>
                <w:rFonts w:cs="Arial"/>
                <w:sz w:val="18"/>
                <w:szCs w:val="18"/>
              </w:rPr>
              <w:t>40 101</w:t>
            </w:r>
          </w:p>
        </w:tc>
        <w:tc>
          <w:tcPr>
            <w:tcW w:w="751" w:type="dxa"/>
            <w:vAlign w:val="bottom"/>
          </w:tcPr>
          <w:p w14:paraId="78BB16BE" w14:textId="74A6866A" w:rsidR="00734FEA" w:rsidRPr="00734FEA" w:rsidRDefault="00734FEA" w:rsidP="00734FEA">
            <w:pPr>
              <w:contextualSpacing/>
              <w:jc w:val="right"/>
              <w:rPr>
                <w:rFonts w:cs="Arial"/>
                <w:sz w:val="18"/>
                <w:szCs w:val="18"/>
              </w:rPr>
            </w:pPr>
            <w:r w:rsidRPr="00734FEA">
              <w:rPr>
                <w:rFonts w:cs="Arial"/>
                <w:sz w:val="18"/>
                <w:szCs w:val="18"/>
              </w:rPr>
              <w:t>58 640</w:t>
            </w:r>
          </w:p>
        </w:tc>
        <w:tc>
          <w:tcPr>
            <w:tcW w:w="847" w:type="dxa"/>
            <w:vAlign w:val="bottom"/>
          </w:tcPr>
          <w:p w14:paraId="2DE69317" w14:textId="3F2DE0E6" w:rsidR="00734FEA" w:rsidRPr="00734FEA" w:rsidRDefault="00734FEA" w:rsidP="00734FEA">
            <w:pPr>
              <w:contextualSpacing/>
              <w:jc w:val="right"/>
              <w:rPr>
                <w:rFonts w:cs="Arial"/>
                <w:sz w:val="18"/>
                <w:szCs w:val="18"/>
              </w:rPr>
            </w:pPr>
            <w:r w:rsidRPr="00734FEA">
              <w:rPr>
                <w:rFonts w:cs="Arial"/>
                <w:color w:val="000000"/>
                <w:sz w:val="18"/>
                <w:szCs w:val="18"/>
              </w:rPr>
              <w:t>71 330</w:t>
            </w:r>
          </w:p>
        </w:tc>
        <w:tc>
          <w:tcPr>
            <w:tcW w:w="799" w:type="dxa"/>
            <w:vAlign w:val="bottom"/>
          </w:tcPr>
          <w:p w14:paraId="5DF00379" w14:textId="53DD2D71" w:rsidR="00734FEA" w:rsidRPr="00734FEA" w:rsidRDefault="00734FEA" w:rsidP="00734FEA">
            <w:pPr>
              <w:contextualSpacing/>
              <w:jc w:val="right"/>
              <w:rPr>
                <w:rFonts w:cs="Arial"/>
                <w:color w:val="000000"/>
                <w:sz w:val="18"/>
                <w:szCs w:val="18"/>
              </w:rPr>
            </w:pPr>
            <w:r w:rsidRPr="00734FEA">
              <w:rPr>
                <w:rFonts w:cs="Arial"/>
                <w:color w:val="000000"/>
                <w:sz w:val="18"/>
                <w:szCs w:val="18"/>
              </w:rPr>
              <w:t>198 278</w:t>
            </w:r>
          </w:p>
        </w:tc>
        <w:tc>
          <w:tcPr>
            <w:tcW w:w="868" w:type="dxa"/>
            <w:vAlign w:val="bottom"/>
          </w:tcPr>
          <w:p w14:paraId="104CB0DA" w14:textId="55824F02" w:rsidR="00734FEA" w:rsidRPr="00734FEA" w:rsidRDefault="00734FEA" w:rsidP="00734FEA">
            <w:pPr>
              <w:contextualSpacing/>
              <w:jc w:val="right"/>
              <w:rPr>
                <w:rFonts w:cs="Arial"/>
                <w:color w:val="000000"/>
                <w:sz w:val="18"/>
                <w:szCs w:val="18"/>
              </w:rPr>
            </w:pPr>
            <w:r w:rsidRPr="00734FEA">
              <w:rPr>
                <w:rFonts w:cs="Arial"/>
                <w:color w:val="000000"/>
                <w:sz w:val="18"/>
                <w:szCs w:val="18"/>
              </w:rPr>
              <w:t>77</w:t>
            </w:r>
            <w:r>
              <w:rPr>
                <w:rFonts w:cs="Arial"/>
                <w:color w:val="000000"/>
                <w:sz w:val="18"/>
                <w:szCs w:val="18"/>
              </w:rPr>
              <w:t xml:space="preserve"> </w:t>
            </w:r>
            <w:r w:rsidRPr="00734FEA">
              <w:rPr>
                <w:rFonts w:cs="Arial"/>
                <w:color w:val="000000"/>
                <w:sz w:val="18"/>
                <w:szCs w:val="18"/>
              </w:rPr>
              <w:t>296</w:t>
            </w:r>
          </w:p>
        </w:tc>
      </w:tr>
      <w:tr w:rsidR="00734FEA" w:rsidRPr="00734FEA" w14:paraId="6B857079" w14:textId="2BFE2E87" w:rsidTr="00994710">
        <w:trPr>
          <w:trHeight w:val="227"/>
        </w:trPr>
        <w:tc>
          <w:tcPr>
            <w:tcW w:w="1171" w:type="dxa"/>
            <w:shd w:val="clear" w:color="auto" w:fill="BFBFBF"/>
            <w:vAlign w:val="center"/>
            <w:hideMark/>
          </w:tcPr>
          <w:p w14:paraId="73D76E0E" w14:textId="77777777" w:rsidR="00734FEA" w:rsidRPr="00734FEA" w:rsidRDefault="00734FEA" w:rsidP="00734FEA">
            <w:pPr>
              <w:contextualSpacing/>
              <w:rPr>
                <w:rFonts w:cs="Arial"/>
                <w:b/>
                <w:sz w:val="18"/>
                <w:szCs w:val="18"/>
              </w:rPr>
            </w:pPr>
            <w:r w:rsidRPr="00734FEA">
              <w:rPr>
                <w:rFonts w:cs="Arial"/>
                <w:b/>
                <w:sz w:val="18"/>
                <w:szCs w:val="18"/>
              </w:rPr>
              <w:t xml:space="preserve">Moravy </w:t>
            </w:r>
          </w:p>
        </w:tc>
        <w:tc>
          <w:tcPr>
            <w:tcW w:w="906" w:type="dxa"/>
            <w:vAlign w:val="center"/>
          </w:tcPr>
          <w:p w14:paraId="2AA606D3" w14:textId="2B420640" w:rsidR="00734FEA" w:rsidRPr="00734FEA" w:rsidRDefault="00734FEA" w:rsidP="00734FEA">
            <w:pPr>
              <w:ind w:firstLineChars="100" w:firstLine="180"/>
              <w:contextualSpacing/>
              <w:jc w:val="right"/>
              <w:rPr>
                <w:rFonts w:cs="Arial"/>
                <w:sz w:val="18"/>
                <w:szCs w:val="18"/>
              </w:rPr>
            </w:pPr>
            <w:r w:rsidRPr="00734FEA">
              <w:rPr>
                <w:rFonts w:cs="Arial"/>
                <w:sz w:val="18"/>
                <w:szCs w:val="18"/>
              </w:rPr>
              <w:t>56 462</w:t>
            </w:r>
          </w:p>
        </w:tc>
        <w:tc>
          <w:tcPr>
            <w:tcW w:w="904" w:type="dxa"/>
            <w:vAlign w:val="center"/>
          </w:tcPr>
          <w:p w14:paraId="3E608A52" w14:textId="1EF68F35" w:rsidR="00734FEA" w:rsidRPr="00734FEA" w:rsidRDefault="00734FEA" w:rsidP="00734FEA">
            <w:pPr>
              <w:ind w:firstLineChars="100" w:firstLine="180"/>
              <w:contextualSpacing/>
              <w:jc w:val="right"/>
              <w:rPr>
                <w:rFonts w:cs="Arial"/>
                <w:sz w:val="18"/>
                <w:szCs w:val="18"/>
              </w:rPr>
            </w:pPr>
            <w:r w:rsidRPr="00734FEA">
              <w:rPr>
                <w:rFonts w:cs="Arial"/>
                <w:sz w:val="18"/>
                <w:szCs w:val="18"/>
              </w:rPr>
              <w:t>48 295</w:t>
            </w:r>
          </w:p>
        </w:tc>
        <w:tc>
          <w:tcPr>
            <w:tcW w:w="904" w:type="dxa"/>
            <w:vAlign w:val="center"/>
          </w:tcPr>
          <w:p w14:paraId="18A73213" w14:textId="73E0A271" w:rsidR="00734FEA" w:rsidRPr="00734FEA" w:rsidRDefault="00734FEA" w:rsidP="00734FEA">
            <w:pPr>
              <w:ind w:firstLineChars="100" w:firstLine="180"/>
              <w:contextualSpacing/>
              <w:jc w:val="right"/>
              <w:rPr>
                <w:rFonts w:cs="Arial"/>
                <w:sz w:val="18"/>
                <w:szCs w:val="18"/>
              </w:rPr>
            </w:pPr>
            <w:r w:rsidRPr="00734FEA">
              <w:rPr>
                <w:rFonts w:cs="Arial"/>
                <w:sz w:val="18"/>
                <w:szCs w:val="18"/>
              </w:rPr>
              <w:t>130 084</w:t>
            </w:r>
          </w:p>
        </w:tc>
        <w:tc>
          <w:tcPr>
            <w:tcW w:w="905" w:type="dxa"/>
            <w:vAlign w:val="bottom"/>
          </w:tcPr>
          <w:p w14:paraId="6138C4EA" w14:textId="0BC4C01E" w:rsidR="00734FEA" w:rsidRPr="00734FEA" w:rsidRDefault="00734FEA" w:rsidP="00734FEA">
            <w:pPr>
              <w:ind w:firstLineChars="100" w:firstLine="180"/>
              <w:contextualSpacing/>
              <w:jc w:val="right"/>
              <w:rPr>
                <w:rFonts w:cs="Arial"/>
                <w:sz w:val="18"/>
                <w:szCs w:val="18"/>
              </w:rPr>
            </w:pPr>
            <w:r w:rsidRPr="00734FEA">
              <w:rPr>
                <w:rFonts w:cs="Arial"/>
                <w:sz w:val="18"/>
                <w:szCs w:val="18"/>
              </w:rPr>
              <w:t>61 124</w:t>
            </w:r>
          </w:p>
        </w:tc>
        <w:tc>
          <w:tcPr>
            <w:tcW w:w="877" w:type="dxa"/>
            <w:vAlign w:val="bottom"/>
          </w:tcPr>
          <w:p w14:paraId="59E71FD2" w14:textId="160AE424" w:rsidR="00734FEA" w:rsidRPr="00734FEA" w:rsidRDefault="00734FEA" w:rsidP="00734FEA">
            <w:pPr>
              <w:contextualSpacing/>
              <w:jc w:val="right"/>
              <w:rPr>
                <w:rFonts w:cs="Arial"/>
                <w:sz w:val="18"/>
                <w:szCs w:val="18"/>
              </w:rPr>
            </w:pPr>
            <w:r w:rsidRPr="00734FEA">
              <w:rPr>
                <w:rFonts w:cs="Arial"/>
                <w:sz w:val="18"/>
                <w:szCs w:val="18"/>
              </w:rPr>
              <w:t>52 585</w:t>
            </w:r>
          </w:p>
        </w:tc>
        <w:tc>
          <w:tcPr>
            <w:tcW w:w="789" w:type="dxa"/>
            <w:vAlign w:val="bottom"/>
          </w:tcPr>
          <w:p w14:paraId="12BC9AD3" w14:textId="3ADEF71F" w:rsidR="00734FEA" w:rsidRPr="00734FEA" w:rsidRDefault="00734FEA" w:rsidP="00734FEA">
            <w:pPr>
              <w:contextualSpacing/>
              <w:jc w:val="right"/>
              <w:rPr>
                <w:rFonts w:cs="Arial"/>
                <w:sz w:val="18"/>
                <w:szCs w:val="18"/>
              </w:rPr>
            </w:pPr>
            <w:r w:rsidRPr="00734FEA">
              <w:rPr>
                <w:rFonts w:cs="Arial"/>
                <w:sz w:val="18"/>
                <w:szCs w:val="18"/>
              </w:rPr>
              <w:t>84 013</w:t>
            </w:r>
          </w:p>
        </w:tc>
        <w:tc>
          <w:tcPr>
            <w:tcW w:w="751" w:type="dxa"/>
            <w:vAlign w:val="bottom"/>
          </w:tcPr>
          <w:p w14:paraId="688C5AD4" w14:textId="337F85EC" w:rsidR="00734FEA" w:rsidRPr="00734FEA" w:rsidRDefault="00734FEA" w:rsidP="00734FEA">
            <w:pPr>
              <w:contextualSpacing/>
              <w:jc w:val="right"/>
              <w:rPr>
                <w:rFonts w:cs="Arial"/>
                <w:sz w:val="18"/>
                <w:szCs w:val="18"/>
              </w:rPr>
            </w:pPr>
            <w:r w:rsidRPr="00734FEA">
              <w:rPr>
                <w:rFonts w:cs="Arial"/>
                <w:sz w:val="18"/>
                <w:szCs w:val="18"/>
              </w:rPr>
              <w:t>30 286</w:t>
            </w:r>
          </w:p>
        </w:tc>
        <w:tc>
          <w:tcPr>
            <w:tcW w:w="847" w:type="dxa"/>
            <w:vAlign w:val="bottom"/>
          </w:tcPr>
          <w:p w14:paraId="4CCFB739" w14:textId="5E19AE65" w:rsidR="00734FEA" w:rsidRPr="00734FEA" w:rsidRDefault="00734FEA" w:rsidP="00734FEA">
            <w:pPr>
              <w:contextualSpacing/>
              <w:jc w:val="right"/>
              <w:rPr>
                <w:rFonts w:cs="Arial"/>
                <w:sz w:val="18"/>
                <w:szCs w:val="18"/>
              </w:rPr>
            </w:pPr>
            <w:r w:rsidRPr="00734FEA">
              <w:rPr>
                <w:rFonts w:cs="Arial"/>
                <w:color w:val="000000"/>
                <w:sz w:val="18"/>
                <w:szCs w:val="18"/>
              </w:rPr>
              <w:t>136 167</w:t>
            </w:r>
          </w:p>
        </w:tc>
        <w:tc>
          <w:tcPr>
            <w:tcW w:w="799" w:type="dxa"/>
            <w:vAlign w:val="bottom"/>
          </w:tcPr>
          <w:p w14:paraId="7DACCB7B" w14:textId="67252E7A" w:rsidR="00734FEA" w:rsidRPr="00734FEA" w:rsidRDefault="00734FEA" w:rsidP="00734FEA">
            <w:pPr>
              <w:contextualSpacing/>
              <w:jc w:val="right"/>
              <w:rPr>
                <w:rFonts w:cs="Arial"/>
                <w:color w:val="000000"/>
                <w:sz w:val="18"/>
                <w:szCs w:val="18"/>
              </w:rPr>
            </w:pPr>
            <w:r w:rsidRPr="00734FEA">
              <w:rPr>
                <w:rFonts w:cs="Arial"/>
                <w:color w:val="000000"/>
                <w:sz w:val="18"/>
                <w:szCs w:val="18"/>
              </w:rPr>
              <w:t>115 840</w:t>
            </w:r>
          </w:p>
        </w:tc>
        <w:tc>
          <w:tcPr>
            <w:tcW w:w="868" w:type="dxa"/>
            <w:vAlign w:val="bottom"/>
          </w:tcPr>
          <w:p w14:paraId="514BC14A" w14:textId="031DDE37" w:rsidR="00734FEA" w:rsidRPr="00734FEA" w:rsidRDefault="00734FEA" w:rsidP="00734FEA">
            <w:pPr>
              <w:contextualSpacing/>
              <w:jc w:val="right"/>
              <w:rPr>
                <w:rFonts w:cs="Arial"/>
                <w:color w:val="000000"/>
                <w:sz w:val="18"/>
                <w:szCs w:val="18"/>
              </w:rPr>
            </w:pPr>
            <w:r w:rsidRPr="00734FEA">
              <w:rPr>
                <w:rFonts w:cs="Arial"/>
                <w:color w:val="000000"/>
                <w:sz w:val="18"/>
                <w:szCs w:val="18"/>
              </w:rPr>
              <w:t>129</w:t>
            </w:r>
            <w:r>
              <w:rPr>
                <w:rFonts w:cs="Arial"/>
                <w:color w:val="000000"/>
                <w:sz w:val="18"/>
                <w:szCs w:val="18"/>
              </w:rPr>
              <w:t xml:space="preserve"> </w:t>
            </w:r>
            <w:r w:rsidRPr="00734FEA">
              <w:rPr>
                <w:rFonts w:cs="Arial"/>
                <w:color w:val="000000"/>
                <w:sz w:val="18"/>
                <w:szCs w:val="18"/>
              </w:rPr>
              <w:t>234</w:t>
            </w:r>
          </w:p>
        </w:tc>
      </w:tr>
      <w:tr w:rsidR="00734FEA" w:rsidRPr="00734FEA" w14:paraId="5B8E3712" w14:textId="4D46A80F" w:rsidTr="00994710">
        <w:trPr>
          <w:trHeight w:val="227"/>
        </w:trPr>
        <w:tc>
          <w:tcPr>
            <w:tcW w:w="1171" w:type="dxa"/>
            <w:shd w:val="clear" w:color="auto" w:fill="BFBFBF"/>
            <w:vAlign w:val="center"/>
            <w:hideMark/>
          </w:tcPr>
          <w:p w14:paraId="7938BCA7" w14:textId="77777777" w:rsidR="00734FEA" w:rsidRPr="00734FEA" w:rsidRDefault="00734FEA" w:rsidP="00734FEA">
            <w:pPr>
              <w:contextualSpacing/>
              <w:rPr>
                <w:rFonts w:cs="Arial"/>
                <w:b/>
                <w:bCs/>
                <w:sz w:val="18"/>
                <w:szCs w:val="18"/>
              </w:rPr>
            </w:pPr>
            <w:r w:rsidRPr="00734FEA">
              <w:rPr>
                <w:rFonts w:cs="Arial"/>
                <w:b/>
                <w:bCs/>
                <w:sz w:val="18"/>
                <w:szCs w:val="18"/>
              </w:rPr>
              <w:t xml:space="preserve">Celkem </w:t>
            </w:r>
          </w:p>
        </w:tc>
        <w:tc>
          <w:tcPr>
            <w:tcW w:w="906" w:type="dxa"/>
            <w:shd w:val="clear" w:color="auto" w:fill="BFBFBF"/>
            <w:vAlign w:val="center"/>
          </w:tcPr>
          <w:p w14:paraId="10AA45B0" w14:textId="243B70F4" w:rsidR="00734FEA" w:rsidRPr="00734FEA" w:rsidRDefault="00734FEA" w:rsidP="00734FEA">
            <w:pPr>
              <w:ind w:firstLineChars="100" w:firstLine="181"/>
              <w:contextualSpacing/>
              <w:jc w:val="right"/>
              <w:rPr>
                <w:rFonts w:cs="Arial"/>
                <w:b/>
                <w:bCs/>
                <w:sz w:val="18"/>
                <w:szCs w:val="18"/>
              </w:rPr>
            </w:pPr>
            <w:r w:rsidRPr="00734FEA">
              <w:rPr>
                <w:rFonts w:cs="Arial"/>
                <w:b/>
                <w:bCs/>
                <w:sz w:val="18"/>
                <w:szCs w:val="18"/>
              </w:rPr>
              <w:t>318 152</w:t>
            </w:r>
          </w:p>
        </w:tc>
        <w:tc>
          <w:tcPr>
            <w:tcW w:w="904" w:type="dxa"/>
            <w:shd w:val="clear" w:color="auto" w:fill="BFBFBF"/>
            <w:vAlign w:val="center"/>
          </w:tcPr>
          <w:p w14:paraId="6F401D84" w14:textId="1768F6F7" w:rsidR="00734FEA" w:rsidRPr="00734FEA" w:rsidRDefault="00734FEA" w:rsidP="00734FEA">
            <w:pPr>
              <w:ind w:firstLineChars="100" w:firstLine="181"/>
              <w:contextualSpacing/>
              <w:jc w:val="right"/>
              <w:rPr>
                <w:rFonts w:cs="Arial"/>
                <w:b/>
                <w:bCs/>
                <w:sz w:val="18"/>
                <w:szCs w:val="18"/>
              </w:rPr>
            </w:pPr>
            <w:r w:rsidRPr="00734FEA">
              <w:rPr>
                <w:rFonts w:cs="Arial"/>
                <w:b/>
                <w:bCs/>
                <w:sz w:val="18"/>
                <w:szCs w:val="18"/>
              </w:rPr>
              <w:t>410 473</w:t>
            </w:r>
          </w:p>
        </w:tc>
        <w:tc>
          <w:tcPr>
            <w:tcW w:w="904" w:type="dxa"/>
            <w:shd w:val="clear" w:color="auto" w:fill="BFBFBF"/>
            <w:vAlign w:val="center"/>
          </w:tcPr>
          <w:p w14:paraId="09B95415" w14:textId="30D72FA8" w:rsidR="00734FEA" w:rsidRPr="00734FEA" w:rsidRDefault="00734FEA" w:rsidP="00734FEA">
            <w:pPr>
              <w:ind w:firstLineChars="100" w:firstLine="181"/>
              <w:contextualSpacing/>
              <w:jc w:val="right"/>
              <w:rPr>
                <w:rFonts w:cs="Arial"/>
                <w:b/>
                <w:bCs/>
                <w:sz w:val="18"/>
                <w:szCs w:val="18"/>
              </w:rPr>
            </w:pPr>
            <w:r w:rsidRPr="00734FEA">
              <w:rPr>
                <w:rFonts w:cs="Arial"/>
                <w:b/>
                <w:bCs/>
                <w:sz w:val="18"/>
                <w:szCs w:val="18"/>
              </w:rPr>
              <w:t>511 528</w:t>
            </w:r>
          </w:p>
        </w:tc>
        <w:tc>
          <w:tcPr>
            <w:tcW w:w="905" w:type="dxa"/>
            <w:shd w:val="clear" w:color="auto" w:fill="BFBFBF"/>
            <w:vAlign w:val="center"/>
          </w:tcPr>
          <w:p w14:paraId="25DB5850" w14:textId="4A4C1646" w:rsidR="00734FEA" w:rsidRPr="00734FEA" w:rsidRDefault="00734FEA" w:rsidP="00734FEA">
            <w:pPr>
              <w:ind w:firstLineChars="100" w:firstLine="181"/>
              <w:contextualSpacing/>
              <w:jc w:val="right"/>
              <w:rPr>
                <w:rFonts w:cs="Arial"/>
                <w:b/>
                <w:bCs/>
                <w:sz w:val="18"/>
                <w:szCs w:val="18"/>
              </w:rPr>
            </w:pPr>
            <w:r w:rsidRPr="00734FEA">
              <w:rPr>
                <w:rFonts w:cs="Arial"/>
                <w:b/>
                <w:bCs/>
                <w:sz w:val="18"/>
                <w:szCs w:val="18"/>
              </w:rPr>
              <w:t>397 640</w:t>
            </w:r>
          </w:p>
        </w:tc>
        <w:tc>
          <w:tcPr>
            <w:tcW w:w="877" w:type="dxa"/>
            <w:shd w:val="clear" w:color="auto" w:fill="BFBFBF"/>
            <w:vAlign w:val="center"/>
          </w:tcPr>
          <w:p w14:paraId="6AD7AEC1" w14:textId="63FF57E4" w:rsidR="00734FEA" w:rsidRPr="00734FEA" w:rsidRDefault="00734FEA" w:rsidP="00734FEA">
            <w:pPr>
              <w:contextualSpacing/>
              <w:jc w:val="right"/>
              <w:rPr>
                <w:rFonts w:cs="Arial"/>
                <w:b/>
                <w:bCs/>
                <w:sz w:val="18"/>
                <w:szCs w:val="18"/>
              </w:rPr>
            </w:pPr>
            <w:r w:rsidRPr="00734FEA">
              <w:rPr>
                <w:rFonts w:cs="Arial"/>
                <w:b/>
                <w:bCs/>
                <w:sz w:val="18"/>
                <w:szCs w:val="18"/>
              </w:rPr>
              <w:t>365 604</w:t>
            </w:r>
          </w:p>
        </w:tc>
        <w:tc>
          <w:tcPr>
            <w:tcW w:w="789" w:type="dxa"/>
            <w:shd w:val="clear" w:color="auto" w:fill="BFBFBF"/>
            <w:vAlign w:val="center"/>
          </w:tcPr>
          <w:p w14:paraId="6F581D11" w14:textId="55DBA536" w:rsidR="00734FEA" w:rsidRPr="00734FEA" w:rsidRDefault="00734FEA" w:rsidP="00734FEA">
            <w:pPr>
              <w:contextualSpacing/>
              <w:jc w:val="right"/>
              <w:rPr>
                <w:rFonts w:cs="Arial"/>
                <w:b/>
                <w:bCs/>
                <w:sz w:val="18"/>
                <w:szCs w:val="18"/>
              </w:rPr>
            </w:pPr>
            <w:r w:rsidRPr="00734FEA">
              <w:rPr>
                <w:rFonts w:cs="Arial"/>
                <w:b/>
                <w:bCs/>
                <w:sz w:val="18"/>
                <w:szCs w:val="18"/>
              </w:rPr>
              <w:t>397 249</w:t>
            </w:r>
          </w:p>
        </w:tc>
        <w:tc>
          <w:tcPr>
            <w:tcW w:w="751" w:type="dxa"/>
            <w:shd w:val="clear" w:color="auto" w:fill="BFBFBF"/>
            <w:vAlign w:val="center"/>
          </w:tcPr>
          <w:p w14:paraId="2260183A" w14:textId="0E19A2E8" w:rsidR="00734FEA" w:rsidRPr="00734FEA" w:rsidRDefault="00734FEA" w:rsidP="00734FEA">
            <w:pPr>
              <w:contextualSpacing/>
              <w:jc w:val="right"/>
              <w:rPr>
                <w:rFonts w:cs="Arial"/>
                <w:b/>
                <w:bCs/>
                <w:sz w:val="18"/>
                <w:szCs w:val="18"/>
              </w:rPr>
            </w:pPr>
            <w:r w:rsidRPr="00734FEA">
              <w:rPr>
                <w:rFonts w:cs="Arial"/>
                <w:b/>
                <w:bCs/>
                <w:sz w:val="18"/>
                <w:szCs w:val="18"/>
              </w:rPr>
              <w:t>641 906</w:t>
            </w:r>
          </w:p>
        </w:tc>
        <w:tc>
          <w:tcPr>
            <w:tcW w:w="847" w:type="dxa"/>
            <w:shd w:val="clear" w:color="auto" w:fill="BFBFBF"/>
            <w:vAlign w:val="center"/>
          </w:tcPr>
          <w:p w14:paraId="52B9E66E" w14:textId="1A44468A" w:rsidR="00734FEA" w:rsidRPr="00734FEA" w:rsidRDefault="00734FEA" w:rsidP="00734FEA">
            <w:pPr>
              <w:contextualSpacing/>
              <w:jc w:val="right"/>
              <w:rPr>
                <w:rFonts w:cs="Arial"/>
                <w:b/>
                <w:bCs/>
                <w:sz w:val="18"/>
                <w:szCs w:val="18"/>
              </w:rPr>
            </w:pPr>
            <w:r w:rsidRPr="00734FEA">
              <w:rPr>
                <w:rFonts w:cs="Arial"/>
                <w:b/>
                <w:bCs/>
                <w:color w:val="000000"/>
                <w:sz w:val="18"/>
                <w:szCs w:val="18"/>
              </w:rPr>
              <w:t>699 968</w:t>
            </w:r>
          </w:p>
        </w:tc>
        <w:tc>
          <w:tcPr>
            <w:tcW w:w="799" w:type="dxa"/>
            <w:shd w:val="clear" w:color="auto" w:fill="BFBFBF"/>
            <w:vAlign w:val="center"/>
          </w:tcPr>
          <w:p w14:paraId="218F3427" w14:textId="0F60D862" w:rsidR="00734FEA" w:rsidRPr="00734FEA" w:rsidRDefault="00734FEA" w:rsidP="00734FEA">
            <w:pPr>
              <w:contextualSpacing/>
              <w:jc w:val="right"/>
              <w:rPr>
                <w:rFonts w:cs="Arial"/>
                <w:b/>
                <w:bCs/>
                <w:color w:val="000000"/>
                <w:sz w:val="18"/>
                <w:szCs w:val="18"/>
              </w:rPr>
            </w:pPr>
            <w:r w:rsidRPr="00734FEA">
              <w:rPr>
                <w:rFonts w:cs="Arial"/>
                <w:b/>
                <w:bCs/>
                <w:color w:val="000000"/>
                <w:sz w:val="18"/>
                <w:szCs w:val="18"/>
              </w:rPr>
              <w:t>824 456</w:t>
            </w:r>
          </w:p>
        </w:tc>
        <w:tc>
          <w:tcPr>
            <w:tcW w:w="868" w:type="dxa"/>
            <w:shd w:val="clear" w:color="auto" w:fill="BFBFBF"/>
            <w:vAlign w:val="center"/>
          </w:tcPr>
          <w:p w14:paraId="2AAA2FFA" w14:textId="132DFC48" w:rsidR="00734FEA" w:rsidRPr="00734FEA" w:rsidRDefault="00734FEA" w:rsidP="00734FEA">
            <w:pPr>
              <w:contextualSpacing/>
              <w:jc w:val="right"/>
              <w:rPr>
                <w:rFonts w:cs="Arial"/>
                <w:b/>
                <w:bCs/>
                <w:color w:val="000000"/>
                <w:sz w:val="18"/>
                <w:szCs w:val="18"/>
              </w:rPr>
            </w:pPr>
            <w:r w:rsidRPr="00734FEA">
              <w:rPr>
                <w:rFonts w:cs="Arial"/>
                <w:b/>
                <w:bCs/>
                <w:color w:val="000000"/>
                <w:sz w:val="18"/>
                <w:szCs w:val="18"/>
              </w:rPr>
              <w:t>748 630</w:t>
            </w:r>
          </w:p>
        </w:tc>
      </w:tr>
    </w:tbl>
    <w:p w14:paraId="79E38ABF" w14:textId="2A177A5E" w:rsidR="00C1173A" w:rsidRPr="00734FEA" w:rsidRDefault="00C1173A" w:rsidP="007C4955">
      <w:pPr>
        <w:contextualSpacing/>
        <w:rPr>
          <w:rFonts w:cs="Arial"/>
          <w:i/>
          <w:sz w:val="20"/>
          <w:szCs w:val="20"/>
        </w:rPr>
      </w:pPr>
      <w:r w:rsidRPr="00734FEA">
        <w:rPr>
          <w:rFonts w:cs="Arial"/>
          <w:i/>
          <w:sz w:val="20"/>
          <w:szCs w:val="20"/>
        </w:rPr>
        <w:t xml:space="preserve">Pramen: </w:t>
      </w:r>
      <w:r w:rsidR="00340859" w:rsidRPr="00734FEA">
        <w:rPr>
          <w:rFonts w:cs="Arial"/>
          <w:i/>
          <w:sz w:val="20"/>
          <w:szCs w:val="20"/>
        </w:rPr>
        <w:t>s</w:t>
      </w:r>
      <w:r w:rsidRPr="00734FEA">
        <w:rPr>
          <w:rFonts w:cs="Arial"/>
          <w:i/>
          <w:sz w:val="20"/>
          <w:szCs w:val="20"/>
        </w:rPr>
        <w:t>. p. Povodí</w:t>
      </w:r>
    </w:p>
    <w:p w14:paraId="15599B3F" w14:textId="5BCE438A" w:rsidR="004E225F" w:rsidRPr="009E7D17" w:rsidRDefault="00FC217A" w:rsidP="00FC217A">
      <w:pPr>
        <w:spacing w:before="240" w:after="240"/>
        <w:rPr>
          <w:rFonts w:cs="Arial"/>
          <w:b/>
        </w:rPr>
      </w:pPr>
      <w:r w:rsidRPr="009E7D17">
        <w:rPr>
          <w:rFonts w:cs="Arial"/>
          <w:b/>
        </w:rPr>
        <w:t>Pro zajištění stěžejních činností</w:t>
      </w:r>
      <w:r w:rsidR="00DB4218" w:rsidRPr="009E7D17">
        <w:rPr>
          <w:rFonts w:cs="Arial"/>
          <w:b/>
        </w:rPr>
        <w:t xml:space="preserve"> státních</w:t>
      </w:r>
      <w:r w:rsidRPr="009E7D17">
        <w:rPr>
          <w:rFonts w:cs="Arial"/>
          <w:b/>
        </w:rPr>
        <w:t xml:space="preserve"> podniků Povodí se pravidelně využívá řada účelových neinvestičních i investičních dotací. Celkový objem poskytnutých dotací v roce 202</w:t>
      </w:r>
      <w:r w:rsidR="00BE65A4" w:rsidRPr="009E7D17">
        <w:rPr>
          <w:rFonts w:cs="Arial"/>
          <w:b/>
        </w:rPr>
        <w:t>5</w:t>
      </w:r>
      <w:r w:rsidRPr="009E7D17">
        <w:rPr>
          <w:rFonts w:cs="Arial"/>
          <w:b/>
        </w:rPr>
        <w:t xml:space="preserve"> oproti předchozímu roku </w:t>
      </w:r>
      <w:r w:rsidR="00503D28" w:rsidRPr="009E7D17">
        <w:rPr>
          <w:rFonts w:cs="Arial"/>
          <w:b/>
        </w:rPr>
        <w:t>vzrostl</w:t>
      </w:r>
      <w:r w:rsidR="00A23C0A" w:rsidRPr="009E7D17">
        <w:rPr>
          <w:rFonts w:cs="Arial"/>
          <w:b/>
        </w:rPr>
        <w:t xml:space="preserve"> </w:t>
      </w:r>
      <w:r w:rsidRPr="009E7D17">
        <w:rPr>
          <w:rFonts w:cs="Arial"/>
          <w:b/>
        </w:rPr>
        <w:t xml:space="preserve">o téměř </w:t>
      </w:r>
      <w:r w:rsidR="005125AC">
        <w:rPr>
          <w:rFonts w:cs="Arial"/>
          <w:b/>
        </w:rPr>
        <w:t>292</w:t>
      </w:r>
      <w:r w:rsidR="00503D28" w:rsidRPr="009E7D17">
        <w:rPr>
          <w:rFonts w:cs="Arial"/>
          <w:b/>
        </w:rPr>
        <w:t xml:space="preserve"> mil. Kč</w:t>
      </w:r>
      <w:r w:rsidRPr="009E7D17">
        <w:rPr>
          <w:rFonts w:cs="Arial"/>
          <w:b/>
        </w:rPr>
        <w:t xml:space="preserve"> na celkových </w:t>
      </w:r>
      <w:r w:rsidR="00C92CEC" w:rsidRPr="00B87DBD">
        <w:rPr>
          <w:rFonts w:cs="Arial"/>
          <w:b/>
        </w:rPr>
        <w:t xml:space="preserve">2,0 </w:t>
      </w:r>
      <w:r w:rsidRPr="00B87DBD">
        <w:rPr>
          <w:rFonts w:cs="Arial"/>
          <w:b/>
        </w:rPr>
        <w:t>mld. Kč.</w:t>
      </w:r>
    </w:p>
    <w:p w14:paraId="2EC2A17E" w14:textId="0A8F26C8" w:rsidR="00FC217A" w:rsidRPr="009E7D17" w:rsidRDefault="00FC217A" w:rsidP="00FC217A">
      <w:pPr>
        <w:spacing w:before="240" w:after="240"/>
        <w:rPr>
          <w:rFonts w:cs="Arial"/>
        </w:rPr>
      </w:pPr>
      <w:r w:rsidRPr="009E7D17">
        <w:rPr>
          <w:rFonts w:cs="Arial"/>
        </w:rPr>
        <w:t xml:space="preserve">Státní dotace jsou nezbytné pro systematickou činnost zajišťující realizaci priorit státu, jako jsou realizace protipovodňových opatření, vymezení záplavových území, zpracování koncepčních studií, odstraňování následků povodní apod. Ve sledovaném roce výrazně </w:t>
      </w:r>
      <w:r w:rsidR="00834462" w:rsidRPr="009E7D17">
        <w:rPr>
          <w:rFonts w:cs="Arial"/>
        </w:rPr>
        <w:t>klesly</w:t>
      </w:r>
      <w:r w:rsidRPr="009E7D17">
        <w:rPr>
          <w:rFonts w:cs="Arial"/>
        </w:rPr>
        <w:t xml:space="preserve"> dotace investiční, které zaznamenaly meziroční </w:t>
      </w:r>
      <w:r w:rsidR="006B7B4D" w:rsidRPr="009E7D17">
        <w:rPr>
          <w:rFonts w:cs="Arial"/>
        </w:rPr>
        <w:t>nárůst</w:t>
      </w:r>
      <w:r w:rsidRPr="009E7D17">
        <w:rPr>
          <w:rFonts w:cs="Arial"/>
        </w:rPr>
        <w:t xml:space="preserve"> </w:t>
      </w:r>
      <w:r w:rsidR="004E225F" w:rsidRPr="009E7D17">
        <w:rPr>
          <w:rFonts w:cs="Arial"/>
        </w:rPr>
        <w:t xml:space="preserve">o téměř </w:t>
      </w:r>
      <w:r w:rsidR="009D0E2C" w:rsidRPr="009E7D17">
        <w:rPr>
          <w:rFonts w:cs="Arial"/>
        </w:rPr>
        <w:t>40</w:t>
      </w:r>
      <w:r w:rsidRPr="009E7D17">
        <w:rPr>
          <w:rFonts w:cs="Arial"/>
        </w:rPr>
        <w:t xml:space="preserve"> % (tj. </w:t>
      </w:r>
      <w:r w:rsidR="009D0E2C" w:rsidRPr="009E7D17">
        <w:rPr>
          <w:rFonts w:cs="Arial"/>
        </w:rPr>
        <w:t>nárůst</w:t>
      </w:r>
      <w:r w:rsidRPr="009E7D17">
        <w:rPr>
          <w:rFonts w:cs="Arial"/>
        </w:rPr>
        <w:t xml:space="preserve"> o </w:t>
      </w:r>
      <w:r w:rsidR="009D0E2C" w:rsidRPr="009E7D17">
        <w:rPr>
          <w:rFonts w:cs="Arial"/>
        </w:rPr>
        <w:t>355</w:t>
      </w:r>
      <w:r w:rsidRPr="009E7D17">
        <w:rPr>
          <w:rFonts w:cs="Arial"/>
        </w:rPr>
        <w:t xml:space="preserve"> mil. Kč), stejně tak </w:t>
      </w:r>
      <w:r w:rsidR="008B0EB8" w:rsidRPr="009E7D17">
        <w:rPr>
          <w:rFonts w:cs="Arial"/>
        </w:rPr>
        <w:t>nárůst</w:t>
      </w:r>
      <w:r w:rsidRPr="009E7D17">
        <w:rPr>
          <w:rFonts w:cs="Arial"/>
        </w:rPr>
        <w:t xml:space="preserve"> </w:t>
      </w:r>
      <w:r w:rsidR="004E225F" w:rsidRPr="009E7D17">
        <w:rPr>
          <w:rFonts w:cs="Arial"/>
        </w:rPr>
        <w:t xml:space="preserve">o </w:t>
      </w:r>
      <w:r w:rsidR="008B0EB8" w:rsidRPr="009E7D17">
        <w:rPr>
          <w:rFonts w:cs="Arial"/>
        </w:rPr>
        <w:t>54</w:t>
      </w:r>
      <w:r w:rsidRPr="009E7D17">
        <w:rPr>
          <w:rFonts w:cs="Arial"/>
        </w:rPr>
        <w:t xml:space="preserve"> % zaznamenaly účelové neinvestiční dotace (</w:t>
      </w:r>
      <w:r w:rsidR="008B0EB8" w:rsidRPr="009E7D17">
        <w:rPr>
          <w:rFonts w:cs="Arial"/>
        </w:rPr>
        <w:t>nárůst</w:t>
      </w:r>
      <w:r w:rsidRPr="009E7D17">
        <w:rPr>
          <w:rFonts w:cs="Arial"/>
        </w:rPr>
        <w:t xml:space="preserve"> o </w:t>
      </w:r>
      <w:r w:rsidR="001D24A1" w:rsidRPr="009E7D17">
        <w:rPr>
          <w:rFonts w:cs="Arial"/>
        </w:rPr>
        <w:t xml:space="preserve">téměř </w:t>
      </w:r>
      <w:r w:rsidR="004E225F" w:rsidRPr="009E7D17">
        <w:rPr>
          <w:rFonts w:cs="Arial"/>
        </w:rPr>
        <w:t>1</w:t>
      </w:r>
      <w:r w:rsidR="008B6B46" w:rsidRPr="009E7D17">
        <w:rPr>
          <w:rFonts w:cs="Arial"/>
        </w:rPr>
        <w:t>66</w:t>
      </w:r>
      <w:r w:rsidRPr="009E7D17">
        <w:rPr>
          <w:rFonts w:cs="Arial"/>
        </w:rPr>
        <w:t xml:space="preserve"> mil. Kč). </w:t>
      </w:r>
    </w:p>
    <w:p w14:paraId="1E5B808D" w14:textId="3F2F82EB" w:rsidR="00BE65A4" w:rsidRPr="0071102A" w:rsidRDefault="00FC217A" w:rsidP="0071102A">
      <w:pPr>
        <w:spacing w:before="240" w:after="240"/>
        <w:rPr>
          <w:rFonts w:cs="Arial"/>
          <w:bCs/>
        </w:rPr>
      </w:pPr>
      <w:r w:rsidRPr="009E7D17">
        <w:rPr>
          <w:rFonts w:cs="Arial"/>
        </w:rPr>
        <w:t xml:space="preserve">Dotace byly přidělovány na programy zaměřené na prevenci i na likvidaci povodňových škod z předchozích let. </w:t>
      </w:r>
      <w:r w:rsidRPr="009E7D17">
        <w:rPr>
          <w:lang w:eastAsia="ja-JP"/>
        </w:rPr>
        <w:t xml:space="preserve">Ve sledovaném roce byly poskytovány dotace z rozpočtu MZe, </w:t>
      </w:r>
      <w:r w:rsidR="00C45A2B" w:rsidRPr="009E7D17">
        <w:rPr>
          <w:lang w:eastAsia="ja-JP"/>
        </w:rPr>
        <w:t xml:space="preserve">a pomocí Fondu soudružnosti (dále jen „FS“) a Evropského fondu pro regionální rozvoj (dále jen „ERDF“) v rámci </w:t>
      </w:r>
      <w:r w:rsidRPr="009E7D17">
        <w:rPr>
          <w:lang w:eastAsia="ja-JP"/>
        </w:rPr>
        <w:t>Operačního programu Životní</w:t>
      </w:r>
      <w:r w:rsidR="00C45A2B" w:rsidRPr="009E7D17">
        <w:rPr>
          <w:lang w:eastAsia="ja-JP"/>
        </w:rPr>
        <w:t>ho</w:t>
      </w:r>
      <w:r w:rsidRPr="009E7D17">
        <w:rPr>
          <w:lang w:eastAsia="ja-JP"/>
        </w:rPr>
        <w:t xml:space="preserve"> prostředí (dále jen „OPŽP“)</w:t>
      </w:r>
      <w:r w:rsidR="00C45A2B" w:rsidRPr="009E7D17">
        <w:rPr>
          <w:lang w:eastAsia="ja-JP"/>
        </w:rPr>
        <w:t>.</w:t>
      </w:r>
      <w:r w:rsidRPr="009E7D17">
        <w:rPr>
          <w:lang w:eastAsia="ja-JP"/>
        </w:rPr>
        <w:t xml:space="preserve"> </w:t>
      </w:r>
      <w:r w:rsidR="00C45A2B" w:rsidRPr="009E7D17">
        <w:rPr>
          <w:lang w:eastAsia="ja-JP"/>
        </w:rPr>
        <w:t>N</w:t>
      </w:r>
      <w:r w:rsidRPr="009E7D17">
        <w:rPr>
          <w:lang w:eastAsia="ja-JP"/>
        </w:rPr>
        <w:t>a protipovodňová opatření přispěly rovněž některé krajské úřady a města</w:t>
      </w:r>
      <w:r w:rsidRPr="009E7D17">
        <w:rPr>
          <w:rFonts w:cs="Arial"/>
          <w:bCs/>
        </w:rPr>
        <w:t xml:space="preserve">.  </w:t>
      </w:r>
    </w:p>
    <w:p w14:paraId="2E9F98CD" w14:textId="6B224FC7" w:rsidR="00C1173A" w:rsidRPr="001E38CA" w:rsidRDefault="00C1173A" w:rsidP="007C4955">
      <w:pPr>
        <w:contextualSpacing/>
        <w:rPr>
          <w:b/>
          <w:i/>
        </w:rPr>
      </w:pPr>
      <w:r w:rsidRPr="001E38CA">
        <w:rPr>
          <w:b/>
          <w:i/>
        </w:rPr>
        <w:t>Graf 6.2.</w:t>
      </w:r>
      <w:r w:rsidR="00120D10" w:rsidRPr="001E38CA">
        <w:rPr>
          <w:b/>
          <w:i/>
        </w:rPr>
        <w:t>5</w:t>
      </w:r>
      <w:r w:rsidRPr="001E38CA">
        <w:rPr>
          <w:b/>
          <w:i/>
        </w:rPr>
        <w:tab/>
        <w:t xml:space="preserve">  </w:t>
      </w:r>
    </w:p>
    <w:p w14:paraId="3BB5AF0A" w14:textId="44869FD7" w:rsidR="00765FA0" w:rsidRPr="001E38CA" w:rsidRDefault="00C1173A" w:rsidP="007C4955">
      <w:pPr>
        <w:contextualSpacing/>
        <w:rPr>
          <w:b/>
          <w:i/>
        </w:rPr>
      </w:pPr>
      <w:r w:rsidRPr="001E38CA">
        <w:rPr>
          <w:b/>
          <w:i/>
        </w:rPr>
        <w:t xml:space="preserve">Dotace čerpané státními podniky Povodí v roce </w:t>
      </w:r>
      <w:r w:rsidR="00765FA0" w:rsidRPr="001E38CA">
        <w:rPr>
          <w:b/>
          <w:i/>
        </w:rPr>
        <w:t>202</w:t>
      </w:r>
      <w:r w:rsidR="001E38CA" w:rsidRPr="001E38CA">
        <w:rPr>
          <w:b/>
          <w:i/>
        </w:rPr>
        <w:t>5</w:t>
      </w:r>
    </w:p>
    <w:p w14:paraId="7D8955F2" w14:textId="26EF3A7F" w:rsidR="00BD5077" w:rsidRPr="001E38CA" w:rsidRDefault="006C4B18" w:rsidP="00BD5077">
      <w:pPr>
        <w:contextualSpacing/>
        <w:rPr>
          <w:b/>
          <w:i/>
          <w:color w:val="FF0000"/>
        </w:rPr>
      </w:pPr>
      <w:r>
        <w:rPr>
          <w:noProof/>
        </w:rPr>
        <w:drawing>
          <wp:inline distT="0" distB="0" distL="0" distR="0" wp14:anchorId="42A3E6F0" wp14:editId="5DF43206">
            <wp:extent cx="4838700" cy="3381375"/>
            <wp:effectExtent l="0" t="0" r="0" b="9525"/>
            <wp:docPr id="2111138000" name="Graf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r w:rsidR="004E225F" w:rsidRPr="001E38CA">
        <w:rPr>
          <w:b/>
          <w:i/>
          <w:color w:val="FF0000"/>
        </w:rPr>
        <w:br w:type="textWrapping" w:clear="all"/>
      </w:r>
      <w:r w:rsidR="00C1173A" w:rsidRPr="001E38CA">
        <w:rPr>
          <w:rFonts w:cs="Arial"/>
          <w:i/>
          <w:sz w:val="20"/>
          <w:szCs w:val="20"/>
        </w:rPr>
        <w:t>Pramen: MZe, s. p. Povodí</w:t>
      </w:r>
    </w:p>
    <w:p w14:paraId="2B8FA27A" w14:textId="77777777" w:rsidR="00BD5077" w:rsidRPr="001E38CA" w:rsidRDefault="00BD5077" w:rsidP="00BD5077">
      <w:pPr>
        <w:contextualSpacing/>
        <w:rPr>
          <w:rFonts w:cs="Arial"/>
          <w:i/>
          <w:sz w:val="20"/>
          <w:szCs w:val="20"/>
        </w:rPr>
      </w:pPr>
    </w:p>
    <w:p w14:paraId="0633DF20" w14:textId="4540F190" w:rsidR="00FC217A" w:rsidRPr="008845E8" w:rsidRDefault="00FC217A" w:rsidP="00BD5077">
      <w:pPr>
        <w:contextualSpacing/>
        <w:rPr>
          <w:rFonts w:cs="Arial"/>
          <w:i/>
          <w:sz w:val="20"/>
          <w:szCs w:val="20"/>
        </w:rPr>
      </w:pPr>
      <w:r w:rsidRPr="008845E8">
        <w:rPr>
          <w:rFonts w:cs="Arial"/>
          <w:b/>
        </w:rPr>
        <w:t>Investice státních podniků Povodí v roce 202</w:t>
      </w:r>
      <w:r w:rsidR="00950E2B" w:rsidRPr="008845E8">
        <w:rPr>
          <w:rFonts w:cs="Arial"/>
          <w:b/>
        </w:rPr>
        <w:t>5</w:t>
      </w:r>
      <w:r w:rsidRPr="008845E8">
        <w:rPr>
          <w:rFonts w:cs="Arial"/>
          <w:b/>
        </w:rPr>
        <w:t xml:space="preserve"> zaznamenaly </w:t>
      </w:r>
      <w:r w:rsidR="00950E2B" w:rsidRPr="008845E8">
        <w:rPr>
          <w:rFonts w:cs="Arial"/>
          <w:b/>
        </w:rPr>
        <w:t>nárůst</w:t>
      </w:r>
      <w:r w:rsidR="00BD5077" w:rsidRPr="008845E8">
        <w:rPr>
          <w:rFonts w:cs="Arial"/>
          <w:b/>
        </w:rPr>
        <w:t xml:space="preserve"> o </w:t>
      </w:r>
      <w:r w:rsidR="00AE4A7F" w:rsidRPr="008845E8">
        <w:rPr>
          <w:rFonts w:cs="Arial"/>
          <w:b/>
        </w:rPr>
        <w:t xml:space="preserve">téměř </w:t>
      </w:r>
      <w:r w:rsidR="00874E7B">
        <w:rPr>
          <w:rFonts w:cs="Arial"/>
          <w:b/>
        </w:rPr>
        <w:t>6</w:t>
      </w:r>
      <w:r w:rsidR="00BD5077" w:rsidRPr="008845E8">
        <w:rPr>
          <w:rFonts w:cs="Arial"/>
          <w:b/>
        </w:rPr>
        <w:t xml:space="preserve"> </w:t>
      </w:r>
      <w:r w:rsidRPr="008845E8">
        <w:rPr>
          <w:rFonts w:cs="Arial"/>
          <w:b/>
        </w:rPr>
        <w:t>%. Na jejich realizaci byly vynaloženy finanční prostředky v celkové výši</w:t>
      </w:r>
      <w:r w:rsidR="002654E8" w:rsidRPr="008845E8">
        <w:rPr>
          <w:rFonts w:cs="Arial"/>
          <w:b/>
        </w:rPr>
        <w:t xml:space="preserve"> </w:t>
      </w:r>
      <w:r w:rsidR="00B95207" w:rsidRPr="008845E8">
        <w:rPr>
          <w:rFonts w:cs="Arial"/>
          <w:b/>
        </w:rPr>
        <w:t xml:space="preserve">téměř </w:t>
      </w:r>
      <w:r w:rsidR="002654E8" w:rsidRPr="008845E8">
        <w:rPr>
          <w:rFonts w:cs="Arial"/>
          <w:b/>
        </w:rPr>
        <w:t>2</w:t>
      </w:r>
      <w:r w:rsidR="00B95207" w:rsidRPr="008845E8">
        <w:rPr>
          <w:rFonts w:cs="Arial"/>
          <w:b/>
        </w:rPr>
        <w:t>,8</w:t>
      </w:r>
      <w:r w:rsidRPr="008845E8">
        <w:rPr>
          <w:rFonts w:cs="Arial"/>
          <w:b/>
        </w:rPr>
        <w:t xml:space="preserve"> mld. Kč, přičemž z cizích zdrojů bylo </w:t>
      </w:r>
      <w:r w:rsidRPr="008845E8">
        <w:rPr>
          <w:rFonts w:cs="Arial"/>
          <w:b/>
          <w:shd w:val="clear" w:color="auto" w:fill="FFFFFF"/>
        </w:rPr>
        <w:t>čerpáno</w:t>
      </w:r>
      <w:r w:rsidRPr="00743AA5">
        <w:rPr>
          <w:rFonts w:cs="Arial"/>
          <w:b/>
          <w:shd w:val="clear" w:color="auto" w:fill="FFFFFF"/>
        </w:rPr>
        <w:t xml:space="preserve"> </w:t>
      </w:r>
      <w:r w:rsidR="00526E23" w:rsidRPr="00743AA5">
        <w:rPr>
          <w:rFonts w:cs="Arial"/>
          <w:b/>
          <w:shd w:val="clear" w:color="auto" w:fill="FFFFFF"/>
        </w:rPr>
        <w:t>5</w:t>
      </w:r>
      <w:r w:rsidR="00B00406" w:rsidRPr="00743AA5">
        <w:rPr>
          <w:rFonts w:cs="Arial"/>
          <w:b/>
          <w:shd w:val="clear" w:color="auto" w:fill="FFFFFF"/>
        </w:rPr>
        <w:t>1</w:t>
      </w:r>
      <w:r w:rsidRPr="00743AA5">
        <w:rPr>
          <w:rFonts w:cs="Arial"/>
          <w:b/>
          <w:shd w:val="clear" w:color="auto" w:fill="FFFFFF"/>
        </w:rPr>
        <w:t xml:space="preserve"> %, z vlastních zdrojů </w:t>
      </w:r>
      <w:r w:rsidR="00BF0E9E" w:rsidRPr="00743AA5">
        <w:rPr>
          <w:rFonts w:cs="Arial"/>
          <w:b/>
          <w:shd w:val="clear" w:color="auto" w:fill="FFFFFF"/>
        </w:rPr>
        <w:t>4</w:t>
      </w:r>
      <w:r w:rsidR="00584FAF" w:rsidRPr="00743AA5">
        <w:rPr>
          <w:rFonts w:cs="Arial"/>
          <w:b/>
          <w:shd w:val="clear" w:color="auto" w:fill="FFFFFF"/>
        </w:rPr>
        <w:t>9</w:t>
      </w:r>
      <w:r w:rsidRPr="00743AA5">
        <w:rPr>
          <w:rFonts w:cs="Arial"/>
          <w:b/>
          <w:shd w:val="clear" w:color="auto" w:fill="FFFFFF"/>
        </w:rPr>
        <w:t xml:space="preserve"> %</w:t>
      </w:r>
      <w:r w:rsidR="00743AA5" w:rsidRPr="00743AA5">
        <w:rPr>
          <w:rFonts w:cs="Arial"/>
          <w:b/>
          <w:shd w:val="clear" w:color="auto" w:fill="FFFFFF"/>
        </w:rPr>
        <w:t>.</w:t>
      </w:r>
      <w:r w:rsidRPr="00743AA5">
        <w:rPr>
          <w:rFonts w:cs="Arial"/>
          <w:b/>
        </w:rPr>
        <w:t xml:space="preserve"> </w:t>
      </w:r>
    </w:p>
    <w:p w14:paraId="1E235CB4" w14:textId="77777777" w:rsidR="00397D7B" w:rsidRPr="00104F7D" w:rsidRDefault="00397D7B" w:rsidP="00D2719A">
      <w:pPr>
        <w:rPr>
          <w:highlight w:val="yellow"/>
        </w:rPr>
      </w:pPr>
    </w:p>
    <w:p w14:paraId="3FCBC254" w14:textId="1B9CAB86" w:rsidR="00F176C1" w:rsidRPr="00236C42" w:rsidRDefault="00C13388" w:rsidP="00D2719A">
      <w:r w:rsidRPr="00236C42">
        <w:t>O</w:t>
      </w:r>
      <w:r w:rsidR="00FC217A" w:rsidRPr="00236C42">
        <w:t>proti roku 202</w:t>
      </w:r>
      <w:r w:rsidR="00B44EF3" w:rsidRPr="00236C42">
        <w:t>4</w:t>
      </w:r>
      <w:r w:rsidR="00FC217A" w:rsidRPr="00236C42">
        <w:t xml:space="preserve"> </w:t>
      </w:r>
      <w:r w:rsidR="000E4B39" w:rsidRPr="00236C42">
        <w:t xml:space="preserve">došlo ke </w:t>
      </w:r>
      <w:r w:rsidR="00E813DB" w:rsidRPr="00236C42">
        <w:t>navýšení</w:t>
      </w:r>
      <w:r w:rsidR="000E4B39" w:rsidRPr="00236C42">
        <w:t xml:space="preserve"> celkových investic s. p. Povodí</w:t>
      </w:r>
      <w:r w:rsidR="00FC217A" w:rsidRPr="00236C42">
        <w:t xml:space="preserve"> o </w:t>
      </w:r>
      <w:r w:rsidR="002B53A3" w:rsidRPr="00236C42">
        <w:rPr>
          <w:rFonts w:cs="Arial"/>
        </w:rPr>
        <w:t>1</w:t>
      </w:r>
      <w:r w:rsidR="00D362E4" w:rsidRPr="00236C42">
        <w:rPr>
          <w:rFonts w:cs="Arial"/>
        </w:rPr>
        <w:t>5</w:t>
      </w:r>
      <w:r w:rsidR="00376740" w:rsidRPr="00236C42">
        <w:rPr>
          <w:rFonts w:cs="Arial"/>
        </w:rPr>
        <w:t>9</w:t>
      </w:r>
      <w:r w:rsidR="00FC217A" w:rsidRPr="00236C42">
        <w:t> mil. Kč</w:t>
      </w:r>
      <w:r w:rsidR="00FC217A" w:rsidRPr="00236C42">
        <w:rPr>
          <w:rFonts w:cs="Arial"/>
        </w:rPr>
        <w:t xml:space="preserve">. </w:t>
      </w:r>
      <w:r w:rsidR="00FC217A" w:rsidRPr="00236C42">
        <w:rPr>
          <w:rFonts w:cs="Arial"/>
          <w:shd w:val="clear" w:color="auto" w:fill="FFFFFF"/>
        </w:rPr>
        <w:t>Cizí</w:t>
      </w:r>
      <w:r w:rsidR="00FC217A" w:rsidRPr="00236C42">
        <w:rPr>
          <w:shd w:val="clear" w:color="auto" w:fill="FFFFFF"/>
        </w:rPr>
        <w:t xml:space="preserve"> zdroje k pokrytí investiční výstavby činily </w:t>
      </w:r>
      <w:r w:rsidR="004B51C1" w:rsidRPr="00236C42">
        <w:rPr>
          <w:shd w:val="clear" w:color="auto" w:fill="FFFFFF"/>
        </w:rPr>
        <w:t xml:space="preserve">téměř </w:t>
      </w:r>
      <w:r w:rsidR="00774A64" w:rsidRPr="00236C42">
        <w:rPr>
          <w:rFonts w:cs="Arial"/>
          <w:shd w:val="clear" w:color="auto" w:fill="FFFFFF"/>
        </w:rPr>
        <w:t>1,</w:t>
      </w:r>
      <w:r w:rsidR="00131744" w:rsidRPr="00236C42">
        <w:rPr>
          <w:rFonts w:cs="Arial"/>
          <w:shd w:val="clear" w:color="auto" w:fill="FFFFFF"/>
        </w:rPr>
        <w:t>427</w:t>
      </w:r>
      <w:r w:rsidR="00FC217A" w:rsidRPr="00236C42">
        <w:rPr>
          <w:rFonts w:cs="Arial"/>
          <w:shd w:val="clear" w:color="auto" w:fill="FFFFFF"/>
        </w:rPr>
        <w:t xml:space="preserve"> m</w:t>
      </w:r>
      <w:r w:rsidR="00512D06" w:rsidRPr="00236C42">
        <w:rPr>
          <w:rFonts w:cs="Arial"/>
          <w:shd w:val="clear" w:color="auto" w:fill="FFFFFF"/>
        </w:rPr>
        <w:t>il</w:t>
      </w:r>
      <w:r w:rsidR="00FC217A" w:rsidRPr="00236C42">
        <w:rPr>
          <w:shd w:val="clear" w:color="auto" w:fill="FFFFFF"/>
        </w:rPr>
        <w:t xml:space="preserve">. Kč, </w:t>
      </w:r>
      <w:r w:rsidR="00FC217A" w:rsidRPr="00236C42">
        <w:rPr>
          <w:rFonts w:cs="Arial"/>
          <w:shd w:val="clear" w:color="auto" w:fill="FFFFFF"/>
        </w:rPr>
        <w:t>z toho 9</w:t>
      </w:r>
      <w:r w:rsidR="00131744" w:rsidRPr="00236C42">
        <w:rPr>
          <w:rFonts w:cs="Arial"/>
          <w:shd w:val="clear" w:color="auto" w:fill="FFFFFF"/>
        </w:rPr>
        <w:t>8</w:t>
      </w:r>
      <w:r w:rsidR="00FC217A" w:rsidRPr="00236C42">
        <w:rPr>
          <w:rFonts w:cs="Arial"/>
          <w:shd w:val="clear" w:color="auto" w:fill="FFFFFF"/>
        </w:rPr>
        <w:t xml:space="preserve"> % představovaly finanční zdroje ze státního rozpočtu a </w:t>
      </w:r>
      <w:r w:rsidR="00131744" w:rsidRPr="00236C42">
        <w:rPr>
          <w:rFonts w:cs="Arial"/>
          <w:shd w:val="clear" w:color="auto" w:fill="FFFFFF"/>
        </w:rPr>
        <w:t>2</w:t>
      </w:r>
      <w:r w:rsidR="00FC217A" w:rsidRPr="00236C42">
        <w:rPr>
          <w:rFonts w:cs="Arial"/>
          <w:shd w:val="clear" w:color="auto" w:fill="FFFFFF"/>
        </w:rPr>
        <w:t xml:space="preserve"> % ostatní zdroje</w:t>
      </w:r>
      <w:r w:rsidR="00FC217A" w:rsidRPr="00236C42">
        <w:rPr>
          <w:shd w:val="clear" w:color="auto" w:fill="FFFFFF"/>
        </w:rPr>
        <w:t xml:space="preserve">. </w:t>
      </w:r>
      <w:r w:rsidR="00FC217A" w:rsidRPr="00236C42">
        <w:rPr>
          <w:shd w:val="clear" w:color="auto" w:fill="FFFFFF"/>
          <w:lang w:eastAsia="ja-JP"/>
        </w:rPr>
        <w:t>V rámci ostatních zdrojů byly použity finanční prostředky OPŽP, krajů, měst či bezúplatné převody. Vlastní zdroje určené na investice představovaly více než 1,</w:t>
      </w:r>
      <w:r w:rsidR="001039BF" w:rsidRPr="00236C42">
        <w:rPr>
          <w:shd w:val="clear" w:color="auto" w:fill="FFFFFF"/>
          <w:lang w:eastAsia="ja-JP"/>
        </w:rPr>
        <w:t>366</w:t>
      </w:r>
      <w:r w:rsidR="00FC217A" w:rsidRPr="00236C42">
        <w:rPr>
          <w:shd w:val="clear" w:color="auto" w:fill="FFFFFF"/>
          <w:lang w:eastAsia="ja-JP"/>
        </w:rPr>
        <w:t xml:space="preserve"> mld. Kč.</w:t>
      </w:r>
    </w:p>
    <w:p w14:paraId="2CBCEC77" w14:textId="77777777" w:rsidR="00B5513A" w:rsidRDefault="00B5513A" w:rsidP="00D2719A">
      <w:pPr>
        <w:contextualSpacing/>
        <w:rPr>
          <w:b/>
          <w:i/>
        </w:rPr>
      </w:pPr>
      <w:bookmarkStart w:id="78" w:name="_Toc482564980"/>
    </w:p>
    <w:p w14:paraId="06EAE0B1" w14:textId="56844E4E" w:rsidR="00487726" w:rsidRPr="00950E2B" w:rsidRDefault="00487726" w:rsidP="00D2719A">
      <w:pPr>
        <w:contextualSpacing/>
        <w:rPr>
          <w:b/>
          <w:i/>
        </w:rPr>
      </w:pPr>
      <w:r w:rsidRPr="00950E2B">
        <w:rPr>
          <w:b/>
          <w:i/>
        </w:rPr>
        <w:t>Tabulka 6.2.</w:t>
      </w:r>
      <w:r w:rsidR="0069387B" w:rsidRPr="00950E2B">
        <w:rPr>
          <w:b/>
          <w:i/>
        </w:rPr>
        <w:t>11</w:t>
      </w:r>
      <w:bookmarkEnd w:id="78"/>
      <w:r w:rsidRPr="00950E2B">
        <w:rPr>
          <w:b/>
          <w:i/>
        </w:rPr>
        <w:t xml:space="preserve">  </w:t>
      </w:r>
    </w:p>
    <w:p w14:paraId="7BBAA769" w14:textId="3814724F" w:rsidR="00487726" w:rsidRPr="00950E2B" w:rsidRDefault="00487726" w:rsidP="00D2719A">
      <w:pPr>
        <w:contextualSpacing/>
        <w:rPr>
          <w:b/>
          <w:i/>
        </w:rPr>
      </w:pPr>
      <w:bookmarkStart w:id="79" w:name="_Toc482564981"/>
      <w:r w:rsidRPr="00950E2B">
        <w:rPr>
          <w:b/>
          <w:i/>
        </w:rPr>
        <w:t>Investice státních podniků Povodí v letech 201</w:t>
      </w:r>
      <w:r w:rsidR="001D24A1" w:rsidRPr="00950E2B">
        <w:rPr>
          <w:b/>
          <w:i/>
        </w:rPr>
        <w:t>6</w:t>
      </w:r>
      <w:r w:rsidRPr="00950E2B">
        <w:rPr>
          <w:b/>
          <w:i/>
        </w:rPr>
        <w:t>–20</w:t>
      </w:r>
      <w:bookmarkEnd w:id="79"/>
      <w:r w:rsidR="00151E29" w:rsidRPr="00950E2B">
        <w:rPr>
          <w:b/>
          <w:i/>
        </w:rPr>
        <w:t>2</w:t>
      </w:r>
      <w:r w:rsidR="008845E8">
        <w:rPr>
          <w:b/>
          <w:i/>
        </w:rPr>
        <w:t>5</w:t>
      </w:r>
    </w:p>
    <w:tbl>
      <w:tblPr>
        <w:tblW w:w="11279" w:type="dxa"/>
        <w:tblInd w:w="-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69"/>
        <w:gridCol w:w="1117"/>
        <w:gridCol w:w="1117"/>
        <w:gridCol w:w="1117"/>
        <w:gridCol w:w="1117"/>
        <w:gridCol w:w="1117"/>
        <w:gridCol w:w="883"/>
        <w:gridCol w:w="992"/>
        <w:gridCol w:w="850"/>
        <w:gridCol w:w="850"/>
        <w:gridCol w:w="850"/>
      </w:tblGrid>
      <w:tr w:rsidR="008B7D40" w:rsidRPr="00950E2B" w14:paraId="283AC8BD" w14:textId="2DD30C9D" w:rsidTr="008B7D40">
        <w:trPr>
          <w:trHeight w:val="227"/>
        </w:trPr>
        <w:tc>
          <w:tcPr>
            <w:tcW w:w="1269" w:type="dxa"/>
            <w:vMerge w:val="restart"/>
            <w:shd w:val="clear" w:color="auto" w:fill="BFBFBF"/>
            <w:vAlign w:val="center"/>
            <w:hideMark/>
          </w:tcPr>
          <w:p w14:paraId="42B5616D" w14:textId="77777777" w:rsidR="008B7D40" w:rsidRPr="00950E2B" w:rsidRDefault="008B7D40" w:rsidP="001D24A1">
            <w:pPr>
              <w:contextualSpacing/>
              <w:rPr>
                <w:rFonts w:cs="Arial"/>
                <w:b/>
                <w:bCs/>
                <w:sz w:val="18"/>
                <w:szCs w:val="18"/>
              </w:rPr>
            </w:pPr>
            <w:r w:rsidRPr="00950E2B">
              <w:rPr>
                <w:rFonts w:cs="Arial"/>
                <w:b/>
                <w:bCs/>
                <w:sz w:val="18"/>
                <w:szCs w:val="18"/>
              </w:rPr>
              <w:t>Státní podniky Povodí</w:t>
            </w:r>
          </w:p>
        </w:tc>
        <w:tc>
          <w:tcPr>
            <w:tcW w:w="1117" w:type="dxa"/>
            <w:shd w:val="clear" w:color="auto" w:fill="BFBFBF"/>
            <w:vAlign w:val="center"/>
          </w:tcPr>
          <w:p w14:paraId="43677D39" w14:textId="2D88F892" w:rsidR="008B7D40" w:rsidRPr="00950E2B" w:rsidRDefault="008B7D40" w:rsidP="001D24A1">
            <w:pPr>
              <w:contextualSpacing/>
              <w:jc w:val="center"/>
              <w:rPr>
                <w:rFonts w:cs="Arial"/>
                <w:b/>
                <w:bCs/>
                <w:sz w:val="18"/>
                <w:szCs w:val="18"/>
              </w:rPr>
            </w:pPr>
            <w:r w:rsidRPr="00950E2B">
              <w:rPr>
                <w:rFonts w:cs="Arial"/>
                <w:b/>
                <w:bCs/>
                <w:sz w:val="18"/>
                <w:szCs w:val="18"/>
              </w:rPr>
              <w:t>2016</w:t>
            </w:r>
          </w:p>
        </w:tc>
        <w:tc>
          <w:tcPr>
            <w:tcW w:w="1117" w:type="dxa"/>
            <w:shd w:val="clear" w:color="auto" w:fill="BFBFBF"/>
            <w:vAlign w:val="center"/>
          </w:tcPr>
          <w:p w14:paraId="743BB963" w14:textId="0398469C" w:rsidR="008B7D40" w:rsidRPr="00950E2B" w:rsidRDefault="008B7D40" w:rsidP="001D24A1">
            <w:pPr>
              <w:contextualSpacing/>
              <w:jc w:val="center"/>
              <w:rPr>
                <w:rFonts w:cs="Arial"/>
                <w:b/>
                <w:bCs/>
                <w:sz w:val="18"/>
                <w:szCs w:val="18"/>
              </w:rPr>
            </w:pPr>
            <w:r w:rsidRPr="00950E2B">
              <w:rPr>
                <w:rFonts w:cs="Arial"/>
                <w:b/>
                <w:bCs/>
                <w:sz w:val="18"/>
                <w:szCs w:val="18"/>
              </w:rPr>
              <w:t>2017</w:t>
            </w:r>
          </w:p>
        </w:tc>
        <w:tc>
          <w:tcPr>
            <w:tcW w:w="1117" w:type="dxa"/>
            <w:shd w:val="clear" w:color="auto" w:fill="BFBFBF"/>
            <w:vAlign w:val="center"/>
          </w:tcPr>
          <w:p w14:paraId="32440852" w14:textId="4B5FB218" w:rsidR="008B7D40" w:rsidRPr="00950E2B" w:rsidRDefault="008B7D40" w:rsidP="001D24A1">
            <w:pPr>
              <w:contextualSpacing/>
              <w:jc w:val="center"/>
              <w:rPr>
                <w:rFonts w:cs="Arial"/>
                <w:b/>
                <w:bCs/>
                <w:sz w:val="18"/>
                <w:szCs w:val="18"/>
              </w:rPr>
            </w:pPr>
            <w:r w:rsidRPr="00950E2B">
              <w:rPr>
                <w:rFonts w:cs="Arial"/>
                <w:b/>
                <w:bCs/>
                <w:sz w:val="18"/>
                <w:szCs w:val="18"/>
              </w:rPr>
              <w:t>2018</w:t>
            </w:r>
          </w:p>
        </w:tc>
        <w:tc>
          <w:tcPr>
            <w:tcW w:w="1117" w:type="dxa"/>
            <w:shd w:val="clear" w:color="auto" w:fill="BFBFBF"/>
            <w:vAlign w:val="center"/>
          </w:tcPr>
          <w:p w14:paraId="77000747" w14:textId="06A80831" w:rsidR="008B7D40" w:rsidRPr="00950E2B" w:rsidRDefault="008B7D40" w:rsidP="001D24A1">
            <w:pPr>
              <w:contextualSpacing/>
              <w:jc w:val="center"/>
              <w:rPr>
                <w:rFonts w:cs="Arial"/>
                <w:b/>
                <w:bCs/>
                <w:sz w:val="18"/>
                <w:szCs w:val="18"/>
              </w:rPr>
            </w:pPr>
            <w:r w:rsidRPr="00950E2B">
              <w:rPr>
                <w:rFonts w:cs="Arial"/>
                <w:b/>
                <w:bCs/>
                <w:sz w:val="18"/>
                <w:szCs w:val="18"/>
              </w:rPr>
              <w:t>2019</w:t>
            </w:r>
          </w:p>
        </w:tc>
        <w:tc>
          <w:tcPr>
            <w:tcW w:w="1117" w:type="dxa"/>
            <w:shd w:val="clear" w:color="auto" w:fill="BFBFBF"/>
            <w:vAlign w:val="center"/>
          </w:tcPr>
          <w:p w14:paraId="572438A9" w14:textId="284859F4" w:rsidR="008B7D40" w:rsidRPr="00950E2B" w:rsidRDefault="008B7D40" w:rsidP="001D24A1">
            <w:pPr>
              <w:contextualSpacing/>
              <w:jc w:val="center"/>
              <w:rPr>
                <w:rFonts w:cs="Arial"/>
                <w:b/>
                <w:bCs/>
                <w:sz w:val="18"/>
                <w:szCs w:val="18"/>
              </w:rPr>
            </w:pPr>
            <w:r w:rsidRPr="00950E2B">
              <w:rPr>
                <w:rFonts w:cs="Arial"/>
                <w:b/>
                <w:bCs/>
                <w:sz w:val="18"/>
                <w:szCs w:val="18"/>
              </w:rPr>
              <w:t>2020</w:t>
            </w:r>
          </w:p>
        </w:tc>
        <w:tc>
          <w:tcPr>
            <w:tcW w:w="883" w:type="dxa"/>
            <w:shd w:val="clear" w:color="auto" w:fill="BFBFBF"/>
            <w:vAlign w:val="center"/>
          </w:tcPr>
          <w:p w14:paraId="239E8DA1" w14:textId="405AC57F" w:rsidR="008B7D40" w:rsidRPr="00950E2B" w:rsidRDefault="008B7D40" w:rsidP="001D24A1">
            <w:pPr>
              <w:contextualSpacing/>
              <w:jc w:val="center"/>
              <w:rPr>
                <w:rFonts w:cs="Arial"/>
                <w:b/>
                <w:bCs/>
                <w:sz w:val="18"/>
                <w:szCs w:val="18"/>
              </w:rPr>
            </w:pPr>
            <w:r w:rsidRPr="00950E2B">
              <w:rPr>
                <w:rFonts w:cs="Arial"/>
                <w:b/>
                <w:bCs/>
                <w:sz w:val="18"/>
                <w:szCs w:val="18"/>
              </w:rPr>
              <w:t>2021</w:t>
            </w:r>
          </w:p>
        </w:tc>
        <w:tc>
          <w:tcPr>
            <w:tcW w:w="992" w:type="dxa"/>
            <w:shd w:val="clear" w:color="auto" w:fill="BFBFBF"/>
            <w:vAlign w:val="center"/>
          </w:tcPr>
          <w:p w14:paraId="14AC11FD" w14:textId="38E81B37" w:rsidR="008B7D40" w:rsidRPr="00950E2B" w:rsidRDefault="008B7D40" w:rsidP="001D24A1">
            <w:pPr>
              <w:contextualSpacing/>
              <w:jc w:val="center"/>
              <w:rPr>
                <w:rFonts w:cs="Arial"/>
                <w:b/>
                <w:bCs/>
                <w:sz w:val="18"/>
                <w:szCs w:val="18"/>
              </w:rPr>
            </w:pPr>
            <w:r w:rsidRPr="00950E2B">
              <w:rPr>
                <w:rFonts w:cs="Arial"/>
                <w:b/>
                <w:bCs/>
                <w:sz w:val="18"/>
                <w:szCs w:val="18"/>
              </w:rPr>
              <w:t>2022</w:t>
            </w:r>
          </w:p>
        </w:tc>
        <w:tc>
          <w:tcPr>
            <w:tcW w:w="850" w:type="dxa"/>
            <w:shd w:val="clear" w:color="auto" w:fill="BFBFBF"/>
          </w:tcPr>
          <w:p w14:paraId="1CAF9C81" w14:textId="3B963CB3" w:rsidR="008B7D40" w:rsidRPr="00950E2B" w:rsidRDefault="008B7D40" w:rsidP="001D24A1">
            <w:pPr>
              <w:contextualSpacing/>
              <w:jc w:val="center"/>
              <w:rPr>
                <w:rFonts w:cs="Arial"/>
                <w:b/>
                <w:bCs/>
                <w:sz w:val="18"/>
                <w:szCs w:val="18"/>
              </w:rPr>
            </w:pPr>
            <w:r w:rsidRPr="00950E2B">
              <w:rPr>
                <w:rFonts w:cs="Arial"/>
                <w:b/>
                <w:bCs/>
                <w:sz w:val="18"/>
                <w:szCs w:val="18"/>
              </w:rPr>
              <w:t>2023</w:t>
            </w:r>
          </w:p>
        </w:tc>
        <w:tc>
          <w:tcPr>
            <w:tcW w:w="850" w:type="dxa"/>
            <w:shd w:val="clear" w:color="auto" w:fill="BFBFBF"/>
          </w:tcPr>
          <w:p w14:paraId="421C5F61" w14:textId="1FE34A4B" w:rsidR="008B7D40" w:rsidRPr="00950E2B" w:rsidRDefault="008B7D40" w:rsidP="001D24A1">
            <w:pPr>
              <w:contextualSpacing/>
              <w:jc w:val="center"/>
              <w:rPr>
                <w:rFonts w:cs="Arial"/>
                <w:b/>
                <w:bCs/>
                <w:sz w:val="18"/>
                <w:szCs w:val="18"/>
              </w:rPr>
            </w:pPr>
            <w:r w:rsidRPr="00950E2B">
              <w:rPr>
                <w:rFonts w:cs="Arial"/>
                <w:b/>
                <w:bCs/>
                <w:sz w:val="18"/>
                <w:szCs w:val="18"/>
              </w:rPr>
              <w:t>2024</w:t>
            </w:r>
          </w:p>
        </w:tc>
        <w:tc>
          <w:tcPr>
            <w:tcW w:w="850" w:type="dxa"/>
            <w:shd w:val="clear" w:color="auto" w:fill="BFBFBF"/>
          </w:tcPr>
          <w:p w14:paraId="1497B589" w14:textId="39D30F9C" w:rsidR="008B7D40" w:rsidRPr="00950E2B" w:rsidRDefault="008B7D40" w:rsidP="001D24A1">
            <w:pPr>
              <w:contextualSpacing/>
              <w:jc w:val="center"/>
              <w:rPr>
                <w:rFonts w:cs="Arial"/>
                <w:b/>
                <w:bCs/>
                <w:sz w:val="18"/>
                <w:szCs w:val="18"/>
              </w:rPr>
            </w:pPr>
            <w:r w:rsidRPr="00950E2B">
              <w:rPr>
                <w:rFonts w:cs="Arial"/>
                <w:b/>
                <w:bCs/>
                <w:sz w:val="18"/>
                <w:szCs w:val="18"/>
              </w:rPr>
              <w:t>2025</w:t>
            </w:r>
          </w:p>
        </w:tc>
      </w:tr>
      <w:tr w:rsidR="008B7D40" w:rsidRPr="00950E2B" w14:paraId="387AA326" w14:textId="321C381B" w:rsidTr="00951244">
        <w:trPr>
          <w:trHeight w:val="227"/>
        </w:trPr>
        <w:tc>
          <w:tcPr>
            <w:tcW w:w="1269" w:type="dxa"/>
            <w:vMerge/>
            <w:shd w:val="clear" w:color="auto" w:fill="BFBFBF"/>
            <w:vAlign w:val="center"/>
          </w:tcPr>
          <w:p w14:paraId="7233CC7B" w14:textId="77777777" w:rsidR="008B7D40" w:rsidRPr="00950E2B" w:rsidRDefault="008B7D40" w:rsidP="00FC217A">
            <w:pPr>
              <w:contextualSpacing/>
              <w:rPr>
                <w:rFonts w:cs="Arial"/>
                <w:b/>
                <w:bCs/>
                <w:sz w:val="18"/>
                <w:szCs w:val="18"/>
              </w:rPr>
            </w:pPr>
          </w:p>
        </w:tc>
        <w:tc>
          <w:tcPr>
            <w:tcW w:w="10010" w:type="dxa"/>
            <w:gridSpan w:val="10"/>
            <w:shd w:val="clear" w:color="auto" w:fill="BFBFBF"/>
            <w:vAlign w:val="center"/>
          </w:tcPr>
          <w:p w14:paraId="7FA12F68" w14:textId="557A5A80" w:rsidR="008B7D40" w:rsidRPr="00950E2B" w:rsidRDefault="008B7D40" w:rsidP="00FC217A">
            <w:pPr>
              <w:contextualSpacing/>
              <w:jc w:val="center"/>
              <w:rPr>
                <w:rFonts w:cs="Arial"/>
                <w:b/>
                <w:sz w:val="18"/>
                <w:szCs w:val="18"/>
              </w:rPr>
            </w:pPr>
            <w:r w:rsidRPr="00950E2B">
              <w:rPr>
                <w:rFonts w:cs="Arial"/>
                <w:b/>
                <w:sz w:val="18"/>
                <w:szCs w:val="18"/>
              </w:rPr>
              <w:t>mil. Kč</w:t>
            </w:r>
          </w:p>
        </w:tc>
      </w:tr>
      <w:tr w:rsidR="00F270A3" w:rsidRPr="00950E2B" w14:paraId="374EB9C9" w14:textId="71AB9950" w:rsidTr="004A2161">
        <w:trPr>
          <w:trHeight w:val="227"/>
        </w:trPr>
        <w:tc>
          <w:tcPr>
            <w:tcW w:w="1269" w:type="dxa"/>
            <w:vAlign w:val="center"/>
            <w:hideMark/>
          </w:tcPr>
          <w:p w14:paraId="53D1BC46" w14:textId="77777777" w:rsidR="00F270A3" w:rsidRPr="00950E2B" w:rsidRDefault="00F270A3" w:rsidP="00F270A3">
            <w:pPr>
              <w:contextualSpacing/>
              <w:rPr>
                <w:rFonts w:cs="Arial"/>
                <w:b/>
                <w:bCs/>
                <w:sz w:val="18"/>
                <w:szCs w:val="18"/>
              </w:rPr>
            </w:pPr>
            <w:r w:rsidRPr="00950E2B">
              <w:rPr>
                <w:rFonts w:cs="Arial"/>
                <w:b/>
                <w:bCs/>
                <w:sz w:val="18"/>
                <w:szCs w:val="18"/>
              </w:rPr>
              <w:t xml:space="preserve">Labe </w:t>
            </w:r>
          </w:p>
        </w:tc>
        <w:tc>
          <w:tcPr>
            <w:tcW w:w="1117" w:type="dxa"/>
            <w:vAlign w:val="center"/>
          </w:tcPr>
          <w:p w14:paraId="3030B09B" w14:textId="247D56C7" w:rsidR="00F270A3" w:rsidRPr="00950E2B" w:rsidRDefault="00F270A3" w:rsidP="00F270A3">
            <w:pPr>
              <w:ind w:firstLineChars="100" w:firstLine="180"/>
              <w:contextualSpacing/>
              <w:jc w:val="right"/>
              <w:rPr>
                <w:rFonts w:cs="Arial"/>
                <w:sz w:val="18"/>
                <w:szCs w:val="18"/>
              </w:rPr>
            </w:pPr>
            <w:r w:rsidRPr="00950E2B">
              <w:rPr>
                <w:rFonts w:cs="Arial"/>
                <w:sz w:val="18"/>
                <w:szCs w:val="18"/>
              </w:rPr>
              <w:t>514,6</w:t>
            </w:r>
          </w:p>
        </w:tc>
        <w:tc>
          <w:tcPr>
            <w:tcW w:w="1117" w:type="dxa"/>
            <w:vAlign w:val="center"/>
          </w:tcPr>
          <w:p w14:paraId="56F408B8" w14:textId="24D090C1" w:rsidR="00F270A3" w:rsidRPr="00950E2B" w:rsidRDefault="00F270A3" w:rsidP="00F270A3">
            <w:pPr>
              <w:ind w:firstLineChars="100" w:firstLine="180"/>
              <w:contextualSpacing/>
              <w:jc w:val="right"/>
              <w:rPr>
                <w:rFonts w:cs="Arial"/>
                <w:sz w:val="18"/>
                <w:szCs w:val="18"/>
              </w:rPr>
            </w:pPr>
            <w:r w:rsidRPr="00950E2B">
              <w:rPr>
                <w:rFonts w:cs="Arial"/>
                <w:sz w:val="18"/>
                <w:szCs w:val="18"/>
              </w:rPr>
              <w:t>401,2</w:t>
            </w:r>
          </w:p>
        </w:tc>
        <w:tc>
          <w:tcPr>
            <w:tcW w:w="1117" w:type="dxa"/>
            <w:vAlign w:val="center"/>
          </w:tcPr>
          <w:p w14:paraId="6AFF4F96" w14:textId="7BCD246B" w:rsidR="00F270A3" w:rsidRPr="00950E2B" w:rsidRDefault="00F270A3" w:rsidP="00F270A3">
            <w:pPr>
              <w:ind w:firstLineChars="100" w:firstLine="180"/>
              <w:contextualSpacing/>
              <w:jc w:val="right"/>
              <w:rPr>
                <w:rFonts w:cs="Arial"/>
                <w:sz w:val="18"/>
                <w:szCs w:val="18"/>
              </w:rPr>
            </w:pPr>
            <w:r w:rsidRPr="00950E2B">
              <w:rPr>
                <w:rFonts w:cs="Arial"/>
                <w:sz w:val="18"/>
                <w:szCs w:val="18"/>
              </w:rPr>
              <w:t>360,0</w:t>
            </w:r>
          </w:p>
        </w:tc>
        <w:tc>
          <w:tcPr>
            <w:tcW w:w="1117" w:type="dxa"/>
            <w:vAlign w:val="center"/>
          </w:tcPr>
          <w:p w14:paraId="5F9D180A" w14:textId="44ABD546" w:rsidR="00F270A3" w:rsidRPr="00950E2B" w:rsidRDefault="00F270A3" w:rsidP="00F270A3">
            <w:pPr>
              <w:ind w:firstLineChars="100" w:firstLine="180"/>
              <w:contextualSpacing/>
              <w:jc w:val="right"/>
              <w:rPr>
                <w:rFonts w:cs="Arial"/>
                <w:sz w:val="18"/>
                <w:szCs w:val="18"/>
              </w:rPr>
            </w:pPr>
            <w:r w:rsidRPr="00950E2B">
              <w:rPr>
                <w:rFonts w:cs="Arial"/>
                <w:sz w:val="18"/>
                <w:szCs w:val="18"/>
              </w:rPr>
              <w:t>461,6</w:t>
            </w:r>
          </w:p>
        </w:tc>
        <w:tc>
          <w:tcPr>
            <w:tcW w:w="1117" w:type="dxa"/>
            <w:vAlign w:val="bottom"/>
          </w:tcPr>
          <w:p w14:paraId="28B01CDD" w14:textId="1C399A25" w:rsidR="00F270A3" w:rsidRPr="00950E2B" w:rsidRDefault="00F270A3" w:rsidP="00F270A3">
            <w:pPr>
              <w:ind w:firstLineChars="100" w:firstLine="180"/>
              <w:contextualSpacing/>
              <w:jc w:val="right"/>
              <w:rPr>
                <w:rFonts w:cs="Arial"/>
                <w:sz w:val="18"/>
                <w:szCs w:val="18"/>
              </w:rPr>
            </w:pPr>
            <w:r w:rsidRPr="00950E2B">
              <w:rPr>
                <w:rFonts w:cs="Arial"/>
                <w:sz w:val="18"/>
                <w:szCs w:val="18"/>
              </w:rPr>
              <w:t>447,9</w:t>
            </w:r>
          </w:p>
        </w:tc>
        <w:tc>
          <w:tcPr>
            <w:tcW w:w="883" w:type="dxa"/>
            <w:vAlign w:val="bottom"/>
          </w:tcPr>
          <w:p w14:paraId="07500CFA" w14:textId="3EDEB74A" w:rsidR="00F270A3" w:rsidRPr="00950E2B" w:rsidRDefault="00F270A3" w:rsidP="00F270A3">
            <w:pPr>
              <w:contextualSpacing/>
              <w:jc w:val="right"/>
              <w:rPr>
                <w:rFonts w:cs="Arial"/>
                <w:sz w:val="18"/>
                <w:szCs w:val="18"/>
              </w:rPr>
            </w:pPr>
            <w:r w:rsidRPr="00950E2B">
              <w:rPr>
                <w:rFonts w:cs="Arial"/>
                <w:sz w:val="18"/>
                <w:szCs w:val="18"/>
              </w:rPr>
              <w:t>448,1</w:t>
            </w:r>
          </w:p>
        </w:tc>
        <w:tc>
          <w:tcPr>
            <w:tcW w:w="992" w:type="dxa"/>
            <w:vAlign w:val="bottom"/>
          </w:tcPr>
          <w:p w14:paraId="250E7943" w14:textId="13F60FA4" w:rsidR="00F270A3" w:rsidRPr="00950E2B" w:rsidRDefault="00F270A3" w:rsidP="00F270A3">
            <w:pPr>
              <w:contextualSpacing/>
              <w:jc w:val="right"/>
              <w:rPr>
                <w:rFonts w:cs="Arial"/>
                <w:sz w:val="18"/>
                <w:szCs w:val="18"/>
              </w:rPr>
            </w:pPr>
            <w:r w:rsidRPr="00950E2B">
              <w:rPr>
                <w:rFonts w:cs="Arial"/>
                <w:sz w:val="18"/>
                <w:szCs w:val="18"/>
              </w:rPr>
              <w:t>261,5</w:t>
            </w:r>
          </w:p>
        </w:tc>
        <w:tc>
          <w:tcPr>
            <w:tcW w:w="850" w:type="dxa"/>
            <w:vAlign w:val="bottom"/>
          </w:tcPr>
          <w:p w14:paraId="24EF7BCF" w14:textId="055751E7" w:rsidR="00F270A3" w:rsidRPr="00950E2B" w:rsidRDefault="00F270A3" w:rsidP="00F270A3">
            <w:pPr>
              <w:contextualSpacing/>
              <w:jc w:val="right"/>
              <w:rPr>
                <w:rFonts w:cs="Arial"/>
                <w:sz w:val="18"/>
                <w:szCs w:val="18"/>
              </w:rPr>
            </w:pPr>
            <w:r w:rsidRPr="00950E2B">
              <w:rPr>
                <w:rFonts w:cs="Arial"/>
                <w:color w:val="000000"/>
                <w:sz w:val="18"/>
                <w:szCs w:val="18"/>
              </w:rPr>
              <w:t>379,8</w:t>
            </w:r>
          </w:p>
        </w:tc>
        <w:tc>
          <w:tcPr>
            <w:tcW w:w="850" w:type="dxa"/>
            <w:vAlign w:val="bottom"/>
          </w:tcPr>
          <w:p w14:paraId="2490A3B5" w14:textId="671F840D" w:rsidR="00F270A3" w:rsidRPr="00950E2B" w:rsidRDefault="00F270A3" w:rsidP="00F270A3">
            <w:pPr>
              <w:contextualSpacing/>
              <w:jc w:val="right"/>
              <w:rPr>
                <w:rFonts w:cs="Arial"/>
                <w:color w:val="000000"/>
                <w:sz w:val="18"/>
                <w:szCs w:val="18"/>
              </w:rPr>
            </w:pPr>
            <w:r w:rsidRPr="00950E2B">
              <w:rPr>
                <w:rFonts w:cs="Arial"/>
                <w:color w:val="000000"/>
                <w:sz w:val="18"/>
                <w:szCs w:val="18"/>
              </w:rPr>
              <w:t>438,8</w:t>
            </w:r>
          </w:p>
        </w:tc>
        <w:tc>
          <w:tcPr>
            <w:tcW w:w="850" w:type="dxa"/>
            <w:vAlign w:val="bottom"/>
          </w:tcPr>
          <w:p w14:paraId="5F259543" w14:textId="3DF234DE" w:rsidR="00F270A3" w:rsidRPr="00950E2B" w:rsidRDefault="00F270A3" w:rsidP="00F270A3">
            <w:pPr>
              <w:contextualSpacing/>
              <w:jc w:val="right"/>
              <w:rPr>
                <w:rFonts w:cs="Arial"/>
                <w:color w:val="000000"/>
                <w:sz w:val="18"/>
                <w:szCs w:val="18"/>
              </w:rPr>
            </w:pPr>
            <w:r w:rsidRPr="00950E2B">
              <w:rPr>
                <w:rFonts w:cs="Arial"/>
                <w:color w:val="000000"/>
                <w:sz w:val="18"/>
                <w:szCs w:val="18"/>
              </w:rPr>
              <w:t>627,5</w:t>
            </w:r>
          </w:p>
        </w:tc>
      </w:tr>
      <w:tr w:rsidR="00F270A3" w:rsidRPr="00950E2B" w14:paraId="0DB247D9" w14:textId="3C6D28EE" w:rsidTr="004A2161">
        <w:trPr>
          <w:trHeight w:val="227"/>
        </w:trPr>
        <w:tc>
          <w:tcPr>
            <w:tcW w:w="1269" w:type="dxa"/>
            <w:vAlign w:val="center"/>
            <w:hideMark/>
          </w:tcPr>
          <w:p w14:paraId="623A2192" w14:textId="77777777" w:rsidR="00F270A3" w:rsidRPr="00950E2B" w:rsidRDefault="00F270A3" w:rsidP="00F270A3">
            <w:pPr>
              <w:contextualSpacing/>
              <w:rPr>
                <w:rFonts w:cs="Arial"/>
                <w:b/>
                <w:bCs/>
                <w:sz w:val="18"/>
                <w:szCs w:val="18"/>
              </w:rPr>
            </w:pPr>
            <w:r w:rsidRPr="00950E2B">
              <w:rPr>
                <w:rFonts w:cs="Arial"/>
                <w:b/>
                <w:bCs/>
                <w:sz w:val="18"/>
                <w:szCs w:val="18"/>
              </w:rPr>
              <w:t xml:space="preserve">Vltavy </w:t>
            </w:r>
          </w:p>
        </w:tc>
        <w:tc>
          <w:tcPr>
            <w:tcW w:w="1117" w:type="dxa"/>
            <w:vAlign w:val="center"/>
          </w:tcPr>
          <w:p w14:paraId="6B26B7CD" w14:textId="0600B71A" w:rsidR="00F270A3" w:rsidRPr="00950E2B" w:rsidRDefault="00F270A3" w:rsidP="00F270A3">
            <w:pPr>
              <w:ind w:firstLineChars="100" w:firstLine="180"/>
              <w:contextualSpacing/>
              <w:jc w:val="right"/>
              <w:rPr>
                <w:rFonts w:cs="Arial"/>
                <w:sz w:val="18"/>
                <w:szCs w:val="18"/>
              </w:rPr>
            </w:pPr>
            <w:r w:rsidRPr="00950E2B">
              <w:rPr>
                <w:rFonts w:cs="Arial"/>
                <w:sz w:val="18"/>
                <w:szCs w:val="18"/>
              </w:rPr>
              <w:t>286,0</w:t>
            </w:r>
          </w:p>
        </w:tc>
        <w:tc>
          <w:tcPr>
            <w:tcW w:w="1117" w:type="dxa"/>
            <w:vAlign w:val="center"/>
          </w:tcPr>
          <w:p w14:paraId="4766248A" w14:textId="2331149C" w:rsidR="00F270A3" w:rsidRPr="00950E2B" w:rsidRDefault="00F270A3" w:rsidP="00F270A3">
            <w:pPr>
              <w:ind w:firstLineChars="100" w:firstLine="180"/>
              <w:contextualSpacing/>
              <w:jc w:val="right"/>
              <w:rPr>
                <w:rFonts w:cs="Arial"/>
                <w:sz w:val="18"/>
                <w:szCs w:val="18"/>
              </w:rPr>
            </w:pPr>
            <w:r w:rsidRPr="00950E2B">
              <w:rPr>
                <w:rFonts w:cs="Arial"/>
                <w:sz w:val="18"/>
                <w:szCs w:val="18"/>
              </w:rPr>
              <w:t>410,9</w:t>
            </w:r>
          </w:p>
        </w:tc>
        <w:tc>
          <w:tcPr>
            <w:tcW w:w="1117" w:type="dxa"/>
            <w:vAlign w:val="center"/>
          </w:tcPr>
          <w:p w14:paraId="34949FB8" w14:textId="1F944BE3" w:rsidR="00F270A3" w:rsidRPr="00950E2B" w:rsidRDefault="00F270A3" w:rsidP="00F270A3">
            <w:pPr>
              <w:ind w:firstLineChars="100" w:firstLine="180"/>
              <w:contextualSpacing/>
              <w:jc w:val="right"/>
              <w:rPr>
                <w:rFonts w:cs="Arial"/>
                <w:sz w:val="18"/>
                <w:szCs w:val="18"/>
              </w:rPr>
            </w:pPr>
            <w:r w:rsidRPr="00950E2B">
              <w:rPr>
                <w:rFonts w:cs="Arial"/>
                <w:sz w:val="18"/>
                <w:szCs w:val="18"/>
              </w:rPr>
              <w:t>493,0</w:t>
            </w:r>
          </w:p>
        </w:tc>
        <w:tc>
          <w:tcPr>
            <w:tcW w:w="1117" w:type="dxa"/>
            <w:vAlign w:val="center"/>
          </w:tcPr>
          <w:p w14:paraId="44C02AAA" w14:textId="28C1EEF6" w:rsidR="00F270A3" w:rsidRPr="00950E2B" w:rsidRDefault="00F270A3" w:rsidP="00F270A3">
            <w:pPr>
              <w:ind w:firstLineChars="100" w:firstLine="180"/>
              <w:contextualSpacing/>
              <w:jc w:val="right"/>
              <w:rPr>
                <w:rFonts w:cs="Arial"/>
                <w:sz w:val="18"/>
                <w:szCs w:val="18"/>
              </w:rPr>
            </w:pPr>
            <w:r w:rsidRPr="00950E2B">
              <w:rPr>
                <w:rFonts w:cs="Arial"/>
                <w:sz w:val="18"/>
                <w:szCs w:val="18"/>
              </w:rPr>
              <w:t>495,3</w:t>
            </w:r>
          </w:p>
        </w:tc>
        <w:tc>
          <w:tcPr>
            <w:tcW w:w="1117" w:type="dxa"/>
            <w:vAlign w:val="bottom"/>
          </w:tcPr>
          <w:p w14:paraId="1B3186EA" w14:textId="1B6DA5C2" w:rsidR="00F270A3" w:rsidRPr="00950E2B" w:rsidRDefault="00F270A3" w:rsidP="00F270A3">
            <w:pPr>
              <w:ind w:firstLineChars="100" w:firstLine="180"/>
              <w:contextualSpacing/>
              <w:jc w:val="right"/>
              <w:rPr>
                <w:rFonts w:cs="Arial"/>
                <w:sz w:val="18"/>
                <w:szCs w:val="18"/>
              </w:rPr>
            </w:pPr>
            <w:r w:rsidRPr="00950E2B">
              <w:rPr>
                <w:rFonts w:cs="Arial"/>
                <w:sz w:val="18"/>
                <w:szCs w:val="18"/>
              </w:rPr>
              <w:t>452,8</w:t>
            </w:r>
          </w:p>
        </w:tc>
        <w:tc>
          <w:tcPr>
            <w:tcW w:w="883" w:type="dxa"/>
            <w:vAlign w:val="bottom"/>
          </w:tcPr>
          <w:p w14:paraId="5611799A" w14:textId="4463B63A" w:rsidR="00F270A3" w:rsidRPr="00950E2B" w:rsidRDefault="00F270A3" w:rsidP="00F270A3">
            <w:pPr>
              <w:contextualSpacing/>
              <w:jc w:val="right"/>
              <w:rPr>
                <w:rFonts w:cs="Arial"/>
                <w:sz w:val="18"/>
                <w:szCs w:val="18"/>
              </w:rPr>
            </w:pPr>
            <w:r w:rsidRPr="00950E2B">
              <w:rPr>
                <w:rFonts w:cs="Arial"/>
                <w:sz w:val="18"/>
                <w:szCs w:val="18"/>
              </w:rPr>
              <w:t>670,4</w:t>
            </w:r>
          </w:p>
        </w:tc>
        <w:tc>
          <w:tcPr>
            <w:tcW w:w="992" w:type="dxa"/>
            <w:vAlign w:val="bottom"/>
          </w:tcPr>
          <w:p w14:paraId="7772E46E" w14:textId="61C2B063" w:rsidR="00F270A3" w:rsidRPr="00950E2B" w:rsidRDefault="00F270A3" w:rsidP="00F270A3">
            <w:pPr>
              <w:contextualSpacing/>
              <w:jc w:val="right"/>
              <w:rPr>
                <w:rFonts w:cs="Arial"/>
                <w:sz w:val="18"/>
                <w:szCs w:val="18"/>
              </w:rPr>
            </w:pPr>
            <w:r w:rsidRPr="00950E2B">
              <w:rPr>
                <w:rFonts w:cs="Arial"/>
                <w:sz w:val="18"/>
                <w:szCs w:val="18"/>
              </w:rPr>
              <w:t>930,4</w:t>
            </w:r>
          </w:p>
        </w:tc>
        <w:tc>
          <w:tcPr>
            <w:tcW w:w="850" w:type="dxa"/>
            <w:vAlign w:val="bottom"/>
          </w:tcPr>
          <w:p w14:paraId="0D3186DD" w14:textId="01EDD15B" w:rsidR="00F270A3" w:rsidRPr="00950E2B" w:rsidRDefault="00F270A3" w:rsidP="00F270A3">
            <w:pPr>
              <w:contextualSpacing/>
              <w:jc w:val="right"/>
              <w:rPr>
                <w:rFonts w:cs="Arial"/>
                <w:sz w:val="18"/>
                <w:szCs w:val="18"/>
              </w:rPr>
            </w:pPr>
            <w:r w:rsidRPr="00950E2B">
              <w:rPr>
                <w:rFonts w:cs="Arial"/>
                <w:color w:val="000000"/>
                <w:sz w:val="18"/>
                <w:szCs w:val="18"/>
              </w:rPr>
              <w:t>782,7</w:t>
            </w:r>
          </w:p>
        </w:tc>
        <w:tc>
          <w:tcPr>
            <w:tcW w:w="850" w:type="dxa"/>
            <w:vAlign w:val="bottom"/>
          </w:tcPr>
          <w:p w14:paraId="5D3C5FF8" w14:textId="3F19C402" w:rsidR="00F270A3" w:rsidRPr="00950E2B" w:rsidRDefault="00F270A3" w:rsidP="00F270A3">
            <w:pPr>
              <w:contextualSpacing/>
              <w:jc w:val="right"/>
              <w:rPr>
                <w:rFonts w:cs="Arial"/>
                <w:color w:val="000000"/>
                <w:sz w:val="18"/>
                <w:szCs w:val="18"/>
              </w:rPr>
            </w:pPr>
            <w:r w:rsidRPr="00950E2B">
              <w:rPr>
                <w:rFonts w:cs="Arial"/>
                <w:color w:val="000000"/>
                <w:sz w:val="18"/>
                <w:szCs w:val="18"/>
              </w:rPr>
              <w:t>989,9</w:t>
            </w:r>
          </w:p>
        </w:tc>
        <w:tc>
          <w:tcPr>
            <w:tcW w:w="850" w:type="dxa"/>
            <w:vAlign w:val="bottom"/>
          </w:tcPr>
          <w:p w14:paraId="42C80B40" w14:textId="0FE2FAD9" w:rsidR="00F270A3" w:rsidRPr="00950E2B" w:rsidRDefault="00F270A3" w:rsidP="00F270A3">
            <w:pPr>
              <w:contextualSpacing/>
              <w:jc w:val="right"/>
              <w:rPr>
                <w:rFonts w:cs="Arial"/>
                <w:color w:val="000000"/>
                <w:sz w:val="18"/>
                <w:szCs w:val="18"/>
              </w:rPr>
            </w:pPr>
            <w:r w:rsidRPr="00950E2B">
              <w:rPr>
                <w:rFonts w:cs="Arial"/>
                <w:color w:val="000000"/>
                <w:sz w:val="18"/>
                <w:szCs w:val="18"/>
              </w:rPr>
              <w:t>839,8</w:t>
            </w:r>
          </w:p>
        </w:tc>
      </w:tr>
      <w:tr w:rsidR="00F270A3" w:rsidRPr="00950E2B" w14:paraId="1CC8C06A" w14:textId="7EFC3E43" w:rsidTr="004A2161">
        <w:trPr>
          <w:trHeight w:val="258"/>
        </w:trPr>
        <w:tc>
          <w:tcPr>
            <w:tcW w:w="1269" w:type="dxa"/>
            <w:vAlign w:val="center"/>
            <w:hideMark/>
          </w:tcPr>
          <w:p w14:paraId="0B7B1B4A" w14:textId="77777777" w:rsidR="00F270A3" w:rsidRPr="00950E2B" w:rsidRDefault="00F270A3" w:rsidP="00F270A3">
            <w:pPr>
              <w:contextualSpacing/>
              <w:rPr>
                <w:rFonts w:cs="Arial"/>
                <w:b/>
                <w:bCs/>
                <w:sz w:val="18"/>
                <w:szCs w:val="18"/>
              </w:rPr>
            </w:pPr>
            <w:r w:rsidRPr="00950E2B">
              <w:rPr>
                <w:rFonts w:cs="Arial"/>
                <w:b/>
                <w:bCs/>
                <w:sz w:val="18"/>
                <w:szCs w:val="18"/>
              </w:rPr>
              <w:t xml:space="preserve">Ohře </w:t>
            </w:r>
          </w:p>
        </w:tc>
        <w:tc>
          <w:tcPr>
            <w:tcW w:w="1117" w:type="dxa"/>
            <w:vAlign w:val="center"/>
          </w:tcPr>
          <w:p w14:paraId="0CD295FD" w14:textId="3BE7DE2F" w:rsidR="00F270A3" w:rsidRPr="00950E2B" w:rsidRDefault="00F270A3" w:rsidP="00F270A3">
            <w:pPr>
              <w:ind w:firstLineChars="100" w:firstLine="180"/>
              <w:contextualSpacing/>
              <w:jc w:val="right"/>
              <w:rPr>
                <w:rFonts w:cs="Arial"/>
                <w:sz w:val="18"/>
                <w:szCs w:val="18"/>
              </w:rPr>
            </w:pPr>
            <w:r w:rsidRPr="00950E2B">
              <w:rPr>
                <w:rFonts w:cs="Arial"/>
                <w:sz w:val="18"/>
                <w:szCs w:val="18"/>
              </w:rPr>
              <w:t>210,7</w:t>
            </w:r>
          </w:p>
        </w:tc>
        <w:tc>
          <w:tcPr>
            <w:tcW w:w="1117" w:type="dxa"/>
            <w:vAlign w:val="center"/>
          </w:tcPr>
          <w:p w14:paraId="05D0D5EB" w14:textId="3C2CE799" w:rsidR="00F270A3" w:rsidRPr="00950E2B" w:rsidRDefault="00F270A3" w:rsidP="00F270A3">
            <w:pPr>
              <w:ind w:firstLineChars="100" w:firstLine="180"/>
              <w:contextualSpacing/>
              <w:jc w:val="right"/>
              <w:rPr>
                <w:rFonts w:cs="Arial"/>
                <w:sz w:val="18"/>
                <w:szCs w:val="18"/>
              </w:rPr>
            </w:pPr>
            <w:r w:rsidRPr="00950E2B">
              <w:rPr>
                <w:rFonts w:cs="Arial"/>
                <w:sz w:val="18"/>
                <w:szCs w:val="18"/>
              </w:rPr>
              <w:t>161,6</w:t>
            </w:r>
          </w:p>
        </w:tc>
        <w:tc>
          <w:tcPr>
            <w:tcW w:w="1117" w:type="dxa"/>
            <w:vAlign w:val="center"/>
          </w:tcPr>
          <w:p w14:paraId="37AB4507" w14:textId="05672B6D" w:rsidR="00F270A3" w:rsidRPr="00950E2B" w:rsidRDefault="00F270A3" w:rsidP="00F270A3">
            <w:pPr>
              <w:ind w:firstLineChars="100" w:firstLine="180"/>
              <w:contextualSpacing/>
              <w:jc w:val="right"/>
              <w:rPr>
                <w:rFonts w:cs="Arial"/>
                <w:sz w:val="18"/>
                <w:szCs w:val="18"/>
              </w:rPr>
            </w:pPr>
            <w:r w:rsidRPr="00950E2B">
              <w:rPr>
                <w:rFonts w:cs="Arial"/>
                <w:sz w:val="18"/>
                <w:szCs w:val="18"/>
              </w:rPr>
              <w:t>221,2</w:t>
            </w:r>
          </w:p>
        </w:tc>
        <w:tc>
          <w:tcPr>
            <w:tcW w:w="1117" w:type="dxa"/>
            <w:vAlign w:val="center"/>
          </w:tcPr>
          <w:p w14:paraId="40840146" w14:textId="4418D6E6" w:rsidR="00F270A3" w:rsidRPr="00950E2B" w:rsidRDefault="00F270A3" w:rsidP="00F270A3">
            <w:pPr>
              <w:ind w:firstLineChars="100" w:firstLine="180"/>
              <w:contextualSpacing/>
              <w:jc w:val="right"/>
              <w:rPr>
                <w:rFonts w:cs="Arial"/>
                <w:sz w:val="18"/>
                <w:szCs w:val="18"/>
              </w:rPr>
            </w:pPr>
            <w:r w:rsidRPr="00950E2B">
              <w:rPr>
                <w:rFonts w:cs="Arial"/>
                <w:sz w:val="18"/>
                <w:szCs w:val="18"/>
              </w:rPr>
              <w:t>346,1</w:t>
            </w:r>
          </w:p>
        </w:tc>
        <w:tc>
          <w:tcPr>
            <w:tcW w:w="1117" w:type="dxa"/>
            <w:vAlign w:val="bottom"/>
          </w:tcPr>
          <w:p w14:paraId="2331AB34" w14:textId="78D0675C" w:rsidR="00F270A3" w:rsidRPr="00950E2B" w:rsidRDefault="00F270A3" w:rsidP="00F270A3">
            <w:pPr>
              <w:ind w:firstLineChars="100" w:firstLine="180"/>
              <w:contextualSpacing/>
              <w:jc w:val="right"/>
              <w:rPr>
                <w:rFonts w:cs="Arial"/>
                <w:sz w:val="18"/>
                <w:szCs w:val="18"/>
              </w:rPr>
            </w:pPr>
            <w:r w:rsidRPr="00950E2B">
              <w:rPr>
                <w:rFonts w:cs="Arial"/>
                <w:sz w:val="18"/>
                <w:szCs w:val="18"/>
              </w:rPr>
              <w:t>188,8</w:t>
            </w:r>
          </w:p>
        </w:tc>
        <w:tc>
          <w:tcPr>
            <w:tcW w:w="883" w:type="dxa"/>
            <w:vAlign w:val="bottom"/>
          </w:tcPr>
          <w:p w14:paraId="4381BC63" w14:textId="7E5070A5" w:rsidR="00F270A3" w:rsidRPr="00950E2B" w:rsidRDefault="00F270A3" w:rsidP="00F270A3">
            <w:pPr>
              <w:contextualSpacing/>
              <w:jc w:val="right"/>
              <w:rPr>
                <w:rFonts w:cs="Arial"/>
                <w:sz w:val="18"/>
                <w:szCs w:val="18"/>
              </w:rPr>
            </w:pPr>
            <w:r w:rsidRPr="00950E2B">
              <w:rPr>
                <w:rFonts w:cs="Arial"/>
                <w:sz w:val="18"/>
                <w:szCs w:val="18"/>
              </w:rPr>
              <w:t>323,4</w:t>
            </w:r>
          </w:p>
        </w:tc>
        <w:tc>
          <w:tcPr>
            <w:tcW w:w="992" w:type="dxa"/>
            <w:vAlign w:val="bottom"/>
          </w:tcPr>
          <w:p w14:paraId="6324FB47" w14:textId="04F5AD72" w:rsidR="00F270A3" w:rsidRPr="00950E2B" w:rsidRDefault="00F270A3" w:rsidP="00F270A3">
            <w:pPr>
              <w:contextualSpacing/>
              <w:jc w:val="right"/>
              <w:rPr>
                <w:rFonts w:cs="Arial"/>
                <w:sz w:val="18"/>
                <w:szCs w:val="18"/>
              </w:rPr>
            </w:pPr>
            <w:r w:rsidRPr="00950E2B">
              <w:rPr>
                <w:rFonts w:cs="Arial"/>
                <w:sz w:val="18"/>
                <w:szCs w:val="18"/>
              </w:rPr>
              <w:t>451,8</w:t>
            </w:r>
          </w:p>
        </w:tc>
        <w:tc>
          <w:tcPr>
            <w:tcW w:w="850" w:type="dxa"/>
            <w:vAlign w:val="bottom"/>
          </w:tcPr>
          <w:p w14:paraId="2ECA6052" w14:textId="1B8539A5" w:rsidR="00F270A3" w:rsidRPr="00950E2B" w:rsidRDefault="00F270A3" w:rsidP="00F270A3">
            <w:pPr>
              <w:contextualSpacing/>
              <w:jc w:val="right"/>
              <w:rPr>
                <w:rFonts w:cs="Arial"/>
                <w:sz w:val="18"/>
                <w:szCs w:val="18"/>
              </w:rPr>
            </w:pPr>
            <w:r w:rsidRPr="00950E2B">
              <w:rPr>
                <w:rFonts w:cs="Arial"/>
                <w:color w:val="000000"/>
                <w:sz w:val="18"/>
                <w:szCs w:val="18"/>
              </w:rPr>
              <w:t>622,5</w:t>
            </w:r>
          </w:p>
        </w:tc>
        <w:tc>
          <w:tcPr>
            <w:tcW w:w="850" w:type="dxa"/>
            <w:vAlign w:val="bottom"/>
          </w:tcPr>
          <w:p w14:paraId="049DB2F4" w14:textId="5A816009" w:rsidR="00F270A3" w:rsidRPr="00950E2B" w:rsidRDefault="00F270A3" w:rsidP="00F270A3">
            <w:pPr>
              <w:contextualSpacing/>
              <w:jc w:val="right"/>
              <w:rPr>
                <w:rFonts w:cs="Arial"/>
                <w:color w:val="000000"/>
                <w:sz w:val="18"/>
                <w:szCs w:val="18"/>
              </w:rPr>
            </w:pPr>
            <w:r w:rsidRPr="00950E2B">
              <w:rPr>
                <w:rFonts w:cs="Arial"/>
                <w:color w:val="000000"/>
                <w:sz w:val="18"/>
                <w:szCs w:val="18"/>
              </w:rPr>
              <w:t>453,8</w:t>
            </w:r>
          </w:p>
        </w:tc>
        <w:tc>
          <w:tcPr>
            <w:tcW w:w="850" w:type="dxa"/>
            <w:vAlign w:val="bottom"/>
          </w:tcPr>
          <w:p w14:paraId="2DED8D66" w14:textId="11BE1447" w:rsidR="00F270A3" w:rsidRPr="00950E2B" w:rsidRDefault="00F270A3" w:rsidP="00F270A3">
            <w:pPr>
              <w:contextualSpacing/>
              <w:jc w:val="right"/>
              <w:rPr>
                <w:rFonts w:cs="Arial"/>
                <w:color w:val="000000"/>
                <w:sz w:val="18"/>
                <w:szCs w:val="18"/>
              </w:rPr>
            </w:pPr>
            <w:r w:rsidRPr="00950E2B">
              <w:rPr>
                <w:rFonts w:cs="Arial"/>
                <w:color w:val="000000"/>
                <w:sz w:val="18"/>
                <w:szCs w:val="18"/>
              </w:rPr>
              <w:t>276,1</w:t>
            </w:r>
          </w:p>
        </w:tc>
      </w:tr>
      <w:tr w:rsidR="00F270A3" w:rsidRPr="00950E2B" w14:paraId="5A5C84A7" w14:textId="5F0FE7B0" w:rsidTr="004A2161">
        <w:trPr>
          <w:trHeight w:val="227"/>
        </w:trPr>
        <w:tc>
          <w:tcPr>
            <w:tcW w:w="1269" w:type="dxa"/>
            <w:vAlign w:val="center"/>
            <w:hideMark/>
          </w:tcPr>
          <w:p w14:paraId="5C8A7261" w14:textId="77777777" w:rsidR="00F270A3" w:rsidRPr="00950E2B" w:rsidRDefault="00F270A3" w:rsidP="00F270A3">
            <w:pPr>
              <w:contextualSpacing/>
              <w:rPr>
                <w:rFonts w:cs="Arial"/>
                <w:b/>
                <w:bCs/>
                <w:sz w:val="18"/>
                <w:szCs w:val="18"/>
              </w:rPr>
            </w:pPr>
            <w:r w:rsidRPr="00950E2B">
              <w:rPr>
                <w:rFonts w:cs="Arial"/>
                <w:b/>
                <w:bCs/>
                <w:sz w:val="18"/>
                <w:szCs w:val="18"/>
              </w:rPr>
              <w:t xml:space="preserve">Odry </w:t>
            </w:r>
          </w:p>
        </w:tc>
        <w:tc>
          <w:tcPr>
            <w:tcW w:w="1117" w:type="dxa"/>
            <w:vAlign w:val="center"/>
          </w:tcPr>
          <w:p w14:paraId="4652E534" w14:textId="302CAB59" w:rsidR="00F270A3" w:rsidRPr="00950E2B" w:rsidRDefault="00F270A3" w:rsidP="00F270A3">
            <w:pPr>
              <w:ind w:firstLineChars="100" w:firstLine="180"/>
              <w:contextualSpacing/>
              <w:jc w:val="right"/>
              <w:rPr>
                <w:rFonts w:cs="Arial"/>
                <w:sz w:val="18"/>
                <w:szCs w:val="18"/>
              </w:rPr>
            </w:pPr>
            <w:r w:rsidRPr="00950E2B">
              <w:rPr>
                <w:rFonts w:cs="Arial"/>
                <w:sz w:val="18"/>
                <w:szCs w:val="18"/>
              </w:rPr>
              <w:t>568,2</w:t>
            </w:r>
          </w:p>
        </w:tc>
        <w:tc>
          <w:tcPr>
            <w:tcW w:w="1117" w:type="dxa"/>
            <w:vAlign w:val="center"/>
          </w:tcPr>
          <w:p w14:paraId="752FE04B" w14:textId="34D50D06" w:rsidR="00F270A3" w:rsidRPr="00950E2B" w:rsidRDefault="00F270A3" w:rsidP="00F270A3">
            <w:pPr>
              <w:ind w:firstLineChars="100" w:firstLine="180"/>
              <w:contextualSpacing/>
              <w:jc w:val="right"/>
              <w:rPr>
                <w:rFonts w:cs="Arial"/>
                <w:sz w:val="18"/>
                <w:szCs w:val="18"/>
              </w:rPr>
            </w:pPr>
            <w:r w:rsidRPr="00950E2B">
              <w:rPr>
                <w:rFonts w:cs="Arial"/>
                <w:sz w:val="18"/>
                <w:szCs w:val="18"/>
              </w:rPr>
              <w:t>453,4</w:t>
            </w:r>
          </w:p>
        </w:tc>
        <w:tc>
          <w:tcPr>
            <w:tcW w:w="1117" w:type="dxa"/>
            <w:vAlign w:val="center"/>
          </w:tcPr>
          <w:p w14:paraId="48BC865F" w14:textId="735DFB9F" w:rsidR="00F270A3" w:rsidRPr="00950E2B" w:rsidRDefault="00F270A3" w:rsidP="00F270A3">
            <w:pPr>
              <w:ind w:firstLineChars="100" w:firstLine="180"/>
              <w:contextualSpacing/>
              <w:jc w:val="right"/>
              <w:rPr>
                <w:rFonts w:cs="Arial"/>
                <w:sz w:val="18"/>
                <w:szCs w:val="18"/>
              </w:rPr>
            </w:pPr>
            <w:r w:rsidRPr="00950E2B">
              <w:rPr>
                <w:rFonts w:cs="Arial"/>
                <w:sz w:val="18"/>
                <w:szCs w:val="18"/>
              </w:rPr>
              <w:t>445,5</w:t>
            </w:r>
          </w:p>
        </w:tc>
        <w:tc>
          <w:tcPr>
            <w:tcW w:w="1117" w:type="dxa"/>
            <w:vAlign w:val="center"/>
          </w:tcPr>
          <w:p w14:paraId="037BBE5C" w14:textId="2ACF918C" w:rsidR="00F270A3" w:rsidRPr="00950E2B" w:rsidRDefault="00F270A3" w:rsidP="00F270A3">
            <w:pPr>
              <w:ind w:firstLineChars="100" w:firstLine="180"/>
              <w:contextualSpacing/>
              <w:jc w:val="right"/>
              <w:rPr>
                <w:rFonts w:cs="Arial"/>
                <w:sz w:val="18"/>
                <w:szCs w:val="18"/>
              </w:rPr>
            </w:pPr>
            <w:r w:rsidRPr="00950E2B">
              <w:rPr>
                <w:rFonts w:cs="Arial"/>
                <w:sz w:val="18"/>
                <w:szCs w:val="18"/>
              </w:rPr>
              <w:t>176,2</w:t>
            </w:r>
          </w:p>
        </w:tc>
        <w:tc>
          <w:tcPr>
            <w:tcW w:w="1117" w:type="dxa"/>
            <w:vAlign w:val="bottom"/>
          </w:tcPr>
          <w:p w14:paraId="3D428CB7" w14:textId="054E88F2" w:rsidR="00F270A3" w:rsidRPr="00950E2B" w:rsidRDefault="00F270A3" w:rsidP="00F270A3">
            <w:pPr>
              <w:ind w:firstLineChars="100" w:firstLine="180"/>
              <w:contextualSpacing/>
              <w:jc w:val="right"/>
              <w:rPr>
                <w:rFonts w:cs="Arial"/>
                <w:sz w:val="18"/>
                <w:szCs w:val="18"/>
              </w:rPr>
            </w:pPr>
            <w:r w:rsidRPr="00950E2B">
              <w:rPr>
                <w:rFonts w:cs="Arial"/>
                <w:sz w:val="18"/>
                <w:szCs w:val="18"/>
              </w:rPr>
              <w:t>284,2</w:t>
            </w:r>
          </w:p>
        </w:tc>
        <w:tc>
          <w:tcPr>
            <w:tcW w:w="883" w:type="dxa"/>
            <w:vAlign w:val="bottom"/>
          </w:tcPr>
          <w:p w14:paraId="3D1D1249" w14:textId="5DABD07B" w:rsidR="00F270A3" w:rsidRPr="00950E2B" w:rsidRDefault="00F270A3" w:rsidP="00F270A3">
            <w:pPr>
              <w:contextualSpacing/>
              <w:jc w:val="right"/>
              <w:rPr>
                <w:rFonts w:cs="Arial"/>
                <w:sz w:val="18"/>
                <w:szCs w:val="18"/>
              </w:rPr>
            </w:pPr>
            <w:r w:rsidRPr="00950E2B">
              <w:rPr>
                <w:rFonts w:cs="Arial"/>
                <w:sz w:val="18"/>
                <w:szCs w:val="18"/>
              </w:rPr>
              <w:t>411,7</w:t>
            </w:r>
          </w:p>
        </w:tc>
        <w:tc>
          <w:tcPr>
            <w:tcW w:w="992" w:type="dxa"/>
            <w:vAlign w:val="bottom"/>
          </w:tcPr>
          <w:p w14:paraId="1F535124" w14:textId="600B9BF8" w:rsidR="00F270A3" w:rsidRPr="00950E2B" w:rsidRDefault="00F270A3" w:rsidP="00F270A3">
            <w:pPr>
              <w:contextualSpacing/>
              <w:jc w:val="right"/>
              <w:rPr>
                <w:rFonts w:cs="Arial"/>
                <w:sz w:val="18"/>
                <w:szCs w:val="18"/>
              </w:rPr>
            </w:pPr>
            <w:r w:rsidRPr="00950E2B">
              <w:rPr>
                <w:rFonts w:cs="Arial"/>
                <w:sz w:val="18"/>
                <w:szCs w:val="18"/>
              </w:rPr>
              <w:t>205,8</w:t>
            </w:r>
          </w:p>
        </w:tc>
        <w:tc>
          <w:tcPr>
            <w:tcW w:w="850" w:type="dxa"/>
            <w:vAlign w:val="bottom"/>
          </w:tcPr>
          <w:p w14:paraId="746C0717" w14:textId="61014183" w:rsidR="00F270A3" w:rsidRPr="00950E2B" w:rsidRDefault="00F270A3" w:rsidP="00F270A3">
            <w:pPr>
              <w:contextualSpacing/>
              <w:jc w:val="right"/>
              <w:rPr>
                <w:rFonts w:cs="Arial"/>
                <w:sz w:val="18"/>
                <w:szCs w:val="18"/>
              </w:rPr>
            </w:pPr>
            <w:r w:rsidRPr="00950E2B">
              <w:rPr>
                <w:rFonts w:cs="Arial"/>
                <w:color w:val="000000"/>
                <w:sz w:val="18"/>
                <w:szCs w:val="18"/>
              </w:rPr>
              <w:t>481,4</w:t>
            </w:r>
          </w:p>
        </w:tc>
        <w:tc>
          <w:tcPr>
            <w:tcW w:w="850" w:type="dxa"/>
            <w:vAlign w:val="bottom"/>
          </w:tcPr>
          <w:p w14:paraId="71CF8AEC" w14:textId="304E14E8" w:rsidR="00F270A3" w:rsidRPr="00950E2B" w:rsidRDefault="00F270A3" w:rsidP="00F270A3">
            <w:pPr>
              <w:contextualSpacing/>
              <w:jc w:val="right"/>
              <w:rPr>
                <w:rFonts w:cs="Arial"/>
                <w:color w:val="000000"/>
                <w:sz w:val="18"/>
                <w:szCs w:val="18"/>
              </w:rPr>
            </w:pPr>
            <w:r w:rsidRPr="00950E2B">
              <w:rPr>
                <w:rFonts w:cs="Arial"/>
                <w:color w:val="000000"/>
                <w:sz w:val="18"/>
                <w:szCs w:val="18"/>
              </w:rPr>
              <w:t>389,7</w:t>
            </w:r>
          </w:p>
        </w:tc>
        <w:tc>
          <w:tcPr>
            <w:tcW w:w="850" w:type="dxa"/>
            <w:vAlign w:val="bottom"/>
          </w:tcPr>
          <w:p w14:paraId="003837E3" w14:textId="441C992C" w:rsidR="00F270A3" w:rsidRPr="00950E2B" w:rsidRDefault="00F270A3" w:rsidP="00F270A3">
            <w:pPr>
              <w:contextualSpacing/>
              <w:jc w:val="right"/>
              <w:rPr>
                <w:rFonts w:cs="Arial"/>
                <w:color w:val="000000"/>
                <w:sz w:val="18"/>
                <w:szCs w:val="18"/>
              </w:rPr>
            </w:pPr>
            <w:r w:rsidRPr="00950E2B">
              <w:rPr>
                <w:rFonts w:cs="Arial"/>
                <w:color w:val="000000"/>
                <w:sz w:val="18"/>
                <w:szCs w:val="18"/>
              </w:rPr>
              <w:t>480,1</w:t>
            </w:r>
          </w:p>
        </w:tc>
      </w:tr>
      <w:tr w:rsidR="00F270A3" w:rsidRPr="00950E2B" w14:paraId="1A87FC8D" w14:textId="210A5D92" w:rsidTr="004A2161">
        <w:trPr>
          <w:trHeight w:val="227"/>
        </w:trPr>
        <w:tc>
          <w:tcPr>
            <w:tcW w:w="1269" w:type="dxa"/>
            <w:vAlign w:val="center"/>
            <w:hideMark/>
          </w:tcPr>
          <w:p w14:paraId="2A59EBD0" w14:textId="77777777" w:rsidR="00F270A3" w:rsidRPr="00950E2B" w:rsidRDefault="00F270A3" w:rsidP="00F270A3">
            <w:pPr>
              <w:contextualSpacing/>
              <w:rPr>
                <w:rFonts w:cs="Arial"/>
                <w:b/>
                <w:bCs/>
                <w:sz w:val="18"/>
                <w:szCs w:val="18"/>
              </w:rPr>
            </w:pPr>
            <w:r w:rsidRPr="00950E2B">
              <w:rPr>
                <w:rFonts w:cs="Arial"/>
                <w:b/>
                <w:bCs/>
                <w:sz w:val="18"/>
                <w:szCs w:val="18"/>
              </w:rPr>
              <w:t>Moravy</w:t>
            </w:r>
          </w:p>
        </w:tc>
        <w:tc>
          <w:tcPr>
            <w:tcW w:w="1117" w:type="dxa"/>
            <w:vAlign w:val="center"/>
          </w:tcPr>
          <w:p w14:paraId="56B848AD" w14:textId="0A09A924" w:rsidR="00F270A3" w:rsidRPr="00950E2B" w:rsidRDefault="00F270A3" w:rsidP="00F270A3">
            <w:pPr>
              <w:ind w:firstLineChars="100" w:firstLine="180"/>
              <w:contextualSpacing/>
              <w:jc w:val="right"/>
              <w:rPr>
                <w:rFonts w:cs="Arial"/>
                <w:sz w:val="18"/>
                <w:szCs w:val="18"/>
              </w:rPr>
            </w:pPr>
            <w:r w:rsidRPr="00950E2B">
              <w:rPr>
                <w:rFonts w:cs="Arial"/>
                <w:sz w:val="18"/>
                <w:szCs w:val="18"/>
              </w:rPr>
              <w:t>283,7</w:t>
            </w:r>
          </w:p>
        </w:tc>
        <w:tc>
          <w:tcPr>
            <w:tcW w:w="1117" w:type="dxa"/>
            <w:vAlign w:val="center"/>
          </w:tcPr>
          <w:p w14:paraId="76C904F0" w14:textId="320DF968" w:rsidR="00F270A3" w:rsidRPr="00950E2B" w:rsidRDefault="00F270A3" w:rsidP="00F270A3">
            <w:pPr>
              <w:ind w:firstLineChars="100" w:firstLine="180"/>
              <w:contextualSpacing/>
              <w:jc w:val="right"/>
              <w:rPr>
                <w:rFonts w:cs="Arial"/>
                <w:sz w:val="18"/>
                <w:szCs w:val="18"/>
              </w:rPr>
            </w:pPr>
            <w:r w:rsidRPr="00950E2B">
              <w:rPr>
                <w:rFonts w:cs="Arial"/>
                <w:sz w:val="18"/>
                <w:szCs w:val="18"/>
              </w:rPr>
              <w:t>468,0</w:t>
            </w:r>
          </w:p>
        </w:tc>
        <w:tc>
          <w:tcPr>
            <w:tcW w:w="1117" w:type="dxa"/>
            <w:vAlign w:val="center"/>
          </w:tcPr>
          <w:p w14:paraId="18CF6134" w14:textId="74AE904C" w:rsidR="00F270A3" w:rsidRPr="00950E2B" w:rsidRDefault="00F270A3" w:rsidP="00F270A3">
            <w:pPr>
              <w:ind w:firstLineChars="100" w:firstLine="180"/>
              <w:contextualSpacing/>
              <w:jc w:val="right"/>
              <w:rPr>
                <w:rFonts w:cs="Arial"/>
                <w:sz w:val="18"/>
                <w:szCs w:val="18"/>
              </w:rPr>
            </w:pPr>
            <w:r w:rsidRPr="00950E2B">
              <w:rPr>
                <w:rFonts w:cs="Arial"/>
                <w:sz w:val="18"/>
                <w:szCs w:val="18"/>
              </w:rPr>
              <w:t>823,7</w:t>
            </w:r>
          </w:p>
        </w:tc>
        <w:tc>
          <w:tcPr>
            <w:tcW w:w="1117" w:type="dxa"/>
            <w:vAlign w:val="center"/>
          </w:tcPr>
          <w:p w14:paraId="66D0BEA9" w14:textId="7FF37A7A" w:rsidR="00F270A3" w:rsidRPr="00950E2B" w:rsidRDefault="00F270A3" w:rsidP="00F270A3">
            <w:pPr>
              <w:ind w:firstLineChars="100" w:firstLine="180"/>
              <w:contextualSpacing/>
              <w:jc w:val="right"/>
              <w:rPr>
                <w:rFonts w:cs="Arial"/>
                <w:sz w:val="18"/>
                <w:szCs w:val="18"/>
              </w:rPr>
            </w:pPr>
            <w:r w:rsidRPr="00950E2B">
              <w:rPr>
                <w:rFonts w:cs="Arial"/>
                <w:sz w:val="18"/>
                <w:szCs w:val="18"/>
              </w:rPr>
              <w:t>851,7</w:t>
            </w:r>
          </w:p>
        </w:tc>
        <w:tc>
          <w:tcPr>
            <w:tcW w:w="1117" w:type="dxa"/>
            <w:vAlign w:val="bottom"/>
          </w:tcPr>
          <w:p w14:paraId="712F5121" w14:textId="5773781D" w:rsidR="00F270A3" w:rsidRPr="00950E2B" w:rsidRDefault="00F270A3" w:rsidP="00F270A3">
            <w:pPr>
              <w:ind w:firstLineChars="100" w:firstLine="180"/>
              <w:contextualSpacing/>
              <w:jc w:val="right"/>
              <w:rPr>
                <w:rFonts w:cs="Arial"/>
                <w:sz w:val="18"/>
                <w:szCs w:val="18"/>
              </w:rPr>
            </w:pPr>
            <w:r w:rsidRPr="00950E2B">
              <w:rPr>
                <w:rFonts w:cs="Arial"/>
                <w:sz w:val="18"/>
                <w:szCs w:val="18"/>
              </w:rPr>
              <w:t>1 243,0</w:t>
            </w:r>
          </w:p>
        </w:tc>
        <w:tc>
          <w:tcPr>
            <w:tcW w:w="883" w:type="dxa"/>
            <w:vAlign w:val="bottom"/>
          </w:tcPr>
          <w:p w14:paraId="3F4842DE" w14:textId="6F32B49B" w:rsidR="00F270A3" w:rsidRPr="00950E2B" w:rsidRDefault="00F270A3" w:rsidP="00F270A3">
            <w:pPr>
              <w:contextualSpacing/>
              <w:jc w:val="right"/>
              <w:rPr>
                <w:rFonts w:cs="Arial"/>
                <w:sz w:val="18"/>
                <w:szCs w:val="18"/>
              </w:rPr>
            </w:pPr>
            <w:r w:rsidRPr="00950E2B">
              <w:rPr>
                <w:rFonts w:cs="Arial"/>
                <w:sz w:val="18"/>
                <w:szCs w:val="18"/>
              </w:rPr>
              <w:t>1 118,8</w:t>
            </w:r>
          </w:p>
        </w:tc>
        <w:tc>
          <w:tcPr>
            <w:tcW w:w="992" w:type="dxa"/>
            <w:vAlign w:val="bottom"/>
          </w:tcPr>
          <w:p w14:paraId="523A1D6F" w14:textId="386B63B8" w:rsidR="00F270A3" w:rsidRPr="00950E2B" w:rsidRDefault="00F270A3" w:rsidP="00F270A3">
            <w:pPr>
              <w:contextualSpacing/>
              <w:jc w:val="right"/>
              <w:rPr>
                <w:rFonts w:cs="Arial"/>
                <w:sz w:val="18"/>
                <w:szCs w:val="18"/>
              </w:rPr>
            </w:pPr>
            <w:r w:rsidRPr="00950E2B">
              <w:rPr>
                <w:rFonts w:cs="Arial"/>
                <w:sz w:val="18"/>
                <w:szCs w:val="18"/>
              </w:rPr>
              <w:t>919,3</w:t>
            </w:r>
          </w:p>
        </w:tc>
        <w:tc>
          <w:tcPr>
            <w:tcW w:w="850" w:type="dxa"/>
            <w:vAlign w:val="bottom"/>
          </w:tcPr>
          <w:p w14:paraId="3FD11910" w14:textId="63F9AB8A" w:rsidR="00F270A3" w:rsidRPr="00950E2B" w:rsidRDefault="00F270A3" w:rsidP="00F270A3">
            <w:pPr>
              <w:contextualSpacing/>
              <w:jc w:val="right"/>
              <w:rPr>
                <w:rFonts w:cs="Arial"/>
                <w:sz w:val="18"/>
                <w:szCs w:val="18"/>
              </w:rPr>
            </w:pPr>
            <w:r w:rsidRPr="00950E2B">
              <w:rPr>
                <w:rFonts w:cs="Arial"/>
                <w:color w:val="000000"/>
                <w:sz w:val="18"/>
                <w:szCs w:val="18"/>
              </w:rPr>
              <w:t>519,0</w:t>
            </w:r>
          </w:p>
        </w:tc>
        <w:tc>
          <w:tcPr>
            <w:tcW w:w="850" w:type="dxa"/>
            <w:vAlign w:val="bottom"/>
          </w:tcPr>
          <w:p w14:paraId="311BCA61" w14:textId="3E84E7BE" w:rsidR="00F270A3" w:rsidRPr="00950E2B" w:rsidRDefault="00F270A3" w:rsidP="00F270A3">
            <w:pPr>
              <w:contextualSpacing/>
              <w:jc w:val="right"/>
              <w:rPr>
                <w:rFonts w:cs="Arial"/>
                <w:color w:val="000000"/>
                <w:sz w:val="18"/>
                <w:szCs w:val="18"/>
              </w:rPr>
            </w:pPr>
            <w:r w:rsidRPr="00950E2B">
              <w:rPr>
                <w:rFonts w:cs="Arial"/>
                <w:color w:val="000000"/>
                <w:sz w:val="18"/>
                <w:szCs w:val="18"/>
              </w:rPr>
              <w:t>360,7</w:t>
            </w:r>
          </w:p>
        </w:tc>
        <w:tc>
          <w:tcPr>
            <w:tcW w:w="850" w:type="dxa"/>
            <w:vAlign w:val="bottom"/>
          </w:tcPr>
          <w:p w14:paraId="25B47874" w14:textId="182CFB5D" w:rsidR="00F270A3" w:rsidRPr="00950E2B" w:rsidRDefault="00F270A3" w:rsidP="00F270A3">
            <w:pPr>
              <w:contextualSpacing/>
              <w:jc w:val="right"/>
              <w:rPr>
                <w:rFonts w:cs="Arial"/>
                <w:color w:val="000000"/>
                <w:sz w:val="18"/>
                <w:szCs w:val="18"/>
              </w:rPr>
            </w:pPr>
            <w:r w:rsidRPr="00950E2B">
              <w:rPr>
                <w:rFonts w:cs="Arial"/>
                <w:color w:val="000000"/>
                <w:sz w:val="18"/>
                <w:szCs w:val="18"/>
              </w:rPr>
              <w:t>568,3</w:t>
            </w:r>
          </w:p>
        </w:tc>
      </w:tr>
      <w:tr w:rsidR="00F270A3" w:rsidRPr="00950E2B" w14:paraId="32546FD2" w14:textId="2138D013" w:rsidTr="004A2161">
        <w:trPr>
          <w:trHeight w:val="227"/>
        </w:trPr>
        <w:tc>
          <w:tcPr>
            <w:tcW w:w="1269" w:type="dxa"/>
            <w:shd w:val="clear" w:color="auto" w:fill="BFBFBF"/>
            <w:vAlign w:val="center"/>
            <w:hideMark/>
          </w:tcPr>
          <w:p w14:paraId="6DF05CCD" w14:textId="77777777" w:rsidR="00F270A3" w:rsidRPr="00950E2B" w:rsidRDefault="00F270A3" w:rsidP="00F270A3">
            <w:pPr>
              <w:contextualSpacing/>
              <w:rPr>
                <w:rFonts w:cs="Arial"/>
                <w:b/>
                <w:bCs/>
                <w:sz w:val="18"/>
                <w:szCs w:val="18"/>
              </w:rPr>
            </w:pPr>
            <w:r w:rsidRPr="00950E2B">
              <w:rPr>
                <w:rFonts w:cs="Arial"/>
                <w:b/>
                <w:bCs/>
                <w:sz w:val="18"/>
                <w:szCs w:val="18"/>
              </w:rPr>
              <w:t xml:space="preserve">Celkem </w:t>
            </w:r>
          </w:p>
        </w:tc>
        <w:tc>
          <w:tcPr>
            <w:tcW w:w="1117" w:type="dxa"/>
            <w:shd w:val="clear" w:color="auto" w:fill="BFBFBF"/>
            <w:vAlign w:val="center"/>
          </w:tcPr>
          <w:p w14:paraId="39250B6D" w14:textId="2735DEA4" w:rsidR="00F270A3" w:rsidRPr="00950E2B" w:rsidRDefault="00F270A3" w:rsidP="00F270A3">
            <w:pPr>
              <w:ind w:firstLineChars="100" w:firstLine="181"/>
              <w:contextualSpacing/>
              <w:jc w:val="right"/>
              <w:rPr>
                <w:rFonts w:cs="Arial"/>
                <w:b/>
                <w:bCs/>
                <w:sz w:val="18"/>
                <w:szCs w:val="18"/>
              </w:rPr>
            </w:pPr>
            <w:r w:rsidRPr="00950E2B">
              <w:rPr>
                <w:rFonts w:cs="Arial"/>
                <w:b/>
                <w:sz w:val="18"/>
                <w:szCs w:val="18"/>
              </w:rPr>
              <w:t>1 863,2</w:t>
            </w:r>
          </w:p>
        </w:tc>
        <w:tc>
          <w:tcPr>
            <w:tcW w:w="1117" w:type="dxa"/>
            <w:shd w:val="clear" w:color="auto" w:fill="BFBFBF"/>
            <w:vAlign w:val="center"/>
          </w:tcPr>
          <w:p w14:paraId="5D341E40" w14:textId="1C4ABB7B" w:rsidR="00F270A3" w:rsidRPr="00950E2B" w:rsidRDefault="00F270A3" w:rsidP="00F270A3">
            <w:pPr>
              <w:contextualSpacing/>
              <w:jc w:val="right"/>
              <w:rPr>
                <w:rFonts w:cs="Arial"/>
                <w:b/>
                <w:bCs/>
                <w:sz w:val="18"/>
                <w:szCs w:val="18"/>
              </w:rPr>
            </w:pPr>
            <w:r w:rsidRPr="00950E2B">
              <w:rPr>
                <w:rFonts w:cs="Arial"/>
                <w:b/>
                <w:sz w:val="18"/>
                <w:szCs w:val="18"/>
              </w:rPr>
              <w:t>1 895,1</w:t>
            </w:r>
          </w:p>
        </w:tc>
        <w:tc>
          <w:tcPr>
            <w:tcW w:w="1117" w:type="dxa"/>
            <w:shd w:val="clear" w:color="auto" w:fill="BFBFBF"/>
            <w:vAlign w:val="center"/>
          </w:tcPr>
          <w:p w14:paraId="33796C4B" w14:textId="7BAE8920" w:rsidR="00F270A3" w:rsidRPr="00950E2B" w:rsidRDefault="00F270A3" w:rsidP="00F270A3">
            <w:pPr>
              <w:ind w:right="-76"/>
              <w:contextualSpacing/>
              <w:jc w:val="right"/>
              <w:rPr>
                <w:rFonts w:cs="Arial"/>
                <w:b/>
                <w:sz w:val="18"/>
                <w:szCs w:val="18"/>
              </w:rPr>
            </w:pPr>
            <w:r w:rsidRPr="00950E2B">
              <w:rPr>
                <w:rFonts w:cs="Arial"/>
                <w:b/>
                <w:sz w:val="18"/>
                <w:szCs w:val="18"/>
              </w:rPr>
              <w:t>2 343,4</w:t>
            </w:r>
          </w:p>
        </w:tc>
        <w:tc>
          <w:tcPr>
            <w:tcW w:w="1117" w:type="dxa"/>
            <w:shd w:val="clear" w:color="auto" w:fill="BFBFBF"/>
            <w:vAlign w:val="center"/>
          </w:tcPr>
          <w:p w14:paraId="543C5A6D" w14:textId="40B500A1" w:rsidR="00F270A3" w:rsidRPr="00950E2B" w:rsidRDefault="00F270A3" w:rsidP="00F270A3">
            <w:pPr>
              <w:tabs>
                <w:tab w:val="left" w:pos="870"/>
              </w:tabs>
              <w:contextualSpacing/>
              <w:jc w:val="right"/>
              <w:rPr>
                <w:rFonts w:cs="Arial"/>
                <w:b/>
                <w:sz w:val="18"/>
                <w:szCs w:val="18"/>
              </w:rPr>
            </w:pPr>
            <w:r w:rsidRPr="00950E2B">
              <w:rPr>
                <w:rFonts w:cs="Arial"/>
                <w:b/>
                <w:sz w:val="18"/>
                <w:szCs w:val="18"/>
              </w:rPr>
              <w:t>2 330,9</w:t>
            </w:r>
          </w:p>
        </w:tc>
        <w:tc>
          <w:tcPr>
            <w:tcW w:w="1117" w:type="dxa"/>
            <w:shd w:val="clear" w:color="auto" w:fill="BFBFBF"/>
            <w:vAlign w:val="center"/>
          </w:tcPr>
          <w:p w14:paraId="2A65F7FE" w14:textId="61C750F2" w:rsidR="00F270A3" w:rsidRPr="00950E2B" w:rsidRDefault="00F270A3" w:rsidP="00F270A3">
            <w:pPr>
              <w:tabs>
                <w:tab w:val="left" w:pos="870"/>
              </w:tabs>
              <w:contextualSpacing/>
              <w:jc w:val="right"/>
              <w:rPr>
                <w:rFonts w:cs="Arial"/>
                <w:b/>
                <w:sz w:val="18"/>
                <w:szCs w:val="18"/>
              </w:rPr>
            </w:pPr>
            <w:r w:rsidRPr="00950E2B">
              <w:rPr>
                <w:rFonts w:cs="Arial"/>
                <w:b/>
                <w:sz w:val="18"/>
                <w:szCs w:val="18"/>
              </w:rPr>
              <w:t>2 616,7</w:t>
            </w:r>
          </w:p>
        </w:tc>
        <w:tc>
          <w:tcPr>
            <w:tcW w:w="883" w:type="dxa"/>
            <w:shd w:val="clear" w:color="auto" w:fill="BFBFBF"/>
            <w:vAlign w:val="bottom"/>
          </w:tcPr>
          <w:p w14:paraId="24E7906F" w14:textId="308E986F" w:rsidR="00F270A3" w:rsidRPr="00950E2B" w:rsidRDefault="00F270A3" w:rsidP="00F270A3">
            <w:pPr>
              <w:contextualSpacing/>
              <w:jc w:val="right"/>
              <w:rPr>
                <w:rFonts w:cs="Arial"/>
                <w:b/>
                <w:sz w:val="18"/>
                <w:szCs w:val="18"/>
              </w:rPr>
            </w:pPr>
            <w:r w:rsidRPr="00950E2B">
              <w:rPr>
                <w:rFonts w:cs="Arial"/>
                <w:b/>
                <w:sz w:val="18"/>
                <w:szCs w:val="18"/>
              </w:rPr>
              <w:t>2 972,4</w:t>
            </w:r>
          </w:p>
        </w:tc>
        <w:tc>
          <w:tcPr>
            <w:tcW w:w="992" w:type="dxa"/>
            <w:shd w:val="clear" w:color="auto" w:fill="BFBFBF"/>
            <w:vAlign w:val="bottom"/>
          </w:tcPr>
          <w:p w14:paraId="629CBEE6" w14:textId="639B5017" w:rsidR="00F270A3" w:rsidRPr="00950E2B" w:rsidRDefault="00F270A3" w:rsidP="00F270A3">
            <w:pPr>
              <w:contextualSpacing/>
              <w:jc w:val="right"/>
              <w:rPr>
                <w:rFonts w:cs="Arial"/>
                <w:b/>
                <w:bCs/>
                <w:sz w:val="18"/>
                <w:szCs w:val="18"/>
              </w:rPr>
            </w:pPr>
            <w:r w:rsidRPr="00950E2B">
              <w:rPr>
                <w:rFonts w:cs="Arial"/>
                <w:b/>
                <w:bCs/>
                <w:sz w:val="18"/>
                <w:szCs w:val="18"/>
              </w:rPr>
              <w:t>2 768,8</w:t>
            </w:r>
          </w:p>
        </w:tc>
        <w:tc>
          <w:tcPr>
            <w:tcW w:w="850" w:type="dxa"/>
            <w:shd w:val="clear" w:color="auto" w:fill="BFBFBF"/>
            <w:vAlign w:val="bottom"/>
          </w:tcPr>
          <w:p w14:paraId="56AB0552" w14:textId="643E03C0" w:rsidR="00F270A3" w:rsidRPr="00950E2B" w:rsidRDefault="00F270A3" w:rsidP="00F270A3">
            <w:pPr>
              <w:contextualSpacing/>
              <w:jc w:val="right"/>
              <w:rPr>
                <w:rFonts w:cs="Arial"/>
                <w:b/>
                <w:bCs/>
                <w:sz w:val="18"/>
                <w:szCs w:val="18"/>
              </w:rPr>
            </w:pPr>
            <w:r w:rsidRPr="00950E2B">
              <w:rPr>
                <w:rFonts w:cs="Arial"/>
                <w:b/>
                <w:bCs/>
                <w:color w:val="000000"/>
                <w:sz w:val="18"/>
                <w:szCs w:val="18"/>
              </w:rPr>
              <w:t>2 785,4</w:t>
            </w:r>
          </w:p>
        </w:tc>
        <w:tc>
          <w:tcPr>
            <w:tcW w:w="850" w:type="dxa"/>
            <w:shd w:val="clear" w:color="auto" w:fill="BFBFBF"/>
            <w:vAlign w:val="bottom"/>
          </w:tcPr>
          <w:p w14:paraId="072D988D" w14:textId="14676CDD" w:rsidR="00F270A3" w:rsidRPr="00950E2B" w:rsidRDefault="00F270A3" w:rsidP="00F270A3">
            <w:pPr>
              <w:contextualSpacing/>
              <w:jc w:val="right"/>
              <w:rPr>
                <w:rFonts w:cs="Arial"/>
                <w:b/>
                <w:bCs/>
                <w:color w:val="000000"/>
                <w:sz w:val="18"/>
                <w:szCs w:val="18"/>
              </w:rPr>
            </w:pPr>
            <w:r w:rsidRPr="00950E2B">
              <w:rPr>
                <w:rFonts w:cs="Arial"/>
                <w:b/>
                <w:bCs/>
                <w:color w:val="000000"/>
                <w:sz w:val="18"/>
                <w:szCs w:val="18"/>
              </w:rPr>
              <w:t>2 632,9</w:t>
            </w:r>
          </w:p>
        </w:tc>
        <w:tc>
          <w:tcPr>
            <w:tcW w:w="850" w:type="dxa"/>
            <w:shd w:val="clear" w:color="auto" w:fill="BFBFBF"/>
            <w:vAlign w:val="bottom"/>
          </w:tcPr>
          <w:p w14:paraId="1B933495" w14:textId="42E86607" w:rsidR="00F270A3" w:rsidRPr="00950E2B" w:rsidRDefault="00F270A3" w:rsidP="00F270A3">
            <w:pPr>
              <w:contextualSpacing/>
              <w:jc w:val="right"/>
              <w:rPr>
                <w:rFonts w:cs="Arial"/>
                <w:b/>
                <w:bCs/>
                <w:color w:val="000000"/>
                <w:sz w:val="18"/>
                <w:szCs w:val="18"/>
              </w:rPr>
            </w:pPr>
            <w:r w:rsidRPr="00950E2B">
              <w:rPr>
                <w:rFonts w:cs="Arial"/>
                <w:color w:val="000000"/>
                <w:sz w:val="18"/>
                <w:szCs w:val="18"/>
              </w:rPr>
              <w:t>2</w:t>
            </w:r>
            <w:r w:rsidR="00950E2B" w:rsidRPr="00950E2B">
              <w:rPr>
                <w:rFonts w:cs="Arial"/>
                <w:color w:val="000000"/>
                <w:sz w:val="18"/>
                <w:szCs w:val="18"/>
              </w:rPr>
              <w:t xml:space="preserve"> </w:t>
            </w:r>
            <w:r w:rsidRPr="00950E2B">
              <w:rPr>
                <w:rFonts w:cs="Arial"/>
                <w:color w:val="000000"/>
                <w:sz w:val="18"/>
                <w:szCs w:val="18"/>
              </w:rPr>
              <w:t>791,8</w:t>
            </w:r>
          </w:p>
        </w:tc>
      </w:tr>
    </w:tbl>
    <w:p w14:paraId="6C52A533" w14:textId="33422F21" w:rsidR="00487726" w:rsidRPr="00950E2B" w:rsidRDefault="00487726" w:rsidP="007C4955">
      <w:pPr>
        <w:contextualSpacing/>
        <w:rPr>
          <w:rFonts w:cs="Arial"/>
          <w:i/>
          <w:sz w:val="20"/>
          <w:szCs w:val="20"/>
        </w:rPr>
      </w:pPr>
      <w:r w:rsidRPr="00950E2B">
        <w:rPr>
          <w:rFonts w:cs="Arial"/>
          <w:i/>
          <w:sz w:val="20"/>
          <w:szCs w:val="20"/>
        </w:rPr>
        <w:t xml:space="preserve">Pramen: </w:t>
      </w:r>
      <w:r w:rsidR="00340859" w:rsidRPr="00950E2B">
        <w:rPr>
          <w:rFonts w:cs="Arial"/>
          <w:i/>
          <w:sz w:val="20"/>
          <w:szCs w:val="20"/>
        </w:rPr>
        <w:t>s</w:t>
      </w:r>
      <w:r w:rsidR="00AB119C" w:rsidRPr="00950E2B">
        <w:rPr>
          <w:rFonts w:cs="Arial"/>
          <w:i/>
          <w:sz w:val="20"/>
          <w:szCs w:val="20"/>
        </w:rPr>
        <w:t>.</w:t>
      </w:r>
      <w:r w:rsidRPr="00950E2B">
        <w:rPr>
          <w:rFonts w:cs="Arial"/>
          <w:i/>
          <w:sz w:val="20"/>
          <w:szCs w:val="20"/>
        </w:rPr>
        <w:t> p. Povodí</w:t>
      </w:r>
    </w:p>
    <w:p w14:paraId="39989488" w14:textId="77777777" w:rsidR="00487726" w:rsidRPr="00950E2B" w:rsidRDefault="00487726" w:rsidP="007C4955">
      <w:pPr>
        <w:contextualSpacing/>
        <w:rPr>
          <w:noProof/>
          <w:color w:val="FF0000"/>
        </w:rPr>
      </w:pPr>
      <w:bookmarkStart w:id="80" w:name="_Toc482564982"/>
    </w:p>
    <w:p w14:paraId="31DC7F0E" w14:textId="77777777" w:rsidR="008845E8" w:rsidRDefault="008845E8" w:rsidP="007C4955">
      <w:pPr>
        <w:contextualSpacing/>
        <w:rPr>
          <w:rFonts w:eastAsia="Arial Unicode MS" w:cs="Arial"/>
          <w:b/>
          <w:i/>
          <w:noProof/>
          <w:highlight w:val="yellow"/>
        </w:rPr>
      </w:pPr>
    </w:p>
    <w:p w14:paraId="2D86FAC0" w14:textId="582EADE0" w:rsidR="00487726" w:rsidRPr="006474DC" w:rsidRDefault="00487726" w:rsidP="007C4955">
      <w:pPr>
        <w:contextualSpacing/>
        <w:rPr>
          <w:rFonts w:eastAsia="Arial Unicode MS" w:cs="Arial"/>
          <w:b/>
          <w:i/>
          <w:noProof/>
        </w:rPr>
      </w:pPr>
      <w:r w:rsidRPr="006474DC">
        <w:rPr>
          <w:rFonts w:eastAsia="Arial Unicode MS" w:cs="Arial"/>
          <w:b/>
          <w:i/>
          <w:noProof/>
        </w:rPr>
        <w:t>Graf 6.2.</w:t>
      </w:r>
      <w:bookmarkEnd w:id="80"/>
      <w:r w:rsidR="00120D10" w:rsidRPr="006474DC">
        <w:rPr>
          <w:rFonts w:eastAsia="Arial Unicode MS" w:cs="Arial"/>
          <w:b/>
          <w:i/>
          <w:noProof/>
        </w:rPr>
        <w:t>6</w:t>
      </w:r>
    </w:p>
    <w:p w14:paraId="2E4E6D52" w14:textId="466A922A" w:rsidR="00487726" w:rsidRPr="006474DC" w:rsidRDefault="00487726" w:rsidP="007C4955">
      <w:pPr>
        <w:contextualSpacing/>
        <w:rPr>
          <w:rFonts w:eastAsia="Arial Unicode MS" w:cs="Arial"/>
          <w:b/>
          <w:i/>
          <w:noProof/>
        </w:rPr>
      </w:pPr>
      <w:bookmarkStart w:id="81" w:name="_Toc482564983"/>
      <w:r w:rsidRPr="006474DC">
        <w:rPr>
          <w:rFonts w:eastAsia="Arial Unicode MS" w:cs="Arial"/>
          <w:b/>
          <w:i/>
          <w:noProof/>
        </w:rPr>
        <w:t xml:space="preserve">Vývoj investiční výstavby </w:t>
      </w:r>
      <w:r w:rsidRPr="006474DC">
        <w:rPr>
          <w:rFonts w:eastAsia="Arial Unicode MS" w:cs="Arial"/>
          <w:b/>
          <w:i/>
        </w:rPr>
        <w:t xml:space="preserve">státních podniků </w:t>
      </w:r>
      <w:r w:rsidRPr="006474DC">
        <w:rPr>
          <w:rFonts w:eastAsia="Arial Unicode MS" w:cs="Arial"/>
          <w:b/>
          <w:i/>
          <w:noProof/>
        </w:rPr>
        <w:t>Povodí v letech 20</w:t>
      </w:r>
      <w:r w:rsidR="006018DE" w:rsidRPr="006474DC">
        <w:rPr>
          <w:rFonts w:eastAsia="Arial Unicode MS" w:cs="Arial"/>
          <w:b/>
          <w:i/>
          <w:noProof/>
        </w:rPr>
        <w:t>1</w:t>
      </w:r>
      <w:r w:rsidR="008118B8" w:rsidRPr="006474DC">
        <w:rPr>
          <w:rFonts w:eastAsia="Arial Unicode MS" w:cs="Arial"/>
          <w:b/>
          <w:i/>
          <w:noProof/>
        </w:rPr>
        <w:t>2</w:t>
      </w:r>
      <w:r w:rsidRPr="006474DC">
        <w:rPr>
          <w:rFonts w:eastAsia="Arial Unicode MS" w:cs="Arial"/>
          <w:b/>
          <w:i/>
        </w:rPr>
        <w:t>–</w:t>
      </w:r>
      <w:r w:rsidRPr="006474DC">
        <w:rPr>
          <w:rFonts w:eastAsia="Arial Unicode MS" w:cs="Arial"/>
          <w:b/>
          <w:i/>
          <w:noProof/>
        </w:rPr>
        <w:t>20</w:t>
      </w:r>
      <w:bookmarkEnd w:id="81"/>
      <w:r w:rsidR="006018DE" w:rsidRPr="006474DC">
        <w:rPr>
          <w:rFonts w:eastAsia="Arial Unicode MS" w:cs="Arial"/>
          <w:b/>
          <w:i/>
          <w:noProof/>
        </w:rPr>
        <w:t>2</w:t>
      </w:r>
      <w:r w:rsidR="006474DC">
        <w:rPr>
          <w:rFonts w:eastAsia="Arial Unicode MS" w:cs="Arial"/>
          <w:b/>
          <w:i/>
          <w:noProof/>
        </w:rPr>
        <w:t>5</w:t>
      </w:r>
    </w:p>
    <w:p w14:paraId="11C4A6E7" w14:textId="7F18B2A7" w:rsidR="00487726" w:rsidRPr="006474DC" w:rsidRDefault="00B505C2" w:rsidP="007C4955">
      <w:pPr>
        <w:contextualSpacing/>
        <w:rPr>
          <w:rFonts w:eastAsia="Arial Unicode MS" w:cs="Arial"/>
          <w:b/>
          <w:i/>
          <w:noProof/>
        </w:rPr>
      </w:pPr>
      <w:r>
        <w:rPr>
          <w:noProof/>
        </w:rPr>
        <w:drawing>
          <wp:inline distT="0" distB="0" distL="0" distR="0" wp14:anchorId="718AAFF8" wp14:editId="708DAE4F">
            <wp:extent cx="4638675" cy="2333625"/>
            <wp:effectExtent l="0" t="0" r="9525" b="9525"/>
            <wp:docPr id="1960945234" name="Graf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32B20405" w14:textId="3D9D4CE5" w:rsidR="008118B8" w:rsidRPr="006474DC" w:rsidRDefault="00487726" w:rsidP="007C4955">
      <w:pPr>
        <w:contextualSpacing/>
        <w:rPr>
          <w:rFonts w:cs="Arial"/>
          <w:noProof/>
          <w:sz w:val="20"/>
          <w:szCs w:val="20"/>
        </w:rPr>
      </w:pPr>
      <w:r w:rsidRPr="006474DC">
        <w:rPr>
          <w:rFonts w:cs="Arial"/>
          <w:i/>
          <w:noProof/>
          <w:sz w:val="20"/>
          <w:szCs w:val="20"/>
        </w:rPr>
        <w:t>Pramen: MZe, s. p. Povodí</w:t>
      </w:r>
      <w:bookmarkStart w:id="82" w:name="_Toc482564984"/>
    </w:p>
    <w:p w14:paraId="6EEF35FA" w14:textId="77777777" w:rsidR="00006811" w:rsidRPr="00104F7D" w:rsidRDefault="00006811" w:rsidP="007C4955">
      <w:pPr>
        <w:contextualSpacing/>
        <w:rPr>
          <w:b/>
          <w:i/>
          <w:highlight w:val="yellow"/>
        </w:rPr>
      </w:pPr>
    </w:p>
    <w:p w14:paraId="6B2441DC" w14:textId="77777777" w:rsidR="00E76DFC" w:rsidRDefault="00E76DFC" w:rsidP="007C4955">
      <w:pPr>
        <w:contextualSpacing/>
        <w:rPr>
          <w:b/>
          <w:i/>
        </w:rPr>
      </w:pPr>
    </w:p>
    <w:p w14:paraId="2D3FDE72" w14:textId="77777777" w:rsidR="00E76DFC" w:rsidRDefault="00E76DFC" w:rsidP="007C4955">
      <w:pPr>
        <w:contextualSpacing/>
        <w:rPr>
          <w:b/>
          <w:i/>
        </w:rPr>
      </w:pPr>
    </w:p>
    <w:p w14:paraId="3564DCD5" w14:textId="77777777" w:rsidR="00E76DFC" w:rsidRDefault="00E76DFC" w:rsidP="007C4955">
      <w:pPr>
        <w:contextualSpacing/>
        <w:rPr>
          <w:b/>
          <w:i/>
        </w:rPr>
      </w:pPr>
    </w:p>
    <w:p w14:paraId="22CC8A34" w14:textId="77777777" w:rsidR="00E76DFC" w:rsidRDefault="00E76DFC" w:rsidP="007C4955">
      <w:pPr>
        <w:contextualSpacing/>
        <w:rPr>
          <w:b/>
          <w:i/>
        </w:rPr>
      </w:pPr>
    </w:p>
    <w:p w14:paraId="49D46420" w14:textId="77777777" w:rsidR="00E76DFC" w:rsidRDefault="00E76DFC" w:rsidP="007C4955">
      <w:pPr>
        <w:contextualSpacing/>
        <w:rPr>
          <w:b/>
          <w:i/>
        </w:rPr>
      </w:pPr>
    </w:p>
    <w:p w14:paraId="72904566" w14:textId="77777777" w:rsidR="00E76DFC" w:rsidRDefault="00E76DFC" w:rsidP="007C4955">
      <w:pPr>
        <w:contextualSpacing/>
        <w:rPr>
          <w:b/>
          <w:i/>
        </w:rPr>
      </w:pPr>
    </w:p>
    <w:p w14:paraId="145F9649" w14:textId="77777777" w:rsidR="00E76DFC" w:rsidRDefault="00E76DFC" w:rsidP="007C4955">
      <w:pPr>
        <w:contextualSpacing/>
        <w:rPr>
          <w:b/>
          <w:i/>
        </w:rPr>
      </w:pPr>
    </w:p>
    <w:p w14:paraId="6EDD2FC8" w14:textId="77777777" w:rsidR="00E76DFC" w:rsidRDefault="00E76DFC" w:rsidP="007C4955">
      <w:pPr>
        <w:contextualSpacing/>
        <w:rPr>
          <w:b/>
          <w:i/>
        </w:rPr>
      </w:pPr>
    </w:p>
    <w:p w14:paraId="412DBD28" w14:textId="77777777" w:rsidR="00E76DFC" w:rsidRDefault="00E76DFC" w:rsidP="007C4955">
      <w:pPr>
        <w:contextualSpacing/>
        <w:rPr>
          <w:b/>
          <w:i/>
        </w:rPr>
      </w:pPr>
    </w:p>
    <w:p w14:paraId="31DA86A9" w14:textId="77777777" w:rsidR="00E76DFC" w:rsidRDefault="00E76DFC" w:rsidP="007C4955">
      <w:pPr>
        <w:contextualSpacing/>
        <w:rPr>
          <w:b/>
          <w:i/>
        </w:rPr>
      </w:pPr>
    </w:p>
    <w:p w14:paraId="11B3F18E" w14:textId="77777777" w:rsidR="00E76DFC" w:rsidRDefault="00E76DFC" w:rsidP="007C4955">
      <w:pPr>
        <w:contextualSpacing/>
        <w:rPr>
          <w:b/>
          <w:i/>
        </w:rPr>
      </w:pPr>
    </w:p>
    <w:p w14:paraId="1248A3AF" w14:textId="77777777" w:rsidR="00E76DFC" w:rsidRDefault="00E76DFC" w:rsidP="007C4955">
      <w:pPr>
        <w:contextualSpacing/>
        <w:rPr>
          <w:b/>
          <w:i/>
        </w:rPr>
      </w:pPr>
    </w:p>
    <w:p w14:paraId="5721BF82" w14:textId="77777777" w:rsidR="00E76DFC" w:rsidRDefault="00E76DFC" w:rsidP="007C4955">
      <w:pPr>
        <w:contextualSpacing/>
        <w:rPr>
          <w:b/>
          <w:i/>
        </w:rPr>
      </w:pPr>
    </w:p>
    <w:p w14:paraId="1655DCB4" w14:textId="77777777" w:rsidR="00E76DFC" w:rsidRDefault="00E76DFC" w:rsidP="007C4955">
      <w:pPr>
        <w:contextualSpacing/>
        <w:rPr>
          <w:b/>
          <w:i/>
        </w:rPr>
      </w:pPr>
    </w:p>
    <w:p w14:paraId="70E0812F" w14:textId="77777777" w:rsidR="00E76DFC" w:rsidRDefault="00E76DFC" w:rsidP="007C4955">
      <w:pPr>
        <w:contextualSpacing/>
        <w:rPr>
          <w:b/>
          <w:i/>
        </w:rPr>
      </w:pPr>
    </w:p>
    <w:p w14:paraId="2AA2D7F2" w14:textId="7700B303" w:rsidR="00487726" w:rsidRPr="007D00B3" w:rsidRDefault="00487726" w:rsidP="007C4955">
      <w:pPr>
        <w:contextualSpacing/>
        <w:rPr>
          <w:b/>
          <w:i/>
        </w:rPr>
      </w:pPr>
      <w:r w:rsidRPr="007D00B3">
        <w:rPr>
          <w:b/>
          <w:i/>
        </w:rPr>
        <w:t>Graf 6.2.</w:t>
      </w:r>
      <w:r w:rsidR="00120D10" w:rsidRPr="007D00B3">
        <w:rPr>
          <w:b/>
          <w:i/>
        </w:rPr>
        <w:t>7</w:t>
      </w:r>
    </w:p>
    <w:p w14:paraId="44431C48" w14:textId="2340EE91" w:rsidR="00487726" w:rsidRPr="007D00B3" w:rsidRDefault="00487726" w:rsidP="007C4955">
      <w:pPr>
        <w:contextualSpacing/>
        <w:rPr>
          <w:b/>
          <w:i/>
        </w:rPr>
      </w:pPr>
      <w:r w:rsidRPr="007D00B3">
        <w:rPr>
          <w:b/>
          <w:i/>
        </w:rPr>
        <w:t>Struktura čerpání investičních prostředků podle zdrojů v jednotlivých státních podnicích Povodí v roce 20</w:t>
      </w:r>
      <w:r w:rsidR="00F176C1" w:rsidRPr="007D00B3">
        <w:rPr>
          <w:b/>
          <w:i/>
        </w:rPr>
        <w:t>2</w:t>
      </w:r>
      <w:r w:rsidR="0038607D" w:rsidRPr="007D00B3">
        <w:rPr>
          <w:b/>
          <w:i/>
        </w:rPr>
        <w:t>5</w:t>
      </w:r>
    </w:p>
    <w:p w14:paraId="2DEE99FB" w14:textId="5B28081E" w:rsidR="0035406C" w:rsidRDefault="008D1E36" w:rsidP="007C4955">
      <w:pPr>
        <w:contextualSpacing/>
        <w:rPr>
          <w:b/>
          <w:i/>
          <w:highlight w:val="yellow"/>
        </w:rPr>
      </w:pPr>
      <w:r>
        <w:rPr>
          <w:noProof/>
        </w:rPr>
        <w:drawing>
          <wp:inline distT="0" distB="0" distL="0" distR="0" wp14:anchorId="29CC4695" wp14:editId="64CEEF68">
            <wp:extent cx="2933700" cy="2667000"/>
            <wp:effectExtent l="0" t="0" r="0" b="0"/>
            <wp:docPr id="513385807" name="Graf 1">
              <a:extLst xmlns:a="http://schemas.openxmlformats.org/drawingml/2006/main">
                <a:ext uri="{FF2B5EF4-FFF2-40B4-BE49-F238E27FC236}">
                  <a16:creationId xmlns:a16="http://schemas.microsoft.com/office/drawing/2014/main" id="{0FB35E0C-70A2-C820-3CA9-83DD1050D8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51E64C06" w14:textId="1F16403C" w:rsidR="007D00B3" w:rsidRPr="00104F7D" w:rsidRDefault="007D00B3" w:rsidP="007C4955">
      <w:pPr>
        <w:contextualSpacing/>
        <w:rPr>
          <w:b/>
          <w:i/>
          <w:highlight w:val="yellow"/>
        </w:rPr>
      </w:pPr>
      <w:r>
        <w:rPr>
          <w:noProof/>
        </w:rPr>
        <w:drawing>
          <wp:inline distT="0" distB="0" distL="0" distR="0" wp14:anchorId="2A91B5AE" wp14:editId="08C65FE5">
            <wp:extent cx="2933700" cy="2200275"/>
            <wp:effectExtent l="0" t="0" r="0" b="9525"/>
            <wp:docPr id="332787798" name="Graf 1">
              <a:extLst xmlns:a="http://schemas.openxmlformats.org/drawingml/2006/main">
                <a:ext uri="{FF2B5EF4-FFF2-40B4-BE49-F238E27FC236}">
                  <a16:creationId xmlns:a16="http://schemas.microsoft.com/office/drawing/2014/main" id="{F927CDDF-5774-1CD0-47FB-BDFC198391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r w:rsidR="00B5513A">
        <w:rPr>
          <w:noProof/>
        </w:rPr>
        <w:drawing>
          <wp:inline distT="0" distB="0" distL="0" distR="0" wp14:anchorId="33AB0641" wp14:editId="431BB7E4">
            <wp:extent cx="2828925" cy="2076450"/>
            <wp:effectExtent l="0" t="0" r="9525" b="0"/>
            <wp:docPr id="1400267674" name="Graf 1">
              <a:extLst xmlns:a="http://schemas.openxmlformats.org/drawingml/2006/main">
                <a:ext uri="{FF2B5EF4-FFF2-40B4-BE49-F238E27FC236}">
                  <a16:creationId xmlns:a16="http://schemas.microsoft.com/office/drawing/2014/main" id="{7A45C19E-019E-D785-53E5-3CF48DDDEF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641CE313" w14:textId="6E6403D8" w:rsidR="00901C03" w:rsidRDefault="00306ED1" w:rsidP="007C4955">
      <w:pPr>
        <w:contextualSpacing/>
        <w:rPr>
          <w:b/>
          <w:i/>
          <w:noProof/>
          <w:highlight w:val="yellow"/>
        </w:rPr>
      </w:pPr>
      <w:r>
        <w:rPr>
          <w:noProof/>
        </w:rPr>
        <w:drawing>
          <wp:inline distT="0" distB="0" distL="0" distR="0" wp14:anchorId="76326B32" wp14:editId="52F04F35">
            <wp:extent cx="2828925" cy="2105025"/>
            <wp:effectExtent l="0" t="0" r="9525" b="9525"/>
            <wp:docPr id="594559462" name="Graf 1">
              <a:extLst xmlns:a="http://schemas.openxmlformats.org/drawingml/2006/main">
                <a:ext uri="{FF2B5EF4-FFF2-40B4-BE49-F238E27FC236}">
                  <a16:creationId xmlns:a16="http://schemas.microsoft.com/office/drawing/2014/main" id="{D25DDE7D-7C45-6416-0CD6-C9E0746D1E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0850A928" w14:textId="6256943B" w:rsidR="009D46C3" w:rsidRPr="00104F7D" w:rsidRDefault="009D46C3" w:rsidP="007C4955">
      <w:pPr>
        <w:contextualSpacing/>
        <w:rPr>
          <w:b/>
          <w:i/>
          <w:noProof/>
          <w:highlight w:val="yellow"/>
        </w:rPr>
      </w:pPr>
    </w:p>
    <w:p w14:paraId="15D20508" w14:textId="20E4F45C" w:rsidR="00901C03" w:rsidRPr="00104F7D" w:rsidRDefault="00306ED1" w:rsidP="007C4955">
      <w:pPr>
        <w:contextualSpacing/>
        <w:rPr>
          <w:b/>
          <w:i/>
          <w:noProof/>
          <w:highlight w:val="yellow"/>
        </w:rPr>
      </w:pPr>
      <w:r>
        <w:rPr>
          <w:noProof/>
        </w:rPr>
        <w:drawing>
          <wp:inline distT="0" distB="0" distL="0" distR="0" wp14:anchorId="0A7F30A3" wp14:editId="1B158650">
            <wp:extent cx="2933700" cy="2266950"/>
            <wp:effectExtent l="0" t="0" r="0" b="0"/>
            <wp:docPr id="254264938" name="Graf 1">
              <a:extLst xmlns:a="http://schemas.openxmlformats.org/drawingml/2006/main">
                <a:ext uri="{FF2B5EF4-FFF2-40B4-BE49-F238E27FC236}">
                  <a16:creationId xmlns:a16="http://schemas.microsoft.com/office/drawing/2014/main" id="{AA2F80B0-3B68-0BF8-FF8F-8934D66E8E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2E3BD78D" w14:textId="77777777" w:rsidR="00487726" w:rsidRPr="00306ED1" w:rsidRDefault="00487726" w:rsidP="007C4955">
      <w:pPr>
        <w:pStyle w:val="Doplnktabulek"/>
        <w:spacing w:before="0"/>
        <w:contextualSpacing/>
        <w:rPr>
          <w:rFonts w:ascii="Arial" w:hAnsi="Arial" w:cs="Arial"/>
          <w:i/>
          <w:noProof/>
          <w:sz w:val="20"/>
        </w:rPr>
      </w:pPr>
      <w:r w:rsidRPr="00306ED1">
        <w:rPr>
          <w:rFonts w:ascii="Arial" w:hAnsi="Arial" w:cs="Arial"/>
          <w:i/>
          <w:noProof/>
          <w:sz w:val="20"/>
        </w:rPr>
        <w:t>Pramen: MZe, s. p. Povodí</w:t>
      </w:r>
    </w:p>
    <w:bookmarkEnd w:id="82"/>
    <w:p w14:paraId="450D9CAB" w14:textId="77777777" w:rsidR="001B6D51" w:rsidRDefault="001B6D51" w:rsidP="00164A2D">
      <w:pPr>
        <w:rPr>
          <w:rStyle w:val="Siln"/>
          <w:rFonts w:cs="Arial"/>
          <w:bCs w:val="0"/>
          <w:highlight w:val="yellow"/>
        </w:rPr>
      </w:pPr>
    </w:p>
    <w:p w14:paraId="640D04BE" w14:textId="012EAE1B" w:rsidR="00164A2D" w:rsidRPr="0060789C" w:rsidRDefault="00124AF5" w:rsidP="00164A2D">
      <w:pPr>
        <w:rPr>
          <w:rStyle w:val="Siln"/>
          <w:rFonts w:cs="Arial"/>
          <w:bCs w:val="0"/>
          <w:i/>
          <w:noProof/>
          <w:sz w:val="18"/>
          <w:szCs w:val="18"/>
        </w:rPr>
      </w:pPr>
      <w:r w:rsidRPr="0060789C">
        <w:rPr>
          <w:rStyle w:val="Siln"/>
          <w:rFonts w:cs="Arial"/>
          <w:bCs w:val="0"/>
        </w:rPr>
        <w:t>Stejně jako v loňském roce došlo o</w:t>
      </w:r>
      <w:r w:rsidR="00164A2D" w:rsidRPr="0060789C">
        <w:rPr>
          <w:rStyle w:val="Siln"/>
          <w:rFonts w:cs="Arial"/>
          <w:bCs w:val="0"/>
        </w:rPr>
        <w:t>proti předchozímu roku v roce 202</w:t>
      </w:r>
      <w:r w:rsidR="00D264F9" w:rsidRPr="0060789C">
        <w:rPr>
          <w:rStyle w:val="Siln"/>
          <w:rFonts w:cs="Arial"/>
          <w:bCs w:val="0"/>
        </w:rPr>
        <w:t>5</w:t>
      </w:r>
      <w:r w:rsidR="00164A2D" w:rsidRPr="0060789C">
        <w:rPr>
          <w:rStyle w:val="Siln"/>
          <w:rFonts w:cs="Arial"/>
          <w:bCs w:val="0"/>
        </w:rPr>
        <w:t xml:space="preserve"> ke snížení počtu zaměstnanců</w:t>
      </w:r>
      <w:r w:rsidR="001215D6" w:rsidRPr="0060789C">
        <w:rPr>
          <w:rStyle w:val="Siln"/>
          <w:rFonts w:cs="Arial"/>
          <w:bCs w:val="0"/>
        </w:rPr>
        <w:t>, a to</w:t>
      </w:r>
      <w:r w:rsidR="00164A2D" w:rsidRPr="0060789C">
        <w:rPr>
          <w:rStyle w:val="Siln"/>
          <w:rFonts w:cs="Arial"/>
          <w:bCs w:val="0"/>
        </w:rPr>
        <w:t xml:space="preserve"> o </w:t>
      </w:r>
      <w:r w:rsidR="00416B35" w:rsidRPr="0060789C">
        <w:rPr>
          <w:rStyle w:val="Siln"/>
          <w:rFonts w:cs="Arial"/>
          <w:bCs w:val="0"/>
        </w:rPr>
        <w:t>34</w:t>
      </w:r>
      <w:r w:rsidR="00164A2D" w:rsidRPr="0060789C">
        <w:rPr>
          <w:rStyle w:val="Siln"/>
          <w:rFonts w:cs="Arial"/>
          <w:bCs w:val="0"/>
        </w:rPr>
        <w:t xml:space="preserve">, celkem bylo ve státních podnicích Povodí v tomto roce zaměstnáno 3 </w:t>
      </w:r>
      <w:r w:rsidR="0060789C" w:rsidRPr="0060789C">
        <w:rPr>
          <w:rStyle w:val="Siln"/>
          <w:rFonts w:cs="Arial"/>
          <w:bCs w:val="0"/>
        </w:rPr>
        <w:t>376</w:t>
      </w:r>
      <w:r w:rsidR="00164A2D" w:rsidRPr="0060789C">
        <w:rPr>
          <w:rStyle w:val="Siln"/>
          <w:rFonts w:cs="Arial"/>
          <w:bCs w:val="0"/>
        </w:rPr>
        <w:t xml:space="preserve"> pracovníků.</w:t>
      </w:r>
    </w:p>
    <w:p w14:paraId="49A461F2" w14:textId="77777777" w:rsidR="00A355B1" w:rsidRPr="00104F7D" w:rsidRDefault="00A355B1" w:rsidP="007C4955">
      <w:pPr>
        <w:contextualSpacing/>
        <w:rPr>
          <w:b/>
          <w:i/>
          <w:highlight w:val="yellow"/>
        </w:rPr>
      </w:pPr>
      <w:bookmarkStart w:id="83" w:name="_Toc482564989"/>
    </w:p>
    <w:p w14:paraId="455A31FC" w14:textId="1F7AEB5F" w:rsidR="00487726" w:rsidRPr="00654842" w:rsidRDefault="00487726" w:rsidP="007C4955">
      <w:pPr>
        <w:contextualSpacing/>
        <w:rPr>
          <w:b/>
          <w:i/>
        </w:rPr>
      </w:pPr>
      <w:r w:rsidRPr="00654842">
        <w:rPr>
          <w:b/>
          <w:i/>
        </w:rPr>
        <w:t>Tabulka 6.2.</w:t>
      </w:r>
      <w:r w:rsidR="00120D10" w:rsidRPr="00654842">
        <w:rPr>
          <w:b/>
          <w:i/>
        </w:rPr>
        <w:t>12</w:t>
      </w:r>
      <w:bookmarkEnd w:id="83"/>
    </w:p>
    <w:p w14:paraId="303C7C38" w14:textId="220E49EB" w:rsidR="00487726" w:rsidRPr="00654842" w:rsidRDefault="00487726" w:rsidP="007C4955">
      <w:pPr>
        <w:contextualSpacing/>
        <w:rPr>
          <w:b/>
          <w:i/>
        </w:rPr>
      </w:pPr>
      <w:r w:rsidRPr="00654842">
        <w:rPr>
          <w:b/>
          <w:i/>
        </w:rPr>
        <w:t xml:space="preserve">Počet pracovníků státních podniků Povodí v letech </w:t>
      </w:r>
      <w:r w:rsidR="006860AB" w:rsidRPr="00654842">
        <w:rPr>
          <w:b/>
          <w:i/>
        </w:rPr>
        <w:t>201</w:t>
      </w:r>
      <w:r w:rsidR="00D57CE0" w:rsidRPr="00654842">
        <w:rPr>
          <w:b/>
          <w:i/>
        </w:rPr>
        <w:t>6</w:t>
      </w:r>
      <w:r w:rsidR="006860AB" w:rsidRPr="00654842">
        <w:rPr>
          <w:b/>
          <w:i/>
        </w:rPr>
        <w:t>–20</w:t>
      </w:r>
      <w:r w:rsidR="00736DAA" w:rsidRPr="00654842">
        <w:rPr>
          <w:b/>
          <w:i/>
        </w:rPr>
        <w:t>2</w:t>
      </w:r>
      <w:r w:rsidR="0060789C">
        <w:rPr>
          <w:b/>
          <w:i/>
        </w:rPr>
        <w:t>5</w:t>
      </w:r>
    </w:p>
    <w:tbl>
      <w:tblPr>
        <w:tblW w:w="10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27" w:type="dxa"/>
        </w:tblCellMar>
        <w:tblLook w:val="04A0" w:firstRow="1" w:lastRow="0" w:firstColumn="1" w:lastColumn="0" w:noHBand="0" w:noVBand="1"/>
      </w:tblPr>
      <w:tblGrid>
        <w:gridCol w:w="1423"/>
        <w:gridCol w:w="1077"/>
        <w:gridCol w:w="1077"/>
        <w:gridCol w:w="1077"/>
        <w:gridCol w:w="1077"/>
        <w:gridCol w:w="1077"/>
        <w:gridCol w:w="1077"/>
        <w:gridCol w:w="757"/>
        <w:gridCol w:w="709"/>
        <w:gridCol w:w="709"/>
        <w:gridCol w:w="709"/>
      </w:tblGrid>
      <w:tr w:rsidR="00306ED1" w:rsidRPr="00654842" w14:paraId="58A2282A" w14:textId="3D5583F9" w:rsidTr="00306ED1">
        <w:trPr>
          <w:trHeight w:val="20"/>
          <w:jc w:val="center"/>
        </w:trPr>
        <w:tc>
          <w:tcPr>
            <w:tcW w:w="1423" w:type="dxa"/>
            <w:shd w:val="clear" w:color="auto" w:fill="BFBFBF"/>
            <w:vAlign w:val="center"/>
            <w:hideMark/>
          </w:tcPr>
          <w:p w14:paraId="1B764ADC" w14:textId="77777777" w:rsidR="00306ED1" w:rsidRPr="00654842" w:rsidRDefault="00306ED1" w:rsidP="00D57CE0">
            <w:pPr>
              <w:contextualSpacing/>
              <w:rPr>
                <w:rFonts w:cs="Arial"/>
                <w:b/>
                <w:bCs/>
                <w:sz w:val="18"/>
                <w:szCs w:val="18"/>
              </w:rPr>
            </w:pPr>
            <w:r w:rsidRPr="00654842">
              <w:rPr>
                <w:rFonts w:cs="Arial"/>
                <w:b/>
                <w:bCs/>
                <w:sz w:val="18"/>
                <w:szCs w:val="18"/>
              </w:rPr>
              <w:t>Státní podnik Povodí</w:t>
            </w:r>
          </w:p>
        </w:tc>
        <w:tc>
          <w:tcPr>
            <w:tcW w:w="1077" w:type="dxa"/>
            <w:shd w:val="clear" w:color="auto" w:fill="BFBFBF"/>
            <w:vAlign w:val="center"/>
            <w:hideMark/>
          </w:tcPr>
          <w:p w14:paraId="24229D96" w14:textId="595008C1" w:rsidR="00306ED1" w:rsidRPr="00654842" w:rsidRDefault="00306ED1" w:rsidP="00D57CE0">
            <w:pPr>
              <w:contextualSpacing/>
              <w:jc w:val="right"/>
              <w:rPr>
                <w:rFonts w:cs="Arial"/>
                <w:b/>
                <w:sz w:val="18"/>
                <w:szCs w:val="18"/>
              </w:rPr>
            </w:pPr>
            <w:r w:rsidRPr="00654842">
              <w:rPr>
                <w:rFonts w:cs="Arial"/>
                <w:b/>
                <w:sz w:val="18"/>
                <w:szCs w:val="18"/>
              </w:rPr>
              <w:t>2016</w:t>
            </w:r>
          </w:p>
        </w:tc>
        <w:tc>
          <w:tcPr>
            <w:tcW w:w="1077" w:type="dxa"/>
            <w:shd w:val="clear" w:color="auto" w:fill="BFBFBF"/>
            <w:vAlign w:val="center"/>
            <w:hideMark/>
          </w:tcPr>
          <w:p w14:paraId="5F0437CA" w14:textId="5D5C98A7" w:rsidR="00306ED1" w:rsidRPr="00654842" w:rsidRDefault="00306ED1" w:rsidP="00D57CE0">
            <w:pPr>
              <w:contextualSpacing/>
              <w:jc w:val="right"/>
              <w:rPr>
                <w:rFonts w:cs="Arial"/>
                <w:b/>
                <w:sz w:val="18"/>
                <w:szCs w:val="18"/>
              </w:rPr>
            </w:pPr>
            <w:r w:rsidRPr="00654842">
              <w:rPr>
                <w:rFonts w:cs="Arial"/>
                <w:b/>
                <w:sz w:val="18"/>
                <w:szCs w:val="18"/>
              </w:rPr>
              <w:t>2017</w:t>
            </w:r>
          </w:p>
        </w:tc>
        <w:tc>
          <w:tcPr>
            <w:tcW w:w="1077" w:type="dxa"/>
            <w:shd w:val="clear" w:color="auto" w:fill="BFBFBF"/>
            <w:vAlign w:val="center"/>
            <w:hideMark/>
          </w:tcPr>
          <w:p w14:paraId="3FDD3858" w14:textId="2A38F773" w:rsidR="00306ED1" w:rsidRPr="00654842" w:rsidRDefault="00306ED1" w:rsidP="00D57CE0">
            <w:pPr>
              <w:contextualSpacing/>
              <w:jc w:val="right"/>
              <w:rPr>
                <w:rFonts w:cs="Arial"/>
                <w:b/>
                <w:sz w:val="18"/>
                <w:szCs w:val="18"/>
              </w:rPr>
            </w:pPr>
            <w:r w:rsidRPr="00654842">
              <w:rPr>
                <w:rFonts w:cs="Arial"/>
                <w:b/>
                <w:sz w:val="18"/>
                <w:szCs w:val="18"/>
              </w:rPr>
              <w:t>2018</w:t>
            </w:r>
          </w:p>
        </w:tc>
        <w:tc>
          <w:tcPr>
            <w:tcW w:w="1077" w:type="dxa"/>
            <w:shd w:val="clear" w:color="auto" w:fill="BFBFBF"/>
            <w:vAlign w:val="center"/>
            <w:hideMark/>
          </w:tcPr>
          <w:p w14:paraId="24C75A64" w14:textId="6936DB3A" w:rsidR="00306ED1" w:rsidRPr="00654842" w:rsidRDefault="00306ED1" w:rsidP="00D57CE0">
            <w:pPr>
              <w:contextualSpacing/>
              <w:jc w:val="right"/>
              <w:rPr>
                <w:rFonts w:cs="Arial"/>
                <w:b/>
                <w:sz w:val="18"/>
                <w:szCs w:val="18"/>
              </w:rPr>
            </w:pPr>
            <w:r w:rsidRPr="00654842">
              <w:rPr>
                <w:rFonts w:cs="Arial"/>
                <w:b/>
                <w:sz w:val="18"/>
                <w:szCs w:val="18"/>
              </w:rPr>
              <w:t>2019</w:t>
            </w:r>
          </w:p>
        </w:tc>
        <w:tc>
          <w:tcPr>
            <w:tcW w:w="1077" w:type="dxa"/>
            <w:shd w:val="clear" w:color="auto" w:fill="BFBFBF"/>
            <w:vAlign w:val="center"/>
          </w:tcPr>
          <w:p w14:paraId="0EE380AD" w14:textId="25BE4BA1" w:rsidR="00306ED1" w:rsidRPr="00654842" w:rsidRDefault="00306ED1" w:rsidP="00D57CE0">
            <w:pPr>
              <w:contextualSpacing/>
              <w:jc w:val="right"/>
              <w:rPr>
                <w:rFonts w:cs="Arial"/>
                <w:b/>
                <w:sz w:val="18"/>
                <w:szCs w:val="18"/>
              </w:rPr>
            </w:pPr>
            <w:r w:rsidRPr="00654842">
              <w:rPr>
                <w:rFonts w:cs="Arial"/>
                <w:b/>
                <w:sz w:val="18"/>
                <w:szCs w:val="18"/>
              </w:rPr>
              <w:t>2020</w:t>
            </w:r>
          </w:p>
        </w:tc>
        <w:tc>
          <w:tcPr>
            <w:tcW w:w="1077" w:type="dxa"/>
            <w:shd w:val="clear" w:color="auto" w:fill="BFBFBF"/>
            <w:vAlign w:val="center"/>
          </w:tcPr>
          <w:p w14:paraId="48CC383A" w14:textId="05334DD1" w:rsidR="00306ED1" w:rsidRPr="00654842" w:rsidRDefault="00306ED1" w:rsidP="00D57CE0">
            <w:pPr>
              <w:contextualSpacing/>
              <w:jc w:val="right"/>
              <w:rPr>
                <w:rFonts w:cs="Arial"/>
                <w:b/>
                <w:sz w:val="18"/>
                <w:szCs w:val="18"/>
              </w:rPr>
            </w:pPr>
            <w:r w:rsidRPr="00654842">
              <w:rPr>
                <w:rFonts w:cs="Arial"/>
                <w:b/>
                <w:sz w:val="18"/>
                <w:szCs w:val="18"/>
              </w:rPr>
              <w:t>2021</w:t>
            </w:r>
          </w:p>
        </w:tc>
        <w:tc>
          <w:tcPr>
            <w:tcW w:w="757" w:type="dxa"/>
            <w:shd w:val="clear" w:color="auto" w:fill="BFBFBF"/>
            <w:vAlign w:val="center"/>
          </w:tcPr>
          <w:p w14:paraId="5D95D891" w14:textId="36BADA11" w:rsidR="00306ED1" w:rsidRPr="00654842" w:rsidRDefault="00306ED1" w:rsidP="00D57CE0">
            <w:pPr>
              <w:ind w:right="-341"/>
              <w:contextualSpacing/>
              <w:jc w:val="center"/>
              <w:rPr>
                <w:rFonts w:cs="Arial"/>
                <w:b/>
                <w:sz w:val="18"/>
                <w:szCs w:val="18"/>
              </w:rPr>
            </w:pPr>
            <w:r w:rsidRPr="00654842">
              <w:rPr>
                <w:rFonts w:cs="Arial"/>
                <w:b/>
                <w:sz w:val="18"/>
                <w:szCs w:val="18"/>
              </w:rPr>
              <w:t>2022</w:t>
            </w:r>
          </w:p>
        </w:tc>
        <w:tc>
          <w:tcPr>
            <w:tcW w:w="709" w:type="dxa"/>
            <w:shd w:val="clear" w:color="auto" w:fill="BFBFBF"/>
            <w:vAlign w:val="center"/>
          </w:tcPr>
          <w:p w14:paraId="7E58B921" w14:textId="33B001E0" w:rsidR="00306ED1" w:rsidRPr="00654842" w:rsidRDefault="00306ED1" w:rsidP="00D57CE0">
            <w:pPr>
              <w:ind w:right="-341"/>
              <w:contextualSpacing/>
              <w:jc w:val="center"/>
              <w:rPr>
                <w:rFonts w:cs="Arial"/>
                <w:b/>
                <w:sz w:val="18"/>
                <w:szCs w:val="18"/>
              </w:rPr>
            </w:pPr>
            <w:r w:rsidRPr="00654842">
              <w:rPr>
                <w:rFonts w:cs="Arial"/>
                <w:b/>
                <w:sz w:val="18"/>
                <w:szCs w:val="18"/>
              </w:rPr>
              <w:t>2023</w:t>
            </w:r>
          </w:p>
        </w:tc>
        <w:tc>
          <w:tcPr>
            <w:tcW w:w="709" w:type="dxa"/>
            <w:shd w:val="clear" w:color="auto" w:fill="BFBFBF"/>
            <w:vAlign w:val="center"/>
          </w:tcPr>
          <w:p w14:paraId="4990B642" w14:textId="4AB43385" w:rsidR="00306ED1" w:rsidRPr="00654842" w:rsidRDefault="00306ED1" w:rsidP="00D57CE0">
            <w:pPr>
              <w:ind w:right="-341"/>
              <w:contextualSpacing/>
              <w:jc w:val="center"/>
              <w:rPr>
                <w:rFonts w:cs="Arial"/>
                <w:b/>
                <w:sz w:val="18"/>
                <w:szCs w:val="18"/>
              </w:rPr>
            </w:pPr>
            <w:r w:rsidRPr="00654842">
              <w:rPr>
                <w:rFonts w:cs="Arial"/>
                <w:b/>
                <w:sz w:val="18"/>
                <w:szCs w:val="18"/>
              </w:rPr>
              <w:t>2024</w:t>
            </w:r>
          </w:p>
        </w:tc>
        <w:tc>
          <w:tcPr>
            <w:tcW w:w="709" w:type="dxa"/>
            <w:shd w:val="clear" w:color="auto" w:fill="BFBFBF"/>
            <w:vAlign w:val="center"/>
          </w:tcPr>
          <w:p w14:paraId="14B4CCB0" w14:textId="3819B892" w:rsidR="00306ED1" w:rsidRPr="00654842" w:rsidRDefault="00306ED1" w:rsidP="00D57CE0">
            <w:pPr>
              <w:ind w:right="-341"/>
              <w:contextualSpacing/>
              <w:jc w:val="center"/>
              <w:rPr>
                <w:rFonts w:cs="Arial"/>
                <w:b/>
                <w:sz w:val="18"/>
                <w:szCs w:val="18"/>
              </w:rPr>
            </w:pPr>
            <w:r w:rsidRPr="00654842">
              <w:rPr>
                <w:rFonts w:cs="Arial"/>
                <w:b/>
                <w:sz w:val="18"/>
                <w:szCs w:val="18"/>
              </w:rPr>
              <w:t>2025</w:t>
            </w:r>
          </w:p>
        </w:tc>
      </w:tr>
      <w:tr w:rsidR="00013EE8" w:rsidRPr="00654842" w14:paraId="7F7DF708" w14:textId="4BAC00FB" w:rsidTr="00610F28">
        <w:trPr>
          <w:trHeight w:val="20"/>
          <w:jc w:val="center"/>
        </w:trPr>
        <w:tc>
          <w:tcPr>
            <w:tcW w:w="1423" w:type="dxa"/>
            <w:vAlign w:val="center"/>
            <w:hideMark/>
          </w:tcPr>
          <w:p w14:paraId="5FEBA5E7" w14:textId="77777777" w:rsidR="00013EE8" w:rsidRPr="00654842" w:rsidRDefault="00013EE8" w:rsidP="00013EE8">
            <w:pPr>
              <w:contextualSpacing/>
              <w:rPr>
                <w:rFonts w:cs="Arial"/>
                <w:b/>
                <w:sz w:val="18"/>
                <w:szCs w:val="18"/>
              </w:rPr>
            </w:pPr>
            <w:r w:rsidRPr="00654842">
              <w:rPr>
                <w:rFonts w:cs="Arial"/>
                <w:b/>
                <w:sz w:val="18"/>
                <w:szCs w:val="18"/>
              </w:rPr>
              <w:t>Labe</w:t>
            </w:r>
          </w:p>
        </w:tc>
        <w:tc>
          <w:tcPr>
            <w:tcW w:w="1077" w:type="dxa"/>
            <w:vAlign w:val="bottom"/>
            <w:hideMark/>
          </w:tcPr>
          <w:p w14:paraId="6E48762B" w14:textId="6D262E00" w:rsidR="00013EE8" w:rsidRPr="00654842" w:rsidRDefault="00013EE8" w:rsidP="00013EE8">
            <w:pPr>
              <w:ind w:firstLineChars="100" w:firstLine="180"/>
              <w:contextualSpacing/>
              <w:jc w:val="right"/>
              <w:rPr>
                <w:rFonts w:cs="Arial"/>
                <w:sz w:val="18"/>
                <w:szCs w:val="18"/>
              </w:rPr>
            </w:pPr>
            <w:r w:rsidRPr="00654842">
              <w:rPr>
                <w:rFonts w:cs="Arial"/>
                <w:sz w:val="18"/>
                <w:szCs w:val="18"/>
              </w:rPr>
              <w:t>904</w:t>
            </w:r>
          </w:p>
        </w:tc>
        <w:tc>
          <w:tcPr>
            <w:tcW w:w="1077" w:type="dxa"/>
            <w:vAlign w:val="bottom"/>
            <w:hideMark/>
          </w:tcPr>
          <w:p w14:paraId="6CEA34FF" w14:textId="0CD87307" w:rsidR="00013EE8" w:rsidRPr="00654842" w:rsidRDefault="00013EE8" w:rsidP="00013EE8">
            <w:pPr>
              <w:ind w:firstLineChars="100" w:firstLine="180"/>
              <w:contextualSpacing/>
              <w:jc w:val="right"/>
              <w:rPr>
                <w:rFonts w:cs="Arial"/>
                <w:sz w:val="18"/>
                <w:szCs w:val="18"/>
              </w:rPr>
            </w:pPr>
            <w:r w:rsidRPr="00654842">
              <w:rPr>
                <w:rFonts w:cs="Arial"/>
                <w:sz w:val="18"/>
                <w:szCs w:val="18"/>
              </w:rPr>
              <w:t>894</w:t>
            </w:r>
          </w:p>
        </w:tc>
        <w:tc>
          <w:tcPr>
            <w:tcW w:w="1077" w:type="dxa"/>
            <w:vAlign w:val="bottom"/>
            <w:hideMark/>
          </w:tcPr>
          <w:p w14:paraId="700011B2" w14:textId="29711BF9" w:rsidR="00013EE8" w:rsidRPr="00654842" w:rsidRDefault="00013EE8" w:rsidP="00013EE8">
            <w:pPr>
              <w:ind w:firstLineChars="100" w:firstLine="180"/>
              <w:contextualSpacing/>
              <w:jc w:val="right"/>
              <w:rPr>
                <w:rFonts w:cs="Arial"/>
                <w:sz w:val="18"/>
                <w:szCs w:val="18"/>
              </w:rPr>
            </w:pPr>
            <w:r w:rsidRPr="00654842">
              <w:rPr>
                <w:rFonts w:cs="Arial"/>
                <w:sz w:val="18"/>
                <w:szCs w:val="18"/>
              </w:rPr>
              <w:t>884</w:t>
            </w:r>
          </w:p>
        </w:tc>
        <w:tc>
          <w:tcPr>
            <w:tcW w:w="1077" w:type="dxa"/>
            <w:vAlign w:val="bottom"/>
            <w:hideMark/>
          </w:tcPr>
          <w:p w14:paraId="4DB3CBA1" w14:textId="1BC10783" w:rsidR="00013EE8" w:rsidRPr="00654842" w:rsidRDefault="00013EE8" w:rsidP="00013EE8">
            <w:pPr>
              <w:ind w:firstLineChars="100" w:firstLine="180"/>
              <w:contextualSpacing/>
              <w:jc w:val="right"/>
              <w:rPr>
                <w:rFonts w:cs="Arial"/>
                <w:sz w:val="18"/>
                <w:szCs w:val="18"/>
              </w:rPr>
            </w:pPr>
            <w:r w:rsidRPr="00654842">
              <w:rPr>
                <w:rFonts w:cs="Arial"/>
                <w:sz w:val="18"/>
                <w:szCs w:val="18"/>
              </w:rPr>
              <w:t>878</w:t>
            </w:r>
          </w:p>
        </w:tc>
        <w:tc>
          <w:tcPr>
            <w:tcW w:w="1077" w:type="dxa"/>
            <w:vAlign w:val="bottom"/>
          </w:tcPr>
          <w:p w14:paraId="0597C3F9" w14:textId="49ACAC42" w:rsidR="00013EE8" w:rsidRPr="00654842" w:rsidRDefault="00013EE8" w:rsidP="00013EE8">
            <w:pPr>
              <w:contextualSpacing/>
              <w:jc w:val="right"/>
              <w:rPr>
                <w:rFonts w:cs="Arial"/>
                <w:sz w:val="18"/>
                <w:szCs w:val="18"/>
              </w:rPr>
            </w:pPr>
            <w:r w:rsidRPr="00654842">
              <w:rPr>
                <w:rFonts w:cs="Arial"/>
                <w:sz w:val="18"/>
                <w:szCs w:val="18"/>
              </w:rPr>
              <w:t>874</w:t>
            </w:r>
          </w:p>
        </w:tc>
        <w:tc>
          <w:tcPr>
            <w:tcW w:w="1077" w:type="dxa"/>
            <w:vAlign w:val="bottom"/>
          </w:tcPr>
          <w:p w14:paraId="2A45CAD3" w14:textId="7C397F81" w:rsidR="00013EE8" w:rsidRPr="00654842" w:rsidRDefault="00013EE8" w:rsidP="00013EE8">
            <w:pPr>
              <w:contextualSpacing/>
              <w:jc w:val="right"/>
              <w:rPr>
                <w:rFonts w:cs="Arial"/>
                <w:sz w:val="18"/>
                <w:szCs w:val="18"/>
              </w:rPr>
            </w:pPr>
            <w:r w:rsidRPr="00654842">
              <w:rPr>
                <w:rFonts w:cs="Arial"/>
                <w:sz w:val="18"/>
                <w:szCs w:val="18"/>
              </w:rPr>
              <w:t>865</w:t>
            </w:r>
          </w:p>
        </w:tc>
        <w:tc>
          <w:tcPr>
            <w:tcW w:w="757" w:type="dxa"/>
            <w:vAlign w:val="bottom"/>
          </w:tcPr>
          <w:p w14:paraId="5282D04D" w14:textId="62F549A7" w:rsidR="00013EE8" w:rsidRPr="00654842" w:rsidRDefault="00013EE8" w:rsidP="00013EE8">
            <w:pPr>
              <w:ind w:right="37"/>
              <w:contextualSpacing/>
              <w:jc w:val="right"/>
              <w:rPr>
                <w:rFonts w:cs="Arial"/>
                <w:sz w:val="18"/>
                <w:szCs w:val="18"/>
              </w:rPr>
            </w:pPr>
            <w:r w:rsidRPr="00654842">
              <w:rPr>
                <w:rFonts w:cs="Arial"/>
                <w:sz w:val="18"/>
                <w:szCs w:val="18"/>
              </w:rPr>
              <w:t>863</w:t>
            </w:r>
          </w:p>
        </w:tc>
        <w:tc>
          <w:tcPr>
            <w:tcW w:w="709" w:type="dxa"/>
            <w:vAlign w:val="bottom"/>
          </w:tcPr>
          <w:p w14:paraId="54114800" w14:textId="5EC40C7D" w:rsidR="00013EE8" w:rsidRPr="00654842" w:rsidRDefault="00013EE8" w:rsidP="00013EE8">
            <w:pPr>
              <w:ind w:right="37"/>
              <w:contextualSpacing/>
              <w:jc w:val="right"/>
              <w:rPr>
                <w:rFonts w:cs="Arial"/>
                <w:sz w:val="18"/>
                <w:szCs w:val="18"/>
              </w:rPr>
            </w:pPr>
            <w:r w:rsidRPr="00654842">
              <w:rPr>
                <w:rFonts w:cs="Arial"/>
                <w:color w:val="000000"/>
                <w:sz w:val="18"/>
                <w:szCs w:val="18"/>
              </w:rPr>
              <w:t>858</w:t>
            </w:r>
          </w:p>
        </w:tc>
        <w:tc>
          <w:tcPr>
            <w:tcW w:w="709" w:type="dxa"/>
            <w:vAlign w:val="bottom"/>
          </w:tcPr>
          <w:p w14:paraId="796927C9" w14:textId="2357205E" w:rsidR="00013EE8" w:rsidRPr="00654842" w:rsidRDefault="00013EE8" w:rsidP="00013EE8">
            <w:pPr>
              <w:ind w:right="37"/>
              <w:contextualSpacing/>
              <w:jc w:val="right"/>
              <w:rPr>
                <w:rFonts w:cs="Arial"/>
                <w:color w:val="000000"/>
                <w:sz w:val="18"/>
                <w:szCs w:val="18"/>
              </w:rPr>
            </w:pPr>
            <w:r w:rsidRPr="00654842">
              <w:rPr>
                <w:rFonts w:cs="Arial"/>
                <w:color w:val="000000"/>
                <w:sz w:val="18"/>
                <w:szCs w:val="18"/>
              </w:rPr>
              <w:t>828</w:t>
            </w:r>
          </w:p>
        </w:tc>
        <w:tc>
          <w:tcPr>
            <w:tcW w:w="709" w:type="dxa"/>
            <w:vAlign w:val="bottom"/>
          </w:tcPr>
          <w:p w14:paraId="20AE71B4" w14:textId="3134C672" w:rsidR="00013EE8" w:rsidRPr="00013EE8" w:rsidRDefault="00013EE8" w:rsidP="00013EE8">
            <w:pPr>
              <w:ind w:right="37"/>
              <w:contextualSpacing/>
              <w:jc w:val="right"/>
              <w:rPr>
                <w:rFonts w:cs="Arial"/>
                <w:color w:val="000000"/>
                <w:sz w:val="18"/>
                <w:szCs w:val="18"/>
              </w:rPr>
            </w:pPr>
            <w:r w:rsidRPr="00013EE8">
              <w:rPr>
                <w:rFonts w:cs="Arial"/>
                <w:color w:val="000000"/>
                <w:sz w:val="18"/>
                <w:szCs w:val="18"/>
              </w:rPr>
              <w:t>819</w:t>
            </w:r>
          </w:p>
        </w:tc>
      </w:tr>
      <w:tr w:rsidR="00013EE8" w:rsidRPr="00654842" w14:paraId="34EDBDF9" w14:textId="3E5A0052" w:rsidTr="00610F28">
        <w:trPr>
          <w:trHeight w:val="20"/>
          <w:jc w:val="center"/>
        </w:trPr>
        <w:tc>
          <w:tcPr>
            <w:tcW w:w="1423" w:type="dxa"/>
            <w:vAlign w:val="center"/>
            <w:hideMark/>
          </w:tcPr>
          <w:p w14:paraId="1E7ADEAD" w14:textId="77777777" w:rsidR="00013EE8" w:rsidRPr="00654842" w:rsidRDefault="00013EE8" w:rsidP="00013EE8">
            <w:pPr>
              <w:contextualSpacing/>
              <w:rPr>
                <w:rFonts w:cs="Arial"/>
                <w:b/>
                <w:sz w:val="18"/>
                <w:szCs w:val="18"/>
              </w:rPr>
            </w:pPr>
            <w:r w:rsidRPr="00654842">
              <w:rPr>
                <w:rFonts w:cs="Arial"/>
                <w:b/>
                <w:sz w:val="18"/>
                <w:szCs w:val="18"/>
              </w:rPr>
              <w:t>Vltavy</w:t>
            </w:r>
          </w:p>
        </w:tc>
        <w:tc>
          <w:tcPr>
            <w:tcW w:w="1077" w:type="dxa"/>
            <w:vAlign w:val="bottom"/>
            <w:hideMark/>
          </w:tcPr>
          <w:p w14:paraId="6ABD548F" w14:textId="002E7A7C" w:rsidR="00013EE8" w:rsidRPr="00654842" w:rsidRDefault="00013EE8" w:rsidP="00013EE8">
            <w:pPr>
              <w:ind w:firstLineChars="100" w:firstLine="180"/>
              <w:contextualSpacing/>
              <w:jc w:val="right"/>
              <w:rPr>
                <w:rFonts w:cs="Arial"/>
                <w:sz w:val="18"/>
                <w:szCs w:val="18"/>
              </w:rPr>
            </w:pPr>
            <w:r w:rsidRPr="00654842">
              <w:rPr>
                <w:rFonts w:cs="Arial"/>
                <w:sz w:val="18"/>
                <w:szCs w:val="18"/>
              </w:rPr>
              <w:t>855</w:t>
            </w:r>
          </w:p>
        </w:tc>
        <w:tc>
          <w:tcPr>
            <w:tcW w:w="1077" w:type="dxa"/>
            <w:vAlign w:val="bottom"/>
            <w:hideMark/>
          </w:tcPr>
          <w:p w14:paraId="7C61D740" w14:textId="140E803F" w:rsidR="00013EE8" w:rsidRPr="00654842" w:rsidRDefault="00013EE8" w:rsidP="00013EE8">
            <w:pPr>
              <w:ind w:firstLineChars="100" w:firstLine="180"/>
              <w:contextualSpacing/>
              <w:jc w:val="right"/>
              <w:rPr>
                <w:rFonts w:cs="Arial"/>
                <w:sz w:val="18"/>
                <w:szCs w:val="18"/>
              </w:rPr>
            </w:pPr>
            <w:r w:rsidRPr="00654842">
              <w:rPr>
                <w:rFonts w:cs="Arial"/>
                <w:sz w:val="18"/>
                <w:szCs w:val="18"/>
              </w:rPr>
              <w:t>861</w:t>
            </w:r>
          </w:p>
        </w:tc>
        <w:tc>
          <w:tcPr>
            <w:tcW w:w="1077" w:type="dxa"/>
            <w:vAlign w:val="bottom"/>
            <w:hideMark/>
          </w:tcPr>
          <w:p w14:paraId="508BA244" w14:textId="2EE4030D" w:rsidR="00013EE8" w:rsidRPr="00654842" w:rsidRDefault="00013EE8" w:rsidP="00013EE8">
            <w:pPr>
              <w:ind w:firstLineChars="100" w:firstLine="180"/>
              <w:contextualSpacing/>
              <w:jc w:val="right"/>
              <w:rPr>
                <w:rFonts w:cs="Arial"/>
                <w:sz w:val="18"/>
                <w:szCs w:val="18"/>
              </w:rPr>
            </w:pPr>
            <w:r w:rsidRPr="00654842">
              <w:rPr>
                <w:rFonts w:cs="Arial"/>
                <w:sz w:val="18"/>
                <w:szCs w:val="18"/>
              </w:rPr>
              <w:t>867</w:t>
            </w:r>
          </w:p>
        </w:tc>
        <w:tc>
          <w:tcPr>
            <w:tcW w:w="1077" w:type="dxa"/>
            <w:vAlign w:val="bottom"/>
            <w:hideMark/>
          </w:tcPr>
          <w:p w14:paraId="17DCF9D3" w14:textId="055D8CAB" w:rsidR="00013EE8" w:rsidRPr="00654842" w:rsidRDefault="00013EE8" w:rsidP="00013EE8">
            <w:pPr>
              <w:ind w:firstLineChars="100" w:firstLine="180"/>
              <w:contextualSpacing/>
              <w:jc w:val="right"/>
              <w:rPr>
                <w:rFonts w:cs="Arial"/>
                <w:sz w:val="18"/>
                <w:szCs w:val="18"/>
              </w:rPr>
            </w:pPr>
            <w:r w:rsidRPr="00654842">
              <w:rPr>
                <w:rFonts w:cs="Arial"/>
                <w:sz w:val="18"/>
                <w:szCs w:val="18"/>
              </w:rPr>
              <w:t>873</w:t>
            </w:r>
          </w:p>
        </w:tc>
        <w:tc>
          <w:tcPr>
            <w:tcW w:w="1077" w:type="dxa"/>
            <w:vAlign w:val="bottom"/>
          </w:tcPr>
          <w:p w14:paraId="1368D571" w14:textId="657B37DF" w:rsidR="00013EE8" w:rsidRPr="00654842" w:rsidRDefault="00013EE8" w:rsidP="00013EE8">
            <w:pPr>
              <w:contextualSpacing/>
              <w:jc w:val="right"/>
              <w:rPr>
                <w:rFonts w:cs="Arial"/>
                <w:sz w:val="18"/>
                <w:szCs w:val="18"/>
              </w:rPr>
            </w:pPr>
            <w:r w:rsidRPr="00654842">
              <w:rPr>
                <w:rFonts w:cs="Arial"/>
                <w:sz w:val="18"/>
                <w:szCs w:val="18"/>
              </w:rPr>
              <w:t>865</w:t>
            </w:r>
          </w:p>
        </w:tc>
        <w:tc>
          <w:tcPr>
            <w:tcW w:w="1077" w:type="dxa"/>
            <w:vAlign w:val="bottom"/>
          </w:tcPr>
          <w:p w14:paraId="37D115F6" w14:textId="07E05AB3" w:rsidR="00013EE8" w:rsidRPr="00654842" w:rsidRDefault="00013EE8" w:rsidP="00013EE8">
            <w:pPr>
              <w:contextualSpacing/>
              <w:jc w:val="right"/>
              <w:rPr>
                <w:rFonts w:cs="Arial"/>
                <w:sz w:val="18"/>
                <w:szCs w:val="18"/>
              </w:rPr>
            </w:pPr>
            <w:r w:rsidRPr="00654842">
              <w:rPr>
                <w:rFonts w:cs="Arial"/>
                <w:sz w:val="18"/>
                <w:szCs w:val="18"/>
              </w:rPr>
              <w:t>863</w:t>
            </w:r>
          </w:p>
        </w:tc>
        <w:tc>
          <w:tcPr>
            <w:tcW w:w="757" w:type="dxa"/>
            <w:vAlign w:val="bottom"/>
          </w:tcPr>
          <w:p w14:paraId="6B4443E6" w14:textId="771785A6" w:rsidR="00013EE8" w:rsidRPr="00654842" w:rsidRDefault="00013EE8" w:rsidP="00013EE8">
            <w:pPr>
              <w:ind w:right="37"/>
              <w:contextualSpacing/>
              <w:jc w:val="right"/>
              <w:rPr>
                <w:rFonts w:cs="Arial"/>
                <w:sz w:val="18"/>
                <w:szCs w:val="18"/>
              </w:rPr>
            </w:pPr>
            <w:r w:rsidRPr="00654842">
              <w:rPr>
                <w:rFonts w:cs="Arial"/>
                <w:sz w:val="18"/>
                <w:szCs w:val="18"/>
              </w:rPr>
              <w:t>866</w:t>
            </w:r>
          </w:p>
        </w:tc>
        <w:tc>
          <w:tcPr>
            <w:tcW w:w="709" w:type="dxa"/>
            <w:vAlign w:val="bottom"/>
          </w:tcPr>
          <w:p w14:paraId="53FAF8F0" w14:textId="221FFE37" w:rsidR="00013EE8" w:rsidRPr="00654842" w:rsidRDefault="00013EE8" w:rsidP="00013EE8">
            <w:pPr>
              <w:ind w:right="37"/>
              <w:contextualSpacing/>
              <w:jc w:val="right"/>
              <w:rPr>
                <w:rFonts w:cs="Arial"/>
                <w:sz w:val="18"/>
                <w:szCs w:val="18"/>
              </w:rPr>
            </w:pPr>
            <w:r w:rsidRPr="00654842">
              <w:rPr>
                <w:rFonts w:cs="Arial"/>
                <w:color w:val="000000"/>
                <w:sz w:val="18"/>
                <w:szCs w:val="18"/>
              </w:rPr>
              <w:t>864</w:t>
            </w:r>
          </w:p>
        </w:tc>
        <w:tc>
          <w:tcPr>
            <w:tcW w:w="709" w:type="dxa"/>
            <w:vAlign w:val="bottom"/>
          </w:tcPr>
          <w:p w14:paraId="193DC79D" w14:textId="608179A8" w:rsidR="00013EE8" w:rsidRPr="00654842" w:rsidRDefault="00013EE8" w:rsidP="00013EE8">
            <w:pPr>
              <w:ind w:right="37"/>
              <w:contextualSpacing/>
              <w:jc w:val="right"/>
              <w:rPr>
                <w:rFonts w:cs="Arial"/>
                <w:color w:val="000000"/>
                <w:sz w:val="18"/>
                <w:szCs w:val="18"/>
              </w:rPr>
            </w:pPr>
            <w:r w:rsidRPr="00654842">
              <w:rPr>
                <w:rFonts w:cs="Arial"/>
                <w:color w:val="000000"/>
                <w:sz w:val="18"/>
                <w:szCs w:val="18"/>
              </w:rPr>
              <w:t>857</w:t>
            </w:r>
          </w:p>
        </w:tc>
        <w:tc>
          <w:tcPr>
            <w:tcW w:w="709" w:type="dxa"/>
            <w:vAlign w:val="bottom"/>
          </w:tcPr>
          <w:p w14:paraId="1DCB2966" w14:textId="50ADD1A3" w:rsidR="00013EE8" w:rsidRPr="00013EE8" w:rsidRDefault="00013EE8" w:rsidP="00013EE8">
            <w:pPr>
              <w:ind w:right="37"/>
              <w:contextualSpacing/>
              <w:jc w:val="right"/>
              <w:rPr>
                <w:rFonts w:cs="Arial"/>
                <w:color w:val="000000"/>
                <w:sz w:val="18"/>
                <w:szCs w:val="18"/>
              </w:rPr>
            </w:pPr>
            <w:r w:rsidRPr="00013EE8">
              <w:rPr>
                <w:rFonts w:cs="Arial"/>
                <w:color w:val="000000"/>
                <w:sz w:val="18"/>
                <w:szCs w:val="18"/>
              </w:rPr>
              <w:t>850</w:t>
            </w:r>
          </w:p>
        </w:tc>
      </w:tr>
      <w:tr w:rsidR="00013EE8" w:rsidRPr="00654842" w14:paraId="736C487D" w14:textId="06A1D55D" w:rsidTr="00610F28">
        <w:trPr>
          <w:trHeight w:val="20"/>
          <w:jc w:val="center"/>
        </w:trPr>
        <w:tc>
          <w:tcPr>
            <w:tcW w:w="1423" w:type="dxa"/>
            <w:vAlign w:val="center"/>
            <w:hideMark/>
          </w:tcPr>
          <w:p w14:paraId="1F9DD732" w14:textId="77777777" w:rsidR="00013EE8" w:rsidRPr="00654842" w:rsidRDefault="00013EE8" w:rsidP="00013EE8">
            <w:pPr>
              <w:contextualSpacing/>
              <w:rPr>
                <w:rFonts w:cs="Arial"/>
                <w:b/>
                <w:sz w:val="18"/>
                <w:szCs w:val="18"/>
              </w:rPr>
            </w:pPr>
            <w:r w:rsidRPr="00654842">
              <w:rPr>
                <w:rFonts w:cs="Arial"/>
                <w:b/>
                <w:sz w:val="18"/>
                <w:szCs w:val="18"/>
              </w:rPr>
              <w:t>Ohře</w:t>
            </w:r>
          </w:p>
        </w:tc>
        <w:tc>
          <w:tcPr>
            <w:tcW w:w="1077" w:type="dxa"/>
            <w:vAlign w:val="bottom"/>
            <w:hideMark/>
          </w:tcPr>
          <w:p w14:paraId="0555558F" w14:textId="4C3252F8" w:rsidR="00013EE8" w:rsidRPr="00654842" w:rsidRDefault="00013EE8" w:rsidP="00013EE8">
            <w:pPr>
              <w:ind w:firstLineChars="100" w:firstLine="180"/>
              <w:contextualSpacing/>
              <w:jc w:val="right"/>
              <w:rPr>
                <w:rFonts w:cs="Arial"/>
                <w:sz w:val="18"/>
                <w:szCs w:val="18"/>
              </w:rPr>
            </w:pPr>
            <w:r w:rsidRPr="00654842">
              <w:rPr>
                <w:rFonts w:cs="Arial"/>
                <w:sz w:val="18"/>
                <w:szCs w:val="18"/>
              </w:rPr>
              <w:t>614</w:t>
            </w:r>
          </w:p>
        </w:tc>
        <w:tc>
          <w:tcPr>
            <w:tcW w:w="1077" w:type="dxa"/>
            <w:vAlign w:val="bottom"/>
            <w:hideMark/>
          </w:tcPr>
          <w:p w14:paraId="35C011DC" w14:textId="10A09E16" w:rsidR="00013EE8" w:rsidRPr="00654842" w:rsidRDefault="00013EE8" w:rsidP="00013EE8">
            <w:pPr>
              <w:ind w:firstLineChars="100" w:firstLine="180"/>
              <w:contextualSpacing/>
              <w:jc w:val="right"/>
              <w:rPr>
                <w:rFonts w:cs="Arial"/>
                <w:sz w:val="18"/>
                <w:szCs w:val="18"/>
              </w:rPr>
            </w:pPr>
            <w:r w:rsidRPr="00654842">
              <w:rPr>
                <w:rFonts w:cs="Arial"/>
                <w:sz w:val="18"/>
                <w:szCs w:val="18"/>
              </w:rPr>
              <w:t>605</w:t>
            </w:r>
          </w:p>
        </w:tc>
        <w:tc>
          <w:tcPr>
            <w:tcW w:w="1077" w:type="dxa"/>
            <w:vAlign w:val="bottom"/>
            <w:hideMark/>
          </w:tcPr>
          <w:p w14:paraId="247A06A1" w14:textId="5553B536" w:rsidR="00013EE8" w:rsidRPr="00654842" w:rsidRDefault="00013EE8" w:rsidP="00013EE8">
            <w:pPr>
              <w:ind w:firstLineChars="100" w:firstLine="180"/>
              <w:contextualSpacing/>
              <w:jc w:val="right"/>
              <w:rPr>
                <w:rFonts w:cs="Arial"/>
                <w:sz w:val="18"/>
                <w:szCs w:val="18"/>
              </w:rPr>
            </w:pPr>
            <w:r w:rsidRPr="00654842">
              <w:rPr>
                <w:rFonts w:cs="Arial"/>
                <w:sz w:val="18"/>
                <w:szCs w:val="18"/>
              </w:rPr>
              <w:t>617</w:t>
            </w:r>
          </w:p>
        </w:tc>
        <w:tc>
          <w:tcPr>
            <w:tcW w:w="1077" w:type="dxa"/>
            <w:vAlign w:val="bottom"/>
            <w:hideMark/>
          </w:tcPr>
          <w:p w14:paraId="785D22EE" w14:textId="668BE523" w:rsidR="00013EE8" w:rsidRPr="00654842" w:rsidRDefault="00013EE8" w:rsidP="00013EE8">
            <w:pPr>
              <w:ind w:firstLineChars="100" w:firstLine="180"/>
              <w:contextualSpacing/>
              <w:jc w:val="right"/>
              <w:rPr>
                <w:rFonts w:cs="Arial"/>
                <w:sz w:val="18"/>
                <w:szCs w:val="18"/>
              </w:rPr>
            </w:pPr>
            <w:r w:rsidRPr="00654842">
              <w:rPr>
                <w:rFonts w:cs="Arial"/>
                <w:sz w:val="18"/>
                <w:szCs w:val="18"/>
              </w:rPr>
              <w:t>614</w:t>
            </w:r>
          </w:p>
        </w:tc>
        <w:tc>
          <w:tcPr>
            <w:tcW w:w="1077" w:type="dxa"/>
            <w:vAlign w:val="bottom"/>
          </w:tcPr>
          <w:p w14:paraId="2811F980" w14:textId="485D508D" w:rsidR="00013EE8" w:rsidRPr="00654842" w:rsidRDefault="00013EE8" w:rsidP="00013EE8">
            <w:pPr>
              <w:contextualSpacing/>
              <w:jc w:val="right"/>
              <w:rPr>
                <w:rFonts w:cs="Arial"/>
                <w:sz w:val="18"/>
                <w:szCs w:val="18"/>
              </w:rPr>
            </w:pPr>
            <w:r w:rsidRPr="00654842">
              <w:rPr>
                <w:rFonts w:cs="Arial"/>
                <w:sz w:val="18"/>
                <w:szCs w:val="18"/>
              </w:rPr>
              <w:t>611</w:t>
            </w:r>
          </w:p>
        </w:tc>
        <w:tc>
          <w:tcPr>
            <w:tcW w:w="1077" w:type="dxa"/>
            <w:vAlign w:val="bottom"/>
          </w:tcPr>
          <w:p w14:paraId="549D72D9" w14:textId="64B2D0DD" w:rsidR="00013EE8" w:rsidRPr="00654842" w:rsidRDefault="00013EE8" w:rsidP="00013EE8">
            <w:pPr>
              <w:contextualSpacing/>
              <w:jc w:val="right"/>
              <w:rPr>
                <w:rFonts w:cs="Arial"/>
                <w:sz w:val="18"/>
                <w:szCs w:val="18"/>
              </w:rPr>
            </w:pPr>
            <w:r w:rsidRPr="00654842">
              <w:rPr>
                <w:rFonts w:cs="Arial"/>
                <w:sz w:val="18"/>
                <w:szCs w:val="18"/>
              </w:rPr>
              <w:t>611</w:t>
            </w:r>
          </w:p>
        </w:tc>
        <w:tc>
          <w:tcPr>
            <w:tcW w:w="757" w:type="dxa"/>
            <w:vAlign w:val="bottom"/>
          </w:tcPr>
          <w:p w14:paraId="374BD662" w14:textId="5C6F266B" w:rsidR="00013EE8" w:rsidRPr="00654842" w:rsidRDefault="00013EE8" w:rsidP="00013EE8">
            <w:pPr>
              <w:ind w:right="37"/>
              <w:contextualSpacing/>
              <w:jc w:val="right"/>
              <w:rPr>
                <w:rFonts w:cs="Arial"/>
                <w:sz w:val="18"/>
                <w:szCs w:val="18"/>
              </w:rPr>
            </w:pPr>
            <w:r w:rsidRPr="00654842">
              <w:rPr>
                <w:rFonts w:cs="Arial"/>
                <w:sz w:val="18"/>
                <w:szCs w:val="18"/>
              </w:rPr>
              <w:t>598</w:t>
            </w:r>
          </w:p>
        </w:tc>
        <w:tc>
          <w:tcPr>
            <w:tcW w:w="709" w:type="dxa"/>
            <w:vAlign w:val="bottom"/>
          </w:tcPr>
          <w:p w14:paraId="7ECBC27E" w14:textId="40683F8C" w:rsidR="00013EE8" w:rsidRPr="00654842" w:rsidRDefault="00013EE8" w:rsidP="00013EE8">
            <w:pPr>
              <w:ind w:right="37"/>
              <w:contextualSpacing/>
              <w:jc w:val="right"/>
              <w:rPr>
                <w:rFonts w:cs="Arial"/>
                <w:sz w:val="18"/>
                <w:szCs w:val="18"/>
              </w:rPr>
            </w:pPr>
            <w:r w:rsidRPr="00654842">
              <w:rPr>
                <w:rFonts w:cs="Arial"/>
                <w:color w:val="000000"/>
                <w:sz w:val="18"/>
                <w:szCs w:val="18"/>
              </w:rPr>
              <w:t>599</w:t>
            </w:r>
          </w:p>
        </w:tc>
        <w:tc>
          <w:tcPr>
            <w:tcW w:w="709" w:type="dxa"/>
            <w:vAlign w:val="bottom"/>
          </w:tcPr>
          <w:p w14:paraId="70676761" w14:textId="6225151F" w:rsidR="00013EE8" w:rsidRPr="00654842" w:rsidRDefault="00013EE8" w:rsidP="00013EE8">
            <w:pPr>
              <w:ind w:right="37"/>
              <w:contextualSpacing/>
              <w:jc w:val="right"/>
              <w:rPr>
                <w:rFonts w:cs="Arial"/>
                <w:color w:val="000000"/>
                <w:sz w:val="18"/>
                <w:szCs w:val="18"/>
              </w:rPr>
            </w:pPr>
            <w:r w:rsidRPr="00654842">
              <w:rPr>
                <w:rFonts w:cs="Arial"/>
                <w:color w:val="000000"/>
                <w:sz w:val="18"/>
                <w:szCs w:val="18"/>
              </w:rPr>
              <w:t>597</w:t>
            </w:r>
          </w:p>
        </w:tc>
        <w:tc>
          <w:tcPr>
            <w:tcW w:w="709" w:type="dxa"/>
            <w:vAlign w:val="bottom"/>
          </w:tcPr>
          <w:p w14:paraId="0982F38E" w14:textId="37504C55" w:rsidR="00013EE8" w:rsidRPr="00013EE8" w:rsidRDefault="00013EE8" w:rsidP="00013EE8">
            <w:pPr>
              <w:ind w:right="37"/>
              <w:contextualSpacing/>
              <w:jc w:val="right"/>
              <w:rPr>
                <w:rFonts w:cs="Arial"/>
                <w:color w:val="000000"/>
                <w:sz w:val="18"/>
                <w:szCs w:val="18"/>
              </w:rPr>
            </w:pPr>
            <w:r w:rsidRPr="00013EE8">
              <w:rPr>
                <w:rFonts w:cs="Arial"/>
                <w:color w:val="000000"/>
                <w:sz w:val="18"/>
                <w:szCs w:val="18"/>
              </w:rPr>
              <w:t>586</w:t>
            </w:r>
          </w:p>
        </w:tc>
      </w:tr>
      <w:tr w:rsidR="00013EE8" w:rsidRPr="00654842" w14:paraId="191B6D37" w14:textId="28CFCBD8" w:rsidTr="00610F28">
        <w:trPr>
          <w:trHeight w:val="20"/>
          <w:jc w:val="center"/>
        </w:trPr>
        <w:tc>
          <w:tcPr>
            <w:tcW w:w="1423" w:type="dxa"/>
            <w:vAlign w:val="center"/>
            <w:hideMark/>
          </w:tcPr>
          <w:p w14:paraId="1C25C9EA" w14:textId="77777777" w:rsidR="00013EE8" w:rsidRPr="00654842" w:rsidRDefault="00013EE8" w:rsidP="00013EE8">
            <w:pPr>
              <w:contextualSpacing/>
              <w:rPr>
                <w:rFonts w:cs="Arial"/>
                <w:b/>
                <w:sz w:val="18"/>
                <w:szCs w:val="18"/>
              </w:rPr>
            </w:pPr>
            <w:r w:rsidRPr="00654842">
              <w:rPr>
                <w:rFonts w:cs="Arial"/>
                <w:b/>
                <w:sz w:val="18"/>
                <w:szCs w:val="18"/>
              </w:rPr>
              <w:t>Odry</w:t>
            </w:r>
          </w:p>
        </w:tc>
        <w:tc>
          <w:tcPr>
            <w:tcW w:w="1077" w:type="dxa"/>
            <w:vAlign w:val="bottom"/>
            <w:hideMark/>
          </w:tcPr>
          <w:p w14:paraId="70BFDC10" w14:textId="16BA098D" w:rsidR="00013EE8" w:rsidRPr="00654842" w:rsidRDefault="00013EE8" w:rsidP="00013EE8">
            <w:pPr>
              <w:ind w:firstLineChars="100" w:firstLine="180"/>
              <w:contextualSpacing/>
              <w:jc w:val="right"/>
              <w:rPr>
                <w:rFonts w:cs="Arial"/>
                <w:sz w:val="18"/>
                <w:szCs w:val="18"/>
              </w:rPr>
            </w:pPr>
            <w:r w:rsidRPr="00654842">
              <w:rPr>
                <w:rFonts w:cs="Arial"/>
                <w:sz w:val="18"/>
                <w:szCs w:val="18"/>
              </w:rPr>
              <w:t>465</w:t>
            </w:r>
          </w:p>
        </w:tc>
        <w:tc>
          <w:tcPr>
            <w:tcW w:w="1077" w:type="dxa"/>
            <w:vAlign w:val="bottom"/>
            <w:hideMark/>
          </w:tcPr>
          <w:p w14:paraId="0B6A4BA6" w14:textId="65B0A1E7" w:rsidR="00013EE8" w:rsidRPr="00654842" w:rsidRDefault="00013EE8" w:rsidP="00013EE8">
            <w:pPr>
              <w:ind w:firstLineChars="100" w:firstLine="180"/>
              <w:contextualSpacing/>
              <w:jc w:val="right"/>
              <w:rPr>
                <w:rFonts w:cs="Arial"/>
                <w:sz w:val="18"/>
                <w:szCs w:val="18"/>
              </w:rPr>
            </w:pPr>
            <w:r w:rsidRPr="00654842">
              <w:rPr>
                <w:rFonts w:cs="Arial"/>
                <w:sz w:val="18"/>
                <w:szCs w:val="18"/>
              </w:rPr>
              <w:t>463</w:t>
            </w:r>
          </w:p>
        </w:tc>
        <w:tc>
          <w:tcPr>
            <w:tcW w:w="1077" w:type="dxa"/>
            <w:vAlign w:val="bottom"/>
            <w:hideMark/>
          </w:tcPr>
          <w:p w14:paraId="07E4E045" w14:textId="65EAF925" w:rsidR="00013EE8" w:rsidRPr="00654842" w:rsidRDefault="00013EE8" w:rsidP="00013EE8">
            <w:pPr>
              <w:ind w:firstLineChars="100" w:firstLine="180"/>
              <w:contextualSpacing/>
              <w:jc w:val="right"/>
              <w:rPr>
                <w:rFonts w:cs="Arial"/>
                <w:sz w:val="18"/>
                <w:szCs w:val="18"/>
              </w:rPr>
            </w:pPr>
            <w:r w:rsidRPr="00654842">
              <w:rPr>
                <w:rFonts w:cs="Arial"/>
                <w:sz w:val="18"/>
                <w:szCs w:val="18"/>
              </w:rPr>
              <w:t>464</w:t>
            </w:r>
          </w:p>
        </w:tc>
        <w:tc>
          <w:tcPr>
            <w:tcW w:w="1077" w:type="dxa"/>
            <w:vAlign w:val="bottom"/>
            <w:hideMark/>
          </w:tcPr>
          <w:p w14:paraId="727C7D0C" w14:textId="751EEAE8" w:rsidR="00013EE8" w:rsidRPr="00654842" w:rsidRDefault="00013EE8" w:rsidP="00013EE8">
            <w:pPr>
              <w:ind w:firstLineChars="100" w:firstLine="180"/>
              <w:contextualSpacing/>
              <w:jc w:val="right"/>
              <w:rPr>
                <w:rFonts w:cs="Arial"/>
                <w:sz w:val="18"/>
                <w:szCs w:val="18"/>
              </w:rPr>
            </w:pPr>
            <w:r w:rsidRPr="00654842">
              <w:rPr>
                <w:rFonts w:cs="Arial"/>
                <w:sz w:val="18"/>
                <w:szCs w:val="18"/>
              </w:rPr>
              <w:t>458</w:t>
            </w:r>
          </w:p>
        </w:tc>
        <w:tc>
          <w:tcPr>
            <w:tcW w:w="1077" w:type="dxa"/>
            <w:vAlign w:val="bottom"/>
          </w:tcPr>
          <w:p w14:paraId="2CD6283A" w14:textId="70826CC1" w:rsidR="00013EE8" w:rsidRPr="00654842" w:rsidRDefault="00013EE8" w:rsidP="00013EE8">
            <w:pPr>
              <w:contextualSpacing/>
              <w:jc w:val="right"/>
              <w:rPr>
                <w:rFonts w:cs="Arial"/>
                <w:sz w:val="18"/>
                <w:szCs w:val="18"/>
              </w:rPr>
            </w:pPr>
            <w:r w:rsidRPr="00654842">
              <w:rPr>
                <w:rFonts w:cs="Arial"/>
                <w:sz w:val="18"/>
                <w:szCs w:val="18"/>
              </w:rPr>
              <w:t>452</w:t>
            </w:r>
          </w:p>
        </w:tc>
        <w:tc>
          <w:tcPr>
            <w:tcW w:w="1077" w:type="dxa"/>
            <w:vAlign w:val="bottom"/>
          </w:tcPr>
          <w:p w14:paraId="2ED1FE15" w14:textId="644276D5" w:rsidR="00013EE8" w:rsidRPr="00654842" w:rsidRDefault="00013EE8" w:rsidP="00013EE8">
            <w:pPr>
              <w:contextualSpacing/>
              <w:jc w:val="right"/>
              <w:rPr>
                <w:rFonts w:cs="Arial"/>
                <w:sz w:val="18"/>
                <w:szCs w:val="18"/>
              </w:rPr>
            </w:pPr>
            <w:r w:rsidRPr="00654842">
              <w:rPr>
                <w:rFonts w:cs="Arial"/>
                <w:sz w:val="18"/>
                <w:szCs w:val="18"/>
              </w:rPr>
              <w:t>446</w:t>
            </w:r>
          </w:p>
        </w:tc>
        <w:tc>
          <w:tcPr>
            <w:tcW w:w="757" w:type="dxa"/>
            <w:vAlign w:val="bottom"/>
          </w:tcPr>
          <w:p w14:paraId="490D2A45" w14:textId="2F21AD1D" w:rsidR="00013EE8" w:rsidRPr="00654842" w:rsidRDefault="00013EE8" w:rsidP="00013EE8">
            <w:pPr>
              <w:ind w:right="37"/>
              <w:contextualSpacing/>
              <w:jc w:val="right"/>
              <w:rPr>
                <w:rFonts w:cs="Arial"/>
                <w:sz w:val="18"/>
                <w:szCs w:val="18"/>
              </w:rPr>
            </w:pPr>
            <w:r w:rsidRPr="00654842">
              <w:rPr>
                <w:rFonts w:cs="Arial"/>
                <w:sz w:val="18"/>
                <w:szCs w:val="18"/>
              </w:rPr>
              <w:t>442</w:t>
            </w:r>
          </w:p>
        </w:tc>
        <w:tc>
          <w:tcPr>
            <w:tcW w:w="709" w:type="dxa"/>
            <w:vAlign w:val="bottom"/>
          </w:tcPr>
          <w:p w14:paraId="6A4B842F" w14:textId="7A5AC735" w:rsidR="00013EE8" w:rsidRPr="00654842" w:rsidRDefault="00013EE8" w:rsidP="00013EE8">
            <w:pPr>
              <w:ind w:right="37"/>
              <w:contextualSpacing/>
              <w:jc w:val="right"/>
              <w:rPr>
                <w:rFonts w:cs="Arial"/>
                <w:sz w:val="18"/>
                <w:szCs w:val="18"/>
              </w:rPr>
            </w:pPr>
            <w:r w:rsidRPr="00654842">
              <w:rPr>
                <w:rFonts w:cs="Arial"/>
                <w:color w:val="000000"/>
                <w:sz w:val="18"/>
                <w:szCs w:val="18"/>
              </w:rPr>
              <w:t>436</w:t>
            </w:r>
          </w:p>
        </w:tc>
        <w:tc>
          <w:tcPr>
            <w:tcW w:w="709" w:type="dxa"/>
            <w:vAlign w:val="bottom"/>
          </w:tcPr>
          <w:p w14:paraId="3D15A6CC" w14:textId="43A8201A" w:rsidR="00013EE8" w:rsidRPr="00654842" w:rsidRDefault="00013EE8" w:rsidP="00013EE8">
            <w:pPr>
              <w:ind w:right="37"/>
              <w:contextualSpacing/>
              <w:jc w:val="right"/>
              <w:rPr>
                <w:rFonts w:cs="Arial"/>
                <w:color w:val="000000"/>
                <w:sz w:val="18"/>
                <w:szCs w:val="18"/>
              </w:rPr>
            </w:pPr>
            <w:r w:rsidRPr="00654842">
              <w:rPr>
                <w:rFonts w:cs="Arial"/>
                <w:color w:val="000000"/>
                <w:sz w:val="18"/>
                <w:szCs w:val="18"/>
              </w:rPr>
              <w:t>433</w:t>
            </w:r>
          </w:p>
        </w:tc>
        <w:tc>
          <w:tcPr>
            <w:tcW w:w="709" w:type="dxa"/>
            <w:vAlign w:val="bottom"/>
          </w:tcPr>
          <w:p w14:paraId="46CBE2ED" w14:textId="1E8D24DC" w:rsidR="00013EE8" w:rsidRPr="00013EE8" w:rsidRDefault="00013EE8" w:rsidP="00013EE8">
            <w:pPr>
              <w:ind w:right="37"/>
              <w:contextualSpacing/>
              <w:jc w:val="right"/>
              <w:rPr>
                <w:rFonts w:cs="Arial"/>
                <w:color w:val="000000"/>
                <w:sz w:val="18"/>
                <w:szCs w:val="18"/>
              </w:rPr>
            </w:pPr>
            <w:r w:rsidRPr="00013EE8">
              <w:rPr>
                <w:rFonts w:cs="Arial"/>
                <w:color w:val="000000"/>
                <w:sz w:val="18"/>
                <w:szCs w:val="18"/>
              </w:rPr>
              <w:t>426</w:t>
            </w:r>
          </w:p>
        </w:tc>
      </w:tr>
      <w:tr w:rsidR="00013EE8" w:rsidRPr="00654842" w14:paraId="5D767BD3" w14:textId="1A6690FE" w:rsidTr="00610F28">
        <w:trPr>
          <w:trHeight w:val="20"/>
          <w:jc w:val="center"/>
        </w:trPr>
        <w:tc>
          <w:tcPr>
            <w:tcW w:w="1423" w:type="dxa"/>
            <w:vAlign w:val="center"/>
            <w:hideMark/>
          </w:tcPr>
          <w:p w14:paraId="4C3989C8" w14:textId="77777777" w:rsidR="00013EE8" w:rsidRPr="00654842" w:rsidRDefault="00013EE8" w:rsidP="00013EE8">
            <w:pPr>
              <w:contextualSpacing/>
              <w:rPr>
                <w:rFonts w:cs="Arial"/>
                <w:b/>
                <w:sz w:val="18"/>
                <w:szCs w:val="18"/>
              </w:rPr>
            </w:pPr>
            <w:r w:rsidRPr="00654842">
              <w:rPr>
                <w:rFonts w:cs="Arial"/>
                <w:b/>
                <w:sz w:val="18"/>
                <w:szCs w:val="18"/>
              </w:rPr>
              <w:t>Moravy</w:t>
            </w:r>
          </w:p>
        </w:tc>
        <w:tc>
          <w:tcPr>
            <w:tcW w:w="1077" w:type="dxa"/>
            <w:vAlign w:val="bottom"/>
            <w:hideMark/>
          </w:tcPr>
          <w:p w14:paraId="56679D57" w14:textId="74FCF4D4" w:rsidR="00013EE8" w:rsidRPr="00654842" w:rsidRDefault="00013EE8" w:rsidP="00013EE8">
            <w:pPr>
              <w:ind w:firstLineChars="100" w:firstLine="180"/>
              <w:contextualSpacing/>
              <w:jc w:val="right"/>
              <w:rPr>
                <w:rFonts w:cs="Arial"/>
                <w:sz w:val="18"/>
                <w:szCs w:val="18"/>
              </w:rPr>
            </w:pPr>
            <w:r w:rsidRPr="00654842">
              <w:rPr>
                <w:rFonts w:cs="Arial"/>
                <w:sz w:val="18"/>
                <w:szCs w:val="18"/>
              </w:rPr>
              <w:t>737</w:t>
            </w:r>
          </w:p>
        </w:tc>
        <w:tc>
          <w:tcPr>
            <w:tcW w:w="1077" w:type="dxa"/>
            <w:vAlign w:val="bottom"/>
            <w:hideMark/>
          </w:tcPr>
          <w:p w14:paraId="600BEAB8" w14:textId="45C3C19C" w:rsidR="00013EE8" w:rsidRPr="00654842" w:rsidRDefault="00013EE8" w:rsidP="00013EE8">
            <w:pPr>
              <w:ind w:firstLineChars="100" w:firstLine="180"/>
              <w:contextualSpacing/>
              <w:jc w:val="right"/>
              <w:rPr>
                <w:rFonts w:cs="Arial"/>
                <w:sz w:val="18"/>
                <w:szCs w:val="18"/>
              </w:rPr>
            </w:pPr>
            <w:r w:rsidRPr="00654842">
              <w:rPr>
                <w:rFonts w:cs="Arial"/>
                <w:sz w:val="18"/>
                <w:szCs w:val="18"/>
              </w:rPr>
              <w:t>742</w:t>
            </w:r>
          </w:p>
        </w:tc>
        <w:tc>
          <w:tcPr>
            <w:tcW w:w="1077" w:type="dxa"/>
            <w:vAlign w:val="bottom"/>
            <w:hideMark/>
          </w:tcPr>
          <w:p w14:paraId="4438860F" w14:textId="25C40F5B" w:rsidR="00013EE8" w:rsidRPr="00654842" w:rsidRDefault="00013EE8" w:rsidP="00013EE8">
            <w:pPr>
              <w:ind w:firstLineChars="100" w:firstLine="180"/>
              <w:contextualSpacing/>
              <w:jc w:val="right"/>
              <w:rPr>
                <w:rFonts w:cs="Arial"/>
                <w:sz w:val="18"/>
                <w:szCs w:val="18"/>
              </w:rPr>
            </w:pPr>
            <w:r w:rsidRPr="00654842">
              <w:rPr>
                <w:rFonts w:cs="Arial"/>
                <w:sz w:val="18"/>
                <w:szCs w:val="18"/>
              </w:rPr>
              <w:t>739</w:t>
            </w:r>
          </w:p>
        </w:tc>
        <w:tc>
          <w:tcPr>
            <w:tcW w:w="1077" w:type="dxa"/>
            <w:vAlign w:val="bottom"/>
            <w:hideMark/>
          </w:tcPr>
          <w:p w14:paraId="477BD8E5" w14:textId="7548409F" w:rsidR="00013EE8" w:rsidRPr="00654842" w:rsidRDefault="00013EE8" w:rsidP="00013EE8">
            <w:pPr>
              <w:ind w:firstLineChars="100" w:firstLine="180"/>
              <w:contextualSpacing/>
              <w:jc w:val="right"/>
              <w:rPr>
                <w:rFonts w:cs="Arial"/>
                <w:sz w:val="18"/>
                <w:szCs w:val="18"/>
              </w:rPr>
            </w:pPr>
            <w:r w:rsidRPr="00654842">
              <w:rPr>
                <w:rFonts w:cs="Arial"/>
                <w:sz w:val="18"/>
                <w:szCs w:val="18"/>
              </w:rPr>
              <w:t>746</w:t>
            </w:r>
          </w:p>
        </w:tc>
        <w:tc>
          <w:tcPr>
            <w:tcW w:w="1077" w:type="dxa"/>
            <w:vAlign w:val="bottom"/>
          </w:tcPr>
          <w:p w14:paraId="753CB529" w14:textId="18C5602D" w:rsidR="00013EE8" w:rsidRPr="00654842" w:rsidRDefault="00013EE8" w:rsidP="00013EE8">
            <w:pPr>
              <w:contextualSpacing/>
              <w:jc w:val="right"/>
              <w:rPr>
                <w:rFonts w:cs="Arial"/>
                <w:sz w:val="18"/>
                <w:szCs w:val="18"/>
              </w:rPr>
            </w:pPr>
            <w:r w:rsidRPr="00654842">
              <w:rPr>
                <w:rFonts w:cs="Arial"/>
                <w:sz w:val="18"/>
                <w:szCs w:val="18"/>
              </w:rPr>
              <w:t>744</w:t>
            </w:r>
          </w:p>
        </w:tc>
        <w:tc>
          <w:tcPr>
            <w:tcW w:w="1077" w:type="dxa"/>
            <w:vAlign w:val="bottom"/>
          </w:tcPr>
          <w:p w14:paraId="34FEDC48" w14:textId="1DD26939" w:rsidR="00013EE8" w:rsidRPr="00654842" w:rsidRDefault="00013EE8" w:rsidP="00013EE8">
            <w:pPr>
              <w:contextualSpacing/>
              <w:jc w:val="right"/>
              <w:rPr>
                <w:rFonts w:cs="Arial"/>
                <w:sz w:val="18"/>
                <w:szCs w:val="18"/>
              </w:rPr>
            </w:pPr>
            <w:r w:rsidRPr="00654842">
              <w:rPr>
                <w:rFonts w:cs="Arial"/>
                <w:sz w:val="18"/>
                <w:szCs w:val="18"/>
              </w:rPr>
              <w:t>742</w:t>
            </w:r>
          </w:p>
        </w:tc>
        <w:tc>
          <w:tcPr>
            <w:tcW w:w="757" w:type="dxa"/>
            <w:vAlign w:val="bottom"/>
          </w:tcPr>
          <w:p w14:paraId="30558FB2" w14:textId="39FB0DFF" w:rsidR="00013EE8" w:rsidRPr="00654842" w:rsidRDefault="00013EE8" w:rsidP="00013EE8">
            <w:pPr>
              <w:ind w:right="37"/>
              <w:contextualSpacing/>
              <w:jc w:val="right"/>
              <w:rPr>
                <w:rFonts w:cs="Arial"/>
                <w:sz w:val="18"/>
                <w:szCs w:val="18"/>
              </w:rPr>
            </w:pPr>
            <w:r w:rsidRPr="00654842">
              <w:rPr>
                <w:rFonts w:cs="Arial"/>
                <w:sz w:val="18"/>
                <w:szCs w:val="18"/>
              </w:rPr>
              <w:t>725</w:t>
            </w:r>
          </w:p>
        </w:tc>
        <w:tc>
          <w:tcPr>
            <w:tcW w:w="709" w:type="dxa"/>
            <w:vAlign w:val="bottom"/>
          </w:tcPr>
          <w:p w14:paraId="1B6FC799" w14:textId="079924EF" w:rsidR="00013EE8" w:rsidRPr="00654842" w:rsidRDefault="00013EE8" w:rsidP="00013EE8">
            <w:pPr>
              <w:ind w:right="37"/>
              <w:contextualSpacing/>
              <w:jc w:val="right"/>
              <w:rPr>
                <w:rFonts w:cs="Arial"/>
                <w:sz w:val="18"/>
                <w:szCs w:val="18"/>
              </w:rPr>
            </w:pPr>
            <w:r w:rsidRPr="00654842">
              <w:rPr>
                <w:rFonts w:cs="Arial"/>
                <w:color w:val="000000"/>
                <w:sz w:val="18"/>
                <w:szCs w:val="18"/>
              </w:rPr>
              <w:t>698</w:t>
            </w:r>
          </w:p>
        </w:tc>
        <w:tc>
          <w:tcPr>
            <w:tcW w:w="709" w:type="dxa"/>
            <w:vAlign w:val="bottom"/>
          </w:tcPr>
          <w:p w14:paraId="401DF0CB" w14:textId="23E4571F" w:rsidR="00013EE8" w:rsidRPr="00654842" w:rsidRDefault="00013EE8" w:rsidP="00013EE8">
            <w:pPr>
              <w:ind w:right="37"/>
              <w:contextualSpacing/>
              <w:jc w:val="right"/>
              <w:rPr>
                <w:rFonts w:cs="Arial"/>
                <w:color w:val="000000"/>
                <w:sz w:val="18"/>
                <w:szCs w:val="18"/>
              </w:rPr>
            </w:pPr>
            <w:r w:rsidRPr="00654842">
              <w:rPr>
                <w:rFonts w:cs="Arial"/>
                <w:color w:val="000000"/>
                <w:sz w:val="18"/>
                <w:szCs w:val="18"/>
              </w:rPr>
              <w:t>695</w:t>
            </w:r>
          </w:p>
        </w:tc>
        <w:tc>
          <w:tcPr>
            <w:tcW w:w="709" w:type="dxa"/>
            <w:vAlign w:val="bottom"/>
          </w:tcPr>
          <w:p w14:paraId="6BD52AD3" w14:textId="27CBC671" w:rsidR="00013EE8" w:rsidRPr="00013EE8" w:rsidRDefault="00013EE8" w:rsidP="00013EE8">
            <w:pPr>
              <w:ind w:right="37"/>
              <w:contextualSpacing/>
              <w:jc w:val="right"/>
              <w:rPr>
                <w:rFonts w:cs="Arial"/>
                <w:color w:val="000000"/>
                <w:sz w:val="18"/>
                <w:szCs w:val="18"/>
              </w:rPr>
            </w:pPr>
            <w:r w:rsidRPr="00013EE8">
              <w:rPr>
                <w:rFonts w:cs="Arial"/>
                <w:color w:val="000000"/>
                <w:sz w:val="18"/>
                <w:szCs w:val="18"/>
              </w:rPr>
              <w:t>695</w:t>
            </w:r>
          </w:p>
        </w:tc>
      </w:tr>
      <w:tr w:rsidR="00013EE8" w:rsidRPr="00654842" w14:paraId="18793AC7" w14:textId="27DADC9F" w:rsidTr="00610F28">
        <w:trPr>
          <w:trHeight w:val="20"/>
          <w:jc w:val="center"/>
        </w:trPr>
        <w:tc>
          <w:tcPr>
            <w:tcW w:w="1423" w:type="dxa"/>
            <w:shd w:val="clear" w:color="auto" w:fill="BFBFBF"/>
            <w:vAlign w:val="center"/>
            <w:hideMark/>
          </w:tcPr>
          <w:p w14:paraId="25793787" w14:textId="77777777" w:rsidR="00013EE8" w:rsidRPr="00654842" w:rsidRDefault="00013EE8" w:rsidP="00013EE8">
            <w:pPr>
              <w:contextualSpacing/>
              <w:rPr>
                <w:rFonts w:cs="Arial"/>
                <w:b/>
                <w:bCs/>
                <w:sz w:val="18"/>
                <w:szCs w:val="18"/>
              </w:rPr>
            </w:pPr>
            <w:r w:rsidRPr="00654842">
              <w:rPr>
                <w:rFonts w:cs="Arial"/>
                <w:b/>
                <w:bCs/>
                <w:sz w:val="18"/>
                <w:szCs w:val="18"/>
              </w:rPr>
              <w:t xml:space="preserve">Celkem </w:t>
            </w:r>
          </w:p>
        </w:tc>
        <w:tc>
          <w:tcPr>
            <w:tcW w:w="1077" w:type="dxa"/>
            <w:shd w:val="clear" w:color="auto" w:fill="BFBFBF"/>
            <w:vAlign w:val="center"/>
            <w:hideMark/>
          </w:tcPr>
          <w:p w14:paraId="365402C5" w14:textId="5998553B" w:rsidR="00013EE8" w:rsidRPr="00654842" w:rsidRDefault="00013EE8" w:rsidP="00013EE8">
            <w:pPr>
              <w:ind w:firstLineChars="100" w:firstLine="181"/>
              <w:contextualSpacing/>
              <w:jc w:val="right"/>
              <w:rPr>
                <w:rFonts w:cs="Arial"/>
                <w:b/>
                <w:bCs/>
                <w:sz w:val="18"/>
                <w:szCs w:val="18"/>
              </w:rPr>
            </w:pPr>
            <w:r w:rsidRPr="00654842">
              <w:rPr>
                <w:rFonts w:cs="Arial"/>
                <w:b/>
                <w:bCs/>
                <w:sz w:val="18"/>
                <w:szCs w:val="18"/>
              </w:rPr>
              <w:t>3 575</w:t>
            </w:r>
          </w:p>
        </w:tc>
        <w:tc>
          <w:tcPr>
            <w:tcW w:w="1077" w:type="dxa"/>
            <w:shd w:val="clear" w:color="auto" w:fill="BFBFBF"/>
            <w:vAlign w:val="bottom"/>
          </w:tcPr>
          <w:p w14:paraId="4FFB1968" w14:textId="440A8D54" w:rsidR="00013EE8" w:rsidRPr="00654842" w:rsidRDefault="00013EE8" w:rsidP="00013EE8">
            <w:pPr>
              <w:ind w:firstLine="181"/>
              <w:contextualSpacing/>
              <w:jc w:val="right"/>
              <w:rPr>
                <w:rFonts w:cs="Arial"/>
                <w:b/>
                <w:bCs/>
                <w:sz w:val="18"/>
                <w:szCs w:val="18"/>
              </w:rPr>
            </w:pPr>
            <w:r w:rsidRPr="00654842">
              <w:rPr>
                <w:rFonts w:cs="Arial"/>
                <w:b/>
                <w:sz w:val="18"/>
                <w:szCs w:val="18"/>
              </w:rPr>
              <w:t>3 565</w:t>
            </w:r>
          </w:p>
        </w:tc>
        <w:tc>
          <w:tcPr>
            <w:tcW w:w="1077" w:type="dxa"/>
            <w:shd w:val="clear" w:color="auto" w:fill="BFBFBF"/>
            <w:vAlign w:val="bottom"/>
          </w:tcPr>
          <w:p w14:paraId="6F0A7C73" w14:textId="63DCA1A3" w:rsidR="00013EE8" w:rsidRPr="00654842" w:rsidRDefault="00013EE8" w:rsidP="00013EE8">
            <w:pPr>
              <w:contextualSpacing/>
              <w:jc w:val="right"/>
              <w:rPr>
                <w:rFonts w:cs="Arial"/>
                <w:b/>
                <w:bCs/>
                <w:sz w:val="18"/>
                <w:szCs w:val="18"/>
              </w:rPr>
            </w:pPr>
            <w:r w:rsidRPr="00654842">
              <w:rPr>
                <w:rFonts w:cs="Arial"/>
                <w:b/>
                <w:sz w:val="18"/>
                <w:szCs w:val="18"/>
              </w:rPr>
              <w:t>3 571</w:t>
            </w:r>
          </w:p>
        </w:tc>
        <w:tc>
          <w:tcPr>
            <w:tcW w:w="1077" w:type="dxa"/>
            <w:shd w:val="clear" w:color="auto" w:fill="BFBFBF"/>
            <w:vAlign w:val="bottom"/>
          </w:tcPr>
          <w:p w14:paraId="00554789" w14:textId="2231C70E" w:rsidR="00013EE8" w:rsidRPr="00654842" w:rsidRDefault="00013EE8" w:rsidP="00013EE8">
            <w:pPr>
              <w:contextualSpacing/>
              <w:jc w:val="right"/>
              <w:rPr>
                <w:rFonts w:cs="Arial"/>
                <w:b/>
                <w:bCs/>
                <w:sz w:val="18"/>
                <w:szCs w:val="18"/>
              </w:rPr>
            </w:pPr>
            <w:r w:rsidRPr="00654842">
              <w:rPr>
                <w:rFonts w:cs="Arial"/>
                <w:b/>
                <w:sz w:val="18"/>
                <w:szCs w:val="18"/>
              </w:rPr>
              <w:t>3 569</w:t>
            </w:r>
          </w:p>
        </w:tc>
        <w:tc>
          <w:tcPr>
            <w:tcW w:w="1077" w:type="dxa"/>
            <w:shd w:val="clear" w:color="auto" w:fill="BFBFBF"/>
            <w:vAlign w:val="bottom"/>
          </w:tcPr>
          <w:p w14:paraId="62A5FAB4" w14:textId="6AAE1995" w:rsidR="00013EE8" w:rsidRPr="00654842" w:rsidRDefault="00013EE8" w:rsidP="00013EE8">
            <w:pPr>
              <w:contextualSpacing/>
              <w:jc w:val="right"/>
              <w:rPr>
                <w:rFonts w:cs="Arial"/>
                <w:b/>
                <w:sz w:val="18"/>
                <w:szCs w:val="18"/>
              </w:rPr>
            </w:pPr>
            <w:r w:rsidRPr="00654842">
              <w:rPr>
                <w:rFonts w:cs="Arial"/>
                <w:b/>
                <w:sz w:val="18"/>
                <w:szCs w:val="18"/>
              </w:rPr>
              <w:t>3 546</w:t>
            </w:r>
          </w:p>
        </w:tc>
        <w:tc>
          <w:tcPr>
            <w:tcW w:w="1077" w:type="dxa"/>
            <w:shd w:val="clear" w:color="auto" w:fill="BFBFBF"/>
            <w:vAlign w:val="bottom"/>
          </w:tcPr>
          <w:p w14:paraId="148FC47B" w14:textId="72B19CEC" w:rsidR="00013EE8" w:rsidRPr="00654842" w:rsidRDefault="00013EE8" w:rsidP="00013EE8">
            <w:pPr>
              <w:contextualSpacing/>
              <w:jc w:val="right"/>
              <w:rPr>
                <w:rFonts w:cs="Arial"/>
                <w:b/>
                <w:sz w:val="18"/>
                <w:szCs w:val="18"/>
              </w:rPr>
            </w:pPr>
            <w:r w:rsidRPr="00654842">
              <w:rPr>
                <w:rFonts w:cs="Arial"/>
                <w:b/>
                <w:bCs/>
                <w:sz w:val="18"/>
                <w:szCs w:val="18"/>
              </w:rPr>
              <w:t>3 527</w:t>
            </w:r>
          </w:p>
        </w:tc>
        <w:tc>
          <w:tcPr>
            <w:tcW w:w="757" w:type="dxa"/>
            <w:shd w:val="clear" w:color="auto" w:fill="BFBFBF"/>
            <w:vAlign w:val="bottom"/>
          </w:tcPr>
          <w:p w14:paraId="6A71528F" w14:textId="288833CF" w:rsidR="00013EE8" w:rsidRPr="00654842" w:rsidRDefault="00013EE8" w:rsidP="00013EE8">
            <w:pPr>
              <w:contextualSpacing/>
              <w:jc w:val="right"/>
              <w:rPr>
                <w:rFonts w:cs="Arial"/>
                <w:b/>
                <w:bCs/>
                <w:sz w:val="18"/>
                <w:szCs w:val="18"/>
              </w:rPr>
            </w:pPr>
            <w:r w:rsidRPr="00654842">
              <w:rPr>
                <w:rFonts w:cs="Arial"/>
                <w:b/>
                <w:bCs/>
                <w:sz w:val="18"/>
                <w:szCs w:val="18"/>
              </w:rPr>
              <w:t>3 494</w:t>
            </w:r>
          </w:p>
        </w:tc>
        <w:tc>
          <w:tcPr>
            <w:tcW w:w="709" w:type="dxa"/>
            <w:shd w:val="clear" w:color="auto" w:fill="BFBFBF"/>
            <w:vAlign w:val="bottom"/>
          </w:tcPr>
          <w:p w14:paraId="4DCAE822" w14:textId="665FF8F2" w:rsidR="00013EE8" w:rsidRPr="00654842" w:rsidRDefault="00013EE8" w:rsidP="00013EE8">
            <w:pPr>
              <w:contextualSpacing/>
              <w:jc w:val="right"/>
              <w:rPr>
                <w:rFonts w:cs="Arial"/>
                <w:b/>
                <w:bCs/>
                <w:sz w:val="18"/>
                <w:szCs w:val="18"/>
              </w:rPr>
            </w:pPr>
            <w:r w:rsidRPr="00654842">
              <w:rPr>
                <w:rFonts w:cs="Arial"/>
                <w:b/>
                <w:bCs/>
                <w:color w:val="000000"/>
                <w:sz w:val="18"/>
                <w:szCs w:val="18"/>
              </w:rPr>
              <w:t>3 455</w:t>
            </w:r>
          </w:p>
        </w:tc>
        <w:tc>
          <w:tcPr>
            <w:tcW w:w="709" w:type="dxa"/>
            <w:shd w:val="clear" w:color="auto" w:fill="BFBFBF"/>
            <w:vAlign w:val="bottom"/>
          </w:tcPr>
          <w:p w14:paraId="00623102" w14:textId="3B21B4AB" w:rsidR="00013EE8" w:rsidRPr="00654842" w:rsidRDefault="00013EE8" w:rsidP="00013EE8">
            <w:pPr>
              <w:contextualSpacing/>
              <w:jc w:val="right"/>
              <w:rPr>
                <w:rFonts w:cs="Arial"/>
                <w:b/>
                <w:bCs/>
                <w:color w:val="000000"/>
                <w:sz w:val="18"/>
                <w:szCs w:val="18"/>
              </w:rPr>
            </w:pPr>
            <w:r w:rsidRPr="00654842">
              <w:rPr>
                <w:rFonts w:cs="Arial"/>
                <w:b/>
                <w:bCs/>
                <w:color w:val="000000"/>
                <w:sz w:val="18"/>
                <w:szCs w:val="18"/>
              </w:rPr>
              <w:t>3 410</w:t>
            </w:r>
          </w:p>
        </w:tc>
        <w:tc>
          <w:tcPr>
            <w:tcW w:w="709" w:type="dxa"/>
            <w:shd w:val="clear" w:color="auto" w:fill="BFBFBF"/>
            <w:vAlign w:val="bottom"/>
          </w:tcPr>
          <w:p w14:paraId="124E7FD4" w14:textId="49DDD504" w:rsidR="00013EE8" w:rsidRPr="00013EE8" w:rsidRDefault="00013EE8" w:rsidP="00013EE8">
            <w:pPr>
              <w:contextualSpacing/>
              <w:jc w:val="right"/>
              <w:rPr>
                <w:rFonts w:cs="Arial"/>
                <w:b/>
                <w:bCs/>
                <w:color w:val="000000"/>
                <w:sz w:val="18"/>
                <w:szCs w:val="18"/>
              </w:rPr>
            </w:pPr>
            <w:r w:rsidRPr="00013EE8">
              <w:rPr>
                <w:rFonts w:cs="Arial"/>
                <w:b/>
                <w:bCs/>
                <w:color w:val="000000"/>
                <w:sz w:val="18"/>
                <w:szCs w:val="18"/>
              </w:rPr>
              <w:t>3 376</w:t>
            </w:r>
          </w:p>
        </w:tc>
      </w:tr>
    </w:tbl>
    <w:p w14:paraId="7DD09D4F" w14:textId="0D16C7E7" w:rsidR="00487726" w:rsidRPr="00654842" w:rsidRDefault="00487726" w:rsidP="007C4955">
      <w:pPr>
        <w:pStyle w:val="Doplnktabulek"/>
        <w:spacing w:before="0"/>
        <w:contextualSpacing/>
        <w:rPr>
          <w:rFonts w:ascii="Arial" w:hAnsi="Arial" w:cs="Arial"/>
          <w:i/>
          <w:noProof/>
          <w:sz w:val="20"/>
        </w:rPr>
      </w:pPr>
      <w:r w:rsidRPr="00654842">
        <w:rPr>
          <w:rFonts w:ascii="Arial" w:hAnsi="Arial" w:cs="Arial"/>
          <w:i/>
          <w:noProof/>
          <w:sz w:val="20"/>
        </w:rPr>
        <w:t xml:space="preserve">Pramen: </w:t>
      </w:r>
      <w:r w:rsidR="00340859" w:rsidRPr="00654842">
        <w:rPr>
          <w:rFonts w:ascii="Arial" w:hAnsi="Arial" w:cs="Arial"/>
          <w:i/>
          <w:noProof/>
          <w:sz w:val="20"/>
        </w:rPr>
        <w:t>s</w:t>
      </w:r>
      <w:r w:rsidRPr="00654842">
        <w:rPr>
          <w:rFonts w:ascii="Arial" w:hAnsi="Arial" w:cs="Arial"/>
          <w:i/>
          <w:noProof/>
          <w:sz w:val="20"/>
        </w:rPr>
        <w:t>. p. Povodí</w:t>
      </w:r>
    </w:p>
    <w:p w14:paraId="472FE8AB" w14:textId="77777777" w:rsidR="00487726" w:rsidRPr="00654842" w:rsidRDefault="00487726" w:rsidP="007C4955">
      <w:pPr>
        <w:pStyle w:val="Doplnktabulek"/>
        <w:spacing w:before="0"/>
        <w:contextualSpacing/>
        <w:rPr>
          <w:rFonts w:ascii="Arial" w:hAnsi="Arial" w:cs="Arial"/>
          <w:i/>
          <w:noProof/>
          <w:sz w:val="20"/>
        </w:rPr>
      </w:pPr>
      <w:r w:rsidRPr="00654842">
        <w:rPr>
          <w:rFonts w:ascii="Arial" w:hAnsi="Arial" w:cs="Arial"/>
          <w:i/>
          <w:noProof/>
          <w:sz w:val="20"/>
        </w:rPr>
        <w:t>Pozn.: Průměrný přepočtený stav, zaokrouhleno na celá čísla.</w:t>
      </w:r>
    </w:p>
    <w:p w14:paraId="1FD5A9C4" w14:textId="77777777" w:rsidR="008052E3" w:rsidRPr="00104F7D" w:rsidRDefault="008052E3" w:rsidP="00164A2D">
      <w:pPr>
        <w:rPr>
          <w:rFonts w:cs="Arial"/>
          <w:b/>
          <w:highlight w:val="yellow"/>
        </w:rPr>
      </w:pPr>
    </w:p>
    <w:p w14:paraId="09404975" w14:textId="3613917F" w:rsidR="00164A2D" w:rsidRPr="00517A27" w:rsidRDefault="00164A2D" w:rsidP="00164A2D">
      <w:pPr>
        <w:rPr>
          <w:rFonts w:cs="Arial"/>
          <w:b/>
        </w:rPr>
      </w:pPr>
      <w:r w:rsidRPr="00517A27">
        <w:rPr>
          <w:rFonts w:cs="Arial"/>
          <w:b/>
        </w:rPr>
        <w:t>V roce 202</w:t>
      </w:r>
      <w:r w:rsidR="00517A27" w:rsidRPr="00517A27">
        <w:rPr>
          <w:rFonts w:cs="Arial"/>
          <w:b/>
        </w:rPr>
        <w:t>5</w:t>
      </w:r>
      <w:r w:rsidRPr="00517A27">
        <w:rPr>
          <w:rFonts w:cs="Arial"/>
          <w:b/>
        </w:rPr>
        <w:t xml:space="preserve"> došlo ve státních podnicích Povodí</w:t>
      </w:r>
      <w:r w:rsidRPr="00517A27" w:rsidDel="00D44BD3">
        <w:rPr>
          <w:rFonts w:cs="Arial"/>
          <w:b/>
        </w:rPr>
        <w:t xml:space="preserve"> </w:t>
      </w:r>
      <w:r w:rsidRPr="00517A27">
        <w:rPr>
          <w:rFonts w:cs="Arial"/>
          <w:b/>
        </w:rPr>
        <w:t xml:space="preserve">k nárůstu průměrné měsíční mzdy </w:t>
      </w:r>
      <w:r w:rsidRPr="00517A27">
        <w:rPr>
          <w:rFonts w:cs="Arial"/>
          <w:b/>
        </w:rPr>
        <w:br/>
        <w:t xml:space="preserve">o </w:t>
      </w:r>
      <w:r w:rsidR="00031079" w:rsidRPr="00517A27">
        <w:rPr>
          <w:rFonts w:cs="Arial"/>
          <w:b/>
        </w:rPr>
        <w:t xml:space="preserve">téměř </w:t>
      </w:r>
      <w:r w:rsidR="00517A27" w:rsidRPr="00517A27">
        <w:rPr>
          <w:rFonts w:cs="Arial"/>
          <w:b/>
        </w:rPr>
        <w:t>3</w:t>
      </w:r>
      <w:r w:rsidRPr="00517A27">
        <w:rPr>
          <w:rFonts w:cs="Arial"/>
          <w:b/>
        </w:rPr>
        <w:t xml:space="preserve"> %, výše průměrné mzdy byla </w:t>
      </w:r>
      <w:r w:rsidR="00517A27" w:rsidRPr="00517A27">
        <w:rPr>
          <w:rFonts w:cs="Arial"/>
          <w:b/>
        </w:rPr>
        <w:t>50 143</w:t>
      </w:r>
      <w:r w:rsidRPr="00517A27">
        <w:rPr>
          <w:rFonts w:cs="Arial"/>
          <w:b/>
        </w:rPr>
        <w:t xml:space="preserve"> Kč. </w:t>
      </w:r>
    </w:p>
    <w:p w14:paraId="024EBAD7" w14:textId="77777777" w:rsidR="00164A2D" w:rsidRPr="00104F7D" w:rsidRDefault="00164A2D" w:rsidP="00164A2D">
      <w:pPr>
        <w:rPr>
          <w:rFonts w:cs="Arial"/>
          <w:b/>
          <w:highlight w:val="yellow"/>
        </w:rPr>
      </w:pPr>
    </w:p>
    <w:p w14:paraId="07808FAE" w14:textId="77777777" w:rsidR="0010132A" w:rsidRPr="00104F7D" w:rsidRDefault="0010132A" w:rsidP="007C4955">
      <w:pPr>
        <w:contextualSpacing/>
        <w:rPr>
          <w:b/>
          <w:i/>
          <w:color w:val="FF0000"/>
          <w:highlight w:val="yellow"/>
        </w:rPr>
      </w:pPr>
      <w:bookmarkStart w:id="84" w:name="_Toc482564990"/>
    </w:p>
    <w:p w14:paraId="6A14B08B" w14:textId="5A7A9BE3" w:rsidR="00487726" w:rsidRPr="00AB5F3D" w:rsidRDefault="00487726" w:rsidP="007C4955">
      <w:pPr>
        <w:contextualSpacing/>
        <w:rPr>
          <w:b/>
          <w:i/>
        </w:rPr>
      </w:pPr>
      <w:r w:rsidRPr="00AB5F3D">
        <w:rPr>
          <w:b/>
          <w:i/>
        </w:rPr>
        <w:t>Tabulka 6.2.</w:t>
      </w:r>
      <w:r w:rsidR="00120D10" w:rsidRPr="00AB5F3D">
        <w:rPr>
          <w:b/>
          <w:i/>
        </w:rPr>
        <w:t>13</w:t>
      </w:r>
      <w:bookmarkEnd w:id="84"/>
    </w:p>
    <w:p w14:paraId="36C5B663" w14:textId="2DA0AB63" w:rsidR="00487726" w:rsidRPr="00AB5F3D" w:rsidRDefault="00487726" w:rsidP="007C4955">
      <w:pPr>
        <w:contextualSpacing/>
        <w:rPr>
          <w:b/>
          <w:i/>
        </w:rPr>
      </w:pPr>
      <w:r w:rsidRPr="00AB5F3D">
        <w:rPr>
          <w:b/>
          <w:i/>
        </w:rPr>
        <w:t xml:space="preserve">Průměrné mzdy v jednotlivých státních podnicích Povodí v letech </w:t>
      </w:r>
      <w:r w:rsidR="006860AB" w:rsidRPr="00AB5F3D">
        <w:rPr>
          <w:b/>
          <w:i/>
        </w:rPr>
        <w:t>201</w:t>
      </w:r>
      <w:r w:rsidR="00124AF5" w:rsidRPr="00AB5F3D">
        <w:rPr>
          <w:b/>
          <w:i/>
        </w:rPr>
        <w:t>6</w:t>
      </w:r>
      <w:r w:rsidRPr="00AB5F3D">
        <w:rPr>
          <w:b/>
          <w:i/>
        </w:rPr>
        <w:t>–20</w:t>
      </w:r>
      <w:r w:rsidR="00005A0D" w:rsidRPr="00AB5F3D">
        <w:rPr>
          <w:b/>
          <w:i/>
        </w:rPr>
        <w:t>2</w:t>
      </w:r>
      <w:r w:rsidR="009E3227">
        <w:rPr>
          <w:b/>
          <w:i/>
        </w:rPr>
        <w:t>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9"/>
        <w:gridCol w:w="851"/>
        <w:gridCol w:w="992"/>
        <w:gridCol w:w="926"/>
        <w:gridCol w:w="793"/>
        <w:gridCol w:w="793"/>
        <w:gridCol w:w="793"/>
        <w:gridCol w:w="793"/>
        <w:gridCol w:w="859"/>
        <w:gridCol w:w="859"/>
        <w:gridCol w:w="785"/>
      </w:tblGrid>
      <w:tr w:rsidR="00AB5F3D" w:rsidRPr="00AB5F3D" w14:paraId="49F9ED0E" w14:textId="128A2EDC" w:rsidTr="00563AFA">
        <w:trPr>
          <w:trHeight w:val="20"/>
          <w:jc w:val="center"/>
        </w:trPr>
        <w:tc>
          <w:tcPr>
            <w:tcW w:w="1129" w:type="dxa"/>
            <w:shd w:val="clear" w:color="auto" w:fill="BFBFBF"/>
            <w:vAlign w:val="center"/>
            <w:hideMark/>
          </w:tcPr>
          <w:p w14:paraId="59F2D166" w14:textId="77777777" w:rsidR="00AB5F3D" w:rsidRPr="00AB5F3D" w:rsidRDefault="00AB5F3D" w:rsidP="00124AF5">
            <w:pPr>
              <w:contextualSpacing/>
              <w:rPr>
                <w:rFonts w:cs="Arial"/>
                <w:b/>
                <w:bCs/>
                <w:sz w:val="18"/>
                <w:szCs w:val="18"/>
              </w:rPr>
            </w:pPr>
            <w:r w:rsidRPr="00AB5F3D">
              <w:rPr>
                <w:rFonts w:cs="Arial"/>
                <w:b/>
                <w:bCs/>
                <w:sz w:val="18"/>
                <w:szCs w:val="18"/>
              </w:rPr>
              <w:t>Státní podnik Povodí</w:t>
            </w:r>
          </w:p>
        </w:tc>
        <w:tc>
          <w:tcPr>
            <w:tcW w:w="851" w:type="dxa"/>
            <w:shd w:val="clear" w:color="auto" w:fill="BFBFBF"/>
            <w:vAlign w:val="center"/>
          </w:tcPr>
          <w:p w14:paraId="5358234D" w14:textId="50C30EAB" w:rsidR="00AB5F3D" w:rsidRPr="00AB5F3D" w:rsidRDefault="00AB5F3D" w:rsidP="00124AF5">
            <w:pPr>
              <w:contextualSpacing/>
              <w:jc w:val="center"/>
              <w:rPr>
                <w:rFonts w:cs="Arial"/>
                <w:b/>
                <w:bCs/>
                <w:sz w:val="18"/>
                <w:szCs w:val="18"/>
              </w:rPr>
            </w:pPr>
            <w:r w:rsidRPr="00AB5F3D">
              <w:rPr>
                <w:rFonts w:cs="Arial"/>
                <w:b/>
                <w:bCs/>
                <w:sz w:val="18"/>
                <w:szCs w:val="18"/>
              </w:rPr>
              <w:t>2016</w:t>
            </w:r>
          </w:p>
        </w:tc>
        <w:tc>
          <w:tcPr>
            <w:tcW w:w="992" w:type="dxa"/>
            <w:shd w:val="clear" w:color="auto" w:fill="BFBFBF"/>
            <w:vAlign w:val="center"/>
          </w:tcPr>
          <w:p w14:paraId="774F145D" w14:textId="6616A28A" w:rsidR="00AB5F3D" w:rsidRPr="00AB5F3D" w:rsidRDefault="00AB5F3D" w:rsidP="00124AF5">
            <w:pPr>
              <w:contextualSpacing/>
              <w:jc w:val="center"/>
              <w:rPr>
                <w:rFonts w:cs="Arial"/>
                <w:b/>
                <w:bCs/>
                <w:sz w:val="18"/>
                <w:szCs w:val="18"/>
              </w:rPr>
            </w:pPr>
            <w:r w:rsidRPr="00AB5F3D">
              <w:rPr>
                <w:rFonts w:cs="Arial"/>
                <w:b/>
                <w:bCs/>
                <w:sz w:val="18"/>
                <w:szCs w:val="18"/>
              </w:rPr>
              <w:t>2017</w:t>
            </w:r>
          </w:p>
        </w:tc>
        <w:tc>
          <w:tcPr>
            <w:tcW w:w="926" w:type="dxa"/>
            <w:shd w:val="clear" w:color="auto" w:fill="BFBFBF"/>
            <w:vAlign w:val="center"/>
          </w:tcPr>
          <w:p w14:paraId="2FCD3A5C" w14:textId="0D6681F8" w:rsidR="00AB5F3D" w:rsidRPr="00AB5F3D" w:rsidRDefault="00AB5F3D" w:rsidP="00124AF5">
            <w:pPr>
              <w:contextualSpacing/>
              <w:jc w:val="center"/>
              <w:rPr>
                <w:rFonts w:cs="Arial"/>
                <w:b/>
                <w:bCs/>
                <w:sz w:val="18"/>
                <w:szCs w:val="18"/>
              </w:rPr>
            </w:pPr>
            <w:r w:rsidRPr="00AB5F3D">
              <w:rPr>
                <w:rFonts w:cs="Arial"/>
                <w:b/>
                <w:bCs/>
                <w:sz w:val="18"/>
                <w:szCs w:val="18"/>
              </w:rPr>
              <w:t>2018</w:t>
            </w:r>
          </w:p>
        </w:tc>
        <w:tc>
          <w:tcPr>
            <w:tcW w:w="793" w:type="dxa"/>
            <w:shd w:val="clear" w:color="auto" w:fill="BFBFBF"/>
          </w:tcPr>
          <w:p w14:paraId="6F449796" w14:textId="3094C7E8" w:rsidR="00AB5F3D" w:rsidRPr="00AB5F3D" w:rsidRDefault="00AB5F3D" w:rsidP="00124AF5">
            <w:pPr>
              <w:contextualSpacing/>
              <w:jc w:val="center"/>
              <w:rPr>
                <w:rFonts w:cs="Arial"/>
                <w:b/>
                <w:bCs/>
                <w:sz w:val="18"/>
                <w:szCs w:val="18"/>
              </w:rPr>
            </w:pPr>
            <w:r w:rsidRPr="00AB5F3D">
              <w:rPr>
                <w:rFonts w:cs="Arial"/>
                <w:b/>
                <w:bCs/>
                <w:sz w:val="18"/>
                <w:szCs w:val="18"/>
              </w:rPr>
              <w:t>2019</w:t>
            </w:r>
          </w:p>
        </w:tc>
        <w:tc>
          <w:tcPr>
            <w:tcW w:w="793" w:type="dxa"/>
            <w:shd w:val="clear" w:color="auto" w:fill="BFBFBF"/>
          </w:tcPr>
          <w:p w14:paraId="3578503A" w14:textId="56C5EDB1" w:rsidR="00AB5F3D" w:rsidRPr="00AB5F3D" w:rsidRDefault="00AB5F3D" w:rsidP="00124AF5">
            <w:pPr>
              <w:contextualSpacing/>
              <w:jc w:val="center"/>
              <w:rPr>
                <w:rFonts w:cs="Arial"/>
                <w:b/>
                <w:bCs/>
                <w:sz w:val="18"/>
                <w:szCs w:val="18"/>
              </w:rPr>
            </w:pPr>
            <w:r w:rsidRPr="00AB5F3D">
              <w:rPr>
                <w:rFonts w:cs="Arial"/>
                <w:b/>
                <w:bCs/>
                <w:sz w:val="18"/>
                <w:szCs w:val="18"/>
              </w:rPr>
              <w:t>2020</w:t>
            </w:r>
          </w:p>
        </w:tc>
        <w:tc>
          <w:tcPr>
            <w:tcW w:w="793" w:type="dxa"/>
            <w:shd w:val="clear" w:color="auto" w:fill="BFBFBF"/>
          </w:tcPr>
          <w:p w14:paraId="63AA88ED" w14:textId="023C740C" w:rsidR="00AB5F3D" w:rsidRPr="00AB5F3D" w:rsidRDefault="00AB5F3D" w:rsidP="00124AF5">
            <w:pPr>
              <w:contextualSpacing/>
              <w:jc w:val="center"/>
              <w:rPr>
                <w:rFonts w:cs="Arial"/>
                <w:b/>
                <w:bCs/>
                <w:sz w:val="18"/>
                <w:szCs w:val="18"/>
              </w:rPr>
            </w:pPr>
            <w:r w:rsidRPr="00AB5F3D">
              <w:rPr>
                <w:rFonts w:cs="Arial"/>
                <w:b/>
                <w:bCs/>
                <w:sz w:val="18"/>
                <w:szCs w:val="18"/>
              </w:rPr>
              <w:t>2021</w:t>
            </w:r>
          </w:p>
        </w:tc>
        <w:tc>
          <w:tcPr>
            <w:tcW w:w="793" w:type="dxa"/>
            <w:shd w:val="clear" w:color="auto" w:fill="BFBFBF"/>
          </w:tcPr>
          <w:p w14:paraId="2053CD5B" w14:textId="1FA9F44C" w:rsidR="00AB5F3D" w:rsidRPr="00AB5F3D" w:rsidRDefault="00AB5F3D" w:rsidP="00124AF5">
            <w:pPr>
              <w:contextualSpacing/>
              <w:jc w:val="center"/>
              <w:rPr>
                <w:rFonts w:cs="Arial"/>
                <w:b/>
                <w:bCs/>
                <w:sz w:val="18"/>
                <w:szCs w:val="18"/>
              </w:rPr>
            </w:pPr>
            <w:r w:rsidRPr="00AB5F3D">
              <w:rPr>
                <w:rFonts w:cs="Arial"/>
                <w:b/>
                <w:bCs/>
                <w:sz w:val="18"/>
                <w:szCs w:val="18"/>
              </w:rPr>
              <w:t>2022</w:t>
            </w:r>
          </w:p>
        </w:tc>
        <w:tc>
          <w:tcPr>
            <w:tcW w:w="859" w:type="dxa"/>
            <w:shd w:val="clear" w:color="auto" w:fill="BFBFBF"/>
          </w:tcPr>
          <w:p w14:paraId="122529FC" w14:textId="5F506931" w:rsidR="00AB5F3D" w:rsidRPr="00AB5F3D" w:rsidRDefault="00AB5F3D" w:rsidP="00124AF5">
            <w:pPr>
              <w:contextualSpacing/>
              <w:jc w:val="center"/>
              <w:rPr>
                <w:rFonts w:cs="Arial"/>
                <w:b/>
                <w:bCs/>
                <w:sz w:val="18"/>
                <w:szCs w:val="18"/>
              </w:rPr>
            </w:pPr>
            <w:r w:rsidRPr="00AB5F3D">
              <w:rPr>
                <w:rFonts w:cs="Arial"/>
                <w:b/>
                <w:bCs/>
                <w:sz w:val="18"/>
                <w:szCs w:val="18"/>
              </w:rPr>
              <w:t>2</w:t>
            </w:r>
            <w:r w:rsidRPr="00AB5F3D">
              <w:rPr>
                <w:b/>
                <w:bCs/>
                <w:sz w:val="18"/>
                <w:szCs w:val="18"/>
              </w:rPr>
              <w:t>023</w:t>
            </w:r>
          </w:p>
        </w:tc>
        <w:tc>
          <w:tcPr>
            <w:tcW w:w="859" w:type="dxa"/>
            <w:shd w:val="clear" w:color="auto" w:fill="BFBFBF"/>
          </w:tcPr>
          <w:p w14:paraId="01D94730" w14:textId="4C2D13AD" w:rsidR="00AB5F3D" w:rsidRPr="00AB5F3D" w:rsidRDefault="00AB5F3D" w:rsidP="00124AF5">
            <w:pPr>
              <w:contextualSpacing/>
              <w:jc w:val="center"/>
              <w:rPr>
                <w:rFonts w:cs="Arial"/>
                <w:b/>
                <w:bCs/>
                <w:sz w:val="18"/>
                <w:szCs w:val="18"/>
              </w:rPr>
            </w:pPr>
            <w:r w:rsidRPr="00AB5F3D">
              <w:rPr>
                <w:rFonts w:cs="Arial"/>
                <w:b/>
                <w:bCs/>
                <w:sz w:val="18"/>
                <w:szCs w:val="18"/>
              </w:rPr>
              <w:t>2024</w:t>
            </w:r>
          </w:p>
        </w:tc>
        <w:tc>
          <w:tcPr>
            <w:tcW w:w="785" w:type="dxa"/>
            <w:shd w:val="clear" w:color="auto" w:fill="BFBFBF"/>
          </w:tcPr>
          <w:p w14:paraId="5A3472EE" w14:textId="32EEFF73" w:rsidR="00AB5F3D" w:rsidRPr="00AB5F3D" w:rsidRDefault="00AB5F3D" w:rsidP="00124AF5">
            <w:pPr>
              <w:contextualSpacing/>
              <w:jc w:val="center"/>
              <w:rPr>
                <w:rFonts w:cs="Arial"/>
                <w:b/>
                <w:bCs/>
                <w:sz w:val="18"/>
                <w:szCs w:val="18"/>
              </w:rPr>
            </w:pPr>
            <w:r w:rsidRPr="00AB5F3D">
              <w:rPr>
                <w:rFonts w:cs="Arial"/>
                <w:b/>
                <w:bCs/>
                <w:sz w:val="18"/>
                <w:szCs w:val="18"/>
              </w:rPr>
              <w:t>2025</w:t>
            </w:r>
          </w:p>
        </w:tc>
      </w:tr>
      <w:tr w:rsidR="00563AFA" w:rsidRPr="00AB5F3D" w14:paraId="7F8FC12A" w14:textId="181E220B" w:rsidTr="0072526D">
        <w:trPr>
          <w:trHeight w:val="20"/>
          <w:jc w:val="center"/>
        </w:trPr>
        <w:tc>
          <w:tcPr>
            <w:tcW w:w="9573" w:type="dxa"/>
            <w:gridSpan w:val="11"/>
            <w:shd w:val="clear" w:color="auto" w:fill="BFBFBF"/>
            <w:vAlign w:val="center"/>
          </w:tcPr>
          <w:p w14:paraId="570CB951" w14:textId="5191C5F9" w:rsidR="00563AFA" w:rsidRPr="00AB5F3D" w:rsidRDefault="00563AFA" w:rsidP="00164A2D">
            <w:pPr>
              <w:contextualSpacing/>
              <w:jc w:val="center"/>
              <w:rPr>
                <w:rFonts w:cs="Arial"/>
                <w:b/>
                <w:bCs/>
                <w:sz w:val="18"/>
                <w:szCs w:val="18"/>
              </w:rPr>
            </w:pPr>
            <w:r w:rsidRPr="00AB5F3D">
              <w:rPr>
                <w:rFonts w:cs="Arial"/>
                <w:b/>
                <w:bCs/>
                <w:sz w:val="18"/>
                <w:szCs w:val="18"/>
              </w:rPr>
              <w:t>Kč/měsíc</w:t>
            </w:r>
          </w:p>
        </w:tc>
      </w:tr>
      <w:tr w:rsidR="00AB5F3D" w:rsidRPr="00AB5F3D" w14:paraId="179028D9" w14:textId="0F9EB4C8" w:rsidTr="00563AFA">
        <w:trPr>
          <w:trHeight w:val="20"/>
          <w:jc w:val="center"/>
        </w:trPr>
        <w:tc>
          <w:tcPr>
            <w:tcW w:w="1129" w:type="dxa"/>
            <w:vAlign w:val="center"/>
            <w:hideMark/>
          </w:tcPr>
          <w:p w14:paraId="48F253EE" w14:textId="77777777" w:rsidR="00AB5F3D" w:rsidRPr="00AB5F3D" w:rsidRDefault="00AB5F3D" w:rsidP="00AB5F3D">
            <w:pPr>
              <w:contextualSpacing/>
              <w:rPr>
                <w:rFonts w:cs="Arial"/>
                <w:b/>
                <w:sz w:val="18"/>
                <w:szCs w:val="18"/>
              </w:rPr>
            </w:pPr>
            <w:r w:rsidRPr="00AB5F3D">
              <w:rPr>
                <w:rFonts w:cs="Arial"/>
                <w:b/>
                <w:sz w:val="18"/>
                <w:szCs w:val="18"/>
              </w:rPr>
              <w:t>Labe</w:t>
            </w:r>
          </w:p>
        </w:tc>
        <w:tc>
          <w:tcPr>
            <w:tcW w:w="851" w:type="dxa"/>
            <w:vAlign w:val="center"/>
            <w:hideMark/>
          </w:tcPr>
          <w:p w14:paraId="138AAC0D" w14:textId="2523DFD1" w:rsidR="00AB5F3D" w:rsidRPr="00AB5F3D" w:rsidRDefault="00AB5F3D" w:rsidP="00AB5F3D">
            <w:pPr>
              <w:contextualSpacing/>
              <w:jc w:val="center"/>
              <w:rPr>
                <w:rFonts w:cs="Arial"/>
                <w:sz w:val="18"/>
                <w:szCs w:val="18"/>
              </w:rPr>
            </w:pPr>
            <w:r w:rsidRPr="00AB5F3D">
              <w:rPr>
                <w:rFonts w:cs="Arial"/>
                <w:sz w:val="18"/>
                <w:szCs w:val="18"/>
              </w:rPr>
              <w:t>32 538</w:t>
            </w:r>
          </w:p>
        </w:tc>
        <w:tc>
          <w:tcPr>
            <w:tcW w:w="992" w:type="dxa"/>
            <w:vAlign w:val="center"/>
          </w:tcPr>
          <w:p w14:paraId="49F7395A" w14:textId="6C4E1F1A" w:rsidR="00AB5F3D" w:rsidRPr="00AB5F3D" w:rsidRDefault="00AB5F3D" w:rsidP="00AB5F3D">
            <w:pPr>
              <w:contextualSpacing/>
              <w:jc w:val="center"/>
              <w:rPr>
                <w:rFonts w:cs="Arial"/>
                <w:sz w:val="18"/>
                <w:szCs w:val="18"/>
              </w:rPr>
            </w:pPr>
            <w:r w:rsidRPr="00AB5F3D">
              <w:rPr>
                <w:rFonts w:cs="Arial"/>
                <w:sz w:val="18"/>
                <w:szCs w:val="18"/>
              </w:rPr>
              <w:t>33 653</w:t>
            </w:r>
          </w:p>
        </w:tc>
        <w:tc>
          <w:tcPr>
            <w:tcW w:w="926" w:type="dxa"/>
            <w:vAlign w:val="center"/>
          </w:tcPr>
          <w:p w14:paraId="2C60083D" w14:textId="0C0C21E8" w:rsidR="00AB5F3D" w:rsidRPr="00AB5F3D" w:rsidRDefault="00AB5F3D" w:rsidP="00AB5F3D">
            <w:pPr>
              <w:contextualSpacing/>
              <w:jc w:val="center"/>
              <w:rPr>
                <w:rFonts w:cs="Arial"/>
                <w:sz w:val="18"/>
                <w:szCs w:val="18"/>
              </w:rPr>
            </w:pPr>
            <w:r w:rsidRPr="00AB5F3D">
              <w:rPr>
                <w:rFonts w:cs="Arial"/>
                <w:sz w:val="18"/>
                <w:szCs w:val="18"/>
              </w:rPr>
              <w:t>35 050</w:t>
            </w:r>
          </w:p>
        </w:tc>
        <w:tc>
          <w:tcPr>
            <w:tcW w:w="793" w:type="dxa"/>
            <w:vAlign w:val="center"/>
          </w:tcPr>
          <w:p w14:paraId="7B28DE21" w14:textId="487D85B1" w:rsidR="00AB5F3D" w:rsidRPr="00AB5F3D" w:rsidRDefault="00AB5F3D" w:rsidP="00AB5F3D">
            <w:pPr>
              <w:contextualSpacing/>
              <w:jc w:val="center"/>
              <w:rPr>
                <w:rFonts w:cs="Arial"/>
                <w:sz w:val="18"/>
                <w:szCs w:val="18"/>
              </w:rPr>
            </w:pPr>
            <w:r w:rsidRPr="00AB5F3D">
              <w:rPr>
                <w:rFonts w:cs="Arial"/>
                <w:sz w:val="18"/>
                <w:szCs w:val="18"/>
              </w:rPr>
              <w:t>37 472</w:t>
            </w:r>
          </w:p>
        </w:tc>
        <w:tc>
          <w:tcPr>
            <w:tcW w:w="793" w:type="dxa"/>
            <w:vAlign w:val="center"/>
          </w:tcPr>
          <w:p w14:paraId="69DE8D40" w14:textId="127EAAED" w:rsidR="00AB5F3D" w:rsidRPr="00AB5F3D" w:rsidRDefault="00AB5F3D" w:rsidP="00AB5F3D">
            <w:pPr>
              <w:contextualSpacing/>
              <w:jc w:val="center"/>
              <w:rPr>
                <w:rFonts w:cs="Arial"/>
                <w:sz w:val="18"/>
                <w:szCs w:val="18"/>
              </w:rPr>
            </w:pPr>
            <w:r w:rsidRPr="00AB5F3D">
              <w:rPr>
                <w:rFonts w:eastAsia="Times New Roman" w:cs="Arial"/>
                <w:sz w:val="18"/>
                <w:szCs w:val="18"/>
                <w:lang w:eastAsia="cs-CZ"/>
              </w:rPr>
              <w:t>39 074</w:t>
            </w:r>
          </w:p>
        </w:tc>
        <w:tc>
          <w:tcPr>
            <w:tcW w:w="793" w:type="dxa"/>
            <w:vAlign w:val="bottom"/>
          </w:tcPr>
          <w:p w14:paraId="19DDB46F" w14:textId="206FEE7C" w:rsidR="00AB5F3D" w:rsidRPr="00AB5F3D" w:rsidRDefault="00AB5F3D" w:rsidP="00AB5F3D">
            <w:pPr>
              <w:contextualSpacing/>
              <w:jc w:val="center"/>
              <w:rPr>
                <w:rFonts w:cs="Arial"/>
                <w:sz w:val="18"/>
                <w:szCs w:val="18"/>
              </w:rPr>
            </w:pPr>
            <w:r w:rsidRPr="00AB5F3D">
              <w:rPr>
                <w:rFonts w:cs="Arial"/>
                <w:sz w:val="18"/>
                <w:szCs w:val="18"/>
              </w:rPr>
              <w:t>40 686</w:t>
            </w:r>
          </w:p>
        </w:tc>
        <w:tc>
          <w:tcPr>
            <w:tcW w:w="793" w:type="dxa"/>
            <w:vAlign w:val="bottom"/>
          </w:tcPr>
          <w:p w14:paraId="695FB42E" w14:textId="42BA4465" w:rsidR="00AB5F3D" w:rsidRPr="00AB5F3D" w:rsidRDefault="00AB5F3D" w:rsidP="00AB5F3D">
            <w:pPr>
              <w:contextualSpacing/>
              <w:jc w:val="center"/>
              <w:rPr>
                <w:rFonts w:cs="Arial"/>
                <w:sz w:val="18"/>
                <w:szCs w:val="18"/>
              </w:rPr>
            </w:pPr>
            <w:r w:rsidRPr="00AB5F3D">
              <w:rPr>
                <w:rFonts w:cs="Arial"/>
                <w:color w:val="000000"/>
                <w:sz w:val="18"/>
                <w:szCs w:val="18"/>
              </w:rPr>
              <w:t>43 342</w:t>
            </w:r>
          </w:p>
        </w:tc>
        <w:tc>
          <w:tcPr>
            <w:tcW w:w="859" w:type="dxa"/>
            <w:vAlign w:val="bottom"/>
          </w:tcPr>
          <w:p w14:paraId="419AFA30" w14:textId="727470A6" w:rsidR="00AB5F3D" w:rsidRPr="00AB5F3D" w:rsidRDefault="00AB5F3D" w:rsidP="00AB5F3D">
            <w:pPr>
              <w:contextualSpacing/>
              <w:jc w:val="center"/>
              <w:rPr>
                <w:rFonts w:cs="Arial"/>
                <w:color w:val="000000"/>
                <w:sz w:val="18"/>
                <w:szCs w:val="18"/>
              </w:rPr>
            </w:pPr>
            <w:r w:rsidRPr="00AB5F3D">
              <w:rPr>
                <w:rFonts w:cs="Arial"/>
                <w:color w:val="000000"/>
                <w:sz w:val="18"/>
                <w:szCs w:val="18"/>
              </w:rPr>
              <w:t>47 310</w:t>
            </w:r>
          </w:p>
        </w:tc>
        <w:tc>
          <w:tcPr>
            <w:tcW w:w="859" w:type="dxa"/>
            <w:vAlign w:val="bottom"/>
          </w:tcPr>
          <w:p w14:paraId="51067E98" w14:textId="175A112E" w:rsidR="00AB5F3D" w:rsidRPr="00AB5F3D" w:rsidRDefault="00AB5F3D" w:rsidP="00AB5F3D">
            <w:pPr>
              <w:contextualSpacing/>
              <w:jc w:val="center"/>
              <w:rPr>
                <w:rFonts w:cs="Arial"/>
                <w:color w:val="000000"/>
                <w:sz w:val="18"/>
                <w:szCs w:val="18"/>
              </w:rPr>
            </w:pPr>
            <w:r w:rsidRPr="00AB5F3D">
              <w:rPr>
                <w:rFonts w:cs="Arial"/>
                <w:color w:val="000000"/>
                <w:sz w:val="18"/>
                <w:szCs w:val="18"/>
              </w:rPr>
              <w:t>50 623</w:t>
            </w:r>
          </w:p>
        </w:tc>
        <w:tc>
          <w:tcPr>
            <w:tcW w:w="785" w:type="dxa"/>
            <w:vAlign w:val="bottom"/>
          </w:tcPr>
          <w:p w14:paraId="568A226A" w14:textId="0ED936F2" w:rsidR="00AB5F3D" w:rsidRPr="00AB5F3D" w:rsidRDefault="00AB5F3D" w:rsidP="00AB5F3D">
            <w:pPr>
              <w:contextualSpacing/>
              <w:jc w:val="center"/>
              <w:rPr>
                <w:rFonts w:cs="Arial"/>
                <w:color w:val="000000"/>
                <w:sz w:val="18"/>
                <w:szCs w:val="18"/>
              </w:rPr>
            </w:pPr>
            <w:r w:rsidRPr="00AB5F3D">
              <w:rPr>
                <w:rFonts w:cs="Arial"/>
                <w:color w:val="000000"/>
                <w:sz w:val="18"/>
                <w:szCs w:val="18"/>
              </w:rPr>
              <w:t>52</w:t>
            </w:r>
            <w:r>
              <w:rPr>
                <w:rFonts w:cs="Arial"/>
                <w:color w:val="000000"/>
                <w:sz w:val="18"/>
                <w:szCs w:val="18"/>
              </w:rPr>
              <w:t xml:space="preserve"> </w:t>
            </w:r>
            <w:r w:rsidRPr="00AB5F3D">
              <w:rPr>
                <w:rFonts w:cs="Arial"/>
                <w:color w:val="000000"/>
                <w:sz w:val="18"/>
                <w:szCs w:val="18"/>
              </w:rPr>
              <w:t>624</w:t>
            </w:r>
          </w:p>
        </w:tc>
      </w:tr>
      <w:tr w:rsidR="00AB5F3D" w:rsidRPr="00AB5F3D" w14:paraId="52F10375" w14:textId="6C3C8DBD" w:rsidTr="00563AFA">
        <w:trPr>
          <w:trHeight w:val="20"/>
          <w:jc w:val="center"/>
        </w:trPr>
        <w:tc>
          <w:tcPr>
            <w:tcW w:w="1129" w:type="dxa"/>
            <w:vAlign w:val="center"/>
            <w:hideMark/>
          </w:tcPr>
          <w:p w14:paraId="107BC209" w14:textId="77777777" w:rsidR="00AB5F3D" w:rsidRPr="00AB5F3D" w:rsidRDefault="00AB5F3D" w:rsidP="00AB5F3D">
            <w:pPr>
              <w:contextualSpacing/>
              <w:rPr>
                <w:rFonts w:cs="Arial"/>
                <w:b/>
                <w:sz w:val="18"/>
                <w:szCs w:val="18"/>
              </w:rPr>
            </w:pPr>
            <w:r w:rsidRPr="00AB5F3D">
              <w:rPr>
                <w:rFonts w:cs="Arial"/>
                <w:b/>
                <w:sz w:val="18"/>
                <w:szCs w:val="18"/>
              </w:rPr>
              <w:t>Vltavy</w:t>
            </w:r>
          </w:p>
        </w:tc>
        <w:tc>
          <w:tcPr>
            <w:tcW w:w="851" w:type="dxa"/>
            <w:vAlign w:val="center"/>
            <w:hideMark/>
          </w:tcPr>
          <w:p w14:paraId="76CF8565" w14:textId="4BF8D079" w:rsidR="00AB5F3D" w:rsidRPr="00AB5F3D" w:rsidRDefault="00AB5F3D" w:rsidP="00AB5F3D">
            <w:pPr>
              <w:contextualSpacing/>
              <w:jc w:val="center"/>
              <w:rPr>
                <w:rFonts w:cs="Arial"/>
                <w:sz w:val="18"/>
                <w:szCs w:val="18"/>
              </w:rPr>
            </w:pPr>
            <w:r w:rsidRPr="00AB5F3D">
              <w:rPr>
                <w:rFonts w:cs="Arial"/>
                <w:sz w:val="18"/>
                <w:szCs w:val="18"/>
              </w:rPr>
              <w:t>31 087</w:t>
            </w:r>
          </w:p>
        </w:tc>
        <w:tc>
          <w:tcPr>
            <w:tcW w:w="992" w:type="dxa"/>
            <w:vAlign w:val="center"/>
          </w:tcPr>
          <w:p w14:paraId="123D6164" w14:textId="23629577" w:rsidR="00AB5F3D" w:rsidRPr="00AB5F3D" w:rsidRDefault="00AB5F3D" w:rsidP="00AB5F3D">
            <w:pPr>
              <w:contextualSpacing/>
              <w:jc w:val="center"/>
              <w:rPr>
                <w:rFonts w:cs="Arial"/>
                <w:sz w:val="18"/>
                <w:szCs w:val="18"/>
              </w:rPr>
            </w:pPr>
            <w:r w:rsidRPr="00AB5F3D">
              <w:rPr>
                <w:rFonts w:cs="Arial"/>
                <w:sz w:val="18"/>
                <w:szCs w:val="18"/>
              </w:rPr>
              <w:t>31 550</w:t>
            </w:r>
          </w:p>
        </w:tc>
        <w:tc>
          <w:tcPr>
            <w:tcW w:w="926" w:type="dxa"/>
            <w:vAlign w:val="center"/>
          </w:tcPr>
          <w:p w14:paraId="57CDE9CE" w14:textId="180CBD91" w:rsidR="00AB5F3D" w:rsidRPr="00AB5F3D" w:rsidRDefault="00AB5F3D" w:rsidP="00AB5F3D">
            <w:pPr>
              <w:contextualSpacing/>
              <w:jc w:val="center"/>
              <w:rPr>
                <w:rFonts w:cs="Arial"/>
                <w:sz w:val="18"/>
                <w:szCs w:val="18"/>
              </w:rPr>
            </w:pPr>
            <w:r w:rsidRPr="00AB5F3D">
              <w:rPr>
                <w:rFonts w:cs="Arial"/>
                <w:sz w:val="18"/>
                <w:szCs w:val="18"/>
              </w:rPr>
              <w:t>32 740</w:t>
            </w:r>
          </w:p>
        </w:tc>
        <w:tc>
          <w:tcPr>
            <w:tcW w:w="793" w:type="dxa"/>
            <w:vAlign w:val="center"/>
          </w:tcPr>
          <w:p w14:paraId="118F71AF" w14:textId="3BD11428" w:rsidR="00AB5F3D" w:rsidRPr="00AB5F3D" w:rsidRDefault="00AB5F3D" w:rsidP="00AB5F3D">
            <w:pPr>
              <w:contextualSpacing/>
              <w:jc w:val="center"/>
              <w:rPr>
                <w:rFonts w:cs="Arial"/>
                <w:sz w:val="18"/>
                <w:szCs w:val="18"/>
              </w:rPr>
            </w:pPr>
            <w:r w:rsidRPr="00AB5F3D">
              <w:rPr>
                <w:rFonts w:cs="Arial"/>
                <w:sz w:val="18"/>
                <w:szCs w:val="18"/>
              </w:rPr>
              <w:t>35 017</w:t>
            </w:r>
          </w:p>
        </w:tc>
        <w:tc>
          <w:tcPr>
            <w:tcW w:w="793" w:type="dxa"/>
            <w:vAlign w:val="center"/>
          </w:tcPr>
          <w:p w14:paraId="470904FD" w14:textId="5EFF0A03" w:rsidR="00AB5F3D" w:rsidRPr="00AB5F3D" w:rsidRDefault="00AB5F3D" w:rsidP="00AB5F3D">
            <w:pPr>
              <w:contextualSpacing/>
              <w:jc w:val="center"/>
              <w:rPr>
                <w:rFonts w:cs="Arial"/>
                <w:sz w:val="18"/>
                <w:szCs w:val="18"/>
              </w:rPr>
            </w:pPr>
            <w:r w:rsidRPr="00AB5F3D">
              <w:rPr>
                <w:rFonts w:eastAsia="Times New Roman" w:cs="Arial"/>
                <w:sz w:val="18"/>
                <w:szCs w:val="18"/>
                <w:lang w:eastAsia="cs-CZ"/>
              </w:rPr>
              <w:t>37 131</w:t>
            </w:r>
          </w:p>
        </w:tc>
        <w:tc>
          <w:tcPr>
            <w:tcW w:w="793" w:type="dxa"/>
            <w:vAlign w:val="bottom"/>
          </w:tcPr>
          <w:p w14:paraId="40114383" w14:textId="792FF9DD" w:rsidR="00AB5F3D" w:rsidRPr="00AB5F3D" w:rsidRDefault="00AB5F3D" w:rsidP="00AB5F3D">
            <w:pPr>
              <w:contextualSpacing/>
              <w:jc w:val="center"/>
              <w:rPr>
                <w:rFonts w:cs="Arial"/>
                <w:sz w:val="18"/>
                <w:szCs w:val="18"/>
              </w:rPr>
            </w:pPr>
            <w:r w:rsidRPr="00AB5F3D">
              <w:rPr>
                <w:rFonts w:cs="Arial"/>
                <w:sz w:val="18"/>
                <w:szCs w:val="18"/>
              </w:rPr>
              <w:t>39 044</w:t>
            </w:r>
          </w:p>
        </w:tc>
        <w:tc>
          <w:tcPr>
            <w:tcW w:w="793" w:type="dxa"/>
            <w:vAlign w:val="bottom"/>
          </w:tcPr>
          <w:p w14:paraId="7157DE1D" w14:textId="7EDEBE8A" w:rsidR="00AB5F3D" w:rsidRPr="00AB5F3D" w:rsidRDefault="00AB5F3D" w:rsidP="00AB5F3D">
            <w:pPr>
              <w:contextualSpacing/>
              <w:jc w:val="center"/>
              <w:rPr>
                <w:rFonts w:cs="Arial"/>
                <w:sz w:val="18"/>
                <w:szCs w:val="18"/>
              </w:rPr>
            </w:pPr>
            <w:r w:rsidRPr="00AB5F3D">
              <w:rPr>
                <w:rFonts w:cs="Arial"/>
                <w:color w:val="000000"/>
                <w:sz w:val="18"/>
                <w:szCs w:val="18"/>
              </w:rPr>
              <w:t>41 292</w:t>
            </w:r>
          </w:p>
        </w:tc>
        <w:tc>
          <w:tcPr>
            <w:tcW w:w="859" w:type="dxa"/>
            <w:vAlign w:val="bottom"/>
          </w:tcPr>
          <w:p w14:paraId="5E69FCA7" w14:textId="78128AE2" w:rsidR="00AB5F3D" w:rsidRPr="00AB5F3D" w:rsidRDefault="00AB5F3D" w:rsidP="00AB5F3D">
            <w:pPr>
              <w:contextualSpacing/>
              <w:jc w:val="center"/>
              <w:rPr>
                <w:rFonts w:cs="Arial"/>
                <w:color w:val="000000"/>
                <w:sz w:val="18"/>
                <w:szCs w:val="18"/>
              </w:rPr>
            </w:pPr>
            <w:r w:rsidRPr="00AB5F3D">
              <w:rPr>
                <w:rFonts w:cs="Arial"/>
                <w:color w:val="000000"/>
                <w:sz w:val="18"/>
                <w:szCs w:val="18"/>
              </w:rPr>
              <w:t>45 574</w:t>
            </w:r>
          </w:p>
        </w:tc>
        <w:tc>
          <w:tcPr>
            <w:tcW w:w="859" w:type="dxa"/>
            <w:vAlign w:val="bottom"/>
          </w:tcPr>
          <w:p w14:paraId="7DC34747" w14:textId="7551CB07" w:rsidR="00AB5F3D" w:rsidRPr="00AB5F3D" w:rsidRDefault="00AB5F3D" w:rsidP="00AB5F3D">
            <w:pPr>
              <w:contextualSpacing/>
              <w:jc w:val="center"/>
              <w:rPr>
                <w:rFonts w:cs="Arial"/>
                <w:color w:val="000000"/>
                <w:sz w:val="18"/>
                <w:szCs w:val="18"/>
              </w:rPr>
            </w:pPr>
            <w:r w:rsidRPr="00AB5F3D">
              <w:rPr>
                <w:rFonts w:cs="Arial"/>
                <w:color w:val="000000"/>
                <w:sz w:val="18"/>
                <w:szCs w:val="18"/>
              </w:rPr>
              <w:t>48 176</w:t>
            </w:r>
          </w:p>
        </w:tc>
        <w:tc>
          <w:tcPr>
            <w:tcW w:w="785" w:type="dxa"/>
            <w:vAlign w:val="bottom"/>
          </w:tcPr>
          <w:p w14:paraId="6A166E7D" w14:textId="3E1DAA4C" w:rsidR="00AB5F3D" w:rsidRPr="00AB5F3D" w:rsidRDefault="00AB5F3D" w:rsidP="00AB5F3D">
            <w:pPr>
              <w:contextualSpacing/>
              <w:jc w:val="center"/>
              <w:rPr>
                <w:rFonts w:cs="Arial"/>
                <w:color w:val="000000"/>
                <w:sz w:val="18"/>
                <w:szCs w:val="18"/>
              </w:rPr>
            </w:pPr>
            <w:r w:rsidRPr="00AB5F3D">
              <w:rPr>
                <w:rFonts w:cs="Arial"/>
                <w:color w:val="000000"/>
                <w:sz w:val="18"/>
                <w:szCs w:val="18"/>
              </w:rPr>
              <w:t>50</w:t>
            </w:r>
            <w:r>
              <w:rPr>
                <w:rFonts w:cs="Arial"/>
                <w:color w:val="000000"/>
                <w:sz w:val="18"/>
                <w:szCs w:val="18"/>
              </w:rPr>
              <w:t xml:space="preserve"> </w:t>
            </w:r>
            <w:r w:rsidRPr="00AB5F3D">
              <w:rPr>
                <w:rFonts w:cs="Arial"/>
                <w:color w:val="000000"/>
                <w:sz w:val="18"/>
                <w:szCs w:val="18"/>
              </w:rPr>
              <w:t>133</w:t>
            </w:r>
          </w:p>
        </w:tc>
      </w:tr>
      <w:tr w:rsidR="00AB5F3D" w:rsidRPr="00AB5F3D" w14:paraId="305D48C9" w14:textId="0A75397A" w:rsidTr="00563AFA">
        <w:trPr>
          <w:trHeight w:val="20"/>
          <w:jc w:val="center"/>
        </w:trPr>
        <w:tc>
          <w:tcPr>
            <w:tcW w:w="1129" w:type="dxa"/>
            <w:vAlign w:val="center"/>
            <w:hideMark/>
          </w:tcPr>
          <w:p w14:paraId="031E8257" w14:textId="77777777" w:rsidR="00AB5F3D" w:rsidRPr="00AB5F3D" w:rsidRDefault="00AB5F3D" w:rsidP="00AB5F3D">
            <w:pPr>
              <w:contextualSpacing/>
              <w:rPr>
                <w:rFonts w:cs="Arial"/>
                <w:b/>
                <w:sz w:val="18"/>
                <w:szCs w:val="18"/>
              </w:rPr>
            </w:pPr>
            <w:r w:rsidRPr="00AB5F3D">
              <w:rPr>
                <w:rFonts w:cs="Arial"/>
                <w:b/>
                <w:sz w:val="18"/>
                <w:szCs w:val="18"/>
              </w:rPr>
              <w:t>Ohře</w:t>
            </w:r>
          </w:p>
        </w:tc>
        <w:tc>
          <w:tcPr>
            <w:tcW w:w="851" w:type="dxa"/>
            <w:vAlign w:val="center"/>
            <w:hideMark/>
          </w:tcPr>
          <w:p w14:paraId="447AE71F" w14:textId="2D973FC7" w:rsidR="00AB5F3D" w:rsidRPr="00AB5F3D" w:rsidRDefault="00AB5F3D" w:rsidP="00AB5F3D">
            <w:pPr>
              <w:contextualSpacing/>
              <w:jc w:val="center"/>
              <w:rPr>
                <w:rFonts w:cs="Arial"/>
                <w:sz w:val="18"/>
                <w:szCs w:val="18"/>
              </w:rPr>
            </w:pPr>
            <w:r w:rsidRPr="00AB5F3D">
              <w:rPr>
                <w:rFonts w:cs="Arial"/>
                <w:sz w:val="18"/>
                <w:szCs w:val="18"/>
              </w:rPr>
              <w:t>33 505</w:t>
            </w:r>
          </w:p>
        </w:tc>
        <w:tc>
          <w:tcPr>
            <w:tcW w:w="992" w:type="dxa"/>
            <w:vAlign w:val="center"/>
          </w:tcPr>
          <w:p w14:paraId="3A016DDA" w14:textId="1E7693DB" w:rsidR="00AB5F3D" w:rsidRPr="00AB5F3D" w:rsidRDefault="00AB5F3D" w:rsidP="00AB5F3D">
            <w:pPr>
              <w:contextualSpacing/>
              <w:jc w:val="center"/>
              <w:rPr>
                <w:rFonts w:cs="Arial"/>
                <w:sz w:val="18"/>
                <w:szCs w:val="18"/>
              </w:rPr>
            </w:pPr>
            <w:r w:rsidRPr="00AB5F3D">
              <w:rPr>
                <w:rFonts w:cs="Arial"/>
                <w:sz w:val="18"/>
                <w:szCs w:val="18"/>
              </w:rPr>
              <w:t>34 541</w:t>
            </w:r>
          </w:p>
        </w:tc>
        <w:tc>
          <w:tcPr>
            <w:tcW w:w="926" w:type="dxa"/>
            <w:vAlign w:val="center"/>
          </w:tcPr>
          <w:p w14:paraId="63E009A7" w14:textId="4612F4E0" w:rsidR="00AB5F3D" w:rsidRPr="00AB5F3D" w:rsidRDefault="00AB5F3D" w:rsidP="00AB5F3D">
            <w:pPr>
              <w:contextualSpacing/>
              <w:jc w:val="center"/>
              <w:rPr>
                <w:rFonts w:cs="Arial"/>
                <w:sz w:val="18"/>
                <w:szCs w:val="18"/>
              </w:rPr>
            </w:pPr>
            <w:r w:rsidRPr="00AB5F3D">
              <w:rPr>
                <w:rFonts w:cs="Arial"/>
                <w:sz w:val="18"/>
                <w:szCs w:val="18"/>
              </w:rPr>
              <w:t>37 079</w:t>
            </w:r>
          </w:p>
        </w:tc>
        <w:tc>
          <w:tcPr>
            <w:tcW w:w="793" w:type="dxa"/>
            <w:vAlign w:val="center"/>
          </w:tcPr>
          <w:p w14:paraId="24DF341F" w14:textId="604917AE" w:rsidR="00AB5F3D" w:rsidRPr="00AB5F3D" w:rsidRDefault="00AB5F3D" w:rsidP="00AB5F3D">
            <w:pPr>
              <w:contextualSpacing/>
              <w:jc w:val="center"/>
              <w:rPr>
                <w:rFonts w:cs="Arial"/>
                <w:sz w:val="18"/>
                <w:szCs w:val="18"/>
              </w:rPr>
            </w:pPr>
            <w:r w:rsidRPr="00AB5F3D">
              <w:rPr>
                <w:rFonts w:cs="Arial"/>
                <w:sz w:val="18"/>
                <w:szCs w:val="18"/>
              </w:rPr>
              <w:t>38 365</w:t>
            </w:r>
          </w:p>
        </w:tc>
        <w:tc>
          <w:tcPr>
            <w:tcW w:w="793" w:type="dxa"/>
            <w:vAlign w:val="center"/>
          </w:tcPr>
          <w:p w14:paraId="21DF44AF" w14:textId="6F1E5409" w:rsidR="00AB5F3D" w:rsidRPr="00AB5F3D" w:rsidRDefault="00AB5F3D" w:rsidP="00AB5F3D">
            <w:pPr>
              <w:contextualSpacing/>
              <w:jc w:val="center"/>
              <w:rPr>
                <w:rFonts w:cs="Arial"/>
                <w:sz w:val="18"/>
                <w:szCs w:val="18"/>
              </w:rPr>
            </w:pPr>
            <w:r w:rsidRPr="00AB5F3D">
              <w:rPr>
                <w:rFonts w:eastAsia="Times New Roman" w:cs="Arial"/>
                <w:sz w:val="18"/>
                <w:szCs w:val="18"/>
                <w:lang w:eastAsia="cs-CZ"/>
              </w:rPr>
              <w:t>39 683</w:t>
            </w:r>
          </w:p>
        </w:tc>
        <w:tc>
          <w:tcPr>
            <w:tcW w:w="793" w:type="dxa"/>
            <w:vAlign w:val="bottom"/>
          </w:tcPr>
          <w:p w14:paraId="0D5AA2A0" w14:textId="798AD7B3" w:rsidR="00AB5F3D" w:rsidRPr="00AB5F3D" w:rsidRDefault="00AB5F3D" w:rsidP="00AB5F3D">
            <w:pPr>
              <w:contextualSpacing/>
              <w:jc w:val="center"/>
              <w:rPr>
                <w:rFonts w:cs="Arial"/>
                <w:sz w:val="18"/>
                <w:szCs w:val="18"/>
              </w:rPr>
            </w:pPr>
            <w:r w:rsidRPr="00AB5F3D">
              <w:rPr>
                <w:rFonts w:cs="Arial"/>
                <w:sz w:val="18"/>
                <w:szCs w:val="18"/>
              </w:rPr>
              <w:t>40 490</w:t>
            </w:r>
          </w:p>
        </w:tc>
        <w:tc>
          <w:tcPr>
            <w:tcW w:w="793" w:type="dxa"/>
            <w:vAlign w:val="bottom"/>
          </w:tcPr>
          <w:p w14:paraId="691D9EAD" w14:textId="4240AAE5" w:rsidR="00AB5F3D" w:rsidRPr="00AB5F3D" w:rsidRDefault="00AB5F3D" w:rsidP="00AB5F3D">
            <w:pPr>
              <w:contextualSpacing/>
              <w:jc w:val="center"/>
              <w:rPr>
                <w:rFonts w:cs="Arial"/>
                <w:sz w:val="18"/>
                <w:szCs w:val="18"/>
              </w:rPr>
            </w:pPr>
            <w:r w:rsidRPr="00AB5F3D">
              <w:rPr>
                <w:rFonts w:cs="Arial"/>
                <w:color w:val="000000"/>
                <w:sz w:val="18"/>
                <w:szCs w:val="18"/>
              </w:rPr>
              <w:t>43 929</w:t>
            </w:r>
          </w:p>
        </w:tc>
        <w:tc>
          <w:tcPr>
            <w:tcW w:w="859" w:type="dxa"/>
            <w:vAlign w:val="bottom"/>
          </w:tcPr>
          <w:p w14:paraId="7E2E68D2" w14:textId="7A670698" w:rsidR="00AB5F3D" w:rsidRPr="00AB5F3D" w:rsidRDefault="00AB5F3D" w:rsidP="00AB5F3D">
            <w:pPr>
              <w:contextualSpacing/>
              <w:jc w:val="center"/>
              <w:rPr>
                <w:rFonts w:cs="Arial"/>
                <w:color w:val="000000"/>
                <w:sz w:val="18"/>
                <w:szCs w:val="18"/>
              </w:rPr>
            </w:pPr>
            <w:r w:rsidRPr="00AB5F3D">
              <w:rPr>
                <w:rFonts w:cs="Arial"/>
                <w:color w:val="000000"/>
                <w:sz w:val="18"/>
                <w:szCs w:val="18"/>
              </w:rPr>
              <w:t>47 927</w:t>
            </w:r>
          </w:p>
        </w:tc>
        <w:tc>
          <w:tcPr>
            <w:tcW w:w="859" w:type="dxa"/>
            <w:vAlign w:val="bottom"/>
          </w:tcPr>
          <w:p w14:paraId="0967F4BE" w14:textId="5DE6CA05" w:rsidR="00AB5F3D" w:rsidRPr="00AB5F3D" w:rsidRDefault="00AB5F3D" w:rsidP="00AB5F3D">
            <w:pPr>
              <w:contextualSpacing/>
              <w:jc w:val="center"/>
              <w:rPr>
                <w:rFonts w:cs="Arial"/>
                <w:color w:val="000000"/>
                <w:sz w:val="18"/>
                <w:szCs w:val="18"/>
              </w:rPr>
            </w:pPr>
            <w:r w:rsidRPr="00AB5F3D">
              <w:rPr>
                <w:rFonts w:cs="Arial"/>
                <w:color w:val="000000"/>
                <w:sz w:val="18"/>
                <w:szCs w:val="18"/>
              </w:rPr>
              <w:t>48 543</w:t>
            </w:r>
          </w:p>
        </w:tc>
        <w:tc>
          <w:tcPr>
            <w:tcW w:w="785" w:type="dxa"/>
            <w:vAlign w:val="bottom"/>
          </w:tcPr>
          <w:p w14:paraId="4E2AB06C" w14:textId="71967988" w:rsidR="00AB5F3D" w:rsidRPr="00AB5F3D" w:rsidRDefault="00AB5F3D" w:rsidP="00AB5F3D">
            <w:pPr>
              <w:contextualSpacing/>
              <w:jc w:val="center"/>
              <w:rPr>
                <w:rFonts w:cs="Arial"/>
                <w:color w:val="000000"/>
                <w:sz w:val="18"/>
                <w:szCs w:val="18"/>
              </w:rPr>
            </w:pPr>
            <w:r w:rsidRPr="00AB5F3D">
              <w:rPr>
                <w:rFonts w:cs="Arial"/>
                <w:color w:val="000000"/>
                <w:sz w:val="18"/>
                <w:szCs w:val="18"/>
              </w:rPr>
              <w:t>50 450</w:t>
            </w:r>
          </w:p>
        </w:tc>
      </w:tr>
      <w:tr w:rsidR="00AB5F3D" w:rsidRPr="00AB5F3D" w14:paraId="51EFDBA1" w14:textId="6EC87E91" w:rsidTr="00563AFA">
        <w:trPr>
          <w:trHeight w:val="20"/>
          <w:jc w:val="center"/>
        </w:trPr>
        <w:tc>
          <w:tcPr>
            <w:tcW w:w="1129" w:type="dxa"/>
            <w:vAlign w:val="center"/>
            <w:hideMark/>
          </w:tcPr>
          <w:p w14:paraId="05BE1D1E" w14:textId="77777777" w:rsidR="00AB5F3D" w:rsidRPr="00AB5F3D" w:rsidRDefault="00AB5F3D" w:rsidP="00AB5F3D">
            <w:pPr>
              <w:contextualSpacing/>
              <w:rPr>
                <w:rFonts w:cs="Arial"/>
                <w:b/>
                <w:sz w:val="18"/>
                <w:szCs w:val="18"/>
              </w:rPr>
            </w:pPr>
            <w:r w:rsidRPr="00AB5F3D">
              <w:rPr>
                <w:rFonts w:cs="Arial"/>
                <w:b/>
                <w:sz w:val="18"/>
                <w:szCs w:val="18"/>
              </w:rPr>
              <w:t>Odry</w:t>
            </w:r>
          </w:p>
        </w:tc>
        <w:tc>
          <w:tcPr>
            <w:tcW w:w="851" w:type="dxa"/>
            <w:vAlign w:val="center"/>
            <w:hideMark/>
          </w:tcPr>
          <w:p w14:paraId="696FB00F" w14:textId="387DAC1D" w:rsidR="00AB5F3D" w:rsidRPr="00AB5F3D" w:rsidRDefault="00AB5F3D" w:rsidP="00AB5F3D">
            <w:pPr>
              <w:contextualSpacing/>
              <w:jc w:val="center"/>
              <w:rPr>
                <w:rFonts w:cs="Arial"/>
                <w:sz w:val="18"/>
                <w:szCs w:val="18"/>
              </w:rPr>
            </w:pPr>
            <w:r w:rsidRPr="00AB5F3D">
              <w:rPr>
                <w:rFonts w:cs="Arial"/>
                <w:sz w:val="18"/>
                <w:szCs w:val="18"/>
              </w:rPr>
              <w:t>31 787</w:t>
            </w:r>
          </w:p>
        </w:tc>
        <w:tc>
          <w:tcPr>
            <w:tcW w:w="992" w:type="dxa"/>
            <w:vAlign w:val="center"/>
          </w:tcPr>
          <w:p w14:paraId="7CC21712" w14:textId="4840AB01" w:rsidR="00AB5F3D" w:rsidRPr="00AB5F3D" w:rsidRDefault="00AB5F3D" w:rsidP="00AB5F3D">
            <w:pPr>
              <w:contextualSpacing/>
              <w:jc w:val="center"/>
              <w:rPr>
                <w:rFonts w:cs="Arial"/>
                <w:sz w:val="18"/>
                <w:szCs w:val="18"/>
              </w:rPr>
            </w:pPr>
            <w:r w:rsidRPr="00AB5F3D">
              <w:rPr>
                <w:rFonts w:cs="Arial"/>
                <w:sz w:val="18"/>
                <w:szCs w:val="18"/>
              </w:rPr>
              <w:t>32 629</w:t>
            </w:r>
          </w:p>
        </w:tc>
        <w:tc>
          <w:tcPr>
            <w:tcW w:w="926" w:type="dxa"/>
            <w:vAlign w:val="center"/>
          </w:tcPr>
          <w:p w14:paraId="3CFC15C2" w14:textId="73ED105D" w:rsidR="00AB5F3D" w:rsidRPr="00AB5F3D" w:rsidRDefault="00AB5F3D" w:rsidP="00AB5F3D">
            <w:pPr>
              <w:contextualSpacing/>
              <w:jc w:val="center"/>
              <w:rPr>
                <w:rFonts w:cs="Arial"/>
                <w:sz w:val="18"/>
                <w:szCs w:val="18"/>
              </w:rPr>
            </w:pPr>
            <w:r w:rsidRPr="00AB5F3D">
              <w:rPr>
                <w:rFonts w:cs="Arial"/>
                <w:sz w:val="18"/>
                <w:szCs w:val="18"/>
              </w:rPr>
              <w:t>34 409</w:t>
            </w:r>
          </w:p>
        </w:tc>
        <w:tc>
          <w:tcPr>
            <w:tcW w:w="793" w:type="dxa"/>
            <w:vAlign w:val="center"/>
          </w:tcPr>
          <w:p w14:paraId="2DDB9602" w14:textId="6899B92B" w:rsidR="00AB5F3D" w:rsidRPr="00AB5F3D" w:rsidRDefault="00AB5F3D" w:rsidP="00AB5F3D">
            <w:pPr>
              <w:contextualSpacing/>
              <w:jc w:val="center"/>
              <w:rPr>
                <w:rFonts w:cs="Arial"/>
                <w:sz w:val="18"/>
                <w:szCs w:val="18"/>
              </w:rPr>
            </w:pPr>
            <w:r w:rsidRPr="00AB5F3D">
              <w:rPr>
                <w:rFonts w:cs="Arial"/>
                <w:sz w:val="18"/>
                <w:szCs w:val="18"/>
              </w:rPr>
              <w:t>36 695</w:t>
            </w:r>
          </w:p>
        </w:tc>
        <w:tc>
          <w:tcPr>
            <w:tcW w:w="793" w:type="dxa"/>
            <w:vAlign w:val="center"/>
          </w:tcPr>
          <w:p w14:paraId="5C169F18" w14:textId="6C618A59" w:rsidR="00AB5F3D" w:rsidRPr="00AB5F3D" w:rsidRDefault="00AB5F3D" w:rsidP="00AB5F3D">
            <w:pPr>
              <w:contextualSpacing/>
              <w:jc w:val="center"/>
              <w:rPr>
                <w:rFonts w:cs="Arial"/>
                <w:sz w:val="18"/>
                <w:szCs w:val="18"/>
              </w:rPr>
            </w:pPr>
            <w:r w:rsidRPr="00AB5F3D">
              <w:rPr>
                <w:rFonts w:eastAsia="Times New Roman" w:cs="Arial"/>
                <w:sz w:val="18"/>
                <w:szCs w:val="18"/>
                <w:lang w:eastAsia="cs-CZ"/>
              </w:rPr>
              <w:t>38 232</w:t>
            </w:r>
          </w:p>
        </w:tc>
        <w:tc>
          <w:tcPr>
            <w:tcW w:w="793" w:type="dxa"/>
            <w:vAlign w:val="bottom"/>
          </w:tcPr>
          <w:p w14:paraId="6AE249C9" w14:textId="75056F77" w:rsidR="00AB5F3D" w:rsidRPr="00AB5F3D" w:rsidRDefault="00AB5F3D" w:rsidP="00AB5F3D">
            <w:pPr>
              <w:contextualSpacing/>
              <w:jc w:val="center"/>
              <w:rPr>
                <w:rFonts w:cs="Arial"/>
                <w:sz w:val="18"/>
                <w:szCs w:val="18"/>
              </w:rPr>
            </w:pPr>
            <w:r w:rsidRPr="00AB5F3D">
              <w:rPr>
                <w:rFonts w:cs="Arial"/>
                <w:sz w:val="18"/>
                <w:szCs w:val="18"/>
              </w:rPr>
              <w:t>40 040</w:t>
            </w:r>
          </w:p>
        </w:tc>
        <w:tc>
          <w:tcPr>
            <w:tcW w:w="793" w:type="dxa"/>
            <w:vAlign w:val="bottom"/>
          </w:tcPr>
          <w:p w14:paraId="06359DB5" w14:textId="45E8E949" w:rsidR="00AB5F3D" w:rsidRPr="00AB5F3D" w:rsidRDefault="00AB5F3D" w:rsidP="00AB5F3D">
            <w:pPr>
              <w:contextualSpacing/>
              <w:jc w:val="center"/>
              <w:rPr>
                <w:rFonts w:cs="Arial"/>
                <w:sz w:val="18"/>
                <w:szCs w:val="18"/>
              </w:rPr>
            </w:pPr>
            <w:r w:rsidRPr="00AB5F3D">
              <w:rPr>
                <w:rFonts w:cs="Arial"/>
                <w:color w:val="000000"/>
                <w:sz w:val="18"/>
                <w:szCs w:val="18"/>
              </w:rPr>
              <w:t>42 782</w:t>
            </w:r>
          </w:p>
        </w:tc>
        <w:tc>
          <w:tcPr>
            <w:tcW w:w="859" w:type="dxa"/>
            <w:vAlign w:val="bottom"/>
          </w:tcPr>
          <w:p w14:paraId="034E9C81" w14:textId="5D74F738" w:rsidR="00AB5F3D" w:rsidRPr="00AB5F3D" w:rsidRDefault="00AB5F3D" w:rsidP="00AB5F3D">
            <w:pPr>
              <w:contextualSpacing/>
              <w:jc w:val="center"/>
              <w:rPr>
                <w:rFonts w:cs="Arial"/>
                <w:color w:val="000000"/>
                <w:sz w:val="18"/>
                <w:szCs w:val="18"/>
              </w:rPr>
            </w:pPr>
            <w:r w:rsidRPr="00AB5F3D">
              <w:rPr>
                <w:rFonts w:cs="Arial"/>
                <w:color w:val="000000"/>
                <w:sz w:val="18"/>
                <w:szCs w:val="18"/>
              </w:rPr>
              <w:t>44 671</w:t>
            </w:r>
          </w:p>
        </w:tc>
        <w:tc>
          <w:tcPr>
            <w:tcW w:w="859" w:type="dxa"/>
            <w:vAlign w:val="bottom"/>
          </w:tcPr>
          <w:p w14:paraId="6DC358EB" w14:textId="79E11308" w:rsidR="00AB5F3D" w:rsidRPr="00AB5F3D" w:rsidRDefault="00AB5F3D" w:rsidP="00AB5F3D">
            <w:pPr>
              <w:contextualSpacing/>
              <w:jc w:val="center"/>
              <w:rPr>
                <w:rFonts w:cs="Arial"/>
                <w:color w:val="000000"/>
                <w:sz w:val="18"/>
                <w:szCs w:val="18"/>
              </w:rPr>
            </w:pPr>
            <w:r w:rsidRPr="00AB5F3D">
              <w:rPr>
                <w:rFonts w:cs="Arial"/>
                <w:color w:val="000000"/>
                <w:sz w:val="18"/>
                <w:szCs w:val="18"/>
              </w:rPr>
              <w:t>46 642</w:t>
            </w:r>
          </w:p>
        </w:tc>
        <w:tc>
          <w:tcPr>
            <w:tcW w:w="785" w:type="dxa"/>
            <w:vAlign w:val="bottom"/>
          </w:tcPr>
          <w:p w14:paraId="1CAC847A" w14:textId="131AEAEC" w:rsidR="00AB5F3D" w:rsidRPr="00AB5F3D" w:rsidRDefault="00AB5F3D" w:rsidP="00AB5F3D">
            <w:pPr>
              <w:contextualSpacing/>
              <w:jc w:val="center"/>
              <w:rPr>
                <w:rFonts w:cs="Arial"/>
                <w:color w:val="000000"/>
                <w:sz w:val="18"/>
                <w:szCs w:val="18"/>
              </w:rPr>
            </w:pPr>
            <w:r w:rsidRPr="00AB5F3D">
              <w:rPr>
                <w:rFonts w:cs="Arial"/>
                <w:color w:val="000000"/>
                <w:sz w:val="18"/>
                <w:szCs w:val="18"/>
              </w:rPr>
              <w:t>48</w:t>
            </w:r>
            <w:r>
              <w:rPr>
                <w:rFonts w:cs="Arial"/>
                <w:color w:val="000000"/>
                <w:sz w:val="18"/>
                <w:szCs w:val="18"/>
              </w:rPr>
              <w:t xml:space="preserve"> </w:t>
            </w:r>
            <w:r w:rsidRPr="00AB5F3D">
              <w:rPr>
                <w:rFonts w:cs="Arial"/>
                <w:color w:val="000000"/>
                <w:sz w:val="18"/>
                <w:szCs w:val="18"/>
              </w:rPr>
              <w:t>449</w:t>
            </w:r>
          </w:p>
        </w:tc>
      </w:tr>
      <w:tr w:rsidR="00AB5F3D" w:rsidRPr="00AB5F3D" w14:paraId="31837016" w14:textId="7C43FB9D" w:rsidTr="00563AFA">
        <w:trPr>
          <w:trHeight w:val="20"/>
          <w:jc w:val="center"/>
        </w:trPr>
        <w:tc>
          <w:tcPr>
            <w:tcW w:w="1129" w:type="dxa"/>
            <w:vAlign w:val="center"/>
            <w:hideMark/>
          </w:tcPr>
          <w:p w14:paraId="79C99623" w14:textId="77777777" w:rsidR="00AB5F3D" w:rsidRPr="00AB5F3D" w:rsidRDefault="00AB5F3D" w:rsidP="00AB5F3D">
            <w:pPr>
              <w:contextualSpacing/>
              <w:rPr>
                <w:rFonts w:cs="Arial"/>
                <w:b/>
                <w:sz w:val="18"/>
                <w:szCs w:val="18"/>
              </w:rPr>
            </w:pPr>
            <w:r w:rsidRPr="00AB5F3D">
              <w:rPr>
                <w:rFonts w:cs="Arial"/>
                <w:b/>
                <w:sz w:val="18"/>
                <w:szCs w:val="18"/>
              </w:rPr>
              <w:t>Moravy</w:t>
            </w:r>
          </w:p>
        </w:tc>
        <w:tc>
          <w:tcPr>
            <w:tcW w:w="851" w:type="dxa"/>
            <w:vAlign w:val="center"/>
            <w:hideMark/>
          </w:tcPr>
          <w:p w14:paraId="4591B713" w14:textId="3D12087D" w:rsidR="00AB5F3D" w:rsidRPr="00AB5F3D" w:rsidRDefault="00AB5F3D" w:rsidP="00AB5F3D">
            <w:pPr>
              <w:contextualSpacing/>
              <w:jc w:val="center"/>
              <w:rPr>
                <w:rFonts w:cs="Arial"/>
                <w:sz w:val="18"/>
                <w:szCs w:val="18"/>
              </w:rPr>
            </w:pPr>
            <w:r w:rsidRPr="00AB5F3D">
              <w:rPr>
                <w:rFonts w:cs="Arial"/>
                <w:sz w:val="18"/>
                <w:szCs w:val="18"/>
              </w:rPr>
              <w:t>28 392</w:t>
            </w:r>
          </w:p>
        </w:tc>
        <w:tc>
          <w:tcPr>
            <w:tcW w:w="992" w:type="dxa"/>
            <w:vAlign w:val="center"/>
          </w:tcPr>
          <w:p w14:paraId="02291F36" w14:textId="77DC6977" w:rsidR="00AB5F3D" w:rsidRPr="00AB5F3D" w:rsidRDefault="00AB5F3D" w:rsidP="00AB5F3D">
            <w:pPr>
              <w:contextualSpacing/>
              <w:jc w:val="center"/>
              <w:rPr>
                <w:rFonts w:cs="Arial"/>
                <w:sz w:val="18"/>
                <w:szCs w:val="18"/>
              </w:rPr>
            </w:pPr>
            <w:r w:rsidRPr="00AB5F3D">
              <w:rPr>
                <w:rFonts w:cs="Arial"/>
                <w:sz w:val="18"/>
                <w:szCs w:val="18"/>
              </w:rPr>
              <w:t>29 782</w:t>
            </w:r>
          </w:p>
        </w:tc>
        <w:tc>
          <w:tcPr>
            <w:tcW w:w="926" w:type="dxa"/>
            <w:vAlign w:val="center"/>
          </w:tcPr>
          <w:p w14:paraId="7E9EFCC8" w14:textId="5DC6F410" w:rsidR="00AB5F3D" w:rsidRPr="00AB5F3D" w:rsidRDefault="00AB5F3D" w:rsidP="00AB5F3D">
            <w:pPr>
              <w:contextualSpacing/>
              <w:jc w:val="center"/>
              <w:rPr>
                <w:rFonts w:cs="Arial"/>
                <w:sz w:val="18"/>
                <w:szCs w:val="18"/>
              </w:rPr>
            </w:pPr>
            <w:r w:rsidRPr="00AB5F3D">
              <w:rPr>
                <w:rFonts w:cs="Arial"/>
                <w:sz w:val="18"/>
                <w:szCs w:val="18"/>
              </w:rPr>
              <w:t>32 464</w:t>
            </w:r>
          </w:p>
        </w:tc>
        <w:tc>
          <w:tcPr>
            <w:tcW w:w="793" w:type="dxa"/>
            <w:vAlign w:val="center"/>
          </w:tcPr>
          <w:p w14:paraId="34547E45" w14:textId="348DF124" w:rsidR="00AB5F3D" w:rsidRPr="00AB5F3D" w:rsidRDefault="00AB5F3D" w:rsidP="00AB5F3D">
            <w:pPr>
              <w:contextualSpacing/>
              <w:jc w:val="center"/>
              <w:rPr>
                <w:rFonts w:cs="Arial"/>
                <w:sz w:val="18"/>
                <w:szCs w:val="18"/>
              </w:rPr>
            </w:pPr>
            <w:r w:rsidRPr="00AB5F3D">
              <w:rPr>
                <w:rFonts w:cs="Arial"/>
                <w:sz w:val="18"/>
                <w:szCs w:val="18"/>
              </w:rPr>
              <w:t>34 981</w:t>
            </w:r>
          </w:p>
        </w:tc>
        <w:tc>
          <w:tcPr>
            <w:tcW w:w="793" w:type="dxa"/>
            <w:vAlign w:val="center"/>
          </w:tcPr>
          <w:p w14:paraId="287CDFFB" w14:textId="4468B810" w:rsidR="00AB5F3D" w:rsidRPr="00AB5F3D" w:rsidRDefault="00AB5F3D" w:rsidP="00AB5F3D">
            <w:pPr>
              <w:contextualSpacing/>
              <w:jc w:val="center"/>
              <w:rPr>
                <w:rFonts w:cs="Arial"/>
                <w:sz w:val="18"/>
                <w:szCs w:val="18"/>
              </w:rPr>
            </w:pPr>
            <w:r w:rsidRPr="00AB5F3D">
              <w:rPr>
                <w:rFonts w:eastAsia="Times New Roman" w:cs="Arial"/>
                <w:sz w:val="18"/>
                <w:szCs w:val="18"/>
                <w:lang w:eastAsia="cs-CZ"/>
              </w:rPr>
              <w:t>36 674</w:t>
            </w:r>
          </w:p>
        </w:tc>
        <w:tc>
          <w:tcPr>
            <w:tcW w:w="793" w:type="dxa"/>
            <w:vAlign w:val="bottom"/>
          </w:tcPr>
          <w:p w14:paraId="59A95B87" w14:textId="006A0A52" w:rsidR="00AB5F3D" w:rsidRPr="00AB5F3D" w:rsidRDefault="00AB5F3D" w:rsidP="00AB5F3D">
            <w:pPr>
              <w:contextualSpacing/>
              <w:jc w:val="center"/>
              <w:rPr>
                <w:rFonts w:cs="Arial"/>
                <w:sz w:val="18"/>
                <w:szCs w:val="18"/>
              </w:rPr>
            </w:pPr>
            <w:r w:rsidRPr="00AB5F3D">
              <w:rPr>
                <w:rFonts w:cs="Arial"/>
                <w:sz w:val="18"/>
                <w:szCs w:val="18"/>
              </w:rPr>
              <w:t>37 320</w:t>
            </w:r>
          </w:p>
        </w:tc>
        <w:tc>
          <w:tcPr>
            <w:tcW w:w="793" w:type="dxa"/>
            <w:vAlign w:val="bottom"/>
          </w:tcPr>
          <w:p w14:paraId="51291E7D" w14:textId="134A640C" w:rsidR="00AB5F3D" w:rsidRPr="00AB5F3D" w:rsidRDefault="00AB5F3D" w:rsidP="00AB5F3D">
            <w:pPr>
              <w:contextualSpacing/>
              <w:jc w:val="center"/>
              <w:rPr>
                <w:rFonts w:cs="Arial"/>
                <w:sz w:val="18"/>
                <w:szCs w:val="18"/>
              </w:rPr>
            </w:pPr>
            <w:r w:rsidRPr="00AB5F3D">
              <w:rPr>
                <w:rFonts w:cs="Arial"/>
                <w:color w:val="000000"/>
                <w:sz w:val="18"/>
                <w:szCs w:val="18"/>
              </w:rPr>
              <w:t>39 661</w:t>
            </w:r>
          </w:p>
        </w:tc>
        <w:tc>
          <w:tcPr>
            <w:tcW w:w="859" w:type="dxa"/>
            <w:vAlign w:val="bottom"/>
          </w:tcPr>
          <w:p w14:paraId="3D191C0C" w14:textId="6B3CFEE0" w:rsidR="00AB5F3D" w:rsidRPr="00AB5F3D" w:rsidRDefault="00AB5F3D" w:rsidP="00AB5F3D">
            <w:pPr>
              <w:contextualSpacing/>
              <w:jc w:val="center"/>
              <w:rPr>
                <w:rFonts w:cs="Arial"/>
                <w:color w:val="000000"/>
                <w:sz w:val="18"/>
                <w:szCs w:val="18"/>
              </w:rPr>
            </w:pPr>
            <w:r w:rsidRPr="00AB5F3D">
              <w:rPr>
                <w:rFonts w:cs="Arial"/>
                <w:color w:val="000000"/>
                <w:sz w:val="18"/>
                <w:szCs w:val="18"/>
              </w:rPr>
              <w:t>44 217</w:t>
            </w:r>
          </w:p>
        </w:tc>
        <w:tc>
          <w:tcPr>
            <w:tcW w:w="859" w:type="dxa"/>
            <w:vAlign w:val="bottom"/>
          </w:tcPr>
          <w:p w14:paraId="545922B7" w14:textId="4AA4055A" w:rsidR="00AB5F3D" w:rsidRPr="00AB5F3D" w:rsidRDefault="00AB5F3D" w:rsidP="00AB5F3D">
            <w:pPr>
              <w:contextualSpacing/>
              <w:jc w:val="center"/>
              <w:rPr>
                <w:rFonts w:cs="Arial"/>
                <w:color w:val="000000"/>
                <w:sz w:val="18"/>
                <w:szCs w:val="18"/>
              </w:rPr>
            </w:pPr>
            <w:r w:rsidRPr="00AB5F3D">
              <w:rPr>
                <w:rFonts w:cs="Arial"/>
                <w:color w:val="000000"/>
                <w:sz w:val="18"/>
                <w:szCs w:val="18"/>
              </w:rPr>
              <w:t>48 505</w:t>
            </w:r>
          </w:p>
        </w:tc>
        <w:tc>
          <w:tcPr>
            <w:tcW w:w="785" w:type="dxa"/>
            <w:vAlign w:val="bottom"/>
          </w:tcPr>
          <w:p w14:paraId="5718BF61" w14:textId="7513B3CC" w:rsidR="00AB5F3D" w:rsidRPr="00AB5F3D" w:rsidRDefault="00AB5F3D" w:rsidP="00AB5F3D">
            <w:pPr>
              <w:contextualSpacing/>
              <w:jc w:val="center"/>
              <w:rPr>
                <w:rFonts w:cs="Arial"/>
                <w:color w:val="000000"/>
                <w:sz w:val="18"/>
                <w:szCs w:val="18"/>
              </w:rPr>
            </w:pPr>
            <w:r w:rsidRPr="00AB5F3D">
              <w:rPr>
                <w:rFonts w:cs="Arial"/>
                <w:color w:val="000000"/>
                <w:sz w:val="18"/>
                <w:szCs w:val="18"/>
              </w:rPr>
              <w:t>48014</w:t>
            </w:r>
          </w:p>
        </w:tc>
      </w:tr>
      <w:tr w:rsidR="00AB5F3D" w:rsidRPr="00AB5F3D" w14:paraId="09518018" w14:textId="68F4156B" w:rsidTr="00563AFA">
        <w:trPr>
          <w:trHeight w:val="20"/>
          <w:jc w:val="center"/>
        </w:trPr>
        <w:tc>
          <w:tcPr>
            <w:tcW w:w="1129" w:type="dxa"/>
            <w:shd w:val="clear" w:color="auto" w:fill="BFBFBF"/>
            <w:vAlign w:val="center"/>
            <w:hideMark/>
          </w:tcPr>
          <w:p w14:paraId="1A6FCB32" w14:textId="77777777" w:rsidR="00AB5F3D" w:rsidRPr="00AB5F3D" w:rsidRDefault="00AB5F3D" w:rsidP="00AB5F3D">
            <w:pPr>
              <w:contextualSpacing/>
              <w:rPr>
                <w:rFonts w:cs="Arial"/>
                <w:b/>
                <w:bCs/>
                <w:sz w:val="18"/>
                <w:szCs w:val="18"/>
              </w:rPr>
            </w:pPr>
            <w:r w:rsidRPr="00AB5F3D">
              <w:rPr>
                <w:rFonts w:cs="Arial"/>
                <w:b/>
                <w:bCs/>
                <w:sz w:val="18"/>
                <w:szCs w:val="18"/>
              </w:rPr>
              <w:t>Průměrná mzda státních podniků Povodí</w:t>
            </w:r>
            <w:r w:rsidRPr="00AB5F3D">
              <w:rPr>
                <w:rFonts w:cs="Arial"/>
                <w:b/>
                <w:bCs/>
                <w:sz w:val="18"/>
                <w:szCs w:val="18"/>
                <w:vertAlign w:val="superscript"/>
              </w:rPr>
              <w:t>*)</w:t>
            </w:r>
          </w:p>
        </w:tc>
        <w:tc>
          <w:tcPr>
            <w:tcW w:w="851" w:type="dxa"/>
            <w:shd w:val="clear" w:color="auto" w:fill="BFBFBF"/>
            <w:vAlign w:val="center"/>
            <w:hideMark/>
          </w:tcPr>
          <w:p w14:paraId="4DD2F06A" w14:textId="383AC976" w:rsidR="00AB5F3D" w:rsidRPr="00AB5F3D" w:rsidRDefault="00AB5F3D" w:rsidP="00AB5F3D">
            <w:pPr>
              <w:contextualSpacing/>
              <w:jc w:val="center"/>
              <w:rPr>
                <w:rFonts w:cs="Arial"/>
                <w:b/>
                <w:bCs/>
                <w:sz w:val="18"/>
                <w:szCs w:val="18"/>
              </w:rPr>
            </w:pPr>
            <w:r w:rsidRPr="00AB5F3D">
              <w:rPr>
                <w:rFonts w:cs="Arial"/>
                <w:b/>
                <w:bCs/>
                <w:sz w:val="18"/>
                <w:szCs w:val="18"/>
              </w:rPr>
              <w:t>31 497</w:t>
            </w:r>
          </w:p>
        </w:tc>
        <w:tc>
          <w:tcPr>
            <w:tcW w:w="992" w:type="dxa"/>
            <w:shd w:val="clear" w:color="auto" w:fill="BFBFBF"/>
            <w:vAlign w:val="center"/>
          </w:tcPr>
          <w:p w14:paraId="305DF5A4" w14:textId="424F743B" w:rsidR="00AB5F3D" w:rsidRPr="00AB5F3D" w:rsidRDefault="00AB5F3D" w:rsidP="00AB5F3D">
            <w:pPr>
              <w:contextualSpacing/>
              <w:jc w:val="center"/>
              <w:rPr>
                <w:rFonts w:cs="Arial"/>
                <w:b/>
                <w:bCs/>
                <w:sz w:val="18"/>
                <w:szCs w:val="18"/>
              </w:rPr>
            </w:pPr>
            <w:r w:rsidRPr="00AB5F3D">
              <w:rPr>
                <w:rFonts w:cs="Arial"/>
                <w:b/>
                <w:bCs/>
                <w:sz w:val="18"/>
                <w:szCs w:val="18"/>
              </w:rPr>
              <w:t>32 357</w:t>
            </w:r>
          </w:p>
        </w:tc>
        <w:tc>
          <w:tcPr>
            <w:tcW w:w="926" w:type="dxa"/>
            <w:shd w:val="clear" w:color="auto" w:fill="BFBFBF"/>
            <w:vAlign w:val="center"/>
          </w:tcPr>
          <w:p w14:paraId="1FA553F8" w14:textId="7D2AD665" w:rsidR="00AB5F3D" w:rsidRPr="00AB5F3D" w:rsidRDefault="00AB5F3D" w:rsidP="00AB5F3D">
            <w:pPr>
              <w:contextualSpacing/>
              <w:jc w:val="center"/>
              <w:rPr>
                <w:rFonts w:cs="Arial"/>
                <w:b/>
                <w:bCs/>
                <w:sz w:val="18"/>
                <w:szCs w:val="18"/>
              </w:rPr>
            </w:pPr>
            <w:r w:rsidRPr="00AB5F3D">
              <w:rPr>
                <w:rFonts w:cs="Arial"/>
                <w:b/>
                <w:bCs/>
                <w:sz w:val="18"/>
                <w:szCs w:val="18"/>
              </w:rPr>
              <w:t>34 221</w:t>
            </w:r>
          </w:p>
        </w:tc>
        <w:tc>
          <w:tcPr>
            <w:tcW w:w="793" w:type="dxa"/>
            <w:shd w:val="clear" w:color="auto" w:fill="BFBFBF"/>
            <w:vAlign w:val="center"/>
          </w:tcPr>
          <w:p w14:paraId="24931E32" w14:textId="6F6FCE29" w:rsidR="00AB5F3D" w:rsidRPr="00AB5F3D" w:rsidRDefault="00AB5F3D" w:rsidP="00AB5F3D">
            <w:pPr>
              <w:contextualSpacing/>
              <w:jc w:val="center"/>
              <w:rPr>
                <w:rFonts w:cs="Arial"/>
                <w:b/>
                <w:bCs/>
                <w:sz w:val="18"/>
                <w:szCs w:val="18"/>
              </w:rPr>
            </w:pPr>
            <w:r w:rsidRPr="00AB5F3D">
              <w:rPr>
                <w:rFonts w:cs="Arial"/>
                <w:b/>
                <w:sz w:val="18"/>
                <w:szCs w:val="18"/>
              </w:rPr>
              <w:t>36 383</w:t>
            </w:r>
          </w:p>
        </w:tc>
        <w:tc>
          <w:tcPr>
            <w:tcW w:w="793" w:type="dxa"/>
            <w:shd w:val="clear" w:color="auto" w:fill="BFBFBF"/>
            <w:vAlign w:val="center"/>
          </w:tcPr>
          <w:p w14:paraId="3AFA3A7B" w14:textId="2F44E345" w:rsidR="00AB5F3D" w:rsidRPr="00AB5F3D" w:rsidRDefault="00AB5F3D" w:rsidP="00AB5F3D">
            <w:pPr>
              <w:contextualSpacing/>
              <w:jc w:val="center"/>
              <w:rPr>
                <w:rFonts w:cs="Arial"/>
                <w:b/>
                <w:bCs/>
                <w:sz w:val="18"/>
                <w:szCs w:val="18"/>
              </w:rPr>
            </w:pPr>
            <w:r w:rsidRPr="00AB5F3D">
              <w:rPr>
                <w:rFonts w:eastAsia="Times New Roman" w:cs="Arial"/>
                <w:b/>
                <w:sz w:val="18"/>
                <w:szCs w:val="18"/>
                <w:lang w:eastAsia="cs-CZ"/>
              </w:rPr>
              <w:t>38 094</w:t>
            </w:r>
          </w:p>
        </w:tc>
        <w:tc>
          <w:tcPr>
            <w:tcW w:w="793" w:type="dxa"/>
            <w:shd w:val="clear" w:color="auto" w:fill="BFBFBF"/>
            <w:vAlign w:val="center"/>
          </w:tcPr>
          <w:p w14:paraId="2CA2641D" w14:textId="00CFA8F5" w:rsidR="00AB5F3D" w:rsidRPr="00AB5F3D" w:rsidRDefault="00AB5F3D" w:rsidP="00AB5F3D">
            <w:pPr>
              <w:contextualSpacing/>
              <w:jc w:val="center"/>
              <w:rPr>
                <w:rFonts w:cs="Arial"/>
                <w:b/>
                <w:bCs/>
                <w:sz w:val="18"/>
                <w:szCs w:val="18"/>
              </w:rPr>
            </w:pPr>
            <w:r w:rsidRPr="00AB5F3D">
              <w:rPr>
                <w:rFonts w:eastAsia="Times New Roman" w:cs="Arial"/>
                <w:b/>
                <w:sz w:val="18"/>
                <w:szCs w:val="18"/>
                <w:lang w:eastAsia="cs-CZ"/>
              </w:rPr>
              <w:t>39 460</w:t>
            </w:r>
          </w:p>
        </w:tc>
        <w:tc>
          <w:tcPr>
            <w:tcW w:w="793" w:type="dxa"/>
            <w:shd w:val="clear" w:color="auto" w:fill="BFBFBF"/>
            <w:vAlign w:val="center"/>
          </w:tcPr>
          <w:p w14:paraId="6CE787CC" w14:textId="59432566" w:rsidR="00AB5F3D" w:rsidRPr="00AB5F3D" w:rsidRDefault="00AB5F3D" w:rsidP="00AB5F3D">
            <w:pPr>
              <w:contextualSpacing/>
              <w:jc w:val="center"/>
              <w:rPr>
                <w:rFonts w:cs="Arial"/>
                <w:b/>
                <w:bCs/>
                <w:sz w:val="18"/>
                <w:szCs w:val="18"/>
              </w:rPr>
            </w:pPr>
            <w:r w:rsidRPr="00AB5F3D">
              <w:rPr>
                <w:rFonts w:cs="Arial"/>
                <w:b/>
                <w:bCs/>
                <w:sz w:val="18"/>
                <w:szCs w:val="18"/>
              </w:rPr>
              <w:t>42 099</w:t>
            </w:r>
          </w:p>
        </w:tc>
        <w:tc>
          <w:tcPr>
            <w:tcW w:w="859" w:type="dxa"/>
            <w:shd w:val="clear" w:color="auto" w:fill="BFBFBF"/>
            <w:vAlign w:val="center"/>
          </w:tcPr>
          <w:p w14:paraId="01DE06AB" w14:textId="1EA4559E" w:rsidR="00AB5F3D" w:rsidRPr="00AB5F3D" w:rsidRDefault="00AB5F3D" w:rsidP="00AB5F3D">
            <w:pPr>
              <w:contextualSpacing/>
              <w:jc w:val="center"/>
              <w:rPr>
                <w:rFonts w:cs="Arial"/>
                <w:b/>
                <w:bCs/>
                <w:sz w:val="18"/>
                <w:szCs w:val="18"/>
              </w:rPr>
            </w:pPr>
            <w:r w:rsidRPr="00AB5F3D">
              <w:rPr>
                <w:rFonts w:cs="Arial"/>
                <w:b/>
                <w:bCs/>
                <w:color w:val="000000"/>
                <w:sz w:val="18"/>
                <w:szCs w:val="18"/>
              </w:rPr>
              <w:t>46 025</w:t>
            </w:r>
          </w:p>
        </w:tc>
        <w:tc>
          <w:tcPr>
            <w:tcW w:w="859" w:type="dxa"/>
            <w:shd w:val="clear" w:color="auto" w:fill="BFBFBF"/>
            <w:vAlign w:val="center"/>
          </w:tcPr>
          <w:p w14:paraId="2F93D57F" w14:textId="116E39D2" w:rsidR="00AB5F3D" w:rsidRPr="00AB5F3D" w:rsidRDefault="00AB5F3D" w:rsidP="00AB5F3D">
            <w:pPr>
              <w:contextualSpacing/>
              <w:jc w:val="center"/>
              <w:rPr>
                <w:rFonts w:cs="Arial"/>
                <w:b/>
                <w:bCs/>
                <w:color w:val="000000"/>
                <w:sz w:val="18"/>
                <w:szCs w:val="18"/>
              </w:rPr>
            </w:pPr>
            <w:r w:rsidRPr="00AB5F3D">
              <w:rPr>
                <w:rFonts w:cs="Arial"/>
                <w:b/>
                <w:bCs/>
                <w:color w:val="000000"/>
                <w:sz w:val="18"/>
                <w:szCs w:val="18"/>
              </w:rPr>
              <w:t>48 707</w:t>
            </w:r>
          </w:p>
        </w:tc>
        <w:tc>
          <w:tcPr>
            <w:tcW w:w="785" w:type="dxa"/>
            <w:shd w:val="clear" w:color="auto" w:fill="BFBFBF"/>
            <w:vAlign w:val="center"/>
          </w:tcPr>
          <w:p w14:paraId="76E694B7" w14:textId="4C5FB616" w:rsidR="00AB5F3D" w:rsidRPr="00AB5F3D" w:rsidRDefault="00AB5F3D" w:rsidP="00AB5F3D">
            <w:pPr>
              <w:contextualSpacing/>
              <w:jc w:val="center"/>
              <w:rPr>
                <w:rFonts w:cs="Arial"/>
                <w:b/>
                <w:bCs/>
                <w:color w:val="000000"/>
                <w:sz w:val="18"/>
                <w:szCs w:val="18"/>
              </w:rPr>
            </w:pPr>
            <w:r w:rsidRPr="00AB5F3D">
              <w:rPr>
                <w:rFonts w:cs="Arial"/>
                <w:b/>
                <w:bCs/>
                <w:color w:val="000000"/>
                <w:sz w:val="18"/>
                <w:szCs w:val="18"/>
              </w:rPr>
              <w:t>50</w:t>
            </w:r>
            <w:r>
              <w:rPr>
                <w:rFonts w:cs="Arial"/>
                <w:b/>
                <w:bCs/>
                <w:color w:val="000000"/>
                <w:sz w:val="18"/>
                <w:szCs w:val="18"/>
              </w:rPr>
              <w:t xml:space="preserve"> </w:t>
            </w:r>
            <w:r w:rsidRPr="00AB5F3D">
              <w:rPr>
                <w:rFonts w:cs="Arial"/>
                <w:b/>
                <w:bCs/>
                <w:color w:val="000000"/>
                <w:sz w:val="18"/>
                <w:szCs w:val="18"/>
              </w:rPr>
              <w:t>143</w:t>
            </w:r>
          </w:p>
        </w:tc>
      </w:tr>
    </w:tbl>
    <w:p w14:paraId="16ABCA40" w14:textId="3DFFA443" w:rsidR="00487726" w:rsidRPr="00AB5F3D" w:rsidRDefault="00487726" w:rsidP="007C4955">
      <w:pPr>
        <w:pStyle w:val="Doplnktabulek"/>
        <w:spacing w:before="0"/>
        <w:contextualSpacing/>
        <w:rPr>
          <w:rFonts w:ascii="Arial" w:hAnsi="Arial" w:cs="Arial"/>
          <w:i/>
          <w:noProof/>
          <w:sz w:val="20"/>
        </w:rPr>
      </w:pPr>
      <w:r w:rsidRPr="00AB5F3D">
        <w:rPr>
          <w:rFonts w:ascii="Arial" w:hAnsi="Arial" w:cs="Arial"/>
          <w:i/>
          <w:noProof/>
          <w:sz w:val="20"/>
        </w:rPr>
        <w:t xml:space="preserve">Pramen: </w:t>
      </w:r>
      <w:r w:rsidR="00340859" w:rsidRPr="00AB5F3D">
        <w:rPr>
          <w:rFonts w:ascii="Arial" w:hAnsi="Arial" w:cs="Arial"/>
          <w:i/>
          <w:noProof/>
          <w:sz w:val="20"/>
        </w:rPr>
        <w:t>s</w:t>
      </w:r>
      <w:r w:rsidRPr="00AB5F3D">
        <w:rPr>
          <w:rFonts w:ascii="Arial" w:hAnsi="Arial" w:cs="Arial"/>
          <w:i/>
          <w:noProof/>
          <w:sz w:val="20"/>
        </w:rPr>
        <w:t>. p. Povodí</w:t>
      </w:r>
    </w:p>
    <w:p w14:paraId="577AAF33" w14:textId="77777777" w:rsidR="00487726" w:rsidRPr="00AB5F3D" w:rsidRDefault="00487726" w:rsidP="007C4955">
      <w:pPr>
        <w:pStyle w:val="Doplnktabulek"/>
        <w:spacing w:before="0"/>
        <w:contextualSpacing/>
        <w:rPr>
          <w:rFonts w:ascii="Arial" w:hAnsi="Arial" w:cs="Arial"/>
          <w:i/>
          <w:noProof/>
          <w:sz w:val="20"/>
        </w:rPr>
      </w:pPr>
      <w:r w:rsidRPr="00AB5F3D">
        <w:rPr>
          <w:rFonts w:ascii="Arial" w:hAnsi="Arial" w:cs="Arial"/>
          <w:i/>
          <w:noProof/>
          <w:sz w:val="20"/>
        </w:rPr>
        <w:t xml:space="preserve">Pozn.: </w:t>
      </w:r>
      <w:r w:rsidRPr="00AB5F3D">
        <w:rPr>
          <w:rFonts w:ascii="Arial" w:hAnsi="Arial" w:cs="Arial"/>
          <w:i/>
          <w:noProof/>
          <w:sz w:val="20"/>
          <w:vertAlign w:val="superscript"/>
        </w:rPr>
        <w:t xml:space="preserve">*) </w:t>
      </w:r>
      <w:r w:rsidRPr="00AB5F3D">
        <w:rPr>
          <w:rFonts w:ascii="Arial" w:hAnsi="Arial" w:cs="Arial"/>
          <w:i/>
          <w:noProof/>
          <w:sz w:val="20"/>
        </w:rPr>
        <w:t>Vypočteno váženým průměrem.</w:t>
      </w:r>
    </w:p>
    <w:p w14:paraId="18A008FA" w14:textId="77777777" w:rsidR="00835B06" w:rsidRPr="00104F7D" w:rsidRDefault="00835B06" w:rsidP="007C4955">
      <w:pPr>
        <w:contextualSpacing/>
        <w:rPr>
          <w:rFonts w:cs="Arial"/>
          <w:b/>
          <w:i/>
          <w:color w:val="FF0000"/>
          <w:highlight w:val="yellow"/>
        </w:rPr>
      </w:pPr>
    </w:p>
    <w:p w14:paraId="4E85234E" w14:textId="08CE990C" w:rsidR="00164A2D" w:rsidRPr="00EB7BAB" w:rsidRDefault="00164A2D" w:rsidP="00164A2D">
      <w:pPr>
        <w:rPr>
          <w:b/>
          <w:color w:val="000000" w:themeColor="text1"/>
        </w:rPr>
      </w:pPr>
      <w:r w:rsidRPr="00EB7BAB">
        <w:rPr>
          <w:b/>
          <w:color w:val="000000" w:themeColor="text1"/>
        </w:rPr>
        <w:t>Kontrol</w:t>
      </w:r>
      <w:r w:rsidR="00834462" w:rsidRPr="00EB7BAB">
        <w:rPr>
          <w:b/>
          <w:color w:val="000000" w:themeColor="text1"/>
        </w:rPr>
        <w:t>y</w:t>
      </w:r>
      <w:r w:rsidRPr="00EB7BAB">
        <w:rPr>
          <w:b/>
          <w:color w:val="000000" w:themeColor="text1"/>
        </w:rPr>
        <w:t xml:space="preserve"> činnosti státních podniků Povodí provádí pravidelně příslušné </w:t>
      </w:r>
      <w:r w:rsidR="002F52E1" w:rsidRPr="00EB7BAB">
        <w:rPr>
          <w:b/>
          <w:color w:val="000000" w:themeColor="text1"/>
        </w:rPr>
        <w:t xml:space="preserve">externí </w:t>
      </w:r>
      <w:r w:rsidRPr="00EB7BAB">
        <w:rPr>
          <w:b/>
          <w:color w:val="000000" w:themeColor="text1"/>
        </w:rPr>
        <w:t>kontrolní orgány. V roce 202</w:t>
      </w:r>
      <w:r w:rsidR="00EB7BAB">
        <w:rPr>
          <w:b/>
          <w:color w:val="000000" w:themeColor="text1"/>
        </w:rPr>
        <w:t>5</w:t>
      </w:r>
      <w:r w:rsidRPr="00EB7BAB">
        <w:rPr>
          <w:b/>
          <w:color w:val="000000" w:themeColor="text1"/>
        </w:rPr>
        <w:t xml:space="preserve"> proběhlo </w:t>
      </w:r>
      <w:r w:rsidR="00EB7BAB">
        <w:rPr>
          <w:b/>
          <w:color w:val="000000" w:themeColor="text1"/>
        </w:rPr>
        <w:t>11</w:t>
      </w:r>
      <w:r w:rsidR="00EC7F08" w:rsidRPr="00EB7BAB">
        <w:rPr>
          <w:b/>
          <w:color w:val="000000" w:themeColor="text1"/>
        </w:rPr>
        <w:t>1</w:t>
      </w:r>
      <w:r w:rsidR="00D8390A" w:rsidRPr="00EB7BAB">
        <w:rPr>
          <w:b/>
          <w:color w:val="000000" w:themeColor="text1"/>
        </w:rPr>
        <w:t xml:space="preserve"> </w:t>
      </w:r>
      <w:r w:rsidRPr="00EB7BAB">
        <w:rPr>
          <w:b/>
          <w:color w:val="000000" w:themeColor="text1"/>
        </w:rPr>
        <w:t xml:space="preserve">kontrol. </w:t>
      </w:r>
    </w:p>
    <w:p w14:paraId="64A841EC" w14:textId="77777777" w:rsidR="00164A2D" w:rsidRPr="00EB7BAB" w:rsidRDefault="00164A2D" w:rsidP="00164A2D">
      <w:pPr>
        <w:rPr>
          <w:color w:val="FF0000"/>
        </w:rPr>
      </w:pPr>
    </w:p>
    <w:p w14:paraId="0F4B93F8" w14:textId="1E97812F" w:rsidR="00B75FD9" w:rsidRPr="00EB7BAB" w:rsidRDefault="00455427" w:rsidP="00164A2D">
      <w:pPr>
        <w:contextualSpacing/>
      </w:pPr>
      <w:r w:rsidRPr="00EB7BAB">
        <w:t xml:space="preserve">Přehled o kontrolách podává graf 6.2.8. </w:t>
      </w:r>
      <w:r w:rsidR="00164A2D" w:rsidRPr="00EB7BAB">
        <w:t>V ostatních kontrolních orgánech jsou zahrnuty ty, které provedly ve sledovaném roce po jedné kontrole. Po jedné kontrole provedl</w:t>
      </w:r>
      <w:r w:rsidR="007161E1" w:rsidRPr="00EB7BAB">
        <w:t>a</w:t>
      </w:r>
      <w:r w:rsidR="00164A2D" w:rsidRPr="00EB7BAB">
        <w:t xml:space="preserve"> </w:t>
      </w:r>
      <w:r w:rsidRPr="00EB7BAB">
        <w:t>Státní veterinární správa</w:t>
      </w:r>
      <w:r w:rsidR="007161E1" w:rsidRPr="00EB7BAB">
        <w:t>, Český institut pro akreditaci</w:t>
      </w:r>
      <w:r w:rsidR="00DB3CAA" w:rsidRPr="00EB7BAB">
        <w:t>, Ministerstvo financí</w:t>
      </w:r>
      <w:r w:rsidR="00C40FB5">
        <w:t xml:space="preserve">, Státní </w:t>
      </w:r>
      <w:r w:rsidR="009E6F6D">
        <w:t>zemědělský intervenční fond</w:t>
      </w:r>
      <w:r w:rsidRPr="00EB7BAB">
        <w:t>.</w:t>
      </w:r>
    </w:p>
    <w:p w14:paraId="7CA3886E" w14:textId="77777777" w:rsidR="00DB3CAA" w:rsidRPr="00EB7BAB" w:rsidRDefault="00DB3CAA" w:rsidP="00164A2D">
      <w:pPr>
        <w:contextualSpacing/>
      </w:pPr>
    </w:p>
    <w:p w14:paraId="62F0E898" w14:textId="2DCA899F" w:rsidR="00DB3CAA" w:rsidRPr="00EB7BAB" w:rsidRDefault="0084577A" w:rsidP="00164A2D">
      <w:pPr>
        <w:contextualSpacing/>
        <w:rPr>
          <w:rFonts w:cs="Arial"/>
          <w:b/>
          <w:i/>
          <w:color w:val="FF0000"/>
        </w:rPr>
      </w:pPr>
      <w:r w:rsidRPr="00EB7BAB">
        <w:t xml:space="preserve">U </w:t>
      </w:r>
      <w:r w:rsidR="008033E8" w:rsidRPr="00EB7BAB">
        <w:t xml:space="preserve">s. p. Povodí Odry bylo realizováno </w:t>
      </w:r>
      <w:r w:rsidR="0075007B">
        <w:t>18</w:t>
      </w:r>
      <w:r w:rsidR="008033E8" w:rsidRPr="00EB7BAB">
        <w:t xml:space="preserve"> kontrol, z toho 3 nebyly do konce roku ukončeny</w:t>
      </w:r>
      <w:r w:rsidR="0075007B">
        <w:t>.</w:t>
      </w:r>
    </w:p>
    <w:p w14:paraId="5DDFE73A" w14:textId="77777777" w:rsidR="00B75FD9" w:rsidRPr="00EB7BAB" w:rsidRDefault="00B75FD9" w:rsidP="00164A2D"/>
    <w:p w14:paraId="25F5EBBA" w14:textId="22888BB4" w:rsidR="00164A2D" w:rsidRPr="00EB7BAB" w:rsidRDefault="00164A2D" w:rsidP="00164A2D">
      <w:r w:rsidRPr="00EB7BAB">
        <w:t>Drobné zjištěné nedostatky byly odstraněny v průběhu pravidelné kontrolní návštěvy.</w:t>
      </w:r>
      <w:r w:rsidR="006A32AC" w:rsidRPr="00EB7BAB">
        <w:t xml:space="preserve"> </w:t>
      </w:r>
    </w:p>
    <w:p w14:paraId="14CAED8C" w14:textId="77777777" w:rsidR="00F95CA0" w:rsidRPr="00EB7BAB" w:rsidRDefault="00F95CA0" w:rsidP="007C4955">
      <w:pPr>
        <w:contextualSpacing/>
        <w:rPr>
          <w:rFonts w:cs="Arial"/>
          <w:b/>
          <w:i/>
        </w:rPr>
      </w:pPr>
    </w:p>
    <w:p w14:paraId="3573CB82" w14:textId="4E484A43" w:rsidR="00422EC5" w:rsidRPr="00EB7BAB" w:rsidRDefault="00422EC5" w:rsidP="007C4955">
      <w:pPr>
        <w:contextualSpacing/>
        <w:rPr>
          <w:i/>
        </w:rPr>
      </w:pPr>
      <w:r w:rsidRPr="00EB7BAB">
        <w:rPr>
          <w:rFonts w:cs="Arial"/>
          <w:b/>
          <w:i/>
        </w:rPr>
        <w:t>Graf 6.2.</w:t>
      </w:r>
      <w:r w:rsidR="00120D10" w:rsidRPr="00EB7BAB">
        <w:rPr>
          <w:rFonts w:cs="Arial"/>
          <w:b/>
          <w:i/>
        </w:rPr>
        <w:t>8</w:t>
      </w:r>
    </w:p>
    <w:p w14:paraId="36530921" w14:textId="38CB9794" w:rsidR="00422EC5" w:rsidRPr="00EB7BAB" w:rsidRDefault="00422EC5" w:rsidP="007C4955">
      <w:pPr>
        <w:contextualSpacing/>
        <w:rPr>
          <w:i/>
        </w:rPr>
      </w:pPr>
      <w:r w:rsidRPr="00EB7BAB">
        <w:rPr>
          <w:rFonts w:cs="Arial"/>
          <w:b/>
          <w:i/>
        </w:rPr>
        <w:t>Zastoupení jednotlivých kontrolních orgánů při kontrolách ve státních podnicích Povodí v roce 20</w:t>
      </w:r>
      <w:r w:rsidR="0070423C" w:rsidRPr="00EB7BAB">
        <w:rPr>
          <w:rFonts w:cs="Arial"/>
          <w:b/>
          <w:i/>
        </w:rPr>
        <w:t>2</w:t>
      </w:r>
      <w:r w:rsidR="002F52E1" w:rsidRPr="00EB7BAB">
        <w:rPr>
          <w:rFonts w:cs="Arial"/>
          <w:b/>
          <w:i/>
        </w:rPr>
        <w:t>3</w:t>
      </w:r>
    </w:p>
    <w:p w14:paraId="2A91F4BB" w14:textId="5764F72F" w:rsidR="00422EC5" w:rsidRPr="00EB7BAB" w:rsidRDefault="003654C6" w:rsidP="007C4955">
      <w:pPr>
        <w:contextualSpacing/>
        <w:rPr>
          <w:color w:val="FF0000"/>
          <w:sz w:val="20"/>
          <w:szCs w:val="20"/>
        </w:rPr>
      </w:pPr>
      <w:r w:rsidRPr="00EB7BAB">
        <w:rPr>
          <w:noProof/>
        </w:rPr>
        <w:drawing>
          <wp:inline distT="0" distB="0" distL="0" distR="0" wp14:anchorId="576BA695" wp14:editId="0371AAEC">
            <wp:extent cx="3990975" cy="2847975"/>
            <wp:effectExtent l="0" t="0" r="9525" b="9525"/>
            <wp:docPr id="352536428" name="Graf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2DAB23FA" w14:textId="1F6EEF7C" w:rsidR="00EC1043" w:rsidRDefault="00422EC5" w:rsidP="007C4955">
      <w:pPr>
        <w:pStyle w:val="Doplnktabulek"/>
        <w:spacing w:before="0"/>
        <w:contextualSpacing/>
        <w:rPr>
          <w:rFonts w:ascii="Arial" w:hAnsi="Arial" w:cs="Arial"/>
          <w:i/>
          <w:noProof/>
          <w:sz w:val="20"/>
        </w:rPr>
      </w:pPr>
      <w:r w:rsidRPr="00EB7BAB">
        <w:rPr>
          <w:rFonts w:ascii="Arial" w:hAnsi="Arial" w:cs="Arial"/>
          <w:i/>
          <w:noProof/>
          <w:sz w:val="20"/>
        </w:rPr>
        <w:t xml:space="preserve">Pramen: </w:t>
      </w:r>
      <w:r w:rsidR="00340859" w:rsidRPr="00EB7BAB">
        <w:rPr>
          <w:rFonts w:ascii="Arial" w:hAnsi="Arial" w:cs="Arial"/>
          <w:i/>
          <w:noProof/>
          <w:sz w:val="20"/>
        </w:rPr>
        <w:t>s</w:t>
      </w:r>
      <w:r w:rsidRPr="00EB7BAB">
        <w:rPr>
          <w:rFonts w:ascii="Arial" w:hAnsi="Arial" w:cs="Arial"/>
          <w:i/>
          <w:noProof/>
          <w:sz w:val="20"/>
        </w:rPr>
        <w:t>. p. Povod</w:t>
      </w:r>
      <w:bookmarkEnd w:id="49"/>
      <w:r w:rsidR="00F66C1E" w:rsidRPr="00EB7BAB">
        <w:rPr>
          <w:rFonts w:ascii="Arial" w:hAnsi="Arial" w:cs="Arial"/>
          <w:i/>
          <w:noProof/>
          <w:sz w:val="20"/>
        </w:rPr>
        <w:t>í</w:t>
      </w:r>
    </w:p>
    <w:p w14:paraId="4199ABBE" w14:textId="77777777" w:rsidR="00372A06" w:rsidRDefault="00372A06" w:rsidP="007C4955">
      <w:pPr>
        <w:pStyle w:val="Doplnktabulek"/>
        <w:spacing w:before="0"/>
        <w:contextualSpacing/>
        <w:rPr>
          <w:rFonts w:ascii="Arial" w:hAnsi="Arial" w:cs="Arial"/>
          <w:i/>
          <w:noProof/>
          <w:sz w:val="20"/>
        </w:rPr>
      </w:pPr>
    </w:p>
    <w:p w14:paraId="58828F2C" w14:textId="77777777" w:rsidR="00372A06" w:rsidRDefault="00372A06" w:rsidP="00372A06">
      <w:pPr>
        <w:pStyle w:val="Doplnktabulek"/>
        <w:contextualSpacing/>
        <w:rPr>
          <w:rFonts w:ascii="Arial" w:hAnsi="Arial" w:cs="Arial"/>
          <w:iCs/>
          <w:noProof/>
          <w:sz w:val="22"/>
          <w:szCs w:val="22"/>
        </w:rPr>
      </w:pPr>
    </w:p>
    <w:p w14:paraId="7846AE63" w14:textId="1D2CBE05" w:rsidR="00372A06" w:rsidRPr="00F66A0D" w:rsidRDefault="00372A06" w:rsidP="00372A06">
      <w:pPr>
        <w:pStyle w:val="Doplnktabulek"/>
        <w:contextualSpacing/>
        <w:rPr>
          <w:rFonts w:ascii="Arial" w:hAnsi="Arial" w:cs="Arial"/>
          <w:b/>
          <w:bCs/>
          <w:iCs/>
          <w:noProof/>
          <w:sz w:val="22"/>
          <w:szCs w:val="22"/>
        </w:rPr>
      </w:pPr>
      <w:r w:rsidRPr="00F66A0D">
        <w:rPr>
          <w:rFonts w:ascii="Arial" w:hAnsi="Arial" w:cs="Arial"/>
          <w:b/>
          <w:bCs/>
          <w:iCs/>
          <w:noProof/>
          <w:sz w:val="22"/>
          <w:szCs w:val="22"/>
        </w:rPr>
        <w:t>Zpracování posouzení a řízení rizik v částech povodí souvisejících s místy odběru surové vody</w:t>
      </w:r>
    </w:p>
    <w:p w14:paraId="4A9CF46A" w14:textId="77777777" w:rsidR="00372A06" w:rsidRPr="00372A06" w:rsidRDefault="00372A06" w:rsidP="00372A06">
      <w:pPr>
        <w:pStyle w:val="Doplnktabulek"/>
        <w:contextualSpacing/>
        <w:rPr>
          <w:rFonts w:ascii="Arial" w:hAnsi="Arial" w:cs="Arial"/>
          <w:iCs/>
          <w:noProof/>
          <w:sz w:val="22"/>
          <w:szCs w:val="22"/>
        </w:rPr>
      </w:pPr>
      <w:r w:rsidRPr="00372A06">
        <w:rPr>
          <w:rFonts w:ascii="Arial" w:hAnsi="Arial" w:cs="Arial"/>
          <w:iCs/>
          <w:noProof/>
          <w:sz w:val="22"/>
          <w:szCs w:val="22"/>
        </w:rPr>
        <w:t>V souvislosti s implementací nové evropské směrnice Evropského parlamentu a Rady (EU) 2020/2184 o jakosti vody určené k lidské spotřebě došlo v České republice k legislativnímu ukotvení povinnosti vypracovat posouzení a řízení rizik částí povodí souvisejících s místy odběru vody. Na základě dohody dotčených resortů a v souladu s přílohou č. 3 k vyhlášce č. 50/2023 Sb., o plánech povodí a plánech pro zvládání povodňových rizik, jsou tyto rizikové analýzy pevnou součástí dílčích plánů povodí. Povinnost jejich zpracování byla svěřena jednotlivým státním podnikům Povodí.</w:t>
      </w:r>
    </w:p>
    <w:p w14:paraId="419F5406" w14:textId="77777777" w:rsidR="00B42211" w:rsidRDefault="00B42211" w:rsidP="00372A06">
      <w:pPr>
        <w:pStyle w:val="Doplnktabulek"/>
        <w:contextualSpacing/>
        <w:rPr>
          <w:rFonts w:ascii="Arial" w:hAnsi="Arial" w:cs="Arial"/>
          <w:iCs/>
          <w:noProof/>
          <w:sz w:val="22"/>
          <w:szCs w:val="22"/>
        </w:rPr>
      </w:pPr>
    </w:p>
    <w:p w14:paraId="02596871" w14:textId="1719535A" w:rsidR="00372A06" w:rsidRPr="00372A06" w:rsidRDefault="00372A06" w:rsidP="00372A06">
      <w:pPr>
        <w:pStyle w:val="Doplnktabulek"/>
        <w:contextualSpacing/>
        <w:rPr>
          <w:rFonts w:ascii="Arial" w:hAnsi="Arial" w:cs="Arial"/>
          <w:iCs/>
          <w:noProof/>
          <w:sz w:val="22"/>
          <w:szCs w:val="22"/>
        </w:rPr>
      </w:pPr>
      <w:r w:rsidRPr="00372A06">
        <w:rPr>
          <w:rFonts w:ascii="Arial" w:hAnsi="Arial" w:cs="Arial"/>
          <w:iCs/>
          <w:noProof/>
          <w:sz w:val="22"/>
          <w:szCs w:val="22"/>
        </w:rPr>
        <w:t>Tato nová agenda se vztahuje na všechny vodárenské odběry odebírající více než 10 m³ surové vody za den, což v celorepublikovém měřítku představuje přibližně 3 650 odběrů (cca 3 500 odběrů podzemní vody a cca 150 odběrů povrchové vody). Ačkoliv evropská směrnice stanovuje nejzazší termín pro vypracování těchto analýz na 12. července 2027, z důvodu jejich začlenění do českých dílčích plánů povodí je státní podniky Povodí zpracovávají již v průběhu let 2025 až 2026. Analýzy budou podléhat pravidelnému přezkumu a případné aktualizaci nejméně jednou za šest let, přičemž další přezkoumání proběhne nejpozději v roce 2032.</w:t>
      </w:r>
    </w:p>
    <w:p w14:paraId="3B087A0A" w14:textId="77777777" w:rsidR="00372A06" w:rsidRPr="00372A06" w:rsidRDefault="00372A06" w:rsidP="00372A06">
      <w:pPr>
        <w:pStyle w:val="Doplnktabulek"/>
        <w:contextualSpacing/>
        <w:rPr>
          <w:rFonts w:ascii="Arial" w:hAnsi="Arial" w:cs="Arial"/>
          <w:iCs/>
          <w:noProof/>
          <w:sz w:val="22"/>
          <w:szCs w:val="22"/>
        </w:rPr>
      </w:pPr>
    </w:p>
    <w:p w14:paraId="4F3E93F2" w14:textId="77777777" w:rsidR="00372A06" w:rsidRPr="00B42211" w:rsidRDefault="00372A06" w:rsidP="00372A06">
      <w:pPr>
        <w:pStyle w:val="Doplnktabulek"/>
        <w:contextualSpacing/>
        <w:rPr>
          <w:rFonts w:ascii="Arial" w:hAnsi="Arial" w:cs="Arial"/>
          <w:b/>
          <w:bCs/>
          <w:iCs/>
          <w:noProof/>
          <w:sz w:val="22"/>
          <w:szCs w:val="22"/>
        </w:rPr>
      </w:pPr>
      <w:r w:rsidRPr="00B42211">
        <w:rPr>
          <w:rFonts w:ascii="Arial" w:hAnsi="Arial" w:cs="Arial"/>
          <w:b/>
          <w:bCs/>
          <w:iCs/>
          <w:noProof/>
          <w:sz w:val="22"/>
          <w:szCs w:val="22"/>
        </w:rPr>
        <w:t>Metodika a struktura rizikové analýzy</w:t>
      </w:r>
    </w:p>
    <w:p w14:paraId="2EBE923E" w14:textId="77777777" w:rsidR="00372A06" w:rsidRDefault="00372A06" w:rsidP="00372A06">
      <w:pPr>
        <w:pStyle w:val="Doplnktabulek"/>
        <w:contextualSpacing/>
        <w:rPr>
          <w:rFonts w:ascii="Arial" w:hAnsi="Arial" w:cs="Arial"/>
          <w:iCs/>
          <w:noProof/>
          <w:sz w:val="22"/>
          <w:szCs w:val="22"/>
        </w:rPr>
      </w:pPr>
      <w:r w:rsidRPr="00372A06">
        <w:rPr>
          <w:rFonts w:ascii="Arial" w:hAnsi="Arial" w:cs="Arial"/>
          <w:iCs/>
          <w:noProof/>
          <w:sz w:val="22"/>
          <w:szCs w:val="22"/>
        </w:rPr>
        <w:t>Pro zajištění jednotné formy a struktury výstupů byl v rámci výzkumného projektu podpořeného Technologickou agenturou ČR (TA ČR č. SS05010210) vytvořen závazný formulář (maketa). Riziková analýza se zpracovává specificky pro odběry podzemní a povrchové vody a je strukturována do pěti základních kapitol:</w:t>
      </w:r>
    </w:p>
    <w:p w14:paraId="4D921B03" w14:textId="77777777" w:rsidR="00B42211" w:rsidRPr="00372A06" w:rsidRDefault="00B42211" w:rsidP="00372A06">
      <w:pPr>
        <w:pStyle w:val="Doplnktabulek"/>
        <w:contextualSpacing/>
        <w:rPr>
          <w:rFonts w:ascii="Arial" w:hAnsi="Arial" w:cs="Arial"/>
          <w:iCs/>
          <w:noProof/>
          <w:sz w:val="22"/>
          <w:szCs w:val="22"/>
        </w:rPr>
      </w:pPr>
    </w:p>
    <w:p w14:paraId="5FFD1A81" w14:textId="77777777" w:rsidR="00372A06" w:rsidRPr="00372A06" w:rsidRDefault="00372A06" w:rsidP="00372A06">
      <w:pPr>
        <w:pStyle w:val="Doplnktabulek"/>
        <w:contextualSpacing/>
        <w:rPr>
          <w:rFonts w:ascii="Arial" w:hAnsi="Arial" w:cs="Arial"/>
          <w:iCs/>
          <w:noProof/>
          <w:sz w:val="22"/>
          <w:szCs w:val="22"/>
        </w:rPr>
      </w:pPr>
      <w:r w:rsidRPr="00372A06">
        <w:rPr>
          <w:rFonts w:ascii="Arial" w:hAnsi="Arial" w:cs="Arial"/>
          <w:iCs/>
          <w:noProof/>
          <w:sz w:val="22"/>
          <w:szCs w:val="22"/>
        </w:rPr>
        <w:t>1. Základní charakteristiky odběru (včetně lokalizace v souřadnicích S-JTSK a jednoznačné identifikace dle databáze Surová voda),</w:t>
      </w:r>
    </w:p>
    <w:p w14:paraId="0BEEB9BB" w14:textId="77777777" w:rsidR="00372A06" w:rsidRDefault="00372A06" w:rsidP="00372A06">
      <w:pPr>
        <w:pStyle w:val="Doplnktabulek"/>
        <w:contextualSpacing/>
        <w:rPr>
          <w:rFonts w:ascii="Arial" w:hAnsi="Arial" w:cs="Arial"/>
          <w:iCs/>
          <w:noProof/>
          <w:sz w:val="22"/>
          <w:szCs w:val="22"/>
        </w:rPr>
      </w:pPr>
      <w:r w:rsidRPr="00372A06">
        <w:rPr>
          <w:rFonts w:ascii="Arial" w:hAnsi="Arial" w:cs="Arial"/>
          <w:iCs/>
          <w:noProof/>
          <w:sz w:val="22"/>
          <w:szCs w:val="22"/>
        </w:rPr>
        <w:t>2. Charakterizace částí povodí souvisejících s místem odběru (vymezení stávajících ochranných pásem a specifické kategorizace odběru),</w:t>
      </w:r>
    </w:p>
    <w:p w14:paraId="5499D81F" w14:textId="77777777" w:rsidR="00B42211" w:rsidRPr="00372A06" w:rsidRDefault="00B42211" w:rsidP="00372A06">
      <w:pPr>
        <w:pStyle w:val="Doplnktabulek"/>
        <w:contextualSpacing/>
        <w:rPr>
          <w:rFonts w:ascii="Arial" w:hAnsi="Arial" w:cs="Arial"/>
          <w:iCs/>
          <w:noProof/>
          <w:sz w:val="22"/>
          <w:szCs w:val="22"/>
        </w:rPr>
      </w:pPr>
    </w:p>
    <w:p w14:paraId="6057FFDE" w14:textId="77777777" w:rsidR="00372A06" w:rsidRDefault="00372A06" w:rsidP="00372A06">
      <w:pPr>
        <w:pStyle w:val="Doplnktabulek"/>
        <w:contextualSpacing/>
        <w:rPr>
          <w:rFonts w:ascii="Arial" w:hAnsi="Arial" w:cs="Arial"/>
          <w:iCs/>
          <w:noProof/>
          <w:sz w:val="22"/>
          <w:szCs w:val="22"/>
        </w:rPr>
      </w:pPr>
      <w:r w:rsidRPr="00372A06">
        <w:rPr>
          <w:rFonts w:ascii="Arial" w:hAnsi="Arial" w:cs="Arial"/>
          <w:iCs/>
          <w:noProof/>
          <w:sz w:val="22"/>
          <w:szCs w:val="22"/>
        </w:rPr>
        <w:t>3. Identifikace potenciálních rizik v částech povodí souvisejících s místy odběru vody určené k lidské spotřebě,</w:t>
      </w:r>
    </w:p>
    <w:p w14:paraId="33ADA4ED" w14:textId="77777777" w:rsidR="00B42211" w:rsidRPr="00372A06" w:rsidRDefault="00B42211" w:rsidP="00372A06">
      <w:pPr>
        <w:pStyle w:val="Doplnktabulek"/>
        <w:contextualSpacing/>
        <w:rPr>
          <w:rFonts w:ascii="Arial" w:hAnsi="Arial" w:cs="Arial"/>
          <w:iCs/>
          <w:noProof/>
          <w:sz w:val="22"/>
          <w:szCs w:val="22"/>
        </w:rPr>
      </w:pPr>
    </w:p>
    <w:p w14:paraId="2AFFC5AF" w14:textId="77777777" w:rsidR="00372A06" w:rsidRDefault="00372A06" w:rsidP="00372A06">
      <w:pPr>
        <w:pStyle w:val="Doplnktabulek"/>
        <w:contextualSpacing/>
        <w:rPr>
          <w:rFonts w:ascii="Arial" w:hAnsi="Arial" w:cs="Arial"/>
          <w:iCs/>
          <w:noProof/>
          <w:sz w:val="22"/>
          <w:szCs w:val="22"/>
        </w:rPr>
      </w:pPr>
      <w:r w:rsidRPr="00372A06">
        <w:rPr>
          <w:rFonts w:ascii="Arial" w:hAnsi="Arial" w:cs="Arial"/>
          <w:iCs/>
          <w:noProof/>
          <w:sz w:val="22"/>
          <w:szCs w:val="22"/>
        </w:rPr>
        <w:t>4. Posouzení náležitého monitorování relevantních ukazatelů v surové vodě a ověření potenciálních rizik,</w:t>
      </w:r>
    </w:p>
    <w:p w14:paraId="4B2853CA" w14:textId="77777777" w:rsidR="00B42211" w:rsidRPr="00372A06" w:rsidRDefault="00B42211" w:rsidP="00372A06">
      <w:pPr>
        <w:pStyle w:val="Doplnktabulek"/>
        <w:contextualSpacing/>
        <w:rPr>
          <w:rFonts w:ascii="Arial" w:hAnsi="Arial" w:cs="Arial"/>
          <w:iCs/>
          <w:noProof/>
          <w:sz w:val="22"/>
          <w:szCs w:val="22"/>
        </w:rPr>
      </w:pPr>
    </w:p>
    <w:p w14:paraId="314FA2D7" w14:textId="77777777" w:rsidR="00372A06" w:rsidRPr="00372A06" w:rsidRDefault="00372A06" w:rsidP="00372A06">
      <w:pPr>
        <w:pStyle w:val="Doplnktabulek"/>
        <w:contextualSpacing/>
        <w:rPr>
          <w:rFonts w:ascii="Arial" w:hAnsi="Arial" w:cs="Arial"/>
          <w:iCs/>
          <w:noProof/>
          <w:sz w:val="22"/>
          <w:szCs w:val="22"/>
        </w:rPr>
      </w:pPr>
      <w:r w:rsidRPr="00372A06">
        <w:rPr>
          <w:rFonts w:ascii="Arial" w:hAnsi="Arial" w:cs="Arial"/>
          <w:iCs/>
          <w:noProof/>
          <w:sz w:val="22"/>
          <w:szCs w:val="22"/>
        </w:rPr>
        <w:t>5. Závěr obsahující návrhy nápravných opatření pro minimalizaci rizik či úpravu stávajících ochranných pásem vodních zdrojů (OPVZ).</w:t>
      </w:r>
    </w:p>
    <w:p w14:paraId="16D67889" w14:textId="77777777" w:rsidR="00B42211" w:rsidRDefault="00B42211" w:rsidP="00372A06">
      <w:pPr>
        <w:pStyle w:val="Doplnktabulek"/>
        <w:contextualSpacing/>
        <w:rPr>
          <w:rFonts w:ascii="Arial" w:hAnsi="Arial" w:cs="Arial"/>
          <w:iCs/>
          <w:noProof/>
          <w:sz w:val="22"/>
          <w:szCs w:val="22"/>
        </w:rPr>
      </w:pPr>
    </w:p>
    <w:p w14:paraId="5726EAE5" w14:textId="6523508F" w:rsidR="00372A06" w:rsidRPr="00B42211" w:rsidRDefault="00372A06" w:rsidP="00372A06">
      <w:pPr>
        <w:pStyle w:val="Doplnktabulek"/>
        <w:contextualSpacing/>
        <w:rPr>
          <w:rFonts w:ascii="Arial" w:hAnsi="Arial" w:cs="Arial"/>
          <w:b/>
          <w:bCs/>
          <w:iCs/>
          <w:noProof/>
          <w:sz w:val="22"/>
          <w:szCs w:val="22"/>
        </w:rPr>
      </w:pPr>
      <w:r w:rsidRPr="00B42211">
        <w:rPr>
          <w:rFonts w:ascii="Arial" w:hAnsi="Arial" w:cs="Arial"/>
          <w:b/>
          <w:bCs/>
          <w:iCs/>
          <w:noProof/>
          <w:sz w:val="22"/>
          <w:szCs w:val="22"/>
        </w:rPr>
        <w:t>Metodické postupy vymezení povodí odběru</w:t>
      </w:r>
    </w:p>
    <w:p w14:paraId="0B0E3666" w14:textId="77777777" w:rsidR="00372A06" w:rsidRDefault="00372A06" w:rsidP="00372A06">
      <w:pPr>
        <w:pStyle w:val="Doplnktabulek"/>
        <w:contextualSpacing/>
        <w:rPr>
          <w:rFonts w:ascii="Arial" w:hAnsi="Arial" w:cs="Arial"/>
          <w:iCs/>
          <w:noProof/>
          <w:sz w:val="22"/>
          <w:szCs w:val="22"/>
        </w:rPr>
      </w:pPr>
      <w:r w:rsidRPr="00372A06">
        <w:rPr>
          <w:rFonts w:ascii="Arial" w:hAnsi="Arial" w:cs="Arial"/>
          <w:iCs/>
          <w:noProof/>
          <w:sz w:val="22"/>
          <w:szCs w:val="22"/>
        </w:rPr>
        <w:t>Klíčovým a metodicky nejnáročnějším krokem realizovaným v roce 2025 bylo přesné vymezení plochy povodí odběru (zájmového území), kde mohou lidské aktivity reálně ovlivnit kvalitu surové vody. Vymezení závisí na typu odebírané vody:</w:t>
      </w:r>
    </w:p>
    <w:p w14:paraId="32D85EB2" w14:textId="77777777" w:rsidR="00B42211" w:rsidRPr="00372A06" w:rsidRDefault="00B42211" w:rsidP="00372A06">
      <w:pPr>
        <w:pStyle w:val="Doplnktabulek"/>
        <w:contextualSpacing/>
        <w:rPr>
          <w:rFonts w:ascii="Arial" w:hAnsi="Arial" w:cs="Arial"/>
          <w:iCs/>
          <w:noProof/>
          <w:sz w:val="22"/>
          <w:szCs w:val="22"/>
        </w:rPr>
      </w:pPr>
    </w:p>
    <w:p w14:paraId="3B49AD6A" w14:textId="77777777" w:rsidR="00372A06" w:rsidRDefault="00372A06" w:rsidP="00372A06">
      <w:pPr>
        <w:pStyle w:val="Doplnktabulek"/>
        <w:contextualSpacing/>
        <w:rPr>
          <w:rFonts w:ascii="Arial" w:hAnsi="Arial" w:cs="Arial"/>
          <w:iCs/>
          <w:noProof/>
          <w:sz w:val="22"/>
          <w:szCs w:val="22"/>
        </w:rPr>
      </w:pPr>
      <w:r w:rsidRPr="00372A06">
        <w:rPr>
          <w:rFonts w:ascii="Arial" w:hAnsi="Arial" w:cs="Arial"/>
          <w:iCs/>
          <w:noProof/>
          <w:sz w:val="22"/>
          <w:szCs w:val="22"/>
        </w:rPr>
        <w:t>Odběry povrchových vod a podzemních vod z fluviálního kvartéru: Povodí odběru je standardně dáno všemi hydrologickými povodími IV. řádu nad místem odběru. Na základě odborného posouzení a dat o využití území (např. CORINE Land Cover) lze toto rozsáhlé území zmenšit vyloučením nerizikových oblastí (např. národní parky).</w:t>
      </w:r>
    </w:p>
    <w:p w14:paraId="2173E4DD" w14:textId="77777777" w:rsidR="00B42211" w:rsidRPr="00372A06" w:rsidRDefault="00B42211" w:rsidP="00372A06">
      <w:pPr>
        <w:pStyle w:val="Doplnktabulek"/>
        <w:contextualSpacing/>
        <w:rPr>
          <w:rFonts w:ascii="Arial" w:hAnsi="Arial" w:cs="Arial"/>
          <w:iCs/>
          <w:noProof/>
          <w:sz w:val="22"/>
          <w:szCs w:val="22"/>
        </w:rPr>
      </w:pPr>
    </w:p>
    <w:p w14:paraId="148E847E" w14:textId="77777777" w:rsidR="00372A06" w:rsidRDefault="00372A06" w:rsidP="00372A06">
      <w:pPr>
        <w:pStyle w:val="Doplnktabulek"/>
        <w:contextualSpacing/>
        <w:rPr>
          <w:rFonts w:ascii="Arial" w:hAnsi="Arial" w:cs="Arial"/>
          <w:iCs/>
          <w:noProof/>
          <w:sz w:val="22"/>
          <w:szCs w:val="22"/>
        </w:rPr>
      </w:pPr>
      <w:r w:rsidRPr="00372A06">
        <w:rPr>
          <w:rFonts w:ascii="Arial" w:hAnsi="Arial" w:cs="Arial"/>
          <w:iCs/>
          <w:noProof/>
          <w:sz w:val="22"/>
          <w:szCs w:val="22"/>
        </w:rPr>
        <w:t>Odběry podzemní vody z mělké přípovrchové zóny (např. krystalinika): Zde se povodí odhaduje na základě průběhu vrstevnic terénu. Vymezuje se od bodu přibližně 100 metrů pod místem odběru (kvůli rozvoji depresního kužele při čerpání) a shora je definováno kolmicemi k vrstevnicím až k nejvyššímu bodu terénu.</w:t>
      </w:r>
    </w:p>
    <w:p w14:paraId="3C73BE78" w14:textId="77777777" w:rsidR="00B42211" w:rsidRPr="00372A06" w:rsidRDefault="00B42211" w:rsidP="00372A06">
      <w:pPr>
        <w:pStyle w:val="Doplnktabulek"/>
        <w:contextualSpacing/>
        <w:rPr>
          <w:rFonts w:ascii="Arial" w:hAnsi="Arial" w:cs="Arial"/>
          <w:iCs/>
          <w:noProof/>
          <w:sz w:val="22"/>
          <w:szCs w:val="22"/>
        </w:rPr>
      </w:pPr>
    </w:p>
    <w:p w14:paraId="3A7D861A" w14:textId="77777777" w:rsidR="00372A06" w:rsidRPr="00372A06" w:rsidRDefault="00372A06" w:rsidP="00372A06">
      <w:pPr>
        <w:pStyle w:val="Doplnktabulek"/>
        <w:contextualSpacing/>
        <w:rPr>
          <w:rFonts w:ascii="Arial" w:hAnsi="Arial" w:cs="Arial"/>
          <w:iCs/>
          <w:noProof/>
          <w:sz w:val="22"/>
          <w:szCs w:val="22"/>
        </w:rPr>
      </w:pPr>
      <w:r w:rsidRPr="00372A06">
        <w:rPr>
          <w:rFonts w:ascii="Arial" w:hAnsi="Arial" w:cs="Arial"/>
          <w:iCs/>
          <w:noProof/>
          <w:sz w:val="22"/>
          <w:szCs w:val="22"/>
        </w:rPr>
        <w:t>Odběry podzemních vod z hlubokých struktur: Jedná se o nejkomplikovanější případy (např. pánevní systémy), u nichž se podle stupně prozkoumanosti uplatňují čtyři varianty postupu:</w:t>
      </w:r>
    </w:p>
    <w:p w14:paraId="7C8E735A" w14:textId="77777777" w:rsidR="00372A06" w:rsidRPr="00372A06" w:rsidRDefault="00372A06" w:rsidP="00372A06">
      <w:pPr>
        <w:pStyle w:val="Doplnktabulek"/>
        <w:contextualSpacing/>
        <w:rPr>
          <w:rFonts w:ascii="Arial" w:hAnsi="Arial" w:cs="Arial"/>
          <w:iCs/>
          <w:noProof/>
          <w:sz w:val="22"/>
          <w:szCs w:val="22"/>
        </w:rPr>
      </w:pPr>
      <w:r w:rsidRPr="00372A06">
        <w:rPr>
          <w:rFonts w:ascii="Arial" w:hAnsi="Arial" w:cs="Arial"/>
          <w:iCs/>
          <w:noProof/>
          <w:sz w:val="22"/>
          <w:szCs w:val="22"/>
        </w:rPr>
        <w:t>▪ Varianta 1 (Konzultace s hydrogeologem a 3D model): Vymezení infiltračního prostoru pro jednotlivé kolektory s využitím GIS nástrojů na základě podkladů z kalibrovaného 3D hydraulického modelu proudění podzemních vod.</w:t>
      </w:r>
    </w:p>
    <w:p w14:paraId="7FEC30B6" w14:textId="77777777" w:rsidR="00372A06" w:rsidRPr="00372A06" w:rsidRDefault="00372A06" w:rsidP="00372A06">
      <w:pPr>
        <w:pStyle w:val="Doplnktabulek"/>
        <w:contextualSpacing/>
        <w:rPr>
          <w:rFonts w:ascii="Arial" w:hAnsi="Arial" w:cs="Arial"/>
          <w:iCs/>
          <w:noProof/>
          <w:sz w:val="22"/>
          <w:szCs w:val="22"/>
        </w:rPr>
      </w:pPr>
      <w:r w:rsidRPr="00372A06">
        <w:rPr>
          <w:rFonts w:ascii="Arial" w:hAnsi="Arial" w:cs="Arial"/>
          <w:iCs/>
          <w:noProof/>
          <w:sz w:val="22"/>
          <w:szCs w:val="22"/>
        </w:rPr>
        <w:t>▪ Varianta 2 (Využití projektu Rebilance): Využití detailních informací ze závěrečných zpráv projektu „Rebilance zásob podzemních vod“ České geologické služby, kde se na základě vrtné prozkoumanosti identifikuje jímaný kolektor a povodí odběru se vymezí podle jeho specifických bilančních subsystémů.</w:t>
      </w:r>
    </w:p>
    <w:p w14:paraId="2315C169" w14:textId="77777777" w:rsidR="00372A06" w:rsidRPr="00372A06" w:rsidRDefault="00372A06" w:rsidP="00372A06">
      <w:pPr>
        <w:pStyle w:val="Doplnktabulek"/>
        <w:contextualSpacing/>
        <w:rPr>
          <w:rFonts w:ascii="Arial" w:hAnsi="Arial" w:cs="Arial"/>
          <w:iCs/>
          <w:noProof/>
          <w:sz w:val="22"/>
          <w:szCs w:val="22"/>
        </w:rPr>
      </w:pPr>
      <w:r w:rsidRPr="00372A06">
        <w:rPr>
          <w:rFonts w:ascii="Arial" w:hAnsi="Arial" w:cs="Arial"/>
          <w:iCs/>
          <w:noProof/>
          <w:sz w:val="22"/>
          <w:szCs w:val="22"/>
        </w:rPr>
        <w:t>▪ Varianta 3 (Věrohodné OPVZ 2. stupně): Pokud není k dispozici hydraulický model ani projekt Rebilance, ale odběr má historicky vymezený 2. stupeň ochranného pásma vodního zdroje, přejímá se toto pásmo jako povodí odběru na základě předpokladu, že vzniklo na základě předchozího odborného hydrogeologického posouzení.</w:t>
      </w:r>
    </w:p>
    <w:p w14:paraId="254B9C92" w14:textId="14A9A666" w:rsidR="00372A06" w:rsidRPr="00372A06" w:rsidRDefault="00372A06" w:rsidP="00372A06">
      <w:pPr>
        <w:pStyle w:val="Doplnktabulek"/>
        <w:spacing w:before="0"/>
        <w:contextualSpacing/>
        <w:rPr>
          <w:rFonts w:ascii="Arial" w:hAnsi="Arial" w:cs="Arial"/>
          <w:iCs/>
          <w:noProof/>
          <w:sz w:val="22"/>
          <w:szCs w:val="22"/>
        </w:rPr>
      </w:pPr>
      <w:r w:rsidRPr="00372A06">
        <w:rPr>
          <w:rFonts w:ascii="Arial" w:hAnsi="Arial" w:cs="Arial"/>
          <w:iCs/>
          <w:noProof/>
          <w:sz w:val="22"/>
          <w:szCs w:val="22"/>
        </w:rPr>
        <w:t>▪ Varianta 4 (Individuální dohledání dat): V případech s největší neurčitostí (chybí model, rebilance i vymezené OPVZ 2. stupně) je nutné vyhledat technické parametry vrtů v archivech a hydrogeolog musí zpracovat individuální návrh zájmového území obdobným postupem, jakým se navrhuje OPVZ 2. stupně.</w:t>
      </w:r>
    </w:p>
    <w:p w14:paraId="5315A4D5" w14:textId="77777777" w:rsidR="001C1F76" w:rsidRPr="00EB7BAB" w:rsidRDefault="001C1F76" w:rsidP="007C4955">
      <w:pPr>
        <w:pStyle w:val="Doplnktabulek"/>
        <w:spacing w:before="0"/>
        <w:contextualSpacing/>
        <w:rPr>
          <w:rFonts w:ascii="Arial" w:hAnsi="Arial" w:cs="Arial"/>
          <w:i/>
          <w:noProof/>
          <w:sz w:val="20"/>
        </w:rPr>
      </w:pPr>
    </w:p>
    <w:p w14:paraId="33C212D5" w14:textId="77777777" w:rsidR="001C1F76" w:rsidRPr="00EB7BAB" w:rsidRDefault="001C1F76" w:rsidP="007C4955">
      <w:pPr>
        <w:pStyle w:val="Doplnktabulek"/>
        <w:spacing w:before="0"/>
        <w:contextualSpacing/>
        <w:rPr>
          <w:rFonts w:ascii="Arial" w:hAnsi="Arial" w:cs="Arial"/>
          <w:i/>
          <w:noProof/>
          <w:sz w:val="20"/>
        </w:rPr>
      </w:pPr>
    </w:p>
    <w:p w14:paraId="5526ACA2" w14:textId="77777777" w:rsidR="004F3115" w:rsidRPr="00EB7BAB" w:rsidRDefault="00547C0E">
      <w:pPr>
        <w:pStyle w:val="Nadpis2"/>
        <w:numPr>
          <w:ilvl w:val="1"/>
          <w:numId w:val="13"/>
        </w:numPr>
        <w:spacing w:before="0"/>
        <w:contextualSpacing/>
      </w:pPr>
      <w:bookmarkStart w:id="85" w:name="_Toc10183422"/>
      <w:bookmarkStart w:id="86" w:name="_Toc236991626"/>
      <w:r w:rsidRPr="00EB7BAB">
        <w:t>Lesy České republiky, s. p.</w:t>
      </w:r>
      <w:bookmarkEnd w:id="85"/>
      <w:bookmarkEnd w:id="86"/>
    </w:p>
    <w:p w14:paraId="114EFF18" w14:textId="77777777" w:rsidR="00153EFF" w:rsidRDefault="00153EFF" w:rsidP="00D46823">
      <w:pPr>
        <w:spacing w:before="240" w:after="240"/>
        <w:rPr>
          <w:rFonts w:cs="Arial"/>
          <w:b/>
          <w:sz w:val="21"/>
          <w:szCs w:val="21"/>
        </w:rPr>
      </w:pPr>
      <w:r w:rsidRPr="00EB7BAB">
        <w:rPr>
          <w:rFonts w:cs="Arial"/>
          <w:b/>
          <w:sz w:val="21"/>
          <w:szCs w:val="21"/>
        </w:rPr>
        <w:t>Lesy České republiky,</w:t>
      </w:r>
      <w:r w:rsidRPr="00153EFF">
        <w:rPr>
          <w:rFonts w:cs="Arial"/>
          <w:b/>
          <w:sz w:val="21"/>
          <w:szCs w:val="21"/>
        </w:rPr>
        <w:t xml:space="preserve"> </w:t>
      </w:r>
      <w:proofErr w:type="spellStart"/>
      <w:r w:rsidRPr="00153EFF">
        <w:rPr>
          <w:rFonts w:cs="Arial"/>
          <w:b/>
          <w:sz w:val="21"/>
          <w:szCs w:val="21"/>
        </w:rPr>
        <w:t>s.p</w:t>
      </w:r>
      <w:proofErr w:type="spellEnd"/>
      <w:r w:rsidRPr="00153EFF">
        <w:rPr>
          <w:rFonts w:cs="Arial"/>
          <w:b/>
          <w:sz w:val="21"/>
          <w:szCs w:val="21"/>
        </w:rPr>
        <w:t xml:space="preserve">., vykonávají správu určených drobných vodních toků a bystřin jako jednu z mimoprodukčních funkcí lesa. V roce 2025 spravovaly 38,6 tisíce km vodních toků a 1 115 malých vodních nádrží. </w:t>
      </w:r>
    </w:p>
    <w:p w14:paraId="56E8264D" w14:textId="77777777" w:rsidR="00A14AAD" w:rsidRPr="00A14AAD" w:rsidRDefault="00A14AAD" w:rsidP="00A14AAD">
      <w:pPr>
        <w:contextualSpacing/>
        <w:rPr>
          <w:rFonts w:cs="Arial"/>
          <w:sz w:val="21"/>
          <w:szCs w:val="21"/>
        </w:rPr>
      </w:pPr>
      <w:r w:rsidRPr="00A14AAD">
        <w:rPr>
          <w:rFonts w:cs="Arial"/>
          <w:sz w:val="21"/>
          <w:szCs w:val="21"/>
        </w:rPr>
        <w:t xml:space="preserve">Péče o vodní toky v rámci LČR představuje správu vodohospodářského majetku souvisejícího s vodními toky v pořizovací hodnotě 9,4 mld. Kč. Zejména se jedná o úpravy vodních toků, objekty hrazení bystřin a strží, protipovodňová opatření a vodní nádrže. Správu vodních toků zajišťovalo sedm organizačních jednotek – správ toků s územní působností dle oblastí povodí.  </w:t>
      </w:r>
    </w:p>
    <w:p w14:paraId="45643C8C" w14:textId="77777777" w:rsidR="00B165E1" w:rsidRDefault="00B165E1" w:rsidP="00A14AAD">
      <w:pPr>
        <w:contextualSpacing/>
        <w:rPr>
          <w:rFonts w:cs="Arial"/>
          <w:sz w:val="21"/>
          <w:szCs w:val="21"/>
        </w:rPr>
      </w:pPr>
    </w:p>
    <w:p w14:paraId="23124BE4" w14:textId="6E6C2214" w:rsidR="00A14AAD" w:rsidRPr="00A14AAD" w:rsidRDefault="00A14AAD" w:rsidP="00A14AAD">
      <w:pPr>
        <w:contextualSpacing/>
        <w:rPr>
          <w:rFonts w:cs="Arial"/>
          <w:sz w:val="21"/>
          <w:szCs w:val="21"/>
        </w:rPr>
      </w:pPr>
      <w:r w:rsidRPr="00A14AAD">
        <w:rPr>
          <w:rFonts w:cs="Arial"/>
          <w:sz w:val="21"/>
          <w:szCs w:val="21"/>
        </w:rPr>
        <w:t>V roce 2025 probíhaly v LČR na úseku vodního hospodářství činnosti zaměřené zejména na:</w:t>
      </w:r>
    </w:p>
    <w:p w14:paraId="0FF61D3B" w14:textId="27E9DB85" w:rsidR="00A14AAD" w:rsidRPr="00A14AAD" w:rsidRDefault="00A14AAD" w:rsidP="00A14AAD">
      <w:pPr>
        <w:numPr>
          <w:ilvl w:val="0"/>
          <w:numId w:val="34"/>
        </w:numPr>
        <w:tabs>
          <w:tab w:val="num" w:pos="426"/>
        </w:tabs>
        <w:contextualSpacing/>
        <w:rPr>
          <w:rFonts w:cs="Arial"/>
          <w:sz w:val="21"/>
          <w:szCs w:val="21"/>
        </w:rPr>
      </w:pPr>
      <w:r w:rsidRPr="00A14AAD">
        <w:rPr>
          <w:rFonts w:cs="Arial"/>
          <w:sz w:val="21"/>
          <w:szCs w:val="21"/>
        </w:rPr>
        <w:t xml:space="preserve">realizaci </w:t>
      </w:r>
      <w:bookmarkStart w:id="87" w:name="_Hlk192841029"/>
      <w:r w:rsidRPr="00A14AAD">
        <w:rPr>
          <w:rFonts w:cs="Arial"/>
          <w:sz w:val="21"/>
          <w:szCs w:val="21"/>
        </w:rPr>
        <w:t>investičních i neinvestičních akcí zaměřených na odstranění povodňových škod – zejména na obnovu majetků po záři</w:t>
      </w:r>
      <w:r w:rsidR="003C68ED">
        <w:rPr>
          <w:rFonts w:cs="Arial"/>
          <w:sz w:val="21"/>
          <w:szCs w:val="21"/>
        </w:rPr>
        <w:t>j</w:t>
      </w:r>
      <w:r w:rsidRPr="00A14AAD">
        <w:rPr>
          <w:rFonts w:cs="Arial"/>
          <w:sz w:val="21"/>
          <w:szCs w:val="21"/>
        </w:rPr>
        <w:t xml:space="preserve">ových povodních </w:t>
      </w:r>
      <w:r w:rsidR="003C68ED">
        <w:rPr>
          <w:rFonts w:cs="Arial"/>
          <w:sz w:val="21"/>
          <w:szCs w:val="21"/>
        </w:rPr>
        <w:t xml:space="preserve">z </w:t>
      </w:r>
      <w:r w:rsidRPr="00A14AAD">
        <w:rPr>
          <w:rFonts w:cs="Arial"/>
          <w:sz w:val="21"/>
          <w:szCs w:val="21"/>
        </w:rPr>
        <w:t xml:space="preserve">roku 2024, protipovodňovou ochranu, stabilizaci koryt a protierozní </w:t>
      </w:r>
      <w:bookmarkEnd w:id="87"/>
      <w:r w:rsidRPr="00A14AAD">
        <w:rPr>
          <w:rFonts w:cs="Arial"/>
          <w:sz w:val="21"/>
          <w:szCs w:val="21"/>
        </w:rPr>
        <w:t xml:space="preserve">opatření, </w:t>
      </w:r>
    </w:p>
    <w:p w14:paraId="6FCC2B22" w14:textId="77777777" w:rsidR="00A14AAD" w:rsidRPr="00A14AAD" w:rsidRDefault="00A14AAD" w:rsidP="00A14AAD">
      <w:pPr>
        <w:numPr>
          <w:ilvl w:val="0"/>
          <w:numId w:val="34"/>
        </w:numPr>
        <w:tabs>
          <w:tab w:val="num" w:pos="426"/>
        </w:tabs>
        <w:contextualSpacing/>
        <w:rPr>
          <w:rFonts w:cs="Arial"/>
          <w:sz w:val="21"/>
          <w:szCs w:val="21"/>
        </w:rPr>
      </w:pPr>
      <w:r w:rsidRPr="00A14AAD">
        <w:rPr>
          <w:rFonts w:cs="Arial"/>
          <w:sz w:val="21"/>
          <w:szCs w:val="21"/>
        </w:rPr>
        <w:t>výstavbu, obnovu a opravy vodních nádrží, tůní a mokřadů za účelem zpomalení povrchového odtoku a zadržení vody v krajině a přípravu dalších projektů ke zmírnění negativních následků sucha a stavu nedostatku vody na našem území,</w:t>
      </w:r>
    </w:p>
    <w:p w14:paraId="069FBB3B" w14:textId="77777777" w:rsidR="00A14AAD" w:rsidRPr="00A14AAD" w:rsidRDefault="00A14AAD" w:rsidP="00A14AAD">
      <w:pPr>
        <w:numPr>
          <w:ilvl w:val="0"/>
          <w:numId w:val="34"/>
        </w:numPr>
        <w:tabs>
          <w:tab w:val="num" w:pos="426"/>
        </w:tabs>
        <w:contextualSpacing/>
        <w:rPr>
          <w:rFonts w:cs="Arial"/>
          <w:sz w:val="21"/>
          <w:szCs w:val="21"/>
        </w:rPr>
      </w:pPr>
      <w:r w:rsidRPr="00A14AAD">
        <w:rPr>
          <w:rFonts w:cs="Arial"/>
          <w:sz w:val="21"/>
          <w:szCs w:val="21"/>
        </w:rPr>
        <w:t>realizaci akcí za účelem oprav a údržby majetku,</w:t>
      </w:r>
    </w:p>
    <w:p w14:paraId="38DE6DEC" w14:textId="77777777" w:rsidR="00A14AAD" w:rsidRPr="00A14AAD" w:rsidRDefault="00A14AAD" w:rsidP="00A14AAD">
      <w:pPr>
        <w:numPr>
          <w:ilvl w:val="0"/>
          <w:numId w:val="34"/>
        </w:numPr>
        <w:tabs>
          <w:tab w:val="num" w:pos="426"/>
        </w:tabs>
        <w:contextualSpacing/>
        <w:rPr>
          <w:rFonts w:cs="Arial"/>
          <w:sz w:val="21"/>
          <w:szCs w:val="21"/>
        </w:rPr>
      </w:pPr>
      <w:r w:rsidRPr="00A14AAD">
        <w:rPr>
          <w:rFonts w:cs="Arial"/>
          <w:sz w:val="21"/>
          <w:szCs w:val="21"/>
        </w:rPr>
        <w:t>péči o břehové porosty, revitalizace v minulosti nevhodně upravených vodních toků, mimoprodukční funkce lesa, podporu ohrožených druhů organismů, likvidaci invazních nepůvodních druhů rostlin apod.,</w:t>
      </w:r>
    </w:p>
    <w:p w14:paraId="482BC602" w14:textId="77777777" w:rsidR="00A14AAD" w:rsidRPr="00A14AAD" w:rsidRDefault="00A14AAD" w:rsidP="00A14AAD">
      <w:pPr>
        <w:numPr>
          <w:ilvl w:val="0"/>
          <w:numId w:val="34"/>
        </w:numPr>
        <w:tabs>
          <w:tab w:val="num" w:pos="426"/>
        </w:tabs>
        <w:contextualSpacing/>
        <w:rPr>
          <w:rFonts w:cs="Arial"/>
          <w:sz w:val="21"/>
          <w:szCs w:val="21"/>
        </w:rPr>
      </w:pPr>
      <w:r w:rsidRPr="00A14AAD">
        <w:rPr>
          <w:rFonts w:cs="Arial"/>
          <w:sz w:val="21"/>
          <w:szCs w:val="21"/>
        </w:rPr>
        <w:t>vedení Centrální evidence vodních linií a vodních nádrží a evidence ostatních vodních děl cizích subjektů podléhajících technickobezpečnostnímu dozoru v informačním systému veřejné správy.</w:t>
      </w:r>
    </w:p>
    <w:p w14:paraId="17A9F6C2" w14:textId="77777777" w:rsidR="00B165E1" w:rsidRDefault="00B165E1" w:rsidP="00A14AAD">
      <w:pPr>
        <w:contextualSpacing/>
        <w:rPr>
          <w:rFonts w:cs="Arial"/>
          <w:sz w:val="21"/>
          <w:szCs w:val="21"/>
        </w:rPr>
      </w:pPr>
    </w:p>
    <w:p w14:paraId="52581B4F" w14:textId="78B2AF42" w:rsidR="00A14AAD" w:rsidRPr="00A14AAD" w:rsidRDefault="00A14AAD" w:rsidP="00A14AAD">
      <w:pPr>
        <w:contextualSpacing/>
        <w:rPr>
          <w:rFonts w:cs="Arial"/>
          <w:sz w:val="21"/>
          <w:szCs w:val="21"/>
        </w:rPr>
      </w:pPr>
      <w:r w:rsidRPr="00A14AAD">
        <w:rPr>
          <w:rFonts w:cs="Arial"/>
          <w:sz w:val="21"/>
          <w:szCs w:val="21"/>
        </w:rPr>
        <w:t>Správa vodních toků, prováděná opatření a jejich příprava, byl</w:t>
      </w:r>
      <w:r w:rsidR="004C68BA">
        <w:rPr>
          <w:rFonts w:cs="Arial"/>
          <w:sz w:val="21"/>
          <w:szCs w:val="21"/>
        </w:rPr>
        <w:t>y</w:t>
      </w:r>
      <w:r w:rsidRPr="00A14AAD">
        <w:rPr>
          <w:rFonts w:cs="Arial"/>
          <w:sz w:val="21"/>
          <w:szCs w:val="21"/>
        </w:rPr>
        <w:t xml:space="preserve"> financován</w:t>
      </w:r>
      <w:r w:rsidR="004C68BA">
        <w:rPr>
          <w:rFonts w:cs="Arial"/>
          <w:sz w:val="21"/>
          <w:szCs w:val="21"/>
        </w:rPr>
        <w:t>y</w:t>
      </w:r>
      <w:r w:rsidRPr="00A14AAD">
        <w:rPr>
          <w:rFonts w:cs="Arial"/>
          <w:sz w:val="21"/>
          <w:szCs w:val="21"/>
        </w:rPr>
        <w:t xml:space="preserve"> jak z vlastních zdrojů podniku, tak z dotačních prostředků. Z dotací se jedná o opatření prováděná ve veřejném zájmu dle § 35 lesního zákona a o finance ze státního rozpočtu na programy MZe dle § 102 vodního zákona. Konkrétně se jedná o programy „Odstraňování povodňových škod na státním vodohospodářském majetku“,</w:t>
      </w:r>
      <w:bookmarkStart w:id="88" w:name="_Hlk192841336"/>
      <w:r w:rsidRPr="00A14AAD">
        <w:rPr>
          <w:rFonts w:cs="Arial"/>
          <w:sz w:val="21"/>
          <w:szCs w:val="21"/>
        </w:rPr>
        <w:t xml:space="preserve"> „Podpora opatření na malých vodních nádržích a drobných vodních tocích" a „Podpora prevence před povodněmi“. </w:t>
      </w:r>
      <w:bookmarkEnd w:id="88"/>
      <w:r w:rsidRPr="00A14AAD">
        <w:rPr>
          <w:rFonts w:cs="Arial"/>
          <w:sz w:val="21"/>
          <w:szCs w:val="21"/>
        </w:rPr>
        <w:t xml:space="preserve">Dále byly využívány finanční prostředky z fondů EU a krajinotvorných programů MŽP. Činnosti prováděné v souvislosti se správou toků jsou nekomerčního charakteru a ve vztahu k celkově vynakládaným finančním prostředkům nepřinášejí prakticky žádný zisk. </w:t>
      </w:r>
    </w:p>
    <w:p w14:paraId="606929F0" w14:textId="77777777" w:rsidR="00055AFB" w:rsidRDefault="00055AFB" w:rsidP="00A14AAD">
      <w:pPr>
        <w:contextualSpacing/>
        <w:rPr>
          <w:rFonts w:cs="Arial"/>
          <w:sz w:val="21"/>
          <w:szCs w:val="21"/>
        </w:rPr>
      </w:pPr>
      <w:bookmarkStart w:id="89" w:name="_Hlk192841394"/>
    </w:p>
    <w:p w14:paraId="191C84B6" w14:textId="3FEF7505" w:rsidR="00A14AAD" w:rsidRPr="00A14AAD" w:rsidRDefault="00A14AAD" w:rsidP="00A14AAD">
      <w:pPr>
        <w:contextualSpacing/>
        <w:rPr>
          <w:rFonts w:cs="Arial"/>
          <w:sz w:val="21"/>
          <w:szCs w:val="21"/>
        </w:rPr>
      </w:pPr>
      <w:r w:rsidRPr="00A14AAD">
        <w:rPr>
          <w:rFonts w:cs="Arial"/>
          <w:sz w:val="21"/>
          <w:szCs w:val="21"/>
        </w:rPr>
        <w:t xml:space="preserve">V souvislosti </w:t>
      </w:r>
      <w:bookmarkStart w:id="90" w:name="_Hlk192841502"/>
      <w:r w:rsidRPr="00A14AAD">
        <w:rPr>
          <w:rFonts w:cs="Arial"/>
          <w:sz w:val="21"/>
          <w:szCs w:val="21"/>
        </w:rPr>
        <w:t xml:space="preserve">se správou toků a vodních nádrží LČR vynaložily v roce 2025 celkem 888,6 mil. Kč, z čehož výdaje investičního charakteru činily 375,3 mil. Kč. V uvedené částce jsou zahrnuty nejen stavební investice, ale i výkupy pozemků pro zabezpečení péče o vodní toky. Vlastní prostředky představují z tohoto objemu investic 191,2 mil. Kč. Na výkon správy určených drobných vodních toků, opravu a údržbu majetku souvisejícího se správou bylo vydáno </w:t>
      </w:r>
      <w:r w:rsidRPr="00B165E1">
        <w:rPr>
          <w:rFonts w:cs="Arial"/>
          <w:b/>
          <w:bCs/>
          <w:sz w:val="21"/>
          <w:szCs w:val="21"/>
        </w:rPr>
        <w:t>513,3 mil. Kč</w:t>
      </w:r>
      <w:r w:rsidRPr="00A14AAD">
        <w:rPr>
          <w:rFonts w:cs="Arial"/>
          <w:sz w:val="21"/>
          <w:szCs w:val="21"/>
        </w:rPr>
        <w:t xml:space="preserve">, z toho z vlastních prostředků 473,2 mil. Kč. </w:t>
      </w:r>
      <w:r w:rsidRPr="00A14AAD">
        <w:rPr>
          <w:rFonts w:cs="Arial"/>
          <w:iCs/>
          <w:sz w:val="21"/>
          <w:szCs w:val="21"/>
        </w:rPr>
        <w:t xml:space="preserve">Na odstranění povodňových škod bylo celkem vynaloženo 100,8 mil. Kč. </w:t>
      </w:r>
      <w:r w:rsidRPr="00A14AAD">
        <w:rPr>
          <w:rFonts w:cs="Arial"/>
          <w:sz w:val="21"/>
          <w:szCs w:val="21"/>
        </w:rPr>
        <w:t xml:space="preserve">V uvedených objemech jsou zahrnuty veškeré náklady spojené se správou </w:t>
      </w:r>
      <w:bookmarkEnd w:id="90"/>
      <w:r w:rsidRPr="00A14AAD">
        <w:rPr>
          <w:rFonts w:cs="Arial"/>
          <w:sz w:val="21"/>
          <w:szCs w:val="21"/>
        </w:rPr>
        <w:t xml:space="preserve">toků a vodních nádrží. </w:t>
      </w:r>
      <w:bookmarkEnd w:id="89"/>
      <w:r w:rsidRPr="00A14AAD">
        <w:rPr>
          <w:rFonts w:cs="Arial"/>
          <w:sz w:val="21"/>
          <w:szCs w:val="21"/>
        </w:rPr>
        <w:t>Strukturu financování uvádí tabulka 6.3.1.</w:t>
      </w:r>
    </w:p>
    <w:p w14:paraId="72C25E17" w14:textId="77777777" w:rsidR="00A14AAD" w:rsidRDefault="00A14AAD" w:rsidP="007C4955">
      <w:pPr>
        <w:contextualSpacing/>
        <w:rPr>
          <w:rFonts w:cs="Arial"/>
          <w:b/>
          <w:i/>
          <w:highlight w:val="yellow"/>
        </w:rPr>
      </w:pPr>
    </w:p>
    <w:p w14:paraId="39206DF6" w14:textId="49B65407" w:rsidR="00AF2B22" w:rsidRPr="0031171A" w:rsidRDefault="00AF2B22" w:rsidP="007C4955">
      <w:pPr>
        <w:contextualSpacing/>
        <w:rPr>
          <w:rFonts w:cs="Arial"/>
          <w:b/>
          <w:i/>
        </w:rPr>
      </w:pPr>
      <w:r w:rsidRPr="0031171A">
        <w:rPr>
          <w:rFonts w:cs="Arial"/>
          <w:b/>
          <w:i/>
        </w:rPr>
        <w:t>Tabulka 6.3.1 </w:t>
      </w:r>
    </w:p>
    <w:p w14:paraId="2C2746C4" w14:textId="61B3E36E" w:rsidR="00AF2B22" w:rsidRPr="0031171A" w:rsidRDefault="000D403E" w:rsidP="007C4955">
      <w:pPr>
        <w:contextualSpacing/>
        <w:rPr>
          <w:rFonts w:cs="Arial"/>
          <w:b/>
          <w:i/>
        </w:rPr>
      </w:pPr>
      <w:r w:rsidRPr="0031171A">
        <w:rPr>
          <w:rFonts w:cs="Arial"/>
          <w:b/>
          <w:i/>
        </w:rPr>
        <w:t xml:space="preserve">Lesy České republiky, s. p. – </w:t>
      </w:r>
      <w:r w:rsidR="00AF2B22" w:rsidRPr="0031171A">
        <w:rPr>
          <w:rFonts w:cs="Arial"/>
          <w:b/>
          <w:i/>
        </w:rPr>
        <w:t>Struktura financování – vodní hospodářství v roce 202</w:t>
      </w:r>
      <w:r w:rsidR="0031171A">
        <w:rPr>
          <w:rFonts w:cs="Arial"/>
          <w:b/>
          <w:i/>
        </w:rPr>
        <w:t>5</w:t>
      </w:r>
      <w:r w:rsidR="00AF2B22" w:rsidRPr="0031171A">
        <w:rPr>
          <w:rFonts w:cs="Arial"/>
          <w:b/>
          <w:i/>
        </w:rPr>
        <w:t xml:space="preserve"> (úplné náklady)</w:t>
      </w:r>
    </w:p>
    <w:tbl>
      <w:tblPr>
        <w:tblW w:w="9072"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1276"/>
        <w:gridCol w:w="1276"/>
        <w:gridCol w:w="1559"/>
        <w:gridCol w:w="1418"/>
        <w:gridCol w:w="1771"/>
        <w:gridCol w:w="1772"/>
      </w:tblGrid>
      <w:tr w:rsidR="006A32AC" w:rsidRPr="0031171A" w14:paraId="4373AA2A" w14:textId="77777777" w:rsidTr="55DFC2AA">
        <w:trPr>
          <w:cantSplit/>
        </w:trPr>
        <w:tc>
          <w:tcPr>
            <w:tcW w:w="1276" w:type="dxa"/>
            <w:vMerge w:val="restart"/>
            <w:shd w:val="clear" w:color="auto" w:fill="A6A6A6" w:themeFill="background1" w:themeFillShade="A6"/>
            <w:vAlign w:val="center"/>
          </w:tcPr>
          <w:p w14:paraId="79D2A338" w14:textId="77777777" w:rsidR="000D403E" w:rsidRPr="0031171A" w:rsidRDefault="000D403E" w:rsidP="007C4955">
            <w:pPr>
              <w:pStyle w:val="ernvtabulce"/>
              <w:spacing w:before="0" w:after="0"/>
              <w:ind w:right="0"/>
              <w:contextualSpacing/>
              <w:jc w:val="center"/>
              <w:rPr>
                <w:rFonts w:ascii="Arial" w:hAnsi="Arial" w:cs="Arial"/>
                <w:sz w:val="18"/>
                <w:szCs w:val="18"/>
              </w:rPr>
            </w:pPr>
            <w:r w:rsidRPr="0031171A">
              <w:rPr>
                <w:rFonts w:ascii="Arial" w:hAnsi="Arial" w:cs="Arial"/>
                <w:sz w:val="18"/>
                <w:szCs w:val="18"/>
              </w:rPr>
              <w:t>Akce</w:t>
            </w:r>
          </w:p>
        </w:tc>
        <w:tc>
          <w:tcPr>
            <w:tcW w:w="1276" w:type="dxa"/>
            <w:vMerge w:val="restart"/>
            <w:shd w:val="clear" w:color="auto" w:fill="A6A6A6" w:themeFill="background1" w:themeFillShade="A6"/>
            <w:vAlign w:val="center"/>
          </w:tcPr>
          <w:p w14:paraId="20CC8944" w14:textId="77777777" w:rsidR="000D403E" w:rsidRPr="0031171A" w:rsidRDefault="000D403E" w:rsidP="007C4955">
            <w:pPr>
              <w:pStyle w:val="Normlnktabhor"/>
              <w:spacing w:before="0" w:after="0"/>
              <w:ind w:left="0" w:right="0"/>
              <w:contextualSpacing/>
              <w:rPr>
                <w:rFonts w:ascii="Arial" w:hAnsi="Arial" w:cs="Arial"/>
                <w:szCs w:val="18"/>
              </w:rPr>
            </w:pPr>
            <w:r w:rsidRPr="0031171A">
              <w:rPr>
                <w:rFonts w:ascii="Arial" w:hAnsi="Arial" w:cs="Arial"/>
                <w:szCs w:val="18"/>
              </w:rPr>
              <w:t>Celkem</w:t>
            </w:r>
          </w:p>
        </w:tc>
        <w:tc>
          <w:tcPr>
            <w:tcW w:w="1559" w:type="dxa"/>
            <w:vMerge w:val="restart"/>
            <w:shd w:val="clear" w:color="auto" w:fill="A6A6A6" w:themeFill="background1" w:themeFillShade="A6"/>
            <w:vAlign w:val="center"/>
          </w:tcPr>
          <w:p w14:paraId="61BABB29" w14:textId="77777777" w:rsidR="000D403E" w:rsidRPr="0031171A" w:rsidRDefault="000D403E" w:rsidP="007C4955">
            <w:pPr>
              <w:pStyle w:val="Normlnktabhor"/>
              <w:spacing w:before="0" w:after="0"/>
              <w:ind w:left="0" w:right="0"/>
              <w:contextualSpacing/>
              <w:rPr>
                <w:rFonts w:ascii="Arial" w:hAnsi="Arial" w:cs="Arial"/>
                <w:szCs w:val="18"/>
              </w:rPr>
            </w:pPr>
            <w:r w:rsidRPr="0031171A">
              <w:rPr>
                <w:rFonts w:ascii="Arial" w:hAnsi="Arial" w:cs="Arial"/>
                <w:szCs w:val="18"/>
              </w:rPr>
              <w:t>Vlastní zdroje celkem</w:t>
            </w:r>
          </w:p>
        </w:tc>
        <w:tc>
          <w:tcPr>
            <w:tcW w:w="1418" w:type="dxa"/>
            <w:vMerge w:val="restart"/>
            <w:shd w:val="clear" w:color="auto" w:fill="A6A6A6" w:themeFill="background1" w:themeFillShade="A6"/>
            <w:vAlign w:val="center"/>
          </w:tcPr>
          <w:p w14:paraId="53AAFC58" w14:textId="77777777" w:rsidR="000D403E" w:rsidRPr="0031171A" w:rsidRDefault="000D403E" w:rsidP="007C4955">
            <w:pPr>
              <w:pStyle w:val="Normlnktabhor"/>
              <w:spacing w:before="0" w:after="0"/>
              <w:ind w:left="0" w:right="0"/>
              <w:contextualSpacing/>
              <w:rPr>
                <w:rFonts w:ascii="Arial" w:hAnsi="Arial" w:cs="Arial"/>
                <w:szCs w:val="18"/>
              </w:rPr>
            </w:pPr>
            <w:r w:rsidRPr="0031171A">
              <w:rPr>
                <w:rFonts w:ascii="Arial" w:hAnsi="Arial" w:cs="Arial"/>
                <w:szCs w:val="18"/>
              </w:rPr>
              <w:t>Dotace celkem</w:t>
            </w:r>
          </w:p>
        </w:tc>
        <w:tc>
          <w:tcPr>
            <w:tcW w:w="3543" w:type="dxa"/>
            <w:gridSpan w:val="2"/>
            <w:shd w:val="clear" w:color="auto" w:fill="A6A6A6" w:themeFill="background1" w:themeFillShade="A6"/>
            <w:vAlign w:val="center"/>
          </w:tcPr>
          <w:p w14:paraId="619F9DC0" w14:textId="77777777" w:rsidR="000D403E" w:rsidRPr="0031171A" w:rsidRDefault="000D403E" w:rsidP="007C4955">
            <w:pPr>
              <w:pStyle w:val="Normlnktabhor"/>
              <w:spacing w:before="0" w:after="0"/>
              <w:ind w:left="0" w:right="0"/>
              <w:contextualSpacing/>
              <w:rPr>
                <w:rFonts w:ascii="Arial" w:hAnsi="Arial" w:cs="Arial"/>
                <w:szCs w:val="18"/>
              </w:rPr>
            </w:pPr>
            <w:r w:rsidRPr="0031171A">
              <w:rPr>
                <w:rFonts w:ascii="Arial" w:hAnsi="Arial" w:cs="Arial"/>
                <w:szCs w:val="18"/>
              </w:rPr>
              <w:t>Z toho povodňové škody</w:t>
            </w:r>
          </w:p>
        </w:tc>
      </w:tr>
      <w:tr w:rsidR="006A32AC" w:rsidRPr="0031171A" w14:paraId="39891A62" w14:textId="77777777" w:rsidTr="55DFC2AA">
        <w:trPr>
          <w:cantSplit/>
        </w:trPr>
        <w:tc>
          <w:tcPr>
            <w:tcW w:w="1276" w:type="dxa"/>
            <w:vMerge/>
            <w:vAlign w:val="center"/>
          </w:tcPr>
          <w:p w14:paraId="4753D7D0" w14:textId="77777777" w:rsidR="000D403E" w:rsidRPr="0031171A" w:rsidRDefault="000D403E" w:rsidP="007C4955">
            <w:pPr>
              <w:contextualSpacing/>
              <w:jc w:val="center"/>
              <w:rPr>
                <w:rFonts w:cs="Arial"/>
                <w:b/>
                <w:kern w:val="28"/>
                <w:sz w:val="18"/>
                <w:szCs w:val="18"/>
              </w:rPr>
            </w:pPr>
          </w:p>
        </w:tc>
        <w:tc>
          <w:tcPr>
            <w:tcW w:w="1276" w:type="dxa"/>
            <w:vMerge/>
          </w:tcPr>
          <w:p w14:paraId="768B1622" w14:textId="77777777" w:rsidR="000D403E" w:rsidRPr="0031171A" w:rsidRDefault="000D403E" w:rsidP="007C4955">
            <w:pPr>
              <w:contextualSpacing/>
              <w:jc w:val="center"/>
              <w:rPr>
                <w:rFonts w:cs="Arial"/>
                <w:b/>
                <w:sz w:val="18"/>
                <w:szCs w:val="18"/>
              </w:rPr>
            </w:pPr>
          </w:p>
        </w:tc>
        <w:tc>
          <w:tcPr>
            <w:tcW w:w="1559" w:type="dxa"/>
            <w:vMerge/>
            <w:vAlign w:val="center"/>
          </w:tcPr>
          <w:p w14:paraId="50DD12CF" w14:textId="77777777" w:rsidR="000D403E" w:rsidRPr="0031171A" w:rsidRDefault="000D403E" w:rsidP="007C4955">
            <w:pPr>
              <w:contextualSpacing/>
              <w:jc w:val="center"/>
              <w:rPr>
                <w:rFonts w:cs="Arial"/>
                <w:b/>
                <w:sz w:val="18"/>
                <w:szCs w:val="18"/>
              </w:rPr>
            </w:pPr>
          </w:p>
        </w:tc>
        <w:tc>
          <w:tcPr>
            <w:tcW w:w="1418" w:type="dxa"/>
            <w:vMerge/>
            <w:vAlign w:val="center"/>
          </w:tcPr>
          <w:p w14:paraId="4C275DCC" w14:textId="77777777" w:rsidR="000D403E" w:rsidRPr="0031171A" w:rsidRDefault="000D403E" w:rsidP="007C4955">
            <w:pPr>
              <w:contextualSpacing/>
              <w:jc w:val="center"/>
              <w:rPr>
                <w:rFonts w:cs="Arial"/>
                <w:b/>
                <w:sz w:val="18"/>
                <w:szCs w:val="18"/>
              </w:rPr>
            </w:pPr>
          </w:p>
        </w:tc>
        <w:tc>
          <w:tcPr>
            <w:tcW w:w="1771" w:type="dxa"/>
            <w:shd w:val="clear" w:color="auto" w:fill="A6A6A6" w:themeFill="background1" w:themeFillShade="A6"/>
            <w:tcMar>
              <w:top w:w="0" w:type="dxa"/>
              <w:left w:w="70" w:type="dxa"/>
              <w:bottom w:w="0" w:type="dxa"/>
              <w:right w:w="70" w:type="dxa"/>
            </w:tcMar>
            <w:vAlign w:val="center"/>
          </w:tcPr>
          <w:p w14:paraId="1D4649B5" w14:textId="77777777" w:rsidR="000D403E" w:rsidRPr="0031171A" w:rsidRDefault="000D403E" w:rsidP="55DFC2AA">
            <w:pPr>
              <w:pStyle w:val="Normlnktabulce"/>
              <w:spacing w:before="0"/>
              <w:ind w:left="0" w:right="0"/>
              <w:contextualSpacing/>
              <w:jc w:val="center"/>
              <w:rPr>
                <w:rFonts w:ascii="Arial" w:hAnsi="Arial" w:cs="Arial"/>
                <w:b/>
                <w:bCs/>
                <w:lang w:val="en-US"/>
              </w:rPr>
            </w:pPr>
            <w:proofErr w:type="spellStart"/>
            <w:r w:rsidRPr="55DFC2AA">
              <w:rPr>
                <w:rFonts w:ascii="Arial" w:hAnsi="Arial" w:cs="Arial"/>
                <w:b/>
                <w:bCs/>
                <w:lang w:val="en-US"/>
              </w:rPr>
              <w:t>Dotace</w:t>
            </w:r>
            <w:proofErr w:type="spellEnd"/>
          </w:p>
        </w:tc>
        <w:tc>
          <w:tcPr>
            <w:tcW w:w="1772" w:type="dxa"/>
            <w:shd w:val="clear" w:color="auto" w:fill="A6A6A6" w:themeFill="background1" w:themeFillShade="A6"/>
            <w:tcMar>
              <w:top w:w="0" w:type="dxa"/>
              <w:left w:w="70" w:type="dxa"/>
              <w:bottom w:w="0" w:type="dxa"/>
              <w:right w:w="70" w:type="dxa"/>
            </w:tcMar>
            <w:vAlign w:val="center"/>
          </w:tcPr>
          <w:p w14:paraId="2C865C21" w14:textId="77777777" w:rsidR="000D403E" w:rsidRPr="0031171A" w:rsidRDefault="000D403E" w:rsidP="55DFC2AA">
            <w:pPr>
              <w:pStyle w:val="Normlnktabulce"/>
              <w:spacing w:before="0"/>
              <w:ind w:left="0" w:right="0"/>
              <w:contextualSpacing/>
              <w:jc w:val="center"/>
              <w:rPr>
                <w:rFonts w:ascii="Arial" w:hAnsi="Arial" w:cs="Arial"/>
                <w:b/>
                <w:bCs/>
                <w:lang w:val="en-US"/>
              </w:rPr>
            </w:pPr>
            <w:proofErr w:type="spellStart"/>
            <w:r w:rsidRPr="55DFC2AA">
              <w:rPr>
                <w:rFonts w:ascii="Arial" w:hAnsi="Arial" w:cs="Arial"/>
                <w:b/>
                <w:bCs/>
                <w:lang w:val="en-US"/>
              </w:rPr>
              <w:t>Vlastní</w:t>
            </w:r>
            <w:proofErr w:type="spellEnd"/>
            <w:r w:rsidRPr="55DFC2AA">
              <w:rPr>
                <w:rFonts w:ascii="Arial" w:hAnsi="Arial" w:cs="Arial"/>
                <w:b/>
                <w:bCs/>
                <w:lang w:val="en-US"/>
              </w:rPr>
              <w:t xml:space="preserve"> </w:t>
            </w:r>
            <w:proofErr w:type="spellStart"/>
            <w:r w:rsidRPr="55DFC2AA">
              <w:rPr>
                <w:rFonts w:ascii="Arial" w:hAnsi="Arial" w:cs="Arial"/>
                <w:b/>
                <w:bCs/>
                <w:lang w:val="en-US"/>
              </w:rPr>
              <w:t>zdroje</w:t>
            </w:r>
            <w:proofErr w:type="spellEnd"/>
          </w:p>
        </w:tc>
      </w:tr>
      <w:tr w:rsidR="006A32AC" w:rsidRPr="0031171A" w14:paraId="0D0DD30F" w14:textId="77777777" w:rsidTr="55DFC2AA">
        <w:trPr>
          <w:cantSplit/>
        </w:trPr>
        <w:tc>
          <w:tcPr>
            <w:tcW w:w="1276" w:type="dxa"/>
            <w:vMerge/>
            <w:vAlign w:val="center"/>
          </w:tcPr>
          <w:p w14:paraId="5BC5E483" w14:textId="77777777" w:rsidR="000D403E" w:rsidRPr="0031171A" w:rsidRDefault="000D403E" w:rsidP="007C4955">
            <w:pPr>
              <w:contextualSpacing/>
              <w:jc w:val="center"/>
              <w:rPr>
                <w:rFonts w:cs="Arial"/>
                <w:b/>
                <w:kern w:val="28"/>
                <w:sz w:val="18"/>
                <w:szCs w:val="18"/>
              </w:rPr>
            </w:pPr>
          </w:p>
        </w:tc>
        <w:tc>
          <w:tcPr>
            <w:tcW w:w="7796" w:type="dxa"/>
            <w:gridSpan w:val="5"/>
            <w:shd w:val="clear" w:color="auto" w:fill="AEAAAA" w:themeFill="background2" w:themeFillShade="BF"/>
          </w:tcPr>
          <w:p w14:paraId="51DC574C" w14:textId="77777777" w:rsidR="000D403E" w:rsidRPr="0031171A" w:rsidRDefault="000D403E" w:rsidP="007C4955">
            <w:pPr>
              <w:pStyle w:val="Normlnktabulce"/>
              <w:spacing w:before="0"/>
              <w:ind w:left="0" w:right="0"/>
              <w:contextualSpacing/>
              <w:jc w:val="center"/>
              <w:rPr>
                <w:rFonts w:ascii="Arial" w:hAnsi="Arial" w:cs="Arial"/>
                <w:b/>
                <w:szCs w:val="18"/>
                <w:lang w:val="cs-CZ"/>
              </w:rPr>
            </w:pPr>
            <w:r w:rsidRPr="0031171A">
              <w:rPr>
                <w:rFonts w:ascii="Arial" w:hAnsi="Arial" w:cs="Arial"/>
                <w:b/>
                <w:szCs w:val="18"/>
                <w:lang w:val="cs-CZ"/>
              </w:rPr>
              <w:t>mil. Kč</w:t>
            </w:r>
          </w:p>
        </w:tc>
      </w:tr>
      <w:tr w:rsidR="0031171A" w:rsidRPr="0031171A" w14:paraId="39F5C960" w14:textId="77777777" w:rsidTr="55DFC2AA">
        <w:trPr>
          <w:cantSplit/>
        </w:trPr>
        <w:tc>
          <w:tcPr>
            <w:tcW w:w="1276" w:type="dxa"/>
            <w:tcMar>
              <w:top w:w="0" w:type="dxa"/>
              <w:left w:w="70" w:type="dxa"/>
              <w:bottom w:w="0" w:type="dxa"/>
              <w:right w:w="70" w:type="dxa"/>
            </w:tcMar>
            <w:vAlign w:val="center"/>
          </w:tcPr>
          <w:p w14:paraId="66668EC2" w14:textId="77777777" w:rsidR="0031171A" w:rsidRPr="0031171A" w:rsidRDefault="0031171A" w:rsidP="0031171A">
            <w:pPr>
              <w:pStyle w:val="Normlnktabver1"/>
              <w:spacing w:before="0" w:after="0"/>
              <w:ind w:right="0"/>
              <w:contextualSpacing/>
              <w:jc w:val="left"/>
              <w:rPr>
                <w:rFonts w:ascii="Arial" w:hAnsi="Arial" w:cs="Arial"/>
                <w:b w:val="0"/>
                <w:szCs w:val="18"/>
              </w:rPr>
            </w:pPr>
            <w:r w:rsidRPr="0031171A">
              <w:rPr>
                <w:rFonts w:ascii="Arial" w:hAnsi="Arial" w:cs="Arial"/>
                <w:b w:val="0"/>
                <w:szCs w:val="18"/>
              </w:rPr>
              <w:t>Investice</w:t>
            </w:r>
          </w:p>
        </w:tc>
        <w:tc>
          <w:tcPr>
            <w:tcW w:w="1276" w:type="dxa"/>
            <w:vAlign w:val="center"/>
          </w:tcPr>
          <w:p w14:paraId="077F9E0B" w14:textId="5C5BA0EC" w:rsidR="0031171A" w:rsidRPr="0031171A" w:rsidRDefault="0031171A" w:rsidP="0031171A">
            <w:pPr>
              <w:pStyle w:val="Normlnktabulce"/>
              <w:spacing w:before="0"/>
              <w:ind w:left="0" w:right="0"/>
              <w:contextualSpacing/>
              <w:jc w:val="center"/>
              <w:rPr>
                <w:rFonts w:ascii="Arial" w:hAnsi="Arial" w:cs="Arial"/>
                <w:szCs w:val="18"/>
                <w:lang w:val="cs-CZ"/>
              </w:rPr>
            </w:pPr>
            <w:r w:rsidRPr="0031171A">
              <w:rPr>
                <w:rFonts w:ascii="Arial" w:hAnsi="Arial" w:cs="Arial"/>
                <w:color w:val="000000"/>
                <w:szCs w:val="18"/>
              </w:rPr>
              <w:t>375,3</w:t>
            </w:r>
          </w:p>
        </w:tc>
        <w:tc>
          <w:tcPr>
            <w:tcW w:w="1559" w:type="dxa"/>
            <w:tcMar>
              <w:top w:w="0" w:type="dxa"/>
              <w:left w:w="70" w:type="dxa"/>
              <w:bottom w:w="0" w:type="dxa"/>
              <w:right w:w="70" w:type="dxa"/>
            </w:tcMar>
            <w:vAlign w:val="center"/>
          </w:tcPr>
          <w:p w14:paraId="45DEBF3F" w14:textId="2CE17413" w:rsidR="0031171A" w:rsidRPr="0031171A" w:rsidRDefault="0031171A" w:rsidP="0031171A">
            <w:pPr>
              <w:pStyle w:val="Normlnktabulce"/>
              <w:spacing w:before="0"/>
              <w:ind w:left="0" w:right="0"/>
              <w:contextualSpacing/>
              <w:jc w:val="center"/>
              <w:rPr>
                <w:rFonts w:ascii="Arial" w:hAnsi="Arial" w:cs="Arial"/>
                <w:szCs w:val="18"/>
                <w:lang w:val="cs-CZ"/>
              </w:rPr>
            </w:pPr>
            <w:r w:rsidRPr="0031171A">
              <w:rPr>
                <w:rFonts w:ascii="Arial" w:hAnsi="Arial" w:cs="Arial"/>
                <w:color w:val="000000"/>
                <w:szCs w:val="18"/>
              </w:rPr>
              <w:t>191,2</w:t>
            </w:r>
          </w:p>
        </w:tc>
        <w:tc>
          <w:tcPr>
            <w:tcW w:w="1418" w:type="dxa"/>
            <w:tcMar>
              <w:top w:w="0" w:type="dxa"/>
              <w:left w:w="70" w:type="dxa"/>
              <w:bottom w:w="0" w:type="dxa"/>
              <w:right w:w="70" w:type="dxa"/>
            </w:tcMar>
            <w:vAlign w:val="center"/>
          </w:tcPr>
          <w:p w14:paraId="0D5BB705" w14:textId="7FDFC978" w:rsidR="0031171A" w:rsidRPr="0031171A" w:rsidRDefault="0031171A" w:rsidP="0031171A">
            <w:pPr>
              <w:pStyle w:val="Normlnktabulce"/>
              <w:spacing w:before="0"/>
              <w:ind w:left="0" w:right="0"/>
              <w:contextualSpacing/>
              <w:jc w:val="center"/>
              <w:rPr>
                <w:rFonts w:ascii="Arial" w:hAnsi="Arial" w:cs="Arial"/>
                <w:szCs w:val="18"/>
                <w:lang w:val="cs-CZ"/>
              </w:rPr>
            </w:pPr>
            <w:r w:rsidRPr="0031171A">
              <w:rPr>
                <w:rFonts w:ascii="Arial" w:hAnsi="Arial" w:cs="Arial"/>
                <w:color w:val="000000"/>
                <w:szCs w:val="18"/>
              </w:rPr>
              <w:t>184,1</w:t>
            </w:r>
          </w:p>
        </w:tc>
        <w:tc>
          <w:tcPr>
            <w:tcW w:w="1771" w:type="dxa"/>
            <w:tcMar>
              <w:top w:w="0" w:type="dxa"/>
              <w:left w:w="70" w:type="dxa"/>
              <w:bottom w:w="0" w:type="dxa"/>
              <w:right w:w="70" w:type="dxa"/>
            </w:tcMar>
            <w:vAlign w:val="center"/>
          </w:tcPr>
          <w:p w14:paraId="1288FA35" w14:textId="21ABFC2C" w:rsidR="0031171A" w:rsidRPr="0031171A" w:rsidRDefault="0031171A" w:rsidP="0031171A">
            <w:pPr>
              <w:pStyle w:val="Normlnktabulce"/>
              <w:spacing w:before="0"/>
              <w:ind w:left="0" w:right="0"/>
              <w:contextualSpacing/>
              <w:jc w:val="center"/>
              <w:rPr>
                <w:rFonts w:ascii="Arial" w:hAnsi="Arial" w:cs="Arial"/>
                <w:szCs w:val="18"/>
                <w:lang w:val="cs-CZ"/>
              </w:rPr>
            </w:pPr>
            <w:r w:rsidRPr="0031171A">
              <w:rPr>
                <w:rFonts w:ascii="Arial" w:hAnsi="Arial" w:cs="Arial"/>
                <w:color w:val="000000"/>
                <w:szCs w:val="18"/>
              </w:rPr>
              <w:t>12,9</w:t>
            </w:r>
          </w:p>
        </w:tc>
        <w:tc>
          <w:tcPr>
            <w:tcW w:w="1772" w:type="dxa"/>
            <w:tcMar>
              <w:top w:w="0" w:type="dxa"/>
              <w:left w:w="70" w:type="dxa"/>
              <w:bottom w:w="0" w:type="dxa"/>
              <w:right w:w="70" w:type="dxa"/>
            </w:tcMar>
            <w:vAlign w:val="center"/>
          </w:tcPr>
          <w:p w14:paraId="2BF3905B" w14:textId="3D71235B" w:rsidR="0031171A" w:rsidRPr="0031171A" w:rsidRDefault="0031171A" w:rsidP="0031171A">
            <w:pPr>
              <w:pStyle w:val="Normlnktabulce"/>
              <w:spacing w:before="0"/>
              <w:ind w:left="0" w:right="0"/>
              <w:contextualSpacing/>
              <w:jc w:val="center"/>
              <w:rPr>
                <w:rFonts w:ascii="Arial" w:hAnsi="Arial" w:cs="Arial"/>
                <w:szCs w:val="18"/>
                <w:lang w:val="cs-CZ"/>
              </w:rPr>
            </w:pPr>
            <w:r w:rsidRPr="0031171A">
              <w:rPr>
                <w:rFonts w:ascii="Arial" w:hAnsi="Arial" w:cs="Arial"/>
                <w:color w:val="000000"/>
                <w:szCs w:val="18"/>
              </w:rPr>
              <w:t>17,0</w:t>
            </w:r>
          </w:p>
        </w:tc>
      </w:tr>
      <w:tr w:rsidR="0031171A" w:rsidRPr="0031171A" w14:paraId="79C08716" w14:textId="77777777" w:rsidTr="55DFC2AA">
        <w:tc>
          <w:tcPr>
            <w:tcW w:w="1276" w:type="dxa"/>
            <w:tcMar>
              <w:top w:w="0" w:type="dxa"/>
              <w:left w:w="70" w:type="dxa"/>
              <w:bottom w:w="0" w:type="dxa"/>
              <w:right w:w="70" w:type="dxa"/>
            </w:tcMar>
            <w:vAlign w:val="center"/>
          </w:tcPr>
          <w:p w14:paraId="253B4B4F" w14:textId="77777777" w:rsidR="0031171A" w:rsidRPr="0031171A" w:rsidRDefault="0031171A" w:rsidP="0031171A">
            <w:pPr>
              <w:pStyle w:val="Normlnktabver1"/>
              <w:spacing w:before="0" w:after="0"/>
              <w:ind w:right="0"/>
              <w:contextualSpacing/>
              <w:jc w:val="left"/>
              <w:rPr>
                <w:rFonts w:ascii="Arial" w:hAnsi="Arial" w:cs="Arial"/>
                <w:b w:val="0"/>
                <w:szCs w:val="18"/>
              </w:rPr>
            </w:pPr>
            <w:proofErr w:type="spellStart"/>
            <w:r w:rsidRPr="0031171A">
              <w:rPr>
                <w:rFonts w:ascii="Arial" w:hAnsi="Arial" w:cs="Arial"/>
                <w:b w:val="0"/>
                <w:szCs w:val="18"/>
              </w:rPr>
              <w:t>Neinvestice</w:t>
            </w:r>
            <w:proofErr w:type="spellEnd"/>
          </w:p>
        </w:tc>
        <w:tc>
          <w:tcPr>
            <w:tcW w:w="1276" w:type="dxa"/>
            <w:vAlign w:val="center"/>
          </w:tcPr>
          <w:p w14:paraId="6EC4CA99" w14:textId="434F36D3" w:rsidR="0031171A" w:rsidRPr="0031171A" w:rsidRDefault="0031171A" w:rsidP="0031171A">
            <w:pPr>
              <w:pStyle w:val="Normlnktabulce"/>
              <w:spacing w:before="0"/>
              <w:ind w:left="0" w:right="0"/>
              <w:contextualSpacing/>
              <w:jc w:val="center"/>
              <w:rPr>
                <w:rFonts w:ascii="Arial" w:hAnsi="Arial" w:cs="Arial"/>
                <w:szCs w:val="18"/>
                <w:lang w:val="cs-CZ"/>
              </w:rPr>
            </w:pPr>
            <w:r w:rsidRPr="0031171A">
              <w:rPr>
                <w:rFonts w:ascii="Arial" w:hAnsi="Arial" w:cs="Arial"/>
                <w:color w:val="000000"/>
                <w:szCs w:val="18"/>
              </w:rPr>
              <w:t>513,3</w:t>
            </w:r>
          </w:p>
        </w:tc>
        <w:tc>
          <w:tcPr>
            <w:tcW w:w="1559" w:type="dxa"/>
            <w:tcMar>
              <w:top w:w="0" w:type="dxa"/>
              <w:left w:w="70" w:type="dxa"/>
              <w:bottom w:w="0" w:type="dxa"/>
              <w:right w:w="70" w:type="dxa"/>
            </w:tcMar>
            <w:vAlign w:val="center"/>
          </w:tcPr>
          <w:p w14:paraId="0E9D3291" w14:textId="2F15F4C1" w:rsidR="0031171A" w:rsidRPr="0031171A" w:rsidRDefault="0031171A" w:rsidP="0031171A">
            <w:pPr>
              <w:pStyle w:val="Normlnktabulce"/>
              <w:spacing w:before="0"/>
              <w:ind w:left="0" w:right="0"/>
              <w:contextualSpacing/>
              <w:jc w:val="center"/>
              <w:rPr>
                <w:rFonts w:ascii="Arial" w:hAnsi="Arial" w:cs="Arial"/>
                <w:szCs w:val="18"/>
                <w:lang w:val="cs-CZ"/>
              </w:rPr>
            </w:pPr>
            <w:r w:rsidRPr="0031171A">
              <w:rPr>
                <w:rFonts w:ascii="Arial" w:hAnsi="Arial" w:cs="Arial"/>
                <w:color w:val="000000"/>
                <w:szCs w:val="18"/>
              </w:rPr>
              <w:t>473,2</w:t>
            </w:r>
          </w:p>
        </w:tc>
        <w:tc>
          <w:tcPr>
            <w:tcW w:w="1418" w:type="dxa"/>
            <w:tcMar>
              <w:top w:w="0" w:type="dxa"/>
              <w:left w:w="70" w:type="dxa"/>
              <w:bottom w:w="0" w:type="dxa"/>
              <w:right w:w="70" w:type="dxa"/>
            </w:tcMar>
            <w:vAlign w:val="center"/>
          </w:tcPr>
          <w:p w14:paraId="3FA99634" w14:textId="620B94B4" w:rsidR="0031171A" w:rsidRPr="0031171A" w:rsidRDefault="0031171A" w:rsidP="0031171A">
            <w:pPr>
              <w:pStyle w:val="Normlnktabulce"/>
              <w:spacing w:before="0"/>
              <w:ind w:left="0" w:right="0"/>
              <w:contextualSpacing/>
              <w:jc w:val="center"/>
              <w:rPr>
                <w:rFonts w:ascii="Arial" w:hAnsi="Arial" w:cs="Arial"/>
                <w:szCs w:val="18"/>
                <w:lang w:val="cs-CZ"/>
              </w:rPr>
            </w:pPr>
            <w:r w:rsidRPr="0031171A">
              <w:rPr>
                <w:rFonts w:ascii="Arial" w:hAnsi="Arial" w:cs="Arial"/>
                <w:color w:val="000000"/>
                <w:szCs w:val="18"/>
              </w:rPr>
              <w:t>40,1</w:t>
            </w:r>
          </w:p>
        </w:tc>
        <w:tc>
          <w:tcPr>
            <w:tcW w:w="1771" w:type="dxa"/>
            <w:tcMar>
              <w:top w:w="0" w:type="dxa"/>
              <w:left w:w="70" w:type="dxa"/>
              <w:bottom w:w="0" w:type="dxa"/>
              <w:right w:w="70" w:type="dxa"/>
            </w:tcMar>
            <w:vAlign w:val="center"/>
          </w:tcPr>
          <w:p w14:paraId="67F42533" w14:textId="5939D610" w:rsidR="0031171A" w:rsidRPr="0031171A" w:rsidRDefault="0031171A" w:rsidP="0031171A">
            <w:pPr>
              <w:pStyle w:val="Normlnktabulce"/>
              <w:spacing w:before="0"/>
              <w:ind w:left="0" w:right="0"/>
              <w:contextualSpacing/>
              <w:jc w:val="center"/>
              <w:rPr>
                <w:rFonts w:ascii="Arial" w:hAnsi="Arial" w:cs="Arial"/>
                <w:szCs w:val="18"/>
                <w:lang w:val="cs-CZ"/>
              </w:rPr>
            </w:pPr>
            <w:r w:rsidRPr="0031171A">
              <w:rPr>
                <w:rFonts w:ascii="Arial" w:hAnsi="Arial" w:cs="Arial"/>
                <w:color w:val="000000"/>
                <w:szCs w:val="18"/>
              </w:rPr>
              <w:t>5,7</w:t>
            </w:r>
          </w:p>
        </w:tc>
        <w:tc>
          <w:tcPr>
            <w:tcW w:w="1772" w:type="dxa"/>
            <w:tcMar>
              <w:top w:w="0" w:type="dxa"/>
              <w:left w:w="70" w:type="dxa"/>
              <w:bottom w:w="0" w:type="dxa"/>
              <w:right w:w="70" w:type="dxa"/>
            </w:tcMar>
            <w:vAlign w:val="center"/>
          </w:tcPr>
          <w:p w14:paraId="1C440D57" w14:textId="22C08FAE" w:rsidR="0031171A" w:rsidRPr="0031171A" w:rsidRDefault="0031171A" w:rsidP="0031171A">
            <w:pPr>
              <w:pStyle w:val="Normlnktabulce"/>
              <w:spacing w:before="0"/>
              <w:ind w:left="0" w:right="0"/>
              <w:contextualSpacing/>
              <w:jc w:val="center"/>
              <w:rPr>
                <w:rFonts w:ascii="Arial" w:hAnsi="Arial" w:cs="Arial"/>
                <w:szCs w:val="18"/>
                <w:lang w:val="cs-CZ"/>
              </w:rPr>
            </w:pPr>
            <w:r w:rsidRPr="0031171A">
              <w:rPr>
                <w:rFonts w:ascii="Arial" w:hAnsi="Arial" w:cs="Arial"/>
                <w:color w:val="000000"/>
                <w:szCs w:val="18"/>
              </w:rPr>
              <w:t>65,2</w:t>
            </w:r>
          </w:p>
        </w:tc>
      </w:tr>
      <w:tr w:rsidR="0031171A" w:rsidRPr="0031171A" w14:paraId="79F6F094" w14:textId="77777777" w:rsidTr="55DFC2AA">
        <w:tc>
          <w:tcPr>
            <w:tcW w:w="1276" w:type="dxa"/>
            <w:shd w:val="clear" w:color="auto" w:fill="AEAAAA" w:themeFill="background2" w:themeFillShade="BF"/>
            <w:tcMar>
              <w:top w:w="0" w:type="dxa"/>
              <w:left w:w="70" w:type="dxa"/>
              <w:bottom w:w="0" w:type="dxa"/>
              <w:right w:w="70" w:type="dxa"/>
            </w:tcMar>
            <w:vAlign w:val="center"/>
          </w:tcPr>
          <w:p w14:paraId="6A0B57F1" w14:textId="77777777" w:rsidR="0031171A" w:rsidRPr="0031171A" w:rsidRDefault="0031171A" w:rsidP="0031171A">
            <w:pPr>
              <w:pStyle w:val="Normlnktabver1"/>
              <w:spacing w:before="0" w:after="0"/>
              <w:ind w:right="0"/>
              <w:contextualSpacing/>
              <w:jc w:val="left"/>
              <w:rPr>
                <w:rFonts w:ascii="Arial" w:hAnsi="Arial" w:cs="Arial"/>
                <w:szCs w:val="18"/>
              </w:rPr>
            </w:pPr>
            <w:r w:rsidRPr="0031171A">
              <w:rPr>
                <w:rFonts w:ascii="Arial" w:hAnsi="Arial" w:cs="Arial"/>
                <w:szCs w:val="18"/>
              </w:rPr>
              <w:t>Celkem</w:t>
            </w:r>
          </w:p>
        </w:tc>
        <w:tc>
          <w:tcPr>
            <w:tcW w:w="1276" w:type="dxa"/>
            <w:shd w:val="clear" w:color="auto" w:fill="AEAAAA" w:themeFill="background2" w:themeFillShade="BF"/>
            <w:vAlign w:val="center"/>
          </w:tcPr>
          <w:p w14:paraId="5039A99E" w14:textId="61A2F5B9" w:rsidR="0031171A" w:rsidRPr="0031171A" w:rsidRDefault="0031171A" w:rsidP="0031171A">
            <w:pPr>
              <w:pStyle w:val="Normlnktabulce"/>
              <w:spacing w:before="0"/>
              <w:ind w:left="0" w:right="0"/>
              <w:contextualSpacing/>
              <w:jc w:val="center"/>
              <w:rPr>
                <w:rFonts w:ascii="Arial" w:hAnsi="Arial" w:cs="Arial"/>
                <w:b/>
                <w:szCs w:val="18"/>
                <w:lang w:val="cs-CZ"/>
              </w:rPr>
            </w:pPr>
            <w:r w:rsidRPr="0031171A">
              <w:rPr>
                <w:rFonts w:ascii="Arial" w:hAnsi="Arial" w:cs="Arial"/>
                <w:b/>
                <w:bCs/>
                <w:color w:val="000000"/>
                <w:szCs w:val="18"/>
              </w:rPr>
              <w:t>888,6</w:t>
            </w:r>
          </w:p>
        </w:tc>
        <w:tc>
          <w:tcPr>
            <w:tcW w:w="1559" w:type="dxa"/>
            <w:shd w:val="clear" w:color="auto" w:fill="AEAAAA" w:themeFill="background2" w:themeFillShade="BF"/>
            <w:tcMar>
              <w:top w:w="0" w:type="dxa"/>
              <w:left w:w="70" w:type="dxa"/>
              <w:bottom w:w="0" w:type="dxa"/>
              <w:right w:w="70" w:type="dxa"/>
            </w:tcMar>
            <w:vAlign w:val="center"/>
          </w:tcPr>
          <w:p w14:paraId="4F2CEFE9" w14:textId="43A4C8AF" w:rsidR="0031171A" w:rsidRPr="0031171A" w:rsidRDefault="0031171A" w:rsidP="0031171A">
            <w:pPr>
              <w:pStyle w:val="Normlnktabulce"/>
              <w:spacing w:before="0"/>
              <w:ind w:left="0" w:right="0"/>
              <w:contextualSpacing/>
              <w:jc w:val="center"/>
              <w:rPr>
                <w:rFonts w:ascii="Arial" w:hAnsi="Arial" w:cs="Arial"/>
                <w:b/>
                <w:szCs w:val="18"/>
                <w:lang w:val="cs-CZ"/>
              </w:rPr>
            </w:pPr>
            <w:r w:rsidRPr="0031171A">
              <w:rPr>
                <w:rFonts w:ascii="Arial" w:hAnsi="Arial" w:cs="Arial"/>
                <w:b/>
                <w:bCs/>
                <w:color w:val="000000"/>
                <w:szCs w:val="18"/>
              </w:rPr>
              <w:t>664,4</w:t>
            </w:r>
          </w:p>
        </w:tc>
        <w:tc>
          <w:tcPr>
            <w:tcW w:w="1418" w:type="dxa"/>
            <w:shd w:val="clear" w:color="auto" w:fill="AEAAAA" w:themeFill="background2" w:themeFillShade="BF"/>
            <w:tcMar>
              <w:top w:w="0" w:type="dxa"/>
              <w:left w:w="70" w:type="dxa"/>
              <w:bottom w:w="0" w:type="dxa"/>
              <w:right w:w="70" w:type="dxa"/>
            </w:tcMar>
            <w:vAlign w:val="center"/>
          </w:tcPr>
          <w:p w14:paraId="09FC8B80" w14:textId="40C7E794" w:rsidR="0031171A" w:rsidRPr="0031171A" w:rsidRDefault="0031171A" w:rsidP="0031171A">
            <w:pPr>
              <w:pStyle w:val="Normlnktabulce"/>
              <w:spacing w:before="0"/>
              <w:ind w:left="0" w:right="0"/>
              <w:contextualSpacing/>
              <w:jc w:val="center"/>
              <w:rPr>
                <w:rFonts w:ascii="Arial" w:hAnsi="Arial" w:cs="Arial"/>
                <w:b/>
                <w:szCs w:val="18"/>
                <w:lang w:val="cs-CZ"/>
              </w:rPr>
            </w:pPr>
            <w:r w:rsidRPr="0031171A">
              <w:rPr>
                <w:rFonts w:ascii="Arial" w:hAnsi="Arial" w:cs="Arial"/>
                <w:b/>
                <w:bCs/>
                <w:color w:val="000000"/>
                <w:szCs w:val="18"/>
              </w:rPr>
              <w:t>224,2</w:t>
            </w:r>
          </w:p>
        </w:tc>
        <w:tc>
          <w:tcPr>
            <w:tcW w:w="1771" w:type="dxa"/>
            <w:shd w:val="clear" w:color="auto" w:fill="AEAAAA" w:themeFill="background2" w:themeFillShade="BF"/>
            <w:tcMar>
              <w:top w:w="0" w:type="dxa"/>
              <w:left w:w="70" w:type="dxa"/>
              <w:bottom w:w="0" w:type="dxa"/>
              <w:right w:w="70" w:type="dxa"/>
            </w:tcMar>
            <w:vAlign w:val="center"/>
          </w:tcPr>
          <w:p w14:paraId="38805669" w14:textId="73560DC6" w:rsidR="0031171A" w:rsidRPr="0031171A" w:rsidRDefault="0031171A" w:rsidP="0031171A">
            <w:pPr>
              <w:pStyle w:val="Normlnktabulce"/>
              <w:spacing w:before="0"/>
              <w:ind w:left="0" w:right="0"/>
              <w:contextualSpacing/>
              <w:jc w:val="center"/>
              <w:rPr>
                <w:rFonts w:ascii="Arial" w:hAnsi="Arial" w:cs="Arial"/>
                <w:b/>
                <w:szCs w:val="18"/>
                <w:lang w:val="cs-CZ"/>
              </w:rPr>
            </w:pPr>
            <w:r w:rsidRPr="0031171A">
              <w:rPr>
                <w:rFonts w:ascii="Arial" w:hAnsi="Arial" w:cs="Arial"/>
                <w:b/>
                <w:bCs/>
                <w:color w:val="000000"/>
                <w:szCs w:val="18"/>
              </w:rPr>
              <w:t>18,6</w:t>
            </w:r>
          </w:p>
        </w:tc>
        <w:tc>
          <w:tcPr>
            <w:tcW w:w="1772" w:type="dxa"/>
            <w:shd w:val="clear" w:color="auto" w:fill="AEAAAA" w:themeFill="background2" w:themeFillShade="BF"/>
            <w:tcMar>
              <w:top w:w="0" w:type="dxa"/>
              <w:left w:w="70" w:type="dxa"/>
              <w:bottom w:w="0" w:type="dxa"/>
              <w:right w:w="70" w:type="dxa"/>
            </w:tcMar>
            <w:vAlign w:val="center"/>
          </w:tcPr>
          <w:p w14:paraId="2E7FDABA" w14:textId="16D96B65" w:rsidR="0031171A" w:rsidRPr="0031171A" w:rsidRDefault="0031171A" w:rsidP="0031171A">
            <w:pPr>
              <w:pStyle w:val="Normlnktabulce"/>
              <w:spacing w:before="0"/>
              <w:ind w:left="0" w:right="0"/>
              <w:contextualSpacing/>
              <w:jc w:val="center"/>
              <w:rPr>
                <w:rFonts w:ascii="Arial" w:hAnsi="Arial" w:cs="Arial"/>
                <w:b/>
                <w:szCs w:val="18"/>
                <w:lang w:val="cs-CZ"/>
              </w:rPr>
            </w:pPr>
            <w:r w:rsidRPr="0031171A">
              <w:rPr>
                <w:rFonts w:ascii="Arial" w:hAnsi="Arial" w:cs="Arial"/>
                <w:b/>
                <w:bCs/>
                <w:color w:val="000000"/>
                <w:szCs w:val="18"/>
              </w:rPr>
              <w:t>82,2</w:t>
            </w:r>
          </w:p>
        </w:tc>
      </w:tr>
    </w:tbl>
    <w:p w14:paraId="117843E5" w14:textId="77777777" w:rsidR="00AF2B22" w:rsidRPr="0031171A" w:rsidRDefault="00AF2B22" w:rsidP="007C4955">
      <w:pPr>
        <w:contextualSpacing/>
        <w:rPr>
          <w:rFonts w:cs="Arial"/>
          <w:i/>
          <w:sz w:val="20"/>
          <w:szCs w:val="20"/>
        </w:rPr>
      </w:pPr>
      <w:r w:rsidRPr="0031171A">
        <w:rPr>
          <w:rFonts w:cs="Arial"/>
          <w:i/>
          <w:sz w:val="20"/>
          <w:szCs w:val="20"/>
        </w:rPr>
        <w:t xml:space="preserve">Pramen: </w:t>
      </w:r>
      <w:r w:rsidR="00E84D3C" w:rsidRPr="0031171A">
        <w:rPr>
          <w:rFonts w:cs="Arial"/>
          <w:i/>
          <w:sz w:val="20"/>
          <w:szCs w:val="20"/>
        </w:rPr>
        <w:t>LČR</w:t>
      </w:r>
    </w:p>
    <w:p w14:paraId="0665132B" w14:textId="77777777" w:rsidR="00D879B6" w:rsidRDefault="00D879B6" w:rsidP="00D879B6">
      <w:pPr>
        <w:contextualSpacing/>
        <w:rPr>
          <w:rFonts w:cs="Arial"/>
          <w:sz w:val="21"/>
          <w:szCs w:val="21"/>
          <w:highlight w:val="yellow"/>
        </w:rPr>
      </w:pPr>
    </w:p>
    <w:p w14:paraId="3E615F9D" w14:textId="5CE2DDD5" w:rsidR="00D879B6" w:rsidRPr="00D879B6" w:rsidRDefault="00D879B6" w:rsidP="00D879B6">
      <w:pPr>
        <w:contextualSpacing/>
        <w:rPr>
          <w:rFonts w:cs="Arial"/>
          <w:sz w:val="21"/>
          <w:szCs w:val="21"/>
        </w:rPr>
      </w:pPr>
      <w:r w:rsidRPr="00D879B6">
        <w:rPr>
          <w:rFonts w:cs="Arial"/>
          <w:sz w:val="21"/>
          <w:szCs w:val="21"/>
        </w:rPr>
        <w:t xml:space="preserve">Tržby získané za odběry povrchové vody k úhradě správy vodních toků v roce 2025 činily 35,8 mil. Kč. Vývoj tržeb za odběry povrchové vody a jednotkových cen zobrazuje tabulka 6.3.2. </w:t>
      </w:r>
    </w:p>
    <w:p w14:paraId="292DCB74" w14:textId="77777777" w:rsidR="00D879B6" w:rsidRPr="00D879B6" w:rsidRDefault="00D879B6" w:rsidP="007C4955">
      <w:pPr>
        <w:contextualSpacing/>
        <w:rPr>
          <w:rFonts w:cs="Arial"/>
          <w:b/>
          <w:i/>
        </w:rPr>
      </w:pPr>
    </w:p>
    <w:p w14:paraId="1497BBDC" w14:textId="77777777" w:rsidR="00BF7598" w:rsidRDefault="00BF7598" w:rsidP="007C4955">
      <w:pPr>
        <w:contextualSpacing/>
        <w:rPr>
          <w:rFonts w:cs="Arial"/>
          <w:b/>
          <w:i/>
        </w:rPr>
      </w:pPr>
    </w:p>
    <w:p w14:paraId="053D2C84" w14:textId="3AB6DF0D" w:rsidR="00AF2B22" w:rsidRPr="007E6900" w:rsidRDefault="00AF2B22" w:rsidP="007C4955">
      <w:pPr>
        <w:contextualSpacing/>
        <w:rPr>
          <w:rFonts w:cs="Arial"/>
          <w:b/>
          <w:i/>
          <w:snapToGrid w:val="0"/>
        </w:rPr>
      </w:pPr>
      <w:r w:rsidRPr="00D879B6">
        <w:rPr>
          <w:rFonts w:cs="Arial"/>
          <w:b/>
          <w:i/>
        </w:rPr>
        <w:t xml:space="preserve">Tabulka 6.3.2 </w:t>
      </w:r>
      <w:r w:rsidR="007E6900" w:rsidRPr="00D879B6">
        <w:rPr>
          <w:rFonts w:cs="Arial"/>
          <w:b/>
          <w:i/>
          <w:snapToGrid w:val="0"/>
        </w:rPr>
        <w:t xml:space="preserve">Lesy České republiky, s. p. </w:t>
      </w:r>
      <w:r w:rsidR="007E6900" w:rsidRPr="00D879B6">
        <w:rPr>
          <w:rFonts w:cs="Arial"/>
          <w:b/>
          <w:i/>
        </w:rPr>
        <w:t>–</w:t>
      </w:r>
      <w:r w:rsidR="007E6900" w:rsidRPr="00D879B6">
        <w:rPr>
          <w:rFonts w:cs="Arial"/>
          <w:b/>
          <w:i/>
          <w:snapToGrid w:val="0"/>
        </w:rPr>
        <w:t xml:space="preserve"> Tržby za povrchovou vodu v letech 2012</w:t>
      </w:r>
      <w:r w:rsidR="007E6900" w:rsidRPr="00D879B6">
        <w:rPr>
          <w:rFonts w:cs="Arial"/>
          <w:i/>
        </w:rPr>
        <w:t>–</w:t>
      </w:r>
      <w:r w:rsidR="007E6900" w:rsidRPr="00D879B6">
        <w:rPr>
          <w:rFonts w:cs="Arial"/>
          <w:b/>
          <w:i/>
          <w:snapToGrid w:val="0"/>
        </w:rPr>
        <w:t>202</w:t>
      </w:r>
      <w:r w:rsidR="007E6900">
        <w:rPr>
          <w:rFonts w:cs="Arial"/>
          <w:b/>
          <w:i/>
          <w:snapToGrid w:val="0"/>
        </w:rPr>
        <w:t>5</w:t>
      </w:r>
    </w:p>
    <w:tbl>
      <w:tblPr>
        <w:tblpPr w:leftFromText="141" w:rightFromText="141" w:vertAnchor="text" w:horzAnchor="margin" w:tblpXSpec="center" w:tblpY="194"/>
        <w:tblW w:w="1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ayout w:type="fixed"/>
        <w:tblCellMar>
          <w:left w:w="30" w:type="dxa"/>
          <w:right w:w="30" w:type="dxa"/>
        </w:tblCellMar>
        <w:tblLook w:val="0000" w:firstRow="0" w:lastRow="0" w:firstColumn="0" w:lastColumn="0" w:noHBand="0" w:noVBand="0"/>
      </w:tblPr>
      <w:tblGrid>
        <w:gridCol w:w="1134"/>
        <w:gridCol w:w="851"/>
        <w:gridCol w:w="709"/>
        <w:gridCol w:w="708"/>
        <w:gridCol w:w="709"/>
        <w:gridCol w:w="709"/>
        <w:gridCol w:w="709"/>
        <w:gridCol w:w="708"/>
        <w:gridCol w:w="709"/>
        <w:gridCol w:w="709"/>
        <w:gridCol w:w="709"/>
        <w:gridCol w:w="708"/>
        <w:gridCol w:w="708"/>
        <w:gridCol w:w="708"/>
        <w:gridCol w:w="708"/>
      </w:tblGrid>
      <w:tr w:rsidR="00D879B6" w:rsidRPr="00D879B6" w14:paraId="11E1AE21" w14:textId="77777777" w:rsidTr="00D879B6">
        <w:trPr>
          <w:trHeight w:val="346"/>
        </w:trPr>
        <w:tc>
          <w:tcPr>
            <w:tcW w:w="1134" w:type="dxa"/>
            <w:vMerge w:val="restart"/>
            <w:shd w:val="clear" w:color="auto" w:fill="A6A6A6"/>
            <w:vAlign w:val="center"/>
          </w:tcPr>
          <w:p w14:paraId="32C45FEC" w14:textId="77777777" w:rsidR="00D879B6" w:rsidRPr="00D879B6" w:rsidRDefault="00D879B6" w:rsidP="00D879B6">
            <w:pPr>
              <w:contextualSpacing/>
              <w:jc w:val="center"/>
              <w:rPr>
                <w:rFonts w:cs="Arial"/>
                <w:b/>
                <w:snapToGrid w:val="0"/>
                <w:sz w:val="18"/>
                <w:szCs w:val="18"/>
              </w:rPr>
            </w:pPr>
            <w:r w:rsidRPr="00D879B6">
              <w:rPr>
                <w:rFonts w:cs="Arial"/>
                <w:b/>
                <w:snapToGrid w:val="0"/>
                <w:sz w:val="18"/>
                <w:szCs w:val="18"/>
              </w:rPr>
              <w:t>Rok</w:t>
            </w:r>
          </w:p>
        </w:tc>
        <w:tc>
          <w:tcPr>
            <w:tcW w:w="851" w:type="dxa"/>
            <w:shd w:val="clear" w:color="auto" w:fill="A6A6A6"/>
          </w:tcPr>
          <w:p w14:paraId="32A0BC86" w14:textId="77777777" w:rsidR="00D879B6" w:rsidRPr="00D879B6" w:rsidRDefault="00D879B6" w:rsidP="00D879B6">
            <w:pPr>
              <w:contextualSpacing/>
              <w:jc w:val="center"/>
              <w:rPr>
                <w:rFonts w:cs="Arial"/>
                <w:b/>
                <w:snapToGrid w:val="0"/>
                <w:sz w:val="18"/>
                <w:szCs w:val="18"/>
              </w:rPr>
            </w:pPr>
            <w:r w:rsidRPr="00D879B6">
              <w:rPr>
                <w:rFonts w:cs="Arial"/>
                <w:b/>
                <w:snapToGrid w:val="0"/>
                <w:sz w:val="18"/>
                <w:szCs w:val="18"/>
              </w:rPr>
              <w:t>2012</w:t>
            </w:r>
          </w:p>
        </w:tc>
        <w:tc>
          <w:tcPr>
            <w:tcW w:w="709" w:type="dxa"/>
            <w:shd w:val="clear" w:color="auto" w:fill="A6A6A6"/>
          </w:tcPr>
          <w:p w14:paraId="5B6D27B6" w14:textId="77777777" w:rsidR="00D879B6" w:rsidRPr="00D879B6" w:rsidRDefault="00D879B6" w:rsidP="00D879B6">
            <w:pPr>
              <w:contextualSpacing/>
              <w:jc w:val="center"/>
              <w:rPr>
                <w:rFonts w:cs="Arial"/>
                <w:b/>
                <w:snapToGrid w:val="0"/>
                <w:sz w:val="18"/>
                <w:szCs w:val="18"/>
              </w:rPr>
            </w:pPr>
            <w:r w:rsidRPr="00D879B6">
              <w:rPr>
                <w:rFonts w:cs="Arial"/>
                <w:b/>
                <w:snapToGrid w:val="0"/>
                <w:sz w:val="18"/>
                <w:szCs w:val="18"/>
              </w:rPr>
              <w:t>2013</w:t>
            </w:r>
          </w:p>
        </w:tc>
        <w:tc>
          <w:tcPr>
            <w:tcW w:w="708" w:type="dxa"/>
            <w:shd w:val="clear" w:color="auto" w:fill="A6A6A6"/>
          </w:tcPr>
          <w:p w14:paraId="05995274" w14:textId="77777777" w:rsidR="00D879B6" w:rsidRPr="00D879B6" w:rsidRDefault="00D879B6" w:rsidP="00D879B6">
            <w:pPr>
              <w:contextualSpacing/>
              <w:jc w:val="center"/>
              <w:rPr>
                <w:rFonts w:cs="Arial"/>
                <w:b/>
                <w:snapToGrid w:val="0"/>
                <w:sz w:val="18"/>
                <w:szCs w:val="18"/>
              </w:rPr>
            </w:pPr>
            <w:r w:rsidRPr="00D879B6">
              <w:rPr>
                <w:rFonts w:cs="Arial"/>
                <w:b/>
                <w:snapToGrid w:val="0"/>
                <w:sz w:val="18"/>
                <w:szCs w:val="18"/>
              </w:rPr>
              <w:t>2014</w:t>
            </w:r>
          </w:p>
        </w:tc>
        <w:tc>
          <w:tcPr>
            <w:tcW w:w="709" w:type="dxa"/>
            <w:shd w:val="clear" w:color="auto" w:fill="A6A6A6"/>
          </w:tcPr>
          <w:p w14:paraId="65FCDDBE" w14:textId="77777777" w:rsidR="00D879B6" w:rsidRPr="00D879B6" w:rsidRDefault="00D879B6" w:rsidP="00D879B6">
            <w:pPr>
              <w:contextualSpacing/>
              <w:jc w:val="center"/>
              <w:rPr>
                <w:rFonts w:cs="Arial"/>
                <w:b/>
                <w:snapToGrid w:val="0"/>
                <w:sz w:val="18"/>
                <w:szCs w:val="18"/>
              </w:rPr>
            </w:pPr>
            <w:r w:rsidRPr="00D879B6">
              <w:rPr>
                <w:rFonts w:cs="Arial"/>
                <w:b/>
                <w:snapToGrid w:val="0"/>
                <w:sz w:val="18"/>
                <w:szCs w:val="18"/>
              </w:rPr>
              <w:t>2015</w:t>
            </w:r>
          </w:p>
        </w:tc>
        <w:tc>
          <w:tcPr>
            <w:tcW w:w="709" w:type="dxa"/>
            <w:shd w:val="clear" w:color="auto" w:fill="A6A6A6"/>
          </w:tcPr>
          <w:p w14:paraId="30D3A54E" w14:textId="77777777" w:rsidR="00D879B6" w:rsidRPr="00D879B6" w:rsidRDefault="00D879B6" w:rsidP="00D879B6">
            <w:pPr>
              <w:contextualSpacing/>
              <w:jc w:val="center"/>
              <w:rPr>
                <w:rFonts w:cs="Arial"/>
                <w:b/>
                <w:snapToGrid w:val="0"/>
                <w:sz w:val="18"/>
                <w:szCs w:val="18"/>
              </w:rPr>
            </w:pPr>
            <w:r w:rsidRPr="00D879B6">
              <w:rPr>
                <w:rFonts w:cs="Arial"/>
                <w:b/>
                <w:snapToGrid w:val="0"/>
                <w:sz w:val="18"/>
                <w:szCs w:val="18"/>
              </w:rPr>
              <w:t>2016</w:t>
            </w:r>
          </w:p>
        </w:tc>
        <w:tc>
          <w:tcPr>
            <w:tcW w:w="709" w:type="dxa"/>
            <w:shd w:val="clear" w:color="auto" w:fill="A6A6A6"/>
          </w:tcPr>
          <w:p w14:paraId="42796EAA" w14:textId="77777777" w:rsidR="00D879B6" w:rsidRPr="00D879B6" w:rsidRDefault="00D879B6" w:rsidP="00D879B6">
            <w:pPr>
              <w:contextualSpacing/>
              <w:jc w:val="center"/>
              <w:rPr>
                <w:rFonts w:cs="Arial"/>
                <w:b/>
                <w:snapToGrid w:val="0"/>
                <w:sz w:val="18"/>
                <w:szCs w:val="18"/>
              </w:rPr>
            </w:pPr>
            <w:r w:rsidRPr="00D879B6">
              <w:rPr>
                <w:rFonts w:cs="Arial"/>
                <w:b/>
                <w:snapToGrid w:val="0"/>
                <w:sz w:val="18"/>
                <w:szCs w:val="18"/>
              </w:rPr>
              <w:t>2017</w:t>
            </w:r>
          </w:p>
        </w:tc>
        <w:tc>
          <w:tcPr>
            <w:tcW w:w="708" w:type="dxa"/>
            <w:shd w:val="clear" w:color="auto" w:fill="A6A6A6"/>
          </w:tcPr>
          <w:p w14:paraId="4797349E" w14:textId="77777777" w:rsidR="00D879B6" w:rsidRPr="00D879B6" w:rsidRDefault="00D879B6" w:rsidP="00D879B6">
            <w:pPr>
              <w:contextualSpacing/>
              <w:jc w:val="center"/>
              <w:rPr>
                <w:rFonts w:cs="Arial"/>
                <w:b/>
                <w:snapToGrid w:val="0"/>
                <w:sz w:val="18"/>
                <w:szCs w:val="18"/>
              </w:rPr>
            </w:pPr>
            <w:r w:rsidRPr="00D879B6">
              <w:rPr>
                <w:rFonts w:cs="Arial"/>
                <w:b/>
                <w:snapToGrid w:val="0"/>
                <w:sz w:val="18"/>
                <w:szCs w:val="18"/>
              </w:rPr>
              <w:t>2018</w:t>
            </w:r>
          </w:p>
        </w:tc>
        <w:tc>
          <w:tcPr>
            <w:tcW w:w="709" w:type="dxa"/>
            <w:shd w:val="clear" w:color="auto" w:fill="A6A6A6"/>
          </w:tcPr>
          <w:p w14:paraId="0ECA6878" w14:textId="77777777" w:rsidR="00D879B6" w:rsidRPr="00D879B6" w:rsidRDefault="00D879B6" w:rsidP="00D879B6">
            <w:pPr>
              <w:contextualSpacing/>
              <w:jc w:val="center"/>
              <w:rPr>
                <w:rFonts w:cs="Arial"/>
                <w:b/>
                <w:snapToGrid w:val="0"/>
                <w:sz w:val="18"/>
                <w:szCs w:val="18"/>
              </w:rPr>
            </w:pPr>
            <w:r w:rsidRPr="00D879B6">
              <w:rPr>
                <w:rFonts w:cs="Arial"/>
                <w:b/>
                <w:snapToGrid w:val="0"/>
                <w:sz w:val="18"/>
                <w:szCs w:val="18"/>
              </w:rPr>
              <w:t>2019</w:t>
            </w:r>
          </w:p>
        </w:tc>
        <w:tc>
          <w:tcPr>
            <w:tcW w:w="709" w:type="dxa"/>
            <w:shd w:val="clear" w:color="auto" w:fill="A6A6A6"/>
          </w:tcPr>
          <w:p w14:paraId="0616799F" w14:textId="77777777" w:rsidR="00D879B6" w:rsidRPr="00D879B6" w:rsidRDefault="00D879B6" w:rsidP="00D879B6">
            <w:pPr>
              <w:contextualSpacing/>
              <w:jc w:val="center"/>
              <w:rPr>
                <w:rFonts w:cs="Arial"/>
                <w:b/>
                <w:snapToGrid w:val="0"/>
                <w:sz w:val="18"/>
                <w:szCs w:val="18"/>
              </w:rPr>
            </w:pPr>
            <w:r w:rsidRPr="00D879B6">
              <w:rPr>
                <w:rFonts w:cs="Arial"/>
                <w:b/>
                <w:snapToGrid w:val="0"/>
                <w:sz w:val="18"/>
                <w:szCs w:val="18"/>
              </w:rPr>
              <w:t>2020</w:t>
            </w:r>
          </w:p>
        </w:tc>
        <w:tc>
          <w:tcPr>
            <w:tcW w:w="709" w:type="dxa"/>
            <w:shd w:val="clear" w:color="auto" w:fill="A6A6A6"/>
          </w:tcPr>
          <w:p w14:paraId="27447AD1" w14:textId="77777777" w:rsidR="00D879B6" w:rsidRPr="00D879B6" w:rsidRDefault="00D879B6" w:rsidP="00D879B6">
            <w:pPr>
              <w:contextualSpacing/>
              <w:jc w:val="center"/>
              <w:rPr>
                <w:rFonts w:cs="Arial"/>
                <w:b/>
                <w:snapToGrid w:val="0"/>
                <w:sz w:val="18"/>
                <w:szCs w:val="18"/>
              </w:rPr>
            </w:pPr>
            <w:r w:rsidRPr="00D879B6">
              <w:rPr>
                <w:rFonts w:cs="Arial"/>
                <w:b/>
                <w:snapToGrid w:val="0"/>
                <w:sz w:val="18"/>
                <w:szCs w:val="18"/>
              </w:rPr>
              <w:t>2021</w:t>
            </w:r>
          </w:p>
        </w:tc>
        <w:tc>
          <w:tcPr>
            <w:tcW w:w="708" w:type="dxa"/>
            <w:shd w:val="clear" w:color="auto" w:fill="A6A6A6"/>
          </w:tcPr>
          <w:p w14:paraId="0928644B" w14:textId="77777777" w:rsidR="00D879B6" w:rsidRPr="00D879B6" w:rsidRDefault="00D879B6" w:rsidP="00D879B6">
            <w:pPr>
              <w:contextualSpacing/>
              <w:jc w:val="center"/>
              <w:rPr>
                <w:rFonts w:cs="Arial"/>
                <w:b/>
                <w:snapToGrid w:val="0"/>
                <w:sz w:val="18"/>
                <w:szCs w:val="18"/>
              </w:rPr>
            </w:pPr>
            <w:r w:rsidRPr="00D879B6">
              <w:rPr>
                <w:rFonts w:cs="Arial"/>
                <w:b/>
                <w:snapToGrid w:val="0"/>
                <w:sz w:val="18"/>
                <w:szCs w:val="18"/>
              </w:rPr>
              <w:t>2022</w:t>
            </w:r>
          </w:p>
        </w:tc>
        <w:tc>
          <w:tcPr>
            <w:tcW w:w="708" w:type="dxa"/>
            <w:shd w:val="clear" w:color="auto" w:fill="A6A6A6"/>
          </w:tcPr>
          <w:p w14:paraId="6D9C45D8" w14:textId="77777777" w:rsidR="00D879B6" w:rsidRPr="00D879B6" w:rsidRDefault="00D879B6" w:rsidP="00D879B6">
            <w:pPr>
              <w:contextualSpacing/>
              <w:jc w:val="center"/>
              <w:rPr>
                <w:rFonts w:cs="Arial"/>
                <w:b/>
                <w:snapToGrid w:val="0"/>
                <w:sz w:val="18"/>
                <w:szCs w:val="18"/>
              </w:rPr>
            </w:pPr>
            <w:r w:rsidRPr="00D879B6">
              <w:rPr>
                <w:rFonts w:cs="Arial"/>
                <w:b/>
                <w:snapToGrid w:val="0"/>
                <w:sz w:val="18"/>
                <w:szCs w:val="18"/>
              </w:rPr>
              <w:t>2023</w:t>
            </w:r>
          </w:p>
        </w:tc>
        <w:tc>
          <w:tcPr>
            <w:tcW w:w="708" w:type="dxa"/>
            <w:shd w:val="clear" w:color="auto" w:fill="A6A6A6"/>
          </w:tcPr>
          <w:p w14:paraId="1F305CF1" w14:textId="77777777" w:rsidR="00D879B6" w:rsidRPr="00D879B6" w:rsidRDefault="00D879B6" w:rsidP="00D879B6">
            <w:pPr>
              <w:contextualSpacing/>
              <w:jc w:val="center"/>
              <w:rPr>
                <w:rFonts w:cs="Arial"/>
                <w:b/>
                <w:snapToGrid w:val="0"/>
                <w:sz w:val="18"/>
                <w:szCs w:val="18"/>
              </w:rPr>
            </w:pPr>
            <w:r w:rsidRPr="00D879B6">
              <w:rPr>
                <w:rFonts w:cs="Arial"/>
                <w:b/>
                <w:snapToGrid w:val="0"/>
                <w:sz w:val="18"/>
                <w:szCs w:val="18"/>
              </w:rPr>
              <w:t>2024</w:t>
            </w:r>
          </w:p>
        </w:tc>
        <w:tc>
          <w:tcPr>
            <w:tcW w:w="708" w:type="dxa"/>
            <w:shd w:val="clear" w:color="auto" w:fill="A6A6A6"/>
          </w:tcPr>
          <w:p w14:paraId="1D6A4B91" w14:textId="7F2F27D6" w:rsidR="00D879B6" w:rsidRPr="00D879B6" w:rsidRDefault="00D879B6" w:rsidP="00D879B6">
            <w:pPr>
              <w:contextualSpacing/>
              <w:jc w:val="center"/>
              <w:rPr>
                <w:rFonts w:cs="Arial"/>
                <w:b/>
                <w:snapToGrid w:val="0"/>
                <w:sz w:val="18"/>
                <w:szCs w:val="18"/>
              </w:rPr>
            </w:pPr>
            <w:r>
              <w:rPr>
                <w:rFonts w:cs="Arial"/>
                <w:b/>
                <w:snapToGrid w:val="0"/>
                <w:sz w:val="18"/>
                <w:szCs w:val="18"/>
              </w:rPr>
              <w:t>2025</w:t>
            </w:r>
          </w:p>
        </w:tc>
      </w:tr>
      <w:tr w:rsidR="00D879B6" w:rsidRPr="00D879B6" w14:paraId="6B254BE4" w14:textId="77777777" w:rsidTr="003E05AC">
        <w:trPr>
          <w:trHeight w:val="265"/>
        </w:trPr>
        <w:tc>
          <w:tcPr>
            <w:tcW w:w="1134" w:type="dxa"/>
            <w:vMerge/>
            <w:shd w:val="clear" w:color="auto" w:fill="A6A6A6"/>
            <w:vAlign w:val="center"/>
          </w:tcPr>
          <w:p w14:paraId="19E1E129" w14:textId="77777777" w:rsidR="00D879B6" w:rsidRPr="00D879B6" w:rsidRDefault="00D879B6" w:rsidP="00D879B6">
            <w:pPr>
              <w:contextualSpacing/>
              <w:jc w:val="center"/>
              <w:rPr>
                <w:rFonts w:cs="Arial"/>
                <w:b/>
                <w:snapToGrid w:val="0"/>
                <w:sz w:val="18"/>
                <w:szCs w:val="18"/>
              </w:rPr>
            </w:pPr>
          </w:p>
        </w:tc>
        <w:tc>
          <w:tcPr>
            <w:tcW w:w="10062" w:type="dxa"/>
            <w:gridSpan w:val="14"/>
            <w:shd w:val="clear" w:color="auto" w:fill="AEAAAA"/>
          </w:tcPr>
          <w:p w14:paraId="3CC84C56" w14:textId="24AF3934" w:rsidR="00D879B6" w:rsidRPr="00D879B6" w:rsidRDefault="00D879B6" w:rsidP="00D879B6">
            <w:pPr>
              <w:contextualSpacing/>
              <w:jc w:val="center"/>
              <w:rPr>
                <w:rFonts w:cs="Arial"/>
                <w:b/>
                <w:snapToGrid w:val="0"/>
                <w:sz w:val="18"/>
                <w:szCs w:val="18"/>
              </w:rPr>
            </w:pPr>
            <w:r w:rsidRPr="00D879B6">
              <w:rPr>
                <w:rFonts w:cs="Arial"/>
                <w:b/>
                <w:snapToGrid w:val="0"/>
                <w:sz w:val="18"/>
                <w:szCs w:val="18"/>
              </w:rPr>
              <w:t>tis. Kč</w:t>
            </w:r>
          </w:p>
        </w:tc>
      </w:tr>
      <w:tr w:rsidR="007E6900" w:rsidRPr="00D879B6" w14:paraId="6AF9B981" w14:textId="77777777" w:rsidTr="00D879B6">
        <w:trPr>
          <w:trHeight w:val="179"/>
        </w:trPr>
        <w:tc>
          <w:tcPr>
            <w:tcW w:w="1134" w:type="dxa"/>
            <w:shd w:val="clear" w:color="auto" w:fill="A6A6A6"/>
            <w:vAlign w:val="center"/>
          </w:tcPr>
          <w:p w14:paraId="10DD6311" w14:textId="77777777" w:rsidR="007E6900" w:rsidRPr="00D879B6" w:rsidRDefault="007E6900" w:rsidP="007E6900">
            <w:pPr>
              <w:contextualSpacing/>
              <w:jc w:val="center"/>
              <w:rPr>
                <w:rFonts w:cs="Arial"/>
                <w:snapToGrid w:val="0"/>
                <w:sz w:val="18"/>
                <w:szCs w:val="18"/>
              </w:rPr>
            </w:pPr>
            <w:r w:rsidRPr="00D879B6">
              <w:rPr>
                <w:rFonts w:cs="Arial"/>
                <w:snapToGrid w:val="0"/>
                <w:sz w:val="18"/>
                <w:szCs w:val="18"/>
              </w:rPr>
              <w:t>Tržby</w:t>
            </w:r>
          </w:p>
        </w:tc>
        <w:tc>
          <w:tcPr>
            <w:tcW w:w="851" w:type="dxa"/>
          </w:tcPr>
          <w:p w14:paraId="182E32C2" w14:textId="77777777" w:rsidR="007E6900" w:rsidRPr="00D879B6" w:rsidRDefault="007E6900" w:rsidP="007E6900">
            <w:pPr>
              <w:contextualSpacing/>
              <w:jc w:val="center"/>
              <w:rPr>
                <w:rFonts w:cs="Arial"/>
                <w:snapToGrid w:val="0"/>
                <w:sz w:val="18"/>
                <w:szCs w:val="18"/>
              </w:rPr>
            </w:pPr>
            <w:r w:rsidRPr="00D879B6">
              <w:rPr>
                <w:rFonts w:cs="Arial"/>
                <w:snapToGrid w:val="0"/>
                <w:sz w:val="18"/>
                <w:szCs w:val="18"/>
              </w:rPr>
              <w:t>13 679</w:t>
            </w:r>
          </w:p>
        </w:tc>
        <w:tc>
          <w:tcPr>
            <w:tcW w:w="709" w:type="dxa"/>
          </w:tcPr>
          <w:p w14:paraId="3F5DFD11" w14:textId="77777777" w:rsidR="007E6900" w:rsidRPr="00D879B6" w:rsidRDefault="007E6900" w:rsidP="007E6900">
            <w:pPr>
              <w:contextualSpacing/>
              <w:jc w:val="center"/>
              <w:rPr>
                <w:rFonts w:cs="Arial"/>
                <w:snapToGrid w:val="0"/>
                <w:sz w:val="18"/>
                <w:szCs w:val="18"/>
              </w:rPr>
            </w:pPr>
            <w:r w:rsidRPr="00D879B6">
              <w:rPr>
                <w:rFonts w:cs="Arial"/>
                <w:snapToGrid w:val="0"/>
                <w:sz w:val="18"/>
                <w:szCs w:val="18"/>
              </w:rPr>
              <w:t>12 211</w:t>
            </w:r>
          </w:p>
        </w:tc>
        <w:tc>
          <w:tcPr>
            <w:tcW w:w="708" w:type="dxa"/>
          </w:tcPr>
          <w:p w14:paraId="13C23EAF" w14:textId="77777777" w:rsidR="007E6900" w:rsidRPr="00D879B6" w:rsidRDefault="007E6900" w:rsidP="007E6900">
            <w:pPr>
              <w:contextualSpacing/>
              <w:jc w:val="center"/>
              <w:rPr>
                <w:rFonts w:cs="Arial"/>
                <w:snapToGrid w:val="0"/>
                <w:sz w:val="18"/>
                <w:szCs w:val="18"/>
              </w:rPr>
            </w:pPr>
            <w:r w:rsidRPr="00D879B6">
              <w:rPr>
                <w:rFonts w:cs="Arial"/>
                <w:snapToGrid w:val="0"/>
                <w:sz w:val="18"/>
                <w:szCs w:val="18"/>
              </w:rPr>
              <w:t>11 544</w:t>
            </w:r>
          </w:p>
        </w:tc>
        <w:tc>
          <w:tcPr>
            <w:tcW w:w="709" w:type="dxa"/>
          </w:tcPr>
          <w:p w14:paraId="1DEB7A52" w14:textId="77777777" w:rsidR="007E6900" w:rsidRPr="00D879B6" w:rsidRDefault="007E6900" w:rsidP="007E6900">
            <w:pPr>
              <w:contextualSpacing/>
              <w:jc w:val="center"/>
              <w:rPr>
                <w:rFonts w:cs="Arial"/>
                <w:snapToGrid w:val="0"/>
                <w:sz w:val="18"/>
                <w:szCs w:val="18"/>
              </w:rPr>
            </w:pPr>
            <w:r w:rsidRPr="00D879B6">
              <w:rPr>
                <w:rFonts w:cs="Arial"/>
                <w:snapToGrid w:val="0"/>
                <w:sz w:val="18"/>
                <w:szCs w:val="18"/>
              </w:rPr>
              <w:t>10 682</w:t>
            </w:r>
          </w:p>
        </w:tc>
        <w:tc>
          <w:tcPr>
            <w:tcW w:w="709" w:type="dxa"/>
          </w:tcPr>
          <w:p w14:paraId="6DC05ED9" w14:textId="77777777" w:rsidR="007E6900" w:rsidRPr="00D879B6" w:rsidRDefault="007E6900" w:rsidP="007E6900">
            <w:pPr>
              <w:contextualSpacing/>
              <w:jc w:val="center"/>
              <w:rPr>
                <w:rFonts w:cs="Arial"/>
                <w:snapToGrid w:val="0"/>
                <w:sz w:val="18"/>
                <w:szCs w:val="18"/>
              </w:rPr>
            </w:pPr>
            <w:r w:rsidRPr="00D879B6">
              <w:rPr>
                <w:rFonts w:cs="Arial"/>
                <w:snapToGrid w:val="0"/>
                <w:sz w:val="18"/>
                <w:szCs w:val="18"/>
              </w:rPr>
              <w:t>13 192</w:t>
            </w:r>
          </w:p>
        </w:tc>
        <w:tc>
          <w:tcPr>
            <w:tcW w:w="709" w:type="dxa"/>
          </w:tcPr>
          <w:p w14:paraId="08039A7B" w14:textId="77777777" w:rsidR="007E6900" w:rsidRPr="00D879B6" w:rsidRDefault="007E6900" w:rsidP="007E6900">
            <w:pPr>
              <w:contextualSpacing/>
              <w:jc w:val="center"/>
              <w:rPr>
                <w:rFonts w:cs="Arial"/>
                <w:snapToGrid w:val="0"/>
                <w:sz w:val="18"/>
                <w:szCs w:val="18"/>
              </w:rPr>
            </w:pPr>
            <w:r w:rsidRPr="00D879B6">
              <w:rPr>
                <w:rFonts w:cs="Arial"/>
                <w:snapToGrid w:val="0"/>
                <w:sz w:val="18"/>
                <w:szCs w:val="18"/>
              </w:rPr>
              <w:t>15 106</w:t>
            </w:r>
          </w:p>
        </w:tc>
        <w:tc>
          <w:tcPr>
            <w:tcW w:w="708" w:type="dxa"/>
          </w:tcPr>
          <w:p w14:paraId="0D4A06AD" w14:textId="77777777" w:rsidR="007E6900" w:rsidRPr="00D879B6" w:rsidRDefault="007E6900" w:rsidP="007E6900">
            <w:pPr>
              <w:contextualSpacing/>
              <w:jc w:val="center"/>
              <w:rPr>
                <w:rFonts w:cs="Arial"/>
                <w:snapToGrid w:val="0"/>
                <w:sz w:val="18"/>
                <w:szCs w:val="18"/>
              </w:rPr>
            </w:pPr>
            <w:r w:rsidRPr="00D879B6">
              <w:rPr>
                <w:rFonts w:cs="Arial"/>
                <w:snapToGrid w:val="0"/>
                <w:sz w:val="18"/>
                <w:szCs w:val="18"/>
              </w:rPr>
              <w:t>15 481</w:t>
            </w:r>
          </w:p>
        </w:tc>
        <w:tc>
          <w:tcPr>
            <w:tcW w:w="709" w:type="dxa"/>
          </w:tcPr>
          <w:p w14:paraId="6BEED1D8" w14:textId="77777777" w:rsidR="007E6900" w:rsidRPr="00D879B6" w:rsidRDefault="007E6900" w:rsidP="007E6900">
            <w:pPr>
              <w:contextualSpacing/>
              <w:jc w:val="center"/>
              <w:rPr>
                <w:rFonts w:cs="Arial"/>
                <w:snapToGrid w:val="0"/>
                <w:sz w:val="18"/>
                <w:szCs w:val="18"/>
              </w:rPr>
            </w:pPr>
            <w:r w:rsidRPr="00D879B6">
              <w:rPr>
                <w:rFonts w:cs="Arial"/>
                <w:snapToGrid w:val="0"/>
                <w:sz w:val="18"/>
                <w:szCs w:val="18"/>
              </w:rPr>
              <w:t>15 610</w:t>
            </w:r>
          </w:p>
        </w:tc>
        <w:tc>
          <w:tcPr>
            <w:tcW w:w="709" w:type="dxa"/>
          </w:tcPr>
          <w:p w14:paraId="43F531BF" w14:textId="77777777" w:rsidR="007E6900" w:rsidRPr="00D879B6" w:rsidRDefault="007E6900" w:rsidP="007E6900">
            <w:pPr>
              <w:contextualSpacing/>
              <w:jc w:val="center"/>
              <w:rPr>
                <w:rFonts w:cs="Arial"/>
                <w:snapToGrid w:val="0"/>
                <w:sz w:val="18"/>
                <w:szCs w:val="18"/>
              </w:rPr>
            </w:pPr>
            <w:r w:rsidRPr="00D879B6">
              <w:rPr>
                <w:rFonts w:cs="Arial"/>
                <w:snapToGrid w:val="0"/>
                <w:sz w:val="18"/>
                <w:szCs w:val="18"/>
              </w:rPr>
              <w:t>14 946</w:t>
            </w:r>
          </w:p>
        </w:tc>
        <w:tc>
          <w:tcPr>
            <w:tcW w:w="709" w:type="dxa"/>
          </w:tcPr>
          <w:p w14:paraId="308243FB" w14:textId="77777777" w:rsidR="007E6900" w:rsidRPr="00D879B6" w:rsidRDefault="007E6900" w:rsidP="007E6900">
            <w:pPr>
              <w:contextualSpacing/>
              <w:jc w:val="center"/>
              <w:rPr>
                <w:rFonts w:cs="Arial"/>
                <w:snapToGrid w:val="0"/>
                <w:sz w:val="18"/>
                <w:szCs w:val="18"/>
              </w:rPr>
            </w:pPr>
            <w:r w:rsidRPr="00D879B6">
              <w:rPr>
                <w:rFonts w:cs="Arial"/>
                <w:snapToGrid w:val="0"/>
                <w:sz w:val="18"/>
                <w:szCs w:val="18"/>
              </w:rPr>
              <w:t>18 035</w:t>
            </w:r>
          </w:p>
        </w:tc>
        <w:tc>
          <w:tcPr>
            <w:tcW w:w="708" w:type="dxa"/>
          </w:tcPr>
          <w:p w14:paraId="1076B4A0" w14:textId="77777777" w:rsidR="007E6900" w:rsidRPr="00D879B6" w:rsidRDefault="007E6900" w:rsidP="007E6900">
            <w:pPr>
              <w:contextualSpacing/>
              <w:jc w:val="center"/>
              <w:rPr>
                <w:rFonts w:cs="Arial"/>
                <w:snapToGrid w:val="0"/>
                <w:sz w:val="18"/>
                <w:szCs w:val="18"/>
              </w:rPr>
            </w:pPr>
            <w:r w:rsidRPr="00D879B6">
              <w:rPr>
                <w:rFonts w:cs="Arial"/>
                <w:snapToGrid w:val="0"/>
                <w:sz w:val="18"/>
                <w:szCs w:val="18"/>
              </w:rPr>
              <w:t>23 000</w:t>
            </w:r>
          </w:p>
        </w:tc>
        <w:tc>
          <w:tcPr>
            <w:tcW w:w="708" w:type="dxa"/>
          </w:tcPr>
          <w:p w14:paraId="34FC19B2" w14:textId="77777777" w:rsidR="007E6900" w:rsidRPr="00D879B6" w:rsidRDefault="007E6900" w:rsidP="007E6900">
            <w:pPr>
              <w:contextualSpacing/>
              <w:jc w:val="center"/>
              <w:rPr>
                <w:rFonts w:cs="Arial"/>
                <w:snapToGrid w:val="0"/>
                <w:sz w:val="18"/>
                <w:szCs w:val="18"/>
              </w:rPr>
            </w:pPr>
            <w:r w:rsidRPr="00D879B6">
              <w:rPr>
                <w:sz w:val="18"/>
                <w:szCs w:val="18"/>
              </w:rPr>
              <w:t>27 615</w:t>
            </w:r>
          </w:p>
        </w:tc>
        <w:tc>
          <w:tcPr>
            <w:tcW w:w="708" w:type="dxa"/>
          </w:tcPr>
          <w:p w14:paraId="467284A6" w14:textId="77777777" w:rsidR="007E6900" w:rsidRPr="00D879B6" w:rsidRDefault="007E6900" w:rsidP="007E6900">
            <w:pPr>
              <w:contextualSpacing/>
              <w:jc w:val="center"/>
              <w:rPr>
                <w:sz w:val="18"/>
                <w:szCs w:val="18"/>
              </w:rPr>
            </w:pPr>
            <w:r w:rsidRPr="00D879B6">
              <w:rPr>
                <w:sz w:val="18"/>
                <w:szCs w:val="18"/>
              </w:rPr>
              <w:t>34 970</w:t>
            </w:r>
          </w:p>
        </w:tc>
        <w:tc>
          <w:tcPr>
            <w:tcW w:w="708" w:type="dxa"/>
          </w:tcPr>
          <w:p w14:paraId="3257BCFB" w14:textId="4F209CBD" w:rsidR="007E6900" w:rsidRPr="00D879B6" w:rsidRDefault="007E6900" w:rsidP="007E6900">
            <w:pPr>
              <w:contextualSpacing/>
              <w:jc w:val="center"/>
              <w:rPr>
                <w:sz w:val="18"/>
                <w:szCs w:val="18"/>
              </w:rPr>
            </w:pPr>
            <w:r>
              <w:rPr>
                <w:rFonts w:cs="Arial"/>
                <w:snapToGrid w:val="0"/>
                <w:sz w:val="18"/>
                <w:szCs w:val="18"/>
              </w:rPr>
              <w:t>35 834</w:t>
            </w:r>
          </w:p>
        </w:tc>
      </w:tr>
      <w:tr w:rsidR="007E6900" w:rsidRPr="00D879B6" w14:paraId="6106A13F" w14:textId="77777777" w:rsidTr="00D879B6">
        <w:trPr>
          <w:trHeight w:val="126"/>
        </w:trPr>
        <w:tc>
          <w:tcPr>
            <w:tcW w:w="1134" w:type="dxa"/>
            <w:shd w:val="clear" w:color="auto" w:fill="A6A6A6"/>
            <w:vAlign w:val="center"/>
          </w:tcPr>
          <w:p w14:paraId="094E7F48" w14:textId="77777777" w:rsidR="007E6900" w:rsidRPr="00D879B6" w:rsidRDefault="007E6900" w:rsidP="007E6900">
            <w:pPr>
              <w:contextualSpacing/>
              <w:jc w:val="center"/>
              <w:rPr>
                <w:rFonts w:cs="Arial"/>
                <w:snapToGrid w:val="0"/>
                <w:sz w:val="18"/>
                <w:szCs w:val="18"/>
              </w:rPr>
            </w:pPr>
            <w:r w:rsidRPr="00D879B6">
              <w:rPr>
                <w:rFonts w:cs="Arial"/>
                <w:snapToGrid w:val="0"/>
                <w:sz w:val="18"/>
                <w:szCs w:val="18"/>
              </w:rPr>
              <w:t>Cena za m</w:t>
            </w:r>
            <w:r w:rsidRPr="00D879B6">
              <w:rPr>
                <w:rFonts w:cs="Arial"/>
                <w:snapToGrid w:val="0"/>
                <w:sz w:val="18"/>
                <w:szCs w:val="18"/>
                <w:vertAlign w:val="superscript"/>
              </w:rPr>
              <w:t>3 *)</w:t>
            </w:r>
          </w:p>
        </w:tc>
        <w:tc>
          <w:tcPr>
            <w:tcW w:w="851" w:type="dxa"/>
          </w:tcPr>
          <w:p w14:paraId="2375928C" w14:textId="77777777" w:rsidR="007E6900" w:rsidRPr="00D879B6" w:rsidRDefault="007E6900" w:rsidP="007E6900">
            <w:pPr>
              <w:contextualSpacing/>
              <w:jc w:val="center"/>
              <w:rPr>
                <w:rFonts w:cs="Arial"/>
                <w:snapToGrid w:val="0"/>
                <w:sz w:val="18"/>
                <w:szCs w:val="18"/>
              </w:rPr>
            </w:pPr>
            <w:r w:rsidRPr="00D879B6">
              <w:rPr>
                <w:rFonts w:cs="Arial"/>
                <w:snapToGrid w:val="0"/>
                <w:sz w:val="18"/>
                <w:szCs w:val="18"/>
              </w:rPr>
              <w:t>1,96</w:t>
            </w:r>
          </w:p>
        </w:tc>
        <w:tc>
          <w:tcPr>
            <w:tcW w:w="709" w:type="dxa"/>
          </w:tcPr>
          <w:p w14:paraId="7083D0D6" w14:textId="77777777" w:rsidR="007E6900" w:rsidRPr="00D879B6" w:rsidRDefault="007E6900" w:rsidP="007E6900">
            <w:pPr>
              <w:contextualSpacing/>
              <w:jc w:val="center"/>
              <w:rPr>
                <w:rFonts w:cs="Arial"/>
                <w:snapToGrid w:val="0"/>
                <w:sz w:val="18"/>
                <w:szCs w:val="18"/>
              </w:rPr>
            </w:pPr>
            <w:r w:rsidRPr="00D879B6">
              <w:rPr>
                <w:rFonts w:cs="Arial"/>
                <w:snapToGrid w:val="0"/>
                <w:sz w:val="18"/>
                <w:szCs w:val="18"/>
              </w:rPr>
              <w:t>2,00</w:t>
            </w:r>
          </w:p>
        </w:tc>
        <w:tc>
          <w:tcPr>
            <w:tcW w:w="708" w:type="dxa"/>
          </w:tcPr>
          <w:p w14:paraId="0BEF82A1" w14:textId="77777777" w:rsidR="007E6900" w:rsidRPr="00D879B6" w:rsidRDefault="007E6900" w:rsidP="007E6900">
            <w:pPr>
              <w:contextualSpacing/>
              <w:jc w:val="center"/>
              <w:rPr>
                <w:rFonts w:cs="Arial"/>
                <w:snapToGrid w:val="0"/>
                <w:sz w:val="18"/>
                <w:szCs w:val="18"/>
              </w:rPr>
            </w:pPr>
            <w:r w:rsidRPr="00D879B6">
              <w:rPr>
                <w:rFonts w:cs="Arial"/>
                <w:snapToGrid w:val="0"/>
                <w:sz w:val="18"/>
                <w:szCs w:val="18"/>
              </w:rPr>
              <w:t>2,05</w:t>
            </w:r>
          </w:p>
        </w:tc>
        <w:tc>
          <w:tcPr>
            <w:tcW w:w="709" w:type="dxa"/>
          </w:tcPr>
          <w:p w14:paraId="7E7308B7" w14:textId="77777777" w:rsidR="007E6900" w:rsidRPr="00D879B6" w:rsidRDefault="007E6900" w:rsidP="007E6900">
            <w:pPr>
              <w:contextualSpacing/>
              <w:jc w:val="center"/>
              <w:rPr>
                <w:rFonts w:cs="Arial"/>
                <w:snapToGrid w:val="0"/>
                <w:sz w:val="18"/>
                <w:szCs w:val="18"/>
              </w:rPr>
            </w:pPr>
            <w:r w:rsidRPr="00D879B6">
              <w:rPr>
                <w:rFonts w:cs="Arial"/>
                <w:snapToGrid w:val="0"/>
                <w:sz w:val="18"/>
                <w:szCs w:val="18"/>
              </w:rPr>
              <w:t>2,06</w:t>
            </w:r>
          </w:p>
        </w:tc>
        <w:tc>
          <w:tcPr>
            <w:tcW w:w="709" w:type="dxa"/>
          </w:tcPr>
          <w:p w14:paraId="1E225775" w14:textId="77777777" w:rsidR="007E6900" w:rsidRPr="00D879B6" w:rsidRDefault="007E6900" w:rsidP="007E6900">
            <w:pPr>
              <w:contextualSpacing/>
              <w:jc w:val="center"/>
              <w:rPr>
                <w:rFonts w:cs="Arial"/>
                <w:snapToGrid w:val="0"/>
                <w:sz w:val="18"/>
                <w:szCs w:val="18"/>
              </w:rPr>
            </w:pPr>
            <w:r w:rsidRPr="00D879B6">
              <w:rPr>
                <w:rFonts w:cs="Arial"/>
                <w:snapToGrid w:val="0"/>
                <w:sz w:val="18"/>
                <w:szCs w:val="18"/>
              </w:rPr>
              <w:t>2,26</w:t>
            </w:r>
          </w:p>
        </w:tc>
        <w:tc>
          <w:tcPr>
            <w:tcW w:w="709" w:type="dxa"/>
          </w:tcPr>
          <w:p w14:paraId="2681EA76" w14:textId="77777777" w:rsidR="007E6900" w:rsidRPr="00D879B6" w:rsidRDefault="007E6900" w:rsidP="007E6900">
            <w:pPr>
              <w:contextualSpacing/>
              <w:jc w:val="center"/>
              <w:rPr>
                <w:rFonts w:cs="Arial"/>
                <w:snapToGrid w:val="0"/>
                <w:sz w:val="18"/>
                <w:szCs w:val="18"/>
              </w:rPr>
            </w:pPr>
            <w:r w:rsidRPr="00D879B6">
              <w:rPr>
                <w:rFonts w:cs="Arial"/>
                <w:snapToGrid w:val="0"/>
                <w:sz w:val="18"/>
                <w:szCs w:val="18"/>
              </w:rPr>
              <w:t>2,52</w:t>
            </w:r>
          </w:p>
        </w:tc>
        <w:tc>
          <w:tcPr>
            <w:tcW w:w="708" w:type="dxa"/>
          </w:tcPr>
          <w:p w14:paraId="610C8B3B" w14:textId="77777777" w:rsidR="007E6900" w:rsidRPr="00D879B6" w:rsidRDefault="007E6900" w:rsidP="007E6900">
            <w:pPr>
              <w:contextualSpacing/>
              <w:jc w:val="center"/>
              <w:rPr>
                <w:rFonts w:cs="Arial"/>
                <w:snapToGrid w:val="0"/>
                <w:sz w:val="18"/>
                <w:szCs w:val="18"/>
              </w:rPr>
            </w:pPr>
            <w:r w:rsidRPr="00D879B6">
              <w:rPr>
                <w:rFonts w:cs="Arial"/>
                <w:snapToGrid w:val="0"/>
                <w:sz w:val="18"/>
                <w:szCs w:val="18"/>
              </w:rPr>
              <w:t>2,65</w:t>
            </w:r>
          </w:p>
        </w:tc>
        <w:tc>
          <w:tcPr>
            <w:tcW w:w="709" w:type="dxa"/>
          </w:tcPr>
          <w:p w14:paraId="39463285" w14:textId="77777777" w:rsidR="007E6900" w:rsidRPr="00D879B6" w:rsidRDefault="007E6900" w:rsidP="007E6900">
            <w:pPr>
              <w:contextualSpacing/>
              <w:jc w:val="center"/>
              <w:rPr>
                <w:rFonts w:cs="Arial"/>
                <w:snapToGrid w:val="0"/>
                <w:sz w:val="18"/>
                <w:szCs w:val="18"/>
              </w:rPr>
            </w:pPr>
            <w:r w:rsidRPr="00D879B6">
              <w:rPr>
                <w:rFonts w:cs="Arial"/>
                <w:snapToGrid w:val="0"/>
                <w:sz w:val="18"/>
                <w:szCs w:val="18"/>
              </w:rPr>
              <w:t>3,06</w:t>
            </w:r>
          </w:p>
        </w:tc>
        <w:tc>
          <w:tcPr>
            <w:tcW w:w="709" w:type="dxa"/>
          </w:tcPr>
          <w:p w14:paraId="550CFB39" w14:textId="77777777" w:rsidR="007E6900" w:rsidRPr="00D879B6" w:rsidRDefault="007E6900" w:rsidP="007E6900">
            <w:pPr>
              <w:contextualSpacing/>
              <w:jc w:val="center"/>
              <w:rPr>
                <w:rFonts w:cs="Arial"/>
                <w:snapToGrid w:val="0"/>
                <w:sz w:val="18"/>
                <w:szCs w:val="18"/>
              </w:rPr>
            </w:pPr>
            <w:r w:rsidRPr="00D879B6">
              <w:rPr>
                <w:rFonts w:cs="Arial"/>
                <w:snapToGrid w:val="0"/>
                <w:sz w:val="18"/>
                <w:szCs w:val="18"/>
              </w:rPr>
              <w:t>3,47</w:t>
            </w:r>
          </w:p>
        </w:tc>
        <w:tc>
          <w:tcPr>
            <w:tcW w:w="709" w:type="dxa"/>
          </w:tcPr>
          <w:p w14:paraId="6E0E8A8D" w14:textId="77777777" w:rsidR="007E6900" w:rsidRPr="00D879B6" w:rsidRDefault="007E6900" w:rsidP="007E6900">
            <w:pPr>
              <w:contextualSpacing/>
              <w:jc w:val="center"/>
              <w:rPr>
                <w:rFonts w:cs="Arial"/>
                <w:snapToGrid w:val="0"/>
                <w:sz w:val="18"/>
                <w:szCs w:val="18"/>
              </w:rPr>
            </w:pPr>
            <w:r w:rsidRPr="00D879B6">
              <w:rPr>
                <w:rFonts w:cs="Arial"/>
                <w:snapToGrid w:val="0"/>
                <w:sz w:val="18"/>
                <w:szCs w:val="18"/>
              </w:rPr>
              <w:t>4,00</w:t>
            </w:r>
          </w:p>
        </w:tc>
        <w:tc>
          <w:tcPr>
            <w:tcW w:w="708" w:type="dxa"/>
          </w:tcPr>
          <w:p w14:paraId="3EE6430D" w14:textId="77777777" w:rsidR="007E6900" w:rsidRPr="00D879B6" w:rsidRDefault="007E6900" w:rsidP="007E6900">
            <w:pPr>
              <w:contextualSpacing/>
              <w:jc w:val="center"/>
              <w:rPr>
                <w:rFonts w:cs="Arial"/>
                <w:snapToGrid w:val="0"/>
                <w:sz w:val="18"/>
                <w:szCs w:val="18"/>
              </w:rPr>
            </w:pPr>
            <w:r w:rsidRPr="00D879B6">
              <w:rPr>
                <w:rFonts w:cs="Arial"/>
                <w:snapToGrid w:val="0"/>
                <w:sz w:val="18"/>
                <w:szCs w:val="18"/>
              </w:rPr>
              <w:t>4,57</w:t>
            </w:r>
          </w:p>
        </w:tc>
        <w:tc>
          <w:tcPr>
            <w:tcW w:w="708" w:type="dxa"/>
          </w:tcPr>
          <w:p w14:paraId="22A71F11" w14:textId="77777777" w:rsidR="007E6900" w:rsidRPr="00D879B6" w:rsidRDefault="007E6900" w:rsidP="007E6900">
            <w:pPr>
              <w:contextualSpacing/>
              <w:jc w:val="center"/>
              <w:rPr>
                <w:rFonts w:cs="Arial"/>
                <w:snapToGrid w:val="0"/>
                <w:sz w:val="18"/>
                <w:szCs w:val="18"/>
              </w:rPr>
            </w:pPr>
            <w:r w:rsidRPr="00D879B6">
              <w:rPr>
                <w:sz w:val="18"/>
                <w:szCs w:val="18"/>
              </w:rPr>
              <w:t>5,30</w:t>
            </w:r>
          </w:p>
        </w:tc>
        <w:tc>
          <w:tcPr>
            <w:tcW w:w="708" w:type="dxa"/>
          </w:tcPr>
          <w:p w14:paraId="005FA4C0" w14:textId="77777777" w:rsidR="007E6900" w:rsidRPr="00D879B6" w:rsidRDefault="007E6900" w:rsidP="007E6900">
            <w:pPr>
              <w:contextualSpacing/>
              <w:jc w:val="center"/>
              <w:rPr>
                <w:sz w:val="18"/>
                <w:szCs w:val="18"/>
              </w:rPr>
            </w:pPr>
            <w:r w:rsidRPr="00D879B6">
              <w:rPr>
                <w:sz w:val="18"/>
                <w:szCs w:val="18"/>
              </w:rPr>
              <w:t>6,90</w:t>
            </w:r>
          </w:p>
        </w:tc>
        <w:tc>
          <w:tcPr>
            <w:tcW w:w="708" w:type="dxa"/>
          </w:tcPr>
          <w:p w14:paraId="703FF77E" w14:textId="3129E3F7" w:rsidR="007E6900" w:rsidRPr="00D879B6" w:rsidRDefault="007E6900" w:rsidP="007E6900">
            <w:pPr>
              <w:contextualSpacing/>
              <w:jc w:val="center"/>
              <w:rPr>
                <w:sz w:val="18"/>
                <w:szCs w:val="18"/>
              </w:rPr>
            </w:pPr>
            <w:r>
              <w:rPr>
                <w:rFonts w:cs="Arial"/>
                <w:snapToGrid w:val="0"/>
                <w:sz w:val="18"/>
                <w:szCs w:val="18"/>
              </w:rPr>
              <w:t>7,04</w:t>
            </w:r>
          </w:p>
        </w:tc>
      </w:tr>
    </w:tbl>
    <w:p w14:paraId="6B888E7C" w14:textId="4F9C0447" w:rsidR="00AF2B22" w:rsidRPr="00D879B6" w:rsidRDefault="00AF2B22" w:rsidP="007C4955">
      <w:pPr>
        <w:contextualSpacing/>
        <w:rPr>
          <w:rFonts w:cs="Arial"/>
          <w:i/>
          <w:sz w:val="20"/>
          <w:szCs w:val="20"/>
        </w:rPr>
      </w:pPr>
      <w:r w:rsidRPr="00D879B6">
        <w:rPr>
          <w:rFonts w:cs="Arial"/>
          <w:i/>
          <w:sz w:val="20"/>
          <w:szCs w:val="20"/>
        </w:rPr>
        <w:t xml:space="preserve">Pramen: </w:t>
      </w:r>
      <w:r w:rsidR="000D403E" w:rsidRPr="00D879B6">
        <w:rPr>
          <w:rFonts w:cs="Arial"/>
          <w:i/>
          <w:sz w:val="20"/>
          <w:szCs w:val="20"/>
        </w:rPr>
        <w:t>LČR</w:t>
      </w:r>
    </w:p>
    <w:p w14:paraId="70CF1CC9" w14:textId="1DC86F25" w:rsidR="00AF2B22" w:rsidRPr="00D879B6" w:rsidRDefault="00AF2B22" w:rsidP="007C4955">
      <w:pPr>
        <w:contextualSpacing/>
        <w:rPr>
          <w:rFonts w:cs="Arial"/>
          <w:i/>
          <w:sz w:val="20"/>
          <w:szCs w:val="20"/>
        </w:rPr>
      </w:pPr>
      <w:r w:rsidRPr="00D879B6">
        <w:rPr>
          <w:rFonts w:cs="Arial"/>
          <w:i/>
          <w:sz w:val="20"/>
          <w:szCs w:val="20"/>
        </w:rPr>
        <w:t xml:space="preserve">Pozn.: </w:t>
      </w:r>
      <w:r w:rsidRPr="00D879B6">
        <w:rPr>
          <w:rFonts w:cs="Arial"/>
          <w:i/>
          <w:sz w:val="20"/>
          <w:szCs w:val="20"/>
          <w:vertAlign w:val="superscript"/>
        </w:rPr>
        <w:t>*)</w:t>
      </w:r>
      <w:r w:rsidRPr="00D879B6">
        <w:rPr>
          <w:rFonts w:cs="Arial"/>
          <w:i/>
          <w:sz w:val="20"/>
          <w:szCs w:val="20"/>
        </w:rPr>
        <w:t xml:space="preserve"> Jednotková cena za m</w:t>
      </w:r>
      <w:r w:rsidRPr="00D879B6">
        <w:rPr>
          <w:rFonts w:cs="Arial"/>
          <w:i/>
          <w:sz w:val="20"/>
          <w:szCs w:val="20"/>
          <w:vertAlign w:val="superscript"/>
        </w:rPr>
        <w:t xml:space="preserve">3 </w:t>
      </w:r>
      <w:r w:rsidRPr="00D879B6">
        <w:rPr>
          <w:rFonts w:cs="Arial"/>
          <w:i/>
          <w:sz w:val="20"/>
          <w:szCs w:val="20"/>
        </w:rPr>
        <w:t>je uváděna bez daně z přidané hodnoty v Kč.</w:t>
      </w:r>
    </w:p>
    <w:p w14:paraId="471D770E" w14:textId="77777777" w:rsidR="0096429F" w:rsidRDefault="0096429F" w:rsidP="0096429F">
      <w:pPr>
        <w:contextualSpacing/>
        <w:rPr>
          <w:rFonts w:cs="Arial"/>
          <w:highlight w:val="yellow"/>
        </w:rPr>
      </w:pPr>
    </w:p>
    <w:p w14:paraId="5B3666E9" w14:textId="51CD2BFD" w:rsidR="0096429F" w:rsidRPr="0096429F" w:rsidRDefault="0096429F" w:rsidP="0096429F">
      <w:pPr>
        <w:contextualSpacing/>
        <w:rPr>
          <w:rFonts w:cs="Arial"/>
        </w:rPr>
      </w:pPr>
      <w:r w:rsidRPr="0096429F">
        <w:rPr>
          <w:rFonts w:cs="Arial"/>
        </w:rPr>
        <w:t xml:space="preserve">Grafy 6.3.1 a 6.3.2 podávají v delší časové ose přehled o celkových ročních investičních výdajích do vodního hospodářství a prostředcích vynaložených na opravu a údržbu VH majetku. </w:t>
      </w:r>
    </w:p>
    <w:p w14:paraId="0798EDFF" w14:textId="77777777" w:rsidR="0096429F" w:rsidRDefault="0096429F" w:rsidP="007C4955">
      <w:pPr>
        <w:contextualSpacing/>
        <w:rPr>
          <w:rFonts w:cs="Arial"/>
          <w:b/>
          <w:i/>
          <w:highlight w:val="yellow"/>
        </w:rPr>
      </w:pPr>
    </w:p>
    <w:p w14:paraId="117A0A08" w14:textId="506D2E60" w:rsidR="00AF2B22" w:rsidRPr="0096429F" w:rsidRDefault="00AF2B22" w:rsidP="007C4955">
      <w:pPr>
        <w:contextualSpacing/>
        <w:rPr>
          <w:rFonts w:cs="Arial"/>
          <w:b/>
          <w:i/>
        </w:rPr>
      </w:pPr>
      <w:r w:rsidRPr="0096429F">
        <w:rPr>
          <w:rFonts w:cs="Arial"/>
          <w:b/>
          <w:i/>
        </w:rPr>
        <w:t>Graf 6.3.1  </w:t>
      </w:r>
    </w:p>
    <w:p w14:paraId="11DF8D41" w14:textId="3E512A72" w:rsidR="00AF2B22" w:rsidRDefault="000D403E" w:rsidP="007C4955">
      <w:pPr>
        <w:contextualSpacing/>
        <w:rPr>
          <w:rFonts w:cs="Arial"/>
          <w:i/>
          <w:noProof/>
        </w:rPr>
      </w:pPr>
      <w:r w:rsidRPr="0096429F">
        <w:rPr>
          <w:rFonts w:cs="Arial"/>
          <w:b/>
          <w:i/>
        </w:rPr>
        <w:t xml:space="preserve">Lesy České republiky, s. p. – </w:t>
      </w:r>
      <w:r w:rsidR="00AF2B22" w:rsidRPr="0096429F">
        <w:rPr>
          <w:rFonts w:cs="Arial"/>
          <w:b/>
          <w:i/>
        </w:rPr>
        <w:t>Investiční výdaje v letech 2010–202</w:t>
      </w:r>
      <w:r w:rsidR="0096429F">
        <w:rPr>
          <w:rFonts w:cs="Arial"/>
          <w:b/>
          <w:i/>
        </w:rPr>
        <w:t>5</w:t>
      </w:r>
      <w:r w:rsidRPr="0096429F">
        <w:rPr>
          <w:rFonts w:cs="Arial"/>
          <w:b/>
          <w:i/>
        </w:rPr>
        <w:t xml:space="preserve"> </w:t>
      </w:r>
      <w:r w:rsidR="00AF2B22" w:rsidRPr="0096429F">
        <w:rPr>
          <w:rFonts w:cs="Arial"/>
          <w:b/>
          <w:i/>
        </w:rPr>
        <w:t>– vodní hospodářství</w:t>
      </w:r>
      <w:r w:rsidR="00AF2B22" w:rsidRPr="0096429F">
        <w:rPr>
          <w:rFonts w:cs="Arial"/>
          <w:i/>
          <w:noProof/>
        </w:rPr>
        <w:t xml:space="preserve"> </w:t>
      </w:r>
    </w:p>
    <w:p w14:paraId="483AC0DE" w14:textId="4790B16D" w:rsidR="00AF2B22" w:rsidRPr="0096429F" w:rsidRDefault="00AA0A64" w:rsidP="007C4955">
      <w:pPr>
        <w:contextualSpacing/>
        <w:rPr>
          <w:rFonts w:cs="Arial"/>
          <w:i/>
          <w:noProof/>
        </w:rPr>
      </w:pPr>
      <w:r>
        <w:rPr>
          <w:noProof/>
        </w:rPr>
        <w:drawing>
          <wp:inline distT="0" distB="0" distL="0" distR="0" wp14:anchorId="7698C5F5" wp14:editId="77910520">
            <wp:extent cx="4724400" cy="2009775"/>
            <wp:effectExtent l="0" t="0" r="0" b="9525"/>
            <wp:docPr id="2100888485" name="Graf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1105DEB7" w14:textId="77777777" w:rsidR="00AF2B22" w:rsidRPr="0096429F" w:rsidRDefault="00AF2B22" w:rsidP="007C4955">
      <w:pPr>
        <w:contextualSpacing/>
        <w:rPr>
          <w:rFonts w:cs="Arial"/>
          <w:i/>
          <w:sz w:val="20"/>
          <w:szCs w:val="20"/>
        </w:rPr>
      </w:pPr>
      <w:r w:rsidRPr="0096429F">
        <w:rPr>
          <w:rFonts w:cs="Arial"/>
          <w:i/>
          <w:sz w:val="20"/>
          <w:szCs w:val="20"/>
        </w:rPr>
        <w:t xml:space="preserve">Pramen: </w:t>
      </w:r>
      <w:r w:rsidR="000D403E" w:rsidRPr="0096429F">
        <w:rPr>
          <w:rFonts w:cs="Arial"/>
          <w:i/>
          <w:sz w:val="20"/>
          <w:szCs w:val="20"/>
        </w:rPr>
        <w:t>LČR</w:t>
      </w:r>
    </w:p>
    <w:p w14:paraId="6673AA54" w14:textId="77777777" w:rsidR="00EB43BF" w:rsidRPr="00104F7D" w:rsidRDefault="00EB43BF" w:rsidP="007C4955">
      <w:pPr>
        <w:contextualSpacing/>
        <w:rPr>
          <w:rFonts w:cs="Arial"/>
          <w:b/>
          <w:i/>
          <w:highlight w:val="yellow"/>
        </w:rPr>
      </w:pPr>
    </w:p>
    <w:p w14:paraId="18455068" w14:textId="77777777" w:rsidR="00BE1899" w:rsidRDefault="00BE1899" w:rsidP="007C4955">
      <w:pPr>
        <w:contextualSpacing/>
        <w:rPr>
          <w:rFonts w:cs="Arial"/>
          <w:b/>
          <w:i/>
        </w:rPr>
      </w:pPr>
    </w:p>
    <w:p w14:paraId="12AEDF24" w14:textId="77777777" w:rsidR="00BE1899" w:rsidRDefault="00BE1899" w:rsidP="007C4955">
      <w:pPr>
        <w:contextualSpacing/>
        <w:rPr>
          <w:rFonts w:cs="Arial"/>
          <w:b/>
          <w:i/>
        </w:rPr>
      </w:pPr>
    </w:p>
    <w:p w14:paraId="43C8C3B1" w14:textId="362A5FED" w:rsidR="00AF2B22" w:rsidRPr="00AA0A64" w:rsidRDefault="00AF2B22" w:rsidP="007C4955">
      <w:pPr>
        <w:contextualSpacing/>
        <w:rPr>
          <w:rFonts w:cs="Arial"/>
          <w:b/>
          <w:i/>
        </w:rPr>
      </w:pPr>
      <w:r w:rsidRPr="00AA0A64">
        <w:rPr>
          <w:rFonts w:cs="Arial"/>
          <w:b/>
          <w:i/>
        </w:rPr>
        <w:t>Graf 6.3.2  </w:t>
      </w:r>
    </w:p>
    <w:p w14:paraId="66348DBA" w14:textId="2157669A" w:rsidR="00FC7BA9" w:rsidRPr="00AA0A64" w:rsidRDefault="000D403E" w:rsidP="007C4955">
      <w:pPr>
        <w:contextualSpacing/>
        <w:rPr>
          <w:rFonts w:cs="Arial"/>
          <w:i/>
          <w:noProof/>
        </w:rPr>
      </w:pPr>
      <w:r w:rsidRPr="00AA0A64">
        <w:rPr>
          <w:rFonts w:cs="Arial"/>
          <w:b/>
          <w:i/>
        </w:rPr>
        <w:t xml:space="preserve">Lesy České republiky, s. p. – </w:t>
      </w:r>
      <w:r w:rsidR="00AF2B22" w:rsidRPr="00AA0A64">
        <w:rPr>
          <w:rFonts w:cs="Arial"/>
          <w:b/>
          <w:i/>
        </w:rPr>
        <w:t>Výdaje v letech 201</w:t>
      </w:r>
      <w:r w:rsidR="00EF6AE1" w:rsidRPr="00AA0A64">
        <w:rPr>
          <w:rFonts w:cs="Arial"/>
          <w:b/>
          <w:i/>
        </w:rPr>
        <w:t>0</w:t>
      </w:r>
      <w:r w:rsidR="00AF2B22" w:rsidRPr="00AA0A64">
        <w:rPr>
          <w:rFonts w:cs="Arial"/>
          <w:b/>
          <w:i/>
        </w:rPr>
        <w:t>–202</w:t>
      </w:r>
      <w:r w:rsidR="00AA0A64">
        <w:rPr>
          <w:rFonts w:cs="Arial"/>
          <w:b/>
          <w:i/>
        </w:rPr>
        <w:t>5</w:t>
      </w:r>
      <w:r w:rsidRPr="00AA0A64">
        <w:rPr>
          <w:rFonts w:cs="Arial"/>
          <w:b/>
          <w:i/>
        </w:rPr>
        <w:t xml:space="preserve"> </w:t>
      </w:r>
      <w:r w:rsidR="00AF2B22" w:rsidRPr="00AA0A64">
        <w:rPr>
          <w:rFonts w:cs="Arial"/>
          <w:b/>
          <w:i/>
        </w:rPr>
        <w:t xml:space="preserve">– oprava a údržba vodních toků </w:t>
      </w:r>
      <w:r w:rsidR="006B36AF" w:rsidRPr="00AA0A64">
        <w:rPr>
          <w:rFonts w:cs="Arial"/>
          <w:b/>
          <w:i/>
        </w:rPr>
        <w:t>a </w:t>
      </w:r>
      <w:r w:rsidR="00AF2B22" w:rsidRPr="00AA0A64">
        <w:rPr>
          <w:rFonts w:cs="Arial"/>
          <w:b/>
          <w:i/>
        </w:rPr>
        <w:t>vodních nádrží (úplné náklady)</w:t>
      </w:r>
      <w:r w:rsidR="00AF2B22" w:rsidRPr="00AA0A64">
        <w:rPr>
          <w:rFonts w:cs="Arial"/>
          <w:i/>
          <w:noProof/>
        </w:rPr>
        <w:t xml:space="preserve"> </w:t>
      </w:r>
    </w:p>
    <w:p w14:paraId="762E8EA9" w14:textId="511717C1" w:rsidR="00597695" w:rsidRPr="00104F7D" w:rsidRDefault="00221FBA" w:rsidP="007C4955">
      <w:pPr>
        <w:contextualSpacing/>
        <w:rPr>
          <w:noProof/>
          <w:highlight w:val="yellow"/>
        </w:rPr>
      </w:pPr>
      <w:r>
        <w:rPr>
          <w:noProof/>
        </w:rPr>
        <w:drawing>
          <wp:inline distT="0" distB="0" distL="0" distR="0" wp14:anchorId="6F73D738" wp14:editId="38E8ABE4">
            <wp:extent cx="5551170" cy="2838450"/>
            <wp:effectExtent l="0" t="0" r="11430" b="0"/>
            <wp:docPr id="1200794523" name="Graf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25DEA7A2" w14:textId="4E3E83F3" w:rsidR="00597695" w:rsidRPr="00221FBA" w:rsidRDefault="00AF2B22" w:rsidP="002C2F0A">
      <w:pPr>
        <w:contextualSpacing/>
        <w:rPr>
          <w:noProof/>
          <w:color w:val="FF0000"/>
          <w:sz w:val="20"/>
          <w:szCs w:val="20"/>
        </w:rPr>
      </w:pPr>
      <w:r w:rsidRPr="00221FBA">
        <w:rPr>
          <w:rFonts w:cs="Arial"/>
          <w:i/>
          <w:sz w:val="20"/>
          <w:szCs w:val="20"/>
        </w:rPr>
        <w:t xml:space="preserve">Pramen: </w:t>
      </w:r>
      <w:r w:rsidR="000D403E" w:rsidRPr="00221FBA">
        <w:rPr>
          <w:rFonts w:cs="Arial"/>
          <w:i/>
          <w:sz w:val="20"/>
          <w:szCs w:val="20"/>
        </w:rPr>
        <w:t>LČR</w:t>
      </w:r>
      <w:bookmarkStart w:id="91" w:name="_Toc10183423"/>
    </w:p>
    <w:p w14:paraId="443AC1FF" w14:textId="77777777" w:rsidR="00BB095D" w:rsidRPr="00104F7D" w:rsidRDefault="00BB095D" w:rsidP="009054DF">
      <w:pPr>
        <w:rPr>
          <w:sz w:val="21"/>
          <w:szCs w:val="21"/>
          <w:highlight w:val="yellow"/>
        </w:rPr>
      </w:pPr>
      <w:bookmarkStart w:id="92" w:name="_Hlk192841671"/>
      <w:bookmarkStart w:id="93" w:name="_Hlk129933783"/>
    </w:p>
    <w:p w14:paraId="3B44CA15" w14:textId="1EA027D5" w:rsidR="00591FC0" w:rsidRPr="00591FC0" w:rsidRDefault="00591FC0" w:rsidP="00591FC0">
      <w:pPr>
        <w:spacing w:after="120"/>
      </w:pPr>
      <w:r w:rsidRPr="00591FC0">
        <w:t>Hlavní činnost byla zaměřena na odstraňování povodňových škod ze září 2024 v povodích Odry a Moravy za účelem obnovy majetku. Bylo zadáno 75 ks projektových dokumentací a zahájeno 54 staveb. Na tuto obnovu majetku bylo vynaloženo celkem 100,8 mil. Kč.</w:t>
      </w:r>
    </w:p>
    <w:p w14:paraId="2FC879DC" w14:textId="590966C9" w:rsidR="009054DF" w:rsidRPr="00591FC0" w:rsidRDefault="00591FC0" w:rsidP="00591FC0">
      <w:pPr>
        <w:spacing w:after="120"/>
        <w:rPr>
          <w:rFonts w:cs="Arial"/>
          <w:bCs/>
          <w:iCs/>
          <w:highlight w:val="yellow"/>
        </w:rPr>
      </w:pPr>
      <w:r w:rsidRPr="00591FC0">
        <w:t>V souvislosti s probíhajícími klimatickými změnami pokračoval program „Vracíme vodu lesu“ přispívající k zadržení vody v krajině. Cílem programu je realizace opatření pro zmírnění negativních následků sucha a stavu nedostatku vody. Jedná se o opatření cílená na zpomalení povrchového odtoku vody (revitalizace lesotechnických meliorací a vodních toků), vytváření a obnovu vodních prvků v krajině, např. tůní, mokřadů a malých vodních nádrží. Celkově bylo v tomto roce vynaloženo 295 mil. Kč, dokončeno 110 staveb a 90 drobných opatření v krajině.</w:t>
      </w:r>
    </w:p>
    <w:bookmarkEnd w:id="92"/>
    <w:p w14:paraId="14491BBF" w14:textId="50C7B852" w:rsidR="009054DF" w:rsidRPr="00F4744C" w:rsidRDefault="009054DF" w:rsidP="009054DF">
      <w:pPr>
        <w:rPr>
          <w:rFonts w:cs="Arial"/>
          <w:b/>
        </w:rPr>
      </w:pPr>
      <w:r w:rsidRPr="00F4744C">
        <w:rPr>
          <w:rFonts w:cs="Arial"/>
          <w:b/>
        </w:rPr>
        <w:t>Významnější opatření realizovaná v působnosti jednotlivých správ toků:</w:t>
      </w:r>
    </w:p>
    <w:p w14:paraId="53BA3BB6" w14:textId="77777777" w:rsidR="009054DF" w:rsidRPr="00F4744C" w:rsidRDefault="009054DF" w:rsidP="009054DF">
      <w:pPr>
        <w:rPr>
          <w:rFonts w:cs="Arial"/>
          <w:b/>
          <w:highlight w:val="yellow"/>
        </w:rPr>
      </w:pPr>
    </w:p>
    <w:p w14:paraId="2410D0D5" w14:textId="77777777" w:rsidR="00960561" w:rsidRPr="00F4744C" w:rsidRDefault="00960561" w:rsidP="00960561">
      <w:pPr>
        <w:pStyle w:val="adresat"/>
        <w:rPr>
          <w:rFonts w:ascii="Arial" w:hAnsi="Arial" w:cs="Arial"/>
          <w:sz w:val="22"/>
          <w:szCs w:val="22"/>
        </w:rPr>
      </w:pPr>
      <w:r w:rsidRPr="00F4744C">
        <w:rPr>
          <w:rFonts w:ascii="Arial" w:hAnsi="Arial" w:cs="Arial"/>
          <w:b/>
          <w:bCs/>
          <w:sz w:val="22"/>
          <w:szCs w:val="22"/>
        </w:rPr>
        <w:t>Správa toků – oblast povodí Odry</w:t>
      </w:r>
      <w:r w:rsidRPr="00F4744C">
        <w:rPr>
          <w:rFonts w:ascii="Arial" w:hAnsi="Arial" w:cs="Arial"/>
          <w:sz w:val="22"/>
          <w:szCs w:val="22"/>
        </w:rPr>
        <w:t xml:space="preserve"> byla v roce 2025 významně vytížena pokračujícími pracemi na odstraňování povodňových škod vzniklých v září 2024 na vodních tocích a vodohospodářském majetku ve své správě. Hlavní prioritou byla obnova koryt vodních toků v intravilánech obcí a měst, s cílem zajištění ochrany obyvatelstva a navazující infrastruktury. Mezi nejvýznamnější zabezpečovací akce patřilo zajištění úseku významné veřejné komunikace ve Zlatých Horách na Jesenicku na Černém potoce. Dokončeny byly zabezpečovací práce na povodní poškozeném korytě vodního toku </w:t>
      </w:r>
      <w:proofErr w:type="spellStart"/>
      <w:r w:rsidRPr="00F4744C">
        <w:rPr>
          <w:rFonts w:ascii="Arial" w:hAnsi="Arial" w:cs="Arial"/>
          <w:sz w:val="22"/>
          <w:szCs w:val="22"/>
        </w:rPr>
        <w:t>Krasovka</w:t>
      </w:r>
      <w:proofErr w:type="spellEnd"/>
      <w:r w:rsidRPr="00F4744C">
        <w:rPr>
          <w:rFonts w:ascii="Arial" w:hAnsi="Arial" w:cs="Arial"/>
          <w:sz w:val="22"/>
          <w:szCs w:val="22"/>
        </w:rPr>
        <w:t xml:space="preserve"> v Branticích a Krasově a na Kobylím potoce v úseku přibližně 9,5 km v obcích Krnov a Hošťálkovy, zahrnujícím celkem čtyři katastrální území. Současně byly obnoveny základní funkce vodních toků Střední Opava a Bílý potok u Vrbna pod Pradědem. Na území Beskyd byly zahájeny práce na odstraňování sedimentů z vodních toků </w:t>
      </w:r>
      <w:proofErr w:type="spellStart"/>
      <w:r w:rsidRPr="00F4744C">
        <w:rPr>
          <w:rFonts w:ascii="Arial" w:hAnsi="Arial" w:cs="Arial"/>
          <w:sz w:val="22"/>
          <w:szCs w:val="22"/>
        </w:rPr>
        <w:t>Jičínka</w:t>
      </w:r>
      <w:proofErr w:type="spellEnd"/>
      <w:r w:rsidRPr="00F4744C">
        <w:rPr>
          <w:rFonts w:ascii="Arial" w:hAnsi="Arial" w:cs="Arial"/>
          <w:sz w:val="22"/>
          <w:szCs w:val="22"/>
        </w:rPr>
        <w:t xml:space="preserve"> a </w:t>
      </w:r>
      <w:proofErr w:type="spellStart"/>
      <w:r w:rsidRPr="00F4744C">
        <w:rPr>
          <w:rFonts w:ascii="Arial" w:hAnsi="Arial" w:cs="Arial"/>
          <w:sz w:val="22"/>
          <w:szCs w:val="22"/>
        </w:rPr>
        <w:t>Zrzávka</w:t>
      </w:r>
      <w:proofErr w:type="spellEnd"/>
      <w:r w:rsidRPr="00F4744C">
        <w:rPr>
          <w:rFonts w:ascii="Arial" w:hAnsi="Arial" w:cs="Arial"/>
          <w:sz w:val="22"/>
          <w:szCs w:val="22"/>
        </w:rPr>
        <w:t xml:space="preserve"> na Novojičínsku. Dále došlo k obnovení retenčních kapacit přehrážek na </w:t>
      </w:r>
      <w:proofErr w:type="spellStart"/>
      <w:r w:rsidRPr="00F4744C">
        <w:rPr>
          <w:rFonts w:ascii="Arial" w:hAnsi="Arial" w:cs="Arial"/>
          <w:sz w:val="22"/>
          <w:szCs w:val="22"/>
        </w:rPr>
        <w:t>Děhylovském</w:t>
      </w:r>
      <w:proofErr w:type="spellEnd"/>
      <w:r w:rsidRPr="00F4744C">
        <w:rPr>
          <w:rFonts w:ascii="Arial" w:hAnsi="Arial" w:cs="Arial"/>
          <w:sz w:val="22"/>
          <w:szCs w:val="22"/>
        </w:rPr>
        <w:t xml:space="preserve"> potoce v Děhylově a na vodní nádrži </w:t>
      </w:r>
      <w:proofErr w:type="spellStart"/>
      <w:r w:rsidRPr="00F4744C">
        <w:rPr>
          <w:rFonts w:ascii="Arial" w:hAnsi="Arial" w:cs="Arial"/>
          <w:sz w:val="22"/>
          <w:szCs w:val="22"/>
        </w:rPr>
        <w:t>Sedlinka</w:t>
      </w:r>
      <w:proofErr w:type="spellEnd"/>
      <w:r w:rsidRPr="00F4744C">
        <w:rPr>
          <w:rFonts w:ascii="Arial" w:hAnsi="Arial" w:cs="Arial"/>
          <w:sz w:val="22"/>
          <w:szCs w:val="22"/>
        </w:rPr>
        <w:t xml:space="preserve"> na Opavsku.</w:t>
      </w:r>
    </w:p>
    <w:p w14:paraId="2D2CC226" w14:textId="77777777" w:rsidR="00211950" w:rsidRPr="00F4744C" w:rsidRDefault="00211950" w:rsidP="00960561">
      <w:pPr>
        <w:pStyle w:val="adresat"/>
        <w:rPr>
          <w:rFonts w:ascii="Arial" w:hAnsi="Arial" w:cs="Arial"/>
          <w:sz w:val="22"/>
          <w:szCs w:val="22"/>
        </w:rPr>
      </w:pPr>
    </w:p>
    <w:p w14:paraId="342837D9" w14:textId="64084ADC" w:rsidR="00960561" w:rsidRPr="00F4744C" w:rsidRDefault="00960561" w:rsidP="00960561">
      <w:pPr>
        <w:pStyle w:val="adresat"/>
        <w:rPr>
          <w:rFonts w:ascii="Arial" w:hAnsi="Arial" w:cs="Arial"/>
          <w:sz w:val="22"/>
          <w:szCs w:val="22"/>
        </w:rPr>
      </w:pPr>
      <w:r w:rsidRPr="00F4744C">
        <w:rPr>
          <w:rFonts w:ascii="Arial" w:hAnsi="Arial" w:cs="Arial"/>
          <w:sz w:val="22"/>
          <w:szCs w:val="22"/>
        </w:rPr>
        <w:t>Rovněž byla úspěšně dokončena čtvrtá etapa protipovodňových opatření na vodním toku Podolský potok v obci Stará Ves u Rýmařova v okrese Bruntál, financovaná z národního programu Prevence před povodněmi.</w:t>
      </w:r>
    </w:p>
    <w:p w14:paraId="05F349B7" w14:textId="77777777" w:rsidR="00960561" w:rsidRPr="00F4744C" w:rsidRDefault="00960561" w:rsidP="00960561">
      <w:pPr>
        <w:pStyle w:val="adresat"/>
        <w:rPr>
          <w:rFonts w:ascii="Arial" w:hAnsi="Arial" w:cs="Arial"/>
          <w:sz w:val="22"/>
          <w:szCs w:val="22"/>
        </w:rPr>
      </w:pPr>
      <w:r w:rsidRPr="00F4744C">
        <w:rPr>
          <w:rFonts w:ascii="Arial" w:hAnsi="Arial" w:cs="Arial"/>
          <w:sz w:val="22"/>
          <w:szCs w:val="22"/>
        </w:rPr>
        <w:t xml:space="preserve">Dále byly realizovány akce obnovy a rekonstrukce vodních nádrží na </w:t>
      </w:r>
      <w:proofErr w:type="gramStart"/>
      <w:r w:rsidRPr="00F4744C">
        <w:rPr>
          <w:rFonts w:ascii="Arial" w:hAnsi="Arial" w:cs="Arial"/>
          <w:sz w:val="22"/>
          <w:szCs w:val="22"/>
        </w:rPr>
        <w:t>Opavsku</w:t>
      </w:r>
      <w:proofErr w:type="gramEnd"/>
      <w:r w:rsidRPr="00F4744C">
        <w:rPr>
          <w:rFonts w:ascii="Arial" w:hAnsi="Arial" w:cs="Arial"/>
          <w:sz w:val="22"/>
          <w:szCs w:val="22"/>
        </w:rPr>
        <w:t xml:space="preserve"> a to nádrže Vítkov a Maria </w:t>
      </w:r>
      <w:proofErr w:type="spellStart"/>
      <w:r w:rsidRPr="00F4744C">
        <w:rPr>
          <w:rFonts w:ascii="Arial" w:hAnsi="Arial" w:cs="Arial"/>
          <w:sz w:val="22"/>
          <w:szCs w:val="22"/>
        </w:rPr>
        <w:t>Talhof</w:t>
      </w:r>
      <w:proofErr w:type="spellEnd"/>
      <w:r w:rsidRPr="00F4744C">
        <w:rPr>
          <w:rFonts w:ascii="Arial" w:hAnsi="Arial" w:cs="Arial"/>
          <w:sz w:val="22"/>
          <w:szCs w:val="22"/>
        </w:rPr>
        <w:t xml:space="preserve"> a soustava vodních nádrží Horní a Dolní </w:t>
      </w:r>
      <w:proofErr w:type="spellStart"/>
      <w:r w:rsidRPr="00F4744C">
        <w:rPr>
          <w:rFonts w:ascii="Arial" w:hAnsi="Arial" w:cs="Arial"/>
          <w:sz w:val="22"/>
          <w:szCs w:val="22"/>
        </w:rPr>
        <w:t>Sokolák</w:t>
      </w:r>
      <w:proofErr w:type="spellEnd"/>
      <w:r w:rsidRPr="00F4744C">
        <w:rPr>
          <w:rFonts w:ascii="Arial" w:hAnsi="Arial" w:cs="Arial"/>
          <w:sz w:val="22"/>
          <w:szCs w:val="22"/>
        </w:rPr>
        <w:t xml:space="preserve"> v obci Holčovice na Bruntálsku. Z prostředků Evropské unie se podařilo financovat a stavebně dokončit rovněž významný projekt dílčí obnovy hrazení bystřiny Lomná v Trojanovicích, realizovaný přírodě blízkým způsobem, a druhou etapu revitalizace vodního toku Kobylí potok v intravilánu okresního města Bruntál.</w:t>
      </w:r>
    </w:p>
    <w:p w14:paraId="615FA8B3" w14:textId="77777777" w:rsidR="00960561" w:rsidRPr="00F4744C" w:rsidRDefault="00960561" w:rsidP="00960561">
      <w:pPr>
        <w:pStyle w:val="adresat"/>
        <w:rPr>
          <w:rFonts w:ascii="Arial" w:hAnsi="Arial" w:cs="Arial"/>
          <w:sz w:val="22"/>
          <w:szCs w:val="22"/>
        </w:rPr>
      </w:pPr>
    </w:p>
    <w:p w14:paraId="2DD7D636" w14:textId="632F0396" w:rsidR="00960561" w:rsidRPr="00F4744C" w:rsidRDefault="00960561" w:rsidP="00960561">
      <w:pPr>
        <w:pStyle w:val="adresat"/>
        <w:rPr>
          <w:rFonts w:ascii="Arial" w:hAnsi="Arial" w:cs="Arial"/>
          <w:bCs/>
          <w:sz w:val="22"/>
          <w:szCs w:val="22"/>
        </w:rPr>
      </w:pPr>
      <w:r w:rsidRPr="00F4744C">
        <w:rPr>
          <w:rFonts w:ascii="Arial" w:hAnsi="Arial" w:cs="Arial"/>
          <w:b/>
          <w:sz w:val="22"/>
          <w:szCs w:val="22"/>
        </w:rPr>
        <w:t>Správa toků – oblast povodí Dyje</w:t>
      </w:r>
      <w:r w:rsidRPr="00F4744C">
        <w:rPr>
          <w:rFonts w:ascii="Arial" w:hAnsi="Arial" w:cs="Arial"/>
          <w:bCs/>
          <w:sz w:val="22"/>
          <w:szCs w:val="22"/>
        </w:rPr>
        <w:t xml:space="preserve"> zrekonstruovala z dotačního programu MZe retenční nádrž Bítov v okrese Znojmo, tři záchytné vodní hrázky v Krumlovské oboře u Moravského Krumlova a vodní nádrž </w:t>
      </w:r>
      <w:proofErr w:type="spellStart"/>
      <w:r w:rsidRPr="00F4744C">
        <w:rPr>
          <w:rFonts w:ascii="Arial" w:hAnsi="Arial" w:cs="Arial"/>
          <w:bCs/>
          <w:sz w:val="22"/>
          <w:szCs w:val="22"/>
        </w:rPr>
        <w:t>Šanderku</w:t>
      </w:r>
      <w:proofErr w:type="spellEnd"/>
      <w:r w:rsidRPr="00F4744C">
        <w:rPr>
          <w:rFonts w:ascii="Arial" w:hAnsi="Arial" w:cs="Arial"/>
          <w:bCs/>
          <w:sz w:val="22"/>
          <w:szCs w:val="22"/>
        </w:rPr>
        <w:t xml:space="preserve"> a </w:t>
      </w:r>
      <w:proofErr w:type="spellStart"/>
      <w:r w:rsidRPr="00F4744C">
        <w:rPr>
          <w:rFonts w:ascii="Arial" w:hAnsi="Arial" w:cs="Arial"/>
          <w:bCs/>
          <w:sz w:val="22"/>
          <w:szCs w:val="22"/>
        </w:rPr>
        <w:t>Neuhauserův</w:t>
      </w:r>
      <w:proofErr w:type="spellEnd"/>
      <w:r w:rsidRPr="00F4744C">
        <w:rPr>
          <w:rFonts w:ascii="Arial" w:hAnsi="Arial" w:cs="Arial"/>
          <w:bCs/>
          <w:sz w:val="22"/>
          <w:szCs w:val="22"/>
        </w:rPr>
        <w:t xml:space="preserve"> rybník v okrese Třebíč. Dále byly zrekonstruovány podélné a příčné úpravy koryt toků, např. </w:t>
      </w:r>
      <w:proofErr w:type="spellStart"/>
      <w:r w:rsidRPr="00F4744C">
        <w:rPr>
          <w:rFonts w:ascii="Arial" w:hAnsi="Arial" w:cs="Arial"/>
          <w:bCs/>
          <w:sz w:val="22"/>
          <w:szCs w:val="22"/>
        </w:rPr>
        <w:t>Ketkovický</w:t>
      </w:r>
      <w:proofErr w:type="spellEnd"/>
      <w:r w:rsidRPr="00F4744C">
        <w:rPr>
          <w:rFonts w:ascii="Arial" w:hAnsi="Arial" w:cs="Arial"/>
          <w:bCs/>
          <w:sz w:val="22"/>
          <w:szCs w:val="22"/>
        </w:rPr>
        <w:t xml:space="preserve"> potok v ř. km 0,55</w:t>
      </w:r>
      <w:r w:rsidR="004C68BA" w:rsidRPr="00F4744C">
        <w:rPr>
          <w:rFonts w:ascii="Arial" w:hAnsi="Arial" w:cs="Arial"/>
          <w:bCs/>
          <w:sz w:val="22"/>
          <w:szCs w:val="22"/>
        </w:rPr>
        <w:t>-</w:t>
      </w:r>
      <w:r w:rsidRPr="00F4744C">
        <w:rPr>
          <w:rFonts w:ascii="Arial" w:hAnsi="Arial" w:cs="Arial"/>
          <w:bCs/>
          <w:sz w:val="22"/>
          <w:szCs w:val="22"/>
        </w:rPr>
        <w:t xml:space="preserve">0,90 v obci Oslavany u Brna, Karlínský potok v ř. km 4,384-4,800 na Vysočině u Jihlavy a </w:t>
      </w:r>
      <w:proofErr w:type="spellStart"/>
      <w:r w:rsidRPr="00F4744C">
        <w:rPr>
          <w:rFonts w:ascii="Arial" w:hAnsi="Arial" w:cs="Arial"/>
          <w:bCs/>
          <w:sz w:val="22"/>
          <w:szCs w:val="22"/>
        </w:rPr>
        <w:t>Tresenský</w:t>
      </w:r>
      <w:proofErr w:type="spellEnd"/>
      <w:r w:rsidRPr="00F4744C">
        <w:rPr>
          <w:rFonts w:ascii="Arial" w:hAnsi="Arial" w:cs="Arial"/>
          <w:bCs/>
          <w:sz w:val="22"/>
          <w:szCs w:val="22"/>
        </w:rPr>
        <w:t xml:space="preserve"> potok v okrese Žďár nad Sázavou. Cílem těchto úprav je bezpečné převedení zvýšených průtoků a ochrana před povodní v intravilánech obcí. Ve veřejném zájmu byla dokončena realizace vodní nádrže Partyzán u obce Domamil na Vysočině. Z programu OPŽP byla realizována soustava tůní Jelení nedaleko Moravských Budějovic.</w:t>
      </w:r>
    </w:p>
    <w:p w14:paraId="70F112FC" w14:textId="77777777" w:rsidR="00211950" w:rsidRPr="00F4744C" w:rsidRDefault="00211950" w:rsidP="00960561">
      <w:pPr>
        <w:pStyle w:val="adresat"/>
        <w:rPr>
          <w:rFonts w:ascii="Arial" w:hAnsi="Arial" w:cs="Arial"/>
          <w:bCs/>
          <w:sz w:val="22"/>
          <w:szCs w:val="22"/>
        </w:rPr>
      </w:pPr>
    </w:p>
    <w:p w14:paraId="4C41A0C5" w14:textId="2920F8AF" w:rsidR="00960561" w:rsidRPr="00F4744C" w:rsidRDefault="00960561" w:rsidP="00960561">
      <w:pPr>
        <w:pStyle w:val="adresat"/>
        <w:rPr>
          <w:rFonts w:ascii="Arial" w:hAnsi="Arial" w:cs="Arial"/>
          <w:bCs/>
          <w:sz w:val="22"/>
          <w:szCs w:val="22"/>
        </w:rPr>
      </w:pPr>
      <w:r w:rsidRPr="00F4744C">
        <w:rPr>
          <w:rFonts w:ascii="Arial" w:hAnsi="Arial" w:cs="Arial"/>
          <w:bCs/>
          <w:sz w:val="22"/>
          <w:szCs w:val="22"/>
        </w:rPr>
        <w:t>V rámci zmírnění projevů klimatické změny pokračuje akce v evropsky významné lokalitě Soutok – Podluží na Břeclavsku, spočívající ve výstavbě klapkového jezu na řece Dyji a souvisejících revitalizačních opatření v dané lokalitě v podobě obnovy tůní, mokřadů a revitalizačních kanálů. V roce 2025 byla kompletně dokončena všechna související revitalizační opatření, která zahrnuje stavební objekt SO 02. Na klapkovém jezu byla osazena první ze dvou klapek a v současnosti probíhají přípravné práce k realizaci jeho druhé poloviny z levého břehu části toku řeky Dyje.</w:t>
      </w:r>
    </w:p>
    <w:p w14:paraId="0CC18687" w14:textId="77777777" w:rsidR="00960561" w:rsidRPr="00F4744C" w:rsidRDefault="00960561" w:rsidP="00960561">
      <w:pPr>
        <w:pStyle w:val="adresat"/>
        <w:rPr>
          <w:rFonts w:ascii="Arial" w:hAnsi="Arial" w:cs="Arial"/>
          <w:bCs/>
          <w:sz w:val="22"/>
          <w:szCs w:val="22"/>
        </w:rPr>
      </w:pPr>
    </w:p>
    <w:p w14:paraId="77529E2A" w14:textId="77777777" w:rsidR="00960561" w:rsidRPr="00F4744C" w:rsidRDefault="00960561" w:rsidP="00960561">
      <w:pPr>
        <w:pStyle w:val="adresat"/>
        <w:rPr>
          <w:rFonts w:ascii="Arial" w:hAnsi="Arial" w:cs="Arial"/>
          <w:sz w:val="22"/>
          <w:szCs w:val="22"/>
        </w:rPr>
      </w:pPr>
      <w:r w:rsidRPr="00F4744C">
        <w:rPr>
          <w:rFonts w:ascii="Arial" w:hAnsi="Arial" w:cs="Arial"/>
          <w:b/>
          <w:bCs/>
          <w:sz w:val="22"/>
          <w:szCs w:val="22"/>
        </w:rPr>
        <w:t>Správa toků – oblast povodí Labe</w:t>
      </w:r>
      <w:r w:rsidRPr="00F4744C">
        <w:rPr>
          <w:rFonts w:ascii="Arial" w:hAnsi="Arial" w:cs="Arial"/>
          <w:sz w:val="22"/>
          <w:szCs w:val="22"/>
        </w:rPr>
        <w:t xml:space="preserve"> dokončila rekonstrukci 4 stávajících vodních nádrží – Knížek u Jičína, </w:t>
      </w:r>
      <w:proofErr w:type="spellStart"/>
      <w:r w:rsidRPr="00F4744C">
        <w:rPr>
          <w:rFonts w:ascii="Arial" w:hAnsi="Arial" w:cs="Arial"/>
          <w:sz w:val="22"/>
          <w:szCs w:val="22"/>
        </w:rPr>
        <w:t>Petrkov</w:t>
      </w:r>
      <w:proofErr w:type="spellEnd"/>
      <w:r w:rsidRPr="00F4744C">
        <w:rPr>
          <w:rFonts w:ascii="Arial" w:hAnsi="Arial" w:cs="Arial"/>
          <w:sz w:val="22"/>
          <w:szCs w:val="22"/>
        </w:rPr>
        <w:t xml:space="preserve"> a Polom u Chrudimi a Nádrž u dolní chaty na Broumovsku. Byla provedena celková rekonstrukce technických prvků nádrží a odbahnění retenčního prostoru. Na Pardubicku byla vybudována nová nádrž Klárka. </w:t>
      </w:r>
    </w:p>
    <w:p w14:paraId="18A80CBF" w14:textId="77777777" w:rsidR="00211950" w:rsidRPr="00F4744C" w:rsidRDefault="00211950" w:rsidP="00960561">
      <w:pPr>
        <w:pStyle w:val="adresat"/>
        <w:rPr>
          <w:rFonts w:ascii="Arial" w:hAnsi="Arial" w:cs="Arial"/>
          <w:sz w:val="22"/>
          <w:szCs w:val="22"/>
        </w:rPr>
      </w:pPr>
    </w:p>
    <w:p w14:paraId="378AA925" w14:textId="6B723D56" w:rsidR="00960561" w:rsidRPr="00F4744C" w:rsidRDefault="00960561" w:rsidP="00960561">
      <w:pPr>
        <w:pStyle w:val="adresat"/>
        <w:rPr>
          <w:rFonts w:ascii="Arial" w:hAnsi="Arial" w:cs="Arial"/>
          <w:sz w:val="22"/>
          <w:szCs w:val="22"/>
        </w:rPr>
      </w:pPr>
      <w:r w:rsidRPr="00F4744C">
        <w:rPr>
          <w:rFonts w:ascii="Arial" w:hAnsi="Arial" w:cs="Arial"/>
          <w:sz w:val="22"/>
          <w:szCs w:val="22"/>
        </w:rPr>
        <w:t xml:space="preserve">Ve Frýdlantském výběžku byla dokončena revitalizace přítoku Ludvíkovského potoka v délce 290 m, doplněná osmi tůněmi. Dále byla u Trutnova revitalizován přítok </w:t>
      </w:r>
      <w:proofErr w:type="spellStart"/>
      <w:r w:rsidRPr="00F4744C">
        <w:rPr>
          <w:rFonts w:ascii="Arial" w:hAnsi="Arial" w:cs="Arial"/>
          <w:sz w:val="22"/>
          <w:szCs w:val="22"/>
        </w:rPr>
        <w:t>Heřmánkovického</w:t>
      </w:r>
      <w:proofErr w:type="spellEnd"/>
      <w:r w:rsidRPr="00F4744C">
        <w:rPr>
          <w:rFonts w:ascii="Arial" w:hAnsi="Arial" w:cs="Arial"/>
          <w:sz w:val="22"/>
          <w:szCs w:val="22"/>
        </w:rPr>
        <w:t xml:space="preserve"> potoka v délce 584 m a u Chrudimi Drahotický potok v délce 241 m.</w:t>
      </w:r>
    </w:p>
    <w:p w14:paraId="7F2103D0" w14:textId="77777777" w:rsidR="00211950" w:rsidRPr="00F4744C" w:rsidRDefault="00211950" w:rsidP="00960561">
      <w:pPr>
        <w:pStyle w:val="adresat"/>
        <w:rPr>
          <w:rFonts w:ascii="Arial" w:hAnsi="Arial" w:cs="Arial"/>
          <w:sz w:val="22"/>
          <w:szCs w:val="22"/>
        </w:rPr>
      </w:pPr>
    </w:p>
    <w:p w14:paraId="5D87BBE5" w14:textId="01FDC2A6" w:rsidR="00960561" w:rsidRPr="00F4744C" w:rsidRDefault="00960561" w:rsidP="00960561">
      <w:pPr>
        <w:pStyle w:val="adresat"/>
        <w:rPr>
          <w:rFonts w:ascii="Arial" w:hAnsi="Arial" w:cs="Arial"/>
          <w:sz w:val="22"/>
          <w:szCs w:val="22"/>
        </w:rPr>
      </w:pPr>
      <w:r w:rsidRPr="00F4744C">
        <w:rPr>
          <w:rFonts w:ascii="Arial" w:hAnsi="Arial" w:cs="Arial"/>
          <w:sz w:val="22"/>
          <w:szCs w:val="22"/>
        </w:rPr>
        <w:t>V intravilánu obce Bílý Potok pod Smrkem v Jizerských horách byla provedena na Hájeném potoce oprava po povodňových škodách ze září 2024. Na Bohdašínském potoce, nad intravilánem Nového Města nad Metují, byly provedeny údržbové práce spočívající v obnovení staveb sloužících pro stabilizaci koryta toku a obnovení kapacity retenčního prostoru přehrážek. Na levostranném přítoku Novohradky v </w:t>
      </w:r>
      <w:proofErr w:type="spellStart"/>
      <w:r w:rsidRPr="00F4744C">
        <w:rPr>
          <w:rFonts w:ascii="Arial" w:hAnsi="Arial" w:cs="Arial"/>
          <w:sz w:val="22"/>
          <w:szCs w:val="22"/>
        </w:rPr>
        <w:t>k.ú</w:t>
      </w:r>
      <w:proofErr w:type="spellEnd"/>
      <w:r w:rsidRPr="00F4744C">
        <w:rPr>
          <w:rFonts w:ascii="Arial" w:hAnsi="Arial" w:cs="Arial"/>
          <w:sz w:val="22"/>
          <w:szCs w:val="22"/>
        </w:rPr>
        <w:t xml:space="preserve">. Střítež u Skutče byla realizována obnova původní gabionové přehrážky. </w:t>
      </w:r>
    </w:p>
    <w:p w14:paraId="3B4016A9" w14:textId="77777777" w:rsidR="00960561" w:rsidRPr="00F4744C" w:rsidRDefault="00960561" w:rsidP="00960561">
      <w:pPr>
        <w:pStyle w:val="adresat"/>
        <w:rPr>
          <w:rFonts w:ascii="Arial" w:hAnsi="Arial" w:cs="Arial"/>
          <w:sz w:val="22"/>
          <w:szCs w:val="22"/>
        </w:rPr>
      </w:pPr>
    </w:p>
    <w:p w14:paraId="24B21C66" w14:textId="77777777" w:rsidR="00960561" w:rsidRPr="00F4744C" w:rsidRDefault="00960561" w:rsidP="00960561">
      <w:pPr>
        <w:pStyle w:val="adresat"/>
        <w:rPr>
          <w:rFonts w:ascii="Arial" w:hAnsi="Arial" w:cs="Arial"/>
          <w:sz w:val="22"/>
          <w:szCs w:val="22"/>
        </w:rPr>
      </w:pPr>
      <w:r w:rsidRPr="00F4744C">
        <w:rPr>
          <w:rFonts w:ascii="Arial" w:hAnsi="Arial" w:cs="Arial"/>
          <w:sz w:val="22"/>
          <w:szCs w:val="22"/>
        </w:rPr>
        <w:t xml:space="preserve">Na </w:t>
      </w:r>
      <w:r w:rsidRPr="00F4744C">
        <w:rPr>
          <w:rFonts w:ascii="Arial" w:hAnsi="Arial" w:cs="Arial"/>
          <w:b/>
          <w:sz w:val="22"/>
          <w:szCs w:val="22"/>
        </w:rPr>
        <w:t xml:space="preserve">Správě toků – oblast povodí Vltavy </w:t>
      </w:r>
      <w:r w:rsidRPr="00F4744C">
        <w:rPr>
          <w:rFonts w:ascii="Arial" w:hAnsi="Arial" w:cs="Arial"/>
          <w:bCs/>
          <w:sz w:val="22"/>
          <w:szCs w:val="22"/>
        </w:rPr>
        <w:t>b</w:t>
      </w:r>
      <w:r w:rsidRPr="00F4744C">
        <w:rPr>
          <w:rFonts w:ascii="Arial" w:hAnsi="Arial" w:cs="Arial"/>
          <w:sz w:val="22"/>
          <w:szCs w:val="22"/>
        </w:rPr>
        <w:t xml:space="preserve">yly </w:t>
      </w:r>
      <w:r w:rsidRPr="00F4744C">
        <w:rPr>
          <w:rFonts w:ascii="Arial" w:hAnsi="Arial" w:cs="Arial"/>
          <w:bCs/>
          <w:sz w:val="22"/>
          <w:szCs w:val="22"/>
        </w:rPr>
        <w:t xml:space="preserve">z dotačního programu MZe </w:t>
      </w:r>
      <w:r w:rsidRPr="00F4744C">
        <w:rPr>
          <w:rFonts w:ascii="Arial" w:hAnsi="Arial" w:cs="Arial"/>
          <w:sz w:val="22"/>
          <w:szCs w:val="22"/>
        </w:rPr>
        <w:t xml:space="preserve">dokončeny stavební práce na vodních nádržích Nicov u Vimperka, </w:t>
      </w:r>
      <w:proofErr w:type="spellStart"/>
      <w:r w:rsidRPr="00F4744C">
        <w:rPr>
          <w:rFonts w:ascii="Arial" w:hAnsi="Arial" w:cs="Arial"/>
          <w:sz w:val="22"/>
          <w:szCs w:val="22"/>
        </w:rPr>
        <w:t>Bojčov</w:t>
      </w:r>
      <w:proofErr w:type="spellEnd"/>
      <w:r w:rsidRPr="00F4744C">
        <w:rPr>
          <w:rFonts w:ascii="Arial" w:hAnsi="Arial" w:cs="Arial"/>
          <w:sz w:val="22"/>
          <w:szCs w:val="22"/>
        </w:rPr>
        <w:t xml:space="preserve"> na Prachaticku, Svobodů u Třeboně a Nová Ves u Božejova v okrese Pelhřimov. U Týna nad Vltavou došlo k rekonstrukci opevnění a čištění přítoku Bohunického potoka.</w:t>
      </w:r>
    </w:p>
    <w:p w14:paraId="24708EFB" w14:textId="77777777" w:rsidR="003D20A4" w:rsidRDefault="003D20A4" w:rsidP="00960561">
      <w:pPr>
        <w:pStyle w:val="adresat"/>
        <w:rPr>
          <w:rFonts w:ascii="Arial" w:hAnsi="Arial" w:cs="Arial"/>
          <w:sz w:val="22"/>
          <w:szCs w:val="22"/>
        </w:rPr>
      </w:pPr>
    </w:p>
    <w:p w14:paraId="5FF84813" w14:textId="74C77F6E" w:rsidR="00960561" w:rsidRPr="00F4744C" w:rsidRDefault="00960561" w:rsidP="00960561">
      <w:pPr>
        <w:pStyle w:val="adresat"/>
        <w:rPr>
          <w:rFonts w:ascii="Arial" w:hAnsi="Arial" w:cs="Arial"/>
          <w:sz w:val="22"/>
          <w:szCs w:val="22"/>
        </w:rPr>
      </w:pPr>
      <w:r w:rsidRPr="00F4744C">
        <w:rPr>
          <w:rFonts w:ascii="Arial" w:hAnsi="Arial" w:cs="Arial"/>
          <w:sz w:val="22"/>
          <w:szCs w:val="22"/>
        </w:rPr>
        <w:t xml:space="preserve">Ve spolupráci s ochranou přírody byla na Třeboňsku financována akce Tůň Barbora. Ve veřejném zájmu byly realizovány akce VN Vrzák na Vysočině a přehrážka na </w:t>
      </w:r>
      <w:proofErr w:type="spellStart"/>
      <w:r w:rsidRPr="00F4744C">
        <w:rPr>
          <w:rFonts w:ascii="Arial" w:hAnsi="Arial" w:cs="Arial"/>
          <w:sz w:val="22"/>
          <w:szCs w:val="22"/>
        </w:rPr>
        <w:t>Pravětínském</w:t>
      </w:r>
      <w:proofErr w:type="spellEnd"/>
      <w:r w:rsidRPr="00F4744C">
        <w:rPr>
          <w:rFonts w:ascii="Arial" w:hAnsi="Arial" w:cs="Arial"/>
          <w:sz w:val="22"/>
          <w:szCs w:val="22"/>
        </w:rPr>
        <w:t xml:space="preserve"> potoce u Vimperka. </w:t>
      </w:r>
    </w:p>
    <w:p w14:paraId="73981A72" w14:textId="77777777" w:rsidR="00211950" w:rsidRPr="00F4744C" w:rsidRDefault="00211950" w:rsidP="00960561">
      <w:pPr>
        <w:pStyle w:val="adresat"/>
        <w:rPr>
          <w:rFonts w:ascii="Arial" w:hAnsi="Arial" w:cs="Arial"/>
          <w:sz w:val="22"/>
          <w:szCs w:val="22"/>
        </w:rPr>
      </w:pPr>
    </w:p>
    <w:p w14:paraId="52F1E4A2" w14:textId="309C3488" w:rsidR="00960561" w:rsidRPr="00F4744C" w:rsidRDefault="00960561" w:rsidP="00960561">
      <w:pPr>
        <w:pStyle w:val="adresat"/>
        <w:rPr>
          <w:rFonts w:ascii="Arial" w:hAnsi="Arial" w:cs="Arial"/>
          <w:sz w:val="22"/>
          <w:szCs w:val="22"/>
        </w:rPr>
      </w:pPr>
      <w:r w:rsidRPr="00F4744C">
        <w:rPr>
          <w:rFonts w:ascii="Arial" w:hAnsi="Arial" w:cs="Arial"/>
          <w:sz w:val="22"/>
          <w:szCs w:val="22"/>
        </w:rPr>
        <w:t xml:space="preserve">Mezi nejvýznamnější akce v rámci ochrany přírody a krajiny, které byly financované z dotačního programu Evropské unie OPŽP, patří revitalizace přítoků Chlumského potoka v Křemžské kotlině a přítoku Svinenského potoka u Českého Krumlova, revitalizace Dubenského a Borového potoka v okrese České Budějovice, na Táborsku III. etapa revitalizace </w:t>
      </w:r>
      <w:proofErr w:type="spellStart"/>
      <w:r w:rsidRPr="00F4744C">
        <w:rPr>
          <w:rFonts w:ascii="Arial" w:hAnsi="Arial" w:cs="Arial"/>
          <w:sz w:val="22"/>
          <w:szCs w:val="22"/>
        </w:rPr>
        <w:t>Borkovických</w:t>
      </w:r>
      <w:proofErr w:type="spellEnd"/>
      <w:r w:rsidRPr="00F4744C">
        <w:rPr>
          <w:rFonts w:ascii="Arial" w:hAnsi="Arial" w:cs="Arial"/>
          <w:sz w:val="22"/>
          <w:szCs w:val="22"/>
        </w:rPr>
        <w:t xml:space="preserve"> blat a další.</w:t>
      </w:r>
    </w:p>
    <w:p w14:paraId="60BD1F7C" w14:textId="77777777" w:rsidR="00211950" w:rsidRPr="00F4744C" w:rsidRDefault="00211950" w:rsidP="00960561">
      <w:pPr>
        <w:pStyle w:val="adresat"/>
        <w:rPr>
          <w:rFonts w:ascii="Arial" w:hAnsi="Arial" w:cs="Arial"/>
          <w:sz w:val="22"/>
          <w:szCs w:val="22"/>
        </w:rPr>
      </w:pPr>
    </w:p>
    <w:p w14:paraId="24DCEBA0" w14:textId="2D3B8DD6" w:rsidR="00960561" w:rsidRPr="00F4744C" w:rsidRDefault="00960561" w:rsidP="00960561">
      <w:pPr>
        <w:pStyle w:val="adresat"/>
        <w:rPr>
          <w:rFonts w:ascii="Arial" w:hAnsi="Arial" w:cs="Arial"/>
          <w:sz w:val="22"/>
          <w:szCs w:val="22"/>
        </w:rPr>
      </w:pPr>
      <w:r w:rsidRPr="00F4744C">
        <w:rPr>
          <w:rFonts w:ascii="Arial" w:hAnsi="Arial" w:cs="Arial"/>
          <w:sz w:val="22"/>
          <w:szCs w:val="22"/>
        </w:rPr>
        <w:t xml:space="preserve">V rámci odstraňování povodňových škod z roku 2024 na Českobudějovicku byly dokončeny stavební práce na vodních nádržích Dolejší, Hořejší a Prostřední Strouha, tocích Černá stoka, </w:t>
      </w:r>
      <w:proofErr w:type="spellStart"/>
      <w:r w:rsidRPr="00F4744C">
        <w:rPr>
          <w:rFonts w:ascii="Arial" w:hAnsi="Arial" w:cs="Arial"/>
          <w:sz w:val="22"/>
          <w:szCs w:val="22"/>
        </w:rPr>
        <w:t>Todeňský</w:t>
      </w:r>
      <w:proofErr w:type="spellEnd"/>
      <w:r w:rsidRPr="00F4744C">
        <w:rPr>
          <w:rFonts w:ascii="Arial" w:hAnsi="Arial" w:cs="Arial"/>
          <w:sz w:val="22"/>
          <w:szCs w:val="22"/>
        </w:rPr>
        <w:t xml:space="preserve"> a Zábořský potok a dalších.</w:t>
      </w:r>
    </w:p>
    <w:p w14:paraId="4A482B9F" w14:textId="77777777" w:rsidR="00960561" w:rsidRPr="00F4744C" w:rsidRDefault="00960561" w:rsidP="00960561">
      <w:pPr>
        <w:pStyle w:val="adresat"/>
        <w:rPr>
          <w:rFonts w:ascii="Arial" w:hAnsi="Arial" w:cs="Arial"/>
          <w:sz w:val="22"/>
          <w:szCs w:val="22"/>
        </w:rPr>
      </w:pPr>
      <w:r w:rsidRPr="00F4744C">
        <w:rPr>
          <w:rFonts w:ascii="Arial" w:hAnsi="Arial" w:cs="Arial"/>
          <w:sz w:val="22"/>
          <w:szCs w:val="22"/>
        </w:rPr>
        <w:t xml:space="preserve">Dokončeny byly stavební práce na akcích Soustava VN Tichá, VN Rybná, čištění a oprava Schwarzenberského kanálu, tůně u Vimperka a II. etapa revitalizace vodních poměrů lesních půd </w:t>
      </w:r>
      <w:proofErr w:type="spellStart"/>
      <w:r w:rsidRPr="00F4744C">
        <w:rPr>
          <w:rFonts w:ascii="Arial" w:hAnsi="Arial" w:cs="Arial"/>
          <w:sz w:val="22"/>
          <w:szCs w:val="22"/>
        </w:rPr>
        <w:t>Křížovna</w:t>
      </w:r>
      <w:proofErr w:type="spellEnd"/>
      <w:r w:rsidRPr="00F4744C">
        <w:rPr>
          <w:rFonts w:ascii="Arial" w:hAnsi="Arial" w:cs="Arial"/>
          <w:sz w:val="22"/>
          <w:szCs w:val="22"/>
        </w:rPr>
        <w:t xml:space="preserve"> u Pelhřimova.</w:t>
      </w:r>
    </w:p>
    <w:p w14:paraId="4DBE4C13" w14:textId="77777777" w:rsidR="00960561" w:rsidRPr="00F4744C" w:rsidRDefault="00960561" w:rsidP="00960561">
      <w:pPr>
        <w:pStyle w:val="adresat"/>
        <w:rPr>
          <w:rFonts w:ascii="Arial" w:hAnsi="Arial" w:cs="Arial"/>
          <w:sz w:val="22"/>
          <w:szCs w:val="22"/>
        </w:rPr>
      </w:pPr>
    </w:p>
    <w:p w14:paraId="18796286" w14:textId="77777777" w:rsidR="00960561" w:rsidRPr="00F4744C" w:rsidRDefault="00960561" w:rsidP="00960561">
      <w:pPr>
        <w:pStyle w:val="adresat"/>
        <w:rPr>
          <w:rFonts w:ascii="Arial" w:hAnsi="Arial" w:cs="Arial"/>
          <w:sz w:val="22"/>
          <w:szCs w:val="22"/>
        </w:rPr>
      </w:pPr>
      <w:r w:rsidRPr="00F4744C">
        <w:rPr>
          <w:rFonts w:ascii="Arial" w:hAnsi="Arial" w:cs="Arial"/>
          <w:b/>
          <w:bCs/>
          <w:sz w:val="22"/>
          <w:szCs w:val="22"/>
        </w:rPr>
        <w:t xml:space="preserve">Správa toků – oblast povodí Berounky </w:t>
      </w:r>
      <w:r w:rsidRPr="00F4744C">
        <w:rPr>
          <w:rFonts w:ascii="Arial" w:hAnsi="Arial" w:cs="Arial"/>
          <w:sz w:val="22"/>
          <w:szCs w:val="22"/>
        </w:rPr>
        <w:t xml:space="preserve">dokončila rekonstrukce a opravy celkem osmi vodních nádrží. Konkrétně byly obnoveny historické vodní nádrže U Indiánů u obce Planá na Tachovsku nebo vodní nádrž Pod </w:t>
      </w:r>
      <w:proofErr w:type="spellStart"/>
      <w:r w:rsidRPr="00F4744C">
        <w:rPr>
          <w:rFonts w:ascii="Arial" w:hAnsi="Arial" w:cs="Arial"/>
          <w:sz w:val="22"/>
          <w:szCs w:val="22"/>
        </w:rPr>
        <w:t>Prenetem</w:t>
      </w:r>
      <w:proofErr w:type="spellEnd"/>
      <w:r w:rsidRPr="00F4744C">
        <w:rPr>
          <w:rFonts w:ascii="Arial" w:hAnsi="Arial" w:cs="Arial"/>
          <w:sz w:val="22"/>
          <w:szCs w:val="22"/>
        </w:rPr>
        <w:t xml:space="preserve"> v CHKO Šumava. Dále proběhla oprava a údržba dvou nádrží Kvapilova jezírka u Chudenic na Domažlicku a byla dokončena rekonstrukce tří nádrží ze soustavy Krásná Dolina nedaleko Rakovníka. </w:t>
      </w:r>
    </w:p>
    <w:p w14:paraId="57CF264C" w14:textId="77777777" w:rsidR="00211950" w:rsidRPr="00F4744C" w:rsidRDefault="00211950" w:rsidP="00960561">
      <w:pPr>
        <w:pStyle w:val="adresat"/>
        <w:rPr>
          <w:rFonts w:ascii="Arial" w:hAnsi="Arial" w:cs="Arial"/>
          <w:sz w:val="22"/>
          <w:szCs w:val="22"/>
        </w:rPr>
      </w:pPr>
    </w:p>
    <w:p w14:paraId="03C57E8F" w14:textId="526DC298" w:rsidR="00960561" w:rsidRPr="00F4744C" w:rsidRDefault="00960561" w:rsidP="00960561">
      <w:pPr>
        <w:pStyle w:val="adresat"/>
        <w:rPr>
          <w:rFonts w:ascii="Arial" w:hAnsi="Arial" w:cs="Arial"/>
          <w:sz w:val="22"/>
          <w:szCs w:val="22"/>
        </w:rPr>
      </w:pPr>
      <w:r w:rsidRPr="00F4744C">
        <w:rPr>
          <w:rFonts w:ascii="Arial" w:hAnsi="Arial" w:cs="Arial"/>
          <w:sz w:val="22"/>
          <w:szCs w:val="22"/>
        </w:rPr>
        <w:t xml:space="preserve">Na vodním toku </w:t>
      </w:r>
      <w:proofErr w:type="spellStart"/>
      <w:r w:rsidRPr="00F4744C">
        <w:rPr>
          <w:rFonts w:ascii="Arial" w:hAnsi="Arial" w:cs="Arial"/>
          <w:sz w:val="22"/>
          <w:szCs w:val="22"/>
        </w:rPr>
        <w:t>Kejná</w:t>
      </w:r>
      <w:proofErr w:type="spellEnd"/>
      <w:r w:rsidRPr="00F4744C">
        <w:rPr>
          <w:rFonts w:ascii="Arial" w:hAnsi="Arial" w:cs="Arial"/>
          <w:sz w:val="22"/>
          <w:szCs w:val="22"/>
        </w:rPr>
        <w:t xml:space="preserve"> byla vybudována kamenná retenční přehrážka a rovněž vyčištěny retenční prostory čtyř stávajících přehrážek. V okrese Beroun, obci Broumy, došlo k opravě poškozeného podélného opevnění koryta, kamenných stupňů a odstranění sedimentů. V rámci spolupráce s ochranou přírody v Českém lese byla vybudována opatření zajišťující stabilizaci vodního režimu v přírodní rezervaci Jezírka u Rozvadova, která je zaměřena na ochranu lesního vrchoviště s rašelinnými jezírky a typickými chráněnými společenstvy. </w:t>
      </w:r>
    </w:p>
    <w:p w14:paraId="4A94D930" w14:textId="77777777" w:rsidR="00960561" w:rsidRPr="00F4744C" w:rsidRDefault="00960561" w:rsidP="00960561">
      <w:pPr>
        <w:pStyle w:val="adresat"/>
        <w:rPr>
          <w:rFonts w:ascii="Arial" w:hAnsi="Arial" w:cs="Arial"/>
          <w:sz w:val="22"/>
          <w:szCs w:val="22"/>
        </w:rPr>
      </w:pPr>
    </w:p>
    <w:p w14:paraId="4B5CEAD7" w14:textId="77777777" w:rsidR="00960561" w:rsidRPr="00F4744C" w:rsidRDefault="00960561" w:rsidP="00960561">
      <w:pPr>
        <w:pStyle w:val="adresat"/>
        <w:rPr>
          <w:rFonts w:ascii="Arial" w:hAnsi="Arial" w:cs="Arial"/>
          <w:sz w:val="22"/>
          <w:szCs w:val="22"/>
        </w:rPr>
      </w:pPr>
      <w:r w:rsidRPr="00F4744C">
        <w:rPr>
          <w:rFonts w:ascii="Arial" w:hAnsi="Arial" w:cs="Arial"/>
          <w:b/>
          <w:bCs/>
          <w:sz w:val="22"/>
          <w:szCs w:val="22"/>
        </w:rPr>
        <w:t>Správa toků – oblast povodí Ohře</w:t>
      </w:r>
      <w:r w:rsidRPr="00F4744C">
        <w:rPr>
          <w:rFonts w:ascii="Arial" w:hAnsi="Arial" w:cs="Arial"/>
          <w:sz w:val="22"/>
          <w:szCs w:val="22"/>
        </w:rPr>
        <w:t xml:space="preserve"> se</w:t>
      </w:r>
      <w:r w:rsidRPr="00F4744C">
        <w:rPr>
          <w:rFonts w:ascii="Arial" w:hAnsi="Arial" w:cs="Arial"/>
          <w:b/>
          <w:bCs/>
          <w:sz w:val="22"/>
          <w:szCs w:val="22"/>
        </w:rPr>
        <w:t xml:space="preserve"> </w:t>
      </w:r>
      <w:r w:rsidRPr="00F4744C">
        <w:rPr>
          <w:rFonts w:ascii="Arial" w:hAnsi="Arial" w:cs="Arial"/>
          <w:sz w:val="22"/>
          <w:szCs w:val="22"/>
        </w:rPr>
        <w:t xml:space="preserve">v uplynulém roce zaměřila převážně na realizaci drobných vodních nádrží v severních Čechách. Proběhla obnova vodních nádrží Malý a Velký Radní rybník na Litvínovsku. Mělké vodní nádrže Malý a Velký Radní rybník tvoří od nynějška opět cenný biotop pro obojživelníky a vodní ptactvo. Na vodní nádrži Rovná byla provedena I. etapa rozsáhlé údržby.         </w:t>
      </w:r>
    </w:p>
    <w:p w14:paraId="46DDEA40" w14:textId="77777777" w:rsidR="00211950" w:rsidRPr="00F4744C" w:rsidRDefault="00211950" w:rsidP="00960561">
      <w:pPr>
        <w:pStyle w:val="adresat"/>
        <w:rPr>
          <w:rFonts w:ascii="Arial" w:hAnsi="Arial" w:cs="Arial"/>
          <w:sz w:val="22"/>
          <w:szCs w:val="22"/>
        </w:rPr>
      </w:pPr>
    </w:p>
    <w:p w14:paraId="46AA233B" w14:textId="40FD0CB9" w:rsidR="00960561" w:rsidRPr="00F4744C" w:rsidRDefault="00960561" w:rsidP="00960561">
      <w:pPr>
        <w:pStyle w:val="adresat"/>
        <w:rPr>
          <w:rFonts w:ascii="Arial" w:hAnsi="Arial" w:cs="Arial"/>
          <w:sz w:val="22"/>
          <w:szCs w:val="22"/>
        </w:rPr>
      </w:pPr>
      <w:r w:rsidRPr="00F4744C">
        <w:rPr>
          <w:rFonts w:ascii="Arial" w:hAnsi="Arial" w:cs="Arial"/>
          <w:sz w:val="22"/>
          <w:szCs w:val="22"/>
        </w:rPr>
        <w:t xml:space="preserve">Ve veřejném zájmu v rámci podpory a ochrany funkcí lesa proběhla oprava soustavy tří </w:t>
      </w:r>
      <w:proofErr w:type="spellStart"/>
      <w:r w:rsidRPr="00F4744C">
        <w:rPr>
          <w:rFonts w:ascii="Arial" w:hAnsi="Arial" w:cs="Arial"/>
          <w:sz w:val="22"/>
          <w:szCs w:val="22"/>
        </w:rPr>
        <w:t>Chobolických</w:t>
      </w:r>
      <w:proofErr w:type="spellEnd"/>
      <w:r w:rsidRPr="00F4744C">
        <w:rPr>
          <w:rFonts w:ascii="Arial" w:hAnsi="Arial" w:cs="Arial"/>
          <w:sz w:val="22"/>
          <w:szCs w:val="22"/>
        </w:rPr>
        <w:t xml:space="preserve"> rybníků na Litoměřicku, rekonstrukce Lažanského rybníka v blízkosti Dolního Žandova na Chebsku a vybudování soustavy dvou průtočných vodních ploch Horní a Dolní Zlaťák nedaleko města Bečov nad Teplou.  Provádí se rekonstrukce dožilé části soustavy hrazení bystřin „Strž Vlčí důl“ nad obcí Libouchec na Děčínsku. </w:t>
      </w:r>
    </w:p>
    <w:p w14:paraId="57EAA04B" w14:textId="77777777" w:rsidR="00211950" w:rsidRPr="00F4744C" w:rsidRDefault="00211950" w:rsidP="00960561">
      <w:pPr>
        <w:pStyle w:val="adresat"/>
        <w:rPr>
          <w:rFonts w:ascii="Arial" w:hAnsi="Arial" w:cs="Arial"/>
          <w:sz w:val="22"/>
          <w:szCs w:val="22"/>
        </w:rPr>
      </w:pPr>
    </w:p>
    <w:p w14:paraId="08166235" w14:textId="4A70794F" w:rsidR="00960561" w:rsidRPr="00F4744C" w:rsidRDefault="00960561" w:rsidP="00960561">
      <w:pPr>
        <w:pStyle w:val="adresat"/>
        <w:rPr>
          <w:rFonts w:ascii="Arial" w:hAnsi="Arial" w:cs="Arial"/>
          <w:sz w:val="22"/>
          <w:szCs w:val="22"/>
        </w:rPr>
      </w:pPr>
      <w:r w:rsidRPr="00F4744C">
        <w:rPr>
          <w:rFonts w:ascii="Arial" w:hAnsi="Arial" w:cs="Arial"/>
          <w:sz w:val="22"/>
          <w:szCs w:val="22"/>
        </w:rPr>
        <w:t>Z dotačního programu MZe byla spolufinancována oprava historického liniového opevnění toku na Červeném potoce, pravostranném přítoku Jílovského potoka v okrese Děčín. V rámci drobných opatření byla vytvořena Tůň pod Sedlem II. nebo Tůň u Ryškovy vodárny na Litoměřicku.</w:t>
      </w:r>
    </w:p>
    <w:p w14:paraId="5DC24193" w14:textId="77777777" w:rsidR="00960561" w:rsidRPr="00F4744C" w:rsidRDefault="00960561" w:rsidP="00960561">
      <w:pPr>
        <w:pStyle w:val="adresat"/>
        <w:rPr>
          <w:rFonts w:ascii="Arial" w:hAnsi="Arial" w:cs="Arial"/>
          <w:sz w:val="22"/>
          <w:szCs w:val="22"/>
        </w:rPr>
      </w:pPr>
    </w:p>
    <w:p w14:paraId="005A98B2" w14:textId="77777777" w:rsidR="00960561" w:rsidRPr="00F4744C" w:rsidRDefault="00960561" w:rsidP="00960561">
      <w:pPr>
        <w:pStyle w:val="adresat"/>
        <w:rPr>
          <w:rFonts w:ascii="Arial" w:hAnsi="Arial" w:cs="Arial"/>
          <w:sz w:val="22"/>
          <w:szCs w:val="22"/>
        </w:rPr>
      </w:pPr>
      <w:r w:rsidRPr="00F4744C">
        <w:rPr>
          <w:rFonts w:ascii="Arial" w:hAnsi="Arial" w:cs="Arial"/>
          <w:b/>
          <w:bCs/>
          <w:sz w:val="22"/>
          <w:szCs w:val="22"/>
        </w:rPr>
        <w:t>Správa toků – oblast povodí Moravy</w:t>
      </w:r>
      <w:r w:rsidRPr="00F4744C">
        <w:rPr>
          <w:rFonts w:ascii="Arial" w:hAnsi="Arial" w:cs="Arial"/>
          <w:sz w:val="22"/>
          <w:szCs w:val="22"/>
        </w:rPr>
        <w:t xml:space="preserve"> dokončila s podporou dotací MZe rekonstrukce opevnění koryt v okrese Vsetín na vodním toku Seninka, Lýkový potok v Jablůnce a Černý potok v Huslenkách a Halenkově. </w:t>
      </w:r>
    </w:p>
    <w:p w14:paraId="2EA0948B" w14:textId="77777777" w:rsidR="00960561" w:rsidRPr="00F4744C" w:rsidRDefault="00960561" w:rsidP="00960561">
      <w:pPr>
        <w:pStyle w:val="adresat"/>
        <w:rPr>
          <w:rFonts w:ascii="Arial" w:hAnsi="Arial" w:cs="Arial"/>
          <w:sz w:val="22"/>
          <w:szCs w:val="22"/>
        </w:rPr>
      </w:pPr>
      <w:r w:rsidRPr="00F4744C">
        <w:rPr>
          <w:rFonts w:ascii="Arial" w:hAnsi="Arial" w:cs="Arial"/>
          <w:sz w:val="22"/>
          <w:szCs w:val="22"/>
        </w:rPr>
        <w:t xml:space="preserve">Odstraňování nánosů bylo prováděno na </w:t>
      </w:r>
      <w:proofErr w:type="spellStart"/>
      <w:r w:rsidRPr="00F4744C">
        <w:rPr>
          <w:rFonts w:ascii="Arial" w:hAnsi="Arial" w:cs="Arial"/>
          <w:sz w:val="22"/>
          <w:szCs w:val="22"/>
        </w:rPr>
        <w:t>Hajnušovském</w:t>
      </w:r>
      <w:proofErr w:type="spellEnd"/>
      <w:r w:rsidRPr="00F4744C">
        <w:rPr>
          <w:rFonts w:ascii="Arial" w:hAnsi="Arial" w:cs="Arial"/>
          <w:sz w:val="22"/>
          <w:szCs w:val="22"/>
        </w:rPr>
        <w:t xml:space="preserve"> potoce v Hošťálkové, na VT Loučka v Dlouhomilově a Hrabišíně, na Dráhovém potoce v Jablůnce a na retenční nádrži Divoký potok v </w:t>
      </w:r>
      <w:proofErr w:type="spellStart"/>
      <w:r w:rsidRPr="00F4744C">
        <w:rPr>
          <w:rFonts w:ascii="Arial" w:hAnsi="Arial" w:cs="Arial"/>
          <w:sz w:val="22"/>
          <w:szCs w:val="22"/>
        </w:rPr>
        <w:t>Čuníně</w:t>
      </w:r>
      <w:proofErr w:type="spellEnd"/>
      <w:r w:rsidRPr="00F4744C">
        <w:rPr>
          <w:rFonts w:ascii="Arial" w:hAnsi="Arial" w:cs="Arial"/>
          <w:sz w:val="22"/>
          <w:szCs w:val="22"/>
        </w:rPr>
        <w:t xml:space="preserve">. Čištěny byly i toky Obůrek v Želechovicích nad Dřevnicí, </w:t>
      </w:r>
      <w:proofErr w:type="spellStart"/>
      <w:r w:rsidRPr="00F4744C">
        <w:rPr>
          <w:rFonts w:ascii="Arial" w:hAnsi="Arial" w:cs="Arial"/>
          <w:sz w:val="22"/>
          <w:szCs w:val="22"/>
        </w:rPr>
        <w:t>Holomňa</w:t>
      </w:r>
      <w:proofErr w:type="spellEnd"/>
      <w:r w:rsidRPr="00F4744C">
        <w:rPr>
          <w:rFonts w:ascii="Arial" w:hAnsi="Arial" w:cs="Arial"/>
          <w:sz w:val="22"/>
          <w:szCs w:val="22"/>
        </w:rPr>
        <w:t xml:space="preserve"> v Dobrkovicích, </w:t>
      </w:r>
      <w:proofErr w:type="spellStart"/>
      <w:r w:rsidRPr="00F4744C">
        <w:rPr>
          <w:rFonts w:ascii="Arial" w:hAnsi="Arial" w:cs="Arial"/>
          <w:sz w:val="22"/>
          <w:szCs w:val="22"/>
        </w:rPr>
        <w:t>Svébohovský</w:t>
      </w:r>
      <w:proofErr w:type="spellEnd"/>
      <w:r w:rsidRPr="00F4744C">
        <w:rPr>
          <w:rFonts w:ascii="Arial" w:hAnsi="Arial" w:cs="Arial"/>
          <w:sz w:val="22"/>
          <w:szCs w:val="22"/>
        </w:rPr>
        <w:t xml:space="preserve"> ve Svébohově a další.</w:t>
      </w:r>
    </w:p>
    <w:p w14:paraId="616F74F5" w14:textId="77777777" w:rsidR="00960561" w:rsidRPr="00F4744C" w:rsidRDefault="00960561" w:rsidP="00960561">
      <w:pPr>
        <w:pStyle w:val="adresat"/>
        <w:rPr>
          <w:rFonts w:ascii="Arial" w:hAnsi="Arial" w:cs="Arial"/>
          <w:b/>
          <w:sz w:val="22"/>
          <w:szCs w:val="22"/>
        </w:rPr>
      </w:pPr>
      <w:r w:rsidRPr="00F4744C">
        <w:rPr>
          <w:rFonts w:ascii="Arial" w:hAnsi="Arial" w:cs="Arial"/>
          <w:sz w:val="22"/>
          <w:szCs w:val="22"/>
        </w:rPr>
        <w:t xml:space="preserve">Revitalizací přímé trati vodního toku </w:t>
      </w:r>
      <w:proofErr w:type="spellStart"/>
      <w:r w:rsidRPr="00F4744C">
        <w:rPr>
          <w:rFonts w:ascii="Arial" w:hAnsi="Arial" w:cs="Arial"/>
          <w:sz w:val="22"/>
          <w:szCs w:val="22"/>
        </w:rPr>
        <w:t>Ospirský</w:t>
      </w:r>
      <w:proofErr w:type="spellEnd"/>
      <w:r w:rsidRPr="00F4744C">
        <w:rPr>
          <w:rFonts w:ascii="Arial" w:hAnsi="Arial" w:cs="Arial"/>
          <w:sz w:val="22"/>
          <w:szCs w:val="22"/>
        </w:rPr>
        <w:t xml:space="preserve"> došlo ke zrušení technicky upraveného koryta a bylo vytvořeno nové přírodě blízké koryto s průtočnými i neprůtočnými tůněmi. </w:t>
      </w:r>
    </w:p>
    <w:p w14:paraId="1B5045C7" w14:textId="400FB97A" w:rsidR="00017E8C" w:rsidRPr="00F4744C" w:rsidRDefault="00017E8C" w:rsidP="00C43F40">
      <w:pPr>
        <w:pStyle w:val="adresat"/>
        <w:rPr>
          <w:rFonts w:ascii="Arial" w:hAnsi="Arial" w:cs="Arial"/>
          <w:color w:val="auto"/>
          <w:sz w:val="22"/>
          <w:szCs w:val="22"/>
        </w:rPr>
      </w:pPr>
    </w:p>
    <w:bookmarkEnd w:id="93"/>
    <w:p w14:paraId="78228004" w14:textId="1A40BFE2" w:rsidR="00196259" w:rsidRPr="00F4744C" w:rsidRDefault="00196259" w:rsidP="00C43F40">
      <w:pPr>
        <w:rPr>
          <w:rFonts w:cs="Arial"/>
          <w:color w:val="FF0000"/>
        </w:rPr>
      </w:pPr>
    </w:p>
    <w:p w14:paraId="1E653098" w14:textId="77777777" w:rsidR="00196259" w:rsidRPr="00F4744C" w:rsidRDefault="00196259">
      <w:pPr>
        <w:jc w:val="left"/>
        <w:rPr>
          <w:color w:val="FF0000"/>
          <w:highlight w:val="yellow"/>
        </w:rPr>
      </w:pPr>
      <w:r w:rsidRPr="00F4744C">
        <w:rPr>
          <w:color w:val="FF0000"/>
          <w:highlight w:val="yellow"/>
        </w:rPr>
        <w:br w:type="page"/>
      </w:r>
    </w:p>
    <w:p w14:paraId="5E9603A0" w14:textId="457CC0C5" w:rsidR="004F3115" w:rsidRPr="00581913" w:rsidRDefault="00547C0E">
      <w:pPr>
        <w:pStyle w:val="Nadpis1"/>
        <w:numPr>
          <w:ilvl w:val="0"/>
          <w:numId w:val="13"/>
        </w:numPr>
      </w:pPr>
      <w:bookmarkStart w:id="94" w:name="_Toc236991627"/>
      <w:bookmarkEnd w:id="50"/>
      <w:r w:rsidRPr="00581913">
        <w:t>P</w:t>
      </w:r>
      <w:r w:rsidR="00C32C5C" w:rsidRPr="00581913">
        <w:t>OZEMKOVÉ ÚPRAVY A MELIORAČNÍ STAVBY</w:t>
      </w:r>
      <w:bookmarkEnd w:id="91"/>
      <w:bookmarkEnd w:id="94"/>
    </w:p>
    <w:p w14:paraId="1D414A29" w14:textId="77777777" w:rsidR="004C77AA" w:rsidRPr="00104F7D" w:rsidRDefault="004C77AA" w:rsidP="007C4955">
      <w:pPr>
        <w:contextualSpacing/>
        <w:rPr>
          <w:rStyle w:val="Siln"/>
          <w:rFonts w:eastAsia="Arial Unicode MS" w:cs="Arial"/>
          <w:color w:val="FF0000"/>
          <w:highlight w:val="yellow"/>
          <w:lang w:eastAsia="cs-CZ"/>
        </w:rPr>
      </w:pPr>
    </w:p>
    <w:p w14:paraId="5997223D" w14:textId="25D441FC" w:rsidR="00502443" w:rsidRDefault="002535DF" w:rsidP="00502443">
      <w:pPr>
        <w:rPr>
          <w:rStyle w:val="Siln"/>
          <w:bCs w:val="0"/>
          <w:i/>
        </w:rPr>
      </w:pPr>
      <w:bookmarkStart w:id="95" w:name="_Hlk142378740"/>
      <w:r w:rsidRPr="00502443">
        <w:rPr>
          <w:b/>
          <w:i/>
        </w:rPr>
        <w:t>Pozemkové úpravy</w:t>
      </w:r>
      <w:bookmarkEnd w:id="95"/>
    </w:p>
    <w:p w14:paraId="592DD484" w14:textId="77777777" w:rsidR="00502443" w:rsidRDefault="00502443" w:rsidP="00502443">
      <w:pPr>
        <w:rPr>
          <w:b/>
          <w:i/>
        </w:rPr>
      </w:pPr>
    </w:p>
    <w:p w14:paraId="16096E08" w14:textId="77777777" w:rsidR="00502443" w:rsidRDefault="00502443" w:rsidP="00E15F69">
      <w:pPr>
        <w:rPr>
          <w:rFonts w:eastAsia="Times New Roman" w:cs="Arial"/>
          <w:b/>
          <w:bCs/>
          <w:color w:val="1D1D1B"/>
          <w:lang w:eastAsia="cs-CZ"/>
        </w:rPr>
      </w:pPr>
      <w:r w:rsidRPr="00A7139A">
        <w:rPr>
          <w:rFonts w:eastAsia="Times New Roman" w:cs="Arial"/>
          <w:b/>
          <w:bCs/>
          <w:color w:val="1D1D1B"/>
          <w:lang w:eastAsia="cs-CZ"/>
        </w:rPr>
        <w:t xml:space="preserve">V roce 2025 bylo prioritou pozemkových úprav dlouhodobé zadržení vody v krajině, protierozní a protipovodňová ochrana a zpřístupnění pozemků, tedy budování vodních nádrží, poldrů, mokřadů, biokoridorů a polních cest včetně výsadeb pro rozvoj krajinné mikrostruktury a snížení erozního smyvu na orné půdě. </w:t>
      </w:r>
    </w:p>
    <w:p w14:paraId="7B9ABC3F" w14:textId="77777777" w:rsidR="00E15F69" w:rsidRDefault="00E15F69" w:rsidP="00E15F69">
      <w:pPr>
        <w:rPr>
          <w:rFonts w:eastAsia="Times New Roman" w:cs="Arial"/>
          <w:b/>
          <w:bCs/>
          <w:color w:val="1D1D1B"/>
          <w:lang w:eastAsia="cs-CZ"/>
        </w:rPr>
      </w:pPr>
    </w:p>
    <w:p w14:paraId="02CEE3A7" w14:textId="33DB355B" w:rsidR="00502443" w:rsidRPr="00A7139A" w:rsidRDefault="00502443" w:rsidP="00E15F69">
      <w:pPr>
        <w:rPr>
          <w:rFonts w:eastAsia="Times New Roman" w:cs="Arial"/>
          <w:b/>
          <w:bCs/>
          <w:color w:val="1D1D1B"/>
          <w:lang w:eastAsia="cs-CZ"/>
        </w:rPr>
      </w:pPr>
      <w:r w:rsidRPr="00A7139A">
        <w:rPr>
          <w:rFonts w:eastAsia="Times New Roman" w:cs="Arial"/>
          <w:b/>
          <w:bCs/>
          <w:color w:val="1D1D1B"/>
          <w:lang w:eastAsia="cs-CZ"/>
        </w:rPr>
        <w:t>Kompetentním orgánem pro provádění pozemkových úprav podle zákona č. 139/2002 Sb., o pozemkových úpravách a pozemkových úřadech, a o změně zákona č. 229/1991 Sb., o úpravě vlastnických vztahů k půdě a jinému zemědělskému majetku, ve znění pozdějších předpisů a prováděcí vyhlášky č. 13/2014 Sb., je Státní pozemkový úřad (SPÚ).</w:t>
      </w:r>
    </w:p>
    <w:p w14:paraId="77B422B3" w14:textId="77777777" w:rsidR="00070B47" w:rsidRDefault="00070B47" w:rsidP="00E15F69">
      <w:pPr>
        <w:rPr>
          <w:rFonts w:eastAsia="Times New Roman" w:cs="Arial"/>
          <w:color w:val="1D1D1B"/>
          <w:lang w:eastAsia="cs-CZ"/>
        </w:rPr>
      </w:pPr>
    </w:p>
    <w:p w14:paraId="1C074EF6" w14:textId="48C63A37" w:rsidR="00A36A2E" w:rsidRPr="00A7139A" w:rsidRDefault="00A36A2E" w:rsidP="00E15F69">
      <w:pPr>
        <w:rPr>
          <w:rFonts w:eastAsia="Times New Roman" w:cs="Arial"/>
          <w:color w:val="1D1D1B"/>
          <w:lang w:eastAsia="cs-CZ"/>
        </w:rPr>
      </w:pPr>
      <w:r w:rsidRPr="00A7139A">
        <w:rPr>
          <w:rFonts w:eastAsia="Times New Roman" w:cs="Arial"/>
          <w:color w:val="1D1D1B"/>
          <w:lang w:eastAsia="cs-CZ"/>
        </w:rPr>
        <w:t>Pozemkové úpravy se provádějí jako komplexní (</w:t>
      </w:r>
      <w:proofErr w:type="spellStart"/>
      <w:r w:rsidRPr="00A7139A">
        <w:rPr>
          <w:rFonts w:eastAsia="Times New Roman" w:cs="Arial"/>
          <w:color w:val="1D1D1B"/>
          <w:lang w:eastAsia="cs-CZ"/>
        </w:rPr>
        <w:t>KoPÚ</w:t>
      </w:r>
      <w:proofErr w:type="spellEnd"/>
      <w:r w:rsidRPr="00A7139A">
        <w:rPr>
          <w:rFonts w:eastAsia="Times New Roman" w:cs="Arial"/>
          <w:color w:val="1D1D1B"/>
          <w:lang w:eastAsia="cs-CZ"/>
        </w:rPr>
        <w:t xml:space="preserve">), příp. jako jednoduché (JPÚ). </w:t>
      </w:r>
      <w:r>
        <w:rPr>
          <w:rFonts w:eastAsia="Times New Roman" w:cs="Arial"/>
          <w:color w:val="1D1D1B"/>
          <w:lang w:eastAsia="cs-CZ"/>
        </w:rPr>
        <w:br/>
      </w:r>
      <w:r w:rsidRPr="00A7139A">
        <w:rPr>
          <w:rFonts w:eastAsia="Times New Roman" w:cs="Arial"/>
          <w:color w:val="1D1D1B"/>
          <w:lang w:eastAsia="cs-CZ"/>
        </w:rPr>
        <w:t xml:space="preserve">V současné době jsou </w:t>
      </w:r>
      <w:proofErr w:type="spellStart"/>
      <w:r w:rsidRPr="00A7139A">
        <w:rPr>
          <w:rFonts w:eastAsia="Times New Roman" w:cs="Arial"/>
          <w:color w:val="1D1D1B"/>
          <w:lang w:eastAsia="cs-CZ"/>
        </w:rPr>
        <w:t>KoPÚ</w:t>
      </w:r>
      <w:proofErr w:type="spellEnd"/>
      <w:r w:rsidRPr="00A7139A">
        <w:rPr>
          <w:rFonts w:eastAsia="Times New Roman" w:cs="Arial"/>
          <w:color w:val="1D1D1B"/>
          <w:lang w:eastAsia="cs-CZ"/>
        </w:rPr>
        <w:t xml:space="preserve"> a JPÚ provedeny na 44,5 % výměry zemědělského půdního fondu, na dalších zhruba 11,9 % zemědělské půdy pozemkové úpravy probíhají. Na jejich návrhy včetně dalších neinvestičních činností bylo v roce 2025 vynaloženo cca 553 mil. Kč. </w:t>
      </w:r>
      <w:r w:rsidRPr="00A7139A">
        <w:rPr>
          <w:rFonts w:eastAsia="Times New Roman" w:cs="Arial"/>
          <w:color w:val="1D1D1B"/>
          <w:lang w:eastAsia="cs-CZ"/>
        </w:rPr>
        <w:br/>
        <w:t xml:space="preserve">Jedním z hlavních výsledků zejména </w:t>
      </w:r>
      <w:proofErr w:type="spellStart"/>
      <w:r w:rsidRPr="00A7139A">
        <w:rPr>
          <w:rFonts w:eastAsia="Times New Roman" w:cs="Arial"/>
          <w:color w:val="1D1D1B"/>
          <w:lang w:eastAsia="cs-CZ"/>
        </w:rPr>
        <w:t>KoPÚ</w:t>
      </w:r>
      <w:proofErr w:type="spellEnd"/>
      <w:r w:rsidRPr="00A7139A">
        <w:rPr>
          <w:rFonts w:eastAsia="Times New Roman" w:cs="Arial"/>
          <w:color w:val="1D1D1B"/>
          <w:lang w:eastAsia="cs-CZ"/>
        </w:rPr>
        <w:t xml:space="preserve"> je kromě nové digitální katastrální mapy také plán společných zařízení, který je úzce spjat s územním plánem obce. Je schvalován obecním zastupitelstvem a pozemky určené pro umístění společných zařízení jsou zpravidla převáděny právě do vlastnictví obce.</w:t>
      </w:r>
    </w:p>
    <w:p w14:paraId="36B62138" w14:textId="77777777" w:rsidR="00070B47" w:rsidRDefault="00070B47" w:rsidP="00E15F69">
      <w:pPr>
        <w:rPr>
          <w:rFonts w:cs="Arial"/>
          <w:color w:val="1D1D1B"/>
        </w:rPr>
      </w:pPr>
    </w:p>
    <w:p w14:paraId="5F6CF8C0" w14:textId="16A0D188" w:rsidR="00A36A2E" w:rsidRDefault="00A36A2E" w:rsidP="00E15F69">
      <w:pPr>
        <w:rPr>
          <w:rFonts w:cs="Arial"/>
          <w:color w:val="1D1D1B"/>
        </w:rPr>
      </w:pPr>
      <w:r w:rsidRPr="000F732C">
        <w:rPr>
          <w:rFonts w:cs="Arial"/>
          <w:color w:val="1D1D1B"/>
        </w:rPr>
        <w:t xml:space="preserve">V roce 2025 byla prostřednictvím Státního pozemkového úřadu realizována vodohospodářská opatření o výměře 11 ha za více než 58,5 mil. Kč, protierozní opatření o výměře 2,5 ha </w:t>
      </w:r>
      <w:r>
        <w:rPr>
          <w:rFonts w:cs="Arial"/>
          <w:color w:val="1D1D1B"/>
        </w:rPr>
        <w:br/>
      </w:r>
      <w:r w:rsidRPr="000F732C">
        <w:rPr>
          <w:rFonts w:cs="Arial"/>
          <w:color w:val="1D1D1B"/>
        </w:rPr>
        <w:t xml:space="preserve">za přibližně 11 mil. Kč, ekologická opatření o výměře 38 ha za cca 50 mil. Kč a polní cesty </w:t>
      </w:r>
      <w:r>
        <w:rPr>
          <w:rFonts w:cs="Arial"/>
          <w:color w:val="1D1D1B"/>
        </w:rPr>
        <w:br/>
      </w:r>
      <w:r w:rsidRPr="000F732C">
        <w:rPr>
          <w:rFonts w:cs="Arial"/>
          <w:color w:val="1D1D1B"/>
        </w:rPr>
        <w:t>v délce 134 km za více než 1 m</w:t>
      </w:r>
      <w:r>
        <w:rPr>
          <w:rFonts w:cs="Arial"/>
          <w:color w:val="1D1D1B"/>
        </w:rPr>
        <w:t>ld. Kč</w:t>
      </w:r>
      <w:r w:rsidRPr="000F732C">
        <w:rPr>
          <w:rFonts w:cs="Arial"/>
          <w:color w:val="1D1D1B"/>
        </w:rPr>
        <w:t>. Do cen výstavby polních cest se promítla dodatečná alokace finančních prostředků z Programu rozvoje venkova s prodlouženým termínem do 31.</w:t>
      </w:r>
      <w:r w:rsidR="00821092">
        <w:rPr>
          <w:rFonts w:cs="Arial"/>
          <w:color w:val="1D1D1B"/>
        </w:rPr>
        <w:t xml:space="preserve"> </w:t>
      </w:r>
      <w:r w:rsidRPr="000F732C">
        <w:rPr>
          <w:rFonts w:cs="Arial"/>
          <w:color w:val="1D1D1B"/>
        </w:rPr>
        <w:t>10. 2025.</w:t>
      </w:r>
    </w:p>
    <w:p w14:paraId="2A6D4673" w14:textId="77777777" w:rsidR="00070B47" w:rsidRDefault="00070B47" w:rsidP="00E15F69">
      <w:pPr>
        <w:rPr>
          <w:rFonts w:eastAsia="Times New Roman" w:cs="Arial"/>
          <w:color w:val="1D1D1B"/>
          <w:lang w:eastAsia="cs-CZ"/>
        </w:rPr>
      </w:pPr>
    </w:p>
    <w:p w14:paraId="728FBF3B" w14:textId="61F26082" w:rsidR="00A36A2E" w:rsidRDefault="00A36A2E" w:rsidP="00E15F69">
      <w:pPr>
        <w:rPr>
          <w:rFonts w:eastAsia="Times New Roman" w:cs="Arial"/>
          <w:color w:val="1D1D1B"/>
          <w:lang w:eastAsia="cs-CZ"/>
        </w:rPr>
      </w:pPr>
      <w:r>
        <w:rPr>
          <w:rFonts w:eastAsia="Times New Roman" w:cs="Arial"/>
          <w:color w:val="1D1D1B"/>
          <w:lang w:eastAsia="cs-CZ"/>
        </w:rPr>
        <w:t>Celkově byla od</w:t>
      </w:r>
      <w:r w:rsidRPr="00A7139A">
        <w:rPr>
          <w:rFonts w:eastAsia="Times New Roman" w:cs="Arial"/>
          <w:color w:val="1D1D1B"/>
          <w:lang w:eastAsia="cs-CZ"/>
        </w:rPr>
        <w:t xml:space="preserve"> roku 1991 do konce roku 2025 v rámci pozemkových úprav vybudována vodohospodářská opatření na ploše více než 901 ha, protierozní opatření na rozloze přibližně 978 ha, 2092 ha ekologických opatření a cca 4 tis. km polních cest. </w:t>
      </w:r>
    </w:p>
    <w:p w14:paraId="23146EFB" w14:textId="77777777" w:rsidR="00070B47" w:rsidRDefault="00070B47" w:rsidP="00E15F69">
      <w:pPr>
        <w:rPr>
          <w:rFonts w:eastAsia="Times New Roman" w:cs="Arial"/>
          <w:color w:val="1D1D1B"/>
          <w:lang w:eastAsia="cs-CZ"/>
        </w:rPr>
      </w:pPr>
    </w:p>
    <w:p w14:paraId="0FA82057" w14:textId="04253950" w:rsidR="00A36A2E" w:rsidRPr="00A7139A" w:rsidRDefault="00A36A2E" w:rsidP="00E15F69">
      <w:pPr>
        <w:rPr>
          <w:rFonts w:cs="Arial"/>
          <w:color w:val="1D1D1B"/>
        </w:rPr>
      </w:pPr>
      <w:r w:rsidRPr="00A7139A">
        <w:rPr>
          <w:rFonts w:eastAsia="Times New Roman" w:cs="Arial"/>
          <w:color w:val="1D1D1B"/>
          <w:lang w:eastAsia="cs-CZ"/>
        </w:rPr>
        <w:t xml:space="preserve">Všechna tato opatření (nazývaná tzv. společná zařízení) jsou v rámci pozemkových úprav obvykle navrhována jako polyfunkční se vzájemnou synergií, např. polní cesty jsou doplněny svodnými a záchytnými příkopy, nově navržené pozemky jsou rozděleny mezemi, průlehy nebo protierozními hrázkami doplněnými výsadbou keřů a stromů, v okolí budovaných vodních nádrží a podél cest je rovněž doplněna výsadba zeleně. Opatření tedy kromě dopravní a ekologické funkce slouží také k ochraně půdy a zlepšení hospodaření s vodou v krajině. </w:t>
      </w:r>
    </w:p>
    <w:p w14:paraId="223FBADC" w14:textId="77777777" w:rsidR="00070B47" w:rsidRDefault="00070B47" w:rsidP="00E15F69">
      <w:pPr>
        <w:rPr>
          <w:rFonts w:cs="Arial"/>
          <w:color w:val="1D1D1B"/>
        </w:rPr>
      </w:pPr>
    </w:p>
    <w:p w14:paraId="3FED5E48" w14:textId="3D3480D8" w:rsidR="00A36A2E" w:rsidRPr="00A7139A" w:rsidRDefault="00A36A2E" w:rsidP="00E15F69">
      <w:pPr>
        <w:rPr>
          <w:rFonts w:cs="Arial"/>
          <w:color w:val="1D1D1B"/>
        </w:rPr>
      </w:pPr>
      <w:r w:rsidRPr="00A7139A">
        <w:rPr>
          <w:rFonts w:cs="Arial"/>
          <w:color w:val="1D1D1B"/>
        </w:rPr>
        <w:t xml:space="preserve">Aby bylo možné budovat v krajině uvedená opatření, je zapotřebí zajistit pro jejich realizaci vhodné pozemky. Nejúčinnějším nástrojem pro nové uspořádání pozemků v krajině jsou právě pozemkové úpravy, kterými se ve veřejném zájmu uspořádávají vlastnické vztahy k pozemkům a vytvářejí podmínky pro racionální hospodaření vlastníků půdy. Současně se jimi zajišťují podmínky pro zlepšení životního prostředí, ochrany a zúrodnění půdního fondu, lesního a vodního hospodářství, zejména v oblasti snižování nepříznivých účinků povodní a sucha, řešení odtokových poměrů a zvýšení ekologické stability krajiny. </w:t>
      </w:r>
    </w:p>
    <w:p w14:paraId="7839A62E" w14:textId="77777777" w:rsidR="00070B47" w:rsidRDefault="00070B47" w:rsidP="00E15F69">
      <w:pPr>
        <w:rPr>
          <w:rFonts w:eastAsia="Times New Roman" w:cs="Arial"/>
          <w:lang w:eastAsia="cs-CZ"/>
        </w:rPr>
      </w:pPr>
    </w:p>
    <w:p w14:paraId="1046BE3C" w14:textId="01F03BFA" w:rsidR="00A36A2E" w:rsidRDefault="00A36A2E" w:rsidP="00E15F69">
      <w:pPr>
        <w:rPr>
          <w:rFonts w:cs="Arial"/>
        </w:rPr>
      </w:pPr>
      <w:r w:rsidRPr="00A7139A">
        <w:rPr>
          <w:rFonts w:eastAsia="Times New Roman" w:cs="Arial"/>
          <w:lang w:eastAsia="cs-CZ"/>
        </w:rPr>
        <w:t xml:space="preserve">Díky pozemkovým úpravám a souvisejícím vyjasněným vlastnickým vztahům může SPÚ následně navržená opatření realizovat. Návrhy pozemkových úprav a realizaci společných zařízení zajišťuje SPÚ průběžným čerpáním finančních prostředků z rozpočtu SPÚ, příslušných fondů EU (Program rozvoje venkova, Národní plán obnovy), a dalších (Ředitelství silnic a dálnic, rozpočty obcí a měst, soukromé subjekty). V současné době jsou realizace financovány z prostředků Strategického plánu Společné zemědělské politiky na období 2023–2027. Přednostně jsou realizovány projekty napomáhající snížení negativního dopadu klimatických změn. </w:t>
      </w:r>
      <w:r w:rsidRPr="00A7139A">
        <w:rPr>
          <w:rFonts w:cs="Arial"/>
        </w:rPr>
        <w:t>To znamená ta opatření, která přispějí ke snížení dopadu zemědělského sucha, ochraně zemědělské půdy před erozí nebo povodněmi, zlepšení vodního režimu v krajině, nebo ke zvýšení ekologické stability krajiny formou ÚSES a výsadby zeleně mimo les.</w:t>
      </w:r>
    </w:p>
    <w:p w14:paraId="27D0FD1E" w14:textId="77777777" w:rsidR="00B84432" w:rsidRPr="00104F7D" w:rsidRDefault="00B84432" w:rsidP="00E15F69">
      <w:pPr>
        <w:contextualSpacing/>
        <w:rPr>
          <w:rFonts w:cs="Arial"/>
          <w:b/>
          <w:i/>
          <w:color w:val="FF0000"/>
          <w:highlight w:val="yellow"/>
        </w:rPr>
      </w:pPr>
    </w:p>
    <w:p w14:paraId="1F44FCBC" w14:textId="37CC4DCC" w:rsidR="008F5078" w:rsidRPr="00BA1A65" w:rsidRDefault="008F5078" w:rsidP="007C4955">
      <w:pPr>
        <w:contextualSpacing/>
        <w:rPr>
          <w:rFonts w:cs="Arial"/>
          <w:b/>
          <w:i/>
        </w:rPr>
      </w:pPr>
      <w:r w:rsidRPr="00BA1A65">
        <w:rPr>
          <w:rFonts w:cs="Arial"/>
          <w:b/>
          <w:i/>
        </w:rPr>
        <w:t xml:space="preserve">Tabulka </w:t>
      </w:r>
      <w:r w:rsidR="00E63214" w:rsidRPr="00BA1A65">
        <w:rPr>
          <w:rFonts w:cs="Arial"/>
          <w:b/>
          <w:i/>
        </w:rPr>
        <w:t>7.</w:t>
      </w:r>
      <w:r w:rsidRPr="00BA1A65">
        <w:rPr>
          <w:rFonts w:cs="Arial"/>
          <w:b/>
          <w:i/>
        </w:rPr>
        <w:t xml:space="preserve">1 </w:t>
      </w:r>
    </w:p>
    <w:p w14:paraId="5FA68573" w14:textId="5B25C836" w:rsidR="002535DF" w:rsidRPr="00BA1A65" w:rsidRDefault="00BE1B2D" w:rsidP="007C4955">
      <w:pPr>
        <w:contextualSpacing/>
        <w:rPr>
          <w:rFonts w:cs="Arial"/>
          <w:b/>
          <w:i/>
        </w:rPr>
      </w:pPr>
      <w:r w:rsidRPr="00BA1A65">
        <w:rPr>
          <w:rFonts w:cs="Arial"/>
          <w:b/>
          <w:i/>
        </w:rPr>
        <w:t xml:space="preserve">Státní pozemkový úřad – </w:t>
      </w:r>
      <w:r w:rsidR="008F5078" w:rsidRPr="00BA1A65">
        <w:rPr>
          <w:rFonts w:cs="Arial"/>
          <w:b/>
          <w:i/>
        </w:rPr>
        <w:t>Použití finančních prostředků v pozemkových úpravách v roce 202</w:t>
      </w:r>
      <w:r w:rsidR="004D0853">
        <w:rPr>
          <w:rFonts w:cs="Arial"/>
          <w:b/>
          <w:i/>
        </w:rPr>
        <w:t>5</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1134"/>
        <w:gridCol w:w="992"/>
        <w:gridCol w:w="993"/>
        <w:gridCol w:w="1134"/>
        <w:gridCol w:w="1417"/>
        <w:gridCol w:w="1134"/>
        <w:gridCol w:w="992"/>
        <w:gridCol w:w="1134"/>
      </w:tblGrid>
      <w:tr w:rsidR="00186037" w:rsidRPr="00BA1A65" w14:paraId="780D1E76" w14:textId="77777777" w:rsidTr="00047063">
        <w:trPr>
          <w:trHeight w:val="522"/>
        </w:trPr>
        <w:tc>
          <w:tcPr>
            <w:tcW w:w="1843" w:type="dxa"/>
            <w:gridSpan w:val="2"/>
            <w:tcBorders>
              <w:top w:val="single" w:sz="4" w:space="0" w:color="auto"/>
              <w:left w:val="single" w:sz="4" w:space="0" w:color="auto"/>
              <w:bottom w:val="single" w:sz="4" w:space="0" w:color="auto"/>
              <w:right w:val="single" w:sz="4" w:space="0" w:color="auto"/>
            </w:tcBorders>
            <w:shd w:val="clear" w:color="auto" w:fill="AEAAAA"/>
            <w:vAlign w:val="center"/>
            <w:hideMark/>
          </w:tcPr>
          <w:p w14:paraId="0CCE7484" w14:textId="77777777" w:rsidR="008F5078" w:rsidRPr="00BA1A65" w:rsidRDefault="008F5078" w:rsidP="007C4955">
            <w:pPr>
              <w:contextualSpacing/>
              <w:jc w:val="center"/>
              <w:rPr>
                <w:rFonts w:cs="Arial"/>
                <w:b/>
                <w:bCs/>
                <w:sz w:val="18"/>
                <w:szCs w:val="18"/>
              </w:rPr>
            </w:pPr>
            <w:r w:rsidRPr="00BA1A65">
              <w:rPr>
                <w:rFonts w:cs="Arial"/>
                <w:b/>
                <w:bCs/>
                <w:sz w:val="18"/>
                <w:szCs w:val="18"/>
              </w:rPr>
              <w:t xml:space="preserve">Neinvestiční </w:t>
            </w:r>
          </w:p>
          <w:p w14:paraId="67589370" w14:textId="77777777" w:rsidR="008F5078" w:rsidRPr="00BA1A65" w:rsidRDefault="008F5078" w:rsidP="007C4955">
            <w:pPr>
              <w:contextualSpacing/>
              <w:jc w:val="center"/>
              <w:rPr>
                <w:rFonts w:cs="Arial"/>
                <w:b/>
                <w:bCs/>
                <w:sz w:val="18"/>
                <w:szCs w:val="18"/>
              </w:rPr>
            </w:pPr>
            <w:r w:rsidRPr="00BA1A65">
              <w:rPr>
                <w:rFonts w:cs="Arial"/>
                <w:b/>
                <w:bCs/>
                <w:sz w:val="18"/>
                <w:szCs w:val="18"/>
              </w:rPr>
              <w:t xml:space="preserve">činnost </w:t>
            </w:r>
          </w:p>
        </w:tc>
        <w:tc>
          <w:tcPr>
            <w:tcW w:w="6662" w:type="dxa"/>
            <w:gridSpan w:val="6"/>
            <w:tcBorders>
              <w:top w:val="single" w:sz="4" w:space="0" w:color="auto"/>
              <w:left w:val="single" w:sz="4" w:space="0" w:color="auto"/>
              <w:bottom w:val="single" w:sz="4" w:space="0" w:color="auto"/>
              <w:right w:val="single" w:sz="4" w:space="0" w:color="auto"/>
            </w:tcBorders>
            <w:shd w:val="clear" w:color="auto" w:fill="AEAAAA"/>
            <w:tcMar>
              <w:top w:w="0" w:type="dxa"/>
              <w:left w:w="70" w:type="dxa"/>
              <w:bottom w:w="0" w:type="dxa"/>
              <w:right w:w="70" w:type="dxa"/>
            </w:tcMar>
            <w:vAlign w:val="center"/>
            <w:hideMark/>
          </w:tcPr>
          <w:p w14:paraId="4C1D2553" w14:textId="77777777" w:rsidR="008F5078" w:rsidRPr="00BA1A65" w:rsidRDefault="008F5078" w:rsidP="007C4955">
            <w:pPr>
              <w:contextualSpacing/>
              <w:jc w:val="center"/>
              <w:rPr>
                <w:rFonts w:cs="Arial"/>
                <w:b/>
                <w:bCs/>
                <w:sz w:val="18"/>
                <w:szCs w:val="18"/>
              </w:rPr>
            </w:pPr>
            <w:r w:rsidRPr="00BA1A65">
              <w:rPr>
                <w:rFonts w:cs="Arial"/>
                <w:b/>
                <w:bCs/>
                <w:sz w:val="18"/>
                <w:szCs w:val="18"/>
              </w:rPr>
              <w:t>Realizace</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EAAAA"/>
            <w:vAlign w:val="center"/>
          </w:tcPr>
          <w:p w14:paraId="152DC1BD" w14:textId="77777777" w:rsidR="008F5078" w:rsidRPr="00BA1A65" w:rsidRDefault="008F5078" w:rsidP="007C4955">
            <w:pPr>
              <w:contextualSpacing/>
              <w:jc w:val="center"/>
              <w:rPr>
                <w:rFonts w:cs="Arial"/>
                <w:b/>
                <w:bCs/>
                <w:sz w:val="18"/>
                <w:szCs w:val="18"/>
              </w:rPr>
            </w:pPr>
            <w:r w:rsidRPr="00BA1A65">
              <w:rPr>
                <w:rFonts w:cs="Arial"/>
                <w:b/>
                <w:bCs/>
                <w:sz w:val="18"/>
                <w:szCs w:val="18"/>
              </w:rPr>
              <w:t>Celkem neinvestiční činnost a realizace</w:t>
            </w:r>
          </w:p>
          <w:p w14:paraId="176E284F" w14:textId="77777777" w:rsidR="008F5078" w:rsidRPr="00BA1A65" w:rsidRDefault="008F5078" w:rsidP="007C4955">
            <w:pPr>
              <w:contextualSpacing/>
              <w:rPr>
                <w:rFonts w:cs="Arial"/>
                <w:sz w:val="18"/>
                <w:szCs w:val="18"/>
              </w:rPr>
            </w:pPr>
          </w:p>
        </w:tc>
      </w:tr>
      <w:tr w:rsidR="00186037" w:rsidRPr="00BA1A65" w14:paraId="2DF5DB4D" w14:textId="77777777" w:rsidTr="00613A69">
        <w:trPr>
          <w:trHeight w:val="297"/>
        </w:trPr>
        <w:tc>
          <w:tcPr>
            <w:tcW w:w="709" w:type="dxa"/>
            <w:vMerge w:val="restart"/>
            <w:tcBorders>
              <w:top w:val="single" w:sz="4" w:space="0" w:color="auto"/>
              <w:left w:val="single" w:sz="4" w:space="0" w:color="auto"/>
              <w:bottom w:val="single" w:sz="4" w:space="0" w:color="auto"/>
              <w:right w:val="single" w:sz="4" w:space="0" w:color="auto"/>
            </w:tcBorders>
            <w:shd w:val="clear" w:color="auto" w:fill="AEAAAA"/>
            <w:vAlign w:val="center"/>
            <w:hideMark/>
          </w:tcPr>
          <w:p w14:paraId="2A5684D0" w14:textId="77777777" w:rsidR="008F5078" w:rsidRPr="00BA1A65" w:rsidRDefault="008F5078" w:rsidP="007C4955">
            <w:pPr>
              <w:contextualSpacing/>
              <w:jc w:val="center"/>
              <w:rPr>
                <w:rFonts w:cs="Arial"/>
                <w:b/>
                <w:sz w:val="18"/>
                <w:szCs w:val="18"/>
              </w:rPr>
            </w:pPr>
            <w:r w:rsidRPr="00BA1A65">
              <w:rPr>
                <w:rFonts w:cs="Arial"/>
                <w:b/>
                <w:sz w:val="18"/>
                <w:szCs w:val="18"/>
              </w:rPr>
              <w:t>Celkem</w:t>
            </w:r>
          </w:p>
        </w:tc>
        <w:tc>
          <w:tcPr>
            <w:tcW w:w="1134" w:type="dxa"/>
            <w:vMerge w:val="restart"/>
            <w:tcBorders>
              <w:top w:val="single" w:sz="4" w:space="0" w:color="auto"/>
              <w:left w:val="single" w:sz="4" w:space="0" w:color="auto"/>
              <w:right w:val="single" w:sz="4" w:space="0" w:color="auto"/>
            </w:tcBorders>
            <w:shd w:val="clear" w:color="auto" w:fill="AEAAAA"/>
            <w:tcMar>
              <w:top w:w="0" w:type="dxa"/>
              <w:left w:w="70" w:type="dxa"/>
              <w:bottom w:w="0" w:type="dxa"/>
              <w:right w:w="70" w:type="dxa"/>
            </w:tcMar>
            <w:vAlign w:val="center"/>
            <w:hideMark/>
          </w:tcPr>
          <w:p w14:paraId="5431E16C" w14:textId="77777777" w:rsidR="008F5078" w:rsidRPr="00BA1A65" w:rsidRDefault="00BE1B2D" w:rsidP="007C4955">
            <w:pPr>
              <w:contextualSpacing/>
              <w:jc w:val="center"/>
              <w:rPr>
                <w:rFonts w:cs="Arial"/>
                <w:b/>
                <w:sz w:val="18"/>
                <w:szCs w:val="18"/>
              </w:rPr>
            </w:pPr>
            <w:r w:rsidRPr="00BA1A65">
              <w:rPr>
                <w:rFonts w:cs="Arial"/>
                <w:b/>
                <w:sz w:val="18"/>
                <w:szCs w:val="18"/>
              </w:rPr>
              <w:t>z</w:t>
            </w:r>
            <w:r w:rsidR="008F5078" w:rsidRPr="00BA1A65">
              <w:rPr>
                <w:rFonts w:cs="Arial"/>
                <w:b/>
                <w:sz w:val="18"/>
                <w:szCs w:val="18"/>
              </w:rPr>
              <w:t xml:space="preserve"> toho </w:t>
            </w:r>
          </w:p>
          <w:p w14:paraId="18A1DF7A" w14:textId="77777777" w:rsidR="008F5078" w:rsidRPr="00BA1A65" w:rsidRDefault="008F5078" w:rsidP="007C4955">
            <w:pPr>
              <w:contextualSpacing/>
              <w:jc w:val="center"/>
              <w:rPr>
                <w:rFonts w:cs="Arial"/>
                <w:b/>
                <w:sz w:val="18"/>
                <w:szCs w:val="18"/>
              </w:rPr>
            </w:pPr>
            <w:r w:rsidRPr="00BA1A65">
              <w:rPr>
                <w:rFonts w:cs="Arial"/>
                <w:b/>
                <w:sz w:val="18"/>
                <w:szCs w:val="18"/>
              </w:rPr>
              <w:t>návrhy pozemk</w:t>
            </w:r>
            <w:r w:rsidR="00BE1B2D" w:rsidRPr="00BA1A65">
              <w:rPr>
                <w:rFonts w:cs="Arial"/>
                <w:b/>
                <w:sz w:val="18"/>
                <w:szCs w:val="18"/>
              </w:rPr>
              <w:t>ových</w:t>
            </w:r>
            <w:r w:rsidRPr="00BA1A65">
              <w:rPr>
                <w:rFonts w:cs="Arial"/>
                <w:b/>
                <w:sz w:val="18"/>
                <w:szCs w:val="18"/>
              </w:rPr>
              <w:t xml:space="preserve"> úprav</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EAAAA"/>
            <w:tcMar>
              <w:top w:w="0" w:type="dxa"/>
              <w:left w:w="70" w:type="dxa"/>
              <w:bottom w:w="0" w:type="dxa"/>
              <w:right w:w="70" w:type="dxa"/>
            </w:tcMar>
            <w:vAlign w:val="center"/>
            <w:hideMark/>
          </w:tcPr>
          <w:p w14:paraId="15070CBC" w14:textId="77777777" w:rsidR="008F5078" w:rsidRPr="00BA1A65" w:rsidRDefault="008F5078" w:rsidP="007C4955">
            <w:pPr>
              <w:contextualSpacing/>
              <w:jc w:val="center"/>
              <w:rPr>
                <w:rFonts w:cs="Arial"/>
                <w:b/>
                <w:bCs/>
                <w:sz w:val="18"/>
                <w:szCs w:val="18"/>
              </w:rPr>
            </w:pPr>
            <w:r w:rsidRPr="00BA1A65">
              <w:rPr>
                <w:rFonts w:cs="Arial"/>
                <w:b/>
                <w:bCs/>
                <w:sz w:val="18"/>
                <w:szCs w:val="18"/>
              </w:rPr>
              <w:t>Celkem</w:t>
            </w:r>
          </w:p>
        </w:tc>
        <w:tc>
          <w:tcPr>
            <w:tcW w:w="5670" w:type="dxa"/>
            <w:gridSpan w:val="5"/>
            <w:tcBorders>
              <w:top w:val="single" w:sz="4" w:space="0" w:color="auto"/>
              <w:left w:val="single" w:sz="4" w:space="0" w:color="auto"/>
              <w:bottom w:val="single" w:sz="4" w:space="0" w:color="auto"/>
              <w:right w:val="single" w:sz="4" w:space="0" w:color="auto"/>
            </w:tcBorders>
            <w:shd w:val="clear" w:color="auto" w:fill="AEAAAA"/>
            <w:tcMar>
              <w:top w:w="0" w:type="dxa"/>
              <w:left w:w="70" w:type="dxa"/>
              <w:bottom w:w="0" w:type="dxa"/>
              <w:right w:w="70" w:type="dxa"/>
            </w:tcMar>
            <w:vAlign w:val="center"/>
            <w:hideMark/>
          </w:tcPr>
          <w:p w14:paraId="4A8051BA" w14:textId="77777777" w:rsidR="008F5078" w:rsidRPr="00BA1A65" w:rsidRDefault="00BE1B2D" w:rsidP="007C4955">
            <w:pPr>
              <w:contextualSpacing/>
              <w:jc w:val="center"/>
              <w:rPr>
                <w:rFonts w:cs="Arial"/>
                <w:b/>
                <w:sz w:val="18"/>
                <w:szCs w:val="18"/>
              </w:rPr>
            </w:pPr>
            <w:r w:rsidRPr="00BA1A65">
              <w:rPr>
                <w:rFonts w:cs="Arial"/>
                <w:b/>
                <w:sz w:val="18"/>
                <w:szCs w:val="18"/>
              </w:rPr>
              <w:t>z</w:t>
            </w:r>
            <w:r w:rsidR="008F5078" w:rsidRPr="00BA1A65">
              <w:rPr>
                <w:rFonts w:cs="Arial"/>
                <w:b/>
                <w:sz w:val="18"/>
                <w:szCs w:val="18"/>
              </w:rPr>
              <w:t xml:space="preserve"> toho</w:t>
            </w:r>
          </w:p>
        </w:tc>
        <w:tc>
          <w:tcPr>
            <w:tcW w:w="1134" w:type="dxa"/>
            <w:vMerge/>
            <w:tcBorders>
              <w:top w:val="single" w:sz="4" w:space="0" w:color="auto"/>
              <w:left w:val="single" w:sz="4" w:space="0" w:color="auto"/>
              <w:bottom w:val="single" w:sz="4" w:space="0" w:color="auto"/>
              <w:right w:val="single" w:sz="4" w:space="0" w:color="auto"/>
            </w:tcBorders>
            <w:shd w:val="clear" w:color="auto" w:fill="AEAAAA"/>
            <w:vAlign w:val="center"/>
            <w:hideMark/>
          </w:tcPr>
          <w:p w14:paraId="37CC26B6" w14:textId="77777777" w:rsidR="008F5078" w:rsidRPr="00BA1A65" w:rsidRDefault="008F5078" w:rsidP="007C4955">
            <w:pPr>
              <w:contextualSpacing/>
              <w:rPr>
                <w:rFonts w:cs="Arial"/>
                <w:sz w:val="18"/>
                <w:szCs w:val="18"/>
              </w:rPr>
            </w:pPr>
          </w:p>
        </w:tc>
      </w:tr>
      <w:tr w:rsidR="00186037" w:rsidRPr="00BA1A65" w14:paraId="72E7E0CB" w14:textId="77777777" w:rsidTr="00613A69">
        <w:trPr>
          <w:trHeight w:val="520"/>
        </w:trPr>
        <w:tc>
          <w:tcPr>
            <w:tcW w:w="709" w:type="dxa"/>
            <w:vMerge/>
            <w:tcBorders>
              <w:top w:val="single" w:sz="4" w:space="0" w:color="auto"/>
              <w:left w:val="single" w:sz="4" w:space="0" w:color="auto"/>
              <w:bottom w:val="single" w:sz="4" w:space="0" w:color="auto"/>
              <w:right w:val="single" w:sz="4" w:space="0" w:color="auto"/>
            </w:tcBorders>
            <w:shd w:val="clear" w:color="auto" w:fill="AEAAAA"/>
            <w:vAlign w:val="center"/>
            <w:hideMark/>
          </w:tcPr>
          <w:p w14:paraId="4BEAE1E1" w14:textId="77777777" w:rsidR="008F5078" w:rsidRPr="00BA1A65" w:rsidRDefault="008F5078" w:rsidP="007C4955">
            <w:pPr>
              <w:contextualSpacing/>
              <w:rPr>
                <w:rFonts w:cs="Arial"/>
                <w:b/>
                <w:sz w:val="18"/>
                <w:szCs w:val="18"/>
              </w:rPr>
            </w:pPr>
          </w:p>
        </w:tc>
        <w:tc>
          <w:tcPr>
            <w:tcW w:w="1134" w:type="dxa"/>
            <w:vMerge/>
            <w:tcBorders>
              <w:left w:val="single" w:sz="4" w:space="0" w:color="auto"/>
              <w:bottom w:val="single" w:sz="4" w:space="0" w:color="auto"/>
              <w:right w:val="single" w:sz="4" w:space="0" w:color="auto"/>
            </w:tcBorders>
            <w:shd w:val="clear" w:color="auto" w:fill="AEAAAA"/>
            <w:tcMar>
              <w:top w:w="0" w:type="dxa"/>
              <w:left w:w="70" w:type="dxa"/>
              <w:bottom w:w="0" w:type="dxa"/>
              <w:right w:w="70" w:type="dxa"/>
            </w:tcMar>
            <w:vAlign w:val="center"/>
            <w:hideMark/>
          </w:tcPr>
          <w:p w14:paraId="0CE84477" w14:textId="77777777" w:rsidR="008F5078" w:rsidRPr="00BA1A65" w:rsidRDefault="008F5078" w:rsidP="007C4955">
            <w:pPr>
              <w:contextualSpacing/>
              <w:jc w:val="center"/>
              <w:rPr>
                <w:rFonts w:cs="Arial"/>
                <w:b/>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EAAAA"/>
            <w:vAlign w:val="center"/>
            <w:hideMark/>
          </w:tcPr>
          <w:p w14:paraId="459746E5" w14:textId="77777777" w:rsidR="008F5078" w:rsidRPr="00BA1A65" w:rsidRDefault="008F5078" w:rsidP="007C4955">
            <w:pPr>
              <w:contextualSpacing/>
              <w:rPr>
                <w:rFonts w:cs="Arial"/>
                <w:b/>
                <w:bCs/>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EAAAA"/>
            <w:tcMar>
              <w:top w:w="0" w:type="dxa"/>
              <w:left w:w="70" w:type="dxa"/>
              <w:bottom w:w="0" w:type="dxa"/>
              <w:right w:w="70" w:type="dxa"/>
            </w:tcMar>
            <w:vAlign w:val="center"/>
            <w:hideMark/>
          </w:tcPr>
          <w:p w14:paraId="5787ABD6" w14:textId="77777777" w:rsidR="008F5078" w:rsidRPr="00BA1A65" w:rsidRDefault="00BE1B2D" w:rsidP="007C4955">
            <w:pPr>
              <w:contextualSpacing/>
              <w:jc w:val="center"/>
              <w:rPr>
                <w:rFonts w:cs="Arial"/>
                <w:b/>
                <w:sz w:val="18"/>
                <w:szCs w:val="18"/>
              </w:rPr>
            </w:pPr>
            <w:r w:rsidRPr="00BA1A65">
              <w:rPr>
                <w:rFonts w:cs="Arial"/>
                <w:b/>
                <w:sz w:val="18"/>
                <w:szCs w:val="18"/>
              </w:rPr>
              <w:t>c</w:t>
            </w:r>
            <w:r w:rsidR="008F5078" w:rsidRPr="00BA1A65">
              <w:rPr>
                <w:rFonts w:cs="Arial"/>
                <w:b/>
                <w:sz w:val="18"/>
                <w:szCs w:val="18"/>
              </w:rPr>
              <w:t>esty</w:t>
            </w:r>
          </w:p>
        </w:tc>
        <w:tc>
          <w:tcPr>
            <w:tcW w:w="1134" w:type="dxa"/>
            <w:tcBorders>
              <w:top w:val="single" w:sz="4" w:space="0" w:color="auto"/>
              <w:left w:val="single" w:sz="4" w:space="0" w:color="auto"/>
              <w:bottom w:val="single" w:sz="4" w:space="0" w:color="auto"/>
              <w:right w:val="single" w:sz="4" w:space="0" w:color="auto"/>
            </w:tcBorders>
            <w:shd w:val="clear" w:color="auto" w:fill="AEAAAA"/>
            <w:tcMar>
              <w:top w:w="0" w:type="dxa"/>
              <w:left w:w="70" w:type="dxa"/>
              <w:bottom w:w="0" w:type="dxa"/>
              <w:right w:w="70" w:type="dxa"/>
            </w:tcMar>
            <w:vAlign w:val="center"/>
            <w:hideMark/>
          </w:tcPr>
          <w:p w14:paraId="0AD8191F" w14:textId="77777777" w:rsidR="008F5078" w:rsidRPr="00BA1A65" w:rsidRDefault="00BE1B2D" w:rsidP="007C4955">
            <w:pPr>
              <w:contextualSpacing/>
              <w:jc w:val="center"/>
              <w:rPr>
                <w:rFonts w:cs="Arial"/>
                <w:b/>
                <w:sz w:val="18"/>
                <w:szCs w:val="18"/>
              </w:rPr>
            </w:pPr>
            <w:r w:rsidRPr="00BA1A65">
              <w:rPr>
                <w:rFonts w:cs="Arial"/>
                <w:b/>
                <w:sz w:val="18"/>
                <w:szCs w:val="18"/>
              </w:rPr>
              <w:t>p</w:t>
            </w:r>
            <w:r w:rsidR="008F5078" w:rsidRPr="00BA1A65">
              <w:rPr>
                <w:rFonts w:cs="Arial"/>
                <w:b/>
                <w:sz w:val="18"/>
                <w:szCs w:val="18"/>
              </w:rPr>
              <w:t>rotieroz</w:t>
            </w:r>
            <w:r w:rsidRPr="00BA1A65">
              <w:rPr>
                <w:rFonts w:cs="Arial"/>
                <w:b/>
                <w:sz w:val="18"/>
                <w:szCs w:val="18"/>
              </w:rPr>
              <w:t>ní</w:t>
            </w:r>
            <w:r w:rsidR="008F5078" w:rsidRPr="00BA1A65">
              <w:rPr>
                <w:rFonts w:cs="Arial"/>
                <w:b/>
                <w:sz w:val="18"/>
                <w:szCs w:val="18"/>
              </w:rPr>
              <w:t xml:space="preserve"> opatření</w:t>
            </w:r>
          </w:p>
        </w:tc>
        <w:tc>
          <w:tcPr>
            <w:tcW w:w="1417" w:type="dxa"/>
            <w:tcBorders>
              <w:top w:val="single" w:sz="4" w:space="0" w:color="auto"/>
              <w:left w:val="single" w:sz="4" w:space="0" w:color="auto"/>
              <w:bottom w:val="single" w:sz="4" w:space="0" w:color="auto"/>
              <w:right w:val="single" w:sz="4" w:space="0" w:color="auto"/>
            </w:tcBorders>
            <w:shd w:val="clear" w:color="auto" w:fill="AEAAAA"/>
            <w:tcMar>
              <w:top w:w="0" w:type="dxa"/>
              <w:left w:w="70" w:type="dxa"/>
              <w:bottom w:w="0" w:type="dxa"/>
              <w:right w:w="70" w:type="dxa"/>
            </w:tcMar>
            <w:vAlign w:val="center"/>
            <w:hideMark/>
          </w:tcPr>
          <w:p w14:paraId="1F486EB7" w14:textId="77777777" w:rsidR="008F5078" w:rsidRPr="00BA1A65" w:rsidRDefault="00BE1B2D" w:rsidP="007C4955">
            <w:pPr>
              <w:contextualSpacing/>
              <w:jc w:val="center"/>
              <w:rPr>
                <w:rFonts w:cs="Arial"/>
                <w:b/>
                <w:sz w:val="18"/>
                <w:szCs w:val="18"/>
              </w:rPr>
            </w:pPr>
            <w:r w:rsidRPr="00BA1A65">
              <w:rPr>
                <w:rFonts w:cs="Arial"/>
                <w:b/>
                <w:sz w:val="18"/>
                <w:szCs w:val="18"/>
              </w:rPr>
              <w:t>v</w:t>
            </w:r>
            <w:r w:rsidR="008F5078" w:rsidRPr="00BA1A65">
              <w:rPr>
                <w:rFonts w:cs="Arial"/>
                <w:b/>
                <w:sz w:val="18"/>
                <w:szCs w:val="18"/>
              </w:rPr>
              <w:t>odohospodářská opatření</w:t>
            </w:r>
          </w:p>
        </w:tc>
        <w:tc>
          <w:tcPr>
            <w:tcW w:w="1134" w:type="dxa"/>
            <w:tcBorders>
              <w:top w:val="single" w:sz="4" w:space="0" w:color="auto"/>
              <w:left w:val="single" w:sz="4" w:space="0" w:color="auto"/>
              <w:bottom w:val="single" w:sz="4" w:space="0" w:color="auto"/>
              <w:right w:val="single" w:sz="4" w:space="0" w:color="auto"/>
            </w:tcBorders>
            <w:shd w:val="clear" w:color="auto" w:fill="AEAAAA"/>
            <w:tcMar>
              <w:top w:w="0" w:type="dxa"/>
              <w:left w:w="70" w:type="dxa"/>
              <w:bottom w:w="0" w:type="dxa"/>
              <w:right w:w="70" w:type="dxa"/>
            </w:tcMar>
            <w:vAlign w:val="center"/>
            <w:hideMark/>
          </w:tcPr>
          <w:p w14:paraId="38CC1BA7" w14:textId="77777777" w:rsidR="008F5078" w:rsidRPr="00BA1A65" w:rsidRDefault="00BE1B2D" w:rsidP="007C4955">
            <w:pPr>
              <w:contextualSpacing/>
              <w:jc w:val="center"/>
              <w:rPr>
                <w:rFonts w:cs="Arial"/>
                <w:b/>
                <w:sz w:val="18"/>
                <w:szCs w:val="18"/>
              </w:rPr>
            </w:pPr>
            <w:r w:rsidRPr="00BA1A65">
              <w:rPr>
                <w:rFonts w:cs="Arial"/>
                <w:b/>
                <w:sz w:val="18"/>
                <w:szCs w:val="18"/>
              </w:rPr>
              <w:t>e</w:t>
            </w:r>
            <w:r w:rsidR="008F5078" w:rsidRPr="00BA1A65">
              <w:rPr>
                <w:rFonts w:cs="Arial"/>
                <w:b/>
                <w:sz w:val="18"/>
                <w:szCs w:val="18"/>
              </w:rPr>
              <w:t>kolog</w:t>
            </w:r>
            <w:r w:rsidRPr="00BA1A65">
              <w:rPr>
                <w:rFonts w:cs="Arial"/>
                <w:b/>
                <w:sz w:val="18"/>
                <w:szCs w:val="18"/>
              </w:rPr>
              <w:t xml:space="preserve">ická </w:t>
            </w:r>
            <w:r w:rsidR="008F5078" w:rsidRPr="00BA1A65">
              <w:rPr>
                <w:rFonts w:cs="Arial"/>
                <w:b/>
                <w:sz w:val="18"/>
                <w:szCs w:val="18"/>
              </w:rPr>
              <w:t>opatření</w:t>
            </w:r>
          </w:p>
        </w:tc>
        <w:tc>
          <w:tcPr>
            <w:tcW w:w="992" w:type="dxa"/>
            <w:tcBorders>
              <w:top w:val="single" w:sz="4" w:space="0" w:color="auto"/>
              <w:left w:val="single" w:sz="4" w:space="0" w:color="auto"/>
              <w:bottom w:val="single" w:sz="4" w:space="0" w:color="auto"/>
              <w:right w:val="single" w:sz="4" w:space="0" w:color="auto"/>
            </w:tcBorders>
            <w:shd w:val="clear" w:color="auto" w:fill="AEAAAA"/>
            <w:tcMar>
              <w:top w:w="0" w:type="dxa"/>
              <w:left w:w="70" w:type="dxa"/>
              <w:bottom w:w="0" w:type="dxa"/>
              <w:right w:w="70" w:type="dxa"/>
            </w:tcMar>
            <w:vAlign w:val="center"/>
            <w:hideMark/>
          </w:tcPr>
          <w:p w14:paraId="094D9FDA" w14:textId="77777777" w:rsidR="008F5078" w:rsidRPr="00BA1A65" w:rsidRDefault="00BE1B2D" w:rsidP="007C4955">
            <w:pPr>
              <w:contextualSpacing/>
              <w:jc w:val="center"/>
              <w:rPr>
                <w:rFonts w:cs="Arial"/>
                <w:b/>
                <w:sz w:val="18"/>
                <w:szCs w:val="18"/>
              </w:rPr>
            </w:pPr>
            <w:r w:rsidRPr="00BA1A65">
              <w:rPr>
                <w:rFonts w:cs="Arial"/>
                <w:b/>
                <w:sz w:val="18"/>
                <w:szCs w:val="18"/>
              </w:rPr>
              <w:t xml:space="preserve">ostatní </w:t>
            </w:r>
            <w:r w:rsidRPr="00BA1A65">
              <w:rPr>
                <w:rFonts w:cs="Arial"/>
                <w:b/>
                <w:sz w:val="18"/>
                <w:szCs w:val="18"/>
                <w:vertAlign w:val="superscript"/>
              </w:rPr>
              <w:t>*)</w:t>
            </w:r>
          </w:p>
        </w:tc>
        <w:tc>
          <w:tcPr>
            <w:tcW w:w="1134" w:type="dxa"/>
            <w:vMerge/>
            <w:tcBorders>
              <w:top w:val="single" w:sz="4" w:space="0" w:color="auto"/>
              <w:left w:val="single" w:sz="4" w:space="0" w:color="auto"/>
              <w:bottom w:val="single" w:sz="4" w:space="0" w:color="auto"/>
              <w:right w:val="single" w:sz="4" w:space="0" w:color="auto"/>
            </w:tcBorders>
            <w:shd w:val="clear" w:color="auto" w:fill="AEAAAA"/>
            <w:vAlign w:val="center"/>
            <w:hideMark/>
          </w:tcPr>
          <w:p w14:paraId="01FA1AEE" w14:textId="77777777" w:rsidR="008F5078" w:rsidRPr="00BA1A65" w:rsidRDefault="008F5078" w:rsidP="007C4955">
            <w:pPr>
              <w:contextualSpacing/>
              <w:rPr>
                <w:rFonts w:cs="Arial"/>
                <w:sz w:val="18"/>
                <w:szCs w:val="18"/>
              </w:rPr>
            </w:pPr>
          </w:p>
        </w:tc>
      </w:tr>
      <w:tr w:rsidR="00186037" w:rsidRPr="00BA1A65" w14:paraId="724E28B6" w14:textId="77777777" w:rsidTr="00047063">
        <w:trPr>
          <w:trHeight w:val="315"/>
        </w:trPr>
        <w:tc>
          <w:tcPr>
            <w:tcW w:w="9639" w:type="dxa"/>
            <w:gridSpan w:val="9"/>
            <w:tcBorders>
              <w:top w:val="single" w:sz="4" w:space="0" w:color="auto"/>
              <w:left w:val="single" w:sz="4" w:space="0" w:color="auto"/>
              <w:bottom w:val="single" w:sz="4" w:space="0" w:color="auto"/>
              <w:right w:val="single" w:sz="4" w:space="0" w:color="auto"/>
            </w:tcBorders>
            <w:shd w:val="clear" w:color="auto" w:fill="AEAAAA"/>
            <w:vAlign w:val="center"/>
          </w:tcPr>
          <w:p w14:paraId="44A7BEC3" w14:textId="77777777" w:rsidR="00BE1B2D" w:rsidRPr="00BA1A65" w:rsidRDefault="00BE1B2D" w:rsidP="007C4955">
            <w:pPr>
              <w:contextualSpacing/>
              <w:jc w:val="center"/>
              <w:rPr>
                <w:rFonts w:cs="Arial"/>
                <w:sz w:val="18"/>
                <w:szCs w:val="18"/>
              </w:rPr>
            </w:pPr>
            <w:r w:rsidRPr="00BA1A65">
              <w:rPr>
                <w:rFonts w:cs="Arial"/>
                <w:sz w:val="18"/>
                <w:szCs w:val="18"/>
              </w:rPr>
              <w:t>tis. Kč</w:t>
            </w:r>
          </w:p>
        </w:tc>
      </w:tr>
      <w:tr w:rsidR="00587C90" w:rsidRPr="00BA1A65" w14:paraId="2E54FB85" w14:textId="77777777" w:rsidTr="00613A69">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3B7CC135" w14:textId="263E86C5" w:rsidR="00587C90" w:rsidRPr="00BA1A65" w:rsidRDefault="00587C90" w:rsidP="00587C90">
            <w:pPr>
              <w:contextualSpacing/>
              <w:jc w:val="center"/>
              <w:rPr>
                <w:rFonts w:cs="Arial"/>
                <w:b/>
                <w:color w:val="FF0000"/>
                <w:sz w:val="18"/>
                <w:szCs w:val="18"/>
              </w:rPr>
            </w:pPr>
            <w:r w:rsidRPr="007627FA">
              <w:rPr>
                <w:rFonts w:cs="Arial"/>
                <w:b/>
                <w:sz w:val="18"/>
                <w:szCs w:val="18"/>
              </w:rPr>
              <w:t>553 387</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C0CE818" w14:textId="6DA02073" w:rsidR="00587C90" w:rsidRPr="00BA1A65" w:rsidRDefault="00587C90" w:rsidP="00587C90">
            <w:pPr>
              <w:contextualSpacing/>
              <w:jc w:val="center"/>
              <w:rPr>
                <w:rFonts w:cs="Arial"/>
                <w:color w:val="FF0000"/>
                <w:sz w:val="18"/>
                <w:szCs w:val="18"/>
              </w:rPr>
            </w:pPr>
            <w:r w:rsidRPr="007627FA">
              <w:rPr>
                <w:rFonts w:cs="Arial"/>
                <w:sz w:val="18"/>
                <w:szCs w:val="18"/>
              </w:rPr>
              <w:t>528 325</w:t>
            </w:r>
          </w:p>
        </w:tc>
        <w:tc>
          <w:tcPr>
            <w:tcW w:w="992" w:type="dxa"/>
            <w:tcBorders>
              <w:top w:val="single" w:sz="4" w:space="0" w:color="auto"/>
              <w:left w:val="single" w:sz="4" w:space="0" w:color="auto"/>
              <w:bottom w:val="single" w:sz="4" w:space="0" w:color="auto"/>
              <w:right w:val="single" w:sz="4" w:space="0" w:color="auto"/>
            </w:tcBorders>
            <w:shd w:val="clear" w:color="auto" w:fill="AEAAAA"/>
            <w:tcMar>
              <w:top w:w="0" w:type="dxa"/>
              <w:left w:w="70" w:type="dxa"/>
              <w:bottom w:w="0" w:type="dxa"/>
              <w:right w:w="70" w:type="dxa"/>
            </w:tcMar>
            <w:vAlign w:val="center"/>
            <w:hideMark/>
          </w:tcPr>
          <w:p w14:paraId="5630B264" w14:textId="1C37BEB5" w:rsidR="00587C90" w:rsidRPr="00BA1A65" w:rsidRDefault="00587C90" w:rsidP="00587C90">
            <w:pPr>
              <w:contextualSpacing/>
              <w:jc w:val="center"/>
              <w:rPr>
                <w:rFonts w:cs="Arial"/>
                <w:b/>
                <w:color w:val="FF0000"/>
                <w:sz w:val="18"/>
                <w:szCs w:val="18"/>
              </w:rPr>
            </w:pPr>
            <w:r w:rsidRPr="007627FA">
              <w:rPr>
                <w:rFonts w:cs="Arial"/>
                <w:b/>
                <w:sz w:val="18"/>
                <w:szCs w:val="18"/>
              </w:rPr>
              <w:t>1 308 037</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5387FB8" w14:textId="7798282C" w:rsidR="00587C90" w:rsidRPr="00BA1A65" w:rsidRDefault="00587C90" w:rsidP="00587C90">
            <w:pPr>
              <w:contextualSpacing/>
              <w:jc w:val="center"/>
              <w:rPr>
                <w:rFonts w:cs="Arial"/>
                <w:color w:val="FF0000"/>
                <w:sz w:val="18"/>
                <w:szCs w:val="18"/>
              </w:rPr>
            </w:pPr>
            <w:r w:rsidRPr="007627FA">
              <w:rPr>
                <w:rFonts w:cs="Arial"/>
                <w:sz w:val="18"/>
                <w:szCs w:val="18"/>
              </w:rPr>
              <w:t>1 073 259</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3888413" w14:textId="6EDE3674" w:rsidR="00587C90" w:rsidRPr="00BA1A65" w:rsidRDefault="00587C90" w:rsidP="00587C90">
            <w:pPr>
              <w:contextualSpacing/>
              <w:jc w:val="center"/>
              <w:rPr>
                <w:rFonts w:cs="Arial"/>
                <w:color w:val="FF0000"/>
                <w:sz w:val="18"/>
                <w:szCs w:val="18"/>
              </w:rPr>
            </w:pPr>
            <w:r w:rsidRPr="007627FA">
              <w:rPr>
                <w:rFonts w:cs="Arial"/>
                <w:sz w:val="18"/>
                <w:szCs w:val="18"/>
              </w:rPr>
              <w:t>11 282</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73F724B" w14:textId="5A65348B" w:rsidR="00587C90" w:rsidRPr="00BA1A65" w:rsidRDefault="00587C90" w:rsidP="00587C90">
            <w:pPr>
              <w:contextualSpacing/>
              <w:jc w:val="center"/>
              <w:rPr>
                <w:rFonts w:cs="Arial"/>
                <w:color w:val="FF0000"/>
                <w:sz w:val="18"/>
                <w:szCs w:val="18"/>
              </w:rPr>
            </w:pPr>
            <w:r w:rsidRPr="007627FA">
              <w:rPr>
                <w:rFonts w:cs="Arial"/>
                <w:sz w:val="18"/>
                <w:szCs w:val="18"/>
              </w:rPr>
              <w:t>58 566</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8107339" w14:textId="729963B2" w:rsidR="00587C90" w:rsidRPr="00BA1A65" w:rsidRDefault="00587C90" w:rsidP="00587C90">
            <w:pPr>
              <w:contextualSpacing/>
              <w:jc w:val="center"/>
              <w:rPr>
                <w:rFonts w:cs="Arial"/>
                <w:color w:val="FF0000"/>
                <w:sz w:val="18"/>
                <w:szCs w:val="18"/>
              </w:rPr>
            </w:pPr>
            <w:r w:rsidRPr="007627FA">
              <w:rPr>
                <w:rFonts w:cs="Arial"/>
                <w:sz w:val="18"/>
                <w:szCs w:val="18"/>
              </w:rPr>
              <w:t>50 361</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A213297" w14:textId="71718FB8" w:rsidR="00587C90" w:rsidRPr="00BA1A65" w:rsidRDefault="00587C90" w:rsidP="00587C90">
            <w:pPr>
              <w:contextualSpacing/>
              <w:jc w:val="center"/>
              <w:rPr>
                <w:rFonts w:cs="Arial"/>
                <w:color w:val="FF0000"/>
                <w:sz w:val="18"/>
                <w:szCs w:val="18"/>
              </w:rPr>
            </w:pPr>
            <w:r w:rsidRPr="007627FA">
              <w:rPr>
                <w:rFonts w:cs="Arial"/>
                <w:sz w:val="18"/>
                <w:szCs w:val="18"/>
              </w:rPr>
              <w:t>114 569</w:t>
            </w:r>
          </w:p>
        </w:tc>
        <w:tc>
          <w:tcPr>
            <w:tcW w:w="1134"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269E9F60" w14:textId="18F2B0B8" w:rsidR="00587C90" w:rsidRPr="00BA1A65" w:rsidRDefault="00587C90" w:rsidP="00587C90">
            <w:pPr>
              <w:contextualSpacing/>
              <w:jc w:val="center"/>
              <w:rPr>
                <w:rFonts w:cs="Arial"/>
                <w:b/>
                <w:color w:val="FF0000"/>
                <w:sz w:val="18"/>
                <w:szCs w:val="18"/>
              </w:rPr>
            </w:pPr>
            <w:r w:rsidRPr="007627FA">
              <w:rPr>
                <w:rFonts w:cs="Arial"/>
                <w:b/>
                <w:sz w:val="18"/>
                <w:szCs w:val="18"/>
              </w:rPr>
              <w:t>1 861 424</w:t>
            </w:r>
          </w:p>
        </w:tc>
      </w:tr>
    </w:tbl>
    <w:p w14:paraId="0D41E866" w14:textId="77777777" w:rsidR="008F5078" w:rsidRPr="00BA1A65" w:rsidRDefault="008F5078" w:rsidP="007C4955">
      <w:pPr>
        <w:contextualSpacing/>
        <w:rPr>
          <w:rFonts w:cs="Arial"/>
          <w:i/>
          <w:sz w:val="20"/>
          <w:szCs w:val="20"/>
        </w:rPr>
      </w:pPr>
      <w:r w:rsidRPr="00BA1A65">
        <w:rPr>
          <w:rFonts w:cs="Arial"/>
          <w:i/>
          <w:sz w:val="20"/>
          <w:szCs w:val="20"/>
        </w:rPr>
        <w:t>Pramen: SPÚ</w:t>
      </w:r>
    </w:p>
    <w:p w14:paraId="347D44AE" w14:textId="77777777" w:rsidR="00093046" w:rsidRPr="00BA1A65" w:rsidRDefault="00093046" w:rsidP="007C4955">
      <w:pPr>
        <w:contextualSpacing/>
        <w:rPr>
          <w:rFonts w:cs="Arial"/>
          <w:sz w:val="20"/>
          <w:szCs w:val="20"/>
        </w:rPr>
      </w:pPr>
      <w:r w:rsidRPr="00BA1A65">
        <w:rPr>
          <w:i/>
          <w:sz w:val="20"/>
          <w:szCs w:val="20"/>
        </w:rPr>
        <w:t>Pozn</w:t>
      </w:r>
      <w:r w:rsidRPr="00BA1A65">
        <w:rPr>
          <w:sz w:val="20"/>
          <w:szCs w:val="20"/>
        </w:rPr>
        <w:t>.:</w:t>
      </w:r>
      <w:r w:rsidRPr="00BA1A65">
        <w:rPr>
          <w:b/>
        </w:rPr>
        <w:t xml:space="preserve"> </w:t>
      </w:r>
      <w:r w:rsidRPr="00BA1A65">
        <w:rPr>
          <w:rFonts w:cs="Arial"/>
          <w:i/>
          <w:sz w:val="20"/>
          <w:szCs w:val="20"/>
          <w:vertAlign w:val="superscript"/>
        </w:rPr>
        <w:t>*)</w:t>
      </w:r>
      <w:r w:rsidRPr="00BA1A65">
        <w:rPr>
          <w:rFonts w:cs="Arial"/>
          <w:sz w:val="20"/>
          <w:szCs w:val="20"/>
        </w:rPr>
        <w:t xml:space="preserve"> </w:t>
      </w:r>
      <w:r w:rsidR="00AF2465" w:rsidRPr="00BA1A65">
        <w:rPr>
          <w:rFonts w:cs="Arial"/>
          <w:i/>
          <w:sz w:val="20"/>
          <w:szCs w:val="20"/>
        </w:rPr>
        <w:t>P</w:t>
      </w:r>
      <w:r w:rsidRPr="00BA1A65">
        <w:rPr>
          <w:rFonts w:cs="Arial"/>
          <w:i/>
          <w:sz w:val="20"/>
          <w:szCs w:val="20"/>
        </w:rPr>
        <w:t>rovozní a technické činnosti</w:t>
      </w:r>
      <w:r w:rsidR="00AF2465" w:rsidRPr="00BA1A65">
        <w:rPr>
          <w:rFonts w:cs="Arial"/>
          <w:i/>
          <w:sz w:val="20"/>
          <w:szCs w:val="20"/>
        </w:rPr>
        <w:t>.</w:t>
      </w:r>
      <w:r w:rsidRPr="00BA1A65">
        <w:rPr>
          <w:rFonts w:cs="Arial"/>
          <w:sz w:val="20"/>
          <w:szCs w:val="20"/>
        </w:rPr>
        <w:t xml:space="preserve"> </w:t>
      </w:r>
    </w:p>
    <w:p w14:paraId="4B481303" w14:textId="77777777" w:rsidR="0072740B" w:rsidRPr="00104F7D" w:rsidRDefault="0072740B" w:rsidP="005E711E">
      <w:pPr>
        <w:rPr>
          <w:b/>
          <w:i/>
          <w:highlight w:val="yellow"/>
        </w:rPr>
      </w:pPr>
    </w:p>
    <w:p w14:paraId="60A1D9F2" w14:textId="72D5DE39" w:rsidR="005E711E" w:rsidRPr="00587C90" w:rsidRDefault="005E711E" w:rsidP="005E711E">
      <w:pPr>
        <w:rPr>
          <w:b/>
          <w:i/>
        </w:rPr>
      </w:pPr>
      <w:r w:rsidRPr="00587C90">
        <w:rPr>
          <w:b/>
          <w:i/>
        </w:rPr>
        <w:t>Obrázek 7.1</w:t>
      </w:r>
    </w:p>
    <w:p w14:paraId="3C330A95" w14:textId="7D6DF265" w:rsidR="005E711E" w:rsidRPr="00587C90" w:rsidRDefault="005E711E" w:rsidP="005E711E">
      <w:pPr>
        <w:shd w:val="clear" w:color="auto" w:fill="FFFFFF" w:themeFill="background1"/>
        <w:rPr>
          <w:b/>
          <w:i/>
        </w:rPr>
      </w:pPr>
      <w:r w:rsidRPr="00587C90">
        <w:rPr>
          <w:b/>
          <w:i/>
        </w:rPr>
        <w:t>Přehled komplexních pozemkových úprav v rámci krajů k 31. 12. 202</w:t>
      </w:r>
      <w:r w:rsidR="00FF00E0">
        <w:rPr>
          <w:b/>
          <w:i/>
        </w:rPr>
        <w:t>5</w:t>
      </w:r>
    </w:p>
    <w:p w14:paraId="0D29BEAA" w14:textId="2D759221" w:rsidR="005E711E" w:rsidRPr="00104F7D" w:rsidRDefault="00FF00E0" w:rsidP="005E711E">
      <w:pPr>
        <w:shd w:val="clear" w:color="auto" w:fill="FFFFFF" w:themeFill="background1"/>
        <w:rPr>
          <w:b/>
          <w:i/>
          <w:highlight w:val="yellow"/>
        </w:rPr>
      </w:pPr>
      <w:r>
        <w:rPr>
          <w:noProof/>
        </w:rPr>
        <w:drawing>
          <wp:inline distT="0" distB="0" distL="0" distR="0" wp14:anchorId="1273B709" wp14:editId="7983D7C7">
            <wp:extent cx="5710555" cy="3616071"/>
            <wp:effectExtent l="0" t="0" r="4445" b="3810"/>
            <wp:docPr id="1403176705" name="Obrázek 1" descr="Obsah obrázku text, mapa, diagram&#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176705" name="Obrázek 1" descr="Obsah obrázku text, mapa, diagram&#10;&#10;Obsah generovaný pomocí AI může být nesprávný."/>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l="7606" t="13284" r="5918" b="9289"/>
                    <a:stretch>
                      <a:fillRect/>
                    </a:stretch>
                  </pic:blipFill>
                  <pic:spPr bwMode="auto">
                    <a:xfrm>
                      <a:off x="0" y="0"/>
                      <a:ext cx="5721525" cy="3623017"/>
                    </a:xfrm>
                    <a:prstGeom prst="rect">
                      <a:avLst/>
                    </a:prstGeom>
                    <a:noFill/>
                    <a:ln>
                      <a:noFill/>
                    </a:ln>
                    <a:extLst>
                      <a:ext uri="{53640926-AAD7-44D8-BBD7-CCE9431645EC}">
                        <a14:shadowObscured xmlns:a14="http://schemas.microsoft.com/office/drawing/2010/main"/>
                      </a:ext>
                    </a:extLst>
                  </pic:spPr>
                </pic:pic>
              </a:graphicData>
            </a:graphic>
          </wp:inline>
        </w:drawing>
      </w:r>
    </w:p>
    <w:p w14:paraId="221A2F11" w14:textId="15842CA5" w:rsidR="005E711E" w:rsidRPr="00FF00E0" w:rsidRDefault="005E711E" w:rsidP="005E711E">
      <w:pPr>
        <w:contextualSpacing/>
        <w:rPr>
          <w:rFonts w:cs="Arial"/>
          <w:bCs/>
          <w:sz w:val="20"/>
          <w:szCs w:val="20"/>
        </w:rPr>
      </w:pPr>
      <w:r w:rsidRPr="00FF00E0">
        <w:rPr>
          <w:rFonts w:cs="Arial"/>
          <w:bCs/>
          <w:i/>
          <w:sz w:val="20"/>
          <w:szCs w:val="20"/>
        </w:rPr>
        <w:t>Pramen: SPÚ</w:t>
      </w:r>
    </w:p>
    <w:p w14:paraId="048EB9D7" w14:textId="11BB3808" w:rsidR="008F5078" w:rsidRPr="00104F7D" w:rsidRDefault="00613A69" w:rsidP="007C4955">
      <w:pPr>
        <w:contextualSpacing/>
        <w:rPr>
          <w:b/>
          <w:color w:val="FF0000"/>
          <w:highlight w:val="yellow"/>
        </w:rPr>
      </w:pPr>
      <w:r w:rsidRPr="00104F7D">
        <w:rPr>
          <w:b/>
          <w:color w:val="FF0000"/>
          <w:highlight w:val="yellow"/>
        </w:rPr>
        <w:t xml:space="preserve"> </w:t>
      </w:r>
    </w:p>
    <w:p w14:paraId="4A64C64F" w14:textId="77777777" w:rsidR="009E1AE2" w:rsidRPr="00FF00E0" w:rsidRDefault="009E1AE2" w:rsidP="007C4955">
      <w:pPr>
        <w:contextualSpacing/>
        <w:rPr>
          <w:rFonts w:cs="Arial"/>
          <w:b/>
          <w:i/>
        </w:rPr>
      </w:pPr>
    </w:p>
    <w:p w14:paraId="36BE6FDB" w14:textId="77777777" w:rsidR="00B42211" w:rsidRDefault="00B42211" w:rsidP="007C4955">
      <w:pPr>
        <w:contextualSpacing/>
        <w:rPr>
          <w:rFonts w:cs="Arial"/>
          <w:b/>
          <w:i/>
        </w:rPr>
      </w:pPr>
    </w:p>
    <w:p w14:paraId="727C1E68" w14:textId="0B0ABCF3" w:rsidR="008F5078" w:rsidRPr="00FF00E0" w:rsidRDefault="008F5078" w:rsidP="007C4955">
      <w:pPr>
        <w:contextualSpacing/>
        <w:rPr>
          <w:rFonts w:cs="Arial"/>
          <w:b/>
          <w:i/>
        </w:rPr>
      </w:pPr>
      <w:r w:rsidRPr="00FF00E0">
        <w:rPr>
          <w:rFonts w:cs="Arial"/>
          <w:b/>
          <w:i/>
        </w:rPr>
        <w:t xml:space="preserve">Tabulka </w:t>
      </w:r>
      <w:r w:rsidR="00196259" w:rsidRPr="00FF00E0">
        <w:rPr>
          <w:rFonts w:cs="Arial"/>
          <w:b/>
          <w:i/>
        </w:rPr>
        <w:t>7</w:t>
      </w:r>
      <w:r w:rsidRPr="00FF00E0">
        <w:rPr>
          <w:rFonts w:cs="Arial"/>
          <w:b/>
          <w:i/>
        </w:rPr>
        <w:t>.</w:t>
      </w:r>
      <w:r w:rsidR="00196259" w:rsidRPr="00FF00E0">
        <w:rPr>
          <w:rFonts w:cs="Arial"/>
          <w:b/>
          <w:i/>
        </w:rPr>
        <w:t>2</w:t>
      </w:r>
      <w:r w:rsidRPr="00FF00E0">
        <w:rPr>
          <w:rFonts w:cs="Arial"/>
          <w:b/>
          <w:i/>
        </w:rPr>
        <w:t xml:space="preserve"> </w:t>
      </w:r>
    </w:p>
    <w:p w14:paraId="1EA7698E" w14:textId="055011D0" w:rsidR="008F5078" w:rsidRPr="00FF00E0" w:rsidRDefault="00BE1B2D" w:rsidP="007C4955">
      <w:pPr>
        <w:contextualSpacing/>
        <w:rPr>
          <w:rFonts w:cs="Arial"/>
          <w:b/>
          <w:i/>
        </w:rPr>
      </w:pPr>
      <w:r w:rsidRPr="00FF00E0">
        <w:rPr>
          <w:rFonts w:cs="Arial"/>
          <w:b/>
          <w:i/>
        </w:rPr>
        <w:t xml:space="preserve">Státní pozemkový úřad – </w:t>
      </w:r>
      <w:r w:rsidR="008F5078" w:rsidRPr="00FF00E0">
        <w:rPr>
          <w:rFonts w:cs="Arial"/>
          <w:b/>
          <w:i/>
        </w:rPr>
        <w:t>Realizovaná společná zařízení celkem – stav k 31</w:t>
      </w:r>
      <w:r w:rsidR="005316B8" w:rsidRPr="00FF00E0">
        <w:rPr>
          <w:rFonts w:cs="Arial"/>
          <w:b/>
          <w:i/>
        </w:rPr>
        <w:t>. </w:t>
      </w:r>
      <w:r w:rsidR="008F5078" w:rsidRPr="00FF00E0">
        <w:rPr>
          <w:rFonts w:cs="Arial"/>
          <w:b/>
          <w:i/>
        </w:rPr>
        <w:t>12. 202</w:t>
      </w:r>
      <w:r w:rsidR="00996795">
        <w:rPr>
          <w:rFonts w:cs="Arial"/>
          <w:b/>
          <w:i/>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812"/>
        <w:gridCol w:w="1812"/>
        <w:gridCol w:w="1829"/>
        <w:gridCol w:w="1813"/>
      </w:tblGrid>
      <w:tr w:rsidR="00E63214" w:rsidRPr="00FF00E0" w14:paraId="719BCD77" w14:textId="77777777" w:rsidTr="00047063">
        <w:trPr>
          <w:trHeight w:val="507"/>
        </w:trPr>
        <w:tc>
          <w:tcPr>
            <w:tcW w:w="1812" w:type="dxa"/>
            <w:shd w:val="clear" w:color="auto" w:fill="AEAAAA"/>
            <w:vAlign w:val="center"/>
          </w:tcPr>
          <w:p w14:paraId="1789241C" w14:textId="77777777" w:rsidR="005316B8" w:rsidRPr="00FF00E0" w:rsidRDefault="005316B8" w:rsidP="00445C5A">
            <w:pPr>
              <w:contextualSpacing/>
              <w:rPr>
                <w:rFonts w:cs="Arial"/>
                <w:sz w:val="20"/>
                <w:szCs w:val="20"/>
              </w:rPr>
            </w:pPr>
            <w:r w:rsidRPr="00FF00E0">
              <w:rPr>
                <w:rFonts w:cs="Arial"/>
                <w:sz w:val="20"/>
                <w:szCs w:val="20"/>
              </w:rPr>
              <w:t>Druh opatření</w:t>
            </w:r>
          </w:p>
        </w:tc>
        <w:tc>
          <w:tcPr>
            <w:tcW w:w="1812" w:type="dxa"/>
            <w:shd w:val="clear" w:color="auto" w:fill="AEAAAA"/>
            <w:vAlign w:val="center"/>
          </w:tcPr>
          <w:p w14:paraId="033B1081" w14:textId="77777777" w:rsidR="005316B8" w:rsidRPr="00FF00E0" w:rsidRDefault="005316B8" w:rsidP="007C4955">
            <w:pPr>
              <w:contextualSpacing/>
              <w:jc w:val="center"/>
              <w:rPr>
                <w:rFonts w:cs="Arial"/>
                <w:sz w:val="20"/>
                <w:szCs w:val="20"/>
              </w:rPr>
            </w:pPr>
            <w:r w:rsidRPr="00FF00E0">
              <w:rPr>
                <w:rFonts w:cs="Arial"/>
                <w:sz w:val="20"/>
                <w:szCs w:val="20"/>
              </w:rPr>
              <w:t>Protierozní opatření (ha)</w:t>
            </w:r>
          </w:p>
        </w:tc>
        <w:tc>
          <w:tcPr>
            <w:tcW w:w="1812" w:type="dxa"/>
            <w:shd w:val="clear" w:color="auto" w:fill="AEAAAA"/>
            <w:vAlign w:val="center"/>
          </w:tcPr>
          <w:p w14:paraId="0BF4DF89" w14:textId="77777777" w:rsidR="005316B8" w:rsidRPr="00FF00E0" w:rsidRDefault="005316B8" w:rsidP="007C4955">
            <w:pPr>
              <w:contextualSpacing/>
              <w:jc w:val="center"/>
              <w:rPr>
                <w:rFonts w:cs="Arial"/>
                <w:sz w:val="20"/>
                <w:szCs w:val="20"/>
              </w:rPr>
            </w:pPr>
            <w:r w:rsidRPr="00FF00E0">
              <w:rPr>
                <w:rFonts w:cs="Arial"/>
                <w:sz w:val="20"/>
                <w:szCs w:val="20"/>
              </w:rPr>
              <w:t>Ekologická opatření (ha)</w:t>
            </w:r>
          </w:p>
        </w:tc>
        <w:tc>
          <w:tcPr>
            <w:tcW w:w="1829" w:type="dxa"/>
            <w:shd w:val="clear" w:color="auto" w:fill="AEAAAA"/>
            <w:vAlign w:val="center"/>
          </w:tcPr>
          <w:p w14:paraId="4C3046DD" w14:textId="77777777" w:rsidR="005316B8" w:rsidRPr="00FF00E0" w:rsidRDefault="005316B8" w:rsidP="007C4955">
            <w:pPr>
              <w:contextualSpacing/>
              <w:jc w:val="center"/>
              <w:rPr>
                <w:rFonts w:cs="Arial"/>
                <w:sz w:val="20"/>
                <w:szCs w:val="20"/>
              </w:rPr>
            </w:pPr>
            <w:r w:rsidRPr="00FF00E0">
              <w:rPr>
                <w:rFonts w:cs="Arial"/>
                <w:sz w:val="20"/>
                <w:szCs w:val="20"/>
              </w:rPr>
              <w:t>Vodohospodářská opatření (ha)</w:t>
            </w:r>
          </w:p>
        </w:tc>
        <w:tc>
          <w:tcPr>
            <w:tcW w:w="1813" w:type="dxa"/>
            <w:shd w:val="clear" w:color="auto" w:fill="AEAAAA"/>
            <w:vAlign w:val="center"/>
          </w:tcPr>
          <w:p w14:paraId="731B70AD" w14:textId="77777777" w:rsidR="005316B8" w:rsidRPr="00FF00E0" w:rsidRDefault="005316B8" w:rsidP="007C4955">
            <w:pPr>
              <w:contextualSpacing/>
              <w:jc w:val="center"/>
              <w:rPr>
                <w:rFonts w:cs="Arial"/>
                <w:sz w:val="20"/>
                <w:szCs w:val="20"/>
              </w:rPr>
            </w:pPr>
            <w:r w:rsidRPr="00FF00E0">
              <w:rPr>
                <w:rFonts w:cs="Arial"/>
                <w:sz w:val="20"/>
                <w:szCs w:val="20"/>
              </w:rPr>
              <w:t>Cesty</w:t>
            </w:r>
          </w:p>
          <w:p w14:paraId="7EBE9D0C" w14:textId="77777777" w:rsidR="005316B8" w:rsidRPr="00FF00E0" w:rsidRDefault="005316B8" w:rsidP="007C4955">
            <w:pPr>
              <w:contextualSpacing/>
              <w:jc w:val="center"/>
              <w:rPr>
                <w:rFonts w:cs="Arial"/>
                <w:sz w:val="20"/>
                <w:szCs w:val="20"/>
              </w:rPr>
            </w:pPr>
            <w:r w:rsidRPr="00FF00E0">
              <w:rPr>
                <w:rFonts w:cs="Arial"/>
                <w:sz w:val="20"/>
                <w:szCs w:val="20"/>
              </w:rPr>
              <w:t>(km)</w:t>
            </w:r>
          </w:p>
        </w:tc>
      </w:tr>
      <w:tr w:rsidR="00996795" w:rsidRPr="00FF00E0" w14:paraId="1F03680D" w14:textId="77777777" w:rsidTr="00F27850">
        <w:trPr>
          <w:trHeight w:val="303"/>
        </w:trPr>
        <w:tc>
          <w:tcPr>
            <w:tcW w:w="1812" w:type="dxa"/>
            <w:vAlign w:val="center"/>
          </w:tcPr>
          <w:p w14:paraId="333282F8" w14:textId="77777777" w:rsidR="00996795" w:rsidRPr="00FF00E0" w:rsidRDefault="00996795" w:rsidP="00996795">
            <w:pPr>
              <w:contextualSpacing/>
              <w:jc w:val="left"/>
              <w:rPr>
                <w:rFonts w:cs="Arial"/>
                <w:sz w:val="20"/>
                <w:szCs w:val="20"/>
              </w:rPr>
            </w:pPr>
            <w:r w:rsidRPr="00FF00E0">
              <w:rPr>
                <w:rFonts w:cs="Arial"/>
                <w:sz w:val="20"/>
                <w:szCs w:val="20"/>
              </w:rPr>
              <w:t>Celkem</w:t>
            </w:r>
          </w:p>
        </w:tc>
        <w:tc>
          <w:tcPr>
            <w:tcW w:w="1812" w:type="dxa"/>
            <w:vAlign w:val="center"/>
          </w:tcPr>
          <w:p w14:paraId="33D72535" w14:textId="5170CF81" w:rsidR="00996795" w:rsidRPr="00FF00E0" w:rsidRDefault="00996795" w:rsidP="00996795">
            <w:pPr>
              <w:contextualSpacing/>
              <w:jc w:val="center"/>
              <w:rPr>
                <w:rFonts w:cs="Arial"/>
                <w:sz w:val="20"/>
                <w:szCs w:val="20"/>
              </w:rPr>
            </w:pPr>
            <w:r w:rsidRPr="007627FA">
              <w:rPr>
                <w:rFonts w:cs="Arial"/>
              </w:rPr>
              <w:t>978,35</w:t>
            </w:r>
          </w:p>
        </w:tc>
        <w:tc>
          <w:tcPr>
            <w:tcW w:w="1812" w:type="dxa"/>
            <w:vAlign w:val="center"/>
          </w:tcPr>
          <w:p w14:paraId="5FBB362C" w14:textId="67C46B8D" w:rsidR="00996795" w:rsidRPr="00FF00E0" w:rsidRDefault="00996795" w:rsidP="00996795">
            <w:pPr>
              <w:contextualSpacing/>
              <w:jc w:val="center"/>
              <w:rPr>
                <w:rFonts w:cs="Arial"/>
                <w:sz w:val="20"/>
                <w:szCs w:val="20"/>
              </w:rPr>
            </w:pPr>
            <w:r w:rsidRPr="007627FA">
              <w:rPr>
                <w:rFonts w:cs="Arial"/>
              </w:rPr>
              <w:t>2 091,67</w:t>
            </w:r>
          </w:p>
        </w:tc>
        <w:tc>
          <w:tcPr>
            <w:tcW w:w="1829" w:type="dxa"/>
            <w:vAlign w:val="center"/>
          </w:tcPr>
          <w:p w14:paraId="2C1A209C" w14:textId="57FF2E83" w:rsidR="00996795" w:rsidRPr="00FF00E0" w:rsidRDefault="00996795" w:rsidP="00996795">
            <w:pPr>
              <w:contextualSpacing/>
              <w:jc w:val="center"/>
              <w:rPr>
                <w:rFonts w:cs="Arial"/>
                <w:sz w:val="20"/>
                <w:szCs w:val="20"/>
              </w:rPr>
            </w:pPr>
            <w:r w:rsidRPr="007627FA">
              <w:rPr>
                <w:rFonts w:cs="Arial"/>
              </w:rPr>
              <w:t>901,16</w:t>
            </w:r>
          </w:p>
        </w:tc>
        <w:tc>
          <w:tcPr>
            <w:tcW w:w="1813" w:type="dxa"/>
            <w:vAlign w:val="center"/>
          </w:tcPr>
          <w:p w14:paraId="0161C65C" w14:textId="16889A1E" w:rsidR="00996795" w:rsidRPr="00FF00E0" w:rsidRDefault="00996795" w:rsidP="00996795">
            <w:pPr>
              <w:contextualSpacing/>
              <w:jc w:val="center"/>
              <w:rPr>
                <w:rFonts w:cs="Arial"/>
                <w:sz w:val="20"/>
                <w:szCs w:val="20"/>
              </w:rPr>
            </w:pPr>
            <w:r w:rsidRPr="007627FA">
              <w:rPr>
                <w:rFonts w:cs="Arial"/>
              </w:rPr>
              <w:t>4 257,03</w:t>
            </w:r>
          </w:p>
        </w:tc>
      </w:tr>
    </w:tbl>
    <w:p w14:paraId="60BB9024" w14:textId="77777777" w:rsidR="008F5078" w:rsidRPr="00FF00E0" w:rsidRDefault="008F5078" w:rsidP="007C4955">
      <w:pPr>
        <w:contextualSpacing/>
        <w:jc w:val="left"/>
        <w:rPr>
          <w:rFonts w:cs="Arial"/>
          <w:i/>
          <w:sz w:val="20"/>
          <w:szCs w:val="20"/>
        </w:rPr>
      </w:pPr>
      <w:r w:rsidRPr="00FF00E0">
        <w:rPr>
          <w:rFonts w:cs="Arial"/>
          <w:i/>
          <w:sz w:val="20"/>
          <w:szCs w:val="20"/>
        </w:rPr>
        <w:t>Pramen: SPÚ</w:t>
      </w:r>
    </w:p>
    <w:p w14:paraId="229B1AFF" w14:textId="77777777" w:rsidR="005E711E" w:rsidRPr="00104F7D" w:rsidRDefault="005E711E" w:rsidP="007C4955">
      <w:pPr>
        <w:contextualSpacing/>
        <w:jc w:val="left"/>
        <w:rPr>
          <w:rFonts w:cs="Arial"/>
          <w:i/>
          <w:sz w:val="20"/>
          <w:szCs w:val="20"/>
          <w:highlight w:val="yellow"/>
        </w:rPr>
      </w:pPr>
    </w:p>
    <w:p w14:paraId="1F8A931B" w14:textId="77777777" w:rsidR="005E711E" w:rsidRPr="00104F7D" w:rsidRDefault="005E711E" w:rsidP="007C4955">
      <w:pPr>
        <w:contextualSpacing/>
        <w:jc w:val="left"/>
        <w:rPr>
          <w:rFonts w:cs="Arial"/>
          <w:i/>
          <w:sz w:val="20"/>
          <w:szCs w:val="20"/>
          <w:highlight w:val="yellow"/>
        </w:rPr>
      </w:pPr>
    </w:p>
    <w:p w14:paraId="16959D1E" w14:textId="77777777" w:rsidR="008F5078" w:rsidRPr="00104F7D" w:rsidRDefault="008F5078" w:rsidP="007C4955">
      <w:pPr>
        <w:contextualSpacing/>
        <w:rPr>
          <w:rFonts w:cs="Arial"/>
          <w:b/>
          <w:i/>
          <w:color w:val="FF0000"/>
          <w:spacing w:val="8"/>
          <w:highlight w:val="yellow"/>
        </w:rPr>
      </w:pPr>
    </w:p>
    <w:p w14:paraId="04B95694" w14:textId="77777777" w:rsidR="00613A69" w:rsidRPr="00104F7D" w:rsidRDefault="00613A69" w:rsidP="007C4955">
      <w:pPr>
        <w:contextualSpacing/>
        <w:rPr>
          <w:rFonts w:cs="Arial"/>
          <w:b/>
          <w:i/>
          <w:color w:val="FF0000"/>
          <w:spacing w:val="8"/>
          <w:highlight w:val="yellow"/>
        </w:rPr>
      </w:pPr>
    </w:p>
    <w:p w14:paraId="33FA7033" w14:textId="276A209B" w:rsidR="005E711E" w:rsidRPr="000F5C30" w:rsidRDefault="0027267B" w:rsidP="005E711E">
      <w:pPr>
        <w:contextualSpacing/>
        <w:rPr>
          <w:i/>
          <w:noProof/>
          <w:sz w:val="20"/>
          <w:szCs w:val="20"/>
          <w:lang w:eastAsia="cs-CZ"/>
        </w:rPr>
      </w:pPr>
      <w:r w:rsidRPr="00104F7D">
        <w:rPr>
          <w:rFonts w:cs="Arial"/>
          <w:b/>
          <w:i/>
          <w:color w:val="FF0000"/>
          <w:spacing w:val="8"/>
          <w:highlight w:val="yellow"/>
        </w:rPr>
        <w:br w:type="page"/>
      </w:r>
      <w:r w:rsidR="005E711E" w:rsidRPr="000F5C30">
        <w:rPr>
          <w:rFonts w:cs="Arial"/>
          <w:b/>
          <w:i/>
          <w:spacing w:val="8"/>
        </w:rPr>
        <w:t xml:space="preserve">Graf 7.1 </w:t>
      </w:r>
    </w:p>
    <w:p w14:paraId="5AFC66AA" w14:textId="2F61E88A" w:rsidR="00750AE9" w:rsidRPr="000F5C30" w:rsidRDefault="00750AE9" w:rsidP="00750AE9">
      <w:pPr>
        <w:pStyle w:val="Default"/>
        <w:contextualSpacing/>
        <w:rPr>
          <w:b/>
          <w:i/>
          <w:color w:val="auto"/>
          <w:sz w:val="22"/>
          <w:szCs w:val="22"/>
        </w:rPr>
      </w:pPr>
      <w:r w:rsidRPr="000F5C30">
        <w:rPr>
          <w:b/>
          <w:i/>
          <w:color w:val="auto"/>
          <w:sz w:val="22"/>
          <w:szCs w:val="22"/>
        </w:rPr>
        <w:t>Realizovaná společná zařízení v pozemkových úpravách podle krajů k 31. 12. 202</w:t>
      </w:r>
      <w:r w:rsidR="000F5C30">
        <w:rPr>
          <w:b/>
          <w:i/>
          <w:color w:val="auto"/>
          <w:sz w:val="22"/>
          <w:szCs w:val="22"/>
        </w:rPr>
        <w:t>5</w:t>
      </w:r>
    </w:p>
    <w:p w14:paraId="29AF1112" w14:textId="1160EAB8" w:rsidR="005E711E" w:rsidRPr="00104F7D" w:rsidRDefault="002704FA" w:rsidP="005E711E">
      <w:pPr>
        <w:rPr>
          <w:noProof/>
          <w:highlight w:val="yellow"/>
          <w:lang w:eastAsia="cs-CZ"/>
        </w:rPr>
      </w:pPr>
      <w:r>
        <w:rPr>
          <w:noProof/>
        </w:rPr>
        <w:drawing>
          <wp:inline distT="0" distB="0" distL="0" distR="0" wp14:anchorId="4E195176" wp14:editId="582580C1">
            <wp:extent cx="5760720" cy="2747010"/>
            <wp:effectExtent l="0" t="0" r="0" b="0"/>
            <wp:docPr id="110538691" name="Obrázek 1" descr="Obsah obrázku text, snímek obrazovky, Písmo, diagram&#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8691" name="Obrázek 1" descr="Obsah obrázku text, snímek obrazovky, Písmo, diagram&#10;&#10;Obsah generovaný pomocí AI může být nesprávný."/>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t="14438"/>
                    <a:stretch>
                      <a:fillRect/>
                    </a:stretch>
                  </pic:blipFill>
                  <pic:spPr bwMode="auto">
                    <a:xfrm>
                      <a:off x="0" y="0"/>
                      <a:ext cx="5760720" cy="2747010"/>
                    </a:xfrm>
                    <a:prstGeom prst="rect">
                      <a:avLst/>
                    </a:prstGeom>
                    <a:noFill/>
                    <a:ln>
                      <a:noFill/>
                    </a:ln>
                    <a:extLst>
                      <a:ext uri="{53640926-AAD7-44D8-BBD7-CCE9431645EC}">
                        <a14:shadowObscured xmlns:a14="http://schemas.microsoft.com/office/drawing/2010/main"/>
                      </a:ext>
                    </a:extLst>
                  </pic:spPr>
                </pic:pic>
              </a:graphicData>
            </a:graphic>
          </wp:inline>
        </w:drawing>
      </w:r>
    </w:p>
    <w:p w14:paraId="6E74155A" w14:textId="3C2EB063" w:rsidR="005E711E" w:rsidRPr="002704FA" w:rsidRDefault="005E711E" w:rsidP="005E711E">
      <w:pPr>
        <w:contextualSpacing/>
        <w:rPr>
          <w:bCs/>
          <w:i/>
          <w:noProof/>
          <w:sz w:val="20"/>
          <w:szCs w:val="20"/>
          <w:lang w:eastAsia="cs-CZ"/>
        </w:rPr>
      </w:pPr>
      <w:r w:rsidRPr="002704FA">
        <w:rPr>
          <w:rFonts w:cs="Arial"/>
          <w:bCs/>
          <w:i/>
          <w:sz w:val="20"/>
          <w:szCs w:val="20"/>
        </w:rPr>
        <w:t>Pramen: SPÚ</w:t>
      </w:r>
    </w:p>
    <w:p w14:paraId="0F43A847" w14:textId="77777777" w:rsidR="0006642E" w:rsidRDefault="0006642E" w:rsidP="00CF7450">
      <w:pPr>
        <w:keepNext/>
        <w:keepLines/>
        <w:rPr>
          <w:rFonts w:eastAsia="Times New Roman" w:cs="Arial"/>
          <w:b/>
          <w:i/>
          <w:lang w:eastAsia="cs-CZ"/>
        </w:rPr>
      </w:pPr>
    </w:p>
    <w:p w14:paraId="1D5CA35A" w14:textId="0A197FAC" w:rsidR="00C4206E" w:rsidRPr="00A7514F" w:rsidRDefault="00E144F1" w:rsidP="00CF7450">
      <w:pPr>
        <w:keepNext/>
        <w:keepLines/>
        <w:rPr>
          <w:rFonts w:eastAsia="Times New Roman" w:cs="Arial"/>
          <w:b/>
          <w:i/>
          <w:lang w:eastAsia="cs-CZ"/>
        </w:rPr>
      </w:pPr>
      <w:r w:rsidRPr="00A7514F">
        <w:rPr>
          <w:rFonts w:eastAsia="Times New Roman" w:cs="Arial"/>
          <w:b/>
          <w:i/>
          <w:lang w:eastAsia="cs-CZ"/>
        </w:rPr>
        <w:t>Meliorační stavby</w:t>
      </w:r>
    </w:p>
    <w:p w14:paraId="2BA53D1F" w14:textId="77777777" w:rsidR="00CF7450" w:rsidRDefault="00CF7450" w:rsidP="00CF7450">
      <w:pPr>
        <w:rPr>
          <w:rFonts w:eastAsia="Times New Roman" w:cs="Arial"/>
          <w:lang w:eastAsia="cs-CZ"/>
        </w:rPr>
      </w:pPr>
      <w:bookmarkStart w:id="96" w:name="_Hlk188536510"/>
    </w:p>
    <w:p w14:paraId="30CF3D91" w14:textId="2E41C166" w:rsidR="00A7514F" w:rsidRPr="007627FA" w:rsidRDefault="00A7514F" w:rsidP="00CF7450">
      <w:pPr>
        <w:rPr>
          <w:rFonts w:eastAsia="Times New Roman" w:cs="Arial"/>
          <w:lang w:eastAsia="cs-CZ"/>
        </w:rPr>
      </w:pPr>
      <w:r w:rsidRPr="007627FA">
        <w:rPr>
          <w:rFonts w:eastAsia="Times New Roman" w:cs="Arial"/>
          <w:lang w:eastAsia="cs-CZ"/>
        </w:rPr>
        <w:t xml:space="preserve">Státní pozemkový úřad </w:t>
      </w:r>
      <w:bookmarkEnd w:id="96"/>
      <w:r w:rsidRPr="007627FA">
        <w:rPr>
          <w:rFonts w:eastAsia="Times New Roman" w:cs="Arial"/>
          <w:lang w:eastAsia="cs-CZ"/>
        </w:rPr>
        <w:t xml:space="preserve">je příslušný hospodařit se stavbami využívanými k vodohospodářským melioracím pozemků a souvisejícími vodními díly ve smyslu § 56 odst. 6 zákona č. 254/2001 Sb., o vodách a o změně některých zákonů (vodní zákon), ve znění pozdějších předpisů </w:t>
      </w:r>
      <w:r>
        <w:rPr>
          <w:rFonts w:eastAsia="Times New Roman" w:cs="Arial"/>
          <w:lang w:eastAsia="cs-CZ"/>
        </w:rPr>
        <w:br/>
      </w:r>
      <w:r w:rsidRPr="007627FA">
        <w:rPr>
          <w:rFonts w:eastAsia="Times New Roman" w:cs="Arial"/>
          <w:lang w:eastAsia="cs-CZ"/>
        </w:rPr>
        <w:t xml:space="preserve">a § 4 odst. 2 a odst. 3 zákona č. 503/2012 Sb., o Státním pozemkovém úřadu a o změně některých souvisejících zákonů, ve znění pozdějších předpisů. </w:t>
      </w:r>
    </w:p>
    <w:p w14:paraId="4F6D7AB8" w14:textId="77777777" w:rsidR="00CF7450" w:rsidRDefault="00CF7450" w:rsidP="00CF7450">
      <w:pPr>
        <w:rPr>
          <w:rFonts w:eastAsia="Times New Roman" w:cs="Arial"/>
          <w:lang w:eastAsia="cs-CZ"/>
        </w:rPr>
      </w:pPr>
    </w:p>
    <w:p w14:paraId="1979B5A6" w14:textId="7D26AAA5" w:rsidR="00A7514F" w:rsidRPr="007627FA" w:rsidRDefault="00A7514F" w:rsidP="00CF7450">
      <w:pPr>
        <w:rPr>
          <w:rFonts w:eastAsia="Times New Roman" w:cs="Arial"/>
          <w:lang w:eastAsia="cs-CZ"/>
        </w:rPr>
      </w:pPr>
      <w:r w:rsidRPr="007627FA">
        <w:rPr>
          <w:rFonts w:eastAsia="Times New Roman" w:cs="Arial"/>
          <w:lang w:eastAsia="cs-CZ"/>
        </w:rPr>
        <w:t>Zajišťuje tak správu, údržbu, opravy a provoz hlavních odvodňovacích zařízení, hlavních závlahových zařízení a protierozních opatření ve vlastnictví státu.</w:t>
      </w:r>
    </w:p>
    <w:p w14:paraId="30D37B01" w14:textId="77777777" w:rsidR="00CF7450" w:rsidRDefault="00CF7450" w:rsidP="00CF7450">
      <w:pPr>
        <w:rPr>
          <w:rFonts w:eastAsia="Times New Roman" w:cs="Arial"/>
          <w:lang w:eastAsia="cs-CZ"/>
        </w:rPr>
      </w:pPr>
    </w:p>
    <w:p w14:paraId="6D3A7034" w14:textId="3609CB92" w:rsidR="00A7514F" w:rsidRPr="007627FA" w:rsidRDefault="00A7514F" w:rsidP="00CF7450">
      <w:pPr>
        <w:rPr>
          <w:rFonts w:eastAsia="Times New Roman" w:cs="Arial"/>
          <w:bCs/>
          <w:lang w:eastAsia="cs-CZ"/>
        </w:rPr>
      </w:pPr>
      <w:r w:rsidRPr="007627FA">
        <w:rPr>
          <w:rFonts w:eastAsia="Times New Roman" w:cs="Arial"/>
          <w:lang w:eastAsia="cs-CZ"/>
        </w:rPr>
        <w:t>K 31. 12. 2025 se jednalo o majetek v celkové pořizovací hodnotě 2,562 m</w:t>
      </w:r>
      <w:r>
        <w:rPr>
          <w:rFonts w:eastAsia="Times New Roman" w:cs="Arial"/>
          <w:lang w:eastAsia="cs-CZ"/>
        </w:rPr>
        <w:t>ld.</w:t>
      </w:r>
      <w:r w:rsidRPr="007627FA">
        <w:rPr>
          <w:rFonts w:eastAsia="Times New Roman" w:cs="Arial"/>
          <w:lang w:eastAsia="cs-CZ"/>
        </w:rPr>
        <w:t xml:space="preserve"> Kč. Rozsah majetku činil 18 900 položek HIM, z toho 8 819,982 km kanálů (5 076,832</w:t>
      </w:r>
      <w:r w:rsidRPr="007627FA">
        <w:rPr>
          <w:rFonts w:eastAsia="Times New Roman" w:cs="Arial"/>
          <w:bCs/>
          <w:lang w:eastAsia="cs-CZ"/>
        </w:rPr>
        <w:t xml:space="preserve"> km otevřených </w:t>
      </w:r>
      <w:r w:rsidRPr="007627FA">
        <w:rPr>
          <w:rFonts w:eastAsia="Times New Roman" w:cs="Arial"/>
          <w:bCs/>
          <w:lang w:eastAsia="cs-CZ"/>
        </w:rPr>
        <w:br/>
        <w:t xml:space="preserve">a 3 743,150 km zakrytých), 19 vodních nádrží a 129 čerpacích stanic. </w:t>
      </w:r>
    </w:p>
    <w:p w14:paraId="16D98FE6" w14:textId="77777777" w:rsidR="00CF7450" w:rsidRDefault="00CF7450" w:rsidP="00CF7450">
      <w:pPr>
        <w:rPr>
          <w:rFonts w:eastAsia="Times New Roman" w:cs="Arial"/>
          <w:lang w:eastAsia="cs-CZ"/>
        </w:rPr>
      </w:pPr>
    </w:p>
    <w:p w14:paraId="75EF5EFE" w14:textId="3C229C79" w:rsidR="00A7514F" w:rsidRPr="007627FA" w:rsidRDefault="00A7514F" w:rsidP="00CF7450">
      <w:pPr>
        <w:rPr>
          <w:rFonts w:eastAsia="Times New Roman" w:cs="Arial"/>
          <w:lang w:eastAsia="cs-CZ"/>
        </w:rPr>
      </w:pPr>
      <w:r w:rsidRPr="007627FA">
        <w:rPr>
          <w:rFonts w:eastAsia="Times New Roman" w:cs="Arial"/>
          <w:lang w:eastAsia="cs-CZ"/>
        </w:rPr>
        <w:t xml:space="preserve">V rámci Státního pozemkového úřadu zajišťuje agendy související se správou staveb k vodohospodářským melioracím pozemků Odbor vodohospodářských staveb. Kromě běžné provozní činnosti, která spočívala především v zajištění nezbytné údržby a provozu svěřeného majetku, vyjadřovací a konzultační činnosti, majetkoprávní agendy a vedení informačních systémů se aktivity odboru zaměřily na odstraňování povodňových škod na závlahových </w:t>
      </w:r>
      <w:r w:rsidRPr="007627FA">
        <w:rPr>
          <w:rFonts w:eastAsia="Times New Roman" w:cs="Arial"/>
          <w:lang w:eastAsia="cs-CZ"/>
        </w:rPr>
        <w:br/>
        <w:t>a odvodňovacích soustavách ze září roku 2024. Předpoklad dokončení odstraňování povodňových škod je konec roku 2026.</w:t>
      </w:r>
    </w:p>
    <w:p w14:paraId="3B10F4ED" w14:textId="77777777" w:rsidR="00CF7450" w:rsidRDefault="00CF7450" w:rsidP="00CF7450">
      <w:pPr>
        <w:rPr>
          <w:rFonts w:eastAsia="Times New Roman" w:cs="Arial"/>
          <w:lang w:eastAsia="cs-CZ"/>
        </w:rPr>
      </w:pPr>
    </w:p>
    <w:p w14:paraId="7B1C29E2" w14:textId="3372180A" w:rsidR="00A7514F" w:rsidRPr="007627FA" w:rsidRDefault="00A7514F" w:rsidP="00CF7450">
      <w:pPr>
        <w:rPr>
          <w:rFonts w:eastAsia="Times New Roman" w:cs="Arial"/>
          <w:lang w:eastAsia="cs-CZ"/>
        </w:rPr>
      </w:pPr>
      <w:r w:rsidRPr="007627FA">
        <w:rPr>
          <w:rFonts w:eastAsia="Times New Roman" w:cs="Arial"/>
          <w:lang w:eastAsia="cs-CZ"/>
        </w:rPr>
        <w:t xml:space="preserve">V průběhu roku se také podařilo vložit kompletní data staveb k vodohospodářským melioracím pozemků do prostředí digitálně technické mapy. Zároveň probíhaly práce na digitalizaci archivních projektových dokumentací a na digitalizaci agend odboru. </w:t>
      </w:r>
    </w:p>
    <w:p w14:paraId="179D018A" w14:textId="77777777" w:rsidR="00CF7450" w:rsidRDefault="00CF7450" w:rsidP="00CF7450">
      <w:pPr>
        <w:rPr>
          <w:rFonts w:eastAsia="Times New Roman" w:cs="Arial"/>
          <w:lang w:eastAsia="cs-CZ"/>
        </w:rPr>
      </w:pPr>
    </w:p>
    <w:p w14:paraId="027FCDCC" w14:textId="1490F1E8" w:rsidR="00A7514F" w:rsidRPr="007627FA" w:rsidRDefault="00A7514F" w:rsidP="00CF7450">
      <w:pPr>
        <w:rPr>
          <w:rFonts w:eastAsia="Times New Roman" w:cs="Arial"/>
          <w:lang w:eastAsia="cs-CZ"/>
        </w:rPr>
      </w:pPr>
      <w:r w:rsidRPr="007627FA">
        <w:rPr>
          <w:rFonts w:eastAsia="Times New Roman" w:cs="Arial"/>
          <w:lang w:eastAsia="cs-CZ"/>
        </w:rPr>
        <w:t xml:space="preserve">Státní pozemkový úřad má v příslušnosti hospodařit pět významných a tři méně rozsáhlé závlahové soustavy, které se nachází na Břeclavsku a Znojemsku. Z důvodu zajištění kontinuity jejich provozu byla koncem roku realizována výběrová řízení na provozovatele soustav. Vzhledem k tomu, že se podařilo vybrat provozovatele na všechny soustavy v příslušnosti hospodařit SPÚ, bude zajištěn jejich provoz do konce roku 2029. Celková </w:t>
      </w:r>
      <w:proofErr w:type="spellStart"/>
      <w:r w:rsidRPr="007627FA">
        <w:rPr>
          <w:rFonts w:eastAsia="Times New Roman" w:cs="Arial"/>
          <w:lang w:eastAsia="cs-CZ"/>
        </w:rPr>
        <w:t>zavlažovatelná</w:t>
      </w:r>
      <w:proofErr w:type="spellEnd"/>
      <w:r w:rsidRPr="007627FA">
        <w:rPr>
          <w:rFonts w:eastAsia="Times New Roman" w:cs="Arial"/>
          <w:lang w:eastAsia="cs-CZ"/>
        </w:rPr>
        <w:t xml:space="preserve"> plocha soustav v majetku SPÚ je více jak 22 tis. ha. Státní pozemkový úřad vynakládá ročně na provoz a údržbu závlahových soustav částku cca 20 mil. Kč z provozního rozpočtu.</w:t>
      </w:r>
    </w:p>
    <w:p w14:paraId="1D8AB9E6" w14:textId="77777777" w:rsidR="00CF7450" w:rsidRDefault="00CF7450" w:rsidP="00CF7450">
      <w:pPr>
        <w:rPr>
          <w:rFonts w:eastAsia="Times New Roman" w:cs="Arial"/>
          <w:lang w:eastAsia="cs-CZ"/>
        </w:rPr>
      </w:pPr>
    </w:p>
    <w:p w14:paraId="7C06C6F9" w14:textId="7D50BDB5" w:rsidR="00A7514F" w:rsidRPr="007627FA" w:rsidRDefault="00A7514F" w:rsidP="00CF7450">
      <w:pPr>
        <w:rPr>
          <w:rFonts w:eastAsia="Times New Roman" w:cs="Arial"/>
          <w:lang w:eastAsia="cs-CZ"/>
        </w:rPr>
      </w:pPr>
      <w:r w:rsidRPr="007627FA">
        <w:rPr>
          <w:rFonts w:eastAsia="Times New Roman" w:cs="Arial"/>
          <w:lang w:eastAsia="cs-CZ"/>
        </w:rPr>
        <w:t xml:space="preserve">Ke konci roku se podařilo uzavřít dodatek na výpůjčku na bezplatné užívání přeronové Závlahy Metuje pro Českou společnost ornitologickou (ČSO) na dobu tří let. Výpůjčka umožní </w:t>
      </w:r>
      <w:r w:rsidRPr="007627FA">
        <w:rPr>
          <w:rFonts w:eastAsia="Times New Roman" w:cs="Arial"/>
          <w:lang w:eastAsia="cs-CZ"/>
        </w:rPr>
        <w:br/>
        <w:t xml:space="preserve">ČSO užívání stavby pro vytvoření unikátního prostřední pro vodomilné ptactvo. Předpokladem je postupné rozšiřování této lokality. V loňském roce se Odbor vodohospodářských staveb věnoval také přípravě a realizaci krajinotvorných opatření souvisejících se zadržením vody </w:t>
      </w:r>
      <w:r w:rsidRPr="007627FA">
        <w:rPr>
          <w:rFonts w:eastAsia="Times New Roman" w:cs="Arial"/>
          <w:lang w:eastAsia="cs-CZ"/>
        </w:rPr>
        <w:br/>
        <w:t xml:space="preserve">v krajině spočívajících především v realizaci revitalizačních opatřeních (otevření </w:t>
      </w:r>
      <w:proofErr w:type="spellStart"/>
      <w:r w:rsidRPr="007627FA">
        <w:rPr>
          <w:rFonts w:eastAsia="Times New Roman" w:cs="Arial"/>
          <w:lang w:eastAsia="cs-CZ"/>
        </w:rPr>
        <w:t>zatrubněných</w:t>
      </w:r>
      <w:proofErr w:type="spellEnd"/>
      <w:r w:rsidRPr="007627FA">
        <w:rPr>
          <w:rFonts w:eastAsia="Times New Roman" w:cs="Arial"/>
          <w:lang w:eastAsia="cs-CZ"/>
        </w:rPr>
        <w:t xml:space="preserve"> koryt, rozvolnění původních napřímených tras, odstranění původních opevnění, realizace tůní apod.).</w:t>
      </w:r>
    </w:p>
    <w:p w14:paraId="20B0D1F5" w14:textId="77777777" w:rsidR="00CF7450" w:rsidRDefault="00CF7450" w:rsidP="00CF7450">
      <w:pPr>
        <w:rPr>
          <w:rFonts w:eastAsia="Times New Roman" w:cs="Arial"/>
          <w:bCs/>
          <w:lang w:eastAsia="cs-CZ"/>
        </w:rPr>
      </w:pPr>
    </w:p>
    <w:p w14:paraId="2B0C43AF" w14:textId="6E0A6AD1" w:rsidR="00A7514F" w:rsidRPr="00FE3BCB" w:rsidRDefault="00A7514F" w:rsidP="00CF7450">
      <w:pPr>
        <w:rPr>
          <w:rFonts w:eastAsia="Times New Roman" w:cs="Arial"/>
          <w:bCs/>
          <w:color w:val="000000"/>
          <w:lang w:eastAsia="cs-CZ"/>
        </w:rPr>
      </w:pPr>
      <w:r w:rsidRPr="007627FA">
        <w:rPr>
          <w:rFonts w:eastAsia="Times New Roman" w:cs="Arial"/>
          <w:bCs/>
          <w:lang w:eastAsia="cs-CZ"/>
        </w:rPr>
        <w:t>Za rok 2025 byly na správu, údržbu a provoz staveb k vodohospodářským melioracím pozemků ve vlastnictví státu a příslušnosti hospodařit Státního pozemkového úřadu vynaloženy finanční prostředky ze státního rozpočtu z rozpočtové kapitoly Ministerstva zemědělství v celkové výši 61,5 m</w:t>
      </w:r>
      <w:r>
        <w:rPr>
          <w:rFonts w:eastAsia="Times New Roman" w:cs="Arial"/>
          <w:bCs/>
          <w:lang w:eastAsia="cs-CZ"/>
        </w:rPr>
        <w:t>il.</w:t>
      </w:r>
      <w:r w:rsidRPr="007627FA">
        <w:rPr>
          <w:rFonts w:eastAsia="Times New Roman" w:cs="Arial"/>
          <w:bCs/>
          <w:lang w:eastAsia="cs-CZ"/>
        </w:rPr>
        <w:t xml:space="preserve"> Kč. Běžné udržovací práce a opravy byly provedeny v celkové hodnotě 16,9 mi</w:t>
      </w:r>
      <w:r>
        <w:rPr>
          <w:rFonts w:eastAsia="Times New Roman" w:cs="Arial"/>
          <w:bCs/>
          <w:lang w:eastAsia="cs-CZ"/>
        </w:rPr>
        <w:t>l.</w:t>
      </w:r>
      <w:r w:rsidRPr="007627FA">
        <w:rPr>
          <w:rFonts w:eastAsia="Times New Roman" w:cs="Arial"/>
          <w:bCs/>
          <w:lang w:eastAsia="cs-CZ"/>
        </w:rPr>
        <w:t xml:space="preserve"> Kč (z toho byly 4 mil. Kč hrazeny z povodňových škod), náklady na zajištění provozu a oprav čerpacích stanic (odvodňovacích i závlahových) včetně nákladů na spotřebu elektrické energie činily celkem 44,5 mil</w:t>
      </w:r>
      <w:r>
        <w:rPr>
          <w:rFonts w:eastAsia="Times New Roman" w:cs="Arial"/>
          <w:bCs/>
          <w:lang w:eastAsia="cs-CZ"/>
        </w:rPr>
        <w:t>.</w:t>
      </w:r>
      <w:r w:rsidRPr="007627FA">
        <w:rPr>
          <w:rFonts w:eastAsia="Times New Roman" w:cs="Arial"/>
          <w:bCs/>
          <w:lang w:eastAsia="cs-CZ"/>
        </w:rPr>
        <w:t xml:space="preserve"> Kč (z toho bylo 1,1 mil</w:t>
      </w:r>
      <w:r>
        <w:rPr>
          <w:rFonts w:eastAsia="Times New Roman" w:cs="Arial"/>
          <w:bCs/>
          <w:lang w:eastAsia="cs-CZ"/>
        </w:rPr>
        <w:t>.</w:t>
      </w:r>
      <w:r w:rsidRPr="007627FA">
        <w:rPr>
          <w:rFonts w:eastAsia="Times New Roman" w:cs="Arial"/>
          <w:bCs/>
          <w:lang w:eastAsia="cs-CZ"/>
        </w:rPr>
        <w:t xml:space="preserve"> Kč hrazeno z povodňových škod).</w:t>
      </w:r>
      <w:r w:rsidRPr="00FE3BCB">
        <w:rPr>
          <w:rFonts w:eastAsia="Times New Roman" w:cs="Arial"/>
          <w:bCs/>
          <w:color w:val="000000"/>
          <w:lang w:eastAsia="cs-CZ"/>
        </w:rPr>
        <w:t xml:space="preserve"> </w:t>
      </w:r>
    </w:p>
    <w:p w14:paraId="41B6E00E" w14:textId="5807EAB5" w:rsidR="00453D2A" w:rsidRPr="00104F7D" w:rsidRDefault="00196259" w:rsidP="00196259">
      <w:pPr>
        <w:jc w:val="left"/>
        <w:rPr>
          <w:rFonts w:eastAsia="Times New Roman" w:cs="Arial"/>
          <w:b/>
          <w:bCs/>
          <w:color w:val="FF0000"/>
          <w:highlight w:val="yellow"/>
          <w:lang w:eastAsia="cs-CZ"/>
        </w:rPr>
      </w:pPr>
      <w:r w:rsidRPr="00104F7D">
        <w:rPr>
          <w:rFonts w:eastAsia="Times New Roman" w:cs="Arial"/>
          <w:b/>
          <w:bCs/>
          <w:color w:val="FF0000"/>
          <w:highlight w:val="yellow"/>
          <w:lang w:eastAsia="cs-CZ"/>
        </w:rPr>
        <w:br w:type="page"/>
      </w:r>
    </w:p>
    <w:p w14:paraId="198087C0" w14:textId="0E0228C9" w:rsidR="004F3115" w:rsidRPr="00345962" w:rsidRDefault="00C32C5C">
      <w:pPr>
        <w:pStyle w:val="Nadpis1"/>
        <w:numPr>
          <w:ilvl w:val="0"/>
          <w:numId w:val="13"/>
        </w:numPr>
      </w:pPr>
      <w:bookmarkStart w:id="97" w:name="_Toc236991628"/>
      <w:bookmarkStart w:id="98" w:name="_Hlk168319697"/>
      <w:r w:rsidRPr="00345962">
        <w:t>VODNÍ CESTY</w:t>
      </w:r>
      <w:bookmarkEnd w:id="97"/>
    </w:p>
    <w:p w14:paraId="0B046703" w14:textId="77777777" w:rsidR="00C63E1A" w:rsidRPr="00104F7D" w:rsidRDefault="00C63E1A" w:rsidP="00C63E1A">
      <w:pPr>
        <w:rPr>
          <w:highlight w:val="yellow"/>
        </w:rPr>
      </w:pPr>
    </w:p>
    <w:p w14:paraId="53668F73" w14:textId="2810D44B" w:rsidR="006E212D" w:rsidRDefault="006059E8" w:rsidP="006E212D">
      <w:r w:rsidRPr="00F94D2B">
        <w:rPr>
          <w:b/>
          <w:bCs/>
        </w:rPr>
        <w:t>Ministerstvo dopravy vykonává dle znění zákona č. 114/1995 Sb., o vnitrozemské plavbě, ve znění pozdějších předpisů, působnost v oblasti péče o rozvoj a modernizaci dopravně významných vodních cest. Tato činnost se týká zejména péče o rozvoj Labsko-vltavské vodní cesty, která je nejdůležitější dopravně významnou vodní cestou v České republice a je jediným plavebním spojením České republiky se západoevropskou sítí vodních cest.</w:t>
      </w:r>
      <w:r w:rsidRPr="006059E8">
        <w:t xml:space="preserve"> </w:t>
      </w:r>
    </w:p>
    <w:p w14:paraId="515A7AC9" w14:textId="77777777" w:rsidR="006E212D" w:rsidRDefault="006E212D" w:rsidP="006E212D"/>
    <w:p w14:paraId="48B36911" w14:textId="4F18BE17" w:rsidR="00F94D2B" w:rsidRDefault="006059E8" w:rsidP="00F94D2B">
      <w:r w:rsidRPr="006059E8">
        <w:t>Hlavní evropská vodní magistrála E 20 Labe a její odbočka E 20-06 Vltava je podle „Evropské dohody o hlavních vnitrozemských vodních cestách mezinárodního významu“ mezinárodní dopravně významnou vodní cestou. Ve smyslu Nařízení Evropského parlamentu a Rady (</w:t>
      </w:r>
      <w:r w:rsidR="00BF5A74" w:rsidRPr="006059E8">
        <w:t>EU) č.</w:t>
      </w:r>
      <w:r w:rsidRPr="006059E8">
        <w:t xml:space="preserve"> 2024/1679 ze dne 13. června 2024 o hlavních směrech Unie pro rozvoj transevropské dopravní sítě (TEN-T) je celá Labská vodní cesta od státní hranice ČR/SRN do Pardubic a Vltavská vodní cesta z Mělníka do Třebenic součástí sítě TEN-T.  </w:t>
      </w:r>
    </w:p>
    <w:p w14:paraId="192B6539" w14:textId="77777777" w:rsidR="00F94D2B" w:rsidRDefault="00F94D2B" w:rsidP="00F94D2B"/>
    <w:p w14:paraId="26763BA8" w14:textId="17D26676" w:rsidR="006E212D" w:rsidRPr="00BF5A74" w:rsidRDefault="006059E8" w:rsidP="00BF5A74">
      <w:pPr>
        <w:rPr>
          <w:b/>
          <w:bCs/>
          <w:highlight w:val="yellow"/>
        </w:rPr>
      </w:pPr>
      <w:r w:rsidRPr="006059E8">
        <w:t>Z tohoto pohledu se v případě investičních akcí na Labské vodní cestě jedná o projekty s nejvyšším stupněm důležitosti.</w:t>
      </w:r>
    </w:p>
    <w:p w14:paraId="1BBBDBFA" w14:textId="77777777" w:rsidR="00BF5A74" w:rsidRDefault="00BF5A74" w:rsidP="00BF5A74">
      <w:pPr>
        <w:pStyle w:val="MDSR"/>
        <w:spacing w:before="0"/>
        <w:ind w:firstLine="0"/>
        <w:contextualSpacing/>
        <w:rPr>
          <w:rFonts w:ascii="Arial" w:eastAsia="Calibri" w:hAnsi="Arial"/>
          <w:sz w:val="22"/>
          <w:szCs w:val="22"/>
          <w:lang w:eastAsia="en-US"/>
        </w:rPr>
      </w:pPr>
    </w:p>
    <w:p w14:paraId="14435886" w14:textId="55D72A49" w:rsidR="00EB0DBF" w:rsidRDefault="006059E8" w:rsidP="00BF5A74">
      <w:pPr>
        <w:pStyle w:val="MDSR"/>
        <w:spacing w:before="0"/>
        <w:ind w:firstLine="0"/>
        <w:contextualSpacing/>
        <w:rPr>
          <w:rFonts w:ascii="Arial" w:eastAsia="Calibri" w:hAnsi="Arial"/>
          <w:sz w:val="22"/>
          <w:szCs w:val="22"/>
          <w:lang w:eastAsia="en-US"/>
        </w:rPr>
      </w:pPr>
      <w:r w:rsidRPr="006059E8">
        <w:rPr>
          <w:rFonts w:ascii="Arial" w:eastAsia="Calibri" w:hAnsi="Arial"/>
          <w:sz w:val="22"/>
          <w:szCs w:val="22"/>
          <w:lang w:eastAsia="en-US"/>
        </w:rPr>
        <w:t xml:space="preserve">Od vodního díla Ústí nad Labem – </w:t>
      </w:r>
      <w:proofErr w:type="spellStart"/>
      <w:r w:rsidRPr="006059E8">
        <w:rPr>
          <w:rFonts w:ascii="Arial" w:eastAsia="Calibri" w:hAnsi="Arial"/>
          <w:sz w:val="22"/>
          <w:szCs w:val="22"/>
          <w:lang w:eastAsia="en-US"/>
        </w:rPr>
        <w:t>Střekov</w:t>
      </w:r>
      <w:proofErr w:type="spellEnd"/>
      <w:r w:rsidRPr="006059E8">
        <w:rPr>
          <w:rFonts w:ascii="Arial" w:eastAsia="Calibri" w:hAnsi="Arial"/>
          <w:sz w:val="22"/>
          <w:szCs w:val="22"/>
          <w:lang w:eastAsia="en-US"/>
        </w:rPr>
        <w:t xml:space="preserve"> po Přelouč na Labi a od Mělníka po Třebenice na Vltavě je splavnost zajištěna soustavou vodních děl, která tvoří plně fungující dopravní systém, nezávislý na vnějších přírodních podmínkách. V úseku od </w:t>
      </w:r>
      <w:proofErr w:type="spellStart"/>
      <w:r w:rsidRPr="006059E8">
        <w:rPr>
          <w:rFonts w:ascii="Arial" w:eastAsia="Calibri" w:hAnsi="Arial"/>
          <w:sz w:val="22"/>
          <w:szCs w:val="22"/>
          <w:lang w:eastAsia="en-US"/>
        </w:rPr>
        <w:t>Střekova</w:t>
      </w:r>
      <w:proofErr w:type="spellEnd"/>
      <w:r w:rsidRPr="006059E8">
        <w:rPr>
          <w:rFonts w:ascii="Arial" w:eastAsia="Calibri" w:hAnsi="Arial"/>
          <w:sz w:val="22"/>
          <w:szCs w:val="22"/>
          <w:lang w:eastAsia="en-US"/>
        </w:rPr>
        <w:t xml:space="preserve"> po státní hranici ČR/SRN je však plavební provoz závislý na vodních stavech podle aktuálních průtoků a na celkové vodohospodářské situaci celého povodí řek Labe a Vltavy. Pro zajištění kvalitní splavnosti </w:t>
      </w:r>
      <w:proofErr w:type="spellStart"/>
      <w:r w:rsidR="000F398F" w:rsidRPr="006059E8">
        <w:rPr>
          <w:rFonts w:ascii="Arial" w:eastAsia="Calibri" w:hAnsi="Arial"/>
          <w:sz w:val="22"/>
          <w:szCs w:val="22"/>
          <w:lang w:eastAsia="en-US"/>
        </w:rPr>
        <w:t>Labsko</w:t>
      </w:r>
      <w:proofErr w:type="spellEnd"/>
      <w:r w:rsidR="000F398F" w:rsidRPr="006059E8">
        <w:rPr>
          <w:rFonts w:ascii="Arial" w:eastAsia="Calibri" w:hAnsi="Arial"/>
          <w:sz w:val="22"/>
          <w:szCs w:val="22"/>
          <w:lang w:eastAsia="en-US"/>
        </w:rPr>
        <w:t xml:space="preserve"> – vltavské</w:t>
      </w:r>
      <w:r w:rsidRPr="006059E8">
        <w:rPr>
          <w:rFonts w:ascii="Arial" w:eastAsia="Calibri" w:hAnsi="Arial"/>
          <w:sz w:val="22"/>
          <w:szCs w:val="22"/>
          <w:lang w:eastAsia="en-US"/>
        </w:rPr>
        <w:t xml:space="preserve"> vodní cesty je stěžejní zlepšení plavebních podmínek ve 40 km úseku Ústí nad </w:t>
      </w:r>
      <w:proofErr w:type="gramStart"/>
      <w:r w:rsidRPr="006059E8">
        <w:rPr>
          <w:rFonts w:ascii="Arial" w:eastAsia="Calibri" w:hAnsi="Arial"/>
          <w:sz w:val="22"/>
          <w:szCs w:val="22"/>
          <w:lang w:eastAsia="en-US"/>
        </w:rPr>
        <w:t>Labem - státní</w:t>
      </w:r>
      <w:proofErr w:type="gramEnd"/>
      <w:r w:rsidRPr="006059E8">
        <w:rPr>
          <w:rFonts w:ascii="Arial" w:eastAsia="Calibri" w:hAnsi="Arial"/>
          <w:sz w:val="22"/>
          <w:szCs w:val="22"/>
          <w:lang w:eastAsia="en-US"/>
        </w:rPr>
        <w:t xml:space="preserve"> hranice.</w:t>
      </w:r>
    </w:p>
    <w:p w14:paraId="3B9CEE49" w14:textId="77777777" w:rsidR="006E212D" w:rsidRPr="00104F7D" w:rsidRDefault="006E212D" w:rsidP="006059E8">
      <w:pPr>
        <w:pStyle w:val="MDSR"/>
        <w:spacing w:before="0"/>
        <w:ind w:firstLine="0"/>
        <w:contextualSpacing/>
        <w:rPr>
          <w:rFonts w:ascii="Arial" w:hAnsi="Arial" w:cs="Arial"/>
          <w:sz w:val="22"/>
          <w:szCs w:val="22"/>
          <w:highlight w:val="yellow"/>
        </w:rPr>
      </w:pPr>
    </w:p>
    <w:p w14:paraId="4B0EF4E4" w14:textId="78D4BC29" w:rsidR="00E6640C" w:rsidRPr="00EC54B6" w:rsidRDefault="00E6640C" w:rsidP="007C4955">
      <w:pPr>
        <w:pStyle w:val="MDSR"/>
        <w:spacing w:before="0"/>
        <w:ind w:firstLine="0"/>
        <w:contextualSpacing/>
        <w:rPr>
          <w:rFonts w:ascii="Arial" w:hAnsi="Arial" w:cs="Arial"/>
          <w:sz w:val="22"/>
          <w:szCs w:val="22"/>
        </w:rPr>
      </w:pPr>
      <w:r w:rsidRPr="00EC54B6">
        <w:rPr>
          <w:rFonts w:ascii="Arial" w:hAnsi="Arial" w:cs="Arial"/>
          <w:sz w:val="22"/>
          <w:szCs w:val="22"/>
        </w:rPr>
        <w:t>Rozvoj a modernizaci vodních cest realizují investoři, kterými jsou Ředitelství vodních cest ČR, Povodí Labe, Povodí Moravy a Povodí Vltavy. Provoz a údržbu vodních cest zajišťují Povodí Labe, Povodí Moravy a Povodí Vltavy. Podrobnější informace včetně finančního plnění u dotčených státních podniků Povodí jsou uvedeny v kapitole 11.1.3 této zprávy.</w:t>
      </w:r>
    </w:p>
    <w:bookmarkEnd w:id="98"/>
    <w:p w14:paraId="07F836E0" w14:textId="77777777" w:rsidR="00003776" w:rsidRPr="00104F7D" w:rsidRDefault="00003776" w:rsidP="007C4955">
      <w:pPr>
        <w:pStyle w:val="MDSR"/>
        <w:spacing w:before="0"/>
        <w:ind w:firstLine="0"/>
        <w:contextualSpacing/>
        <w:rPr>
          <w:rFonts w:ascii="Arial" w:hAnsi="Arial" w:cs="Arial"/>
          <w:sz w:val="22"/>
          <w:szCs w:val="22"/>
          <w:highlight w:val="yellow"/>
        </w:rPr>
      </w:pPr>
    </w:p>
    <w:p w14:paraId="585DE2C6" w14:textId="5F309072" w:rsidR="00547C0E" w:rsidRPr="008B489D" w:rsidRDefault="00EB3E78">
      <w:pPr>
        <w:pStyle w:val="Nadpis1"/>
        <w:numPr>
          <w:ilvl w:val="0"/>
          <w:numId w:val="13"/>
        </w:numPr>
        <w:spacing w:before="0"/>
        <w:contextualSpacing/>
      </w:pPr>
      <w:r w:rsidRPr="00104F7D">
        <w:rPr>
          <w:color w:val="FF0000"/>
          <w:highlight w:val="yellow"/>
        </w:rPr>
        <w:br w:type="page"/>
      </w:r>
      <w:bookmarkStart w:id="99" w:name="_Toc10183425"/>
      <w:bookmarkStart w:id="100" w:name="_Toc236991629"/>
      <w:bookmarkStart w:id="101" w:name="_Hlk142290210"/>
      <w:r w:rsidR="00547C0E" w:rsidRPr="008B489D">
        <w:t>VODOVODY A KANALIZACE PRO VEŘEJNOU POTŘEBU</w:t>
      </w:r>
      <w:bookmarkEnd w:id="99"/>
      <w:bookmarkEnd w:id="100"/>
      <w:r w:rsidR="008F6A2C" w:rsidRPr="008B489D">
        <w:t xml:space="preserve"> </w:t>
      </w:r>
    </w:p>
    <w:p w14:paraId="24D1B700" w14:textId="77777777" w:rsidR="004F3115" w:rsidRPr="008B489D" w:rsidRDefault="004F3115" w:rsidP="004F3115">
      <w:pPr>
        <w:ind w:left="720"/>
      </w:pPr>
    </w:p>
    <w:p w14:paraId="1C663226" w14:textId="77777777" w:rsidR="00547C0E" w:rsidRPr="008B489D" w:rsidRDefault="00547C0E">
      <w:pPr>
        <w:pStyle w:val="Nadpis2"/>
        <w:numPr>
          <w:ilvl w:val="1"/>
          <w:numId w:val="13"/>
        </w:numPr>
        <w:spacing w:before="0"/>
        <w:contextualSpacing/>
      </w:pPr>
      <w:bookmarkStart w:id="102" w:name="_Toc10183426"/>
      <w:bookmarkStart w:id="103" w:name="_Toc236991630"/>
      <w:r w:rsidRPr="008B489D">
        <w:t>Zásobování pitnou vodou</w:t>
      </w:r>
      <w:bookmarkEnd w:id="102"/>
      <w:bookmarkEnd w:id="103"/>
    </w:p>
    <w:p w14:paraId="6A7AEDA7" w14:textId="77777777" w:rsidR="00D179CE" w:rsidRPr="008B489D" w:rsidRDefault="00D179CE" w:rsidP="00441B26">
      <w:pPr>
        <w:pStyle w:val="Zkladntext27"/>
        <w:widowControl/>
        <w:contextualSpacing/>
        <w:rPr>
          <w:rFonts w:ascii="Arial" w:hAnsi="Arial" w:cs="Arial"/>
          <w:sz w:val="22"/>
          <w:szCs w:val="22"/>
        </w:rPr>
      </w:pPr>
    </w:p>
    <w:p w14:paraId="008E21E5" w14:textId="77777777" w:rsidR="006830A6" w:rsidRPr="008B489D" w:rsidRDefault="006830A6" w:rsidP="006830A6">
      <w:pPr>
        <w:pStyle w:val="Zkladntext27"/>
        <w:widowControl/>
        <w:contextualSpacing/>
        <w:rPr>
          <w:rFonts w:ascii="Arial" w:hAnsi="Arial" w:cs="Arial"/>
          <w:sz w:val="22"/>
          <w:szCs w:val="22"/>
        </w:rPr>
      </w:pPr>
      <w:r w:rsidRPr="008B489D">
        <w:rPr>
          <w:rFonts w:ascii="Arial" w:hAnsi="Arial" w:cs="Arial"/>
          <w:b/>
          <w:sz w:val="22"/>
          <w:szCs w:val="22"/>
        </w:rPr>
        <w:t xml:space="preserve">V roce 2025 bylo v České republice zásobováno z vodovodů </w:t>
      </w:r>
      <w:r w:rsidRPr="008B489D">
        <w:rPr>
          <w:rFonts w:ascii="Arial" w:hAnsi="Arial" w:cs="Arial"/>
          <w:b/>
          <w:bCs/>
          <w:sz w:val="22"/>
          <w:szCs w:val="22"/>
        </w:rPr>
        <w:t xml:space="preserve">10,411 </w:t>
      </w:r>
      <w:r w:rsidRPr="008B489D">
        <w:rPr>
          <w:rFonts w:ascii="Arial" w:hAnsi="Arial" w:cs="Arial"/>
          <w:b/>
          <w:sz w:val="22"/>
          <w:szCs w:val="22"/>
        </w:rPr>
        <w:t xml:space="preserve">mil. obyvatel, tj. </w:t>
      </w:r>
      <w:r w:rsidRPr="008B489D">
        <w:rPr>
          <w:rFonts w:ascii="Arial" w:hAnsi="Arial" w:cs="Arial"/>
          <w:b/>
          <w:bCs/>
          <w:sz w:val="22"/>
          <w:szCs w:val="22"/>
        </w:rPr>
        <w:t>95,6 </w:t>
      </w:r>
      <w:r w:rsidRPr="008B489D">
        <w:rPr>
          <w:rFonts w:ascii="Arial" w:hAnsi="Arial" w:cs="Arial"/>
          <w:b/>
          <w:sz w:val="22"/>
          <w:szCs w:val="22"/>
        </w:rPr>
        <w:t>% z celkového počtu obyvatel.</w:t>
      </w:r>
    </w:p>
    <w:p w14:paraId="67B6F97F" w14:textId="77777777" w:rsidR="006830A6" w:rsidRPr="008B489D" w:rsidRDefault="006830A6" w:rsidP="006830A6">
      <w:pPr>
        <w:pStyle w:val="Zkladntext27"/>
        <w:widowControl/>
        <w:contextualSpacing/>
        <w:jc w:val="left"/>
        <w:rPr>
          <w:rFonts w:ascii="Arial" w:hAnsi="Arial" w:cs="Arial"/>
          <w:sz w:val="22"/>
          <w:szCs w:val="22"/>
        </w:rPr>
      </w:pPr>
    </w:p>
    <w:p w14:paraId="718E7CE3" w14:textId="77777777" w:rsidR="006830A6" w:rsidRPr="008B489D" w:rsidRDefault="006830A6" w:rsidP="006830A6">
      <w:pPr>
        <w:pStyle w:val="Zkladntext27"/>
        <w:widowControl/>
        <w:contextualSpacing/>
        <w:rPr>
          <w:rFonts w:ascii="Arial" w:hAnsi="Arial" w:cs="Arial"/>
          <w:sz w:val="22"/>
          <w:szCs w:val="22"/>
        </w:rPr>
      </w:pPr>
      <w:r w:rsidRPr="008B489D">
        <w:rPr>
          <w:rFonts w:ascii="Arial" w:hAnsi="Arial" w:cs="Arial"/>
          <w:sz w:val="22"/>
          <w:szCs w:val="22"/>
        </w:rPr>
        <w:t>Pro potřeby zásobování pitnou vodou vodovody bylo v celé ČR vyrobeno celkem 612,5 mil. m</w:t>
      </w:r>
      <w:r w:rsidRPr="008B489D">
        <w:rPr>
          <w:rFonts w:ascii="Arial" w:hAnsi="Arial" w:cs="Arial"/>
          <w:sz w:val="22"/>
          <w:szCs w:val="22"/>
          <w:vertAlign w:val="superscript"/>
        </w:rPr>
        <w:t>3</w:t>
      </w:r>
      <w:r w:rsidRPr="008B489D">
        <w:rPr>
          <w:rFonts w:ascii="Arial" w:hAnsi="Arial" w:cs="Arial"/>
          <w:sz w:val="22"/>
          <w:szCs w:val="22"/>
        </w:rPr>
        <w:t xml:space="preserve"> pitné vody, z toho 590,5 mil. m</w:t>
      </w:r>
      <w:r w:rsidRPr="008B489D">
        <w:rPr>
          <w:rFonts w:ascii="Arial" w:hAnsi="Arial" w:cs="Arial"/>
          <w:sz w:val="22"/>
          <w:szCs w:val="22"/>
          <w:vertAlign w:val="superscript"/>
        </w:rPr>
        <w:t>3</w:t>
      </w:r>
      <w:r w:rsidRPr="008B489D">
        <w:rPr>
          <w:rFonts w:ascii="Arial" w:hAnsi="Arial" w:cs="Arial"/>
          <w:sz w:val="22"/>
          <w:szCs w:val="22"/>
        </w:rPr>
        <w:t xml:space="preserve"> bylo určeno k realizaci uspokojování požadavků na dodávku pitné vody. Za úplatu bylo dodáno (fakturováno) 492,1 mil. m</w:t>
      </w:r>
      <w:r w:rsidRPr="008B489D">
        <w:rPr>
          <w:rFonts w:ascii="Arial" w:hAnsi="Arial" w:cs="Arial"/>
          <w:sz w:val="22"/>
          <w:szCs w:val="22"/>
          <w:vertAlign w:val="superscript"/>
        </w:rPr>
        <w:t>3</w:t>
      </w:r>
      <w:r w:rsidRPr="008B489D">
        <w:rPr>
          <w:rFonts w:ascii="Arial" w:hAnsi="Arial" w:cs="Arial"/>
          <w:sz w:val="22"/>
          <w:szCs w:val="22"/>
        </w:rPr>
        <w:t xml:space="preserve"> pitné vody, z toho pro domácnosti 340,8 mil. m</w:t>
      </w:r>
      <w:r w:rsidRPr="008B489D">
        <w:rPr>
          <w:rFonts w:ascii="Arial" w:hAnsi="Arial" w:cs="Arial"/>
          <w:sz w:val="22"/>
          <w:szCs w:val="22"/>
          <w:vertAlign w:val="superscript"/>
        </w:rPr>
        <w:t>3</w:t>
      </w:r>
      <w:r w:rsidRPr="008B489D">
        <w:rPr>
          <w:rFonts w:ascii="Arial" w:hAnsi="Arial" w:cs="Arial"/>
          <w:sz w:val="22"/>
          <w:szCs w:val="22"/>
        </w:rPr>
        <w:t xml:space="preserve"> pitné vody. Ztráty pitné vody činily 83,7 mil. m</w:t>
      </w:r>
      <w:r w:rsidRPr="008B489D">
        <w:rPr>
          <w:rFonts w:ascii="Arial" w:hAnsi="Arial" w:cs="Arial"/>
          <w:sz w:val="22"/>
          <w:szCs w:val="22"/>
          <w:vertAlign w:val="superscript"/>
        </w:rPr>
        <w:t>3</w:t>
      </w:r>
      <w:r w:rsidRPr="008B489D">
        <w:rPr>
          <w:rFonts w:ascii="Arial" w:hAnsi="Arial" w:cs="Arial"/>
          <w:sz w:val="22"/>
          <w:szCs w:val="22"/>
        </w:rPr>
        <w:t>, tj. 14,2 % z vody určené k realizaci.</w:t>
      </w:r>
    </w:p>
    <w:p w14:paraId="025A1085" w14:textId="77777777" w:rsidR="006830A6" w:rsidRPr="008B489D" w:rsidRDefault="006830A6" w:rsidP="006830A6">
      <w:pPr>
        <w:pStyle w:val="Zkladntext27"/>
        <w:widowControl/>
        <w:contextualSpacing/>
        <w:rPr>
          <w:rFonts w:ascii="Arial" w:hAnsi="Arial" w:cs="Arial"/>
          <w:sz w:val="22"/>
          <w:szCs w:val="22"/>
        </w:rPr>
      </w:pPr>
    </w:p>
    <w:p w14:paraId="54388220" w14:textId="77777777" w:rsidR="006830A6" w:rsidRPr="008B489D" w:rsidRDefault="006830A6" w:rsidP="006830A6">
      <w:pPr>
        <w:pStyle w:val="Zkladntext27"/>
        <w:widowControl/>
        <w:contextualSpacing/>
        <w:rPr>
          <w:rFonts w:ascii="Arial" w:hAnsi="Arial" w:cs="Arial"/>
          <w:sz w:val="22"/>
          <w:szCs w:val="22"/>
        </w:rPr>
      </w:pPr>
      <w:r w:rsidRPr="008B489D">
        <w:rPr>
          <w:rFonts w:ascii="Arial" w:hAnsi="Arial" w:cs="Arial"/>
          <w:sz w:val="22"/>
          <w:szCs w:val="22"/>
        </w:rPr>
        <w:t>Od roku 2025 (tzn. počínaje údaji vykázanými za rok 2024) jsou zdrojem dat Vybrané údaje majetkové evidence (VÚME) a Vybrané údaje provozní evidence (VÚPE) z Informačního systému vodovodů a kanalizací spravovaného MZe. Vybrané údaje do těchto evidencí mají podle § 5 odst. 3 ZVK za povinnost každoročně předávat všichni vlastníci vodovodů a kanalizací pro veřejnou potřebu. Do roku 2024</w:t>
      </w:r>
      <w:r w:rsidRPr="008B489D">
        <w:t xml:space="preserve"> </w:t>
      </w:r>
      <w:r w:rsidRPr="008B489D">
        <w:rPr>
          <w:rFonts w:ascii="Arial" w:hAnsi="Arial" w:cs="Arial"/>
          <w:sz w:val="22"/>
          <w:szCs w:val="22"/>
        </w:rPr>
        <w:t>byly informačním zdrojem údaje dodané ČSÚ, pořízené na základě souboru profesionálních provozovatelů vodovodů a kanalizací a výběrového souboru obcí. Publikované výstupy za kraje a ČR byly výsledkem matematického dopočtu. Vzhledem k výše popsaným metodickým rozdílům při sběru a zpracování dat nejsou údaje do roku 2023 včetně porovnatelné s údaji od roku 2024.</w:t>
      </w:r>
    </w:p>
    <w:p w14:paraId="14FAB2D9" w14:textId="77777777" w:rsidR="006830A6" w:rsidRPr="008B489D" w:rsidRDefault="006830A6" w:rsidP="00D041BD">
      <w:pPr>
        <w:pStyle w:val="Zkladntext27"/>
        <w:widowControl/>
        <w:contextualSpacing/>
        <w:rPr>
          <w:rFonts w:ascii="Arial" w:hAnsi="Arial" w:cs="Arial"/>
          <w:b/>
          <w:sz w:val="22"/>
          <w:szCs w:val="22"/>
        </w:rPr>
      </w:pPr>
    </w:p>
    <w:p w14:paraId="5BA9BCA5" w14:textId="77777777" w:rsidR="001A0D89" w:rsidRPr="008B489D" w:rsidRDefault="001A0D89" w:rsidP="007C4955">
      <w:pPr>
        <w:contextualSpacing/>
        <w:rPr>
          <w:rFonts w:cs="Arial"/>
          <w:b/>
          <w:i/>
          <w:snapToGrid w:val="0"/>
          <w:color w:val="FF0000"/>
        </w:rPr>
      </w:pPr>
    </w:p>
    <w:p w14:paraId="19B6EB3F" w14:textId="512D6EC8" w:rsidR="00EE6F9C" w:rsidRPr="008B489D" w:rsidRDefault="00EE6F9C" w:rsidP="007C4955">
      <w:pPr>
        <w:ind w:left="2268" w:hanging="2268"/>
        <w:contextualSpacing/>
        <w:rPr>
          <w:rFonts w:cs="Arial"/>
          <w:b/>
          <w:i/>
          <w:snapToGrid w:val="0"/>
        </w:rPr>
      </w:pPr>
      <w:r w:rsidRPr="008B489D">
        <w:rPr>
          <w:rFonts w:cs="Arial"/>
          <w:b/>
          <w:i/>
          <w:snapToGrid w:val="0"/>
        </w:rPr>
        <w:t>Tabulka </w:t>
      </w:r>
      <w:r w:rsidR="00441B26" w:rsidRPr="008B489D">
        <w:rPr>
          <w:rFonts w:cs="Arial"/>
          <w:b/>
          <w:i/>
          <w:snapToGrid w:val="0"/>
        </w:rPr>
        <w:t>9</w:t>
      </w:r>
      <w:r w:rsidRPr="008B489D">
        <w:rPr>
          <w:rFonts w:cs="Arial"/>
          <w:b/>
          <w:i/>
          <w:snapToGrid w:val="0"/>
        </w:rPr>
        <w:t>.1.1  </w:t>
      </w:r>
    </w:p>
    <w:p w14:paraId="196B998B" w14:textId="70EEB4A2" w:rsidR="00EE6F9C" w:rsidRPr="008B489D" w:rsidRDefault="00EE6F9C" w:rsidP="007C4955">
      <w:pPr>
        <w:ind w:left="2268" w:hanging="2268"/>
        <w:contextualSpacing/>
        <w:rPr>
          <w:rFonts w:cs="Arial"/>
          <w:b/>
          <w:i/>
          <w:snapToGrid w:val="0"/>
        </w:rPr>
      </w:pPr>
      <w:r w:rsidRPr="008B489D">
        <w:rPr>
          <w:rFonts w:cs="Arial"/>
          <w:b/>
          <w:i/>
          <w:snapToGrid w:val="0"/>
        </w:rPr>
        <w:t>Zásobování vodou z vodovodů v letech 1989 a 201</w:t>
      </w:r>
      <w:r w:rsidR="00D179CE" w:rsidRPr="008B489D">
        <w:rPr>
          <w:rFonts w:cs="Arial"/>
          <w:b/>
          <w:i/>
          <w:snapToGrid w:val="0"/>
        </w:rPr>
        <w:t>8</w:t>
      </w:r>
      <w:r w:rsidRPr="008B489D">
        <w:rPr>
          <w:rFonts w:cs="Arial"/>
          <w:b/>
          <w:i/>
          <w:snapToGrid w:val="0"/>
        </w:rPr>
        <w:t>–20</w:t>
      </w:r>
      <w:r w:rsidR="003F0157" w:rsidRPr="008B489D">
        <w:rPr>
          <w:rFonts w:cs="Arial"/>
          <w:b/>
          <w:i/>
          <w:snapToGrid w:val="0"/>
        </w:rPr>
        <w:t>2</w:t>
      </w:r>
      <w:r w:rsidR="00D041BD" w:rsidRPr="008B489D">
        <w:rPr>
          <w:rFonts w:cs="Arial"/>
          <w:b/>
          <w:i/>
          <w:snapToGrid w:val="0"/>
        </w:rPr>
        <w:t>5</w:t>
      </w:r>
    </w:p>
    <w:tbl>
      <w:tblPr>
        <w:tblW w:w="11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57"/>
        <w:gridCol w:w="992"/>
        <w:gridCol w:w="931"/>
        <w:gridCol w:w="931"/>
        <w:gridCol w:w="932"/>
        <w:gridCol w:w="931"/>
        <w:gridCol w:w="932"/>
        <w:gridCol w:w="932"/>
        <w:gridCol w:w="932"/>
        <w:gridCol w:w="932"/>
        <w:gridCol w:w="932"/>
      </w:tblGrid>
      <w:tr w:rsidR="0072597F" w:rsidRPr="008B489D" w14:paraId="629A88FF" w14:textId="7FA0C575" w:rsidTr="0072597F">
        <w:trPr>
          <w:trHeight w:val="20"/>
          <w:jc w:val="center"/>
        </w:trPr>
        <w:tc>
          <w:tcPr>
            <w:tcW w:w="2157" w:type="dxa"/>
            <w:shd w:val="clear" w:color="auto" w:fill="BFBFBF"/>
            <w:vAlign w:val="center"/>
          </w:tcPr>
          <w:p w14:paraId="21995762" w14:textId="77777777" w:rsidR="0072597F" w:rsidRPr="008B489D" w:rsidRDefault="0072597F" w:rsidP="00EC1043">
            <w:pPr>
              <w:contextualSpacing/>
              <w:jc w:val="center"/>
              <w:rPr>
                <w:rFonts w:cs="Arial"/>
                <w:snapToGrid w:val="0"/>
                <w:color w:val="FF0000"/>
                <w:sz w:val="16"/>
                <w:szCs w:val="16"/>
              </w:rPr>
            </w:pPr>
            <w:bookmarkStart w:id="104" w:name="_Hlk166773530"/>
            <w:r w:rsidRPr="008B489D">
              <w:rPr>
                <w:rFonts w:cs="Arial"/>
                <w:b/>
                <w:snapToGrid w:val="0"/>
                <w:sz w:val="16"/>
                <w:szCs w:val="16"/>
              </w:rPr>
              <w:t>Ukazatel</w:t>
            </w:r>
          </w:p>
        </w:tc>
        <w:tc>
          <w:tcPr>
            <w:tcW w:w="992" w:type="dxa"/>
            <w:shd w:val="clear" w:color="auto" w:fill="BFBFBF"/>
            <w:vAlign w:val="center"/>
          </w:tcPr>
          <w:p w14:paraId="12BA11B6" w14:textId="77777777" w:rsidR="0072597F" w:rsidRPr="008B489D" w:rsidRDefault="0072597F" w:rsidP="00EC1043">
            <w:pPr>
              <w:contextualSpacing/>
              <w:jc w:val="center"/>
              <w:rPr>
                <w:rFonts w:cs="Arial"/>
                <w:b/>
                <w:snapToGrid w:val="0"/>
                <w:color w:val="FF0000"/>
                <w:sz w:val="16"/>
                <w:szCs w:val="16"/>
              </w:rPr>
            </w:pPr>
            <w:r w:rsidRPr="008B489D">
              <w:rPr>
                <w:rFonts w:cs="Arial"/>
                <w:b/>
                <w:snapToGrid w:val="0"/>
                <w:sz w:val="16"/>
                <w:szCs w:val="16"/>
              </w:rPr>
              <w:t>Měrná jednotka</w:t>
            </w:r>
          </w:p>
        </w:tc>
        <w:tc>
          <w:tcPr>
            <w:tcW w:w="931" w:type="dxa"/>
            <w:shd w:val="clear" w:color="auto" w:fill="BFBFBF"/>
            <w:vAlign w:val="center"/>
          </w:tcPr>
          <w:p w14:paraId="0746350F" w14:textId="77777777" w:rsidR="0072597F" w:rsidRPr="008B489D" w:rsidRDefault="0072597F" w:rsidP="00EC1043">
            <w:pPr>
              <w:contextualSpacing/>
              <w:jc w:val="center"/>
              <w:rPr>
                <w:rFonts w:cs="Arial"/>
                <w:b/>
                <w:snapToGrid w:val="0"/>
                <w:color w:val="FF0000"/>
                <w:sz w:val="16"/>
                <w:szCs w:val="16"/>
              </w:rPr>
            </w:pPr>
            <w:r w:rsidRPr="008B489D">
              <w:rPr>
                <w:rFonts w:cs="Arial"/>
                <w:b/>
                <w:snapToGrid w:val="0"/>
                <w:sz w:val="16"/>
                <w:szCs w:val="16"/>
              </w:rPr>
              <w:t>1989</w:t>
            </w:r>
          </w:p>
        </w:tc>
        <w:tc>
          <w:tcPr>
            <w:tcW w:w="931" w:type="dxa"/>
            <w:shd w:val="clear" w:color="auto" w:fill="BFBFBF"/>
            <w:vAlign w:val="center"/>
          </w:tcPr>
          <w:p w14:paraId="2B6E2DEF" w14:textId="77777777" w:rsidR="0072597F" w:rsidRPr="008B489D" w:rsidRDefault="0072597F" w:rsidP="00EC1043">
            <w:pPr>
              <w:contextualSpacing/>
              <w:jc w:val="center"/>
              <w:rPr>
                <w:rFonts w:cs="Arial"/>
                <w:b/>
                <w:snapToGrid w:val="0"/>
                <w:color w:val="FF0000"/>
                <w:sz w:val="16"/>
                <w:szCs w:val="16"/>
              </w:rPr>
            </w:pPr>
            <w:r w:rsidRPr="008B489D">
              <w:rPr>
                <w:rFonts w:cs="Arial"/>
                <w:b/>
                <w:snapToGrid w:val="0"/>
                <w:sz w:val="16"/>
                <w:szCs w:val="16"/>
              </w:rPr>
              <w:t>2018</w:t>
            </w:r>
          </w:p>
        </w:tc>
        <w:tc>
          <w:tcPr>
            <w:tcW w:w="932" w:type="dxa"/>
            <w:shd w:val="clear" w:color="auto" w:fill="BFBFBF"/>
            <w:vAlign w:val="center"/>
          </w:tcPr>
          <w:p w14:paraId="3CE4E71E" w14:textId="77777777" w:rsidR="0072597F" w:rsidRPr="008B489D" w:rsidRDefault="0072597F" w:rsidP="00EC1043">
            <w:pPr>
              <w:contextualSpacing/>
              <w:jc w:val="center"/>
              <w:rPr>
                <w:rFonts w:cs="Arial"/>
                <w:b/>
                <w:snapToGrid w:val="0"/>
                <w:color w:val="FF0000"/>
                <w:sz w:val="16"/>
                <w:szCs w:val="16"/>
              </w:rPr>
            </w:pPr>
            <w:r w:rsidRPr="008B489D">
              <w:rPr>
                <w:b/>
                <w:sz w:val="16"/>
                <w:szCs w:val="16"/>
              </w:rPr>
              <w:t>2019</w:t>
            </w:r>
          </w:p>
        </w:tc>
        <w:tc>
          <w:tcPr>
            <w:tcW w:w="931" w:type="dxa"/>
            <w:shd w:val="clear" w:color="auto" w:fill="BFBFBF"/>
            <w:vAlign w:val="center"/>
          </w:tcPr>
          <w:p w14:paraId="348333B4" w14:textId="77777777" w:rsidR="0072597F" w:rsidRPr="008B489D" w:rsidRDefault="0072597F" w:rsidP="00EC1043">
            <w:pPr>
              <w:contextualSpacing/>
              <w:jc w:val="center"/>
              <w:rPr>
                <w:rFonts w:cs="Arial"/>
                <w:b/>
                <w:snapToGrid w:val="0"/>
                <w:color w:val="FF0000"/>
                <w:sz w:val="16"/>
                <w:szCs w:val="16"/>
              </w:rPr>
            </w:pPr>
            <w:r w:rsidRPr="008B489D">
              <w:rPr>
                <w:b/>
                <w:sz w:val="16"/>
                <w:szCs w:val="16"/>
              </w:rPr>
              <w:t>2020</w:t>
            </w:r>
          </w:p>
        </w:tc>
        <w:tc>
          <w:tcPr>
            <w:tcW w:w="932" w:type="dxa"/>
            <w:shd w:val="clear" w:color="auto" w:fill="BFBFBF"/>
            <w:vAlign w:val="center"/>
          </w:tcPr>
          <w:p w14:paraId="28635702" w14:textId="77777777" w:rsidR="0072597F" w:rsidRPr="008B489D" w:rsidRDefault="0072597F" w:rsidP="00EC1043">
            <w:pPr>
              <w:contextualSpacing/>
              <w:jc w:val="center"/>
              <w:rPr>
                <w:b/>
                <w:color w:val="FF0000"/>
                <w:sz w:val="16"/>
                <w:szCs w:val="16"/>
              </w:rPr>
            </w:pPr>
            <w:r w:rsidRPr="008B489D">
              <w:rPr>
                <w:b/>
                <w:sz w:val="16"/>
                <w:szCs w:val="16"/>
              </w:rPr>
              <w:t>2021</w:t>
            </w:r>
          </w:p>
        </w:tc>
        <w:tc>
          <w:tcPr>
            <w:tcW w:w="932" w:type="dxa"/>
            <w:shd w:val="clear" w:color="auto" w:fill="BFBFBF"/>
            <w:vAlign w:val="center"/>
          </w:tcPr>
          <w:p w14:paraId="060DC0AC" w14:textId="77777777" w:rsidR="0072597F" w:rsidRPr="008B489D" w:rsidRDefault="0072597F" w:rsidP="00EC1043">
            <w:pPr>
              <w:contextualSpacing/>
              <w:jc w:val="center"/>
              <w:rPr>
                <w:b/>
                <w:color w:val="FF0000"/>
                <w:sz w:val="16"/>
                <w:szCs w:val="16"/>
              </w:rPr>
            </w:pPr>
            <w:r w:rsidRPr="008B489D">
              <w:rPr>
                <w:b/>
                <w:sz w:val="16"/>
                <w:szCs w:val="16"/>
              </w:rPr>
              <w:t>2022</w:t>
            </w:r>
          </w:p>
        </w:tc>
        <w:tc>
          <w:tcPr>
            <w:tcW w:w="932" w:type="dxa"/>
            <w:shd w:val="clear" w:color="auto" w:fill="BFBFBF"/>
            <w:vAlign w:val="center"/>
          </w:tcPr>
          <w:p w14:paraId="536B9E08" w14:textId="0DD91BF2" w:rsidR="0072597F" w:rsidRPr="008B489D" w:rsidRDefault="0072597F" w:rsidP="00D179CE">
            <w:pPr>
              <w:contextualSpacing/>
              <w:jc w:val="center"/>
              <w:rPr>
                <w:b/>
                <w:sz w:val="16"/>
                <w:szCs w:val="16"/>
              </w:rPr>
            </w:pPr>
            <w:r w:rsidRPr="008B489D">
              <w:rPr>
                <w:b/>
                <w:sz w:val="16"/>
                <w:szCs w:val="16"/>
              </w:rPr>
              <w:t>2023</w:t>
            </w:r>
          </w:p>
        </w:tc>
        <w:tc>
          <w:tcPr>
            <w:tcW w:w="932" w:type="dxa"/>
            <w:shd w:val="clear" w:color="auto" w:fill="BFBFBF"/>
            <w:vAlign w:val="center"/>
          </w:tcPr>
          <w:p w14:paraId="70E59CF2" w14:textId="2A978A2E" w:rsidR="0072597F" w:rsidRPr="008B489D" w:rsidRDefault="0072597F" w:rsidP="00D179CE">
            <w:pPr>
              <w:contextualSpacing/>
              <w:jc w:val="center"/>
              <w:rPr>
                <w:b/>
                <w:sz w:val="16"/>
                <w:szCs w:val="16"/>
              </w:rPr>
            </w:pPr>
            <w:r w:rsidRPr="008B489D">
              <w:rPr>
                <w:b/>
                <w:sz w:val="16"/>
                <w:szCs w:val="16"/>
              </w:rPr>
              <w:t>2024</w:t>
            </w:r>
          </w:p>
        </w:tc>
        <w:tc>
          <w:tcPr>
            <w:tcW w:w="932" w:type="dxa"/>
            <w:shd w:val="clear" w:color="auto" w:fill="BFBFBF"/>
            <w:vAlign w:val="center"/>
          </w:tcPr>
          <w:p w14:paraId="30A1DBEB" w14:textId="77777777" w:rsidR="0072597F" w:rsidRPr="008B489D" w:rsidRDefault="0072597F" w:rsidP="00D179CE">
            <w:pPr>
              <w:contextualSpacing/>
              <w:jc w:val="center"/>
              <w:rPr>
                <w:b/>
                <w:sz w:val="16"/>
                <w:szCs w:val="16"/>
              </w:rPr>
            </w:pPr>
          </w:p>
          <w:p w14:paraId="55C426AB" w14:textId="0205B949" w:rsidR="0072597F" w:rsidRPr="008B489D" w:rsidRDefault="0072597F" w:rsidP="00D179CE">
            <w:pPr>
              <w:contextualSpacing/>
              <w:jc w:val="center"/>
              <w:rPr>
                <w:b/>
                <w:sz w:val="16"/>
                <w:szCs w:val="16"/>
              </w:rPr>
            </w:pPr>
            <w:r w:rsidRPr="008B489D">
              <w:rPr>
                <w:b/>
                <w:sz w:val="16"/>
                <w:szCs w:val="16"/>
              </w:rPr>
              <w:t>2025</w:t>
            </w:r>
          </w:p>
        </w:tc>
      </w:tr>
      <w:tr w:rsidR="00A42A67" w:rsidRPr="008B489D" w14:paraId="2F013D30" w14:textId="1DD85737" w:rsidTr="007D1308">
        <w:trPr>
          <w:trHeight w:val="20"/>
          <w:jc w:val="center"/>
        </w:trPr>
        <w:tc>
          <w:tcPr>
            <w:tcW w:w="2157" w:type="dxa"/>
            <w:shd w:val="solid" w:color="FFFFFF" w:fill="FFFFFF"/>
            <w:vAlign w:val="center"/>
          </w:tcPr>
          <w:p w14:paraId="5D8694A6" w14:textId="77777777" w:rsidR="00A42A67" w:rsidRPr="008B489D" w:rsidRDefault="00A42A67" w:rsidP="00A42A67">
            <w:pPr>
              <w:ind w:left="112"/>
              <w:contextualSpacing/>
              <w:rPr>
                <w:rFonts w:cs="Arial"/>
                <w:snapToGrid w:val="0"/>
                <w:color w:val="FF0000"/>
                <w:sz w:val="16"/>
                <w:szCs w:val="16"/>
              </w:rPr>
            </w:pPr>
            <w:r w:rsidRPr="008B489D">
              <w:rPr>
                <w:rFonts w:cs="Arial"/>
                <w:snapToGrid w:val="0"/>
                <w:sz w:val="16"/>
                <w:szCs w:val="16"/>
              </w:rPr>
              <w:t>Obyvatelé (střední stav)</w:t>
            </w:r>
          </w:p>
        </w:tc>
        <w:tc>
          <w:tcPr>
            <w:tcW w:w="992" w:type="dxa"/>
            <w:shd w:val="solid" w:color="FFFFFF" w:fill="FFFFFF"/>
            <w:vAlign w:val="center"/>
          </w:tcPr>
          <w:p w14:paraId="0F01815E" w14:textId="77777777" w:rsidR="00A42A67" w:rsidRPr="008B489D" w:rsidRDefault="00A42A67" w:rsidP="00A42A67">
            <w:pPr>
              <w:contextualSpacing/>
              <w:jc w:val="center"/>
              <w:rPr>
                <w:rFonts w:cs="Arial"/>
                <w:snapToGrid w:val="0"/>
                <w:color w:val="FF0000"/>
                <w:sz w:val="16"/>
                <w:szCs w:val="16"/>
              </w:rPr>
            </w:pPr>
            <w:r w:rsidRPr="008B489D">
              <w:rPr>
                <w:rFonts w:cs="Arial"/>
                <w:snapToGrid w:val="0"/>
                <w:sz w:val="16"/>
                <w:szCs w:val="16"/>
              </w:rPr>
              <w:t>tis. obyv.</w:t>
            </w:r>
          </w:p>
        </w:tc>
        <w:tc>
          <w:tcPr>
            <w:tcW w:w="931" w:type="dxa"/>
            <w:shd w:val="solid" w:color="FFFFFF" w:fill="FFFFFF"/>
            <w:vAlign w:val="center"/>
          </w:tcPr>
          <w:p w14:paraId="47CCBD8D" w14:textId="77777777" w:rsidR="00A42A67" w:rsidRPr="008B489D" w:rsidRDefault="00A42A67" w:rsidP="00A42A67">
            <w:pPr>
              <w:ind w:right="111"/>
              <w:contextualSpacing/>
              <w:jc w:val="right"/>
              <w:rPr>
                <w:rFonts w:cs="Arial"/>
                <w:snapToGrid w:val="0"/>
                <w:color w:val="FF0000"/>
                <w:sz w:val="16"/>
                <w:szCs w:val="16"/>
              </w:rPr>
            </w:pPr>
            <w:r w:rsidRPr="008B489D">
              <w:rPr>
                <w:rFonts w:cs="Arial"/>
                <w:snapToGrid w:val="0"/>
                <w:sz w:val="16"/>
                <w:szCs w:val="16"/>
              </w:rPr>
              <w:t>10 362</w:t>
            </w:r>
          </w:p>
        </w:tc>
        <w:tc>
          <w:tcPr>
            <w:tcW w:w="931" w:type="dxa"/>
            <w:shd w:val="solid" w:color="FFFFFF" w:fill="FFFFFF"/>
            <w:vAlign w:val="center"/>
          </w:tcPr>
          <w:p w14:paraId="1490B23A"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10 626</w:t>
            </w:r>
          </w:p>
        </w:tc>
        <w:tc>
          <w:tcPr>
            <w:tcW w:w="932" w:type="dxa"/>
            <w:shd w:val="solid" w:color="FFFFFF" w:fill="FFFFFF"/>
            <w:vAlign w:val="center"/>
          </w:tcPr>
          <w:p w14:paraId="0E12130C" w14:textId="77777777" w:rsidR="00A42A67" w:rsidRPr="008B489D" w:rsidRDefault="00A42A67" w:rsidP="00A42A67">
            <w:pPr>
              <w:contextualSpacing/>
              <w:jc w:val="right"/>
              <w:rPr>
                <w:rFonts w:cs="Arial"/>
                <w:snapToGrid w:val="0"/>
                <w:color w:val="FF0000"/>
                <w:sz w:val="16"/>
                <w:szCs w:val="16"/>
              </w:rPr>
            </w:pPr>
            <w:r w:rsidRPr="008B489D">
              <w:rPr>
                <w:sz w:val="16"/>
                <w:szCs w:val="16"/>
              </w:rPr>
              <w:t>10 669</w:t>
            </w:r>
          </w:p>
        </w:tc>
        <w:tc>
          <w:tcPr>
            <w:tcW w:w="931" w:type="dxa"/>
            <w:shd w:val="solid" w:color="FFFFFF" w:fill="FFFFFF"/>
            <w:vAlign w:val="center"/>
          </w:tcPr>
          <w:p w14:paraId="66715AC5"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10 700</w:t>
            </w:r>
          </w:p>
        </w:tc>
        <w:tc>
          <w:tcPr>
            <w:tcW w:w="932" w:type="dxa"/>
            <w:shd w:val="solid" w:color="FFFFFF" w:fill="FFFFFF"/>
            <w:vAlign w:val="center"/>
          </w:tcPr>
          <w:p w14:paraId="25B4263D" w14:textId="77777777" w:rsidR="00A42A67" w:rsidRPr="008B489D" w:rsidRDefault="00A42A67" w:rsidP="00A42A67">
            <w:pPr>
              <w:contextualSpacing/>
              <w:jc w:val="right"/>
              <w:rPr>
                <w:color w:val="FF0000"/>
                <w:sz w:val="16"/>
                <w:szCs w:val="16"/>
              </w:rPr>
            </w:pPr>
            <w:r w:rsidRPr="008B489D">
              <w:rPr>
                <w:rFonts w:cs="Arial"/>
                <w:snapToGrid w:val="0"/>
                <w:sz w:val="16"/>
                <w:szCs w:val="16"/>
              </w:rPr>
              <w:t>10 501</w:t>
            </w:r>
          </w:p>
        </w:tc>
        <w:tc>
          <w:tcPr>
            <w:tcW w:w="932" w:type="dxa"/>
            <w:shd w:val="solid" w:color="FFFFFF" w:fill="FFFFFF"/>
            <w:vAlign w:val="center"/>
          </w:tcPr>
          <w:p w14:paraId="0B2BB081"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10 530</w:t>
            </w:r>
          </w:p>
        </w:tc>
        <w:tc>
          <w:tcPr>
            <w:tcW w:w="932" w:type="dxa"/>
            <w:shd w:val="solid" w:color="FFFFFF" w:fill="FFFFFF"/>
            <w:vAlign w:val="center"/>
          </w:tcPr>
          <w:p w14:paraId="0DE1EB01" w14:textId="7CE1D129" w:rsidR="00A42A67" w:rsidRPr="008B489D" w:rsidRDefault="00A42A67" w:rsidP="00A42A67">
            <w:pPr>
              <w:contextualSpacing/>
              <w:jc w:val="right"/>
              <w:rPr>
                <w:rFonts w:cs="Arial"/>
                <w:snapToGrid w:val="0"/>
                <w:sz w:val="16"/>
                <w:szCs w:val="16"/>
              </w:rPr>
            </w:pPr>
            <w:r w:rsidRPr="008B489D">
              <w:rPr>
                <w:rFonts w:cs="Arial"/>
                <w:snapToGrid w:val="0"/>
                <w:sz w:val="16"/>
                <w:szCs w:val="16"/>
              </w:rPr>
              <w:t>10 878</w:t>
            </w:r>
          </w:p>
        </w:tc>
        <w:tc>
          <w:tcPr>
            <w:tcW w:w="932" w:type="dxa"/>
            <w:shd w:val="solid" w:color="FFFFFF" w:fill="FFFFFF"/>
            <w:vAlign w:val="center"/>
          </w:tcPr>
          <w:p w14:paraId="1F1837AC" w14:textId="1F7B7C58" w:rsidR="00A42A67" w:rsidRPr="008B489D" w:rsidRDefault="00A42A67" w:rsidP="00A42A67">
            <w:pPr>
              <w:contextualSpacing/>
              <w:jc w:val="right"/>
              <w:rPr>
                <w:rFonts w:cs="Arial"/>
                <w:snapToGrid w:val="0"/>
                <w:sz w:val="16"/>
                <w:szCs w:val="16"/>
              </w:rPr>
            </w:pPr>
            <w:r w:rsidRPr="008B489D">
              <w:rPr>
                <w:rFonts w:cs="Arial"/>
                <w:snapToGrid w:val="0"/>
                <w:sz w:val="16"/>
                <w:szCs w:val="16"/>
              </w:rPr>
              <w:t>10 887</w:t>
            </w:r>
          </w:p>
        </w:tc>
        <w:tc>
          <w:tcPr>
            <w:tcW w:w="932" w:type="dxa"/>
            <w:shd w:val="solid" w:color="FFFFFF" w:fill="FFFFFF"/>
            <w:vAlign w:val="center"/>
          </w:tcPr>
          <w:p w14:paraId="0F96A94F" w14:textId="5FCFC067" w:rsidR="00A42A67" w:rsidRPr="008B489D" w:rsidRDefault="00A42A67" w:rsidP="00A42A67">
            <w:pPr>
              <w:contextualSpacing/>
              <w:jc w:val="right"/>
              <w:rPr>
                <w:rFonts w:cs="Arial"/>
                <w:snapToGrid w:val="0"/>
                <w:sz w:val="16"/>
                <w:szCs w:val="16"/>
              </w:rPr>
            </w:pPr>
            <w:r w:rsidRPr="008B489D">
              <w:rPr>
                <w:rFonts w:cs="Arial"/>
                <w:snapToGrid w:val="0"/>
                <w:sz w:val="16"/>
                <w:szCs w:val="16"/>
              </w:rPr>
              <w:t>10 891</w:t>
            </w:r>
          </w:p>
        </w:tc>
      </w:tr>
      <w:tr w:rsidR="00A42A67" w:rsidRPr="008B489D" w14:paraId="7BF18E06" w14:textId="780CFFF3" w:rsidTr="007D1308">
        <w:trPr>
          <w:trHeight w:val="20"/>
          <w:jc w:val="center"/>
        </w:trPr>
        <w:tc>
          <w:tcPr>
            <w:tcW w:w="2157" w:type="dxa"/>
            <w:vMerge w:val="restart"/>
            <w:shd w:val="solid" w:color="FFFFFF" w:fill="FFFFFF"/>
            <w:vAlign w:val="center"/>
          </w:tcPr>
          <w:p w14:paraId="5D951A46" w14:textId="77777777" w:rsidR="00A42A67" w:rsidRPr="008B489D" w:rsidRDefault="00A42A67" w:rsidP="00A42A67">
            <w:pPr>
              <w:ind w:left="112"/>
              <w:contextualSpacing/>
              <w:rPr>
                <w:rFonts w:cs="Arial"/>
                <w:snapToGrid w:val="0"/>
                <w:color w:val="FF0000"/>
                <w:sz w:val="16"/>
                <w:szCs w:val="16"/>
              </w:rPr>
            </w:pPr>
            <w:r w:rsidRPr="008B489D">
              <w:rPr>
                <w:rFonts w:cs="Arial"/>
                <w:snapToGrid w:val="0"/>
                <w:sz w:val="16"/>
                <w:szCs w:val="16"/>
              </w:rPr>
              <w:t>Obyvatelé zásobovaní vodou z vodovodů</w:t>
            </w:r>
          </w:p>
        </w:tc>
        <w:tc>
          <w:tcPr>
            <w:tcW w:w="992" w:type="dxa"/>
            <w:shd w:val="solid" w:color="FFFFFF" w:fill="FFFFFF"/>
            <w:vAlign w:val="center"/>
          </w:tcPr>
          <w:p w14:paraId="3C1DE657" w14:textId="77777777" w:rsidR="00A42A67" w:rsidRPr="008B489D" w:rsidRDefault="00A42A67" w:rsidP="00A42A67">
            <w:pPr>
              <w:contextualSpacing/>
              <w:jc w:val="center"/>
              <w:rPr>
                <w:rFonts w:cs="Arial"/>
                <w:snapToGrid w:val="0"/>
                <w:color w:val="FF0000"/>
                <w:sz w:val="16"/>
                <w:szCs w:val="16"/>
              </w:rPr>
            </w:pPr>
            <w:r w:rsidRPr="008B489D">
              <w:rPr>
                <w:rFonts w:cs="Arial"/>
                <w:snapToGrid w:val="0"/>
                <w:sz w:val="16"/>
                <w:szCs w:val="16"/>
              </w:rPr>
              <w:t>tis. obyv.</w:t>
            </w:r>
          </w:p>
        </w:tc>
        <w:tc>
          <w:tcPr>
            <w:tcW w:w="931" w:type="dxa"/>
            <w:shd w:val="solid" w:color="FFFFFF" w:fill="FFFFFF"/>
            <w:vAlign w:val="center"/>
          </w:tcPr>
          <w:p w14:paraId="621A7B8F" w14:textId="77777777" w:rsidR="00A42A67" w:rsidRPr="008B489D" w:rsidRDefault="00A42A67" w:rsidP="00A42A67">
            <w:pPr>
              <w:ind w:right="111"/>
              <w:contextualSpacing/>
              <w:jc w:val="right"/>
              <w:rPr>
                <w:rFonts w:cs="Arial"/>
                <w:snapToGrid w:val="0"/>
                <w:color w:val="FF0000"/>
                <w:sz w:val="16"/>
                <w:szCs w:val="16"/>
              </w:rPr>
            </w:pPr>
            <w:r w:rsidRPr="008B489D">
              <w:rPr>
                <w:rFonts w:cs="Arial"/>
                <w:snapToGrid w:val="0"/>
                <w:sz w:val="16"/>
                <w:szCs w:val="16"/>
              </w:rPr>
              <w:t>8 537,0</w:t>
            </w:r>
          </w:p>
        </w:tc>
        <w:tc>
          <w:tcPr>
            <w:tcW w:w="931" w:type="dxa"/>
            <w:shd w:val="solid" w:color="FFFFFF" w:fill="FFFFFF"/>
            <w:vAlign w:val="center"/>
          </w:tcPr>
          <w:p w14:paraId="2D0302A1"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10 064,1</w:t>
            </w:r>
          </w:p>
        </w:tc>
        <w:tc>
          <w:tcPr>
            <w:tcW w:w="932" w:type="dxa"/>
            <w:shd w:val="solid" w:color="FFFFFF" w:fill="FFFFFF"/>
            <w:vAlign w:val="center"/>
          </w:tcPr>
          <w:p w14:paraId="6788A09E" w14:textId="77777777" w:rsidR="00A42A67" w:rsidRPr="008B489D" w:rsidRDefault="00A42A67" w:rsidP="00A42A67">
            <w:pPr>
              <w:contextualSpacing/>
              <w:jc w:val="right"/>
              <w:rPr>
                <w:rFonts w:cs="Arial"/>
                <w:snapToGrid w:val="0"/>
                <w:color w:val="FF0000"/>
                <w:sz w:val="16"/>
                <w:szCs w:val="16"/>
              </w:rPr>
            </w:pPr>
            <w:r w:rsidRPr="008B489D">
              <w:rPr>
                <w:sz w:val="16"/>
                <w:szCs w:val="16"/>
              </w:rPr>
              <w:t>10 090,1</w:t>
            </w:r>
          </w:p>
        </w:tc>
        <w:tc>
          <w:tcPr>
            <w:tcW w:w="931" w:type="dxa"/>
            <w:shd w:val="solid" w:color="FFFFFF" w:fill="FFFFFF"/>
            <w:vAlign w:val="center"/>
          </w:tcPr>
          <w:p w14:paraId="7F86CE32"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10 126,3</w:t>
            </w:r>
          </w:p>
        </w:tc>
        <w:tc>
          <w:tcPr>
            <w:tcW w:w="932" w:type="dxa"/>
            <w:shd w:val="solid" w:color="FFFFFF" w:fill="FFFFFF"/>
            <w:vAlign w:val="center"/>
          </w:tcPr>
          <w:p w14:paraId="71A15D94" w14:textId="77777777" w:rsidR="00A42A67" w:rsidRPr="008B489D" w:rsidRDefault="00A42A67" w:rsidP="00A42A67">
            <w:pPr>
              <w:contextualSpacing/>
              <w:jc w:val="right"/>
              <w:rPr>
                <w:color w:val="FF0000"/>
                <w:sz w:val="16"/>
                <w:szCs w:val="16"/>
              </w:rPr>
            </w:pPr>
            <w:r w:rsidRPr="008B489D">
              <w:rPr>
                <w:rFonts w:cs="Arial"/>
                <w:snapToGrid w:val="0"/>
                <w:sz w:val="16"/>
                <w:szCs w:val="16"/>
              </w:rPr>
              <w:t>10 075,9</w:t>
            </w:r>
          </w:p>
        </w:tc>
        <w:tc>
          <w:tcPr>
            <w:tcW w:w="932" w:type="dxa"/>
            <w:shd w:val="solid" w:color="FFFFFF" w:fill="FFFFFF"/>
            <w:vAlign w:val="center"/>
          </w:tcPr>
          <w:p w14:paraId="568FFC10"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10 069,0</w:t>
            </w:r>
          </w:p>
        </w:tc>
        <w:tc>
          <w:tcPr>
            <w:tcW w:w="932" w:type="dxa"/>
            <w:shd w:val="solid" w:color="FFFFFF" w:fill="FFFFFF"/>
            <w:vAlign w:val="center"/>
          </w:tcPr>
          <w:p w14:paraId="6CC5D10B" w14:textId="77777777" w:rsidR="00A42A67" w:rsidRPr="008B489D" w:rsidRDefault="00A42A67" w:rsidP="00A42A67">
            <w:pPr>
              <w:contextualSpacing/>
              <w:jc w:val="right"/>
              <w:rPr>
                <w:rFonts w:cs="Arial"/>
                <w:snapToGrid w:val="0"/>
                <w:sz w:val="16"/>
                <w:szCs w:val="16"/>
              </w:rPr>
            </w:pPr>
            <w:r w:rsidRPr="008B489D">
              <w:rPr>
                <w:rFonts w:cs="Arial"/>
                <w:snapToGrid w:val="0"/>
                <w:sz w:val="16"/>
                <w:szCs w:val="16"/>
              </w:rPr>
              <w:t>10 279</w:t>
            </w:r>
          </w:p>
        </w:tc>
        <w:tc>
          <w:tcPr>
            <w:tcW w:w="932" w:type="dxa"/>
            <w:shd w:val="solid" w:color="FFFFFF" w:fill="FFFFFF"/>
            <w:vAlign w:val="center"/>
          </w:tcPr>
          <w:p w14:paraId="2D2E0EA8" w14:textId="33CE6208" w:rsidR="00A42A67" w:rsidRPr="008B489D" w:rsidRDefault="00A42A67" w:rsidP="00A42A67">
            <w:pPr>
              <w:contextualSpacing/>
              <w:jc w:val="right"/>
              <w:rPr>
                <w:rFonts w:cs="Arial"/>
                <w:snapToGrid w:val="0"/>
                <w:sz w:val="16"/>
                <w:szCs w:val="16"/>
              </w:rPr>
            </w:pPr>
            <w:r w:rsidRPr="008B489D">
              <w:rPr>
                <w:rFonts w:cs="Arial"/>
                <w:snapToGrid w:val="0"/>
                <w:sz w:val="16"/>
                <w:szCs w:val="16"/>
              </w:rPr>
              <w:t>10 353</w:t>
            </w:r>
          </w:p>
        </w:tc>
        <w:tc>
          <w:tcPr>
            <w:tcW w:w="932" w:type="dxa"/>
            <w:shd w:val="solid" w:color="FFFFFF" w:fill="FFFFFF"/>
            <w:vAlign w:val="center"/>
          </w:tcPr>
          <w:p w14:paraId="25C3F248" w14:textId="401527D4" w:rsidR="00A42A67" w:rsidRPr="008B489D" w:rsidRDefault="00A42A67" w:rsidP="00A42A67">
            <w:pPr>
              <w:contextualSpacing/>
              <w:jc w:val="right"/>
              <w:rPr>
                <w:rFonts w:cs="Arial"/>
                <w:snapToGrid w:val="0"/>
                <w:sz w:val="16"/>
                <w:szCs w:val="16"/>
              </w:rPr>
            </w:pPr>
            <w:r w:rsidRPr="008B489D">
              <w:rPr>
                <w:rFonts w:cs="Arial"/>
                <w:snapToGrid w:val="0"/>
                <w:sz w:val="16"/>
                <w:szCs w:val="16"/>
              </w:rPr>
              <w:t>10 411</w:t>
            </w:r>
          </w:p>
        </w:tc>
      </w:tr>
      <w:tr w:rsidR="00A42A67" w:rsidRPr="008B489D" w14:paraId="00F46994" w14:textId="70B4DD65" w:rsidTr="007D1308">
        <w:trPr>
          <w:trHeight w:val="20"/>
          <w:jc w:val="center"/>
        </w:trPr>
        <w:tc>
          <w:tcPr>
            <w:tcW w:w="2157" w:type="dxa"/>
            <w:vMerge/>
            <w:vAlign w:val="center"/>
          </w:tcPr>
          <w:p w14:paraId="7CE28645" w14:textId="77777777" w:rsidR="00A42A67" w:rsidRPr="008B489D" w:rsidRDefault="00A42A67" w:rsidP="00A42A67">
            <w:pPr>
              <w:ind w:left="112"/>
              <w:contextualSpacing/>
              <w:rPr>
                <w:rFonts w:cs="Arial"/>
                <w:snapToGrid w:val="0"/>
                <w:color w:val="FF0000"/>
                <w:sz w:val="16"/>
                <w:szCs w:val="16"/>
              </w:rPr>
            </w:pPr>
          </w:p>
        </w:tc>
        <w:tc>
          <w:tcPr>
            <w:tcW w:w="992" w:type="dxa"/>
            <w:shd w:val="solid" w:color="FFFFFF" w:fill="FFFFFF"/>
            <w:vAlign w:val="center"/>
          </w:tcPr>
          <w:p w14:paraId="1945FC48" w14:textId="77777777" w:rsidR="00A42A67" w:rsidRPr="008B489D" w:rsidRDefault="00A42A67" w:rsidP="00A42A67">
            <w:pPr>
              <w:contextualSpacing/>
              <w:jc w:val="center"/>
              <w:rPr>
                <w:rFonts w:cs="Arial"/>
                <w:snapToGrid w:val="0"/>
                <w:color w:val="FF0000"/>
                <w:sz w:val="16"/>
                <w:szCs w:val="16"/>
              </w:rPr>
            </w:pPr>
            <w:r w:rsidRPr="008B489D">
              <w:rPr>
                <w:rFonts w:cs="Arial"/>
                <w:snapToGrid w:val="0"/>
                <w:sz w:val="16"/>
                <w:szCs w:val="16"/>
              </w:rPr>
              <w:t xml:space="preserve">% </w:t>
            </w:r>
          </w:p>
        </w:tc>
        <w:tc>
          <w:tcPr>
            <w:tcW w:w="931" w:type="dxa"/>
            <w:shd w:val="solid" w:color="FFFFFF" w:fill="FFFFFF"/>
            <w:vAlign w:val="center"/>
          </w:tcPr>
          <w:p w14:paraId="2CEC0955" w14:textId="77777777" w:rsidR="00A42A67" w:rsidRPr="008B489D" w:rsidRDefault="00A42A67" w:rsidP="00A42A67">
            <w:pPr>
              <w:ind w:right="111"/>
              <w:contextualSpacing/>
              <w:jc w:val="right"/>
              <w:rPr>
                <w:rFonts w:cs="Arial"/>
                <w:snapToGrid w:val="0"/>
                <w:color w:val="FF0000"/>
                <w:sz w:val="16"/>
                <w:szCs w:val="16"/>
              </w:rPr>
            </w:pPr>
            <w:r w:rsidRPr="008B489D">
              <w:rPr>
                <w:rFonts w:cs="Arial"/>
                <w:snapToGrid w:val="0"/>
                <w:sz w:val="16"/>
                <w:szCs w:val="16"/>
              </w:rPr>
              <w:t>82,4</w:t>
            </w:r>
          </w:p>
        </w:tc>
        <w:tc>
          <w:tcPr>
            <w:tcW w:w="931" w:type="dxa"/>
            <w:shd w:val="solid" w:color="FFFFFF" w:fill="FFFFFF"/>
            <w:vAlign w:val="center"/>
          </w:tcPr>
          <w:p w14:paraId="762EDE0A"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94,7</w:t>
            </w:r>
          </w:p>
        </w:tc>
        <w:tc>
          <w:tcPr>
            <w:tcW w:w="932" w:type="dxa"/>
            <w:shd w:val="solid" w:color="FFFFFF" w:fill="FFFFFF"/>
            <w:vAlign w:val="center"/>
          </w:tcPr>
          <w:p w14:paraId="7F090F81" w14:textId="77777777" w:rsidR="00A42A67" w:rsidRPr="008B489D" w:rsidRDefault="00A42A67" w:rsidP="00A42A67">
            <w:pPr>
              <w:contextualSpacing/>
              <w:jc w:val="right"/>
              <w:rPr>
                <w:rFonts w:cs="Arial"/>
                <w:snapToGrid w:val="0"/>
                <w:color w:val="FF0000"/>
                <w:sz w:val="16"/>
                <w:szCs w:val="16"/>
              </w:rPr>
            </w:pPr>
            <w:r w:rsidRPr="008B489D">
              <w:rPr>
                <w:sz w:val="16"/>
                <w:szCs w:val="16"/>
              </w:rPr>
              <w:t>94,6</w:t>
            </w:r>
          </w:p>
        </w:tc>
        <w:tc>
          <w:tcPr>
            <w:tcW w:w="931" w:type="dxa"/>
            <w:shd w:val="solid" w:color="FFFFFF" w:fill="FFFFFF"/>
            <w:vAlign w:val="center"/>
          </w:tcPr>
          <w:p w14:paraId="19A4BB08"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94,6</w:t>
            </w:r>
          </w:p>
        </w:tc>
        <w:tc>
          <w:tcPr>
            <w:tcW w:w="932" w:type="dxa"/>
            <w:shd w:val="solid" w:color="FFFFFF" w:fill="FFFFFF"/>
            <w:vAlign w:val="center"/>
          </w:tcPr>
          <w:p w14:paraId="5FA7DC6C" w14:textId="77777777" w:rsidR="00A42A67" w:rsidRPr="008B489D" w:rsidRDefault="00A42A67" w:rsidP="00A42A67">
            <w:pPr>
              <w:contextualSpacing/>
              <w:jc w:val="right"/>
              <w:rPr>
                <w:color w:val="FF0000"/>
                <w:sz w:val="16"/>
                <w:szCs w:val="16"/>
              </w:rPr>
            </w:pPr>
            <w:r w:rsidRPr="008B489D">
              <w:rPr>
                <w:rFonts w:cs="Arial"/>
                <w:snapToGrid w:val="0"/>
                <w:sz w:val="16"/>
                <w:szCs w:val="16"/>
              </w:rPr>
              <w:t>96,0</w:t>
            </w:r>
          </w:p>
        </w:tc>
        <w:tc>
          <w:tcPr>
            <w:tcW w:w="932" w:type="dxa"/>
            <w:shd w:val="solid" w:color="FFFFFF" w:fill="FFFFFF"/>
            <w:vAlign w:val="center"/>
          </w:tcPr>
          <w:p w14:paraId="45C0161E"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95,6</w:t>
            </w:r>
          </w:p>
        </w:tc>
        <w:tc>
          <w:tcPr>
            <w:tcW w:w="932" w:type="dxa"/>
            <w:shd w:val="solid" w:color="FFFFFF" w:fill="FFFFFF"/>
            <w:vAlign w:val="center"/>
          </w:tcPr>
          <w:p w14:paraId="751D528A" w14:textId="77777777" w:rsidR="00A42A67" w:rsidRPr="008B489D" w:rsidRDefault="00A42A67" w:rsidP="00A42A67">
            <w:pPr>
              <w:contextualSpacing/>
              <w:jc w:val="right"/>
              <w:rPr>
                <w:rFonts w:cs="Arial"/>
                <w:snapToGrid w:val="0"/>
                <w:sz w:val="16"/>
                <w:szCs w:val="16"/>
              </w:rPr>
            </w:pPr>
            <w:r w:rsidRPr="008B489D">
              <w:rPr>
                <w:rFonts w:cs="Arial"/>
                <w:snapToGrid w:val="0"/>
                <w:sz w:val="16"/>
                <w:szCs w:val="16"/>
              </w:rPr>
              <w:t>94,5</w:t>
            </w:r>
          </w:p>
        </w:tc>
        <w:tc>
          <w:tcPr>
            <w:tcW w:w="932" w:type="dxa"/>
            <w:shd w:val="solid" w:color="FFFFFF" w:fill="FFFFFF"/>
            <w:vAlign w:val="center"/>
          </w:tcPr>
          <w:p w14:paraId="00901F6D" w14:textId="2E7C3E8B" w:rsidR="00A42A67" w:rsidRPr="008B489D" w:rsidRDefault="00A42A67" w:rsidP="00A42A67">
            <w:pPr>
              <w:contextualSpacing/>
              <w:jc w:val="right"/>
              <w:rPr>
                <w:rFonts w:cs="Arial"/>
                <w:snapToGrid w:val="0"/>
                <w:sz w:val="16"/>
                <w:szCs w:val="16"/>
              </w:rPr>
            </w:pPr>
            <w:r w:rsidRPr="008B489D">
              <w:rPr>
                <w:rFonts w:cs="Arial"/>
                <w:snapToGrid w:val="0"/>
                <w:sz w:val="16"/>
                <w:szCs w:val="16"/>
              </w:rPr>
              <w:t>95,1</w:t>
            </w:r>
          </w:p>
        </w:tc>
        <w:tc>
          <w:tcPr>
            <w:tcW w:w="932" w:type="dxa"/>
            <w:shd w:val="solid" w:color="FFFFFF" w:fill="FFFFFF"/>
            <w:vAlign w:val="center"/>
          </w:tcPr>
          <w:p w14:paraId="659E6A2B" w14:textId="06A5C5E3" w:rsidR="00A42A67" w:rsidRPr="008B489D" w:rsidRDefault="00A42A67" w:rsidP="00A42A67">
            <w:pPr>
              <w:contextualSpacing/>
              <w:jc w:val="right"/>
              <w:rPr>
                <w:rFonts w:cs="Arial"/>
                <w:snapToGrid w:val="0"/>
                <w:sz w:val="16"/>
                <w:szCs w:val="16"/>
              </w:rPr>
            </w:pPr>
            <w:r w:rsidRPr="008B489D">
              <w:rPr>
                <w:rFonts w:cs="Arial"/>
                <w:snapToGrid w:val="0"/>
                <w:sz w:val="16"/>
                <w:szCs w:val="16"/>
              </w:rPr>
              <w:t>95,6</w:t>
            </w:r>
          </w:p>
        </w:tc>
      </w:tr>
      <w:tr w:rsidR="00A42A67" w:rsidRPr="008B489D" w14:paraId="35C79BF5" w14:textId="74740A68" w:rsidTr="007D1308">
        <w:trPr>
          <w:trHeight w:val="20"/>
          <w:jc w:val="center"/>
        </w:trPr>
        <w:tc>
          <w:tcPr>
            <w:tcW w:w="2157" w:type="dxa"/>
            <w:vMerge w:val="restart"/>
            <w:shd w:val="solid" w:color="FFFFFF" w:fill="FFFFFF"/>
            <w:vAlign w:val="center"/>
          </w:tcPr>
          <w:p w14:paraId="3B83068B" w14:textId="74938CFB" w:rsidR="00A42A67" w:rsidRPr="008B489D" w:rsidRDefault="00A42A67" w:rsidP="00A42A67">
            <w:pPr>
              <w:ind w:left="112"/>
              <w:contextualSpacing/>
              <w:rPr>
                <w:rFonts w:cs="Arial"/>
                <w:snapToGrid w:val="0"/>
                <w:color w:val="FF0000"/>
                <w:sz w:val="16"/>
                <w:szCs w:val="16"/>
              </w:rPr>
            </w:pPr>
            <w:r w:rsidRPr="008B489D">
              <w:rPr>
                <w:rFonts w:cs="Arial"/>
                <w:snapToGrid w:val="0"/>
                <w:sz w:val="16"/>
                <w:szCs w:val="16"/>
              </w:rPr>
              <w:t>Voda vyrobená určená k realizaci</w:t>
            </w:r>
          </w:p>
        </w:tc>
        <w:tc>
          <w:tcPr>
            <w:tcW w:w="992" w:type="dxa"/>
            <w:shd w:val="solid" w:color="FFFFFF" w:fill="FFFFFF"/>
            <w:vAlign w:val="center"/>
          </w:tcPr>
          <w:p w14:paraId="2C9EC9AE" w14:textId="77777777" w:rsidR="00A42A67" w:rsidRPr="008B489D" w:rsidRDefault="00A42A67" w:rsidP="00A42A67">
            <w:pPr>
              <w:contextualSpacing/>
              <w:jc w:val="center"/>
              <w:rPr>
                <w:rFonts w:cs="Arial"/>
                <w:snapToGrid w:val="0"/>
                <w:color w:val="FF0000"/>
                <w:sz w:val="16"/>
                <w:szCs w:val="16"/>
              </w:rPr>
            </w:pPr>
            <w:r w:rsidRPr="008B489D">
              <w:rPr>
                <w:rFonts w:cs="Arial"/>
                <w:snapToGrid w:val="0"/>
                <w:sz w:val="16"/>
                <w:szCs w:val="16"/>
              </w:rPr>
              <w:t>mil. m</w:t>
            </w:r>
            <w:r w:rsidRPr="008B489D">
              <w:rPr>
                <w:rFonts w:cs="Arial"/>
                <w:snapToGrid w:val="0"/>
                <w:sz w:val="16"/>
                <w:szCs w:val="16"/>
                <w:vertAlign w:val="superscript"/>
              </w:rPr>
              <w:t>3</w:t>
            </w:r>
            <w:r w:rsidRPr="008B489D">
              <w:rPr>
                <w:rFonts w:cs="Arial"/>
                <w:snapToGrid w:val="0"/>
                <w:sz w:val="16"/>
                <w:szCs w:val="16"/>
              </w:rPr>
              <w:t>/rok</w:t>
            </w:r>
          </w:p>
        </w:tc>
        <w:tc>
          <w:tcPr>
            <w:tcW w:w="931" w:type="dxa"/>
            <w:shd w:val="solid" w:color="FFFFFF" w:fill="FFFFFF"/>
            <w:vAlign w:val="center"/>
          </w:tcPr>
          <w:p w14:paraId="62ABEC94" w14:textId="77777777" w:rsidR="00A42A67" w:rsidRPr="008B489D" w:rsidRDefault="00A42A67" w:rsidP="00A42A67">
            <w:pPr>
              <w:ind w:right="111"/>
              <w:contextualSpacing/>
              <w:jc w:val="right"/>
              <w:rPr>
                <w:rFonts w:cs="Arial"/>
                <w:snapToGrid w:val="0"/>
                <w:color w:val="FF0000"/>
                <w:sz w:val="16"/>
                <w:szCs w:val="16"/>
              </w:rPr>
            </w:pPr>
            <w:r w:rsidRPr="008B489D">
              <w:rPr>
                <w:rFonts w:cs="Arial"/>
                <w:snapToGrid w:val="0"/>
                <w:sz w:val="16"/>
                <w:szCs w:val="16"/>
              </w:rPr>
              <w:t>1 251,0</w:t>
            </w:r>
          </w:p>
        </w:tc>
        <w:tc>
          <w:tcPr>
            <w:tcW w:w="931" w:type="dxa"/>
            <w:shd w:val="solid" w:color="FFFFFF" w:fill="FFFFFF"/>
            <w:vAlign w:val="center"/>
          </w:tcPr>
          <w:p w14:paraId="789FD7D5"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609,7</w:t>
            </w:r>
          </w:p>
        </w:tc>
        <w:tc>
          <w:tcPr>
            <w:tcW w:w="932" w:type="dxa"/>
            <w:shd w:val="solid" w:color="FFFFFF" w:fill="FFFFFF"/>
            <w:vAlign w:val="center"/>
          </w:tcPr>
          <w:p w14:paraId="27280010" w14:textId="77777777" w:rsidR="00A42A67" w:rsidRPr="008B489D" w:rsidRDefault="00A42A67" w:rsidP="00A42A67">
            <w:pPr>
              <w:contextualSpacing/>
              <w:jc w:val="right"/>
              <w:rPr>
                <w:rFonts w:cs="Arial"/>
                <w:snapToGrid w:val="0"/>
                <w:color w:val="FF0000"/>
                <w:sz w:val="16"/>
                <w:szCs w:val="16"/>
              </w:rPr>
            </w:pPr>
            <w:r w:rsidRPr="008B489D">
              <w:rPr>
                <w:sz w:val="16"/>
                <w:szCs w:val="16"/>
              </w:rPr>
              <w:t>602,4</w:t>
            </w:r>
          </w:p>
        </w:tc>
        <w:tc>
          <w:tcPr>
            <w:tcW w:w="931" w:type="dxa"/>
            <w:shd w:val="solid" w:color="FFFFFF" w:fill="FFFFFF"/>
            <w:vAlign w:val="center"/>
          </w:tcPr>
          <w:p w14:paraId="44973F0D"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589,4</w:t>
            </w:r>
          </w:p>
        </w:tc>
        <w:tc>
          <w:tcPr>
            <w:tcW w:w="932" w:type="dxa"/>
            <w:shd w:val="solid" w:color="FFFFFF" w:fill="FFFFFF"/>
            <w:vAlign w:val="center"/>
          </w:tcPr>
          <w:p w14:paraId="795ABC5F" w14:textId="77777777" w:rsidR="00A42A67" w:rsidRPr="008B489D" w:rsidRDefault="00A42A67" w:rsidP="00A42A67">
            <w:pPr>
              <w:contextualSpacing/>
              <w:jc w:val="right"/>
              <w:rPr>
                <w:color w:val="FF0000"/>
                <w:sz w:val="16"/>
                <w:szCs w:val="16"/>
              </w:rPr>
            </w:pPr>
            <w:r w:rsidRPr="008B489D">
              <w:rPr>
                <w:rFonts w:cs="Arial"/>
                <w:snapToGrid w:val="0"/>
                <w:sz w:val="16"/>
                <w:szCs w:val="16"/>
              </w:rPr>
              <w:t>587,2</w:t>
            </w:r>
          </w:p>
        </w:tc>
        <w:tc>
          <w:tcPr>
            <w:tcW w:w="932" w:type="dxa"/>
            <w:shd w:val="solid" w:color="FFFFFF" w:fill="FFFFFF"/>
            <w:vAlign w:val="center"/>
          </w:tcPr>
          <w:p w14:paraId="28F982DF"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584,3</w:t>
            </w:r>
          </w:p>
        </w:tc>
        <w:tc>
          <w:tcPr>
            <w:tcW w:w="932" w:type="dxa"/>
            <w:shd w:val="solid" w:color="FFFFFF" w:fill="FFFFFF"/>
            <w:vAlign w:val="center"/>
          </w:tcPr>
          <w:p w14:paraId="071E7052" w14:textId="77777777" w:rsidR="00A42A67" w:rsidRPr="008B489D" w:rsidRDefault="00A42A67" w:rsidP="00A42A67">
            <w:pPr>
              <w:contextualSpacing/>
              <w:jc w:val="right"/>
              <w:rPr>
                <w:rFonts w:cs="Arial"/>
                <w:snapToGrid w:val="0"/>
                <w:sz w:val="16"/>
                <w:szCs w:val="16"/>
              </w:rPr>
            </w:pPr>
            <w:r w:rsidRPr="008B489D">
              <w:rPr>
                <w:rFonts w:cs="Arial"/>
                <w:snapToGrid w:val="0"/>
                <w:sz w:val="16"/>
                <w:szCs w:val="16"/>
              </w:rPr>
              <w:t>583,0</w:t>
            </w:r>
          </w:p>
        </w:tc>
        <w:tc>
          <w:tcPr>
            <w:tcW w:w="932" w:type="dxa"/>
            <w:shd w:val="solid" w:color="FFFFFF" w:fill="FFFFFF"/>
            <w:vAlign w:val="center"/>
          </w:tcPr>
          <w:p w14:paraId="3594DC6B" w14:textId="6EF2F624" w:rsidR="00A42A67" w:rsidRPr="008B489D" w:rsidRDefault="00A42A67" w:rsidP="00A42A67">
            <w:pPr>
              <w:contextualSpacing/>
              <w:jc w:val="right"/>
              <w:rPr>
                <w:rFonts w:cs="Arial"/>
                <w:snapToGrid w:val="0"/>
                <w:sz w:val="16"/>
                <w:szCs w:val="16"/>
              </w:rPr>
            </w:pPr>
            <w:r w:rsidRPr="008B489D">
              <w:rPr>
                <w:rFonts w:cs="Arial"/>
                <w:snapToGrid w:val="0"/>
                <w:sz w:val="16"/>
                <w:szCs w:val="16"/>
              </w:rPr>
              <w:t>593,5</w:t>
            </w:r>
          </w:p>
        </w:tc>
        <w:tc>
          <w:tcPr>
            <w:tcW w:w="932" w:type="dxa"/>
            <w:shd w:val="solid" w:color="FFFFFF" w:fill="FFFFFF"/>
            <w:vAlign w:val="center"/>
          </w:tcPr>
          <w:p w14:paraId="22C02E2C" w14:textId="20A54F16" w:rsidR="00A42A67" w:rsidRPr="008B489D" w:rsidRDefault="00A42A67" w:rsidP="00A42A67">
            <w:pPr>
              <w:contextualSpacing/>
              <w:jc w:val="right"/>
              <w:rPr>
                <w:rFonts w:cs="Arial"/>
                <w:snapToGrid w:val="0"/>
                <w:sz w:val="16"/>
                <w:szCs w:val="16"/>
              </w:rPr>
            </w:pPr>
            <w:r w:rsidRPr="008B489D">
              <w:rPr>
                <w:rFonts w:cs="Arial"/>
                <w:snapToGrid w:val="0"/>
                <w:sz w:val="16"/>
                <w:szCs w:val="16"/>
              </w:rPr>
              <w:t>590,5</w:t>
            </w:r>
          </w:p>
        </w:tc>
      </w:tr>
      <w:tr w:rsidR="00A42A67" w:rsidRPr="008B489D" w14:paraId="18A437B7" w14:textId="745228F5" w:rsidTr="007D1308">
        <w:trPr>
          <w:trHeight w:val="20"/>
          <w:jc w:val="center"/>
        </w:trPr>
        <w:tc>
          <w:tcPr>
            <w:tcW w:w="2157" w:type="dxa"/>
            <w:vMerge/>
            <w:vAlign w:val="center"/>
          </w:tcPr>
          <w:p w14:paraId="45B6D940" w14:textId="77777777" w:rsidR="00A42A67" w:rsidRPr="008B489D" w:rsidRDefault="00A42A67" w:rsidP="00A42A67">
            <w:pPr>
              <w:ind w:left="112"/>
              <w:contextualSpacing/>
              <w:rPr>
                <w:rFonts w:cs="Arial"/>
                <w:snapToGrid w:val="0"/>
                <w:color w:val="FF0000"/>
                <w:sz w:val="16"/>
                <w:szCs w:val="16"/>
              </w:rPr>
            </w:pPr>
          </w:p>
        </w:tc>
        <w:tc>
          <w:tcPr>
            <w:tcW w:w="992" w:type="dxa"/>
            <w:shd w:val="solid" w:color="FFFFFF" w:fill="FFFFFF"/>
            <w:vAlign w:val="center"/>
          </w:tcPr>
          <w:p w14:paraId="12B93E86" w14:textId="77777777" w:rsidR="00A42A67" w:rsidRPr="008B489D" w:rsidRDefault="00A42A67" w:rsidP="00A42A67">
            <w:pPr>
              <w:contextualSpacing/>
              <w:jc w:val="center"/>
              <w:rPr>
                <w:rFonts w:cs="Arial"/>
                <w:snapToGrid w:val="0"/>
                <w:color w:val="FF0000"/>
                <w:sz w:val="16"/>
                <w:szCs w:val="16"/>
              </w:rPr>
            </w:pPr>
            <w:r w:rsidRPr="008B489D">
              <w:rPr>
                <w:rFonts w:cs="Arial"/>
                <w:snapToGrid w:val="0"/>
                <w:sz w:val="16"/>
                <w:szCs w:val="16"/>
              </w:rPr>
              <w:t>% k 1989</w:t>
            </w:r>
          </w:p>
        </w:tc>
        <w:tc>
          <w:tcPr>
            <w:tcW w:w="931" w:type="dxa"/>
            <w:shd w:val="solid" w:color="FFFFFF" w:fill="FFFFFF"/>
            <w:vAlign w:val="center"/>
          </w:tcPr>
          <w:p w14:paraId="67A05F16" w14:textId="77777777" w:rsidR="00A42A67" w:rsidRPr="008B489D" w:rsidRDefault="00A42A67" w:rsidP="00A42A67">
            <w:pPr>
              <w:ind w:right="111"/>
              <w:contextualSpacing/>
              <w:jc w:val="right"/>
              <w:rPr>
                <w:rFonts w:cs="Arial"/>
                <w:snapToGrid w:val="0"/>
                <w:color w:val="FF0000"/>
                <w:sz w:val="16"/>
                <w:szCs w:val="16"/>
              </w:rPr>
            </w:pPr>
            <w:r w:rsidRPr="008B489D">
              <w:rPr>
                <w:rFonts w:cs="Arial"/>
                <w:snapToGrid w:val="0"/>
                <w:sz w:val="16"/>
                <w:szCs w:val="16"/>
              </w:rPr>
              <w:t>100,0</w:t>
            </w:r>
          </w:p>
        </w:tc>
        <w:tc>
          <w:tcPr>
            <w:tcW w:w="931" w:type="dxa"/>
            <w:shd w:val="solid" w:color="FFFFFF" w:fill="FFFFFF"/>
            <w:vAlign w:val="center"/>
          </w:tcPr>
          <w:p w14:paraId="0E6CC8FB"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48,7</w:t>
            </w:r>
          </w:p>
        </w:tc>
        <w:tc>
          <w:tcPr>
            <w:tcW w:w="932" w:type="dxa"/>
            <w:shd w:val="solid" w:color="FFFFFF" w:fill="FFFFFF"/>
            <w:vAlign w:val="center"/>
          </w:tcPr>
          <w:p w14:paraId="7E66ED91" w14:textId="77777777" w:rsidR="00A42A67" w:rsidRPr="008B489D" w:rsidRDefault="00A42A67" w:rsidP="00A42A67">
            <w:pPr>
              <w:contextualSpacing/>
              <w:jc w:val="right"/>
              <w:rPr>
                <w:rFonts w:cs="Arial"/>
                <w:snapToGrid w:val="0"/>
                <w:color w:val="FF0000"/>
                <w:sz w:val="16"/>
                <w:szCs w:val="16"/>
              </w:rPr>
            </w:pPr>
            <w:r w:rsidRPr="008B489D">
              <w:rPr>
                <w:sz w:val="16"/>
                <w:szCs w:val="16"/>
              </w:rPr>
              <w:t>48,2</w:t>
            </w:r>
          </w:p>
        </w:tc>
        <w:tc>
          <w:tcPr>
            <w:tcW w:w="931" w:type="dxa"/>
            <w:shd w:val="solid" w:color="FFFFFF" w:fill="FFFFFF"/>
            <w:vAlign w:val="center"/>
          </w:tcPr>
          <w:p w14:paraId="4DB4D035"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47,2</w:t>
            </w:r>
          </w:p>
        </w:tc>
        <w:tc>
          <w:tcPr>
            <w:tcW w:w="932" w:type="dxa"/>
            <w:shd w:val="solid" w:color="FFFFFF" w:fill="FFFFFF"/>
            <w:vAlign w:val="center"/>
          </w:tcPr>
          <w:p w14:paraId="2CA456E6" w14:textId="77777777" w:rsidR="00A42A67" w:rsidRPr="008B489D" w:rsidRDefault="00A42A67" w:rsidP="00A42A67">
            <w:pPr>
              <w:contextualSpacing/>
              <w:jc w:val="right"/>
              <w:rPr>
                <w:color w:val="FF0000"/>
                <w:sz w:val="16"/>
                <w:szCs w:val="16"/>
              </w:rPr>
            </w:pPr>
            <w:r w:rsidRPr="008B489D">
              <w:rPr>
                <w:rFonts w:cs="Arial"/>
                <w:snapToGrid w:val="0"/>
                <w:sz w:val="16"/>
                <w:szCs w:val="16"/>
              </w:rPr>
              <w:t>46,3</w:t>
            </w:r>
          </w:p>
        </w:tc>
        <w:tc>
          <w:tcPr>
            <w:tcW w:w="932" w:type="dxa"/>
            <w:shd w:val="solid" w:color="FFFFFF" w:fill="FFFFFF"/>
            <w:vAlign w:val="center"/>
          </w:tcPr>
          <w:p w14:paraId="37A680A2"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46,0</w:t>
            </w:r>
          </w:p>
        </w:tc>
        <w:tc>
          <w:tcPr>
            <w:tcW w:w="932" w:type="dxa"/>
            <w:shd w:val="solid" w:color="FFFFFF" w:fill="FFFFFF"/>
            <w:vAlign w:val="center"/>
          </w:tcPr>
          <w:p w14:paraId="09A1A0D8" w14:textId="77777777" w:rsidR="00A42A67" w:rsidRPr="008B489D" w:rsidRDefault="00A42A67" w:rsidP="00A42A67">
            <w:pPr>
              <w:contextualSpacing/>
              <w:jc w:val="right"/>
              <w:rPr>
                <w:rFonts w:cs="Arial"/>
                <w:snapToGrid w:val="0"/>
                <w:sz w:val="16"/>
                <w:szCs w:val="16"/>
              </w:rPr>
            </w:pPr>
            <w:r w:rsidRPr="008B489D">
              <w:rPr>
                <w:rFonts w:cs="Arial"/>
                <w:snapToGrid w:val="0"/>
                <w:sz w:val="16"/>
                <w:szCs w:val="16"/>
              </w:rPr>
              <w:t>46,6</w:t>
            </w:r>
          </w:p>
        </w:tc>
        <w:tc>
          <w:tcPr>
            <w:tcW w:w="932" w:type="dxa"/>
            <w:shd w:val="solid" w:color="FFFFFF" w:fill="FFFFFF"/>
            <w:vAlign w:val="center"/>
          </w:tcPr>
          <w:p w14:paraId="636003C1" w14:textId="2DECA388" w:rsidR="00A42A67" w:rsidRPr="008B489D" w:rsidRDefault="00A42A67" w:rsidP="00A42A67">
            <w:pPr>
              <w:contextualSpacing/>
              <w:jc w:val="right"/>
              <w:rPr>
                <w:rFonts w:cs="Arial"/>
                <w:snapToGrid w:val="0"/>
                <w:sz w:val="16"/>
                <w:szCs w:val="16"/>
              </w:rPr>
            </w:pPr>
            <w:r w:rsidRPr="008B489D">
              <w:rPr>
                <w:rFonts w:cs="Arial"/>
                <w:snapToGrid w:val="0"/>
                <w:sz w:val="16"/>
                <w:szCs w:val="16"/>
              </w:rPr>
              <w:t>47,4</w:t>
            </w:r>
          </w:p>
        </w:tc>
        <w:tc>
          <w:tcPr>
            <w:tcW w:w="932" w:type="dxa"/>
            <w:shd w:val="solid" w:color="FFFFFF" w:fill="FFFFFF"/>
            <w:vAlign w:val="center"/>
          </w:tcPr>
          <w:p w14:paraId="0EFA3219" w14:textId="00D7CC9F" w:rsidR="00A42A67" w:rsidRPr="008B489D" w:rsidRDefault="00A42A67" w:rsidP="00A42A67">
            <w:pPr>
              <w:contextualSpacing/>
              <w:jc w:val="right"/>
              <w:rPr>
                <w:rFonts w:cs="Arial"/>
                <w:snapToGrid w:val="0"/>
                <w:sz w:val="16"/>
                <w:szCs w:val="16"/>
              </w:rPr>
            </w:pPr>
            <w:r w:rsidRPr="008B489D">
              <w:rPr>
                <w:rFonts w:cs="Arial"/>
                <w:snapToGrid w:val="0"/>
                <w:sz w:val="16"/>
                <w:szCs w:val="16"/>
              </w:rPr>
              <w:t>47,2</w:t>
            </w:r>
          </w:p>
        </w:tc>
      </w:tr>
      <w:tr w:rsidR="00A42A67" w:rsidRPr="008B489D" w14:paraId="59A59C6A" w14:textId="75F60C26" w:rsidTr="007D1308">
        <w:trPr>
          <w:trHeight w:val="20"/>
          <w:jc w:val="center"/>
        </w:trPr>
        <w:tc>
          <w:tcPr>
            <w:tcW w:w="2157" w:type="dxa"/>
            <w:vMerge w:val="restart"/>
            <w:shd w:val="solid" w:color="FFFFFF" w:fill="FFFFFF"/>
            <w:vAlign w:val="center"/>
          </w:tcPr>
          <w:p w14:paraId="6EFA38A0" w14:textId="77777777" w:rsidR="00A42A67" w:rsidRPr="008B489D" w:rsidRDefault="00A42A67" w:rsidP="00A42A67">
            <w:pPr>
              <w:ind w:left="112"/>
              <w:contextualSpacing/>
              <w:rPr>
                <w:rFonts w:cs="Arial"/>
                <w:snapToGrid w:val="0"/>
                <w:color w:val="FF0000"/>
                <w:sz w:val="16"/>
                <w:szCs w:val="16"/>
              </w:rPr>
            </w:pPr>
            <w:r w:rsidRPr="008B489D">
              <w:rPr>
                <w:rFonts w:cs="Arial"/>
                <w:snapToGrid w:val="0"/>
                <w:sz w:val="16"/>
                <w:szCs w:val="16"/>
              </w:rPr>
              <w:t>Voda fakturovaná celkem</w:t>
            </w:r>
          </w:p>
        </w:tc>
        <w:tc>
          <w:tcPr>
            <w:tcW w:w="992" w:type="dxa"/>
            <w:shd w:val="solid" w:color="FFFFFF" w:fill="FFFFFF"/>
            <w:vAlign w:val="center"/>
          </w:tcPr>
          <w:p w14:paraId="105B4777" w14:textId="77777777" w:rsidR="00A42A67" w:rsidRPr="008B489D" w:rsidRDefault="00A42A67" w:rsidP="00A42A67">
            <w:pPr>
              <w:contextualSpacing/>
              <w:jc w:val="center"/>
              <w:rPr>
                <w:rFonts w:cs="Arial"/>
                <w:snapToGrid w:val="0"/>
                <w:color w:val="FF0000"/>
                <w:sz w:val="16"/>
                <w:szCs w:val="16"/>
              </w:rPr>
            </w:pPr>
            <w:r w:rsidRPr="008B489D">
              <w:rPr>
                <w:rFonts w:cs="Arial"/>
                <w:snapToGrid w:val="0"/>
                <w:sz w:val="16"/>
                <w:szCs w:val="16"/>
              </w:rPr>
              <w:t>mil. m</w:t>
            </w:r>
            <w:r w:rsidRPr="008B489D">
              <w:rPr>
                <w:rFonts w:cs="Arial"/>
                <w:snapToGrid w:val="0"/>
                <w:sz w:val="16"/>
                <w:szCs w:val="16"/>
                <w:vertAlign w:val="superscript"/>
              </w:rPr>
              <w:t>3</w:t>
            </w:r>
            <w:r w:rsidRPr="008B489D">
              <w:rPr>
                <w:rFonts w:cs="Arial"/>
                <w:snapToGrid w:val="0"/>
                <w:sz w:val="16"/>
                <w:szCs w:val="16"/>
              </w:rPr>
              <w:t>/rok</w:t>
            </w:r>
          </w:p>
        </w:tc>
        <w:tc>
          <w:tcPr>
            <w:tcW w:w="931" w:type="dxa"/>
            <w:shd w:val="solid" w:color="FFFFFF" w:fill="FFFFFF"/>
            <w:vAlign w:val="center"/>
          </w:tcPr>
          <w:p w14:paraId="18D16518" w14:textId="77777777" w:rsidR="00A42A67" w:rsidRPr="008B489D" w:rsidRDefault="00A42A67" w:rsidP="00A42A67">
            <w:pPr>
              <w:ind w:right="111"/>
              <w:contextualSpacing/>
              <w:jc w:val="right"/>
              <w:rPr>
                <w:rFonts w:cs="Arial"/>
                <w:snapToGrid w:val="0"/>
                <w:color w:val="FF0000"/>
                <w:sz w:val="16"/>
                <w:szCs w:val="16"/>
              </w:rPr>
            </w:pPr>
            <w:r w:rsidRPr="008B489D">
              <w:rPr>
                <w:rFonts w:cs="Arial"/>
                <w:snapToGrid w:val="0"/>
                <w:sz w:val="16"/>
                <w:szCs w:val="16"/>
              </w:rPr>
              <w:t>929,4</w:t>
            </w:r>
          </w:p>
        </w:tc>
        <w:tc>
          <w:tcPr>
            <w:tcW w:w="931" w:type="dxa"/>
            <w:shd w:val="solid" w:color="FFFFFF" w:fill="FFFFFF"/>
            <w:vAlign w:val="center"/>
          </w:tcPr>
          <w:p w14:paraId="341FFA6C"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490,4</w:t>
            </w:r>
          </w:p>
        </w:tc>
        <w:tc>
          <w:tcPr>
            <w:tcW w:w="932" w:type="dxa"/>
            <w:shd w:val="solid" w:color="FFFFFF" w:fill="FFFFFF"/>
            <w:vAlign w:val="center"/>
          </w:tcPr>
          <w:p w14:paraId="49D6DD9F" w14:textId="77777777" w:rsidR="00A42A67" w:rsidRPr="008B489D" w:rsidRDefault="00A42A67" w:rsidP="00A42A67">
            <w:pPr>
              <w:contextualSpacing/>
              <w:jc w:val="right"/>
              <w:rPr>
                <w:rFonts w:cs="Arial"/>
                <w:snapToGrid w:val="0"/>
                <w:color w:val="FF0000"/>
                <w:sz w:val="16"/>
                <w:szCs w:val="16"/>
              </w:rPr>
            </w:pPr>
            <w:r w:rsidRPr="008B489D">
              <w:rPr>
                <w:sz w:val="16"/>
                <w:szCs w:val="16"/>
              </w:rPr>
              <w:t>492,6</w:t>
            </w:r>
          </w:p>
        </w:tc>
        <w:tc>
          <w:tcPr>
            <w:tcW w:w="931" w:type="dxa"/>
            <w:shd w:val="solid" w:color="FFFFFF" w:fill="FFFFFF"/>
            <w:vAlign w:val="center"/>
          </w:tcPr>
          <w:p w14:paraId="5300F52D"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479,0</w:t>
            </w:r>
          </w:p>
        </w:tc>
        <w:tc>
          <w:tcPr>
            <w:tcW w:w="932" w:type="dxa"/>
            <w:shd w:val="solid" w:color="FFFFFF" w:fill="FFFFFF"/>
            <w:vAlign w:val="center"/>
          </w:tcPr>
          <w:p w14:paraId="66CAA613" w14:textId="77777777" w:rsidR="00A42A67" w:rsidRPr="008B489D" w:rsidRDefault="00A42A67" w:rsidP="00A42A67">
            <w:pPr>
              <w:contextualSpacing/>
              <w:jc w:val="right"/>
              <w:rPr>
                <w:color w:val="FF0000"/>
                <w:sz w:val="16"/>
                <w:szCs w:val="16"/>
              </w:rPr>
            </w:pPr>
            <w:r w:rsidRPr="008B489D">
              <w:rPr>
                <w:rFonts w:cs="Arial"/>
                <w:snapToGrid w:val="0"/>
                <w:sz w:val="16"/>
                <w:szCs w:val="16"/>
              </w:rPr>
              <w:t>478,7</w:t>
            </w:r>
          </w:p>
        </w:tc>
        <w:tc>
          <w:tcPr>
            <w:tcW w:w="932" w:type="dxa"/>
            <w:shd w:val="solid" w:color="FFFFFF" w:fill="FFFFFF"/>
            <w:vAlign w:val="center"/>
          </w:tcPr>
          <w:p w14:paraId="075201DE"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478,1</w:t>
            </w:r>
          </w:p>
        </w:tc>
        <w:tc>
          <w:tcPr>
            <w:tcW w:w="932" w:type="dxa"/>
            <w:shd w:val="solid" w:color="FFFFFF" w:fill="FFFFFF"/>
            <w:vAlign w:val="center"/>
          </w:tcPr>
          <w:p w14:paraId="701E68C1" w14:textId="77777777" w:rsidR="00A42A67" w:rsidRPr="008B489D" w:rsidRDefault="00A42A67" w:rsidP="00A42A67">
            <w:pPr>
              <w:contextualSpacing/>
              <w:jc w:val="right"/>
              <w:rPr>
                <w:rFonts w:cs="Arial"/>
                <w:snapToGrid w:val="0"/>
                <w:sz w:val="16"/>
                <w:szCs w:val="16"/>
              </w:rPr>
            </w:pPr>
            <w:r w:rsidRPr="008B489D">
              <w:rPr>
                <w:rFonts w:cs="Arial"/>
                <w:snapToGrid w:val="0"/>
                <w:sz w:val="16"/>
                <w:szCs w:val="16"/>
              </w:rPr>
              <w:t>476,9</w:t>
            </w:r>
          </w:p>
        </w:tc>
        <w:tc>
          <w:tcPr>
            <w:tcW w:w="932" w:type="dxa"/>
            <w:shd w:val="solid" w:color="FFFFFF" w:fill="FFFFFF"/>
            <w:vAlign w:val="center"/>
          </w:tcPr>
          <w:p w14:paraId="62F1AE8A" w14:textId="4289C987" w:rsidR="00A42A67" w:rsidRPr="008B489D" w:rsidRDefault="00A42A67" w:rsidP="00A42A67">
            <w:pPr>
              <w:contextualSpacing/>
              <w:jc w:val="right"/>
              <w:rPr>
                <w:rFonts w:cs="Arial"/>
                <w:snapToGrid w:val="0"/>
                <w:sz w:val="16"/>
                <w:szCs w:val="16"/>
              </w:rPr>
            </w:pPr>
            <w:r w:rsidRPr="008B489D">
              <w:rPr>
                <w:rFonts w:cs="Arial"/>
                <w:snapToGrid w:val="0"/>
                <w:sz w:val="16"/>
                <w:szCs w:val="16"/>
              </w:rPr>
              <w:t>488,3</w:t>
            </w:r>
          </w:p>
        </w:tc>
        <w:tc>
          <w:tcPr>
            <w:tcW w:w="932" w:type="dxa"/>
            <w:shd w:val="solid" w:color="FFFFFF" w:fill="FFFFFF"/>
            <w:vAlign w:val="center"/>
          </w:tcPr>
          <w:p w14:paraId="7B3D0264" w14:textId="71D1AA21" w:rsidR="00A42A67" w:rsidRPr="008B489D" w:rsidRDefault="00A42A67" w:rsidP="00A42A67">
            <w:pPr>
              <w:contextualSpacing/>
              <w:jc w:val="right"/>
              <w:rPr>
                <w:rFonts w:cs="Arial"/>
                <w:snapToGrid w:val="0"/>
                <w:sz w:val="16"/>
                <w:szCs w:val="16"/>
              </w:rPr>
            </w:pPr>
            <w:r w:rsidRPr="008B489D">
              <w:rPr>
                <w:rFonts w:cs="Arial"/>
                <w:snapToGrid w:val="0"/>
                <w:sz w:val="16"/>
                <w:szCs w:val="16"/>
              </w:rPr>
              <w:t>492,1</w:t>
            </w:r>
          </w:p>
        </w:tc>
      </w:tr>
      <w:tr w:rsidR="00A42A67" w:rsidRPr="008B489D" w14:paraId="107D9A40" w14:textId="15C46229" w:rsidTr="007D1308">
        <w:trPr>
          <w:trHeight w:val="20"/>
          <w:jc w:val="center"/>
        </w:trPr>
        <w:tc>
          <w:tcPr>
            <w:tcW w:w="2157" w:type="dxa"/>
            <w:vMerge/>
            <w:vAlign w:val="center"/>
          </w:tcPr>
          <w:p w14:paraId="416E625A" w14:textId="77777777" w:rsidR="00A42A67" w:rsidRPr="008B489D" w:rsidRDefault="00A42A67" w:rsidP="00A42A67">
            <w:pPr>
              <w:ind w:left="112"/>
              <w:contextualSpacing/>
              <w:rPr>
                <w:rFonts w:cs="Arial"/>
                <w:snapToGrid w:val="0"/>
                <w:color w:val="FF0000"/>
                <w:sz w:val="16"/>
                <w:szCs w:val="16"/>
              </w:rPr>
            </w:pPr>
          </w:p>
        </w:tc>
        <w:tc>
          <w:tcPr>
            <w:tcW w:w="992" w:type="dxa"/>
            <w:shd w:val="solid" w:color="FFFFFF" w:fill="FFFFFF"/>
            <w:vAlign w:val="center"/>
          </w:tcPr>
          <w:p w14:paraId="42BFFA5A" w14:textId="77777777" w:rsidR="00A42A67" w:rsidRPr="008B489D" w:rsidRDefault="00A42A67" w:rsidP="00A42A67">
            <w:pPr>
              <w:contextualSpacing/>
              <w:jc w:val="center"/>
              <w:rPr>
                <w:rFonts w:cs="Arial"/>
                <w:snapToGrid w:val="0"/>
                <w:color w:val="FF0000"/>
                <w:sz w:val="16"/>
                <w:szCs w:val="16"/>
              </w:rPr>
            </w:pPr>
            <w:r w:rsidRPr="008B489D">
              <w:rPr>
                <w:rFonts w:cs="Arial"/>
                <w:snapToGrid w:val="0"/>
                <w:sz w:val="16"/>
                <w:szCs w:val="16"/>
              </w:rPr>
              <w:t>% k 1989</w:t>
            </w:r>
          </w:p>
        </w:tc>
        <w:tc>
          <w:tcPr>
            <w:tcW w:w="931" w:type="dxa"/>
            <w:shd w:val="solid" w:color="FFFFFF" w:fill="FFFFFF"/>
            <w:vAlign w:val="center"/>
          </w:tcPr>
          <w:p w14:paraId="59F41880" w14:textId="77777777" w:rsidR="00A42A67" w:rsidRPr="008B489D" w:rsidRDefault="00A42A67" w:rsidP="00A42A67">
            <w:pPr>
              <w:ind w:right="111"/>
              <w:contextualSpacing/>
              <w:jc w:val="right"/>
              <w:rPr>
                <w:rFonts w:cs="Arial"/>
                <w:snapToGrid w:val="0"/>
                <w:color w:val="FF0000"/>
                <w:sz w:val="16"/>
                <w:szCs w:val="16"/>
              </w:rPr>
            </w:pPr>
            <w:r w:rsidRPr="008B489D">
              <w:rPr>
                <w:rFonts w:cs="Arial"/>
                <w:snapToGrid w:val="0"/>
                <w:sz w:val="16"/>
                <w:szCs w:val="16"/>
              </w:rPr>
              <w:t>100,0</w:t>
            </w:r>
          </w:p>
        </w:tc>
        <w:tc>
          <w:tcPr>
            <w:tcW w:w="931" w:type="dxa"/>
            <w:shd w:val="solid" w:color="FFFFFF" w:fill="FFFFFF"/>
            <w:vAlign w:val="center"/>
          </w:tcPr>
          <w:p w14:paraId="045CBD1F"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52,8</w:t>
            </w:r>
          </w:p>
        </w:tc>
        <w:tc>
          <w:tcPr>
            <w:tcW w:w="932" w:type="dxa"/>
            <w:shd w:val="solid" w:color="FFFFFF" w:fill="FFFFFF"/>
            <w:vAlign w:val="center"/>
          </w:tcPr>
          <w:p w14:paraId="74D000D6" w14:textId="77777777" w:rsidR="00A42A67" w:rsidRPr="008B489D" w:rsidRDefault="00A42A67" w:rsidP="00A42A67">
            <w:pPr>
              <w:contextualSpacing/>
              <w:jc w:val="right"/>
              <w:rPr>
                <w:rFonts w:cs="Arial"/>
                <w:snapToGrid w:val="0"/>
                <w:color w:val="FF0000"/>
                <w:sz w:val="16"/>
                <w:szCs w:val="16"/>
              </w:rPr>
            </w:pPr>
            <w:r w:rsidRPr="008B489D">
              <w:rPr>
                <w:sz w:val="16"/>
                <w:szCs w:val="16"/>
              </w:rPr>
              <w:t>53,0</w:t>
            </w:r>
          </w:p>
        </w:tc>
        <w:tc>
          <w:tcPr>
            <w:tcW w:w="931" w:type="dxa"/>
            <w:shd w:val="solid" w:color="FFFFFF" w:fill="FFFFFF"/>
            <w:vAlign w:val="center"/>
          </w:tcPr>
          <w:p w14:paraId="6ABD02E2"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51,5</w:t>
            </w:r>
          </w:p>
        </w:tc>
        <w:tc>
          <w:tcPr>
            <w:tcW w:w="932" w:type="dxa"/>
            <w:shd w:val="solid" w:color="FFFFFF" w:fill="FFFFFF"/>
            <w:vAlign w:val="center"/>
          </w:tcPr>
          <w:p w14:paraId="70247CBA" w14:textId="77777777" w:rsidR="00A42A67" w:rsidRPr="008B489D" w:rsidRDefault="00A42A67" w:rsidP="00A42A67">
            <w:pPr>
              <w:contextualSpacing/>
              <w:jc w:val="right"/>
              <w:rPr>
                <w:color w:val="FF0000"/>
                <w:sz w:val="16"/>
                <w:szCs w:val="16"/>
              </w:rPr>
            </w:pPr>
            <w:r w:rsidRPr="008B489D">
              <w:rPr>
                <w:rFonts w:cs="Arial"/>
                <w:snapToGrid w:val="0"/>
                <w:sz w:val="16"/>
                <w:szCs w:val="16"/>
              </w:rPr>
              <w:t>51,5</w:t>
            </w:r>
          </w:p>
        </w:tc>
        <w:tc>
          <w:tcPr>
            <w:tcW w:w="932" w:type="dxa"/>
            <w:shd w:val="solid" w:color="FFFFFF" w:fill="FFFFFF"/>
            <w:vAlign w:val="center"/>
          </w:tcPr>
          <w:p w14:paraId="42D1E99A"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51,4</w:t>
            </w:r>
          </w:p>
        </w:tc>
        <w:tc>
          <w:tcPr>
            <w:tcW w:w="932" w:type="dxa"/>
            <w:shd w:val="solid" w:color="FFFFFF" w:fill="FFFFFF"/>
            <w:vAlign w:val="center"/>
          </w:tcPr>
          <w:p w14:paraId="09FB8081" w14:textId="77777777" w:rsidR="00A42A67" w:rsidRPr="008B489D" w:rsidRDefault="00A42A67" w:rsidP="00A42A67">
            <w:pPr>
              <w:contextualSpacing/>
              <w:jc w:val="right"/>
              <w:rPr>
                <w:rFonts w:cs="Arial"/>
                <w:snapToGrid w:val="0"/>
                <w:sz w:val="16"/>
                <w:szCs w:val="16"/>
              </w:rPr>
            </w:pPr>
            <w:r w:rsidRPr="008B489D">
              <w:rPr>
                <w:rFonts w:cs="Arial"/>
                <w:snapToGrid w:val="0"/>
                <w:sz w:val="16"/>
                <w:szCs w:val="16"/>
              </w:rPr>
              <w:t>51,31</w:t>
            </w:r>
          </w:p>
        </w:tc>
        <w:tc>
          <w:tcPr>
            <w:tcW w:w="932" w:type="dxa"/>
            <w:shd w:val="solid" w:color="FFFFFF" w:fill="FFFFFF"/>
            <w:vAlign w:val="center"/>
          </w:tcPr>
          <w:p w14:paraId="28E63A50" w14:textId="4E098169" w:rsidR="00A42A67" w:rsidRPr="008B489D" w:rsidRDefault="00A42A67" w:rsidP="00A42A67">
            <w:pPr>
              <w:contextualSpacing/>
              <w:jc w:val="right"/>
              <w:rPr>
                <w:rFonts w:cs="Arial"/>
                <w:snapToGrid w:val="0"/>
                <w:sz w:val="16"/>
                <w:szCs w:val="16"/>
              </w:rPr>
            </w:pPr>
            <w:r w:rsidRPr="008B489D">
              <w:rPr>
                <w:rFonts w:cs="Arial"/>
                <w:snapToGrid w:val="0"/>
                <w:sz w:val="16"/>
                <w:szCs w:val="16"/>
              </w:rPr>
              <w:t>52,5</w:t>
            </w:r>
          </w:p>
        </w:tc>
        <w:tc>
          <w:tcPr>
            <w:tcW w:w="932" w:type="dxa"/>
            <w:shd w:val="solid" w:color="FFFFFF" w:fill="FFFFFF"/>
            <w:vAlign w:val="center"/>
          </w:tcPr>
          <w:p w14:paraId="29F66FE6" w14:textId="1378A0F0" w:rsidR="00A42A67" w:rsidRPr="008B489D" w:rsidRDefault="00A42A67" w:rsidP="00A42A67">
            <w:pPr>
              <w:contextualSpacing/>
              <w:jc w:val="right"/>
              <w:rPr>
                <w:rFonts w:cs="Arial"/>
                <w:snapToGrid w:val="0"/>
                <w:sz w:val="16"/>
                <w:szCs w:val="16"/>
              </w:rPr>
            </w:pPr>
            <w:r w:rsidRPr="008B489D">
              <w:rPr>
                <w:rFonts w:cs="Arial"/>
                <w:snapToGrid w:val="0"/>
                <w:sz w:val="16"/>
                <w:szCs w:val="16"/>
              </w:rPr>
              <w:t>52,9</w:t>
            </w:r>
          </w:p>
        </w:tc>
      </w:tr>
      <w:tr w:rsidR="00A42A67" w:rsidRPr="008B489D" w14:paraId="039137C2" w14:textId="7CCE58C3" w:rsidTr="007D1308">
        <w:trPr>
          <w:trHeight w:val="20"/>
          <w:jc w:val="center"/>
        </w:trPr>
        <w:tc>
          <w:tcPr>
            <w:tcW w:w="2157" w:type="dxa"/>
            <w:vMerge w:val="restart"/>
            <w:shd w:val="solid" w:color="FFFFFF" w:fill="FFFFFF"/>
            <w:vAlign w:val="center"/>
          </w:tcPr>
          <w:p w14:paraId="3D93445E" w14:textId="77777777" w:rsidR="00A42A67" w:rsidRPr="008B489D" w:rsidRDefault="00A42A67" w:rsidP="00A42A67">
            <w:pPr>
              <w:ind w:left="112"/>
              <w:contextualSpacing/>
              <w:rPr>
                <w:rFonts w:cs="Arial"/>
                <w:snapToGrid w:val="0"/>
                <w:sz w:val="16"/>
                <w:szCs w:val="16"/>
              </w:rPr>
            </w:pPr>
            <w:r w:rsidRPr="008B489D">
              <w:rPr>
                <w:rFonts w:cs="Arial"/>
                <w:snapToGrid w:val="0"/>
                <w:sz w:val="16"/>
                <w:szCs w:val="16"/>
              </w:rPr>
              <w:t>Specifická potřeba z vody</w:t>
            </w:r>
          </w:p>
          <w:p w14:paraId="55B2B00D" w14:textId="77777777" w:rsidR="00A42A67" w:rsidRPr="008B489D" w:rsidRDefault="00A42A67" w:rsidP="00A42A67">
            <w:pPr>
              <w:ind w:left="112"/>
              <w:contextualSpacing/>
              <w:rPr>
                <w:rFonts w:cs="Arial"/>
                <w:snapToGrid w:val="0"/>
                <w:color w:val="FF0000"/>
                <w:sz w:val="16"/>
                <w:szCs w:val="16"/>
              </w:rPr>
            </w:pPr>
            <w:r w:rsidRPr="008B489D">
              <w:rPr>
                <w:rFonts w:cs="Arial"/>
                <w:snapToGrid w:val="0"/>
                <w:sz w:val="16"/>
                <w:szCs w:val="16"/>
              </w:rPr>
              <w:t>vyrobené</w:t>
            </w:r>
          </w:p>
        </w:tc>
        <w:tc>
          <w:tcPr>
            <w:tcW w:w="992" w:type="dxa"/>
            <w:shd w:val="solid" w:color="FFFFFF" w:fill="FFFFFF"/>
            <w:vAlign w:val="center"/>
          </w:tcPr>
          <w:p w14:paraId="4318BDC3" w14:textId="77777777" w:rsidR="00A42A67" w:rsidRPr="008B489D" w:rsidRDefault="00A42A67" w:rsidP="00A42A67">
            <w:pPr>
              <w:contextualSpacing/>
              <w:jc w:val="center"/>
              <w:rPr>
                <w:rFonts w:cs="Arial"/>
                <w:snapToGrid w:val="0"/>
                <w:color w:val="FF0000"/>
                <w:sz w:val="16"/>
                <w:szCs w:val="16"/>
              </w:rPr>
            </w:pPr>
            <w:r w:rsidRPr="008B489D">
              <w:rPr>
                <w:rFonts w:cs="Arial"/>
                <w:snapToGrid w:val="0"/>
                <w:sz w:val="16"/>
                <w:szCs w:val="16"/>
              </w:rPr>
              <w:t>l/os. den</w:t>
            </w:r>
          </w:p>
        </w:tc>
        <w:tc>
          <w:tcPr>
            <w:tcW w:w="931" w:type="dxa"/>
            <w:shd w:val="solid" w:color="FFFFFF" w:fill="FFFFFF"/>
            <w:vAlign w:val="center"/>
          </w:tcPr>
          <w:p w14:paraId="2734AFEB" w14:textId="77777777" w:rsidR="00A42A67" w:rsidRPr="008B489D" w:rsidRDefault="00A42A67" w:rsidP="00A42A67">
            <w:pPr>
              <w:ind w:right="111"/>
              <w:contextualSpacing/>
              <w:jc w:val="right"/>
              <w:rPr>
                <w:rFonts w:cs="Arial"/>
                <w:snapToGrid w:val="0"/>
                <w:color w:val="FF0000"/>
                <w:sz w:val="16"/>
                <w:szCs w:val="16"/>
              </w:rPr>
            </w:pPr>
            <w:r w:rsidRPr="008B489D">
              <w:rPr>
                <w:rFonts w:cs="Arial"/>
                <w:snapToGrid w:val="0"/>
                <w:sz w:val="16"/>
                <w:szCs w:val="16"/>
              </w:rPr>
              <w:t>401,0</w:t>
            </w:r>
          </w:p>
        </w:tc>
        <w:tc>
          <w:tcPr>
            <w:tcW w:w="931" w:type="dxa"/>
            <w:shd w:val="solid" w:color="FFFFFF" w:fill="FFFFFF"/>
            <w:vAlign w:val="center"/>
          </w:tcPr>
          <w:p w14:paraId="2B4D8830"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165,9</w:t>
            </w:r>
          </w:p>
        </w:tc>
        <w:tc>
          <w:tcPr>
            <w:tcW w:w="932" w:type="dxa"/>
            <w:shd w:val="solid" w:color="FFFFFF" w:fill="FFFFFF"/>
            <w:vAlign w:val="center"/>
          </w:tcPr>
          <w:p w14:paraId="586E6DA8" w14:textId="77777777" w:rsidR="00A42A67" w:rsidRPr="008B489D" w:rsidRDefault="00A42A67" w:rsidP="00A42A67">
            <w:pPr>
              <w:contextualSpacing/>
              <w:jc w:val="right"/>
              <w:rPr>
                <w:rFonts w:cs="Arial"/>
                <w:snapToGrid w:val="0"/>
                <w:color w:val="FF0000"/>
                <w:sz w:val="16"/>
                <w:szCs w:val="16"/>
              </w:rPr>
            </w:pPr>
            <w:r w:rsidRPr="008B489D">
              <w:rPr>
                <w:sz w:val="16"/>
                <w:szCs w:val="16"/>
              </w:rPr>
              <w:t>163,5</w:t>
            </w:r>
          </w:p>
        </w:tc>
        <w:tc>
          <w:tcPr>
            <w:tcW w:w="931" w:type="dxa"/>
            <w:shd w:val="solid" w:color="FFFFFF" w:fill="FFFFFF"/>
            <w:vAlign w:val="center"/>
          </w:tcPr>
          <w:p w14:paraId="1F71A62B"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159,5</w:t>
            </w:r>
          </w:p>
        </w:tc>
        <w:tc>
          <w:tcPr>
            <w:tcW w:w="932" w:type="dxa"/>
            <w:shd w:val="solid" w:color="FFFFFF" w:fill="FFFFFF"/>
            <w:vAlign w:val="center"/>
          </w:tcPr>
          <w:p w14:paraId="660074D1" w14:textId="77777777" w:rsidR="00A42A67" w:rsidRPr="008B489D" w:rsidRDefault="00A42A67" w:rsidP="00A42A67">
            <w:pPr>
              <w:contextualSpacing/>
              <w:jc w:val="right"/>
              <w:rPr>
                <w:color w:val="FF0000"/>
                <w:sz w:val="16"/>
                <w:szCs w:val="16"/>
              </w:rPr>
            </w:pPr>
            <w:r w:rsidRPr="008B489D">
              <w:rPr>
                <w:rFonts w:cs="Arial"/>
                <w:snapToGrid w:val="0"/>
                <w:sz w:val="16"/>
                <w:szCs w:val="16"/>
              </w:rPr>
              <w:t>157,5</w:t>
            </w:r>
          </w:p>
        </w:tc>
        <w:tc>
          <w:tcPr>
            <w:tcW w:w="932" w:type="dxa"/>
            <w:shd w:val="solid" w:color="FFFFFF" w:fill="FFFFFF"/>
            <w:vAlign w:val="center"/>
          </w:tcPr>
          <w:p w14:paraId="3A8E74C8"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156,7</w:t>
            </w:r>
          </w:p>
        </w:tc>
        <w:tc>
          <w:tcPr>
            <w:tcW w:w="932" w:type="dxa"/>
            <w:shd w:val="solid" w:color="FFFFFF" w:fill="FFFFFF"/>
            <w:vAlign w:val="center"/>
          </w:tcPr>
          <w:p w14:paraId="0622E3FE" w14:textId="77777777" w:rsidR="00A42A67" w:rsidRPr="008B489D" w:rsidRDefault="00A42A67" w:rsidP="00A42A67">
            <w:pPr>
              <w:contextualSpacing/>
              <w:jc w:val="right"/>
              <w:rPr>
                <w:rFonts w:cs="Arial"/>
                <w:snapToGrid w:val="0"/>
                <w:sz w:val="16"/>
                <w:szCs w:val="16"/>
              </w:rPr>
            </w:pPr>
            <w:r w:rsidRPr="008B489D">
              <w:rPr>
                <w:rFonts w:cs="Arial"/>
                <w:snapToGrid w:val="0"/>
                <w:sz w:val="16"/>
                <w:szCs w:val="16"/>
              </w:rPr>
              <w:t>155,39</w:t>
            </w:r>
          </w:p>
        </w:tc>
        <w:tc>
          <w:tcPr>
            <w:tcW w:w="932" w:type="dxa"/>
            <w:shd w:val="solid" w:color="FFFFFF" w:fill="FFFFFF"/>
            <w:vAlign w:val="center"/>
          </w:tcPr>
          <w:p w14:paraId="6CE00772" w14:textId="3C857249" w:rsidR="00A42A67" w:rsidRPr="008B489D" w:rsidRDefault="00A42A67" w:rsidP="00A42A67">
            <w:pPr>
              <w:contextualSpacing/>
              <w:jc w:val="right"/>
              <w:rPr>
                <w:rFonts w:cs="Arial"/>
                <w:snapToGrid w:val="0"/>
                <w:sz w:val="16"/>
                <w:szCs w:val="16"/>
              </w:rPr>
            </w:pPr>
            <w:r w:rsidRPr="008B489D">
              <w:rPr>
                <w:rFonts w:cs="Arial"/>
                <w:snapToGrid w:val="0"/>
                <w:sz w:val="16"/>
                <w:szCs w:val="16"/>
              </w:rPr>
              <w:t>156,6</w:t>
            </w:r>
          </w:p>
        </w:tc>
        <w:tc>
          <w:tcPr>
            <w:tcW w:w="932" w:type="dxa"/>
            <w:shd w:val="solid" w:color="FFFFFF" w:fill="FFFFFF"/>
            <w:vAlign w:val="center"/>
          </w:tcPr>
          <w:p w14:paraId="13302415" w14:textId="15C2DA40" w:rsidR="00A42A67" w:rsidRPr="008B489D" w:rsidRDefault="00A42A67" w:rsidP="00A42A67">
            <w:pPr>
              <w:contextualSpacing/>
              <w:jc w:val="right"/>
              <w:rPr>
                <w:rFonts w:cs="Arial"/>
                <w:snapToGrid w:val="0"/>
                <w:sz w:val="16"/>
                <w:szCs w:val="16"/>
              </w:rPr>
            </w:pPr>
            <w:r w:rsidRPr="008B489D">
              <w:rPr>
                <w:rFonts w:cs="Arial"/>
                <w:snapToGrid w:val="0"/>
                <w:sz w:val="16"/>
                <w:szCs w:val="16"/>
              </w:rPr>
              <w:t>155,4</w:t>
            </w:r>
          </w:p>
        </w:tc>
      </w:tr>
      <w:tr w:rsidR="00A42A67" w:rsidRPr="008B489D" w14:paraId="7B026843" w14:textId="6E7A6984" w:rsidTr="007D1308">
        <w:trPr>
          <w:trHeight w:val="20"/>
          <w:jc w:val="center"/>
        </w:trPr>
        <w:tc>
          <w:tcPr>
            <w:tcW w:w="2157" w:type="dxa"/>
            <w:vMerge/>
            <w:vAlign w:val="center"/>
          </w:tcPr>
          <w:p w14:paraId="7514AE98" w14:textId="77777777" w:rsidR="00A42A67" w:rsidRPr="008B489D" w:rsidRDefault="00A42A67" w:rsidP="00A42A67">
            <w:pPr>
              <w:ind w:left="112"/>
              <w:contextualSpacing/>
              <w:rPr>
                <w:rFonts w:cs="Arial"/>
                <w:snapToGrid w:val="0"/>
                <w:color w:val="FF0000"/>
                <w:sz w:val="16"/>
                <w:szCs w:val="16"/>
              </w:rPr>
            </w:pPr>
          </w:p>
        </w:tc>
        <w:tc>
          <w:tcPr>
            <w:tcW w:w="992" w:type="dxa"/>
            <w:shd w:val="solid" w:color="FFFFFF" w:fill="FFFFFF"/>
            <w:vAlign w:val="center"/>
          </w:tcPr>
          <w:p w14:paraId="357AE200" w14:textId="77777777" w:rsidR="00A42A67" w:rsidRPr="008B489D" w:rsidRDefault="00A42A67" w:rsidP="00A42A67">
            <w:pPr>
              <w:contextualSpacing/>
              <w:jc w:val="center"/>
              <w:rPr>
                <w:rFonts w:cs="Arial"/>
                <w:snapToGrid w:val="0"/>
                <w:color w:val="FF0000"/>
                <w:sz w:val="16"/>
                <w:szCs w:val="16"/>
              </w:rPr>
            </w:pPr>
            <w:r w:rsidRPr="008B489D">
              <w:rPr>
                <w:rFonts w:cs="Arial"/>
                <w:snapToGrid w:val="0"/>
                <w:sz w:val="16"/>
                <w:szCs w:val="16"/>
              </w:rPr>
              <w:t>% k 1989</w:t>
            </w:r>
          </w:p>
        </w:tc>
        <w:tc>
          <w:tcPr>
            <w:tcW w:w="931" w:type="dxa"/>
            <w:shd w:val="solid" w:color="FFFFFF" w:fill="FFFFFF"/>
            <w:vAlign w:val="center"/>
          </w:tcPr>
          <w:p w14:paraId="463CD950" w14:textId="77777777" w:rsidR="00A42A67" w:rsidRPr="008B489D" w:rsidRDefault="00A42A67" w:rsidP="00A42A67">
            <w:pPr>
              <w:ind w:right="111"/>
              <w:contextualSpacing/>
              <w:jc w:val="right"/>
              <w:rPr>
                <w:rFonts w:cs="Arial"/>
                <w:snapToGrid w:val="0"/>
                <w:color w:val="FF0000"/>
                <w:sz w:val="16"/>
                <w:szCs w:val="16"/>
              </w:rPr>
            </w:pPr>
            <w:r w:rsidRPr="008B489D">
              <w:rPr>
                <w:rFonts w:cs="Arial"/>
                <w:snapToGrid w:val="0"/>
                <w:sz w:val="16"/>
                <w:szCs w:val="16"/>
              </w:rPr>
              <w:t>100,0</w:t>
            </w:r>
          </w:p>
        </w:tc>
        <w:tc>
          <w:tcPr>
            <w:tcW w:w="931" w:type="dxa"/>
            <w:shd w:val="solid" w:color="FFFFFF" w:fill="FFFFFF"/>
            <w:vAlign w:val="center"/>
          </w:tcPr>
          <w:p w14:paraId="2769BE8F"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41,4</w:t>
            </w:r>
          </w:p>
        </w:tc>
        <w:tc>
          <w:tcPr>
            <w:tcW w:w="932" w:type="dxa"/>
            <w:shd w:val="solid" w:color="FFFFFF" w:fill="FFFFFF"/>
            <w:vAlign w:val="center"/>
          </w:tcPr>
          <w:p w14:paraId="1EC04E64" w14:textId="77777777" w:rsidR="00A42A67" w:rsidRPr="008B489D" w:rsidRDefault="00A42A67" w:rsidP="00A42A67">
            <w:pPr>
              <w:contextualSpacing/>
              <w:jc w:val="right"/>
              <w:rPr>
                <w:rFonts w:cs="Arial"/>
                <w:snapToGrid w:val="0"/>
                <w:color w:val="FF0000"/>
                <w:sz w:val="16"/>
                <w:szCs w:val="16"/>
              </w:rPr>
            </w:pPr>
            <w:r w:rsidRPr="008B489D">
              <w:rPr>
                <w:sz w:val="16"/>
                <w:szCs w:val="16"/>
              </w:rPr>
              <w:t>40,8</w:t>
            </w:r>
          </w:p>
        </w:tc>
        <w:tc>
          <w:tcPr>
            <w:tcW w:w="931" w:type="dxa"/>
            <w:shd w:val="solid" w:color="FFFFFF" w:fill="FFFFFF"/>
            <w:vAlign w:val="center"/>
          </w:tcPr>
          <w:p w14:paraId="528C0F05"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39,8</w:t>
            </w:r>
          </w:p>
        </w:tc>
        <w:tc>
          <w:tcPr>
            <w:tcW w:w="932" w:type="dxa"/>
            <w:shd w:val="solid" w:color="FFFFFF" w:fill="FFFFFF"/>
            <w:vAlign w:val="center"/>
          </w:tcPr>
          <w:p w14:paraId="62291199" w14:textId="77777777" w:rsidR="00A42A67" w:rsidRPr="008B489D" w:rsidRDefault="00A42A67" w:rsidP="00A42A67">
            <w:pPr>
              <w:contextualSpacing/>
              <w:jc w:val="right"/>
              <w:rPr>
                <w:color w:val="FF0000"/>
                <w:sz w:val="16"/>
                <w:szCs w:val="16"/>
              </w:rPr>
            </w:pPr>
            <w:r w:rsidRPr="008B489D">
              <w:rPr>
                <w:rFonts w:cs="Arial"/>
                <w:snapToGrid w:val="0"/>
                <w:sz w:val="16"/>
                <w:szCs w:val="16"/>
              </w:rPr>
              <w:t>39,3</w:t>
            </w:r>
          </w:p>
        </w:tc>
        <w:tc>
          <w:tcPr>
            <w:tcW w:w="932" w:type="dxa"/>
            <w:shd w:val="solid" w:color="FFFFFF" w:fill="FFFFFF"/>
            <w:vAlign w:val="center"/>
          </w:tcPr>
          <w:p w14:paraId="5C95122B"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39,1</w:t>
            </w:r>
          </w:p>
        </w:tc>
        <w:tc>
          <w:tcPr>
            <w:tcW w:w="932" w:type="dxa"/>
            <w:shd w:val="solid" w:color="FFFFFF" w:fill="FFFFFF"/>
            <w:vAlign w:val="center"/>
          </w:tcPr>
          <w:p w14:paraId="5DE6D190" w14:textId="77777777" w:rsidR="00A42A67" w:rsidRPr="008B489D" w:rsidRDefault="00A42A67" w:rsidP="00A42A67">
            <w:pPr>
              <w:contextualSpacing/>
              <w:jc w:val="right"/>
              <w:rPr>
                <w:rFonts w:cs="Arial"/>
                <w:snapToGrid w:val="0"/>
                <w:sz w:val="16"/>
                <w:szCs w:val="16"/>
              </w:rPr>
            </w:pPr>
            <w:r w:rsidRPr="008B489D">
              <w:rPr>
                <w:rFonts w:cs="Arial"/>
                <w:snapToGrid w:val="0"/>
                <w:sz w:val="16"/>
                <w:szCs w:val="16"/>
              </w:rPr>
              <w:t>38,75</w:t>
            </w:r>
          </w:p>
        </w:tc>
        <w:tc>
          <w:tcPr>
            <w:tcW w:w="932" w:type="dxa"/>
            <w:shd w:val="solid" w:color="FFFFFF" w:fill="FFFFFF"/>
            <w:vAlign w:val="center"/>
          </w:tcPr>
          <w:p w14:paraId="713AD3E2" w14:textId="1415AECD" w:rsidR="00A42A67" w:rsidRPr="008B489D" w:rsidRDefault="00A42A67" w:rsidP="00A42A67">
            <w:pPr>
              <w:contextualSpacing/>
              <w:jc w:val="right"/>
              <w:rPr>
                <w:rFonts w:cs="Arial"/>
                <w:snapToGrid w:val="0"/>
                <w:sz w:val="16"/>
                <w:szCs w:val="16"/>
              </w:rPr>
            </w:pPr>
            <w:r w:rsidRPr="008B489D">
              <w:rPr>
                <w:rFonts w:cs="Arial"/>
                <w:snapToGrid w:val="0"/>
                <w:sz w:val="16"/>
                <w:szCs w:val="16"/>
              </w:rPr>
              <w:t>39,1</w:t>
            </w:r>
          </w:p>
        </w:tc>
        <w:tc>
          <w:tcPr>
            <w:tcW w:w="932" w:type="dxa"/>
            <w:shd w:val="solid" w:color="FFFFFF" w:fill="FFFFFF"/>
            <w:vAlign w:val="center"/>
          </w:tcPr>
          <w:p w14:paraId="692EDB3F" w14:textId="6F3B9287" w:rsidR="00A42A67" w:rsidRPr="008B489D" w:rsidRDefault="00A42A67" w:rsidP="00A42A67">
            <w:pPr>
              <w:contextualSpacing/>
              <w:jc w:val="right"/>
              <w:rPr>
                <w:rFonts w:cs="Arial"/>
                <w:snapToGrid w:val="0"/>
                <w:sz w:val="16"/>
                <w:szCs w:val="16"/>
              </w:rPr>
            </w:pPr>
            <w:r w:rsidRPr="008B489D">
              <w:rPr>
                <w:rFonts w:cs="Arial"/>
                <w:snapToGrid w:val="0"/>
                <w:sz w:val="16"/>
                <w:szCs w:val="16"/>
              </w:rPr>
              <w:t>38,8</w:t>
            </w:r>
          </w:p>
        </w:tc>
      </w:tr>
      <w:tr w:rsidR="00A42A67" w:rsidRPr="008B489D" w14:paraId="585397FC" w14:textId="51183CEB" w:rsidTr="007D1308">
        <w:trPr>
          <w:trHeight w:val="20"/>
          <w:jc w:val="center"/>
        </w:trPr>
        <w:tc>
          <w:tcPr>
            <w:tcW w:w="2157" w:type="dxa"/>
            <w:vMerge w:val="restart"/>
            <w:shd w:val="solid" w:color="FFFFFF" w:fill="FFFFFF"/>
            <w:vAlign w:val="center"/>
          </w:tcPr>
          <w:p w14:paraId="2666C236" w14:textId="77777777" w:rsidR="00A42A67" w:rsidRPr="008B489D" w:rsidRDefault="00A42A67" w:rsidP="00A42A67">
            <w:pPr>
              <w:ind w:left="112"/>
              <w:contextualSpacing/>
              <w:rPr>
                <w:rFonts w:cs="Arial"/>
                <w:snapToGrid w:val="0"/>
                <w:sz w:val="16"/>
                <w:szCs w:val="16"/>
              </w:rPr>
            </w:pPr>
            <w:r w:rsidRPr="008B489D">
              <w:rPr>
                <w:rFonts w:cs="Arial"/>
                <w:snapToGrid w:val="0"/>
                <w:sz w:val="16"/>
                <w:szCs w:val="16"/>
              </w:rPr>
              <w:t>Specifické množství vody</w:t>
            </w:r>
          </w:p>
          <w:p w14:paraId="4F354C6F" w14:textId="77777777" w:rsidR="00A42A67" w:rsidRPr="008B489D" w:rsidRDefault="00A42A67" w:rsidP="00A42A67">
            <w:pPr>
              <w:ind w:left="112"/>
              <w:contextualSpacing/>
              <w:rPr>
                <w:rFonts w:cs="Arial"/>
                <w:snapToGrid w:val="0"/>
                <w:color w:val="FF0000"/>
                <w:sz w:val="16"/>
                <w:szCs w:val="16"/>
              </w:rPr>
            </w:pPr>
            <w:r w:rsidRPr="008B489D">
              <w:rPr>
                <w:rFonts w:cs="Arial"/>
                <w:snapToGrid w:val="0"/>
                <w:sz w:val="16"/>
                <w:szCs w:val="16"/>
              </w:rPr>
              <w:t>fakturované celkem</w:t>
            </w:r>
          </w:p>
        </w:tc>
        <w:tc>
          <w:tcPr>
            <w:tcW w:w="992" w:type="dxa"/>
            <w:shd w:val="solid" w:color="FFFFFF" w:fill="FFFFFF"/>
            <w:vAlign w:val="center"/>
          </w:tcPr>
          <w:p w14:paraId="4AC22EB7" w14:textId="77777777" w:rsidR="00A42A67" w:rsidRPr="008B489D" w:rsidRDefault="00A42A67" w:rsidP="00A42A67">
            <w:pPr>
              <w:contextualSpacing/>
              <w:jc w:val="center"/>
              <w:rPr>
                <w:rFonts w:cs="Arial"/>
                <w:snapToGrid w:val="0"/>
                <w:color w:val="FF0000"/>
                <w:sz w:val="16"/>
                <w:szCs w:val="16"/>
              </w:rPr>
            </w:pPr>
            <w:r w:rsidRPr="008B489D">
              <w:rPr>
                <w:rFonts w:cs="Arial"/>
                <w:snapToGrid w:val="0"/>
                <w:sz w:val="16"/>
                <w:szCs w:val="16"/>
              </w:rPr>
              <w:t>l/os. den</w:t>
            </w:r>
          </w:p>
        </w:tc>
        <w:tc>
          <w:tcPr>
            <w:tcW w:w="931" w:type="dxa"/>
            <w:shd w:val="solid" w:color="FFFFFF" w:fill="FFFFFF"/>
            <w:vAlign w:val="center"/>
          </w:tcPr>
          <w:p w14:paraId="16870E01" w14:textId="77777777" w:rsidR="00A42A67" w:rsidRPr="008B489D" w:rsidRDefault="00A42A67" w:rsidP="00A42A67">
            <w:pPr>
              <w:ind w:right="111"/>
              <w:contextualSpacing/>
              <w:jc w:val="right"/>
              <w:rPr>
                <w:rFonts w:cs="Arial"/>
                <w:snapToGrid w:val="0"/>
                <w:color w:val="FF0000"/>
                <w:sz w:val="16"/>
                <w:szCs w:val="16"/>
              </w:rPr>
            </w:pPr>
            <w:r w:rsidRPr="008B489D">
              <w:rPr>
                <w:rFonts w:cs="Arial"/>
                <w:snapToGrid w:val="0"/>
                <w:sz w:val="16"/>
                <w:szCs w:val="16"/>
              </w:rPr>
              <w:t>298,0</w:t>
            </w:r>
          </w:p>
        </w:tc>
        <w:tc>
          <w:tcPr>
            <w:tcW w:w="931" w:type="dxa"/>
            <w:shd w:val="solid" w:color="FFFFFF" w:fill="FFFFFF"/>
            <w:vAlign w:val="center"/>
          </w:tcPr>
          <w:p w14:paraId="563108F0"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133,5</w:t>
            </w:r>
          </w:p>
        </w:tc>
        <w:tc>
          <w:tcPr>
            <w:tcW w:w="932" w:type="dxa"/>
            <w:shd w:val="solid" w:color="FFFFFF" w:fill="FFFFFF"/>
            <w:vAlign w:val="center"/>
          </w:tcPr>
          <w:p w14:paraId="3230D174" w14:textId="77777777" w:rsidR="00A42A67" w:rsidRPr="008B489D" w:rsidRDefault="00A42A67" w:rsidP="00A42A67">
            <w:pPr>
              <w:contextualSpacing/>
              <w:jc w:val="right"/>
              <w:rPr>
                <w:rFonts w:cs="Arial"/>
                <w:snapToGrid w:val="0"/>
                <w:color w:val="FF0000"/>
                <w:sz w:val="16"/>
                <w:szCs w:val="16"/>
              </w:rPr>
            </w:pPr>
            <w:r w:rsidRPr="008B489D">
              <w:rPr>
                <w:sz w:val="16"/>
                <w:szCs w:val="16"/>
              </w:rPr>
              <w:t>133,8</w:t>
            </w:r>
          </w:p>
        </w:tc>
        <w:tc>
          <w:tcPr>
            <w:tcW w:w="931" w:type="dxa"/>
            <w:shd w:val="solid" w:color="FFFFFF" w:fill="FFFFFF"/>
            <w:vAlign w:val="center"/>
          </w:tcPr>
          <w:p w14:paraId="15E0290F"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129,2</w:t>
            </w:r>
          </w:p>
        </w:tc>
        <w:tc>
          <w:tcPr>
            <w:tcW w:w="932" w:type="dxa"/>
            <w:shd w:val="solid" w:color="FFFFFF" w:fill="FFFFFF"/>
            <w:vAlign w:val="center"/>
          </w:tcPr>
          <w:p w14:paraId="5393D6BA" w14:textId="77777777" w:rsidR="00A42A67" w:rsidRPr="008B489D" w:rsidRDefault="00A42A67" w:rsidP="00A42A67">
            <w:pPr>
              <w:contextualSpacing/>
              <w:jc w:val="right"/>
              <w:rPr>
                <w:color w:val="FF0000"/>
                <w:sz w:val="16"/>
                <w:szCs w:val="16"/>
              </w:rPr>
            </w:pPr>
            <w:r w:rsidRPr="008B489D">
              <w:rPr>
                <w:rFonts w:cs="Arial"/>
                <w:snapToGrid w:val="0"/>
                <w:sz w:val="16"/>
                <w:szCs w:val="16"/>
              </w:rPr>
              <w:t>130,2</w:t>
            </w:r>
          </w:p>
        </w:tc>
        <w:tc>
          <w:tcPr>
            <w:tcW w:w="932" w:type="dxa"/>
            <w:shd w:val="solid" w:color="FFFFFF" w:fill="FFFFFF"/>
            <w:vAlign w:val="center"/>
          </w:tcPr>
          <w:p w14:paraId="69A172D6"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130,1</w:t>
            </w:r>
          </w:p>
        </w:tc>
        <w:tc>
          <w:tcPr>
            <w:tcW w:w="932" w:type="dxa"/>
            <w:shd w:val="solid" w:color="FFFFFF" w:fill="FFFFFF"/>
            <w:vAlign w:val="center"/>
          </w:tcPr>
          <w:p w14:paraId="71BF70B4" w14:textId="77777777" w:rsidR="00A42A67" w:rsidRPr="008B489D" w:rsidRDefault="00A42A67" w:rsidP="00A42A67">
            <w:pPr>
              <w:contextualSpacing/>
              <w:jc w:val="right"/>
              <w:rPr>
                <w:rFonts w:cs="Arial"/>
                <w:snapToGrid w:val="0"/>
                <w:sz w:val="16"/>
                <w:szCs w:val="16"/>
              </w:rPr>
            </w:pPr>
            <w:r w:rsidRPr="008B489D">
              <w:rPr>
                <w:rFonts w:cs="Arial"/>
                <w:snapToGrid w:val="0"/>
                <w:sz w:val="16"/>
                <w:szCs w:val="16"/>
              </w:rPr>
              <w:t>127,1</w:t>
            </w:r>
          </w:p>
        </w:tc>
        <w:tc>
          <w:tcPr>
            <w:tcW w:w="932" w:type="dxa"/>
            <w:shd w:val="solid" w:color="FFFFFF" w:fill="FFFFFF"/>
            <w:vAlign w:val="center"/>
          </w:tcPr>
          <w:p w14:paraId="5C0CF11A" w14:textId="06EF9AF3" w:rsidR="00A42A67" w:rsidRPr="008B489D" w:rsidRDefault="00A42A67" w:rsidP="00A42A67">
            <w:pPr>
              <w:contextualSpacing/>
              <w:jc w:val="right"/>
              <w:rPr>
                <w:rFonts w:cs="Arial"/>
                <w:snapToGrid w:val="0"/>
                <w:sz w:val="16"/>
                <w:szCs w:val="16"/>
              </w:rPr>
            </w:pPr>
            <w:r w:rsidRPr="008B489D">
              <w:rPr>
                <w:rFonts w:cs="Arial"/>
                <w:snapToGrid w:val="0"/>
                <w:sz w:val="16"/>
                <w:szCs w:val="16"/>
              </w:rPr>
              <w:t>128,9</w:t>
            </w:r>
          </w:p>
        </w:tc>
        <w:tc>
          <w:tcPr>
            <w:tcW w:w="932" w:type="dxa"/>
            <w:shd w:val="solid" w:color="FFFFFF" w:fill="FFFFFF"/>
            <w:vAlign w:val="center"/>
          </w:tcPr>
          <w:p w14:paraId="29E5F32A" w14:textId="5B71379B" w:rsidR="00A42A67" w:rsidRPr="008B489D" w:rsidRDefault="00A42A67" w:rsidP="00A42A67">
            <w:pPr>
              <w:contextualSpacing/>
              <w:jc w:val="right"/>
              <w:rPr>
                <w:rFonts w:cs="Arial"/>
                <w:snapToGrid w:val="0"/>
                <w:sz w:val="16"/>
                <w:szCs w:val="16"/>
              </w:rPr>
            </w:pPr>
            <w:r w:rsidRPr="002557DB">
              <w:rPr>
                <w:rFonts w:cs="Arial"/>
                <w:snapToGrid w:val="0"/>
                <w:sz w:val="16"/>
                <w:szCs w:val="16"/>
              </w:rPr>
              <w:t>129,5</w:t>
            </w:r>
          </w:p>
        </w:tc>
      </w:tr>
      <w:tr w:rsidR="00A42A67" w:rsidRPr="008B489D" w14:paraId="65A50E24" w14:textId="7F2BF027" w:rsidTr="007D1308">
        <w:trPr>
          <w:trHeight w:val="20"/>
          <w:jc w:val="center"/>
        </w:trPr>
        <w:tc>
          <w:tcPr>
            <w:tcW w:w="2157" w:type="dxa"/>
            <w:vMerge/>
            <w:vAlign w:val="center"/>
          </w:tcPr>
          <w:p w14:paraId="19FA7C49" w14:textId="77777777" w:rsidR="00A42A67" w:rsidRPr="008B489D" w:rsidRDefault="00A42A67" w:rsidP="00A42A67">
            <w:pPr>
              <w:ind w:left="112"/>
              <w:contextualSpacing/>
              <w:rPr>
                <w:rFonts w:cs="Arial"/>
                <w:snapToGrid w:val="0"/>
                <w:color w:val="FF0000"/>
                <w:sz w:val="16"/>
                <w:szCs w:val="16"/>
              </w:rPr>
            </w:pPr>
          </w:p>
        </w:tc>
        <w:tc>
          <w:tcPr>
            <w:tcW w:w="992" w:type="dxa"/>
            <w:shd w:val="solid" w:color="FFFFFF" w:fill="FFFFFF"/>
            <w:vAlign w:val="center"/>
          </w:tcPr>
          <w:p w14:paraId="397EB8EA" w14:textId="77777777" w:rsidR="00A42A67" w:rsidRPr="008B489D" w:rsidRDefault="00A42A67" w:rsidP="00A42A67">
            <w:pPr>
              <w:contextualSpacing/>
              <w:jc w:val="center"/>
              <w:rPr>
                <w:rFonts w:cs="Arial"/>
                <w:snapToGrid w:val="0"/>
                <w:color w:val="FF0000"/>
                <w:sz w:val="16"/>
                <w:szCs w:val="16"/>
              </w:rPr>
            </w:pPr>
            <w:r w:rsidRPr="008B489D">
              <w:rPr>
                <w:rFonts w:cs="Arial"/>
                <w:snapToGrid w:val="0"/>
                <w:sz w:val="16"/>
                <w:szCs w:val="16"/>
              </w:rPr>
              <w:t>% k 1989</w:t>
            </w:r>
          </w:p>
        </w:tc>
        <w:tc>
          <w:tcPr>
            <w:tcW w:w="931" w:type="dxa"/>
            <w:shd w:val="solid" w:color="FFFFFF" w:fill="FFFFFF"/>
            <w:vAlign w:val="center"/>
          </w:tcPr>
          <w:p w14:paraId="4D88ABEB" w14:textId="77777777" w:rsidR="00A42A67" w:rsidRPr="008B489D" w:rsidRDefault="00A42A67" w:rsidP="00A42A67">
            <w:pPr>
              <w:ind w:right="111"/>
              <w:contextualSpacing/>
              <w:jc w:val="right"/>
              <w:rPr>
                <w:rFonts w:cs="Arial"/>
                <w:snapToGrid w:val="0"/>
                <w:color w:val="FF0000"/>
                <w:sz w:val="16"/>
                <w:szCs w:val="16"/>
              </w:rPr>
            </w:pPr>
            <w:r w:rsidRPr="008B489D">
              <w:rPr>
                <w:rFonts w:cs="Arial"/>
                <w:snapToGrid w:val="0"/>
                <w:sz w:val="16"/>
                <w:szCs w:val="16"/>
              </w:rPr>
              <w:t>100,0</w:t>
            </w:r>
          </w:p>
        </w:tc>
        <w:tc>
          <w:tcPr>
            <w:tcW w:w="931" w:type="dxa"/>
            <w:shd w:val="solid" w:color="FFFFFF" w:fill="FFFFFF"/>
            <w:vAlign w:val="center"/>
          </w:tcPr>
          <w:p w14:paraId="0F383815"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44,7</w:t>
            </w:r>
          </w:p>
        </w:tc>
        <w:tc>
          <w:tcPr>
            <w:tcW w:w="932" w:type="dxa"/>
            <w:shd w:val="solid" w:color="FFFFFF" w:fill="FFFFFF"/>
            <w:vAlign w:val="center"/>
          </w:tcPr>
          <w:p w14:paraId="7ACC2BB5" w14:textId="77777777" w:rsidR="00A42A67" w:rsidRPr="008B489D" w:rsidRDefault="00A42A67" w:rsidP="00A42A67">
            <w:pPr>
              <w:contextualSpacing/>
              <w:jc w:val="right"/>
              <w:rPr>
                <w:rFonts w:cs="Arial"/>
                <w:snapToGrid w:val="0"/>
                <w:color w:val="FF0000"/>
                <w:sz w:val="16"/>
                <w:szCs w:val="16"/>
              </w:rPr>
            </w:pPr>
            <w:r w:rsidRPr="008B489D">
              <w:rPr>
                <w:sz w:val="16"/>
                <w:szCs w:val="16"/>
              </w:rPr>
              <w:t>44,9</w:t>
            </w:r>
          </w:p>
        </w:tc>
        <w:tc>
          <w:tcPr>
            <w:tcW w:w="931" w:type="dxa"/>
            <w:shd w:val="solid" w:color="FFFFFF" w:fill="FFFFFF"/>
            <w:vAlign w:val="center"/>
          </w:tcPr>
          <w:p w14:paraId="05B5B3CC"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43,4</w:t>
            </w:r>
          </w:p>
        </w:tc>
        <w:tc>
          <w:tcPr>
            <w:tcW w:w="932" w:type="dxa"/>
            <w:shd w:val="solid" w:color="FFFFFF" w:fill="FFFFFF"/>
            <w:vAlign w:val="center"/>
          </w:tcPr>
          <w:p w14:paraId="26BF4219" w14:textId="77777777" w:rsidR="00A42A67" w:rsidRPr="008B489D" w:rsidRDefault="00A42A67" w:rsidP="00A42A67">
            <w:pPr>
              <w:contextualSpacing/>
              <w:jc w:val="right"/>
              <w:rPr>
                <w:color w:val="FF0000"/>
                <w:sz w:val="16"/>
                <w:szCs w:val="16"/>
              </w:rPr>
            </w:pPr>
            <w:r w:rsidRPr="008B489D">
              <w:rPr>
                <w:rFonts w:cs="Arial"/>
                <w:snapToGrid w:val="0"/>
                <w:sz w:val="16"/>
                <w:szCs w:val="16"/>
              </w:rPr>
              <w:t>43,7</w:t>
            </w:r>
          </w:p>
        </w:tc>
        <w:tc>
          <w:tcPr>
            <w:tcW w:w="932" w:type="dxa"/>
            <w:shd w:val="solid" w:color="FFFFFF" w:fill="FFFFFF"/>
            <w:vAlign w:val="center"/>
          </w:tcPr>
          <w:p w14:paraId="12577A46"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43,7</w:t>
            </w:r>
          </w:p>
        </w:tc>
        <w:tc>
          <w:tcPr>
            <w:tcW w:w="932" w:type="dxa"/>
            <w:shd w:val="solid" w:color="FFFFFF" w:fill="FFFFFF"/>
            <w:vAlign w:val="center"/>
          </w:tcPr>
          <w:p w14:paraId="40FA83F4" w14:textId="77777777" w:rsidR="00A42A67" w:rsidRPr="008B489D" w:rsidRDefault="00A42A67" w:rsidP="00A42A67">
            <w:pPr>
              <w:contextualSpacing/>
              <w:jc w:val="right"/>
              <w:rPr>
                <w:rFonts w:cs="Arial"/>
                <w:snapToGrid w:val="0"/>
                <w:sz w:val="16"/>
                <w:szCs w:val="16"/>
              </w:rPr>
            </w:pPr>
            <w:r w:rsidRPr="008B489D">
              <w:rPr>
                <w:rFonts w:cs="Arial"/>
                <w:snapToGrid w:val="0"/>
                <w:sz w:val="16"/>
                <w:szCs w:val="16"/>
              </w:rPr>
              <w:t>42,65</w:t>
            </w:r>
          </w:p>
        </w:tc>
        <w:tc>
          <w:tcPr>
            <w:tcW w:w="932" w:type="dxa"/>
            <w:shd w:val="solid" w:color="FFFFFF" w:fill="FFFFFF"/>
            <w:vAlign w:val="center"/>
          </w:tcPr>
          <w:p w14:paraId="6947FF25" w14:textId="0382EC64" w:rsidR="00A42A67" w:rsidRPr="008B489D" w:rsidRDefault="00A42A67" w:rsidP="00A42A67">
            <w:pPr>
              <w:contextualSpacing/>
              <w:jc w:val="right"/>
              <w:rPr>
                <w:rFonts w:cs="Arial"/>
                <w:snapToGrid w:val="0"/>
                <w:sz w:val="16"/>
                <w:szCs w:val="16"/>
              </w:rPr>
            </w:pPr>
            <w:r w:rsidRPr="008B489D">
              <w:rPr>
                <w:rFonts w:cs="Arial"/>
                <w:snapToGrid w:val="0"/>
                <w:sz w:val="16"/>
                <w:szCs w:val="16"/>
              </w:rPr>
              <w:t>43,3</w:t>
            </w:r>
          </w:p>
        </w:tc>
        <w:tc>
          <w:tcPr>
            <w:tcW w:w="932" w:type="dxa"/>
            <w:shd w:val="solid" w:color="FFFFFF" w:fill="FFFFFF"/>
            <w:vAlign w:val="center"/>
          </w:tcPr>
          <w:p w14:paraId="53A8FF74" w14:textId="216F2B2C" w:rsidR="00A42A67" w:rsidRPr="008B489D" w:rsidRDefault="00A42A67" w:rsidP="00A42A67">
            <w:pPr>
              <w:contextualSpacing/>
              <w:jc w:val="right"/>
              <w:rPr>
                <w:rFonts w:cs="Arial"/>
                <w:snapToGrid w:val="0"/>
                <w:sz w:val="16"/>
                <w:szCs w:val="16"/>
              </w:rPr>
            </w:pPr>
            <w:r w:rsidRPr="008B489D">
              <w:rPr>
                <w:rFonts w:cs="Arial"/>
                <w:snapToGrid w:val="0"/>
                <w:sz w:val="16"/>
                <w:szCs w:val="16"/>
              </w:rPr>
              <w:t>43,5</w:t>
            </w:r>
          </w:p>
        </w:tc>
      </w:tr>
      <w:tr w:rsidR="00A42A67" w:rsidRPr="008B489D" w14:paraId="772369BE" w14:textId="58D85553" w:rsidTr="007D1308">
        <w:trPr>
          <w:trHeight w:val="20"/>
          <w:jc w:val="center"/>
        </w:trPr>
        <w:tc>
          <w:tcPr>
            <w:tcW w:w="2157" w:type="dxa"/>
            <w:vMerge w:val="restart"/>
            <w:shd w:val="solid" w:color="FFFFFF" w:fill="FFFFFF"/>
            <w:vAlign w:val="center"/>
          </w:tcPr>
          <w:p w14:paraId="081C6781" w14:textId="77777777" w:rsidR="00A42A67" w:rsidRPr="008B489D" w:rsidRDefault="00A42A67" w:rsidP="00A42A67">
            <w:pPr>
              <w:ind w:left="112"/>
              <w:contextualSpacing/>
              <w:rPr>
                <w:rFonts w:cs="Arial"/>
                <w:snapToGrid w:val="0"/>
                <w:sz w:val="16"/>
                <w:szCs w:val="16"/>
              </w:rPr>
            </w:pPr>
            <w:r w:rsidRPr="008B489D">
              <w:rPr>
                <w:rFonts w:cs="Arial"/>
                <w:snapToGrid w:val="0"/>
                <w:sz w:val="16"/>
                <w:szCs w:val="16"/>
              </w:rPr>
              <w:t>Specifické množství vody</w:t>
            </w:r>
          </w:p>
          <w:p w14:paraId="44BB6CF8" w14:textId="77777777" w:rsidR="00A42A67" w:rsidRPr="008B489D" w:rsidRDefault="00A42A67" w:rsidP="00A42A67">
            <w:pPr>
              <w:ind w:left="112"/>
              <w:contextualSpacing/>
              <w:rPr>
                <w:rFonts w:cs="Arial"/>
                <w:snapToGrid w:val="0"/>
                <w:color w:val="FF0000"/>
                <w:sz w:val="16"/>
                <w:szCs w:val="16"/>
              </w:rPr>
            </w:pPr>
            <w:r w:rsidRPr="008B489D">
              <w:rPr>
                <w:rFonts w:cs="Arial"/>
                <w:snapToGrid w:val="0"/>
                <w:sz w:val="16"/>
                <w:szCs w:val="16"/>
              </w:rPr>
              <w:t>fakturované pro domácnost</w:t>
            </w:r>
          </w:p>
        </w:tc>
        <w:tc>
          <w:tcPr>
            <w:tcW w:w="992" w:type="dxa"/>
            <w:shd w:val="solid" w:color="FFFFFF" w:fill="FFFFFF"/>
            <w:vAlign w:val="center"/>
          </w:tcPr>
          <w:p w14:paraId="65504D45" w14:textId="77777777" w:rsidR="00A42A67" w:rsidRPr="008B489D" w:rsidRDefault="00A42A67" w:rsidP="00A42A67">
            <w:pPr>
              <w:contextualSpacing/>
              <w:jc w:val="center"/>
              <w:rPr>
                <w:rFonts w:cs="Arial"/>
                <w:snapToGrid w:val="0"/>
                <w:color w:val="FF0000"/>
                <w:sz w:val="16"/>
                <w:szCs w:val="16"/>
              </w:rPr>
            </w:pPr>
            <w:r w:rsidRPr="008B489D">
              <w:rPr>
                <w:rFonts w:cs="Arial"/>
                <w:snapToGrid w:val="0"/>
                <w:sz w:val="16"/>
                <w:szCs w:val="16"/>
              </w:rPr>
              <w:t>l/os. den</w:t>
            </w:r>
          </w:p>
        </w:tc>
        <w:tc>
          <w:tcPr>
            <w:tcW w:w="931" w:type="dxa"/>
            <w:shd w:val="solid" w:color="FFFFFF" w:fill="FFFFFF"/>
            <w:vAlign w:val="center"/>
          </w:tcPr>
          <w:p w14:paraId="54B12E7A" w14:textId="77777777" w:rsidR="00A42A67" w:rsidRPr="008B489D" w:rsidRDefault="00A42A67" w:rsidP="00A42A67">
            <w:pPr>
              <w:ind w:right="111"/>
              <w:contextualSpacing/>
              <w:jc w:val="right"/>
              <w:rPr>
                <w:rFonts w:cs="Arial"/>
                <w:snapToGrid w:val="0"/>
                <w:color w:val="FF0000"/>
                <w:sz w:val="16"/>
                <w:szCs w:val="16"/>
              </w:rPr>
            </w:pPr>
            <w:r w:rsidRPr="008B489D">
              <w:rPr>
                <w:rFonts w:cs="Arial"/>
                <w:snapToGrid w:val="0"/>
                <w:sz w:val="16"/>
                <w:szCs w:val="16"/>
              </w:rPr>
              <w:t>171,0</w:t>
            </w:r>
          </w:p>
        </w:tc>
        <w:tc>
          <w:tcPr>
            <w:tcW w:w="931" w:type="dxa"/>
            <w:shd w:val="solid" w:color="FFFFFF" w:fill="FFFFFF"/>
            <w:vAlign w:val="center"/>
          </w:tcPr>
          <w:p w14:paraId="2C50D311"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89,2</w:t>
            </w:r>
          </w:p>
        </w:tc>
        <w:tc>
          <w:tcPr>
            <w:tcW w:w="932" w:type="dxa"/>
            <w:shd w:val="solid" w:color="FFFFFF" w:fill="FFFFFF"/>
            <w:vAlign w:val="center"/>
          </w:tcPr>
          <w:p w14:paraId="33BDF75D" w14:textId="77777777" w:rsidR="00A42A67" w:rsidRPr="008B489D" w:rsidRDefault="00A42A67" w:rsidP="00A42A67">
            <w:pPr>
              <w:contextualSpacing/>
              <w:jc w:val="right"/>
              <w:rPr>
                <w:rFonts w:cs="Arial"/>
                <w:snapToGrid w:val="0"/>
                <w:color w:val="FF0000"/>
                <w:sz w:val="16"/>
                <w:szCs w:val="16"/>
              </w:rPr>
            </w:pPr>
            <w:r w:rsidRPr="008B489D">
              <w:rPr>
                <w:sz w:val="16"/>
                <w:szCs w:val="16"/>
              </w:rPr>
              <w:t>90,6</w:t>
            </w:r>
          </w:p>
        </w:tc>
        <w:tc>
          <w:tcPr>
            <w:tcW w:w="931" w:type="dxa"/>
            <w:shd w:val="solid" w:color="FFFFFF" w:fill="FFFFFF"/>
            <w:vAlign w:val="center"/>
          </w:tcPr>
          <w:p w14:paraId="19C76981"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91,1</w:t>
            </w:r>
          </w:p>
        </w:tc>
        <w:tc>
          <w:tcPr>
            <w:tcW w:w="932" w:type="dxa"/>
            <w:shd w:val="solid" w:color="FFFFFF" w:fill="FFFFFF"/>
            <w:vAlign w:val="center"/>
          </w:tcPr>
          <w:p w14:paraId="12272E9E" w14:textId="77777777" w:rsidR="00A42A67" w:rsidRPr="008B489D" w:rsidRDefault="00A42A67" w:rsidP="00A42A67">
            <w:pPr>
              <w:contextualSpacing/>
              <w:jc w:val="right"/>
              <w:rPr>
                <w:color w:val="FF0000"/>
                <w:sz w:val="16"/>
                <w:szCs w:val="16"/>
              </w:rPr>
            </w:pPr>
            <w:r w:rsidRPr="008B489D">
              <w:rPr>
                <w:rFonts w:cs="Arial"/>
                <w:snapToGrid w:val="0"/>
                <w:sz w:val="16"/>
                <w:szCs w:val="16"/>
              </w:rPr>
              <w:t>93,2</w:t>
            </w:r>
          </w:p>
        </w:tc>
        <w:tc>
          <w:tcPr>
            <w:tcW w:w="932" w:type="dxa"/>
            <w:shd w:val="solid" w:color="FFFFFF" w:fill="FFFFFF"/>
            <w:vAlign w:val="center"/>
          </w:tcPr>
          <w:p w14:paraId="04341215"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89,4</w:t>
            </w:r>
          </w:p>
        </w:tc>
        <w:tc>
          <w:tcPr>
            <w:tcW w:w="932" w:type="dxa"/>
            <w:shd w:val="solid" w:color="FFFFFF" w:fill="FFFFFF"/>
            <w:vAlign w:val="center"/>
          </w:tcPr>
          <w:p w14:paraId="5CA66953" w14:textId="1D3957B2" w:rsidR="00A42A67" w:rsidRPr="008B489D" w:rsidRDefault="00A42A67" w:rsidP="00A42A67">
            <w:pPr>
              <w:contextualSpacing/>
              <w:jc w:val="right"/>
              <w:rPr>
                <w:rFonts w:cs="Arial"/>
                <w:snapToGrid w:val="0"/>
                <w:sz w:val="16"/>
                <w:szCs w:val="16"/>
              </w:rPr>
            </w:pPr>
            <w:r w:rsidRPr="008B489D">
              <w:rPr>
                <w:rFonts w:cs="Arial"/>
                <w:snapToGrid w:val="0"/>
                <w:sz w:val="16"/>
                <w:szCs w:val="16"/>
              </w:rPr>
              <w:t>86,7</w:t>
            </w:r>
          </w:p>
        </w:tc>
        <w:tc>
          <w:tcPr>
            <w:tcW w:w="932" w:type="dxa"/>
            <w:shd w:val="solid" w:color="FFFFFF" w:fill="FFFFFF"/>
            <w:vAlign w:val="center"/>
          </w:tcPr>
          <w:p w14:paraId="63A214D2" w14:textId="1029F944" w:rsidR="00A42A67" w:rsidRPr="008B489D" w:rsidRDefault="00A42A67" w:rsidP="00A42A67">
            <w:pPr>
              <w:contextualSpacing/>
              <w:jc w:val="right"/>
              <w:rPr>
                <w:rFonts w:cs="Arial"/>
                <w:snapToGrid w:val="0"/>
                <w:sz w:val="16"/>
                <w:szCs w:val="16"/>
              </w:rPr>
            </w:pPr>
            <w:r w:rsidRPr="008B489D">
              <w:rPr>
                <w:rFonts w:cs="Arial"/>
                <w:snapToGrid w:val="0"/>
                <w:sz w:val="16"/>
                <w:szCs w:val="16"/>
              </w:rPr>
              <w:t>88,3</w:t>
            </w:r>
          </w:p>
        </w:tc>
        <w:tc>
          <w:tcPr>
            <w:tcW w:w="932" w:type="dxa"/>
            <w:shd w:val="solid" w:color="FFFFFF" w:fill="FFFFFF"/>
            <w:vAlign w:val="center"/>
          </w:tcPr>
          <w:p w14:paraId="7E4E4058" w14:textId="40D8061C" w:rsidR="00A42A67" w:rsidRPr="008B489D" w:rsidRDefault="00A42A67" w:rsidP="00A42A67">
            <w:pPr>
              <w:contextualSpacing/>
              <w:jc w:val="right"/>
              <w:rPr>
                <w:rFonts w:cs="Arial"/>
                <w:snapToGrid w:val="0"/>
                <w:sz w:val="16"/>
                <w:szCs w:val="16"/>
              </w:rPr>
            </w:pPr>
            <w:r w:rsidRPr="002557DB">
              <w:rPr>
                <w:rFonts w:cs="Arial"/>
                <w:snapToGrid w:val="0"/>
                <w:sz w:val="16"/>
                <w:szCs w:val="16"/>
              </w:rPr>
              <w:t>89,</w:t>
            </w:r>
            <w:r w:rsidRPr="008B489D">
              <w:rPr>
                <w:rFonts w:cs="Arial"/>
                <w:snapToGrid w:val="0"/>
                <w:sz w:val="16"/>
                <w:szCs w:val="16"/>
              </w:rPr>
              <w:t>7</w:t>
            </w:r>
          </w:p>
        </w:tc>
      </w:tr>
      <w:tr w:rsidR="00A42A67" w:rsidRPr="008B489D" w14:paraId="20BF0CF6" w14:textId="629CAC38" w:rsidTr="007D1308">
        <w:trPr>
          <w:trHeight w:val="20"/>
          <w:jc w:val="center"/>
        </w:trPr>
        <w:tc>
          <w:tcPr>
            <w:tcW w:w="2157" w:type="dxa"/>
            <w:vMerge/>
            <w:vAlign w:val="center"/>
          </w:tcPr>
          <w:p w14:paraId="249CA100" w14:textId="77777777" w:rsidR="00A42A67" w:rsidRPr="008B489D" w:rsidRDefault="00A42A67" w:rsidP="00A42A67">
            <w:pPr>
              <w:ind w:left="112"/>
              <w:contextualSpacing/>
              <w:rPr>
                <w:rFonts w:cs="Arial"/>
                <w:snapToGrid w:val="0"/>
                <w:color w:val="FF0000"/>
                <w:sz w:val="16"/>
                <w:szCs w:val="16"/>
              </w:rPr>
            </w:pPr>
          </w:p>
        </w:tc>
        <w:tc>
          <w:tcPr>
            <w:tcW w:w="992" w:type="dxa"/>
            <w:shd w:val="solid" w:color="FFFFFF" w:fill="FFFFFF"/>
            <w:vAlign w:val="center"/>
          </w:tcPr>
          <w:p w14:paraId="27D943F5" w14:textId="77777777" w:rsidR="00A42A67" w:rsidRPr="008B489D" w:rsidRDefault="00A42A67" w:rsidP="00A42A67">
            <w:pPr>
              <w:contextualSpacing/>
              <w:jc w:val="center"/>
              <w:rPr>
                <w:rFonts w:cs="Arial"/>
                <w:snapToGrid w:val="0"/>
                <w:color w:val="FF0000"/>
                <w:sz w:val="16"/>
                <w:szCs w:val="16"/>
              </w:rPr>
            </w:pPr>
            <w:r w:rsidRPr="008B489D">
              <w:rPr>
                <w:rFonts w:cs="Arial"/>
                <w:snapToGrid w:val="0"/>
                <w:sz w:val="16"/>
                <w:szCs w:val="16"/>
              </w:rPr>
              <w:t>% k 1989</w:t>
            </w:r>
          </w:p>
        </w:tc>
        <w:tc>
          <w:tcPr>
            <w:tcW w:w="931" w:type="dxa"/>
            <w:shd w:val="solid" w:color="FFFFFF" w:fill="FFFFFF"/>
            <w:vAlign w:val="center"/>
          </w:tcPr>
          <w:p w14:paraId="5510E85E" w14:textId="77777777" w:rsidR="00A42A67" w:rsidRPr="008B489D" w:rsidRDefault="00A42A67" w:rsidP="00A42A67">
            <w:pPr>
              <w:ind w:right="111"/>
              <w:contextualSpacing/>
              <w:jc w:val="right"/>
              <w:rPr>
                <w:rFonts w:cs="Arial"/>
                <w:snapToGrid w:val="0"/>
                <w:color w:val="FF0000"/>
                <w:sz w:val="16"/>
                <w:szCs w:val="16"/>
              </w:rPr>
            </w:pPr>
            <w:r w:rsidRPr="008B489D">
              <w:rPr>
                <w:rFonts w:cs="Arial"/>
                <w:snapToGrid w:val="0"/>
                <w:sz w:val="16"/>
                <w:szCs w:val="16"/>
              </w:rPr>
              <w:t>100,0</w:t>
            </w:r>
          </w:p>
        </w:tc>
        <w:tc>
          <w:tcPr>
            <w:tcW w:w="931" w:type="dxa"/>
            <w:shd w:val="solid" w:color="FFFFFF" w:fill="FFFFFF"/>
            <w:vAlign w:val="center"/>
          </w:tcPr>
          <w:p w14:paraId="04AF3A3D"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52,2</w:t>
            </w:r>
          </w:p>
        </w:tc>
        <w:tc>
          <w:tcPr>
            <w:tcW w:w="932" w:type="dxa"/>
            <w:shd w:val="solid" w:color="FFFFFF" w:fill="FFFFFF"/>
            <w:vAlign w:val="center"/>
          </w:tcPr>
          <w:p w14:paraId="5159F2B4" w14:textId="77777777" w:rsidR="00A42A67" w:rsidRPr="008B489D" w:rsidRDefault="00A42A67" w:rsidP="00A42A67">
            <w:pPr>
              <w:contextualSpacing/>
              <w:jc w:val="right"/>
              <w:rPr>
                <w:rFonts w:cs="Arial"/>
                <w:snapToGrid w:val="0"/>
                <w:color w:val="FF0000"/>
                <w:sz w:val="16"/>
                <w:szCs w:val="16"/>
              </w:rPr>
            </w:pPr>
            <w:r w:rsidRPr="008B489D">
              <w:rPr>
                <w:sz w:val="16"/>
                <w:szCs w:val="16"/>
              </w:rPr>
              <w:t>52,3</w:t>
            </w:r>
          </w:p>
        </w:tc>
        <w:tc>
          <w:tcPr>
            <w:tcW w:w="931" w:type="dxa"/>
            <w:shd w:val="solid" w:color="FFFFFF" w:fill="FFFFFF"/>
            <w:vAlign w:val="center"/>
          </w:tcPr>
          <w:p w14:paraId="02C0B43E"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52,6</w:t>
            </w:r>
          </w:p>
        </w:tc>
        <w:tc>
          <w:tcPr>
            <w:tcW w:w="932" w:type="dxa"/>
            <w:shd w:val="solid" w:color="FFFFFF" w:fill="FFFFFF"/>
            <w:vAlign w:val="center"/>
          </w:tcPr>
          <w:p w14:paraId="35CF61A0" w14:textId="77777777" w:rsidR="00A42A67" w:rsidRPr="008B489D" w:rsidRDefault="00A42A67" w:rsidP="00A42A67">
            <w:pPr>
              <w:contextualSpacing/>
              <w:jc w:val="right"/>
              <w:rPr>
                <w:color w:val="FF0000"/>
                <w:sz w:val="16"/>
                <w:szCs w:val="16"/>
              </w:rPr>
            </w:pPr>
            <w:r w:rsidRPr="008B489D">
              <w:rPr>
                <w:rFonts w:cs="Arial"/>
                <w:snapToGrid w:val="0"/>
                <w:sz w:val="16"/>
                <w:szCs w:val="16"/>
              </w:rPr>
              <w:t>54,5</w:t>
            </w:r>
          </w:p>
        </w:tc>
        <w:tc>
          <w:tcPr>
            <w:tcW w:w="932" w:type="dxa"/>
            <w:shd w:val="solid" w:color="FFFFFF" w:fill="FFFFFF"/>
            <w:vAlign w:val="center"/>
          </w:tcPr>
          <w:p w14:paraId="6FE10C51"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52,3</w:t>
            </w:r>
          </w:p>
        </w:tc>
        <w:tc>
          <w:tcPr>
            <w:tcW w:w="932" w:type="dxa"/>
            <w:shd w:val="solid" w:color="FFFFFF" w:fill="FFFFFF"/>
            <w:vAlign w:val="center"/>
          </w:tcPr>
          <w:p w14:paraId="27A2846D" w14:textId="77777777" w:rsidR="00A42A67" w:rsidRPr="008B489D" w:rsidRDefault="00A42A67" w:rsidP="00A42A67">
            <w:pPr>
              <w:contextualSpacing/>
              <w:jc w:val="right"/>
              <w:rPr>
                <w:rFonts w:cs="Arial"/>
                <w:snapToGrid w:val="0"/>
                <w:sz w:val="16"/>
                <w:szCs w:val="16"/>
              </w:rPr>
            </w:pPr>
            <w:r w:rsidRPr="008B489D">
              <w:rPr>
                <w:rFonts w:cs="Arial"/>
                <w:snapToGrid w:val="0"/>
                <w:sz w:val="16"/>
                <w:szCs w:val="16"/>
              </w:rPr>
              <w:t>50,70</w:t>
            </w:r>
          </w:p>
        </w:tc>
        <w:tc>
          <w:tcPr>
            <w:tcW w:w="932" w:type="dxa"/>
            <w:shd w:val="solid" w:color="FFFFFF" w:fill="FFFFFF"/>
            <w:vAlign w:val="center"/>
          </w:tcPr>
          <w:p w14:paraId="66E9C350" w14:textId="4FF72980" w:rsidR="00A42A67" w:rsidRPr="008B489D" w:rsidRDefault="00A42A67" w:rsidP="00A42A67">
            <w:pPr>
              <w:contextualSpacing/>
              <w:jc w:val="right"/>
              <w:rPr>
                <w:rFonts w:cs="Arial"/>
                <w:snapToGrid w:val="0"/>
                <w:sz w:val="16"/>
                <w:szCs w:val="16"/>
              </w:rPr>
            </w:pPr>
            <w:r w:rsidRPr="008B489D">
              <w:rPr>
                <w:rFonts w:cs="Arial"/>
                <w:snapToGrid w:val="0"/>
                <w:sz w:val="16"/>
                <w:szCs w:val="16"/>
              </w:rPr>
              <w:t>51,6</w:t>
            </w:r>
          </w:p>
        </w:tc>
        <w:tc>
          <w:tcPr>
            <w:tcW w:w="932" w:type="dxa"/>
            <w:shd w:val="solid" w:color="FFFFFF" w:fill="FFFFFF"/>
            <w:vAlign w:val="center"/>
          </w:tcPr>
          <w:p w14:paraId="2F87C81F" w14:textId="3A6F32D2" w:rsidR="00A42A67" w:rsidRPr="008B489D" w:rsidRDefault="00A42A67" w:rsidP="00A42A67">
            <w:pPr>
              <w:contextualSpacing/>
              <w:jc w:val="right"/>
              <w:rPr>
                <w:rFonts w:cs="Arial"/>
                <w:snapToGrid w:val="0"/>
                <w:sz w:val="16"/>
                <w:szCs w:val="16"/>
              </w:rPr>
            </w:pPr>
            <w:r w:rsidRPr="008B489D">
              <w:rPr>
                <w:rFonts w:cs="Arial"/>
                <w:snapToGrid w:val="0"/>
                <w:sz w:val="16"/>
                <w:szCs w:val="16"/>
              </w:rPr>
              <w:t>52,4</w:t>
            </w:r>
          </w:p>
        </w:tc>
      </w:tr>
      <w:tr w:rsidR="00A42A67" w:rsidRPr="008B489D" w14:paraId="63FFD5EE" w14:textId="5B77DC3B" w:rsidTr="007D1308">
        <w:trPr>
          <w:trHeight w:val="20"/>
          <w:jc w:val="center"/>
        </w:trPr>
        <w:tc>
          <w:tcPr>
            <w:tcW w:w="2157" w:type="dxa"/>
            <w:shd w:val="solid" w:color="FFFFFF" w:fill="FFFFFF"/>
            <w:vAlign w:val="center"/>
          </w:tcPr>
          <w:p w14:paraId="5C60F828" w14:textId="77777777" w:rsidR="00A42A67" w:rsidRPr="008B489D" w:rsidRDefault="00A42A67" w:rsidP="00A42A67">
            <w:pPr>
              <w:ind w:left="112"/>
              <w:contextualSpacing/>
              <w:rPr>
                <w:rFonts w:cs="Arial"/>
                <w:snapToGrid w:val="0"/>
                <w:color w:val="FF0000"/>
                <w:sz w:val="16"/>
                <w:szCs w:val="16"/>
                <w:vertAlign w:val="superscript"/>
              </w:rPr>
            </w:pPr>
            <w:r w:rsidRPr="008B489D">
              <w:rPr>
                <w:rFonts w:cs="Arial"/>
                <w:snapToGrid w:val="0"/>
                <w:sz w:val="16"/>
                <w:szCs w:val="16"/>
              </w:rPr>
              <w:t>Ztráty vody na 1 km řadů</w:t>
            </w:r>
          </w:p>
        </w:tc>
        <w:tc>
          <w:tcPr>
            <w:tcW w:w="992" w:type="dxa"/>
            <w:shd w:val="solid" w:color="FFFFFF" w:fill="FFFFFF"/>
            <w:vAlign w:val="center"/>
          </w:tcPr>
          <w:p w14:paraId="0F1CF89E" w14:textId="77777777" w:rsidR="00A42A67" w:rsidRPr="008B489D" w:rsidRDefault="00A42A67" w:rsidP="00A42A67">
            <w:pPr>
              <w:contextualSpacing/>
              <w:jc w:val="center"/>
              <w:rPr>
                <w:rFonts w:cs="Arial"/>
                <w:snapToGrid w:val="0"/>
                <w:color w:val="FF0000"/>
                <w:sz w:val="16"/>
                <w:szCs w:val="16"/>
              </w:rPr>
            </w:pPr>
            <w:r w:rsidRPr="008B489D">
              <w:rPr>
                <w:rFonts w:cs="Arial"/>
                <w:snapToGrid w:val="0"/>
                <w:sz w:val="16"/>
                <w:szCs w:val="16"/>
              </w:rPr>
              <w:t>l/km den</w:t>
            </w:r>
          </w:p>
        </w:tc>
        <w:tc>
          <w:tcPr>
            <w:tcW w:w="931" w:type="dxa"/>
            <w:shd w:val="solid" w:color="FFFFFF" w:fill="FFFFFF"/>
            <w:vAlign w:val="center"/>
          </w:tcPr>
          <w:p w14:paraId="657A6FF5"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16 842,0</w:t>
            </w:r>
            <w:r w:rsidRPr="008B489D">
              <w:rPr>
                <w:rFonts w:cs="Arial"/>
                <w:snapToGrid w:val="0"/>
                <w:sz w:val="16"/>
                <w:szCs w:val="16"/>
                <w:vertAlign w:val="superscript"/>
              </w:rPr>
              <w:t>*)</w:t>
            </w:r>
          </w:p>
        </w:tc>
        <w:tc>
          <w:tcPr>
            <w:tcW w:w="931" w:type="dxa"/>
            <w:shd w:val="solid" w:color="FFFFFF" w:fill="FFFFFF"/>
            <w:vAlign w:val="center"/>
          </w:tcPr>
          <w:p w14:paraId="2525EA70"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3 303,5</w:t>
            </w:r>
          </w:p>
        </w:tc>
        <w:tc>
          <w:tcPr>
            <w:tcW w:w="932" w:type="dxa"/>
            <w:shd w:val="solid" w:color="FFFFFF" w:fill="FFFFFF"/>
            <w:vAlign w:val="center"/>
          </w:tcPr>
          <w:p w14:paraId="3A9F9BC3" w14:textId="77777777" w:rsidR="00A42A67" w:rsidRPr="008B489D" w:rsidRDefault="00A42A67" w:rsidP="00A42A67">
            <w:pPr>
              <w:contextualSpacing/>
              <w:jc w:val="right"/>
              <w:rPr>
                <w:rFonts w:cs="Arial"/>
                <w:snapToGrid w:val="0"/>
                <w:color w:val="FF0000"/>
                <w:sz w:val="16"/>
                <w:szCs w:val="16"/>
              </w:rPr>
            </w:pPr>
            <w:r w:rsidRPr="008B489D">
              <w:rPr>
                <w:sz w:val="16"/>
                <w:szCs w:val="16"/>
              </w:rPr>
              <w:t>2 993,5</w:t>
            </w:r>
          </w:p>
        </w:tc>
        <w:tc>
          <w:tcPr>
            <w:tcW w:w="931" w:type="dxa"/>
            <w:shd w:val="solid" w:color="FFFFFF" w:fill="FFFFFF"/>
            <w:vAlign w:val="center"/>
          </w:tcPr>
          <w:p w14:paraId="18274FD9" w14:textId="7E220415"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3 042,3</w:t>
            </w:r>
          </w:p>
        </w:tc>
        <w:tc>
          <w:tcPr>
            <w:tcW w:w="932" w:type="dxa"/>
            <w:shd w:val="solid" w:color="FFFFFF" w:fill="FFFFFF"/>
            <w:vAlign w:val="center"/>
          </w:tcPr>
          <w:p w14:paraId="372F00AA" w14:textId="7A0392EF" w:rsidR="00A42A67" w:rsidRPr="008B489D" w:rsidRDefault="00A42A67" w:rsidP="00A42A67">
            <w:pPr>
              <w:contextualSpacing/>
              <w:jc w:val="right"/>
              <w:rPr>
                <w:color w:val="FF0000"/>
                <w:sz w:val="16"/>
                <w:szCs w:val="16"/>
              </w:rPr>
            </w:pPr>
            <w:r w:rsidRPr="008B489D">
              <w:rPr>
                <w:rFonts w:cs="Arial"/>
                <w:snapToGrid w:val="0"/>
                <w:sz w:val="16"/>
                <w:szCs w:val="16"/>
              </w:rPr>
              <w:t>2 955,1</w:t>
            </w:r>
          </w:p>
        </w:tc>
        <w:tc>
          <w:tcPr>
            <w:tcW w:w="932" w:type="dxa"/>
            <w:shd w:val="solid" w:color="FFFFFF" w:fill="FFFFFF"/>
            <w:vAlign w:val="center"/>
          </w:tcPr>
          <w:p w14:paraId="21394284" w14:textId="7628DE05"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2 855,6</w:t>
            </w:r>
          </w:p>
        </w:tc>
        <w:tc>
          <w:tcPr>
            <w:tcW w:w="932" w:type="dxa"/>
            <w:shd w:val="solid" w:color="FFFFFF" w:fill="FFFFFF"/>
            <w:vAlign w:val="center"/>
          </w:tcPr>
          <w:p w14:paraId="2CB983BE" w14:textId="18DA681F" w:rsidR="00A42A67" w:rsidRPr="008B489D" w:rsidRDefault="00A42A67" w:rsidP="00A42A67">
            <w:pPr>
              <w:contextualSpacing/>
              <w:jc w:val="right"/>
              <w:rPr>
                <w:rFonts w:cs="Arial"/>
                <w:snapToGrid w:val="0"/>
                <w:sz w:val="16"/>
                <w:szCs w:val="16"/>
              </w:rPr>
            </w:pPr>
            <w:r w:rsidRPr="008B489D">
              <w:rPr>
                <w:rFonts w:cs="Arial"/>
                <w:snapToGrid w:val="0"/>
                <w:sz w:val="16"/>
                <w:szCs w:val="16"/>
              </w:rPr>
              <w:t>2 862,3</w:t>
            </w:r>
          </w:p>
        </w:tc>
        <w:tc>
          <w:tcPr>
            <w:tcW w:w="932" w:type="dxa"/>
            <w:shd w:val="solid" w:color="FFFFFF" w:fill="FFFFFF"/>
            <w:vAlign w:val="center"/>
          </w:tcPr>
          <w:p w14:paraId="6E0B2480" w14:textId="0F5AFEA0" w:rsidR="00A42A67" w:rsidRPr="008B489D" w:rsidRDefault="00A42A67" w:rsidP="00A42A67">
            <w:pPr>
              <w:contextualSpacing/>
              <w:jc w:val="right"/>
              <w:rPr>
                <w:rFonts w:cs="Arial"/>
                <w:snapToGrid w:val="0"/>
                <w:sz w:val="16"/>
                <w:szCs w:val="16"/>
              </w:rPr>
            </w:pPr>
            <w:r w:rsidRPr="008B489D">
              <w:rPr>
                <w:rFonts w:cs="Arial"/>
                <w:snapToGrid w:val="0"/>
                <w:sz w:val="16"/>
                <w:szCs w:val="16"/>
              </w:rPr>
              <w:t>2 917,9</w:t>
            </w:r>
          </w:p>
        </w:tc>
        <w:tc>
          <w:tcPr>
            <w:tcW w:w="932" w:type="dxa"/>
            <w:shd w:val="solid" w:color="FFFFFF" w:fill="FFFFFF"/>
            <w:vAlign w:val="center"/>
          </w:tcPr>
          <w:p w14:paraId="2048B2B4" w14:textId="56FD632D" w:rsidR="00A42A67" w:rsidRPr="008B489D" w:rsidRDefault="00A42A67" w:rsidP="00A42A67">
            <w:pPr>
              <w:contextualSpacing/>
              <w:jc w:val="right"/>
              <w:rPr>
                <w:rFonts w:cs="Arial"/>
                <w:snapToGrid w:val="0"/>
                <w:sz w:val="16"/>
                <w:szCs w:val="16"/>
              </w:rPr>
            </w:pPr>
            <w:r w:rsidRPr="008B489D">
              <w:rPr>
                <w:rFonts w:cs="Arial"/>
                <w:snapToGrid w:val="0"/>
                <w:sz w:val="16"/>
                <w:szCs w:val="16"/>
              </w:rPr>
              <w:t>2 707,0</w:t>
            </w:r>
          </w:p>
        </w:tc>
      </w:tr>
      <w:tr w:rsidR="00A42A67" w:rsidRPr="008B489D" w14:paraId="2B927E9C" w14:textId="4A6A97F5" w:rsidTr="007D1308">
        <w:trPr>
          <w:trHeight w:val="20"/>
          <w:jc w:val="center"/>
        </w:trPr>
        <w:tc>
          <w:tcPr>
            <w:tcW w:w="2157" w:type="dxa"/>
            <w:shd w:val="solid" w:color="FFFFFF" w:fill="FFFFFF"/>
            <w:vAlign w:val="center"/>
          </w:tcPr>
          <w:p w14:paraId="68BEF75B" w14:textId="77777777" w:rsidR="00A42A67" w:rsidRPr="008B489D" w:rsidRDefault="00A42A67" w:rsidP="00A42A67">
            <w:pPr>
              <w:ind w:left="112"/>
              <w:contextualSpacing/>
              <w:rPr>
                <w:rFonts w:cs="Arial"/>
                <w:snapToGrid w:val="0"/>
                <w:color w:val="FF0000"/>
                <w:sz w:val="16"/>
                <w:szCs w:val="16"/>
              </w:rPr>
            </w:pPr>
            <w:r w:rsidRPr="008B489D">
              <w:rPr>
                <w:rFonts w:cs="Arial"/>
                <w:snapToGrid w:val="0"/>
                <w:sz w:val="16"/>
                <w:szCs w:val="16"/>
              </w:rPr>
              <w:t>Ztráty vody na 1 zásob. obyvatele</w:t>
            </w:r>
          </w:p>
        </w:tc>
        <w:tc>
          <w:tcPr>
            <w:tcW w:w="992" w:type="dxa"/>
            <w:shd w:val="solid" w:color="FFFFFF" w:fill="FFFFFF"/>
            <w:vAlign w:val="center"/>
          </w:tcPr>
          <w:p w14:paraId="01244D7B" w14:textId="77777777" w:rsidR="00A42A67" w:rsidRPr="008B489D" w:rsidRDefault="00A42A67" w:rsidP="00A42A67">
            <w:pPr>
              <w:contextualSpacing/>
              <w:jc w:val="center"/>
              <w:rPr>
                <w:rFonts w:cs="Arial"/>
                <w:snapToGrid w:val="0"/>
                <w:color w:val="FF0000"/>
                <w:sz w:val="16"/>
                <w:szCs w:val="16"/>
              </w:rPr>
            </w:pPr>
            <w:r w:rsidRPr="008B489D">
              <w:rPr>
                <w:rFonts w:cs="Arial"/>
                <w:snapToGrid w:val="0"/>
                <w:sz w:val="16"/>
                <w:szCs w:val="16"/>
              </w:rPr>
              <w:t>l/os. den</w:t>
            </w:r>
          </w:p>
        </w:tc>
        <w:tc>
          <w:tcPr>
            <w:tcW w:w="931" w:type="dxa"/>
            <w:shd w:val="solid" w:color="FFFFFF" w:fill="FFFFFF"/>
            <w:vAlign w:val="center"/>
          </w:tcPr>
          <w:p w14:paraId="68BD1EFB"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90,0</w:t>
            </w:r>
            <w:r w:rsidRPr="008B489D">
              <w:rPr>
                <w:rFonts w:cs="Arial"/>
                <w:snapToGrid w:val="0"/>
                <w:sz w:val="16"/>
                <w:szCs w:val="16"/>
                <w:vertAlign w:val="superscript"/>
              </w:rPr>
              <w:t>*)</w:t>
            </w:r>
          </w:p>
        </w:tc>
        <w:tc>
          <w:tcPr>
            <w:tcW w:w="931" w:type="dxa"/>
            <w:shd w:val="solid" w:color="FFFFFF" w:fill="FFFFFF"/>
            <w:vAlign w:val="center"/>
          </w:tcPr>
          <w:p w14:paraId="3A5A5EF9"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25,8</w:t>
            </w:r>
          </w:p>
        </w:tc>
        <w:tc>
          <w:tcPr>
            <w:tcW w:w="932" w:type="dxa"/>
            <w:shd w:val="solid" w:color="FFFFFF" w:fill="FFFFFF"/>
            <w:vAlign w:val="center"/>
          </w:tcPr>
          <w:p w14:paraId="37FA48F4" w14:textId="77777777" w:rsidR="00A42A67" w:rsidRPr="008B489D" w:rsidRDefault="00A42A67" w:rsidP="00A42A67">
            <w:pPr>
              <w:contextualSpacing/>
              <w:jc w:val="right"/>
              <w:rPr>
                <w:rFonts w:cs="Arial"/>
                <w:snapToGrid w:val="0"/>
                <w:color w:val="FF0000"/>
                <w:sz w:val="16"/>
                <w:szCs w:val="16"/>
              </w:rPr>
            </w:pPr>
            <w:r w:rsidRPr="008B489D">
              <w:rPr>
                <w:sz w:val="16"/>
                <w:szCs w:val="16"/>
              </w:rPr>
              <w:t>23,4</w:t>
            </w:r>
          </w:p>
        </w:tc>
        <w:tc>
          <w:tcPr>
            <w:tcW w:w="931" w:type="dxa"/>
            <w:shd w:val="solid" w:color="FFFFFF" w:fill="FFFFFF"/>
            <w:vAlign w:val="center"/>
          </w:tcPr>
          <w:p w14:paraId="17CD91F5"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23,8</w:t>
            </w:r>
          </w:p>
        </w:tc>
        <w:tc>
          <w:tcPr>
            <w:tcW w:w="932" w:type="dxa"/>
            <w:shd w:val="solid" w:color="FFFFFF" w:fill="FFFFFF"/>
            <w:vAlign w:val="center"/>
          </w:tcPr>
          <w:p w14:paraId="44652B43" w14:textId="77777777" w:rsidR="00A42A67" w:rsidRPr="008B489D" w:rsidRDefault="00A42A67" w:rsidP="00A42A67">
            <w:pPr>
              <w:contextualSpacing/>
              <w:jc w:val="right"/>
              <w:rPr>
                <w:color w:val="FF0000"/>
                <w:sz w:val="16"/>
                <w:szCs w:val="16"/>
              </w:rPr>
            </w:pPr>
            <w:r w:rsidRPr="008B489D">
              <w:rPr>
                <w:rFonts w:cs="Arial"/>
                <w:snapToGrid w:val="0"/>
                <w:sz w:val="16"/>
                <w:szCs w:val="16"/>
              </w:rPr>
              <w:t>23,5</w:t>
            </w:r>
          </w:p>
        </w:tc>
        <w:tc>
          <w:tcPr>
            <w:tcW w:w="932" w:type="dxa"/>
            <w:shd w:val="solid" w:color="FFFFFF" w:fill="FFFFFF"/>
            <w:vAlign w:val="center"/>
          </w:tcPr>
          <w:p w14:paraId="78397936" w14:textId="77777777" w:rsidR="00A42A67" w:rsidRPr="008B489D" w:rsidRDefault="00A42A67" w:rsidP="00A42A67">
            <w:pPr>
              <w:contextualSpacing/>
              <w:jc w:val="right"/>
              <w:rPr>
                <w:rFonts w:cs="Arial"/>
                <w:snapToGrid w:val="0"/>
                <w:color w:val="FF0000"/>
                <w:sz w:val="16"/>
                <w:szCs w:val="16"/>
              </w:rPr>
            </w:pPr>
            <w:r w:rsidRPr="008B489D">
              <w:rPr>
                <w:rFonts w:cs="Arial"/>
                <w:snapToGrid w:val="0"/>
                <w:sz w:val="16"/>
                <w:szCs w:val="16"/>
              </w:rPr>
              <w:t>23,0</w:t>
            </w:r>
          </w:p>
        </w:tc>
        <w:tc>
          <w:tcPr>
            <w:tcW w:w="932" w:type="dxa"/>
            <w:shd w:val="solid" w:color="FFFFFF" w:fill="FFFFFF"/>
            <w:vAlign w:val="center"/>
          </w:tcPr>
          <w:p w14:paraId="4FEBFE95" w14:textId="77777777" w:rsidR="00A42A67" w:rsidRPr="008B489D" w:rsidRDefault="00A42A67" w:rsidP="00A42A67">
            <w:pPr>
              <w:contextualSpacing/>
              <w:jc w:val="right"/>
              <w:rPr>
                <w:rFonts w:cs="Arial"/>
                <w:snapToGrid w:val="0"/>
                <w:sz w:val="16"/>
                <w:szCs w:val="16"/>
              </w:rPr>
            </w:pPr>
            <w:r w:rsidRPr="008B489D">
              <w:rPr>
                <w:rFonts w:cs="Arial"/>
                <w:snapToGrid w:val="0"/>
                <w:sz w:val="16"/>
                <w:szCs w:val="16"/>
              </w:rPr>
              <w:t>22,7</w:t>
            </w:r>
          </w:p>
        </w:tc>
        <w:tc>
          <w:tcPr>
            <w:tcW w:w="932" w:type="dxa"/>
            <w:shd w:val="solid" w:color="FFFFFF" w:fill="FFFFFF"/>
            <w:vAlign w:val="center"/>
          </w:tcPr>
          <w:p w14:paraId="1DB7B1CB" w14:textId="2A74C614" w:rsidR="00A42A67" w:rsidRPr="008B489D" w:rsidRDefault="00A42A67" w:rsidP="00A42A67">
            <w:pPr>
              <w:contextualSpacing/>
              <w:jc w:val="right"/>
              <w:rPr>
                <w:rFonts w:cs="Arial"/>
                <w:snapToGrid w:val="0"/>
                <w:sz w:val="16"/>
                <w:szCs w:val="16"/>
              </w:rPr>
            </w:pPr>
            <w:r w:rsidRPr="008B489D">
              <w:rPr>
                <w:rFonts w:cs="Arial"/>
                <w:snapToGrid w:val="0"/>
                <w:sz w:val="16"/>
                <w:szCs w:val="16"/>
              </w:rPr>
              <w:t>23,6</w:t>
            </w:r>
          </w:p>
        </w:tc>
        <w:tc>
          <w:tcPr>
            <w:tcW w:w="932" w:type="dxa"/>
            <w:shd w:val="solid" w:color="FFFFFF" w:fill="FFFFFF"/>
            <w:vAlign w:val="center"/>
          </w:tcPr>
          <w:p w14:paraId="76547A60" w14:textId="51D29ABA" w:rsidR="00A42A67" w:rsidRPr="008B489D" w:rsidRDefault="00A42A67" w:rsidP="00A42A67">
            <w:pPr>
              <w:contextualSpacing/>
              <w:jc w:val="right"/>
              <w:rPr>
                <w:rFonts w:cs="Arial"/>
                <w:snapToGrid w:val="0"/>
                <w:sz w:val="16"/>
                <w:szCs w:val="16"/>
              </w:rPr>
            </w:pPr>
            <w:r w:rsidRPr="008B489D">
              <w:rPr>
                <w:rFonts w:cs="Arial"/>
                <w:snapToGrid w:val="0"/>
                <w:sz w:val="16"/>
                <w:szCs w:val="16"/>
              </w:rPr>
              <w:t>22,0</w:t>
            </w:r>
          </w:p>
        </w:tc>
      </w:tr>
    </w:tbl>
    <w:bookmarkEnd w:id="104"/>
    <w:p w14:paraId="49B864A7" w14:textId="7D2A8C01" w:rsidR="00114D1D" w:rsidRPr="008B489D" w:rsidRDefault="00EE6F9C" w:rsidP="00114D1D">
      <w:pPr>
        <w:contextualSpacing/>
        <w:rPr>
          <w:rFonts w:cs="Arial"/>
          <w:i/>
          <w:snapToGrid w:val="0"/>
          <w:sz w:val="20"/>
          <w:szCs w:val="20"/>
        </w:rPr>
      </w:pPr>
      <w:r w:rsidRPr="008B489D">
        <w:rPr>
          <w:rFonts w:cs="Arial"/>
          <w:i/>
          <w:snapToGrid w:val="0"/>
          <w:sz w:val="20"/>
          <w:szCs w:val="20"/>
        </w:rPr>
        <w:t>Pramen: ČSÚ</w:t>
      </w:r>
      <w:r w:rsidR="005778F8" w:rsidRPr="008B489D">
        <w:rPr>
          <w:rFonts w:cs="Arial"/>
          <w:i/>
          <w:snapToGrid w:val="0"/>
          <w:sz w:val="20"/>
          <w:szCs w:val="20"/>
        </w:rPr>
        <w:t>,</w:t>
      </w:r>
      <w:r w:rsidR="00114D1D" w:rsidRPr="008B489D">
        <w:rPr>
          <w:rFonts w:cs="Arial"/>
          <w:i/>
          <w:snapToGrid w:val="0"/>
          <w:sz w:val="20"/>
          <w:szCs w:val="20"/>
        </w:rPr>
        <w:t xml:space="preserve"> </w:t>
      </w:r>
      <w:r w:rsidR="00E7086C" w:rsidRPr="008B489D">
        <w:rPr>
          <w:rFonts w:cs="Arial"/>
          <w:i/>
          <w:sz w:val="20"/>
          <w:szCs w:val="20"/>
        </w:rPr>
        <w:t>od roku 2024 MZe</w:t>
      </w:r>
    </w:p>
    <w:p w14:paraId="0FA211FA" w14:textId="77777777" w:rsidR="00EE6F9C" w:rsidRPr="008B489D" w:rsidRDefault="00EE6F9C" w:rsidP="007C4955">
      <w:pPr>
        <w:contextualSpacing/>
        <w:rPr>
          <w:rFonts w:cs="Arial"/>
          <w:bCs/>
          <w:i/>
          <w:sz w:val="20"/>
          <w:szCs w:val="20"/>
        </w:rPr>
      </w:pPr>
      <w:r w:rsidRPr="008B489D">
        <w:rPr>
          <w:rFonts w:cs="Arial"/>
          <w:i/>
          <w:snapToGrid w:val="0"/>
          <w:sz w:val="20"/>
          <w:szCs w:val="20"/>
        </w:rPr>
        <w:t xml:space="preserve">Pozn.: </w:t>
      </w:r>
      <w:r w:rsidRPr="008B489D">
        <w:rPr>
          <w:rFonts w:cs="Arial"/>
          <w:i/>
          <w:snapToGrid w:val="0"/>
          <w:sz w:val="20"/>
          <w:szCs w:val="20"/>
          <w:vertAlign w:val="superscript"/>
        </w:rPr>
        <w:t>*)</w:t>
      </w:r>
      <w:r w:rsidRPr="008B489D">
        <w:rPr>
          <w:rFonts w:cs="Arial"/>
          <w:i/>
          <w:snapToGrid w:val="0"/>
          <w:sz w:val="20"/>
          <w:szCs w:val="20"/>
        </w:rPr>
        <w:t xml:space="preserve"> Údaje za vodovody hlavních provozovatelů.</w:t>
      </w:r>
    </w:p>
    <w:p w14:paraId="57459634" w14:textId="77777777" w:rsidR="00A8071C" w:rsidRPr="008B489D" w:rsidRDefault="00A8071C" w:rsidP="00A8071C">
      <w:pPr>
        <w:rPr>
          <w:rFonts w:cs="Arial"/>
          <w:bCs/>
        </w:rPr>
      </w:pPr>
    </w:p>
    <w:p w14:paraId="6AD1D683" w14:textId="77777777" w:rsidR="00DF54D9" w:rsidRPr="008B489D" w:rsidRDefault="00DF54D9" w:rsidP="00DF54D9">
      <w:pPr>
        <w:rPr>
          <w:rFonts w:cs="Arial"/>
          <w:bCs/>
        </w:rPr>
      </w:pPr>
      <w:r w:rsidRPr="008B489D">
        <w:rPr>
          <w:rFonts w:cs="Arial"/>
          <w:bCs/>
        </w:rPr>
        <w:t>Specifické množství vody fakturované celkem představuje podíl vody fakturované celkem (domácnostem, průmyslu a ostatním odběratelům) na jednoho připojeného obyvatele za den a představuje, kolik litrů z celkové spotřeby vody (vody fakturované) připadá na jednoho připojeného obyvatele. V roce 2025 oproti předchozímu roku mírně vzrostla spotřeba specifického množství vody fakturované na 129,5 l/os./den a spotřeba vody fakturované v domácnostech na 89,7 l/os./den.</w:t>
      </w:r>
    </w:p>
    <w:p w14:paraId="49A1C0D1" w14:textId="04B3603B" w:rsidR="00D179CE" w:rsidRPr="008B489D" w:rsidRDefault="00D179CE" w:rsidP="00D179CE">
      <w:pPr>
        <w:contextualSpacing/>
        <w:rPr>
          <w:rFonts w:cs="Arial"/>
          <w:bCs/>
        </w:rPr>
      </w:pPr>
      <w:r w:rsidRPr="008B489D">
        <w:rPr>
          <w:rFonts w:cs="Arial"/>
          <w:i/>
          <w:color w:val="FF0000"/>
        </w:rPr>
        <w:br w:type="page"/>
      </w:r>
    </w:p>
    <w:p w14:paraId="47F7E2C2" w14:textId="0C2A7F75" w:rsidR="00EE6F9C" w:rsidRPr="008B489D" w:rsidRDefault="00EE6F9C" w:rsidP="007C4955">
      <w:pPr>
        <w:pStyle w:val="tabulka"/>
        <w:contextualSpacing/>
        <w:rPr>
          <w:rFonts w:ascii="Arial" w:hAnsi="Arial" w:cs="Arial"/>
          <w:i/>
          <w:sz w:val="22"/>
          <w:szCs w:val="22"/>
        </w:rPr>
      </w:pPr>
      <w:r w:rsidRPr="008B489D">
        <w:rPr>
          <w:rFonts w:ascii="Arial" w:hAnsi="Arial" w:cs="Arial"/>
          <w:i/>
          <w:sz w:val="22"/>
          <w:szCs w:val="22"/>
        </w:rPr>
        <w:t>Graf</w:t>
      </w:r>
      <w:r w:rsidR="005C678F" w:rsidRPr="008B489D">
        <w:rPr>
          <w:rFonts w:ascii="Arial" w:hAnsi="Arial" w:cs="Arial"/>
          <w:i/>
          <w:sz w:val="22"/>
          <w:szCs w:val="22"/>
          <w:lang w:val="cs-CZ"/>
        </w:rPr>
        <w:t xml:space="preserve"> </w:t>
      </w:r>
      <w:r w:rsidR="002E3123" w:rsidRPr="008B489D">
        <w:rPr>
          <w:rFonts w:ascii="Arial" w:hAnsi="Arial" w:cs="Arial"/>
          <w:i/>
          <w:sz w:val="22"/>
          <w:szCs w:val="22"/>
          <w:lang w:val="cs-CZ"/>
        </w:rPr>
        <w:t>9</w:t>
      </w:r>
      <w:r w:rsidRPr="008B489D">
        <w:rPr>
          <w:rFonts w:ascii="Arial" w:hAnsi="Arial" w:cs="Arial"/>
          <w:i/>
          <w:sz w:val="22"/>
          <w:szCs w:val="22"/>
        </w:rPr>
        <w:t>.1.1  </w:t>
      </w:r>
    </w:p>
    <w:p w14:paraId="0BC303D9" w14:textId="1ECF6826" w:rsidR="00EE6F9C" w:rsidRPr="008B489D" w:rsidRDefault="00EE6F9C" w:rsidP="007C4955">
      <w:pPr>
        <w:pStyle w:val="tabulka"/>
        <w:contextualSpacing/>
        <w:rPr>
          <w:rFonts w:ascii="Arial" w:hAnsi="Arial" w:cs="Arial"/>
          <w:i/>
          <w:sz w:val="22"/>
          <w:szCs w:val="22"/>
          <w:lang w:val="cs-CZ"/>
        </w:rPr>
      </w:pPr>
      <w:r w:rsidRPr="008B489D">
        <w:rPr>
          <w:rFonts w:ascii="Arial" w:hAnsi="Arial" w:cs="Arial"/>
          <w:i/>
          <w:sz w:val="22"/>
          <w:szCs w:val="22"/>
        </w:rPr>
        <w:t>Vývoj počtu zásobovaných obyvatel, specifické potřeby</w:t>
      </w:r>
      <w:r w:rsidR="0070523A" w:rsidRPr="008B489D">
        <w:rPr>
          <w:rFonts w:ascii="Arial" w:hAnsi="Arial" w:cs="Arial"/>
          <w:i/>
          <w:sz w:val="22"/>
          <w:szCs w:val="22"/>
          <w:lang w:val="cs-CZ"/>
        </w:rPr>
        <w:t xml:space="preserve"> z</w:t>
      </w:r>
      <w:r w:rsidRPr="008B489D">
        <w:rPr>
          <w:rFonts w:ascii="Arial" w:hAnsi="Arial" w:cs="Arial"/>
          <w:i/>
          <w:sz w:val="22"/>
          <w:szCs w:val="22"/>
        </w:rPr>
        <w:t xml:space="preserve"> vody vyrobené a specifického množství vody fakturované domácnostem v letech 1989 a 20</w:t>
      </w:r>
      <w:r w:rsidR="003F0157" w:rsidRPr="008B489D">
        <w:rPr>
          <w:rFonts w:ascii="Arial" w:hAnsi="Arial" w:cs="Arial"/>
          <w:i/>
          <w:sz w:val="22"/>
          <w:szCs w:val="22"/>
          <w:lang w:val="cs-CZ"/>
        </w:rPr>
        <w:t>1</w:t>
      </w:r>
      <w:r w:rsidR="009657DB" w:rsidRPr="008B489D">
        <w:rPr>
          <w:rFonts w:ascii="Arial" w:hAnsi="Arial" w:cs="Arial"/>
          <w:i/>
          <w:sz w:val="22"/>
          <w:szCs w:val="22"/>
          <w:lang w:val="cs-CZ"/>
        </w:rPr>
        <w:t>8</w:t>
      </w:r>
      <w:r w:rsidRPr="008B489D">
        <w:rPr>
          <w:rFonts w:ascii="Arial" w:hAnsi="Arial" w:cs="Arial"/>
          <w:i/>
          <w:sz w:val="22"/>
          <w:szCs w:val="22"/>
        </w:rPr>
        <w:t>–20</w:t>
      </w:r>
      <w:r w:rsidR="003F0157" w:rsidRPr="008B489D">
        <w:rPr>
          <w:rFonts w:ascii="Arial" w:hAnsi="Arial" w:cs="Arial"/>
          <w:i/>
          <w:sz w:val="22"/>
          <w:szCs w:val="22"/>
          <w:lang w:val="cs-CZ"/>
        </w:rPr>
        <w:t>2</w:t>
      </w:r>
      <w:r w:rsidR="00813928" w:rsidRPr="008B489D">
        <w:rPr>
          <w:rFonts w:ascii="Arial" w:hAnsi="Arial" w:cs="Arial"/>
          <w:i/>
          <w:sz w:val="22"/>
          <w:szCs w:val="22"/>
          <w:lang w:val="cs-CZ"/>
        </w:rPr>
        <w:t>5</w:t>
      </w:r>
    </w:p>
    <w:p w14:paraId="21F9A915" w14:textId="53A80D46" w:rsidR="00EE6F9C" w:rsidRPr="008B489D" w:rsidRDefault="0055614D" w:rsidP="007C4955">
      <w:pPr>
        <w:pStyle w:val="Mail"/>
        <w:tabs>
          <w:tab w:val="left" w:pos="3510"/>
        </w:tabs>
        <w:contextualSpacing/>
        <w:rPr>
          <w:i/>
          <w:sz w:val="20"/>
        </w:rPr>
      </w:pPr>
      <w:r>
        <w:rPr>
          <w:lang w:val="x-none" w:eastAsia="x-none"/>
        </w:rPr>
        <w:drawing>
          <wp:inline distT="0" distB="0" distL="0" distR="0" wp14:anchorId="537906AD" wp14:editId="43F55EF2">
            <wp:extent cx="6120130" cy="3771900"/>
            <wp:effectExtent l="0" t="0" r="13970" b="0"/>
            <wp:docPr id="631855241" name="Graf 1">
              <a:extLst xmlns:a="http://schemas.openxmlformats.org/drawingml/2006/main">
                <a:ext uri="{FF2B5EF4-FFF2-40B4-BE49-F238E27FC236}">
                  <a16:creationId xmlns:a16="http://schemas.microsoft.com/office/drawing/2014/main" id="{690E8B85-D8DD-4FB5-BC0A-780DC0794B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bookmarkStart w:id="105" w:name="_MON_1366444500"/>
      <w:bookmarkStart w:id="106" w:name="_MON_1366444738"/>
      <w:bookmarkStart w:id="107" w:name="_MON_1366444752"/>
      <w:bookmarkStart w:id="108" w:name="_MON_1366444765"/>
      <w:bookmarkStart w:id="109" w:name="_MON_1366700973"/>
      <w:bookmarkStart w:id="110" w:name="_MON_1366701392"/>
      <w:bookmarkStart w:id="111" w:name="_MON_1366701525"/>
      <w:bookmarkStart w:id="112" w:name="_MON_1366701546"/>
      <w:bookmarkStart w:id="113" w:name="_MON_1398142197"/>
      <w:bookmarkStart w:id="114" w:name="_MON_1398142595"/>
      <w:bookmarkEnd w:id="105"/>
      <w:bookmarkEnd w:id="106"/>
      <w:bookmarkEnd w:id="107"/>
      <w:bookmarkEnd w:id="108"/>
      <w:bookmarkEnd w:id="109"/>
      <w:bookmarkEnd w:id="110"/>
      <w:bookmarkEnd w:id="111"/>
      <w:bookmarkEnd w:id="112"/>
      <w:bookmarkEnd w:id="113"/>
      <w:bookmarkEnd w:id="114"/>
      <w:r w:rsidR="00EE6F9C" w:rsidRPr="008B489D">
        <w:rPr>
          <w:rFonts w:ascii="Arial" w:hAnsi="Arial" w:cs="Arial"/>
          <w:i/>
          <w:sz w:val="20"/>
        </w:rPr>
        <w:t xml:space="preserve">Pramen: </w:t>
      </w:r>
      <w:r w:rsidR="00C627BC" w:rsidRPr="008B489D">
        <w:rPr>
          <w:rFonts w:ascii="Arial" w:hAnsi="Arial" w:cs="Arial"/>
          <w:i/>
          <w:sz w:val="20"/>
        </w:rPr>
        <w:t>ČSÚ, od roku 2024 MZe</w:t>
      </w:r>
    </w:p>
    <w:p w14:paraId="01D84C7F" w14:textId="77777777" w:rsidR="00950DEA" w:rsidRPr="008B489D" w:rsidRDefault="00950DEA" w:rsidP="007C4955">
      <w:pPr>
        <w:pStyle w:val="tabulka"/>
        <w:ind w:firstLine="567"/>
        <w:contextualSpacing/>
        <w:rPr>
          <w:color w:val="FF0000"/>
          <w:lang w:val="cs-CZ"/>
        </w:rPr>
      </w:pPr>
    </w:p>
    <w:p w14:paraId="61FB4AA6" w14:textId="34F5B4FF" w:rsidR="00EE6F9C" w:rsidRPr="008B489D" w:rsidRDefault="00EE6F9C" w:rsidP="007C4955">
      <w:pPr>
        <w:pStyle w:val="tabulka"/>
        <w:ind w:left="1276" w:hanging="1276"/>
        <w:contextualSpacing/>
        <w:rPr>
          <w:rFonts w:ascii="Arial" w:hAnsi="Arial" w:cs="Arial"/>
          <w:i/>
          <w:sz w:val="22"/>
          <w:szCs w:val="22"/>
        </w:rPr>
      </w:pPr>
      <w:r w:rsidRPr="008B489D">
        <w:rPr>
          <w:rFonts w:ascii="Arial" w:hAnsi="Arial" w:cs="Arial"/>
          <w:i/>
          <w:sz w:val="22"/>
          <w:szCs w:val="22"/>
        </w:rPr>
        <w:t>Graf</w:t>
      </w:r>
      <w:r w:rsidR="005C678F" w:rsidRPr="008B489D">
        <w:rPr>
          <w:rFonts w:ascii="Arial" w:hAnsi="Arial" w:cs="Arial"/>
          <w:i/>
          <w:sz w:val="22"/>
          <w:szCs w:val="22"/>
          <w:lang w:val="cs-CZ"/>
        </w:rPr>
        <w:t xml:space="preserve"> </w:t>
      </w:r>
      <w:r w:rsidR="002E3123" w:rsidRPr="008B489D">
        <w:rPr>
          <w:rFonts w:ascii="Arial" w:hAnsi="Arial" w:cs="Arial"/>
          <w:i/>
          <w:sz w:val="22"/>
          <w:szCs w:val="22"/>
          <w:lang w:val="cs-CZ"/>
        </w:rPr>
        <w:t>9</w:t>
      </w:r>
      <w:r w:rsidRPr="008B489D">
        <w:rPr>
          <w:rFonts w:ascii="Arial" w:hAnsi="Arial" w:cs="Arial"/>
          <w:i/>
          <w:sz w:val="22"/>
          <w:szCs w:val="22"/>
        </w:rPr>
        <w:t>.1.2  </w:t>
      </w:r>
    </w:p>
    <w:p w14:paraId="36B149D2" w14:textId="088874BF" w:rsidR="009223EA" w:rsidRPr="008B489D" w:rsidRDefault="009223EA" w:rsidP="009223EA">
      <w:pPr>
        <w:pStyle w:val="tabulka"/>
        <w:contextualSpacing/>
        <w:rPr>
          <w:rFonts w:ascii="Arial" w:hAnsi="Arial" w:cs="Arial"/>
          <w:i/>
          <w:sz w:val="22"/>
          <w:szCs w:val="22"/>
          <w:lang w:val="cs-CZ"/>
        </w:rPr>
      </w:pPr>
      <w:bookmarkStart w:id="115" w:name="_MON_1239711823"/>
      <w:bookmarkStart w:id="116" w:name="_MON_1239711945"/>
      <w:bookmarkStart w:id="117" w:name="_MON_1267948159"/>
      <w:bookmarkStart w:id="118" w:name="_MON_1272274077"/>
      <w:bookmarkStart w:id="119" w:name="_MON_1302348496"/>
      <w:bookmarkStart w:id="120" w:name="_MON_1331448424"/>
      <w:bookmarkStart w:id="121" w:name="_MON_1366438970"/>
      <w:bookmarkStart w:id="122" w:name="_MON_1366439756"/>
      <w:bookmarkStart w:id="123" w:name="_MON_1366439904"/>
      <w:bookmarkStart w:id="124" w:name="_MON_1398144117"/>
      <w:bookmarkEnd w:id="115"/>
      <w:bookmarkEnd w:id="116"/>
      <w:bookmarkEnd w:id="117"/>
      <w:bookmarkEnd w:id="118"/>
      <w:bookmarkEnd w:id="119"/>
      <w:bookmarkEnd w:id="120"/>
      <w:bookmarkEnd w:id="121"/>
      <w:bookmarkEnd w:id="122"/>
      <w:bookmarkEnd w:id="123"/>
      <w:bookmarkEnd w:id="124"/>
      <w:r w:rsidRPr="008B489D">
        <w:rPr>
          <w:rFonts w:ascii="Arial" w:hAnsi="Arial" w:cs="Arial"/>
          <w:i/>
          <w:sz w:val="22"/>
          <w:szCs w:val="22"/>
        </w:rPr>
        <w:t>Vývoj hodnot objemu vody vyrobené určené k realizaci a fakturované vody celkem v letech 1989 a</w:t>
      </w:r>
      <w:r w:rsidRPr="008B489D">
        <w:rPr>
          <w:rFonts w:ascii="Arial" w:hAnsi="Arial" w:cs="Arial"/>
          <w:i/>
          <w:sz w:val="22"/>
          <w:szCs w:val="22"/>
          <w:lang w:val="cs-CZ"/>
        </w:rPr>
        <w:t> </w:t>
      </w:r>
      <w:r w:rsidRPr="008B489D">
        <w:rPr>
          <w:rFonts w:ascii="Arial" w:hAnsi="Arial" w:cs="Arial"/>
          <w:i/>
          <w:sz w:val="22"/>
          <w:szCs w:val="22"/>
        </w:rPr>
        <w:t>20</w:t>
      </w:r>
      <w:r w:rsidRPr="008B489D">
        <w:rPr>
          <w:rFonts w:ascii="Arial" w:hAnsi="Arial" w:cs="Arial"/>
          <w:i/>
          <w:sz w:val="22"/>
          <w:szCs w:val="22"/>
          <w:lang w:val="cs-CZ"/>
        </w:rPr>
        <w:t>18</w:t>
      </w:r>
      <w:r w:rsidRPr="008B489D">
        <w:rPr>
          <w:rFonts w:ascii="Arial" w:hAnsi="Arial" w:cs="Arial"/>
          <w:i/>
          <w:sz w:val="22"/>
          <w:szCs w:val="22"/>
        </w:rPr>
        <w:t>–20</w:t>
      </w:r>
      <w:r w:rsidRPr="008B489D">
        <w:rPr>
          <w:rFonts w:ascii="Arial" w:hAnsi="Arial" w:cs="Arial"/>
          <w:i/>
          <w:sz w:val="22"/>
          <w:szCs w:val="22"/>
          <w:lang w:val="cs-CZ"/>
        </w:rPr>
        <w:t>2</w:t>
      </w:r>
      <w:r w:rsidR="00813928" w:rsidRPr="008B489D">
        <w:rPr>
          <w:rFonts w:ascii="Arial" w:hAnsi="Arial" w:cs="Arial"/>
          <w:i/>
          <w:sz w:val="22"/>
          <w:szCs w:val="22"/>
          <w:lang w:val="cs-CZ"/>
        </w:rPr>
        <w:t>5</w:t>
      </w:r>
    </w:p>
    <w:p w14:paraId="41A2F9B6" w14:textId="2F0314CB" w:rsidR="002E3123" w:rsidRDefault="002E3123" w:rsidP="00730483">
      <w:pPr>
        <w:pStyle w:val="tabulka"/>
        <w:contextualSpacing/>
        <w:rPr>
          <w:rFonts w:ascii="Arial" w:hAnsi="Arial" w:cs="Arial"/>
          <w:i/>
          <w:sz w:val="22"/>
          <w:szCs w:val="22"/>
          <w:highlight w:val="yellow"/>
          <w:lang w:val="cs-CZ"/>
        </w:rPr>
      </w:pPr>
    </w:p>
    <w:p w14:paraId="56E9C9E0" w14:textId="3FB07537" w:rsidR="00192EF6" w:rsidRPr="00104F7D" w:rsidRDefault="00192EF6" w:rsidP="00730483">
      <w:pPr>
        <w:pStyle w:val="tabulka"/>
        <w:contextualSpacing/>
        <w:rPr>
          <w:rFonts w:ascii="Arial" w:hAnsi="Arial" w:cs="Arial"/>
          <w:i/>
          <w:sz w:val="22"/>
          <w:szCs w:val="22"/>
          <w:highlight w:val="yellow"/>
          <w:lang w:val="cs-CZ"/>
        </w:rPr>
      </w:pPr>
      <w:r w:rsidRPr="00F504E4">
        <w:rPr>
          <w:noProof/>
          <w:highlight w:val="green"/>
        </w:rPr>
        <w:drawing>
          <wp:inline distT="0" distB="0" distL="0" distR="0" wp14:anchorId="6F8D85C9" wp14:editId="235262D0">
            <wp:extent cx="5787258" cy="3022772"/>
            <wp:effectExtent l="0" t="0" r="4445" b="6350"/>
            <wp:docPr id="1832466462" name="Graf 1">
              <a:extLst xmlns:a="http://schemas.openxmlformats.org/drawingml/2006/main">
                <a:ext uri="{FF2B5EF4-FFF2-40B4-BE49-F238E27FC236}">
                  <a16:creationId xmlns:a16="http://schemas.microsoft.com/office/drawing/2014/main" id="{65568E58-A6FA-4365-A24B-9F56236DFA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3D68C810" w14:textId="3C8F6355" w:rsidR="00EE6F9C" w:rsidRPr="008B489D" w:rsidRDefault="00EE6F9C" w:rsidP="007C4955">
      <w:pPr>
        <w:contextualSpacing/>
        <w:rPr>
          <w:rFonts w:cs="Arial"/>
          <w:i/>
          <w:sz w:val="20"/>
          <w:szCs w:val="20"/>
        </w:rPr>
      </w:pPr>
      <w:r w:rsidRPr="008B489D">
        <w:rPr>
          <w:rFonts w:cs="Arial"/>
          <w:i/>
          <w:sz w:val="20"/>
          <w:szCs w:val="20"/>
        </w:rPr>
        <w:t xml:space="preserve">Pramen: </w:t>
      </w:r>
      <w:r w:rsidR="00525699" w:rsidRPr="008B489D">
        <w:rPr>
          <w:rFonts w:cs="Arial"/>
          <w:i/>
          <w:sz w:val="20"/>
          <w:szCs w:val="20"/>
        </w:rPr>
        <w:t>ČSÚ, od roku 2024 MZe</w:t>
      </w:r>
    </w:p>
    <w:p w14:paraId="2A709C45" w14:textId="77777777" w:rsidR="00525699" w:rsidRPr="008B489D" w:rsidRDefault="00525699" w:rsidP="007C4955">
      <w:pPr>
        <w:contextualSpacing/>
        <w:rPr>
          <w:sz w:val="20"/>
          <w:szCs w:val="20"/>
        </w:rPr>
      </w:pPr>
    </w:p>
    <w:p w14:paraId="3D8C72CF" w14:textId="77777777" w:rsidR="007460DD" w:rsidRPr="008B489D" w:rsidRDefault="007460DD" w:rsidP="007460DD">
      <w:pPr>
        <w:pStyle w:val="nzevpodkapit"/>
        <w:keepNext w:val="0"/>
        <w:keepLines w:val="0"/>
        <w:widowControl/>
        <w:tabs>
          <w:tab w:val="left" w:pos="0"/>
        </w:tabs>
        <w:suppressAutoHyphens w:val="0"/>
        <w:spacing w:before="0" w:after="0"/>
        <w:contextualSpacing/>
        <w:outlineLvl w:val="9"/>
        <w:rPr>
          <w:rFonts w:ascii="Arial" w:hAnsi="Arial" w:cs="Arial"/>
          <w:b w:val="0"/>
          <w:sz w:val="22"/>
          <w:szCs w:val="22"/>
        </w:rPr>
      </w:pPr>
      <w:r w:rsidRPr="008B489D">
        <w:rPr>
          <w:rFonts w:ascii="Arial" w:hAnsi="Arial" w:cs="Arial"/>
          <w:b w:val="0"/>
          <w:sz w:val="22"/>
          <w:szCs w:val="22"/>
        </w:rPr>
        <w:t>Nejvyšší podíl obyvatel zásobených pitnou vodou z vodovodů byl v roce 2025 v Hlavním městě Praha (100 %)</w:t>
      </w:r>
      <w:r w:rsidRPr="008B489D">
        <w:rPr>
          <w:rFonts w:ascii="Arial" w:hAnsi="Arial" w:cs="Arial"/>
          <w:b w:val="0"/>
          <w:sz w:val="22"/>
          <w:szCs w:val="22"/>
          <w:lang w:val="cs-CZ"/>
        </w:rPr>
        <w:t>,</w:t>
      </w:r>
      <w:r w:rsidRPr="008B489D">
        <w:rPr>
          <w:rFonts w:ascii="Arial" w:hAnsi="Arial" w:cs="Arial"/>
          <w:b w:val="0"/>
          <w:sz w:val="22"/>
          <w:szCs w:val="22"/>
        </w:rPr>
        <w:t xml:space="preserve"> dále v Moravskoslezském kraji</w:t>
      </w:r>
      <w:r w:rsidRPr="008B489D" w:rsidDel="00CE564D">
        <w:rPr>
          <w:rFonts w:ascii="Arial" w:hAnsi="Arial" w:cs="Arial"/>
          <w:b w:val="0"/>
          <w:sz w:val="22"/>
          <w:szCs w:val="22"/>
        </w:rPr>
        <w:t xml:space="preserve"> </w:t>
      </w:r>
      <w:r w:rsidRPr="008B489D">
        <w:rPr>
          <w:rFonts w:ascii="Arial" w:hAnsi="Arial" w:cs="Arial"/>
          <w:b w:val="0"/>
          <w:sz w:val="22"/>
          <w:szCs w:val="22"/>
          <w:lang w:val="cs-CZ"/>
        </w:rPr>
        <w:t xml:space="preserve">(99,8 %) a v </w:t>
      </w:r>
      <w:r w:rsidRPr="008B489D">
        <w:rPr>
          <w:rFonts w:ascii="Arial" w:hAnsi="Arial" w:cs="Arial"/>
          <w:b w:val="0"/>
          <w:sz w:val="22"/>
          <w:szCs w:val="22"/>
        </w:rPr>
        <w:t xml:space="preserve">Ústeckém </w:t>
      </w:r>
      <w:r w:rsidRPr="008B489D">
        <w:rPr>
          <w:rFonts w:ascii="Arial" w:hAnsi="Arial" w:cs="Arial"/>
          <w:b w:val="0"/>
          <w:sz w:val="22"/>
          <w:szCs w:val="22"/>
          <w:lang w:val="cs-CZ"/>
        </w:rPr>
        <w:t>kraji (99,7 %). Nejnižší</w:t>
      </w:r>
      <w:r w:rsidRPr="008B489D">
        <w:rPr>
          <w:rFonts w:ascii="Arial" w:hAnsi="Arial" w:cs="Arial"/>
          <w:b w:val="0"/>
          <w:sz w:val="22"/>
          <w:szCs w:val="22"/>
        </w:rPr>
        <w:t xml:space="preserve"> podíl obyvatel zásobených pitnou vodou byl v kraji Plzeňském (8</w:t>
      </w:r>
      <w:r w:rsidRPr="008B489D">
        <w:rPr>
          <w:rFonts w:ascii="Arial" w:hAnsi="Arial" w:cs="Arial"/>
          <w:b w:val="0"/>
          <w:sz w:val="22"/>
          <w:szCs w:val="22"/>
          <w:lang w:val="cs-CZ"/>
        </w:rPr>
        <w:t>7,5</w:t>
      </w:r>
      <w:r w:rsidRPr="008B489D">
        <w:rPr>
          <w:rFonts w:ascii="Arial" w:hAnsi="Arial" w:cs="Arial"/>
          <w:b w:val="0"/>
          <w:sz w:val="22"/>
          <w:szCs w:val="22"/>
        </w:rPr>
        <w:t> %) a Středočeském (90,7 %).</w:t>
      </w:r>
    </w:p>
    <w:p w14:paraId="1BD7200B" w14:textId="77777777" w:rsidR="00250DF4" w:rsidRPr="008B489D" w:rsidRDefault="00250DF4" w:rsidP="007C4955">
      <w:pPr>
        <w:tabs>
          <w:tab w:val="left" w:pos="3261"/>
        </w:tabs>
        <w:contextualSpacing/>
        <w:rPr>
          <w:rFonts w:cs="Arial"/>
          <w:b/>
          <w:i/>
          <w:snapToGrid w:val="0"/>
        </w:rPr>
      </w:pPr>
    </w:p>
    <w:p w14:paraId="25B93C50" w14:textId="6D8B80BF" w:rsidR="00EE6F9C" w:rsidRPr="008B489D" w:rsidRDefault="00EE6F9C" w:rsidP="007C4955">
      <w:pPr>
        <w:tabs>
          <w:tab w:val="left" w:pos="3261"/>
        </w:tabs>
        <w:contextualSpacing/>
        <w:rPr>
          <w:rFonts w:cs="Arial"/>
          <w:b/>
          <w:i/>
          <w:snapToGrid w:val="0"/>
        </w:rPr>
      </w:pPr>
      <w:r w:rsidRPr="008B489D">
        <w:rPr>
          <w:rFonts w:cs="Arial"/>
          <w:b/>
          <w:i/>
          <w:snapToGrid w:val="0"/>
        </w:rPr>
        <w:t>Tabulka </w:t>
      </w:r>
      <w:r w:rsidR="002E3123" w:rsidRPr="008B489D">
        <w:rPr>
          <w:rFonts w:cs="Arial"/>
          <w:b/>
          <w:i/>
          <w:snapToGrid w:val="0"/>
        </w:rPr>
        <w:t>9</w:t>
      </w:r>
      <w:r w:rsidRPr="008B489D">
        <w:rPr>
          <w:rFonts w:cs="Arial"/>
          <w:b/>
          <w:i/>
          <w:snapToGrid w:val="0"/>
        </w:rPr>
        <w:t>.1.2  </w:t>
      </w:r>
    </w:p>
    <w:p w14:paraId="4E4B811C" w14:textId="241AB98F" w:rsidR="00EE6F9C" w:rsidRPr="008B489D" w:rsidRDefault="00EE6F9C" w:rsidP="007C4955">
      <w:pPr>
        <w:tabs>
          <w:tab w:val="left" w:pos="3261"/>
        </w:tabs>
        <w:contextualSpacing/>
        <w:rPr>
          <w:rFonts w:cs="Arial"/>
          <w:b/>
          <w:i/>
          <w:snapToGrid w:val="0"/>
        </w:rPr>
      </w:pPr>
      <w:r w:rsidRPr="008B489D">
        <w:rPr>
          <w:rFonts w:cs="Arial"/>
          <w:b/>
          <w:i/>
          <w:snapToGrid w:val="0"/>
        </w:rPr>
        <w:t>Zásobovaní obyvatelé, výroba a dodávka vody z vodovodů v roce 20</w:t>
      </w:r>
      <w:r w:rsidR="003F0157" w:rsidRPr="008B489D">
        <w:rPr>
          <w:rFonts w:cs="Arial"/>
          <w:b/>
          <w:i/>
          <w:snapToGrid w:val="0"/>
        </w:rPr>
        <w:t>2</w:t>
      </w:r>
      <w:r w:rsidR="002027DB" w:rsidRPr="008B489D">
        <w:rPr>
          <w:rFonts w:cs="Arial"/>
          <w:b/>
          <w:i/>
          <w:snapToGrid w:val="0"/>
        </w:rPr>
        <w:t>5</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75" w:type="dxa"/>
        </w:tblCellMar>
        <w:tblLook w:val="0000" w:firstRow="0" w:lastRow="0" w:firstColumn="0" w:lastColumn="0" w:noHBand="0" w:noVBand="0"/>
      </w:tblPr>
      <w:tblGrid>
        <w:gridCol w:w="2520"/>
        <w:gridCol w:w="1458"/>
        <w:gridCol w:w="1830"/>
        <w:gridCol w:w="1418"/>
        <w:gridCol w:w="1276"/>
        <w:gridCol w:w="1146"/>
      </w:tblGrid>
      <w:tr w:rsidR="001B1357" w:rsidRPr="008B489D" w14:paraId="5A2EF33B" w14:textId="77777777" w:rsidTr="00FA3EE8">
        <w:trPr>
          <w:cantSplit/>
          <w:trHeight w:val="20"/>
          <w:jc w:val="center"/>
        </w:trPr>
        <w:tc>
          <w:tcPr>
            <w:tcW w:w="2520" w:type="dxa"/>
            <w:vMerge w:val="restart"/>
            <w:shd w:val="clear" w:color="auto" w:fill="BFBFBF"/>
            <w:vAlign w:val="center"/>
          </w:tcPr>
          <w:p w14:paraId="5297163F" w14:textId="77777777" w:rsidR="001B1357" w:rsidRPr="008B489D" w:rsidRDefault="001B1357" w:rsidP="00FA3EE8">
            <w:pPr>
              <w:contextualSpacing/>
              <w:jc w:val="center"/>
              <w:rPr>
                <w:rFonts w:cs="Arial"/>
                <w:b/>
                <w:snapToGrid w:val="0"/>
                <w:sz w:val="16"/>
                <w:szCs w:val="16"/>
              </w:rPr>
            </w:pPr>
            <w:r w:rsidRPr="008B489D">
              <w:rPr>
                <w:rFonts w:cs="Arial"/>
                <w:b/>
                <w:snapToGrid w:val="0"/>
                <w:sz w:val="16"/>
                <w:szCs w:val="16"/>
              </w:rPr>
              <w:t>Kraj</w:t>
            </w:r>
          </w:p>
        </w:tc>
        <w:tc>
          <w:tcPr>
            <w:tcW w:w="3288" w:type="dxa"/>
            <w:gridSpan w:val="2"/>
            <w:shd w:val="clear" w:color="auto" w:fill="BFBFBF"/>
            <w:vAlign w:val="center"/>
          </w:tcPr>
          <w:p w14:paraId="093D58FD" w14:textId="77777777" w:rsidR="001B1357" w:rsidRPr="008B489D" w:rsidRDefault="001B1357" w:rsidP="00FA3EE8">
            <w:pPr>
              <w:contextualSpacing/>
              <w:jc w:val="center"/>
              <w:rPr>
                <w:rFonts w:cs="Arial"/>
                <w:b/>
                <w:snapToGrid w:val="0"/>
                <w:sz w:val="16"/>
                <w:szCs w:val="16"/>
              </w:rPr>
            </w:pPr>
            <w:r w:rsidRPr="008B489D">
              <w:rPr>
                <w:rFonts w:cs="Arial"/>
                <w:b/>
                <w:snapToGrid w:val="0"/>
                <w:sz w:val="16"/>
                <w:szCs w:val="16"/>
              </w:rPr>
              <w:t>Obyvatelé</w:t>
            </w:r>
          </w:p>
        </w:tc>
        <w:tc>
          <w:tcPr>
            <w:tcW w:w="1418" w:type="dxa"/>
            <w:vMerge w:val="restart"/>
            <w:shd w:val="clear" w:color="auto" w:fill="BFBFBF"/>
          </w:tcPr>
          <w:p w14:paraId="118B9D2E" w14:textId="6D531D47" w:rsidR="001B1357" w:rsidRPr="008B489D" w:rsidRDefault="001B1357" w:rsidP="00FA3EE8">
            <w:pPr>
              <w:contextualSpacing/>
              <w:jc w:val="center"/>
              <w:rPr>
                <w:rFonts w:cs="Arial"/>
                <w:b/>
                <w:snapToGrid w:val="0"/>
                <w:sz w:val="16"/>
                <w:szCs w:val="16"/>
              </w:rPr>
            </w:pPr>
            <w:r w:rsidRPr="008B489D">
              <w:rPr>
                <w:rFonts w:cs="Arial"/>
                <w:b/>
                <w:snapToGrid w:val="0"/>
                <w:sz w:val="16"/>
                <w:szCs w:val="16"/>
              </w:rPr>
              <w:t>Voda vyrobená</w:t>
            </w:r>
            <w:r w:rsidR="00DD1BBE" w:rsidRPr="008B489D">
              <w:rPr>
                <w:rFonts w:cs="Arial"/>
                <w:b/>
                <w:snapToGrid w:val="0"/>
                <w:sz w:val="16"/>
                <w:szCs w:val="16"/>
              </w:rPr>
              <w:t xml:space="preserve"> určená k realizaci</w:t>
            </w:r>
          </w:p>
        </w:tc>
        <w:tc>
          <w:tcPr>
            <w:tcW w:w="2422" w:type="dxa"/>
            <w:gridSpan w:val="2"/>
            <w:shd w:val="clear" w:color="auto" w:fill="BFBFBF"/>
            <w:vAlign w:val="center"/>
          </w:tcPr>
          <w:p w14:paraId="3419BB30" w14:textId="77777777" w:rsidR="001B1357" w:rsidRPr="008B489D" w:rsidRDefault="001B1357" w:rsidP="00FA3EE8">
            <w:pPr>
              <w:contextualSpacing/>
              <w:jc w:val="center"/>
              <w:rPr>
                <w:rFonts w:cs="Arial"/>
                <w:b/>
                <w:snapToGrid w:val="0"/>
                <w:sz w:val="16"/>
                <w:szCs w:val="16"/>
              </w:rPr>
            </w:pPr>
            <w:r w:rsidRPr="008B489D">
              <w:rPr>
                <w:rFonts w:cs="Arial"/>
                <w:b/>
                <w:snapToGrid w:val="0"/>
                <w:sz w:val="16"/>
                <w:szCs w:val="16"/>
              </w:rPr>
              <w:t>Voda fakturovaná</w:t>
            </w:r>
          </w:p>
        </w:tc>
      </w:tr>
      <w:tr w:rsidR="001B1357" w:rsidRPr="008B489D" w14:paraId="385DBFDD" w14:textId="77777777" w:rsidTr="00FA3EE8">
        <w:trPr>
          <w:cantSplit/>
          <w:trHeight w:val="20"/>
          <w:jc w:val="center"/>
        </w:trPr>
        <w:tc>
          <w:tcPr>
            <w:tcW w:w="2520" w:type="dxa"/>
            <w:vMerge/>
            <w:shd w:val="clear" w:color="auto" w:fill="BFBFBF"/>
            <w:vAlign w:val="center"/>
          </w:tcPr>
          <w:p w14:paraId="5636139F" w14:textId="77777777" w:rsidR="001B1357" w:rsidRPr="008B489D" w:rsidRDefault="001B1357" w:rsidP="00FA3EE8">
            <w:pPr>
              <w:contextualSpacing/>
              <w:jc w:val="center"/>
              <w:rPr>
                <w:rFonts w:cs="Arial"/>
                <w:b/>
                <w:snapToGrid w:val="0"/>
                <w:sz w:val="16"/>
                <w:szCs w:val="16"/>
              </w:rPr>
            </w:pPr>
          </w:p>
        </w:tc>
        <w:tc>
          <w:tcPr>
            <w:tcW w:w="1458" w:type="dxa"/>
            <w:shd w:val="clear" w:color="auto" w:fill="BFBFBF"/>
            <w:vAlign w:val="center"/>
          </w:tcPr>
          <w:p w14:paraId="739B97E5" w14:textId="77777777" w:rsidR="001B1357" w:rsidRPr="008B489D" w:rsidRDefault="001B1357" w:rsidP="00FA3EE8">
            <w:pPr>
              <w:contextualSpacing/>
              <w:jc w:val="center"/>
              <w:rPr>
                <w:rFonts w:cs="Arial"/>
                <w:b/>
                <w:snapToGrid w:val="0"/>
                <w:sz w:val="16"/>
                <w:szCs w:val="16"/>
              </w:rPr>
            </w:pPr>
            <w:r w:rsidRPr="008B489D">
              <w:rPr>
                <w:rFonts w:cs="Arial"/>
                <w:b/>
                <w:snapToGrid w:val="0"/>
                <w:sz w:val="16"/>
                <w:szCs w:val="16"/>
              </w:rPr>
              <w:t>zásobovaní vodou z vodovodů</w:t>
            </w:r>
          </w:p>
        </w:tc>
        <w:tc>
          <w:tcPr>
            <w:tcW w:w="1830" w:type="dxa"/>
            <w:shd w:val="clear" w:color="auto" w:fill="BFBFBF"/>
            <w:vAlign w:val="center"/>
          </w:tcPr>
          <w:p w14:paraId="331F23EE" w14:textId="77777777" w:rsidR="001B1357" w:rsidRPr="008B489D" w:rsidRDefault="001B1357" w:rsidP="00FA3EE8">
            <w:pPr>
              <w:contextualSpacing/>
              <w:jc w:val="center"/>
              <w:rPr>
                <w:rFonts w:cs="Arial"/>
                <w:b/>
                <w:snapToGrid w:val="0"/>
                <w:sz w:val="16"/>
                <w:szCs w:val="16"/>
              </w:rPr>
            </w:pPr>
            <w:r w:rsidRPr="008B489D">
              <w:rPr>
                <w:rFonts w:cs="Arial"/>
                <w:b/>
                <w:snapToGrid w:val="0"/>
                <w:sz w:val="16"/>
                <w:szCs w:val="16"/>
              </w:rPr>
              <w:t>podíl obyvatel zásobovaných vodou z celkového počtu</w:t>
            </w:r>
          </w:p>
        </w:tc>
        <w:tc>
          <w:tcPr>
            <w:tcW w:w="1418" w:type="dxa"/>
            <w:vMerge/>
            <w:shd w:val="clear" w:color="auto" w:fill="BFBFBF"/>
            <w:vAlign w:val="center"/>
          </w:tcPr>
          <w:p w14:paraId="4CB21F20" w14:textId="77777777" w:rsidR="001B1357" w:rsidRPr="008B489D" w:rsidRDefault="001B1357" w:rsidP="00FA3EE8">
            <w:pPr>
              <w:contextualSpacing/>
              <w:jc w:val="center"/>
              <w:rPr>
                <w:rFonts w:cs="Arial"/>
                <w:b/>
                <w:snapToGrid w:val="0"/>
                <w:sz w:val="16"/>
                <w:szCs w:val="16"/>
              </w:rPr>
            </w:pPr>
          </w:p>
        </w:tc>
        <w:tc>
          <w:tcPr>
            <w:tcW w:w="1276" w:type="dxa"/>
            <w:shd w:val="clear" w:color="auto" w:fill="BFBFBF"/>
            <w:vAlign w:val="center"/>
          </w:tcPr>
          <w:p w14:paraId="6860FB45" w14:textId="77777777" w:rsidR="001B1357" w:rsidRPr="008B489D" w:rsidRDefault="001B1357" w:rsidP="00FA3EE8">
            <w:pPr>
              <w:contextualSpacing/>
              <w:jc w:val="center"/>
              <w:rPr>
                <w:rFonts w:cs="Arial"/>
                <w:b/>
                <w:snapToGrid w:val="0"/>
                <w:sz w:val="16"/>
                <w:szCs w:val="16"/>
              </w:rPr>
            </w:pPr>
            <w:r w:rsidRPr="008B489D">
              <w:rPr>
                <w:rFonts w:cs="Arial"/>
                <w:b/>
                <w:snapToGrid w:val="0"/>
                <w:sz w:val="16"/>
                <w:szCs w:val="16"/>
              </w:rPr>
              <w:t>celkem</w:t>
            </w:r>
          </w:p>
        </w:tc>
        <w:tc>
          <w:tcPr>
            <w:tcW w:w="1146" w:type="dxa"/>
            <w:shd w:val="clear" w:color="auto" w:fill="BFBFBF"/>
            <w:vAlign w:val="center"/>
          </w:tcPr>
          <w:p w14:paraId="6B946E70" w14:textId="77777777" w:rsidR="001B1357" w:rsidRPr="008B489D" w:rsidRDefault="001B1357" w:rsidP="00FA3EE8">
            <w:pPr>
              <w:contextualSpacing/>
              <w:jc w:val="center"/>
              <w:rPr>
                <w:rFonts w:cs="Arial"/>
                <w:b/>
                <w:snapToGrid w:val="0"/>
                <w:sz w:val="16"/>
                <w:szCs w:val="16"/>
              </w:rPr>
            </w:pPr>
            <w:r w:rsidRPr="008B489D">
              <w:rPr>
                <w:rFonts w:cs="Arial"/>
                <w:b/>
                <w:snapToGrid w:val="0"/>
                <w:sz w:val="16"/>
                <w:szCs w:val="16"/>
              </w:rPr>
              <w:t>z toho pro domácnosti</w:t>
            </w:r>
          </w:p>
        </w:tc>
      </w:tr>
      <w:tr w:rsidR="001B1357" w:rsidRPr="008B489D" w14:paraId="3A96A8D9" w14:textId="77777777" w:rsidTr="00FA3EE8">
        <w:trPr>
          <w:cantSplit/>
          <w:trHeight w:val="20"/>
          <w:jc w:val="center"/>
        </w:trPr>
        <w:tc>
          <w:tcPr>
            <w:tcW w:w="2520" w:type="dxa"/>
            <w:vMerge/>
            <w:shd w:val="clear" w:color="auto" w:fill="BFBFBF"/>
            <w:vAlign w:val="center"/>
          </w:tcPr>
          <w:p w14:paraId="7F9660D1" w14:textId="77777777" w:rsidR="001B1357" w:rsidRPr="008B489D" w:rsidRDefault="001B1357" w:rsidP="00FA3EE8">
            <w:pPr>
              <w:contextualSpacing/>
              <w:jc w:val="right"/>
              <w:rPr>
                <w:rFonts w:cs="Arial"/>
                <w:snapToGrid w:val="0"/>
                <w:sz w:val="16"/>
                <w:szCs w:val="16"/>
              </w:rPr>
            </w:pPr>
          </w:p>
        </w:tc>
        <w:tc>
          <w:tcPr>
            <w:tcW w:w="1458" w:type="dxa"/>
            <w:shd w:val="clear" w:color="auto" w:fill="BFBFBF"/>
            <w:vAlign w:val="center"/>
          </w:tcPr>
          <w:p w14:paraId="470D2278" w14:textId="77777777" w:rsidR="001B1357" w:rsidRPr="008B489D" w:rsidRDefault="001B1357" w:rsidP="00FA3EE8">
            <w:pPr>
              <w:contextualSpacing/>
              <w:jc w:val="center"/>
              <w:rPr>
                <w:rFonts w:cs="Arial"/>
                <w:snapToGrid w:val="0"/>
                <w:sz w:val="16"/>
                <w:szCs w:val="16"/>
              </w:rPr>
            </w:pPr>
            <w:r w:rsidRPr="008B489D">
              <w:rPr>
                <w:rFonts w:cs="Arial"/>
                <w:snapToGrid w:val="0"/>
                <w:sz w:val="16"/>
                <w:szCs w:val="16"/>
              </w:rPr>
              <w:t>(počet)</w:t>
            </w:r>
          </w:p>
        </w:tc>
        <w:tc>
          <w:tcPr>
            <w:tcW w:w="1830" w:type="dxa"/>
            <w:shd w:val="clear" w:color="auto" w:fill="BFBFBF"/>
            <w:vAlign w:val="center"/>
          </w:tcPr>
          <w:p w14:paraId="5DF028D6" w14:textId="77777777" w:rsidR="001B1357" w:rsidRPr="008B489D" w:rsidRDefault="001B1357" w:rsidP="00FA3EE8">
            <w:pPr>
              <w:contextualSpacing/>
              <w:jc w:val="center"/>
              <w:rPr>
                <w:rFonts w:cs="Arial"/>
                <w:snapToGrid w:val="0"/>
                <w:sz w:val="16"/>
                <w:szCs w:val="16"/>
              </w:rPr>
            </w:pPr>
            <w:r w:rsidRPr="008B489D">
              <w:rPr>
                <w:rFonts w:cs="Arial"/>
                <w:snapToGrid w:val="0"/>
                <w:sz w:val="16"/>
                <w:szCs w:val="16"/>
              </w:rPr>
              <w:t>(%)</w:t>
            </w:r>
          </w:p>
        </w:tc>
        <w:tc>
          <w:tcPr>
            <w:tcW w:w="1418" w:type="dxa"/>
            <w:shd w:val="clear" w:color="auto" w:fill="BFBFBF"/>
            <w:vAlign w:val="center"/>
          </w:tcPr>
          <w:p w14:paraId="615B9260" w14:textId="77777777" w:rsidR="001B1357" w:rsidRPr="008B489D" w:rsidRDefault="001B1357" w:rsidP="00FA3EE8">
            <w:pPr>
              <w:contextualSpacing/>
              <w:jc w:val="center"/>
              <w:rPr>
                <w:rFonts w:cs="Arial"/>
                <w:snapToGrid w:val="0"/>
                <w:sz w:val="16"/>
                <w:szCs w:val="16"/>
              </w:rPr>
            </w:pPr>
            <w:r w:rsidRPr="008B489D">
              <w:rPr>
                <w:rFonts w:cs="Arial"/>
                <w:snapToGrid w:val="0"/>
                <w:sz w:val="16"/>
                <w:szCs w:val="16"/>
              </w:rPr>
              <w:t>(tis. m</w:t>
            </w:r>
            <w:r w:rsidRPr="008B489D">
              <w:rPr>
                <w:rFonts w:cs="Arial"/>
                <w:snapToGrid w:val="0"/>
                <w:sz w:val="16"/>
                <w:szCs w:val="16"/>
                <w:vertAlign w:val="superscript"/>
              </w:rPr>
              <w:t>3</w:t>
            </w:r>
            <w:r w:rsidRPr="008B489D">
              <w:rPr>
                <w:rFonts w:cs="Arial"/>
                <w:snapToGrid w:val="0"/>
                <w:sz w:val="16"/>
                <w:szCs w:val="16"/>
              </w:rPr>
              <w:t>)</w:t>
            </w:r>
          </w:p>
        </w:tc>
        <w:tc>
          <w:tcPr>
            <w:tcW w:w="1276" w:type="dxa"/>
            <w:shd w:val="clear" w:color="auto" w:fill="BFBFBF"/>
            <w:vAlign w:val="center"/>
          </w:tcPr>
          <w:p w14:paraId="110B57A7" w14:textId="77777777" w:rsidR="001B1357" w:rsidRPr="008B489D" w:rsidRDefault="001B1357" w:rsidP="00FA3EE8">
            <w:pPr>
              <w:contextualSpacing/>
              <w:jc w:val="center"/>
              <w:rPr>
                <w:rFonts w:cs="Arial"/>
                <w:snapToGrid w:val="0"/>
                <w:sz w:val="16"/>
                <w:szCs w:val="16"/>
              </w:rPr>
            </w:pPr>
            <w:r w:rsidRPr="008B489D">
              <w:rPr>
                <w:rFonts w:cs="Arial"/>
                <w:snapToGrid w:val="0"/>
                <w:sz w:val="16"/>
                <w:szCs w:val="16"/>
              </w:rPr>
              <w:t>(tis. m</w:t>
            </w:r>
            <w:r w:rsidRPr="008B489D">
              <w:rPr>
                <w:rFonts w:cs="Arial"/>
                <w:snapToGrid w:val="0"/>
                <w:sz w:val="16"/>
                <w:szCs w:val="16"/>
                <w:vertAlign w:val="superscript"/>
              </w:rPr>
              <w:t>3</w:t>
            </w:r>
            <w:r w:rsidRPr="008B489D">
              <w:rPr>
                <w:rFonts w:cs="Arial"/>
                <w:snapToGrid w:val="0"/>
                <w:sz w:val="16"/>
                <w:szCs w:val="16"/>
              </w:rPr>
              <w:t>)</w:t>
            </w:r>
          </w:p>
        </w:tc>
        <w:tc>
          <w:tcPr>
            <w:tcW w:w="1146" w:type="dxa"/>
            <w:shd w:val="clear" w:color="auto" w:fill="BFBFBF"/>
            <w:vAlign w:val="center"/>
          </w:tcPr>
          <w:p w14:paraId="7B2E4EEC" w14:textId="77777777" w:rsidR="001B1357" w:rsidRPr="008B489D" w:rsidRDefault="001B1357" w:rsidP="00FA3EE8">
            <w:pPr>
              <w:contextualSpacing/>
              <w:jc w:val="center"/>
              <w:rPr>
                <w:rFonts w:cs="Arial"/>
                <w:snapToGrid w:val="0"/>
                <w:sz w:val="16"/>
                <w:szCs w:val="16"/>
              </w:rPr>
            </w:pPr>
            <w:r w:rsidRPr="008B489D">
              <w:rPr>
                <w:rFonts w:cs="Arial"/>
                <w:snapToGrid w:val="0"/>
                <w:sz w:val="16"/>
                <w:szCs w:val="16"/>
              </w:rPr>
              <w:t>(tis. m</w:t>
            </w:r>
            <w:r w:rsidRPr="008B489D">
              <w:rPr>
                <w:rFonts w:cs="Arial"/>
                <w:snapToGrid w:val="0"/>
                <w:sz w:val="16"/>
                <w:szCs w:val="16"/>
                <w:vertAlign w:val="superscript"/>
              </w:rPr>
              <w:t>3</w:t>
            </w:r>
            <w:r w:rsidRPr="008B489D">
              <w:rPr>
                <w:rFonts w:cs="Arial"/>
                <w:snapToGrid w:val="0"/>
                <w:sz w:val="16"/>
                <w:szCs w:val="16"/>
              </w:rPr>
              <w:t>)</w:t>
            </w:r>
          </w:p>
        </w:tc>
      </w:tr>
      <w:tr w:rsidR="00F4220B" w:rsidRPr="008B489D" w14:paraId="27D8C7A1" w14:textId="77777777" w:rsidTr="00FA3EE8">
        <w:trPr>
          <w:trHeight w:val="240"/>
          <w:jc w:val="center"/>
        </w:trPr>
        <w:tc>
          <w:tcPr>
            <w:tcW w:w="2520" w:type="dxa"/>
            <w:vAlign w:val="center"/>
          </w:tcPr>
          <w:p w14:paraId="40D86313" w14:textId="77777777" w:rsidR="00F4220B" w:rsidRPr="008B489D" w:rsidRDefault="00F4220B" w:rsidP="00F4220B">
            <w:pPr>
              <w:contextualSpacing/>
              <w:jc w:val="left"/>
              <w:rPr>
                <w:rFonts w:cs="Arial"/>
                <w:snapToGrid w:val="0"/>
                <w:sz w:val="16"/>
                <w:szCs w:val="16"/>
              </w:rPr>
            </w:pPr>
            <w:r w:rsidRPr="008B489D">
              <w:rPr>
                <w:rFonts w:cs="Arial"/>
                <w:snapToGrid w:val="0"/>
                <w:sz w:val="16"/>
                <w:szCs w:val="16"/>
              </w:rPr>
              <w:t>Hl. město Praha</w:t>
            </w:r>
          </w:p>
        </w:tc>
        <w:tc>
          <w:tcPr>
            <w:tcW w:w="1458" w:type="dxa"/>
            <w:vAlign w:val="center"/>
          </w:tcPr>
          <w:p w14:paraId="485DAC5D" w14:textId="41EA9D8E" w:rsidR="00F4220B" w:rsidRPr="008B489D" w:rsidRDefault="00F4220B" w:rsidP="00F4220B">
            <w:pPr>
              <w:contextualSpacing/>
              <w:jc w:val="right"/>
              <w:rPr>
                <w:rFonts w:cs="Arial"/>
                <w:sz w:val="16"/>
                <w:szCs w:val="16"/>
              </w:rPr>
            </w:pPr>
            <w:r w:rsidRPr="008B489D">
              <w:rPr>
                <w:rFonts w:cs="Arial"/>
                <w:sz w:val="16"/>
                <w:szCs w:val="16"/>
              </w:rPr>
              <w:t>1 398 674</w:t>
            </w:r>
          </w:p>
        </w:tc>
        <w:tc>
          <w:tcPr>
            <w:tcW w:w="1830" w:type="dxa"/>
            <w:vAlign w:val="center"/>
          </w:tcPr>
          <w:p w14:paraId="4CAA4B2B" w14:textId="3F5982B4" w:rsidR="00F4220B" w:rsidRPr="008B489D" w:rsidRDefault="00F4220B" w:rsidP="00F4220B">
            <w:pPr>
              <w:contextualSpacing/>
              <w:jc w:val="center"/>
              <w:rPr>
                <w:rFonts w:cs="Arial"/>
                <w:sz w:val="16"/>
                <w:szCs w:val="16"/>
              </w:rPr>
            </w:pPr>
            <w:r w:rsidRPr="008B489D">
              <w:rPr>
                <w:rFonts w:cs="Arial"/>
                <w:sz w:val="16"/>
                <w:szCs w:val="16"/>
              </w:rPr>
              <w:t>100,0</w:t>
            </w:r>
          </w:p>
        </w:tc>
        <w:tc>
          <w:tcPr>
            <w:tcW w:w="1418" w:type="dxa"/>
            <w:vAlign w:val="center"/>
          </w:tcPr>
          <w:p w14:paraId="3C12933A" w14:textId="67F81A6A" w:rsidR="00F4220B" w:rsidRPr="008B489D" w:rsidRDefault="00F4220B" w:rsidP="00F4220B">
            <w:pPr>
              <w:contextualSpacing/>
              <w:jc w:val="right"/>
              <w:rPr>
                <w:rFonts w:cs="Arial"/>
                <w:sz w:val="16"/>
                <w:szCs w:val="16"/>
              </w:rPr>
            </w:pPr>
            <w:r w:rsidRPr="008B489D">
              <w:rPr>
                <w:rFonts w:cs="Arial"/>
                <w:sz w:val="16"/>
                <w:szCs w:val="16"/>
              </w:rPr>
              <w:t>96 696</w:t>
            </w:r>
          </w:p>
        </w:tc>
        <w:tc>
          <w:tcPr>
            <w:tcW w:w="1276" w:type="dxa"/>
            <w:vAlign w:val="center"/>
          </w:tcPr>
          <w:p w14:paraId="2FA6F369" w14:textId="341A4B58" w:rsidR="00F4220B" w:rsidRPr="008B489D" w:rsidRDefault="00F4220B" w:rsidP="00F4220B">
            <w:pPr>
              <w:contextualSpacing/>
              <w:jc w:val="right"/>
              <w:rPr>
                <w:rFonts w:cs="Arial"/>
                <w:sz w:val="16"/>
                <w:szCs w:val="16"/>
              </w:rPr>
            </w:pPr>
            <w:r w:rsidRPr="008B489D">
              <w:rPr>
                <w:rFonts w:cs="Arial"/>
                <w:sz w:val="16"/>
                <w:szCs w:val="16"/>
              </w:rPr>
              <w:t>80 404</w:t>
            </w:r>
          </w:p>
        </w:tc>
        <w:tc>
          <w:tcPr>
            <w:tcW w:w="1146" w:type="dxa"/>
            <w:vAlign w:val="center"/>
          </w:tcPr>
          <w:p w14:paraId="32D4C6BB" w14:textId="1A95DAF3" w:rsidR="00F4220B" w:rsidRPr="008B489D" w:rsidRDefault="00F4220B" w:rsidP="00F4220B">
            <w:pPr>
              <w:contextualSpacing/>
              <w:jc w:val="right"/>
              <w:rPr>
                <w:rFonts w:cs="Arial"/>
                <w:sz w:val="16"/>
                <w:szCs w:val="16"/>
              </w:rPr>
            </w:pPr>
            <w:r w:rsidRPr="008B489D">
              <w:rPr>
                <w:rFonts w:cs="Arial"/>
                <w:sz w:val="16"/>
                <w:szCs w:val="16"/>
              </w:rPr>
              <w:t>54 544</w:t>
            </w:r>
          </w:p>
        </w:tc>
      </w:tr>
      <w:tr w:rsidR="00F4220B" w:rsidRPr="008B489D" w14:paraId="1433C4F5" w14:textId="77777777" w:rsidTr="00FA3EE8">
        <w:trPr>
          <w:trHeight w:val="240"/>
          <w:jc w:val="center"/>
        </w:trPr>
        <w:tc>
          <w:tcPr>
            <w:tcW w:w="2520" w:type="dxa"/>
            <w:vAlign w:val="center"/>
          </w:tcPr>
          <w:p w14:paraId="426F4135" w14:textId="77777777" w:rsidR="00F4220B" w:rsidRPr="008B489D" w:rsidRDefault="00F4220B" w:rsidP="00F4220B">
            <w:pPr>
              <w:contextualSpacing/>
              <w:jc w:val="left"/>
              <w:rPr>
                <w:rFonts w:cs="Arial"/>
                <w:snapToGrid w:val="0"/>
                <w:sz w:val="16"/>
                <w:szCs w:val="16"/>
              </w:rPr>
            </w:pPr>
            <w:r w:rsidRPr="008B489D">
              <w:rPr>
                <w:rFonts w:cs="Arial"/>
                <w:snapToGrid w:val="0"/>
                <w:sz w:val="16"/>
                <w:szCs w:val="16"/>
              </w:rPr>
              <w:t>Středočeský kraj</w:t>
            </w:r>
          </w:p>
        </w:tc>
        <w:tc>
          <w:tcPr>
            <w:tcW w:w="1458" w:type="dxa"/>
            <w:vAlign w:val="center"/>
          </w:tcPr>
          <w:p w14:paraId="4125604D" w14:textId="1546862C" w:rsidR="00F4220B" w:rsidRPr="008B489D" w:rsidRDefault="00F4220B" w:rsidP="00F4220B">
            <w:pPr>
              <w:contextualSpacing/>
              <w:jc w:val="right"/>
              <w:rPr>
                <w:rFonts w:cs="Arial"/>
                <w:sz w:val="16"/>
                <w:szCs w:val="16"/>
              </w:rPr>
            </w:pPr>
            <w:r w:rsidRPr="008B489D">
              <w:rPr>
                <w:rFonts w:cs="Arial"/>
                <w:sz w:val="16"/>
                <w:szCs w:val="16"/>
              </w:rPr>
              <w:t>1 332 220</w:t>
            </w:r>
          </w:p>
        </w:tc>
        <w:tc>
          <w:tcPr>
            <w:tcW w:w="1830" w:type="dxa"/>
            <w:vAlign w:val="center"/>
          </w:tcPr>
          <w:p w14:paraId="51EC3FD7" w14:textId="07A5C906" w:rsidR="00F4220B" w:rsidRPr="008B489D" w:rsidRDefault="00F4220B" w:rsidP="00F4220B">
            <w:pPr>
              <w:contextualSpacing/>
              <w:jc w:val="center"/>
              <w:rPr>
                <w:rFonts w:cs="Arial"/>
                <w:sz w:val="16"/>
                <w:szCs w:val="16"/>
              </w:rPr>
            </w:pPr>
            <w:r w:rsidRPr="008B489D">
              <w:rPr>
                <w:rFonts w:cs="Arial"/>
                <w:sz w:val="16"/>
                <w:szCs w:val="16"/>
              </w:rPr>
              <w:t>90,7</w:t>
            </w:r>
          </w:p>
        </w:tc>
        <w:tc>
          <w:tcPr>
            <w:tcW w:w="1418" w:type="dxa"/>
            <w:vAlign w:val="center"/>
          </w:tcPr>
          <w:p w14:paraId="6F59FB16" w14:textId="7E1D90A4" w:rsidR="00F4220B" w:rsidRPr="008B489D" w:rsidRDefault="00F4220B" w:rsidP="00F4220B">
            <w:pPr>
              <w:contextualSpacing/>
              <w:jc w:val="right"/>
              <w:rPr>
                <w:rFonts w:cs="Arial"/>
                <w:sz w:val="16"/>
                <w:szCs w:val="16"/>
              </w:rPr>
            </w:pPr>
            <w:r w:rsidRPr="008B489D">
              <w:rPr>
                <w:rFonts w:cs="Arial"/>
                <w:sz w:val="16"/>
                <w:szCs w:val="16"/>
              </w:rPr>
              <w:t>69 286</w:t>
            </w:r>
          </w:p>
        </w:tc>
        <w:tc>
          <w:tcPr>
            <w:tcW w:w="1276" w:type="dxa"/>
            <w:vAlign w:val="center"/>
          </w:tcPr>
          <w:p w14:paraId="6A026EFB" w14:textId="4F42DCE3" w:rsidR="00F4220B" w:rsidRPr="008B489D" w:rsidRDefault="00F4220B" w:rsidP="00F4220B">
            <w:pPr>
              <w:contextualSpacing/>
              <w:jc w:val="right"/>
              <w:rPr>
                <w:rFonts w:cs="Arial"/>
                <w:sz w:val="16"/>
                <w:szCs w:val="16"/>
              </w:rPr>
            </w:pPr>
            <w:r w:rsidRPr="008B489D">
              <w:rPr>
                <w:rFonts w:cs="Arial"/>
                <w:sz w:val="16"/>
                <w:szCs w:val="16"/>
              </w:rPr>
              <w:t>58 199</w:t>
            </w:r>
          </w:p>
        </w:tc>
        <w:tc>
          <w:tcPr>
            <w:tcW w:w="1146" w:type="dxa"/>
            <w:vAlign w:val="center"/>
          </w:tcPr>
          <w:p w14:paraId="7A6873EA" w14:textId="5320CD4D" w:rsidR="00F4220B" w:rsidRPr="008B489D" w:rsidRDefault="00F4220B" w:rsidP="00F4220B">
            <w:pPr>
              <w:contextualSpacing/>
              <w:jc w:val="right"/>
              <w:rPr>
                <w:rFonts w:cs="Arial"/>
                <w:sz w:val="16"/>
                <w:szCs w:val="16"/>
              </w:rPr>
            </w:pPr>
            <w:r w:rsidRPr="008B489D">
              <w:rPr>
                <w:rFonts w:cs="Arial"/>
                <w:sz w:val="16"/>
                <w:szCs w:val="16"/>
              </w:rPr>
              <w:t>41 884</w:t>
            </w:r>
          </w:p>
        </w:tc>
      </w:tr>
      <w:tr w:rsidR="00F4220B" w:rsidRPr="008B489D" w14:paraId="5E567AE8" w14:textId="77777777" w:rsidTr="00FA3EE8">
        <w:trPr>
          <w:trHeight w:val="240"/>
          <w:jc w:val="center"/>
        </w:trPr>
        <w:tc>
          <w:tcPr>
            <w:tcW w:w="2520" w:type="dxa"/>
            <w:vAlign w:val="center"/>
          </w:tcPr>
          <w:p w14:paraId="2117A2AE" w14:textId="77777777" w:rsidR="00F4220B" w:rsidRPr="008B489D" w:rsidRDefault="00F4220B" w:rsidP="00F4220B">
            <w:pPr>
              <w:contextualSpacing/>
              <w:jc w:val="left"/>
              <w:rPr>
                <w:rFonts w:cs="Arial"/>
                <w:snapToGrid w:val="0"/>
                <w:sz w:val="16"/>
                <w:szCs w:val="16"/>
              </w:rPr>
            </w:pPr>
            <w:r w:rsidRPr="008B489D">
              <w:rPr>
                <w:rFonts w:cs="Arial"/>
                <w:snapToGrid w:val="0"/>
                <w:sz w:val="16"/>
                <w:szCs w:val="16"/>
              </w:rPr>
              <w:t>Jihočeský kraj</w:t>
            </w:r>
          </w:p>
        </w:tc>
        <w:tc>
          <w:tcPr>
            <w:tcW w:w="1458" w:type="dxa"/>
            <w:vAlign w:val="center"/>
          </w:tcPr>
          <w:p w14:paraId="22C89F1E" w14:textId="2C70DED6" w:rsidR="00F4220B" w:rsidRPr="008B489D" w:rsidRDefault="00F4220B" w:rsidP="00F4220B">
            <w:pPr>
              <w:contextualSpacing/>
              <w:jc w:val="right"/>
              <w:rPr>
                <w:rFonts w:cs="Arial"/>
                <w:sz w:val="16"/>
                <w:szCs w:val="16"/>
              </w:rPr>
            </w:pPr>
            <w:r w:rsidRPr="008B489D">
              <w:rPr>
                <w:rFonts w:cs="Arial"/>
                <w:sz w:val="16"/>
                <w:szCs w:val="16"/>
              </w:rPr>
              <w:t>593 201</w:t>
            </w:r>
          </w:p>
        </w:tc>
        <w:tc>
          <w:tcPr>
            <w:tcW w:w="1830" w:type="dxa"/>
            <w:vAlign w:val="center"/>
          </w:tcPr>
          <w:p w14:paraId="058CF454" w14:textId="012185BF" w:rsidR="00F4220B" w:rsidRPr="008B489D" w:rsidRDefault="00F4220B" w:rsidP="00F4220B">
            <w:pPr>
              <w:contextualSpacing/>
              <w:jc w:val="center"/>
              <w:rPr>
                <w:rFonts w:cs="Arial"/>
                <w:sz w:val="16"/>
                <w:szCs w:val="16"/>
              </w:rPr>
            </w:pPr>
            <w:r w:rsidRPr="008B489D">
              <w:rPr>
                <w:rFonts w:cs="Arial"/>
                <w:sz w:val="16"/>
                <w:szCs w:val="16"/>
              </w:rPr>
              <w:t>90,9</w:t>
            </w:r>
          </w:p>
        </w:tc>
        <w:tc>
          <w:tcPr>
            <w:tcW w:w="1418" w:type="dxa"/>
            <w:vAlign w:val="center"/>
          </w:tcPr>
          <w:p w14:paraId="0B85F75C" w14:textId="7E14A73B" w:rsidR="00F4220B" w:rsidRPr="008B489D" w:rsidRDefault="00F4220B" w:rsidP="00F4220B">
            <w:pPr>
              <w:contextualSpacing/>
              <w:jc w:val="right"/>
              <w:rPr>
                <w:rFonts w:cs="Arial"/>
                <w:sz w:val="16"/>
                <w:szCs w:val="16"/>
              </w:rPr>
            </w:pPr>
            <w:r w:rsidRPr="008B489D">
              <w:rPr>
                <w:rFonts w:cs="Arial"/>
                <w:sz w:val="16"/>
                <w:szCs w:val="16"/>
              </w:rPr>
              <w:t>32 914</w:t>
            </w:r>
          </w:p>
        </w:tc>
        <w:tc>
          <w:tcPr>
            <w:tcW w:w="1276" w:type="dxa"/>
            <w:vAlign w:val="center"/>
          </w:tcPr>
          <w:p w14:paraId="2D6F4AC8" w14:textId="79608123" w:rsidR="00F4220B" w:rsidRPr="008B489D" w:rsidRDefault="00F4220B" w:rsidP="00F4220B">
            <w:pPr>
              <w:contextualSpacing/>
              <w:jc w:val="right"/>
              <w:rPr>
                <w:rFonts w:cs="Arial"/>
                <w:sz w:val="16"/>
                <w:szCs w:val="16"/>
              </w:rPr>
            </w:pPr>
            <w:r w:rsidRPr="008B489D">
              <w:rPr>
                <w:rFonts w:cs="Arial"/>
                <w:sz w:val="16"/>
                <w:szCs w:val="16"/>
              </w:rPr>
              <w:t>27 392</w:t>
            </w:r>
          </w:p>
        </w:tc>
        <w:tc>
          <w:tcPr>
            <w:tcW w:w="1146" w:type="dxa"/>
            <w:vAlign w:val="center"/>
          </w:tcPr>
          <w:p w14:paraId="2194A3A3" w14:textId="06470717" w:rsidR="00F4220B" w:rsidRPr="008B489D" w:rsidRDefault="00F4220B" w:rsidP="00F4220B">
            <w:pPr>
              <w:contextualSpacing/>
              <w:jc w:val="right"/>
              <w:rPr>
                <w:rFonts w:cs="Arial"/>
                <w:sz w:val="16"/>
                <w:szCs w:val="16"/>
              </w:rPr>
            </w:pPr>
            <w:r w:rsidRPr="008B489D">
              <w:rPr>
                <w:rFonts w:cs="Arial"/>
                <w:sz w:val="16"/>
                <w:szCs w:val="16"/>
              </w:rPr>
              <w:t>17 701</w:t>
            </w:r>
          </w:p>
        </w:tc>
      </w:tr>
      <w:tr w:rsidR="00F4220B" w:rsidRPr="008B489D" w14:paraId="42FAD7EE" w14:textId="77777777" w:rsidTr="00FA3EE8">
        <w:trPr>
          <w:trHeight w:val="240"/>
          <w:jc w:val="center"/>
        </w:trPr>
        <w:tc>
          <w:tcPr>
            <w:tcW w:w="2520" w:type="dxa"/>
            <w:vAlign w:val="center"/>
          </w:tcPr>
          <w:p w14:paraId="36B5F631" w14:textId="77777777" w:rsidR="00F4220B" w:rsidRPr="008B489D" w:rsidRDefault="00F4220B" w:rsidP="00F4220B">
            <w:pPr>
              <w:contextualSpacing/>
              <w:jc w:val="left"/>
              <w:rPr>
                <w:rFonts w:cs="Arial"/>
                <w:snapToGrid w:val="0"/>
                <w:sz w:val="16"/>
                <w:szCs w:val="16"/>
              </w:rPr>
            </w:pPr>
            <w:r w:rsidRPr="008B489D">
              <w:rPr>
                <w:rFonts w:cs="Arial"/>
                <w:snapToGrid w:val="0"/>
                <w:sz w:val="16"/>
                <w:szCs w:val="16"/>
              </w:rPr>
              <w:t>Plzeňský kraj</w:t>
            </w:r>
          </w:p>
        </w:tc>
        <w:tc>
          <w:tcPr>
            <w:tcW w:w="1458" w:type="dxa"/>
            <w:vAlign w:val="center"/>
          </w:tcPr>
          <w:p w14:paraId="7DB27C74" w14:textId="6DE7BC11" w:rsidR="00F4220B" w:rsidRPr="008B489D" w:rsidRDefault="00F4220B" w:rsidP="00F4220B">
            <w:pPr>
              <w:contextualSpacing/>
              <w:jc w:val="right"/>
              <w:rPr>
                <w:rFonts w:cs="Arial"/>
                <w:sz w:val="16"/>
                <w:szCs w:val="16"/>
              </w:rPr>
            </w:pPr>
            <w:r w:rsidRPr="008B489D">
              <w:rPr>
                <w:rFonts w:cs="Arial"/>
                <w:sz w:val="16"/>
                <w:szCs w:val="16"/>
              </w:rPr>
              <w:t>534 881</w:t>
            </w:r>
          </w:p>
        </w:tc>
        <w:tc>
          <w:tcPr>
            <w:tcW w:w="1830" w:type="dxa"/>
            <w:vAlign w:val="center"/>
          </w:tcPr>
          <w:p w14:paraId="435D795C" w14:textId="6E26D9A6" w:rsidR="00F4220B" w:rsidRPr="008B489D" w:rsidRDefault="00F4220B" w:rsidP="00F4220B">
            <w:pPr>
              <w:contextualSpacing/>
              <w:jc w:val="center"/>
              <w:rPr>
                <w:rFonts w:cs="Arial"/>
                <w:sz w:val="16"/>
                <w:szCs w:val="16"/>
              </w:rPr>
            </w:pPr>
            <w:r w:rsidRPr="008B489D">
              <w:rPr>
                <w:rFonts w:cs="Arial"/>
                <w:sz w:val="16"/>
                <w:szCs w:val="16"/>
              </w:rPr>
              <w:t>87,5</w:t>
            </w:r>
          </w:p>
        </w:tc>
        <w:tc>
          <w:tcPr>
            <w:tcW w:w="1418" w:type="dxa"/>
            <w:vAlign w:val="center"/>
          </w:tcPr>
          <w:p w14:paraId="740584C7" w14:textId="6378B0B6" w:rsidR="00F4220B" w:rsidRPr="008B489D" w:rsidRDefault="00F4220B" w:rsidP="00F4220B">
            <w:pPr>
              <w:contextualSpacing/>
              <w:jc w:val="right"/>
              <w:rPr>
                <w:rFonts w:cs="Arial"/>
                <w:sz w:val="16"/>
                <w:szCs w:val="16"/>
              </w:rPr>
            </w:pPr>
            <w:r w:rsidRPr="008B489D">
              <w:rPr>
                <w:rFonts w:cs="Arial"/>
                <w:sz w:val="16"/>
                <w:szCs w:val="16"/>
              </w:rPr>
              <w:t>30 181</w:t>
            </w:r>
          </w:p>
        </w:tc>
        <w:tc>
          <w:tcPr>
            <w:tcW w:w="1276" w:type="dxa"/>
            <w:vAlign w:val="center"/>
          </w:tcPr>
          <w:p w14:paraId="12C3B5A4" w14:textId="28201641" w:rsidR="00F4220B" w:rsidRPr="008B489D" w:rsidRDefault="00F4220B" w:rsidP="00F4220B">
            <w:pPr>
              <w:contextualSpacing/>
              <w:jc w:val="right"/>
              <w:rPr>
                <w:rFonts w:cs="Arial"/>
                <w:sz w:val="16"/>
                <w:szCs w:val="16"/>
              </w:rPr>
            </w:pPr>
            <w:r w:rsidRPr="008B489D">
              <w:rPr>
                <w:rFonts w:cs="Arial"/>
                <w:sz w:val="16"/>
                <w:szCs w:val="16"/>
              </w:rPr>
              <w:t>25 432</w:t>
            </w:r>
          </w:p>
        </w:tc>
        <w:tc>
          <w:tcPr>
            <w:tcW w:w="1146" w:type="dxa"/>
            <w:vAlign w:val="center"/>
          </w:tcPr>
          <w:p w14:paraId="791C050E" w14:textId="720270CF" w:rsidR="00F4220B" w:rsidRPr="008B489D" w:rsidRDefault="00F4220B" w:rsidP="00F4220B">
            <w:pPr>
              <w:contextualSpacing/>
              <w:jc w:val="right"/>
              <w:rPr>
                <w:rFonts w:cs="Arial"/>
                <w:sz w:val="16"/>
                <w:szCs w:val="16"/>
              </w:rPr>
            </w:pPr>
            <w:r w:rsidRPr="008B489D">
              <w:rPr>
                <w:rFonts w:cs="Arial"/>
                <w:sz w:val="16"/>
                <w:szCs w:val="16"/>
              </w:rPr>
              <w:t>16 644</w:t>
            </w:r>
          </w:p>
        </w:tc>
      </w:tr>
      <w:tr w:rsidR="00F4220B" w:rsidRPr="008B489D" w14:paraId="65FB3DC6" w14:textId="77777777" w:rsidTr="00FA3EE8">
        <w:trPr>
          <w:trHeight w:val="240"/>
          <w:jc w:val="center"/>
        </w:trPr>
        <w:tc>
          <w:tcPr>
            <w:tcW w:w="2520" w:type="dxa"/>
            <w:vAlign w:val="center"/>
          </w:tcPr>
          <w:p w14:paraId="2C3AAA64" w14:textId="77777777" w:rsidR="00F4220B" w:rsidRPr="008B489D" w:rsidRDefault="00F4220B" w:rsidP="00F4220B">
            <w:pPr>
              <w:contextualSpacing/>
              <w:jc w:val="left"/>
              <w:rPr>
                <w:rFonts w:cs="Arial"/>
                <w:snapToGrid w:val="0"/>
                <w:sz w:val="16"/>
                <w:szCs w:val="16"/>
              </w:rPr>
            </w:pPr>
            <w:r w:rsidRPr="008B489D">
              <w:rPr>
                <w:rFonts w:cs="Arial"/>
                <w:snapToGrid w:val="0"/>
                <w:sz w:val="16"/>
                <w:szCs w:val="16"/>
              </w:rPr>
              <w:t>Karlovarský kraj</w:t>
            </w:r>
          </w:p>
        </w:tc>
        <w:tc>
          <w:tcPr>
            <w:tcW w:w="1458" w:type="dxa"/>
            <w:vAlign w:val="center"/>
          </w:tcPr>
          <w:p w14:paraId="61A78B81" w14:textId="62AEB40D" w:rsidR="00F4220B" w:rsidRPr="008B489D" w:rsidRDefault="00F4220B" w:rsidP="00F4220B">
            <w:pPr>
              <w:contextualSpacing/>
              <w:jc w:val="right"/>
              <w:rPr>
                <w:rFonts w:cs="Arial"/>
                <w:sz w:val="16"/>
                <w:szCs w:val="16"/>
              </w:rPr>
            </w:pPr>
            <w:r w:rsidRPr="008B489D">
              <w:rPr>
                <w:rFonts w:cs="Arial"/>
                <w:sz w:val="16"/>
                <w:szCs w:val="16"/>
              </w:rPr>
              <w:t>290 069</w:t>
            </w:r>
          </w:p>
        </w:tc>
        <w:tc>
          <w:tcPr>
            <w:tcW w:w="1830" w:type="dxa"/>
            <w:vAlign w:val="center"/>
          </w:tcPr>
          <w:p w14:paraId="739FB125" w14:textId="633E447E" w:rsidR="00F4220B" w:rsidRPr="008B489D" w:rsidRDefault="00F4220B" w:rsidP="00F4220B">
            <w:pPr>
              <w:contextualSpacing/>
              <w:jc w:val="center"/>
              <w:rPr>
                <w:rFonts w:cs="Arial"/>
                <w:sz w:val="16"/>
                <w:szCs w:val="16"/>
              </w:rPr>
            </w:pPr>
            <w:r w:rsidRPr="008B489D">
              <w:rPr>
                <w:rFonts w:cs="Arial"/>
                <w:sz w:val="16"/>
                <w:szCs w:val="16"/>
              </w:rPr>
              <w:t>99,4</w:t>
            </w:r>
          </w:p>
        </w:tc>
        <w:tc>
          <w:tcPr>
            <w:tcW w:w="1418" w:type="dxa"/>
            <w:vAlign w:val="center"/>
          </w:tcPr>
          <w:p w14:paraId="505BDE1D" w14:textId="66D67395" w:rsidR="00F4220B" w:rsidRPr="008B489D" w:rsidRDefault="00F4220B" w:rsidP="00F4220B">
            <w:pPr>
              <w:contextualSpacing/>
              <w:jc w:val="right"/>
              <w:rPr>
                <w:rFonts w:cs="Arial"/>
                <w:sz w:val="16"/>
                <w:szCs w:val="16"/>
              </w:rPr>
            </w:pPr>
            <w:r w:rsidRPr="008B489D">
              <w:rPr>
                <w:rFonts w:cs="Arial"/>
                <w:sz w:val="16"/>
                <w:szCs w:val="16"/>
              </w:rPr>
              <w:t>16 761</w:t>
            </w:r>
          </w:p>
        </w:tc>
        <w:tc>
          <w:tcPr>
            <w:tcW w:w="1276" w:type="dxa"/>
            <w:vAlign w:val="center"/>
          </w:tcPr>
          <w:p w14:paraId="6F64DA2B" w14:textId="4C1D04DA" w:rsidR="00F4220B" w:rsidRPr="008B489D" w:rsidRDefault="00F4220B" w:rsidP="00F4220B">
            <w:pPr>
              <w:contextualSpacing/>
              <w:jc w:val="right"/>
              <w:rPr>
                <w:rFonts w:cs="Arial"/>
                <w:sz w:val="16"/>
                <w:szCs w:val="16"/>
              </w:rPr>
            </w:pPr>
            <w:r w:rsidRPr="008B489D">
              <w:rPr>
                <w:rFonts w:cs="Arial"/>
                <w:sz w:val="16"/>
                <w:szCs w:val="16"/>
              </w:rPr>
              <w:t>14 159</w:t>
            </w:r>
          </w:p>
        </w:tc>
        <w:tc>
          <w:tcPr>
            <w:tcW w:w="1146" w:type="dxa"/>
            <w:vAlign w:val="center"/>
          </w:tcPr>
          <w:p w14:paraId="0B12A972" w14:textId="1050045A" w:rsidR="00F4220B" w:rsidRPr="008B489D" w:rsidRDefault="00F4220B" w:rsidP="00F4220B">
            <w:pPr>
              <w:contextualSpacing/>
              <w:jc w:val="right"/>
              <w:rPr>
                <w:rFonts w:cs="Arial"/>
                <w:sz w:val="16"/>
                <w:szCs w:val="16"/>
              </w:rPr>
            </w:pPr>
            <w:r w:rsidRPr="008B489D">
              <w:rPr>
                <w:rFonts w:cs="Arial"/>
                <w:sz w:val="16"/>
                <w:szCs w:val="16"/>
              </w:rPr>
              <w:t>8 891</w:t>
            </w:r>
          </w:p>
        </w:tc>
      </w:tr>
      <w:tr w:rsidR="00F4220B" w:rsidRPr="008B489D" w14:paraId="6053380B" w14:textId="77777777" w:rsidTr="00FA3EE8">
        <w:trPr>
          <w:trHeight w:val="240"/>
          <w:jc w:val="center"/>
        </w:trPr>
        <w:tc>
          <w:tcPr>
            <w:tcW w:w="2520" w:type="dxa"/>
            <w:vAlign w:val="center"/>
          </w:tcPr>
          <w:p w14:paraId="727DBA15" w14:textId="77777777" w:rsidR="00F4220B" w:rsidRPr="008B489D" w:rsidRDefault="00F4220B" w:rsidP="00F4220B">
            <w:pPr>
              <w:contextualSpacing/>
              <w:jc w:val="left"/>
              <w:rPr>
                <w:rFonts w:cs="Arial"/>
                <w:snapToGrid w:val="0"/>
                <w:sz w:val="16"/>
                <w:szCs w:val="16"/>
              </w:rPr>
            </w:pPr>
            <w:r w:rsidRPr="008B489D">
              <w:rPr>
                <w:rFonts w:cs="Arial"/>
                <w:snapToGrid w:val="0"/>
                <w:sz w:val="16"/>
                <w:szCs w:val="16"/>
              </w:rPr>
              <w:t>Ústecký kraj</w:t>
            </w:r>
          </w:p>
        </w:tc>
        <w:tc>
          <w:tcPr>
            <w:tcW w:w="1458" w:type="dxa"/>
            <w:vAlign w:val="center"/>
          </w:tcPr>
          <w:p w14:paraId="5C5899B5" w14:textId="68C3AC69" w:rsidR="00F4220B" w:rsidRPr="008B489D" w:rsidRDefault="00F4220B" w:rsidP="00F4220B">
            <w:pPr>
              <w:contextualSpacing/>
              <w:jc w:val="right"/>
              <w:rPr>
                <w:rFonts w:cs="Arial"/>
                <w:sz w:val="16"/>
                <w:szCs w:val="16"/>
              </w:rPr>
            </w:pPr>
            <w:r w:rsidRPr="008B489D">
              <w:rPr>
                <w:rFonts w:cs="Arial"/>
                <w:sz w:val="16"/>
                <w:szCs w:val="16"/>
              </w:rPr>
              <w:t>804 141</w:t>
            </w:r>
          </w:p>
        </w:tc>
        <w:tc>
          <w:tcPr>
            <w:tcW w:w="1830" w:type="dxa"/>
            <w:vAlign w:val="center"/>
          </w:tcPr>
          <w:p w14:paraId="4E0DAC1D" w14:textId="35BA2F6E" w:rsidR="00F4220B" w:rsidRPr="008B489D" w:rsidRDefault="00F4220B" w:rsidP="00F4220B">
            <w:pPr>
              <w:contextualSpacing/>
              <w:jc w:val="center"/>
              <w:rPr>
                <w:rFonts w:cs="Arial"/>
                <w:sz w:val="16"/>
                <w:szCs w:val="16"/>
              </w:rPr>
            </w:pPr>
            <w:r w:rsidRPr="008B489D">
              <w:rPr>
                <w:rFonts w:cs="Arial"/>
                <w:sz w:val="16"/>
                <w:szCs w:val="16"/>
              </w:rPr>
              <w:t>99,7</w:t>
            </w:r>
          </w:p>
        </w:tc>
        <w:tc>
          <w:tcPr>
            <w:tcW w:w="1418" w:type="dxa"/>
            <w:vAlign w:val="center"/>
          </w:tcPr>
          <w:p w14:paraId="7D90BBEF" w14:textId="42BA6F65" w:rsidR="00F4220B" w:rsidRPr="008B489D" w:rsidRDefault="00F4220B" w:rsidP="00F4220B">
            <w:pPr>
              <w:contextualSpacing/>
              <w:jc w:val="right"/>
              <w:rPr>
                <w:rFonts w:cs="Arial"/>
                <w:sz w:val="16"/>
                <w:szCs w:val="16"/>
              </w:rPr>
            </w:pPr>
            <w:r w:rsidRPr="008B489D">
              <w:rPr>
                <w:rFonts w:cs="Arial"/>
                <w:sz w:val="16"/>
                <w:szCs w:val="16"/>
              </w:rPr>
              <w:t>47 614</w:t>
            </w:r>
          </w:p>
        </w:tc>
        <w:tc>
          <w:tcPr>
            <w:tcW w:w="1276" w:type="dxa"/>
            <w:vAlign w:val="center"/>
          </w:tcPr>
          <w:p w14:paraId="3486B324" w14:textId="055046C5" w:rsidR="00F4220B" w:rsidRPr="008B489D" w:rsidRDefault="00F4220B" w:rsidP="00F4220B">
            <w:pPr>
              <w:contextualSpacing/>
              <w:jc w:val="right"/>
              <w:rPr>
                <w:rFonts w:cs="Arial"/>
                <w:sz w:val="16"/>
                <w:szCs w:val="16"/>
              </w:rPr>
            </w:pPr>
            <w:r w:rsidRPr="008B489D">
              <w:rPr>
                <w:rFonts w:cs="Arial"/>
                <w:sz w:val="16"/>
                <w:szCs w:val="16"/>
              </w:rPr>
              <w:t>36 986</w:t>
            </w:r>
          </w:p>
        </w:tc>
        <w:tc>
          <w:tcPr>
            <w:tcW w:w="1146" w:type="dxa"/>
            <w:vAlign w:val="center"/>
          </w:tcPr>
          <w:p w14:paraId="2E933489" w14:textId="73B79535" w:rsidR="00F4220B" w:rsidRPr="008B489D" w:rsidRDefault="00F4220B" w:rsidP="00F4220B">
            <w:pPr>
              <w:contextualSpacing/>
              <w:jc w:val="right"/>
              <w:rPr>
                <w:rFonts w:cs="Arial"/>
                <w:sz w:val="16"/>
                <w:szCs w:val="16"/>
              </w:rPr>
            </w:pPr>
            <w:r w:rsidRPr="008B489D">
              <w:rPr>
                <w:rFonts w:cs="Arial"/>
                <w:sz w:val="16"/>
                <w:szCs w:val="16"/>
              </w:rPr>
              <w:t>26 849</w:t>
            </w:r>
          </w:p>
        </w:tc>
      </w:tr>
      <w:tr w:rsidR="00F4220B" w:rsidRPr="008B489D" w14:paraId="2E771466" w14:textId="77777777" w:rsidTr="00FA3EE8">
        <w:trPr>
          <w:trHeight w:val="240"/>
          <w:jc w:val="center"/>
        </w:trPr>
        <w:tc>
          <w:tcPr>
            <w:tcW w:w="2520" w:type="dxa"/>
            <w:vAlign w:val="center"/>
          </w:tcPr>
          <w:p w14:paraId="7399FAC0" w14:textId="77777777" w:rsidR="00F4220B" w:rsidRPr="008B489D" w:rsidRDefault="00F4220B" w:rsidP="00F4220B">
            <w:pPr>
              <w:contextualSpacing/>
              <w:jc w:val="left"/>
              <w:rPr>
                <w:rFonts w:cs="Arial"/>
                <w:snapToGrid w:val="0"/>
                <w:sz w:val="16"/>
                <w:szCs w:val="16"/>
              </w:rPr>
            </w:pPr>
            <w:r w:rsidRPr="008B489D">
              <w:rPr>
                <w:rFonts w:cs="Arial"/>
                <w:snapToGrid w:val="0"/>
                <w:sz w:val="16"/>
                <w:szCs w:val="16"/>
              </w:rPr>
              <w:t>Liberecký kraj</w:t>
            </w:r>
          </w:p>
        </w:tc>
        <w:tc>
          <w:tcPr>
            <w:tcW w:w="1458" w:type="dxa"/>
            <w:vAlign w:val="center"/>
          </w:tcPr>
          <w:p w14:paraId="75358225" w14:textId="64E40172" w:rsidR="00F4220B" w:rsidRPr="008B489D" w:rsidRDefault="00F4220B" w:rsidP="00F4220B">
            <w:pPr>
              <w:contextualSpacing/>
              <w:jc w:val="right"/>
              <w:rPr>
                <w:rFonts w:cs="Arial"/>
                <w:sz w:val="16"/>
                <w:szCs w:val="16"/>
              </w:rPr>
            </w:pPr>
            <w:r w:rsidRPr="008B489D">
              <w:rPr>
                <w:rFonts w:cs="Arial"/>
                <w:sz w:val="16"/>
                <w:szCs w:val="16"/>
              </w:rPr>
              <w:t>426 389</w:t>
            </w:r>
          </w:p>
        </w:tc>
        <w:tc>
          <w:tcPr>
            <w:tcW w:w="1830" w:type="dxa"/>
            <w:vAlign w:val="center"/>
          </w:tcPr>
          <w:p w14:paraId="20CEC2F3" w14:textId="1A186189" w:rsidR="00F4220B" w:rsidRPr="008B489D" w:rsidRDefault="00F4220B" w:rsidP="00F4220B">
            <w:pPr>
              <w:contextualSpacing/>
              <w:jc w:val="center"/>
              <w:rPr>
                <w:rFonts w:cs="Arial"/>
                <w:sz w:val="16"/>
                <w:szCs w:val="16"/>
              </w:rPr>
            </w:pPr>
            <w:r w:rsidRPr="008B489D">
              <w:rPr>
                <w:rFonts w:cs="Arial"/>
                <w:sz w:val="16"/>
                <w:szCs w:val="16"/>
              </w:rPr>
              <w:t>95,2</w:t>
            </w:r>
          </w:p>
        </w:tc>
        <w:tc>
          <w:tcPr>
            <w:tcW w:w="1418" w:type="dxa"/>
            <w:vAlign w:val="center"/>
          </w:tcPr>
          <w:p w14:paraId="3719A158" w14:textId="3462868F" w:rsidR="00F4220B" w:rsidRPr="008B489D" w:rsidRDefault="00F4220B" w:rsidP="00F4220B">
            <w:pPr>
              <w:contextualSpacing/>
              <w:jc w:val="right"/>
              <w:rPr>
                <w:rFonts w:cs="Arial"/>
                <w:sz w:val="16"/>
                <w:szCs w:val="16"/>
              </w:rPr>
            </w:pPr>
            <w:r w:rsidRPr="008B489D">
              <w:rPr>
                <w:rFonts w:cs="Arial"/>
                <w:sz w:val="16"/>
                <w:szCs w:val="16"/>
              </w:rPr>
              <w:t>24 088</w:t>
            </w:r>
          </w:p>
        </w:tc>
        <w:tc>
          <w:tcPr>
            <w:tcW w:w="1276" w:type="dxa"/>
            <w:vAlign w:val="center"/>
          </w:tcPr>
          <w:p w14:paraId="6D4F883B" w14:textId="42D0E1DC" w:rsidR="00F4220B" w:rsidRPr="008B489D" w:rsidRDefault="00F4220B" w:rsidP="00F4220B">
            <w:pPr>
              <w:contextualSpacing/>
              <w:jc w:val="right"/>
              <w:rPr>
                <w:rFonts w:cs="Arial"/>
                <w:sz w:val="16"/>
                <w:szCs w:val="16"/>
              </w:rPr>
            </w:pPr>
            <w:r w:rsidRPr="008B489D">
              <w:rPr>
                <w:rFonts w:cs="Arial"/>
                <w:sz w:val="16"/>
                <w:szCs w:val="16"/>
              </w:rPr>
              <w:t>18 637</w:t>
            </w:r>
          </w:p>
        </w:tc>
        <w:tc>
          <w:tcPr>
            <w:tcW w:w="1146" w:type="dxa"/>
            <w:vAlign w:val="center"/>
          </w:tcPr>
          <w:p w14:paraId="1F2A226B" w14:textId="62757A74" w:rsidR="00F4220B" w:rsidRPr="008B489D" w:rsidRDefault="00F4220B" w:rsidP="00F4220B">
            <w:pPr>
              <w:contextualSpacing/>
              <w:jc w:val="right"/>
              <w:rPr>
                <w:rFonts w:cs="Arial"/>
                <w:sz w:val="16"/>
                <w:szCs w:val="16"/>
              </w:rPr>
            </w:pPr>
            <w:r w:rsidRPr="008B489D">
              <w:rPr>
                <w:rFonts w:cs="Arial"/>
                <w:sz w:val="16"/>
                <w:szCs w:val="16"/>
              </w:rPr>
              <w:t>13 370</w:t>
            </w:r>
          </w:p>
        </w:tc>
      </w:tr>
      <w:tr w:rsidR="00F4220B" w:rsidRPr="008B489D" w14:paraId="3E1B8A1D" w14:textId="77777777" w:rsidTr="00FA3EE8">
        <w:trPr>
          <w:trHeight w:val="240"/>
          <w:jc w:val="center"/>
        </w:trPr>
        <w:tc>
          <w:tcPr>
            <w:tcW w:w="2520" w:type="dxa"/>
            <w:vAlign w:val="center"/>
          </w:tcPr>
          <w:p w14:paraId="2956695E" w14:textId="77777777" w:rsidR="00F4220B" w:rsidRPr="008B489D" w:rsidRDefault="00F4220B" w:rsidP="00F4220B">
            <w:pPr>
              <w:contextualSpacing/>
              <w:jc w:val="left"/>
              <w:rPr>
                <w:rFonts w:cs="Arial"/>
                <w:snapToGrid w:val="0"/>
                <w:sz w:val="16"/>
                <w:szCs w:val="16"/>
              </w:rPr>
            </w:pPr>
            <w:r w:rsidRPr="008B489D">
              <w:rPr>
                <w:rFonts w:cs="Arial"/>
                <w:snapToGrid w:val="0"/>
                <w:sz w:val="16"/>
                <w:szCs w:val="16"/>
              </w:rPr>
              <w:t>Královéhradecký kraj</w:t>
            </w:r>
          </w:p>
        </w:tc>
        <w:tc>
          <w:tcPr>
            <w:tcW w:w="1458" w:type="dxa"/>
            <w:vAlign w:val="center"/>
          </w:tcPr>
          <w:p w14:paraId="73150C98" w14:textId="4FE7A38F" w:rsidR="00F4220B" w:rsidRPr="008B489D" w:rsidRDefault="00F4220B" w:rsidP="00F4220B">
            <w:pPr>
              <w:contextualSpacing/>
              <w:jc w:val="right"/>
              <w:rPr>
                <w:rFonts w:cs="Arial"/>
                <w:sz w:val="16"/>
                <w:szCs w:val="16"/>
              </w:rPr>
            </w:pPr>
            <w:r w:rsidRPr="008B489D">
              <w:rPr>
                <w:rFonts w:cs="Arial"/>
                <w:sz w:val="16"/>
                <w:szCs w:val="16"/>
              </w:rPr>
              <w:t>521 539</w:t>
            </w:r>
          </w:p>
        </w:tc>
        <w:tc>
          <w:tcPr>
            <w:tcW w:w="1830" w:type="dxa"/>
            <w:vAlign w:val="center"/>
          </w:tcPr>
          <w:p w14:paraId="09910E12" w14:textId="047A829D" w:rsidR="00F4220B" w:rsidRPr="008B489D" w:rsidRDefault="00F4220B" w:rsidP="00F4220B">
            <w:pPr>
              <w:contextualSpacing/>
              <w:jc w:val="center"/>
              <w:rPr>
                <w:rFonts w:cs="Arial"/>
                <w:sz w:val="16"/>
                <w:szCs w:val="16"/>
              </w:rPr>
            </w:pPr>
            <w:r w:rsidRPr="008B489D">
              <w:rPr>
                <w:rFonts w:cs="Arial"/>
                <w:sz w:val="16"/>
                <w:szCs w:val="16"/>
              </w:rPr>
              <w:t>94,1</w:t>
            </w:r>
          </w:p>
        </w:tc>
        <w:tc>
          <w:tcPr>
            <w:tcW w:w="1418" w:type="dxa"/>
            <w:vAlign w:val="center"/>
          </w:tcPr>
          <w:p w14:paraId="1CD57CEB" w14:textId="6AF17675" w:rsidR="00F4220B" w:rsidRPr="008B489D" w:rsidRDefault="00F4220B" w:rsidP="00F4220B">
            <w:pPr>
              <w:contextualSpacing/>
              <w:jc w:val="right"/>
              <w:rPr>
                <w:rFonts w:cs="Arial"/>
                <w:sz w:val="16"/>
                <w:szCs w:val="16"/>
              </w:rPr>
            </w:pPr>
            <w:r w:rsidRPr="008B489D">
              <w:rPr>
                <w:rFonts w:cs="Arial"/>
                <w:sz w:val="16"/>
                <w:szCs w:val="16"/>
              </w:rPr>
              <w:t>31 986</w:t>
            </w:r>
          </w:p>
        </w:tc>
        <w:tc>
          <w:tcPr>
            <w:tcW w:w="1276" w:type="dxa"/>
            <w:vAlign w:val="center"/>
          </w:tcPr>
          <w:p w14:paraId="4525F593" w14:textId="4C5A53E6" w:rsidR="00F4220B" w:rsidRPr="008B489D" w:rsidRDefault="00F4220B" w:rsidP="00F4220B">
            <w:pPr>
              <w:contextualSpacing/>
              <w:jc w:val="right"/>
              <w:rPr>
                <w:rFonts w:cs="Arial"/>
                <w:sz w:val="16"/>
                <w:szCs w:val="16"/>
              </w:rPr>
            </w:pPr>
            <w:r w:rsidRPr="008B489D">
              <w:rPr>
                <w:rFonts w:cs="Arial"/>
                <w:sz w:val="16"/>
                <w:szCs w:val="16"/>
              </w:rPr>
              <w:t>24 552</w:t>
            </w:r>
          </w:p>
        </w:tc>
        <w:tc>
          <w:tcPr>
            <w:tcW w:w="1146" w:type="dxa"/>
            <w:vAlign w:val="center"/>
          </w:tcPr>
          <w:p w14:paraId="5C4AD6B3" w14:textId="40517FE3" w:rsidR="00F4220B" w:rsidRPr="008B489D" w:rsidRDefault="00F4220B" w:rsidP="00F4220B">
            <w:pPr>
              <w:contextualSpacing/>
              <w:jc w:val="right"/>
              <w:rPr>
                <w:rFonts w:cs="Arial"/>
                <w:sz w:val="16"/>
                <w:szCs w:val="16"/>
              </w:rPr>
            </w:pPr>
            <w:r w:rsidRPr="008B489D">
              <w:rPr>
                <w:rFonts w:cs="Arial"/>
                <w:sz w:val="16"/>
                <w:szCs w:val="16"/>
              </w:rPr>
              <w:t>16 296</w:t>
            </w:r>
          </w:p>
        </w:tc>
      </w:tr>
      <w:tr w:rsidR="00F4220B" w:rsidRPr="008B489D" w14:paraId="29B320B4" w14:textId="77777777" w:rsidTr="00FA3EE8">
        <w:trPr>
          <w:trHeight w:val="240"/>
          <w:jc w:val="center"/>
        </w:trPr>
        <w:tc>
          <w:tcPr>
            <w:tcW w:w="2520" w:type="dxa"/>
            <w:vAlign w:val="center"/>
          </w:tcPr>
          <w:p w14:paraId="418E4264" w14:textId="77777777" w:rsidR="00F4220B" w:rsidRPr="008B489D" w:rsidRDefault="00F4220B" w:rsidP="00F4220B">
            <w:pPr>
              <w:contextualSpacing/>
              <w:jc w:val="left"/>
              <w:rPr>
                <w:rFonts w:cs="Arial"/>
                <w:snapToGrid w:val="0"/>
                <w:sz w:val="16"/>
                <w:szCs w:val="16"/>
              </w:rPr>
            </w:pPr>
            <w:r w:rsidRPr="008B489D">
              <w:rPr>
                <w:rFonts w:cs="Arial"/>
                <w:snapToGrid w:val="0"/>
                <w:sz w:val="16"/>
                <w:szCs w:val="16"/>
              </w:rPr>
              <w:t>Pardubický kraj</w:t>
            </w:r>
          </w:p>
        </w:tc>
        <w:tc>
          <w:tcPr>
            <w:tcW w:w="1458" w:type="dxa"/>
            <w:vAlign w:val="center"/>
          </w:tcPr>
          <w:p w14:paraId="0995D797" w14:textId="11A3FF6F" w:rsidR="00F4220B" w:rsidRPr="008B489D" w:rsidRDefault="00F4220B" w:rsidP="00F4220B">
            <w:pPr>
              <w:contextualSpacing/>
              <w:jc w:val="right"/>
              <w:rPr>
                <w:rFonts w:cs="Arial"/>
                <w:sz w:val="16"/>
                <w:szCs w:val="16"/>
              </w:rPr>
            </w:pPr>
            <w:r w:rsidRPr="008B489D">
              <w:rPr>
                <w:rFonts w:cs="Arial"/>
                <w:sz w:val="16"/>
                <w:szCs w:val="16"/>
              </w:rPr>
              <w:t>518 812</w:t>
            </w:r>
          </w:p>
        </w:tc>
        <w:tc>
          <w:tcPr>
            <w:tcW w:w="1830" w:type="dxa"/>
            <w:vAlign w:val="center"/>
          </w:tcPr>
          <w:p w14:paraId="547C667D" w14:textId="5B8B023D" w:rsidR="00F4220B" w:rsidRPr="008B489D" w:rsidRDefault="00F4220B" w:rsidP="00F4220B">
            <w:pPr>
              <w:contextualSpacing/>
              <w:jc w:val="center"/>
              <w:rPr>
                <w:rFonts w:cs="Arial"/>
                <w:sz w:val="16"/>
                <w:szCs w:val="16"/>
              </w:rPr>
            </w:pPr>
            <w:r w:rsidRPr="008B489D">
              <w:rPr>
                <w:rFonts w:cs="Arial"/>
                <w:sz w:val="16"/>
                <w:szCs w:val="16"/>
              </w:rPr>
              <w:t>97,9</w:t>
            </w:r>
          </w:p>
        </w:tc>
        <w:tc>
          <w:tcPr>
            <w:tcW w:w="1418" w:type="dxa"/>
            <w:vAlign w:val="center"/>
          </w:tcPr>
          <w:p w14:paraId="4374B0D0" w14:textId="7EE1D1D9" w:rsidR="00F4220B" w:rsidRPr="008B489D" w:rsidRDefault="00F4220B" w:rsidP="00F4220B">
            <w:pPr>
              <w:contextualSpacing/>
              <w:jc w:val="right"/>
              <w:rPr>
                <w:rFonts w:cs="Arial"/>
                <w:sz w:val="16"/>
                <w:szCs w:val="16"/>
              </w:rPr>
            </w:pPr>
            <w:r w:rsidRPr="008B489D">
              <w:rPr>
                <w:rFonts w:cs="Arial"/>
                <w:sz w:val="16"/>
                <w:szCs w:val="16"/>
              </w:rPr>
              <w:t>28 393</w:t>
            </w:r>
          </w:p>
        </w:tc>
        <w:tc>
          <w:tcPr>
            <w:tcW w:w="1276" w:type="dxa"/>
            <w:vAlign w:val="center"/>
          </w:tcPr>
          <w:p w14:paraId="6EAFE883" w14:textId="383C5D0E" w:rsidR="00F4220B" w:rsidRPr="008B489D" w:rsidRDefault="00F4220B" w:rsidP="00F4220B">
            <w:pPr>
              <w:contextualSpacing/>
              <w:jc w:val="right"/>
              <w:rPr>
                <w:rFonts w:cs="Arial"/>
                <w:sz w:val="16"/>
                <w:szCs w:val="16"/>
              </w:rPr>
            </w:pPr>
            <w:r w:rsidRPr="008B489D">
              <w:rPr>
                <w:rFonts w:cs="Arial"/>
                <w:sz w:val="16"/>
                <w:szCs w:val="16"/>
              </w:rPr>
              <w:t>23 282</w:t>
            </w:r>
          </w:p>
        </w:tc>
        <w:tc>
          <w:tcPr>
            <w:tcW w:w="1146" w:type="dxa"/>
            <w:vAlign w:val="center"/>
          </w:tcPr>
          <w:p w14:paraId="6D77D855" w14:textId="7ECAB939" w:rsidR="00F4220B" w:rsidRPr="008B489D" w:rsidRDefault="00F4220B" w:rsidP="00F4220B">
            <w:pPr>
              <w:contextualSpacing/>
              <w:jc w:val="right"/>
              <w:rPr>
                <w:rFonts w:cs="Arial"/>
                <w:sz w:val="16"/>
                <w:szCs w:val="16"/>
              </w:rPr>
            </w:pPr>
            <w:r w:rsidRPr="008B489D">
              <w:rPr>
                <w:rFonts w:cs="Arial"/>
                <w:sz w:val="16"/>
                <w:szCs w:val="16"/>
              </w:rPr>
              <w:t>15 369</w:t>
            </w:r>
          </w:p>
        </w:tc>
      </w:tr>
      <w:tr w:rsidR="00F4220B" w:rsidRPr="008B489D" w14:paraId="34F20833" w14:textId="77777777" w:rsidTr="00FA3EE8">
        <w:trPr>
          <w:trHeight w:val="240"/>
          <w:jc w:val="center"/>
        </w:trPr>
        <w:tc>
          <w:tcPr>
            <w:tcW w:w="2520" w:type="dxa"/>
            <w:vAlign w:val="center"/>
          </w:tcPr>
          <w:p w14:paraId="57FA5B8D" w14:textId="77777777" w:rsidR="00F4220B" w:rsidRPr="008B489D" w:rsidRDefault="00F4220B" w:rsidP="00F4220B">
            <w:pPr>
              <w:contextualSpacing/>
              <w:jc w:val="left"/>
              <w:rPr>
                <w:rFonts w:cs="Arial"/>
                <w:snapToGrid w:val="0"/>
                <w:sz w:val="16"/>
                <w:szCs w:val="16"/>
              </w:rPr>
            </w:pPr>
            <w:r w:rsidRPr="008B489D">
              <w:rPr>
                <w:rFonts w:cs="Arial"/>
                <w:snapToGrid w:val="0"/>
                <w:sz w:val="16"/>
                <w:szCs w:val="16"/>
              </w:rPr>
              <w:t>Kraj Vysočina</w:t>
            </w:r>
          </w:p>
        </w:tc>
        <w:tc>
          <w:tcPr>
            <w:tcW w:w="1458" w:type="dxa"/>
            <w:vAlign w:val="center"/>
          </w:tcPr>
          <w:p w14:paraId="3A9718F9" w14:textId="4230C96D" w:rsidR="00F4220B" w:rsidRPr="008B489D" w:rsidRDefault="00F4220B" w:rsidP="00F4220B">
            <w:pPr>
              <w:contextualSpacing/>
              <w:jc w:val="right"/>
              <w:rPr>
                <w:rFonts w:cs="Arial"/>
                <w:sz w:val="16"/>
                <w:szCs w:val="16"/>
              </w:rPr>
            </w:pPr>
            <w:r w:rsidRPr="008B489D">
              <w:rPr>
                <w:rFonts w:cs="Arial"/>
                <w:sz w:val="16"/>
                <w:szCs w:val="16"/>
              </w:rPr>
              <w:t>489 299</w:t>
            </w:r>
          </w:p>
        </w:tc>
        <w:tc>
          <w:tcPr>
            <w:tcW w:w="1830" w:type="dxa"/>
            <w:vAlign w:val="center"/>
          </w:tcPr>
          <w:p w14:paraId="51A5DFBF" w14:textId="64AC2F0A" w:rsidR="00F4220B" w:rsidRPr="008B489D" w:rsidRDefault="00F4220B" w:rsidP="00F4220B">
            <w:pPr>
              <w:contextualSpacing/>
              <w:jc w:val="center"/>
              <w:rPr>
                <w:rFonts w:cs="Arial"/>
                <w:sz w:val="16"/>
                <w:szCs w:val="16"/>
              </w:rPr>
            </w:pPr>
            <w:r w:rsidRPr="008B489D">
              <w:rPr>
                <w:rFonts w:cs="Arial"/>
                <w:sz w:val="16"/>
                <w:szCs w:val="16"/>
              </w:rPr>
              <w:t>94,9</w:t>
            </w:r>
          </w:p>
        </w:tc>
        <w:tc>
          <w:tcPr>
            <w:tcW w:w="1418" w:type="dxa"/>
            <w:vAlign w:val="center"/>
          </w:tcPr>
          <w:p w14:paraId="638593AD" w14:textId="3C9587AC" w:rsidR="00F4220B" w:rsidRPr="008B489D" w:rsidRDefault="00F4220B" w:rsidP="00F4220B">
            <w:pPr>
              <w:contextualSpacing/>
              <w:jc w:val="right"/>
              <w:rPr>
                <w:rFonts w:cs="Arial"/>
                <w:sz w:val="16"/>
                <w:szCs w:val="16"/>
              </w:rPr>
            </w:pPr>
            <w:r w:rsidRPr="008B489D">
              <w:rPr>
                <w:rFonts w:cs="Arial"/>
                <w:sz w:val="16"/>
                <w:szCs w:val="16"/>
              </w:rPr>
              <w:t>25 158</w:t>
            </w:r>
          </w:p>
        </w:tc>
        <w:tc>
          <w:tcPr>
            <w:tcW w:w="1276" w:type="dxa"/>
            <w:vAlign w:val="center"/>
          </w:tcPr>
          <w:p w14:paraId="167F4644" w14:textId="4F82A0AF" w:rsidR="00F4220B" w:rsidRPr="008B489D" w:rsidRDefault="00F4220B" w:rsidP="00F4220B">
            <w:pPr>
              <w:contextualSpacing/>
              <w:jc w:val="right"/>
              <w:rPr>
                <w:rFonts w:cs="Arial"/>
                <w:sz w:val="16"/>
                <w:szCs w:val="16"/>
              </w:rPr>
            </w:pPr>
            <w:r w:rsidRPr="008B489D">
              <w:rPr>
                <w:rFonts w:cs="Arial"/>
                <w:sz w:val="16"/>
                <w:szCs w:val="16"/>
              </w:rPr>
              <w:t>21 829</w:t>
            </w:r>
          </w:p>
        </w:tc>
        <w:tc>
          <w:tcPr>
            <w:tcW w:w="1146" w:type="dxa"/>
            <w:vAlign w:val="center"/>
          </w:tcPr>
          <w:p w14:paraId="2BB76031" w14:textId="615B3330" w:rsidR="00F4220B" w:rsidRPr="008B489D" w:rsidRDefault="00F4220B" w:rsidP="00F4220B">
            <w:pPr>
              <w:contextualSpacing/>
              <w:jc w:val="right"/>
              <w:rPr>
                <w:rFonts w:cs="Arial"/>
                <w:sz w:val="16"/>
                <w:szCs w:val="16"/>
              </w:rPr>
            </w:pPr>
            <w:r w:rsidRPr="008B489D">
              <w:rPr>
                <w:rFonts w:cs="Arial"/>
                <w:sz w:val="16"/>
                <w:szCs w:val="16"/>
              </w:rPr>
              <w:t>14 886</w:t>
            </w:r>
          </w:p>
        </w:tc>
      </w:tr>
      <w:tr w:rsidR="00F4220B" w:rsidRPr="008B489D" w14:paraId="09861F8D" w14:textId="77777777" w:rsidTr="00FA3EE8">
        <w:trPr>
          <w:trHeight w:val="240"/>
          <w:jc w:val="center"/>
        </w:trPr>
        <w:tc>
          <w:tcPr>
            <w:tcW w:w="2520" w:type="dxa"/>
            <w:vAlign w:val="center"/>
          </w:tcPr>
          <w:p w14:paraId="4431628C" w14:textId="77777777" w:rsidR="00F4220B" w:rsidRPr="008B489D" w:rsidRDefault="00F4220B" w:rsidP="00F4220B">
            <w:pPr>
              <w:contextualSpacing/>
              <w:jc w:val="left"/>
              <w:rPr>
                <w:rFonts w:cs="Arial"/>
                <w:snapToGrid w:val="0"/>
                <w:sz w:val="16"/>
                <w:szCs w:val="16"/>
              </w:rPr>
            </w:pPr>
            <w:r w:rsidRPr="008B489D">
              <w:rPr>
                <w:rFonts w:cs="Arial"/>
                <w:snapToGrid w:val="0"/>
                <w:sz w:val="16"/>
                <w:szCs w:val="16"/>
              </w:rPr>
              <w:t>Jihomoravský kraj</w:t>
            </w:r>
          </w:p>
        </w:tc>
        <w:tc>
          <w:tcPr>
            <w:tcW w:w="1458" w:type="dxa"/>
            <w:vAlign w:val="center"/>
          </w:tcPr>
          <w:p w14:paraId="359E5C6B" w14:textId="02C79B92" w:rsidR="00F4220B" w:rsidRPr="008B489D" w:rsidRDefault="00F4220B" w:rsidP="00F4220B">
            <w:pPr>
              <w:contextualSpacing/>
              <w:jc w:val="right"/>
              <w:rPr>
                <w:rFonts w:cs="Arial"/>
                <w:sz w:val="16"/>
                <w:szCs w:val="16"/>
              </w:rPr>
            </w:pPr>
            <w:r w:rsidRPr="008B489D">
              <w:rPr>
                <w:rFonts w:cs="Arial"/>
                <w:sz w:val="16"/>
                <w:szCs w:val="16"/>
              </w:rPr>
              <w:t>1 163 399</w:t>
            </w:r>
          </w:p>
        </w:tc>
        <w:tc>
          <w:tcPr>
            <w:tcW w:w="1830" w:type="dxa"/>
            <w:vAlign w:val="center"/>
          </w:tcPr>
          <w:p w14:paraId="174C3A42" w14:textId="3EA7EF6E" w:rsidR="00F4220B" w:rsidRPr="008B489D" w:rsidRDefault="00F4220B" w:rsidP="00F4220B">
            <w:pPr>
              <w:contextualSpacing/>
              <w:jc w:val="center"/>
              <w:rPr>
                <w:rFonts w:cs="Arial"/>
                <w:sz w:val="16"/>
                <w:szCs w:val="16"/>
              </w:rPr>
            </w:pPr>
            <w:r w:rsidRPr="008B489D">
              <w:rPr>
                <w:rFonts w:cs="Arial"/>
                <w:sz w:val="16"/>
                <w:szCs w:val="16"/>
              </w:rPr>
              <w:t>94,8</w:t>
            </w:r>
          </w:p>
        </w:tc>
        <w:tc>
          <w:tcPr>
            <w:tcW w:w="1418" w:type="dxa"/>
            <w:vAlign w:val="center"/>
          </w:tcPr>
          <w:p w14:paraId="6263B118" w14:textId="4B991C10" w:rsidR="00F4220B" w:rsidRPr="008B489D" w:rsidRDefault="00F4220B" w:rsidP="00F4220B">
            <w:pPr>
              <w:contextualSpacing/>
              <w:jc w:val="right"/>
              <w:rPr>
                <w:rFonts w:cs="Arial"/>
                <w:sz w:val="16"/>
                <w:szCs w:val="16"/>
              </w:rPr>
            </w:pPr>
            <w:r w:rsidRPr="008B489D">
              <w:rPr>
                <w:rFonts w:cs="Arial"/>
                <w:sz w:val="16"/>
                <w:szCs w:val="16"/>
              </w:rPr>
              <w:t>64 660</w:t>
            </w:r>
          </w:p>
        </w:tc>
        <w:tc>
          <w:tcPr>
            <w:tcW w:w="1276" w:type="dxa"/>
            <w:vAlign w:val="center"/>
          </w:tcPr>
          <w:p w14:paraId="258DCBA0" w14:textId="4BD67F22" w:rsidR="00F4220B" w:rsidRPr="008B489D" w:rsidRDefault="00F4220B" w:rsidP="00F4220B">
            <w:pPr>
              <w:contextualSpacing/>
              <w:jc w:val="right"/>
              <w:rPr>
                <w:rFonts w:cs="Arial"/>
                <w:sz w:val="16"/>
                <w:szCs w:val="16"/>
              </w:rPr>
            </w:pPr>
            <w:r w:rsidRPr="008B489D">
              <w:rPr>
                <w:rFonts w:cs="Arial"/>
                <w:sz w:val="16"/>
                <w:szCs w:val="16"/>
              </w:rPr>
              <w:t>56 781</w:t>
            </w:r>
          </w:p>
        </w:tc>
        <w:tc>
          <w:tcPr>
            <w:tcW w:w="1146" w:type="dxa"/>
            <w:vAlign w:val="center"/>
          </w:tcPr>
          <w:p w14:paraId="4BC96DCD" w14:textId="7ED815B6" w:rsidR="00F4220B" w:rsidRPr="008B489D" w:rsidRDefault="00F4220B" w:rsidP="00F4220B">
            <w:pPr>
              <w:contextualSpacing/>
              <w:jc w:val="right"/>
              <w:rPr>
                <w:rFonts w:cs="Arial"/>
                <w:sz w:val="16"/>
                <w:szCs w:val="16"/>
              </w:rPr>
            </w:pPr>
            <w:r w:rsidRPr="008B489D">
              <w:rPr>
                <w:rFonts w:cs="Arial"/>
                <w:sz w:val="16"/>
                <w:szCs w:val="16"/>
              </w:rPr>
              <w:t>39 721</w:t>
            </w:r>
          </w:p>
        </w:tc>
      </w:tr>
      <w:tr w:rsidR="00F4220B" w:rsidRPr="008B489D" w14:paraId="78B25E0A" w14:textId="77777777" w:rsidTr="00FA3EE8">
        <w:trPr>
          <w:trHeight w:val="240"/>
          <w:jc w:val="center"/>
        </w:trPr>
        <w:tc>
          <w:tcPr>
            <w:tcW w:w="2520" w:type="dxa"/>
            <w:vAlign w:val="center"/>
          </w:tcPr>
          <w:p w14:paraId="79752209" w14:textId="77777777" w:rsidR="00F4220B" w:rsidRPr="008B489D" w:rsidRDefault="00F4220B" w:rsidP="00F4220B">
            <w:pPr>
              <w:contextualSpacing/>
              <w:jc w:val="left"/>
              <w:rPr>
                <w:rFonts w:cs="Arial"/>
                <w:snapToGrid w:val="0"/>
                <w:sz w:val="16"/>
                <w:szCs w:val="16"/>
              </w:rPr>
            </w:pPr>
            <w:r w:rsidRPr="008B489D">
              <w:rPr>
                <w:rFonts w:cs="Arial"/>
                <w:snapToGrid w:val="0"/>
                <w:sz w:val="16"/>
                <w:szCs w:val="16"/>
              </w:rPr>
              <w:t>Olomoucký kraj</w:t>
            </w:r>
          </w:p>
        </w:tc>
        <w:tc>
          <w:tcPr>
            <w:tcW w:w="1458" w:type="dxa"/>
            <w:vAlign w:val="center"/>
          </w:tcPr>
          <w:p w14:paraId="1DA7ADDB" w14:textId="42C5E991" w:rsidR="00F4220B" w:rsidRPr="008B489D" w:rsidRDefault="00F4220B" w:rsidP="00F4220B">
            <w:pPr>
              <w:contextualSpacing/>
              <w:jc w:val="right"/>
              <w:rPr>
                <w:rFonts w:cs="Arial"/>
                <w:sz w:val="16"/>
                <w:szCs w:val="16"/>
              </w:rPr>
            </w:pPr>
            <w:r w:rsidRPr="008B489D">
              <w:rPr>
                <w:rFonts w:cs="Arial"/>
                <w:sz w:val="16"/>
                <w:szCs w:val="16"/>
              </w:rPr>
              <w:t>606 481</w:t>
            </w:r>
          </w:p>
        </w:tc>
        <w:tc>
          <w:tcPr>
            <w:tcW w:w="1830" w:type="dxa"/>
            <w:vAlign w:val="center"/>
          </w:tcPr>
          <w:p w14:paraId="44C56454" w14:textId="3D9E42A8" w:rsidR="00F4220B" w:rsidRPr="008B489D" w:rsidRDefault="00F4220B" w:rsidP="00F4220B">
            <w:pPr>
              <w:contextualSpacing/>
              <w:jc w:val="center"/>
              <w:rPr>
                <w:rFonts w:cs="Arial"/>
                <w:sz w:val="16"/>
                <w:szCs w:val="16"/>
              </w:rPr>
            </w:pPr>
            <w:r w:rsidRPr="008B489D">
              <w:rPr>
                <w:rFonts w:cs="Arial"/>
                <w:sz w:val="16"/>
                <w:szCs w:val="16"/>
              </w:rPr>
              <w:t>96,2</w:t>
            </w:r>
          </w:p>
        </w:tc>
        <w:tc>
          <w:tcPr>
            <w:tcW w:w="1418" w:type="dxa"/>
            <w:vAlign w:val="center"/>
          </w:tcPr>
          <w:p w14:paraId="63A6C613" w14:textId="7B6FFED8" w:rsidR="00F4220B" w:rsidRPr="008B489D" w:rsidRDefault="00F4220B" w:rsidP="00F4220B">
            <w:pPr>
              <w:contextualSpacing/>
              <w:jc w:val="right"/>
              <w:rPr>
                <w:rFonts w:cs="Arial"/>
                <w:sz w:val="16"/>
                <w:szCs w:val="16"/>
              </w:rPr>
            </w:pPr>
            <w:r w:rsidRPr="008B489D">
              <w:rPr>
                <w:rFonts w:cs="Arial"/>
                <w:sz w:val="16"/>
                <w:szCs w:val="16"/>
              </w:rPr>
              <w:t>32 255</w:t>
            </w:r>
          </w:p>
        </w:tc>
        <w:tc>
          <w:tcPr>
            <w:tcW w:w="1276" w:type="dxa"/>
            <w:vAlign w:val="center"/>
          </w:tcPr>
          <w:p w14:paraId="1009C5C2" w14:textId="1290A02E" w:rsidR="00F4220B" w:rsidRPr="008B489D" w:rsidRDefault="00F4220B" w:rsidP="00F4220B">
            <w:pPr>
              <w:contextualSpacing/>
              <w:jc w:val="right"/>
              <w:rPr>
                <w:rFonts w:cs="Arial"/>
                <w:sz w:val="16"/>
                <w:szCs w:val="16"/>
              </w:rPr>
            </w:pPr>
            <w:r w:rsidRPr="008B489D">
              <w:rPr>
                <w:rFonts w:cs="Arial"/>
                <w:sz w:val="16"/>
                <w:szCs w:val="16"/>
              </w:rPr>
              <w:t>26 856</w:t>
            </w:r>
          </w:p>
        </w:tc>
        <w:tc>
          <w:tcPr>
            <w:tcW w:w="1146" w:type="dxa"/>
            <w:vAlign w:val="center"/>
          </w:tcPr>
          <w:p w14:paraId="61F46ACE" w14:textId="515DB3FD" w:rsidR="00F4220B" w:rsidRPr="008B489D" w:rsidRDefault="00F4220B" w:rsidP="00F4220B">
            <w:pPr>
              <w:contextualSpacing/>
              <w:jc w:val="right"/>
              <w:rPr>
                <w:rFonts w:cs="Arial"/>
                <w:sz w:val="16"/>
                <w:szCs w:val="16"/>
              </w:rPr>
            </w:pPr>
            <w:r w:rsidRPr="008B489D">
              <w:rPr>
                <w:rFonts w:cs="Arial"/>
                <w:sz w:val="16"/>
                <w:szCs w:val="16"/>
              </w:rPr>
              <w:t>19 460</w:t>
            </w:r>
          </w:p>
        </w:tc>
      </w:tr>
      <w:tr w:rsidR="00F4220B" w:rsidRPr="008B489D" w14:paraId="250B6544" w14:textId="77777777" w:rsidTr="00FA3EE8">
        <w:trPr>
          <w:trHeight w:val="240"/>
          <w:jc w:val="center"/>
        </w:trPr>
        <w:tc>
          <w:tcPr>
            <w:tcW w:w="2520" w:type="dxa"/>
            <w:vAlign w:val="center"/>
          </w:tcPr>
          <w:p w14:paraId="6DCE937A" w14:textId="77777777" w:rsidR="00F4220B" w:rsidRPr="008B489D" w:rsidRDefault="00F4220B" w:rsidP="00F4220B">
            <w:pPr>
              <w:contextualSpacing/>
              <w:jc w:val="left"/>
              <w:rPr>
                <w:rFonts w:cs="Arial"/>
                <w:snapToGrid w:val="0"/>
                <w:sz w:val="16"/>
                <w:szCs w:val="16"/>
              </w:rPr>
            </w:pPr>
            <w:r w:rsidRPr="008B489D">
              <w:rPr>
                <w:rFonts w:cs="Arial"/>
                <w:snapToGrid w:val="0"/>
                <w:sz w:val="16"/>
                <w:szCs w:val="16"/>
              </w:rPr>
              <w:t>Zlínský kraj</w:t>
            </w:r>
          </w:p>
        </w:tc>
        <w:tc>
          <w:tcPr>
            <w:tcW w:w="1458" w:type="dxa"/>
            <w:vAlign w:val="center"/>
          </w:tcPr>
          <w:p w14:paraId="28FC9440" w14:textId="12CEE25B" w:rsidR="00F4220B" w:rsidRPr="008B489D" w:rsidRDefault="00F4220B" w:rsidP="00F4220B">
            <w:pPr>
              <w:contextualSpacing/>
              <w:jc w:val="right"/>
              <w:rPr>
                <w:rFonts w:cs="Arial"/>
                <w:sz w:val="16"/>
                <w:szCs w:val="16"/>
              </w:rPr>
            </w:pPr>
            <w:r w:rsidRPr="008B489D">
              <w:rPr>
                <w:rFonts w:cs="Arial"/>
                <w:sz w:val="16"/>
                <w:szCs w:val="16"/>
              </w:rPr>
              <w:t>556 558</w:t>
            </w:r>
          </w:p>
        </w:tc>
        <w:tc>
          <w:tcPr>
            <w:tcW w:w="1830" w:type="dxa"/>
            <w:vAlign w:val="center"/>
          </w:tcPr>
          <w:p w14:paraId="7CD0287F" w14:textId="25CE70B0" w:rsidR="00F4220B" w:rsidRPr="008B489D" w:rsidRDefault="00F4220B" w:rsidP="00F4220B">
            <w:pPr>
              <w:contextualSpacing/>
              <w:jc w:val="center"/>
              <w:rPr>
                <w:rFonts w:cs="Arial"/>
                <w:sz w:val="16"/>
                <w:szCs w:val="16"/>
              </w:rPr>
            </w:pPr>
            <w:r w:rsidRPr="008B489D">
              <w:rPr>
                <w:rFonts w:cs="Arial"/>
                <w:sz w:val="16"/>
                <w:szCs w:val="16"/>
              </w:rPr>
              <w:t>96,3</w:t>
            </w:r>
          </w:p>
        </w:tc>
        <w:tc>
          <w:tcPr>
            <w:tcW w:w="1418" w:type="dxa"/>
            <w:vAlign w:val="center"/>
          </w:tcPr>
          <w:p w14:paraId="58AE9AC1" w14:textId="7BC5C92E" w:rsidR="00F4220B" w:rsidRPr="008B489D" w:rsidRDefault="00F4220B" w:rsidP="00F4220B">
            <w:pPr>
              <w:contextualSpacing/>
              <w:jc w:val="right"/>
              <w:rPr>
                <w:rFonts w:cs="Arial"/>
                <w:sz w:val="16"/>
                <w:szCs w:val="16"/>
              </w:rPr>
            </w:pPr>
            <w:r w:rsidRPr="008B489D">
              <w:rPr>
                <w:rFonts w:cs="Arial"/>
                <w:sz w:val="16"/>
                <w:szCs w:val="16"/>
              </w:rPr>
              <w:t>29 078</w:t>
            </w:r>
          </w:p>
        </w:tc>
        <w:tc>
          <w:tcPr>
            <w:tcW w:w="1276" w:type="dxa"/>
            <w:vAlign w:val="center"/>
          </w:tcPr>
          <w:p w14:paraId="3D73B974" w14:textId="6DC3E138" w:rsidR="00F4220B" w:rsidRPr="008B489D" w:rsidRDefault="00F4220B" w:rsidP="00F4220B">
            <w:pPr>
              <w:contextualSpacing/>
              <w:jc w:val="right"/>
              <w:rPr>
                <w:rFonts w:cs="Arial"/>
                <w:sz w:val="16"/>
                <w:szCs w:val="16"/>
              </w:rPr>
            </w:pPr>
            <w:r w:rsidRPr="008B489D">
              <w:rPr>
                <w:rFonts w:cs="Arial"/>
                <w:sz w:val="16"/>
                <w:szCs w:val="16"/>
              </w:rPr>
              <w:t>23 510</w:t>
            </w:r>
          </w:p>
        </w:tc>
        <w:tc>
          <w:tcPr>
            <w:tcW w:w="1146" w:type="dxa"/>
            <w:vAlign w:val="center"/>
          </w:tcPr>
          <w:p w14:paraId="1B9E5ABA" w14:textId="0EA416C2" w:rsidR="00F4220B" w:rsidRPr="008B489D" w:rsidRDefault="00F4220B" w:rsidP="00F4220B">
            <w:pPr>
              <w:contextualSpacing/>
              <w:jc w:val="right"/>
              <w:rPr>
                <w:rFonts w:cs="Arial"/>
                <w:sz w:val="16"/>
                <w:szCs w:val="16"/>
              </w:rPr>
            </w:pPr>
            <w:r w:rsidRPr="008B489D">
              <w:rPr>
                <w:rFonts w:cs="Arial"/>
                <w:sz w:val="16"/>
                <w:szCs w:val="16"/>
              </w:rPr>
              <w:t>16 453</w:t>
            </w:r>
          </w:p>
        </w:tc>
      </w:tr>
      <w:tr w:rsidR="00F4220B" w:rsidRPr="008B489D" w14:paraId="64800053" w14:textId="77777777" w:rsidTr="00FA3EE8">
        <w:trPr>
          <w:trHeight w:val="240"/>
          <w:jc w:val="center"/>
        </w:trPr>
        <w:tc>
          <w:tcPr>
            <w:tcW w:w="2520" w:type="dxa"/>
            <w:vAlign w:val="center"/>
          </w:tcPr>
          <w:p w14:paraId="4138B76C" w14:textId="77777777" w:rsidR="00F4220B" w:rsidRPr="008B489D" w:rsidRDefault="00F4220B" w:rsidP="00F4220B">
            <w:pPr>
              <w:contextualSpacing/>
              <w:jc w:val="left"/>
              <w:rPr>
                <w:rFonts w:cs="Arial"/>
                <w:snapToGrid w:val="0"/>
                <w:sz w:val="16"/>
                <w:szCs w:val="16"/>
              </w:rPr>
            </w:pPr>
            <w:r w:rsidRPr="008B489D">
              <w:rPr>
                <w:rFonts w:cs="Arial"/>
                <w:snapToGrid w:val="0"/>
                <w:sz w:val="16"/>
                <w:szCs w:val="16"/>
              </w:rPr>
              <w:t>Moravskoslezský kraj</w:t>
            </w:r>
          </w:p>
        </w:tc>
        <w:tc>
          <w:tcPr>
            <w:tcW w:w="1458" w:type="dxa"/>
            <w:vAlign w:val="center"/>
          </w:tcPr>
          <w:p w14:paraId="37E17C48" w14:textId="4809DC3B" w:rsidR="00F4220B" w:rsidRPr="008B489D" w:rsidRDefault="00F4220B" w:rsidP="00F4220B">
            <w:pPr>
              <w:contextualSpacing/>
              <w:jc w:val="right"/>
              <w:rPr>
                <w:rFonts w:cs="Arial"/>
                <w:sz w:val="16"/>
                <w:szCs w:val="16"/>
              </w:rPr>
            </w:pPr>
            <w:r w:rsidRPr="008B489D">
              <w:rPr>
                <w:rFonts w:cs="Arial"/>
                <w:sz w:val="16"/>
                <w:szCs w:val="16"/>
              </w:rPr>
              <w:t>1 175 425</w:t>
            </w:r>
          </w:p>
        </w:tc>
        <w:tc>
          <w:tcPr>
            <w:tcW w:w="1830" w:type="dxa"/>
            <w:vAlign w:val="center"/>
          </w:tcPr>
          <w:p w14:paraId="6069AC06" w14:textId="3D528F69" w:rsidR="00F4220B" w:rsidRPr="008B489D" w:rsidRDefault="00F4220B" w:rsidP="00F4220B">
            <w:pPr>
              <w:contextualSpacing/>
              <w:jc w:val="center"/>
              <w:rPr>
                <w:rFonts w:cs="Arial"/>
                <w:sz w:val="16"/>
                <w:szCs w:val="16"/>
              </w:rPr>
            </w:pPr>
            <w:r w:rsidRPr="008B489D">
              <w:rPr>
                <w:rFonts w:cs="Arial"/>
                <w:sz w:val="16"/>
                <w:szCs w:val="16"/>
              </w:rPr>
              <w:t>99,8</w:t>
            </w:r>
          </w:p>
        </w:tc>
        <w:tc>
          <w:tcPr>
            <w:tcW w:w="1418" w:type="dxa"/>
            <w:vAlign w:val="center"/>
          </w:tcPr>
          <w:p w14:paraId="50F9422A" w14:textId="23549007" w:rsidR="00F4220B" w:rsidRPr="008B489D" w:rsidRDefault="00F4220B" w:rsidP="00F4220B">
            <w:pPr>
              <w:contextualSpacing/>
              <w:jc w:val="right"/>
              <w:rPr>
                <w:rFonts w:cs="Arial"/>
                <w:sz w:val="16"/>
                <w:szCs w:val="16"/>
              </w:rPr>
            </w:pPr>
            <w:r w:rsidRPr="008B489D">
              <w:rPr>
                <w:rFonts w:cs="Arial"/>
                <w:sz w:val="16"/>
                <w:szCs w:val="16"/>
              </w:rPr>
              <w:t>61 438</w:t>
            </w:r>
          </w:p>
        </w:tc>
        <w:tc>
          <w:tcPr>
            <w:tcW w:w="1276" w:type="dxa"/>
            <w:vAlign w:val="center"/>
          </w:tcPr>
          <w:p w14:paraId="056C12E3" w14:textId="7E26310F" w:rsidR="00F4220B" w:rsidRPr="008B489D" w:rsidRDefault="00F4220B" w:rsidP="00F4220B">
            <w:pPr>
              <w:contextualSpacing/>
              <w:jc w:val="right"/>
              <w:rPr>
                <w:rFonts w:cs="Arial"/>
                <w:sz w:val="16"/>
                <w:szCs w:val="16"/>
              </w:rPr>
            </w:pPr>
            <w:r w:rsidRPr="008B489D">
              <w:rPr>
                <w:rFonts w:cs="Arial"/>
                <w:sz w:val="16"/>
                <w:szCs w:val="16"/>
              </w:rPr>
              <w:t>54 074</w:t>
            </w:r>
          </w:p>
        </w:tc>
        <w:tc>
          <w:tcPr>
            <w:tcW w:w="1146" w:type="dxa"/>
            <w:vAlign w:val="center"/>
          </w:tcPr>
          <w:p w14:paraId="1E1D48D6" w14:textId="1A350875" w:rsidR="00F4220B" w:rsidRPr="008B489D" w:rsidRDefault="00F4220B" w:rsidP="00F4220B">
            <w:pPr>
              <w:contextualSpacing/>
              <w:jc w:val="right"/>
              <w:rPr>
                <w:rFonts w:cs="Arial"/>
                <w:sz w:val="16"/>
                <w:szCs w:val="16"/>
              </w:rPr>
            </w:pPr>
            <w:r w:rsidRPr="008B489D">
              <w:rPr>
                <w:rFonts w:cs="Arial"/>
                <w:sz w:val="16"/>
                <w:szCs w:val="16"/>
              </w:rPr>
              <w:t>38 698</w:t>
            </w:r>
          </w:p>
        </w:tc>
      </w:tr>
      <w:tr w:rsidR="00F4220B" w:rsidRPr="008B489D" w14:paraId="6B402A63" w14:textId="77777777" w:rsidTr="00FA3EE8">
        <w:trPr>
          <w:trHeight w:val="240"/>
          <w:jc w:val="center"/>
        </w:trPr>
        <w:tc>
          <w:tcPr>
            <w:tcW w:w="2520" w:type="dxa"/>
            <w:shd w:val="clear" w:color="auto" w:fill="BFBFBF"/>
            <w:vAlign w:val="center"/>
          </w:tcPr>
          <w:p w14:paraId="1D994E0A" w14:textId="77777777" w:rsidR="00F4220B" w:rsidRPr="008B489D" w:rsidRDefault="00F4220B" w:rsidP="00F4220B">
            <w:pPr>
              <w:contextualSpacing/>
              <w:jc w:val="left"/>
              <w:rPr>
                <w:rFonts w:cs="Arial"/>
                <w:b/>
                <w:snapToGrid w:val="0"/>
                <w:sz w:val="16"/>
                <w:szCs w:val="16"/>
              </w:rPr>
            </w:pPr>
            <w:r w:rsidRPr="008B489D">
              <w:rPr>
                <w:rFonts w:cs="Arial"/>
                <w:b/>
                <w:snapToGrid w:val="0"/>
                <w:sz w:val="16"/>
                <w:szCs w:val="16"/>
              </w:rPr>
              <w:t>Česká republika</w:t>
            </w:r>
          </w:p>
        </w:tc>
        <w:tc>
          <w:tcPr>
            <w:tcW w:w="1458" w:type="dxa"/>
            <w:shd w:val="clear" w:color="auto" w:fill="BFBFBF"/>
            <w:vAlign w:val="center"/>
          </w:tcPr>
          <w:p w14:paraId="1D539FF7" w14:textId="7F923BA7" w:rsidR="00F4220B" w:rsidRPr="008B489D" w:rsidRDefault="00F4220B" w:rsidP="00F4220B">
            <w:pPr>
              <w:contextualSpacing/>
              <w:jc w:val="right"/>
              <w:rPr>
                <w:rFonts w:cs="Arial"/>
                <w:b/>
                <w:bCs/>
                <w:sz w:val="16"/>
                <w:szCs w:val="16"/>
              </w:rPr>
            </w:pPr>
            <w:r w:rsidRPr="008B489D">
              <w:rPr>
                <w:rFonts w:cs="Arial"/>
                <w:b/>
                <w:bCs/>
                <w:sz w:val="16"/>
                <w:szCs w:val="16"/>
              </w:rPr>
              <w:t>10 411 088</w:t>
            </w:r>
          </w:p>
        </w:tc>
        <w:tc>
          <w:tcPr>
            <w:tcW w:w="1830" w:type="dxa"/>
            <w:shd w:val="clear" w:color="auto" w:fill="BFBFBF"/>
            <w:vAlign w:val="center"/>
          </w:tcPr>
          <w:p w14:paraId="2C2C8167" w14:textId="28077CFE" w:rsidR="00F4220B" w:rsidRPr="008B489D" w:rsidRDefault="00F4220B" w:rsidP="00F4220B">
            <w:pPr>
              <w:contextualSpacing/>
              <w:jc w:val="center"/>
              <w:rPr>
                <w:rFonts w:cs="Arial"/>
                <w:b/>
                <w:bCs/>
                <w:sz w:val="16"/>
                <w:szCs w:val="16"/>
              </w:rPr>
            </w:pPr>
            <w:r w:rsidRPr="008B489D">
              <w:rPr>
                <w:rFonts w:cs="Arial"/>
                <w:b/>
                <w:bCs/>
                <w:sz w:val="16"/>
                <w:szCs w:val="16"/>
              </w:rPr>
              <w:t>95,6</w:t>
            </w:r>
          </w:p>
        </w:tc>
        <w:tc>
          <w:tcPr>
            <w:tcW w:w="1418" w:type="dxa"/>
            <w:shd w:val="clear" w:color="auto" w:fill="BFBFBF"/>
            <w:vAlign w:val="center"/>
          </w:tcPr>
          <w:p w14:paraId="426D0883" w14:textId="4252D18C" w:rsidR="00F4220B" w:rsidRPr="008B489D" w:rsidRDefault="00F4220B" w:rsidP="00F4220B">
            <w:pPr>
              <w:contextualSpacing/>
              <w:jc w:val="right"/>
              <w:rPr>
                <w:rFonts w:cs="Arial"/>
                <w:b/>
                <w:bCs/>
                <w:sz w:val="16"/>
                <w:szCs w:val="16"/>
              </w:rPr>
            </w:pPr>
            <w:r w:rsidRPr="008B489D">
              <w:rPr>
                <w:b/>
                <w:bCs/>
                <w:sz w:val="16"/>
                <w:szCs w:val="16"/>
              </w:rPr>
              <w:t>590 507</w:t>
            </w:r>
          </w:p>
        </w:tc>
        <w:tc>
          <w:tcPr>
            <w:tcW w:w="1276" w:type="dxa"/>
            <w:shd w:val="clear" w:color="auto" w:fill="BFBFBF"/>
            <w:vAlign w:val="center"/>
          </w:tcPr>
          <w:p w14:paraId="6BEC56FD" w14:textId="7E3DC751" w:rsidR="00F4220B" w:rsidRPr="008B489D" w:rsidRDefault="00F4220B" w:rsidP="00F4220B">
            <w:pPr>
              <w:contextualSpacing/>
              <w:jc w:val="right"/>
              <w:rPr>
                <w:rFonts w:cs="Arial"/>
                <w:b/>
                <w:bCs/>
                <w:sz w:val="16"/>
                <w:szCs w:val="16"/>
              </w:rPr>
            </w:pPr>
            <w:r w:rsidRPr="008B489D">
              <w:rPr>
                <w:b/>
                <w:bCs/>
                <w:sz w:val="16"/>
                <w:szCs w:val="16"/>
              </w:rPr>
              <w:t>492 092</w:t>
            </w:r>
          </w:p>
        </w:tc>
        <w:tc>
          <w:tcPr>
            <w:tcW w:w="1146" w:type="dxa"/>
            <w:shd w:val="clear" w:color="auto" w:fill="BFBFBF"/>
            <w:vAlign w:val="center"/>
          </w:tcPr>
          <w:p w14:paraId="64D21A19" w14:textId="23145800" w:rsidR="00F4220B" w:rsidRPr="008B489D" w:rsidRDefault="00F4220B" w:rsidP="00F4220B">
            <w:pPr>
              <w:contextualSpacing/>
              <w:jc w:val="right"/>
              <w:rPr>
                <w:rFonts w:cs="Arial"/>
                <w:b/>
                <w:bCs/>
                <w:sz w:val="16"/>
                <w:szCs w:val="16"/>
              </w:rPr>
            </w:pPr>
            <w:r w:rsidRPr="008B489D">
              <w:rPr>
                <w:b/>
                <w:bCs/>
                <w:sz w:val="16"/>
                <w:szCs w:val="16"/>
              </w:rPr>
              <w:t>340 767</w:t>
            </w:r>
          </w:p>
        </w:tc>
      </w:tr>
    </w:tbl>
    <w:p w14:paraId="2007BDD9" w14:textId="2AF448FE" w:rsidR="00EE6F9C" w:rsidRPr="008B489D" w:rsidRDefault="00EE6F9C" w:rsidP="55DFC2AA">
      <w:pPr>
        <w:pStyle w:val="nzevpodkapit"/>
        <w:keepNext w:val="0"/>
        <w:keepLines w:val="0"/>
        <w:widowControl/>
        <w:suppressAutoHyphens w:val="0"/>
        <w:spacing w:before="0" w:after="0"/>
        <w:contextualSpacing/>
        <w:rPr>
          <w:rFonts w:ascii="Arial" w:hAnsi="Arial" w:cs="Arial"/>
          <w:b w:val="0"/>
          <w:i/>
          <w:iCs/>
          <w:snapToGrid w:val="0"/>
          <w:sz w:val="20"/>
          <w:lang w:val="en-US"/>
        </w:rPr>
      </w:pPr>
      <w:bookmarkStart w:id="125" w:name="_Toc234397535"/>
      <w:bookmarkStart w:id="126" w:name="_Toc234400041"/>
      <w:bookmarkStart w:id="127" w:name="_Toc235195425"/>
      <w:bookmarkStart w:id="128" w:name="_Toc236991631"/>
      <w:proofErr w:type="spellStart"/>
      <w:r w:rsidRPr="008B489D">
        <w:rPr>
          <w:rFonts w:ascii="Arial" w:hAnsi="Arial" w:cs="Arial"/>
          <w:b w:val="0"/>
          <w:i/>
          <w:iCs/>
          <w:snapToGrid w:val="0"/>
          <w:sz w:val="20"/>
          <w:lang w:val="en-US"/>
        </w:rPr>
        <w:t>Pramen</w:t>
      </w:r>
      <w:proofErr w:type="spellEnd"/>
      <w:r w:rsidRPr="008B489D">
        <w:rPr>
          <w:rFonts w:ascii="Arial" w:hAnsi="Arial" w:cs="Arial"/>
          <w:b w:val="0"/>
          <w:i/>
          <w:iCs/>
          <w:snapToGrid w:val="0"/>
          <w:sz w:val="20"/>
          <w:lang w:val="en-US"/>
        </w:rPr>
        <w:t>: ČSÚ</w:t>
      </w:r>
      <w:r w:rsidR="002159FD" w:rsidRPr="008B489D">
        <w:rPr>
          <w:rFonts w:ascii="Arial" w:hAnsi="Arial" w:cs="Arial"/>
          <w:b w:val="0"/>
          <w:i/>
          <w:iCs/>
          <w:snapToGrid w:val="0"/>
          <w:sz w:val="20"/>
          <w:lang w:val="en-US"/>
        </w:rPr>
        <w:t xml:space="preserve">, </w:t>
      </w:r>
      <w:proofErr w:type="spellStart"/>
      <w:r w:rsidR="002159FD" w:rsidRPr="008B489D">
        <w:rPr>
          <w:rFonts w:ascii="Arial" w:hAnsi="Arial" w:cs="Arial"/>
          <w:b w:val="0"/>
          <w:i/>
          <w:iCs/>
          <w:snapToGrid w:val="0"/>
          <w:sz w:val="20"/>
          <w:lang w:val="en-US"/>
        </w:rPr>
        <w:t>na</w:t>
      </w:r>
      <w:proofErr w:type="spellEnd"/>
      <w:r w:rsidR="002159FD" w:rsidRPr="008B489D">
        <w:rPr>
          <w:rFonts w:ascii="Arial" w:hAnsi="Arial" w:cs="Arial"/>
          <w:b w:val="0"/>
          <w:i/>
          <w:iCs/>
          <w:snapToGrid w:val="0"/>
          <w:sz w:val="20"/>
          <w:lang w:val="en-US"/>
        </w:rPr>
        <w:t xml:space="preserve"> </w:t>
      </w:r>
      <w:proofErr w:type="spellStart"/>
      <w:r w:rsidR="002159FD" w:rsidRPr="008B489D">
        <w:rPr>
          <w:rFonts w:ascii="Arial" w:hAnsi="Arial" w:cs="Arial"/>
          <w:b w:val="0"/>
          <w:i/>
          <w:iCs/>
          <w:snapToGrid w:val="0"/>
          <w:sz w:val="20"/>
          <w:lang w:val="en-US"/>
        </w:rPr>
        <w:t>základě</w:t>
      </w:r>
      <w:proofErr w:type="spellEnd"/>
      <w:r w:rsidR="002159FD" w:rsidRPr="008B489D">
        <w:rPr>
          <w:rFonts w:ascii="Arial" w:hAnsi="Arial" w:cs="Arial"/>
          <w:b w:val="0"/>
          <w:i/>
          <w:iCs/>
          <w:snapToGrid w:val="0"/>
          <w:sz w:val="20"/>
          <w:lang w:val="en-US"/>
        </w:rPr>
        <w:t xml:space="preserve"> </w:t>
      </w:r>
      <w:proofErr w:type="spellStart"/>
      <w:r w:rsidR="002159FD" w:rsidRPr="008B489D">
        <w:rPr>
          <w:rFonts w:ascii="Arial" w:hAnsi="Arial" w:cs="Arial"/>
          <w:b w:val="0"/>
          <w:i/>
          <w:iCs/>
          <w:snapToGrid w:val="0"/>
          <w:sz w:val="20"/>
          <w:lang w:val="en-US"/>
        </w:rPr>
        <w:t>dat</w:t>
      </w:r>
      <w:proofErr w:type="spellEnd"/>
      <w:r w:rsidR="002159FD" w:rsidRPr="008B489D">
        <w:rPr>
          <w:rFonts w:ascii="Arial" w:hAnsi="Arial" w:cs="Arial"/>
          <w:b w:val="0"/>
          <w:i/>
          <w:iCs/>
          <w:snapToGrid w:val="0"/>
          <w:sz w:val="20"/>
          <w:lang w:val="en-US"/>
        </w:rPr>
        <w:t xml:space="preserve"> MZe</w:t>
      </w:r>
      <w:bookmarkEnd w:id="125"/>
      <w:bookmarkEnd w:id="126"/>
      <w:bookmarkEnd w:id="127"/>
      <w:bookmarkEnd w:id="128"/>
    </w:p>
    <w:p w14:paraId="31F62ECC" w14:textId="77777777" w:rsidR="00D179CE" w:rsidRPr="008B489D" w:rsidRDefault="00D179CE" w:rsidP="002E3123">
      <w:bookmarkStart w:id="129" w:name="_Toc10183427"/>
    </w:p>
    <w:p w14:paraId="29E5927D" w14:textId="77777777" w:rsidR="004F0A5E" w:rsidRPr="008B489D" w:rsidRDefault="004F0A5E" w:rsidP="004F0A5E">
      <w:r w:rsidRPr="008B489D">
        <w:t>Délka vodovodní sítě dosáhla 84 703 km. S ohledem na počet zásobených obyvatel tak na jednoho zásobeného obyvatele připadlo průměrně 8,14 m vodovodu.</w:t>
      </w:r>
    </w:p>
    <w:p w14:paraId="673181F3" w14:textId="77777777" w:rsidR="004F0A5E" w:rsidRPr="008B489D" w:rsidRDefault="004F0A5E" w:rsidP="004F0A5E">
      <w:pPr>
        <w:spacing w:before="180"/>
      </w:pPr>
      <w:r w:rsidRPr="008B489D">
        <w:t>V roce 2025 bylo v České republice 2 362 276 vodovodních přípojek. Na jednu vodovodní přípojku připadají více než čtyři připojení obyvatelé.</w:t>
      </w:r>
    </w:p>
    <w:p w14:paraId="0F260A6E" w14:textId="77777777" w:rsidR="002838DA" w:rsidRPr="008B489D" w:rsidRDefault="002838DA" w:rsidP="002838DA">
      <w:pPr>
        <w:rPr>
          <w:color w:val="FF0000"/>
        </w:rPr>
      </w:pPr>
    </w:p>
    <w:p w14:paraId="416AE2AC" w14:textId="77777777" w:rsidR="00547C0E" w:rsidRPr="004F0A5E" w:rsidRDefault="00547C0E">
      <w:pPr>
        <w:pStyle w:val="Nadpis2"/>
        <w:numPr>
          <w:ilvl w:val="1"/>
          <w:numId w:val="13"/>
        </w:numPr>
        <w:spacing w:before="0"/>
        <w:contextualSpacing/>
      </w:pPr>
      <w:bookmarkStart w:id="130" w:name="_Toc236991632"/>
      <w:r w:rsidRPr="004F0A5E">
        <w:t>Odvádění a č</w:t>
      </w:r>
      <w:r w:rsidR="00EE6F9C" w:rsidRPr="004F0A5E">
        <w:t>ištění komunálních odpadních vod</w:t>
      </w:r>
      <w:bookmarkEnd w:id="129"/>
      <w:bookmarkEnd w:id="130"/>
    </w:p>
    <w:p w14:paraId="46091770" w14:textId="77777777" w:rsidR="00D179CE" w:rsidRPr="00104F7D" w:rsidRDefault="00D179CE" w:rsidP="00D046E0">
      <w:pPr>
        <w:pStyle w:val="Zkladntext21"/>
        <w:widowControl/>
        <w:contextualSpacing/>
        <w:rPr>
          <w:rFonts w:ascii="Arial" w:hAnsi="Arial" w:cs="Arial"/>
          <w:b/>
          <w:sz w:val="22"/>
          <w:szCs w:val="22"/>
          <w:highlight w:val="yellow"/>
        </w:rPr>
      </w:pPr>
    </w:p>
    <w:p w14:paraId="0E2BA8CD" w14:textId="77777777" w:rsidR="003924BD" w:rsidRPr="008B489D" w:rsidRDefault="003924BD" w:rsidP="003924BD">
      <w:pPr>
        <w:pStyle w:val="Zkladntext21"/>
        <w:widowControl/>
        <w:contextualSpacing/>
        <w:rPr>
          <w:rFonts w:ascii="Arial" w:hAnsi="Arial" w:cs="Arial"/>
          <w:b/>
          <w:sz w:val="22"/>
          <w:szCs w:val="22"/>
        </w:rPr>
      </w:pPr>
      <w:r w:rsidRPr="008B489D">
        <w:rPr>
          <w:rFonts w:ascii="Arial" w:hAnsi="Arial" w:cs="Arial"/>
          <w:b/>
          <w:sz w:val="22"/>
          <w:szCs w:val="22"/>
        </w:rPr>
        <w:t>V roce 2025 bylo připojeno na kanalizaci 9,888 mil. obyvatel České republiky, to je 90,8 % z celkového počtu obyvatel. Do kanalizací bylo vypuštěno (</w:t>
      </w:r>
      <w:r w:rsidRPr="008B489D">
        <w:rPr>
          <w:rFonts w:ascii="Arial" w:hAnsi="Arial" w:cs="Arial"/>
          <w:b/>
          <w:snapToGrid w:val="0"/>
          <w:sz w:val="22"/>
          <w:szCs w:val="22"/>
        </w:rPr>
        <w:t xml:space="preserve">bez zpoplatněných srážkových vod) </w:t>
      </w:r>
      <w:r w:rsidRPr="008B489D">
        <w:rPr>
          <w:rFonts w:ascii="Arial" w:hAnsi="Arial" w:cs="Arial"/>
          <w:b/>
          <w:sz w:val="22"/>
          <w:szCs w:val="22"/>
        </w:rPr>
        <w:t>celkem 510,8 mil. m</w:t>
      </w:r>
      <w:r w:rsidRPr="008B489D">
        <w:rPr>
          <w:rFonts w:ascii="Arial" w:hAnsi="Arial" w:cs="Arial"/>
          <w:b/>
          <w:sz w:val="22"/>
          <w:szCs w:val="22"/>
          <w:vertAlign w:val="superscript"/>
        </w:rPr>
        <w:t>3</w:t>
      </w:r>
      <w:r w:rsidRPr="008B489D">
        <w:rPr>
          <w:rFonts w:ascii="Arial" w:hAnsi="Arial" w:cs="Arial"/>
          <w:b/>
          <w:sz w:val="22"/>
          <w:szCs w:val="22"/>
        </w:rPr>
        <w:t xml:space="preserve"> odpadních vod. Na čistírnách odpadních vod bylo čištěno 507,8 mil. m</w:t>
      </w:r>
      <w:r w:rsidRPr="008B489D">
        <w:rPr>
          <w:rFonts w:ascii="Arial" w:hAnsi="Arial" w:cs="Arial"/>
          <w:b/>
          <w:sz w:val="22"/>
          <w:szCs w:val="22"/>
          <w:vertAlign w:val="superscript"/>
        </w:rPr>
        <w:t>3</w:t>
      </w:r>
      <w:r w:rsidRPr="008B489D">
        <w:rPr>
          <w:rFonts w:ascii="Arial" w:hAnsi="Arial" w:cs="Arial"/>
          <w:b/>
          <w:sz w:val="22"/>
          <w:szCs w:val="22"/>
        </w:rPr>
        <w:t xml:space="preserve"> odpadních vod (bez zahrnutí vod srážkových).</w:t>
      </w:r>
    </w:p>
    <w:p w14:paraId="66C2E16C" w14:textId="77777777" w:rsidR="00AF2465" w:rsidRPr="008B489D" w:rsidRDefault="00AF2465" w:rsidP="007C4955">
      <w:pPr>
        <w:contextualSpacing/>
        <w:rPr>
          <w:rFonts w:cs="Arial"/>
          <w:b/>
          <w:i/>
          <w:snapToGrid w:val="0"/>
          <w:color w:val="FF0000"/>
        </w:rPr>
      </w:pPr>
    </w:p>
    <w:p w14:paraId="5D4EDA01" w14:textId="56FFC7D2" w:rsidR="00EE6F9C" w:rsidRPr="008B489D" w:rsidRDefault="00EE6F9C" w:rsidP="007C4955">
      <w:pPr>
        <w:contextualSpacing/>
        <w:rPr>
          <w:rFonts w:cs="Arial"/>
          <w:b/>
          <w:i/>
          <w:snapToGrid w:val="0"/>
        </w:rPr>
      </w:pPr>
      <w:bookmarkStart w:id="131" w:name="_Hlk170812666"/>
      <w:r w:rsidRPr="008B489D">
        <w:rPr>
          <w:rFonts w:cs="Arial"/>
          <w:b/>
          <w:i/>
          <w:snapToGrid w:val="0"/>
        </w:rPr>
        <w:t>Tabulka </w:t>
      </w:r>
      <w:r w:rsidR="00D046E0" w:rsidRPr="008B489D">
        <w:rPr>
          <w:rFonts w:cs="Arial"/>
          <w:b/>
          <w:i/>
          <w:snapToGrid w:val="0"/>
        </w:rPr>
        <w:t>9</w:t>
      </w:r>
      <w:r w:rsidRPr="008B489D">
        <w:rPr>
          <w:rFonts w:cs="Arial"/>
          <w:b/>
          <w:i/>
          <w:snapToGrid w:val="0"/>
        </w:rPr>
        <w:t>.2.1  </w:t>
      </w:r>
    </w:p>
    <w:p w14:paraId="350E362D" w14:textId="4BA0FBF7" w:rsidR="00EE6F9C" w:rsidRPr="008B489D" w:rsidRDefault="00EE6F9C" w:rsidP="007C4955">
      <w:pPr>
        <w:contextualSpacing/>
        <w:rPr>
          <w:rFonts w:cs="Arial"/>
          <w:b/>
          <w:i/>
          <w:snapToGrid w:val="0"/>
        </w:rPr>
      </w:pPr>
      <w:r w:rsidRPr="008B489D">
        <w:rPr>
          <w:rFonts w:cs="Arial"/>
          <w:b/>
          <w:i/>
          <w:snapToGrid w:val="0"/>
        </w:rPr>
        <w:t>Odvádění a čištění odpadních vod z kanalizací v letech 1989 a 201</w:t>
      </w:r>
      <w:r w:rsidR="00D046E0" w:rsidRPr="008B489D">
        <w:rPr>
          <w:rFonts w:cs="Arial"/>
          <w:b/>
          <w:i/>
          <w:snapToGrid w:val="0"/>
        </w:rPr>
        <w:t>7</w:t>
      </w:r>
      <w:r w:rsidRPr="008B489D">
        <w:rPr>
          <w:rFonts w:cs="Arial"/>
          <w:b/>
          <w:i/>
          <w:snapToGrid w:val="0"/>
        </w:rPr>
        <w:t>–20</w:t>
      </w:r>
      <w:r w:rsidR="00AF361F" w:rsidRPr="008B489D">
        <w:rPr>
          <w:rFonts w:cs="Arial"/>
          <w:b/>
          <w:i/>
          <w:snapToGrid w:val="0"/>
        </w:rPr>
        <w:t>2</w:t>
      </w:r>
      <w:r w:rsidR="00B83DEC" w:rsidRPr="008B489D">
        <w:rPr>
          <w:rFonts w:cs="Arial"/>
          <w:b/>
          <w:i/>
          <w:snapToGrid w:val="0"/>
        </w:rPr>
        <w:t>5</w:t>
      </w:r>
    </w:p>
    <w:tbl>
      <w:tblPr>
        <w:tblW w:w="11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373"/>
        <w:gridCol w:w="1000"/>
        <w:gridCol w:w="892"/>
        <w:gridCol w:w="892"/>
        <w:gridCol w:w="893"/>
        <w:gridCol w:w="892"/>
        <w:gridCol w:w="893"/>
        <w:gridCol w:w="891"/>
        <w:gridCol w:w="908"/>
        <w:gridCol w:w="874"/>
        <w:gridCol w:w="969"/>
      </w:tblGrid>
      <w:tr w:rsidR="00695778" w:rsidRPr="008B489D" w14:paraId="12030D34" w14:textId="77777777" w:rsidTr="005B52A8">
        <w:trPr>
          <w:trHeight w:val="20"/>
          <w:jc w:val="center"/>
        </w:trPr>
        <w:tc>
          <w:tcPr>
            <w:tcW w:w="2373" w:type="dxa"/>
            <w:shd w:val="clear" w:color="auto" w:fill="BFBFBF"/>
            <w:vAlign w:val="center"/>
          </w:tcPr>
          <w:p w14:paraId="7215C08A" w14:textId="77777777" w:rsidR="00695778" w:rsidRPr="008B489D" w:rsidRDefault="00695778" w:rsidP="005B52A8">
            <w:pPr>
              <w:contextualSpacing/>
              <w:jc w:val="center"/>
              <w:rPr>
                <w:rFonts w:cs="Arial"/>
                <w:b/>
                <w:snapToGrid w:val="0"/>
                <w:sz w:val="16"/>
                <w:szCs w:val="16"/>
              </w:rPr>
            </w:pPr>
            <w:r w:rsidRPr="008B489D">
              <w:rPr>
                <w:rFonts w:cs="Arial"/>
                <w:b/>
                <w:snapToGrid w:val="0"/>
                <w:sz w:val="16"/>
                <w:szCs w:val="16"/>
              </w:rPr>
              <w:t>Ukazatel</w:t>
            </w:r>
          </w:p>
        </w:tc>
        <w:tc>
          <w:tcPr>
            <w:tcW w:w="1000" w:type="dxa"/>
            <w:shd w:val="clear" w:color="auto" w:fill="BFBFBF"/>
            <w:vAlign w:val="center"/>
          </w:tcPr>
          <w:p w14:paraId="47885708" w14:textId="77777777" w:rsidR="00695778" w:rsidRPr="008B489D" w:rsidRDefault="00695778" w:rsidP="005B52A8">
            <w:pPr>
              <w:contextualSpacing/>
              <w:jc w:val="center"/>
              <w:rPr>
                <w:rFonts w:cs="Arial"/>
                <w:b/>
                <w:snapToGrid w:val="0"/>
                <w:sz w:val="16"/>
                <w:szCs w:val="16"/>
              </w:rPr>
            </w:pPr>
            <w:r w:rsidRPr="008B489D">
              <w:rPr>
                <w:rFonts w:cs="Arial"/>
                <w:b/>
                <w:snapToGrid w:val="0"/>
                <w:sz w:val="16"/>
                <w:szCs w:val="16"/>
              </w:rPr>
              <w:t>Měrná jednotka</w:t>
            </w:r>
          </w:p>
        </w:tc>
        <w:tc>
          <w:tcPr>
            <w:tcW w:w="892" w:type="dxa"/>
            <w:shd w:val="clear" w:color="auto" w:fill="BFBFBF"/>
            <w:vAlign w:val="center"/>
          </w:tcPr>
          <w:p w14:paraId="547FB322" w14:textId="77777777" w:rsidR="00695778" w:rsidRPr="008B489D" w:rsidRDefault="00695778" w:rsidP="005B52A8">
            <w:pPr>
              <w:ind w:right="-28"/>
              <w:contextualSpacing/>
              <w:jc w:val="center"/>
              <w:rPr>
                <w:rFonts w:cs="Arial"/>
                <w:b/>
                <w:snapToGrid w:val="0"/>
                <w:color w:val="FF0000"/>
                <w:sz w:val="16"/>
                <w:szCs w:val="16"/>
              </w:rPr>
            </w:pPr>
            <w:r w:rsidRPr="008B489D">
              <w:rPr>
                <w:rFonts w:cs="Arial"/>
                <w:b/>
                <w:snapToGrid w:val="0"/>
                <w:sz w:val="16"/>
                <w:szCs w:val="16"/>
              </w:rPr>
              <w:t>1989</w:t>
            </w:r>
          </w:p>
        </w:tc>
        <w:tc>
          <w:tcPr>
            <w:tcW w:w="892" w:type="dxa"/>
            <w:shd w:val="clear" w:color="auto" w:fill="BFBFBF"/>
            <w:vAlign w:val="center"/>
          </w:tcPr>
          <w:p w14:paraId="42080867" w14:textId="77777777" w:rsidR="00695778" w:rsidRPr="008B489D" w:rsidRDefault="00695778" w:rsidP="005B52A8">
            <w:pPr>
              <w:ind w:right="-28"/>
              <w:contextualSpacing/>
              <w:jc w:val="center"/>
              <w:rPr>
                <w:rFonts w:cs="Arial"/>
                <w:b/>
                <w:snapToGrid w:val="0"/>
                <w:color w:val="FF0000"/>
                <w:sz w:val="16"/>
                <w:szCs w:val="16"/>
              </w:rPr>
            </w:pPr>
            <w:r w:rsidRPr="008B489D">
              <w:rPr>
                <w:rFonts w:cs="Arial"/>
                <w:b/>
                <w:snapToGrid w:val="0"/>
                <w:sz w:val="16"/>
                <w:szCs w:val="16"/>
              </w:rPr>
              <w:t>2018</w:t>
            </w:r>
          </w:p>
        </w:tc>
        <w:tc>
          <w:tcPr>
            <w:tcW w:w="893" w:type="dxa"/>
            <w:shd w:val="clear" w:color="auto" w:fill="BFBFBF"/>
            <w:vAlign w:val="center"/>
          </w:tcPr>
          <w:p w14:paraId="49372438" w14:textId="77777777" w:rsidR="00695778" w:rsidRPr="008B489D" w:rsidRDefault="00695778" w:rsidP="005B52A8">
            <w:pPr>
              <w:ind w:right="-28"/>
              <w:contextualSpacing/>
              <w:jc w:val="center"/>
              <w:rPr>
                <w:rFonts w:cs="Arial"/>
                <w:b/>
                <w:snapToGrid w:val="0"/>
                <w:color w:val="FF0000"/>
                <w:sz w:val="16"/>
                <w:szCs w:val="16"/>
              </w:rPr>
            </w:pPr>
            <w:r w:rsidRPr="008B489D">
              <w:rPr>
                <w:rFonts w:cs="Arial"/>
                <w:b/>
                <w:snapToGrid w:val="0"/>
                <w:sz w:val="16"/>
                <w:szCs w:val="16"/>
              </w:rPr>
              <w:t>2019</w:t>
            </w:r>
          </w:p>
        </w:tc>
        <w:tc>
          <w:tcPr>
            <w:tcW w:w="892" w:type="dxa"/>
            <w:shd w:val="clear" w:color="auto" w:fill="BFBFBF"/>
            <w:vAlign w:val="center"/>
          </w:tcPr>
          <w:p w14:paraId="63755926" w14:textId="77777777" w:rsidR="00695778" w:rsidRPr="008B489D" w:rsidRDefault="00695778" w:rsidP="005B52A8">
            <w:pPr>
              <w:ind w:right="-28"/>
              <w:contextualSpacing/>
              <w:jc w:val="center"/>
              <w:rPr>
                <w:rFonts w:cs="Arial"/>
                <w:b/>
                <w:snapToGrid w:val="0"/>
                <w:color w:val="FF0000"/>
                <w:sz w:val="16"/>
                <w:szCs w:val="16"/>
              </w:rPr>
            </w:pPr>
            <w:r w:rsidRPr="008B489D">
              <w:rPr>
                <w:rFonts w:cs="Arial"/>
                <w:b/>
                <w:snapToGrid w:val="0"/>
                <w:sz w:val="16"/>
                <w:szCs w:val="16"/>
              </w:rPr>
              <w:t>2020</w:t>
            </w:r>
          </w:p>
        </w:tc>
        <w:tc>
          <w:tcPr>
            <w:tcW w:w="893" w:type="dxa"/>
            <w:shd w:val="clear" w:color="auto" w:fill="BFBFBF"/>
            <w:vAlign w:val="center"/>
          </w:tcPr>
          <w:p w14:paraId="27E9FAB8" w14:textId="77777777" w:rsidR="00695778" w:rsidRPr="008B489D" w:rsidRDefault="00695778" w:rsidP="005B52A8">
            <w:pPr>
              <w:ind w:right="-28"/>
              <w:contextualSpacing/>
              <w:jc w:val="center"/>
              <w:rPr>
                <w:rFonts w:cs="Arial"/>
                <w:b/>
                <w:snapToGrid w:val="0"/>
                <w:color w:val="FF0000"/>
                <w:sz w:val="16"/>
                <w:szCs w:val="16"/>
              </w:rPr>
            </w:pPr>
            <w:r w:rsidRPr="008B489D">
              <w:rPr>
                <w:rFonts w:cs="Arial"/>
                <w:b/>
                <w:snapToGrid w:val="0"/>
                <w:sz w:val="16"/>
                <w:szCs w:val="16"/>
              </w:rPr>
              <w:t>2021</w:t>
            </w:r>
          </w:p>
        </w:tc>
        <w:tc>
          <w:tcPr>
            <w:tcW w:w="891" w:type="dxa"/>
            <w:shd w:val="clear" w:color="auto" w:fill="BFBFBF"/>
            <w:vAlign w:val="center"/>
          </w:tcPr>
          <w:p w14:paraId="56443E9B" w14:textId="77777777" w:rsidR="00695778" w:rsidRPr="008B489D" w:rsidRDefault="00695778" w:rsidP="005B52A8">
            <w:pPr>
              <w:ind w:right="-28"/>
              <w:contextualSpacing/>
              <w:jc w:val="center"/>
              <w:rPr>
                <w:rFonts w:cs="Arial"/>
                <w:b/>
                <w:snapToGrid w:val="0"/>
                <w:color w:val="FF0000"/>
                <w:sz w:val="16"/>
                <w:szCs w:val="16"/>
              </w:rPr>
            </w:pPr>
            <w:r w:rsidRPr="008B489D">
              <w:rPr>
                <w:rFonts w:cs="Arial"/>
                <w:b/>
                <w:snapToGrid w:val="0"/>
                <w:sz w:val="16"/>
                <w:szCs w:val="16"/>
              </w:rPr>
              <w:t>2022</w:t>
            </w:r>
          </w:p>
        </w:tc>
        <w:tc>
          <w:tcPr>
            <w:tcW w:w="908" w:type="dxa"/>
            <w:shd w:val="clear" w:color="auto" w:fill="BFBFBF"/>
            <w:vAlign w:val="center"/>
          </w:tcPr>
          <w:p w14:paraId="1322B161" w14:textId="77777777" w:rsidR="00695778" w:rsidRPr="008B489D" w:rsidRDefault="00695778" w:rsidP="005B52A8">
            <w:pPr>
              <w:ind w:right="-28"/>
              <w:contextualSpacing/>
              <w:jc w:val="center"/>
              <w:rPr>
                <w:rFonts w:cs="Arial"/>
                <w:b/>
                <w:snapToGrid w:val="0"/>
                <w:color w:val="FF0000"/>
                <w:sz w:val="16"/>
                <w:szCs w:val="16"/>
              </w:rPr>
            </w:pPr>
            <w:r w:rsidRPr="008B489D">
              <w:rPr>
                <w:rFonts w:cs="Arial"/>
                <w:b/>
                <w:snapToGrid w:val="0"/>
                <w:sz w:val="16"/>
                <w:szCs w:val="16"/>
              </w:rPr>
              <w:t>2023</w:t>
            </w:r>
          </w:p>
        </w:tc>
        <w:tc>
          <w:tcPr>
            <w:tcW w:w="874" w:type="dxa"/>
            <w:shd w:val="clear" w:color="auto" w:fill="BFBFBF"/>
            <w:vAlign w:val="center"/>
          </w:tcPr>
          <w:p w14:paraId="34FB8D63" w14:textId="77777777" w:rsidR="00695778" w:rsidRPr="008B489D" w:rsidRDefault="00695778" w:rsidP="005B52A8">
            <w:pPr>
              <w:ind w:right="-28"/>
              <w:contextualSpacing/>
              <w:jc w:val="center"/>
              <w:rPr>
                <w:rFonts w:cs="Arial"/>
                <w:b/>
                <w:snapToGrid w:val="0"/>
                <w:sz w:val="16"/>
                <w:szCs w:val="16"/>
              </w:rPr>
            </w:pPr>
            <w:r w:rsidRPr="008B489D">
              <w:rPr>
                <w:rFonts w:cs="Arial"/>
                <w:b/>
                <w:snapToGrid w:val="0"/>
                <w:sz w:val="16"/>
                <w:szCs w:val="16"/>
              </w:rPr>
              <w:t>2024</w:t>
            </w:r>
          </w:p>
        </w:tc>
        <w:tc>
          <w:tcPr>
            <w:tcW w:w="969" w:type="dxa"/>
            <w:shd w:val="clear" w:color="auto" w:fill="BFBFBF"/>
            <w:vAlign w:val="center"/>
          </w:tcPr>
          <w:p w14:paraId="316BDCD1" w14:textId="77777777" w:rsidR="00695778" w:rsidRPr="008B489D" w:rsidRDefault="00695778" w:rsidP="005B52A8">
            <w:pPr>
              <w:ind w:right="-28"/>
              <w:contextualSpacing/>
              <w:jc w:val="center"/>
              <w:rPr>
                <w:rFonts w:cs="Arial"/>
                <w:b/>
                <w:snapToGrid w:val="0"/>
                <w:sz w:val="16"/>
                <w:szCs w:val="16"/>
              </w:rPr>
            </w:pPr>
            <w:r w:rsidRPr="008B489D">
              <w:rPr>
                <w:rFonts w:cs="Arial"/>
                <w:b/>
                <w:snapToGrid w:val="0"/>
                <w:sz w:val="16"/>
                <w:szCs w:val="16"/>
              </w:rPr>
              <w:t>2025</w:t>
            </w:r>
          </w:p>
        </w:tc>
      </w:tr>
      <w:tr w:rsidR="00695778" w:rsidRPr="008B489D" w14:paraId="28066E62" w14:textId="77777777" w:rsidTr="005B52A8">
        <w:trPr>
          <w:trHeight w:val="20"/>
          <w:jc w:val="center"/>
        </w:trPr>
        <w:tc>
          <w:tcPr>
            <w:tcW w:w="2373" w:type="dxa"/>
            <w:vAlign w:val="center"/>
          </w:tcPr>
          <w:p w14:paraId="1A1E3E1D" w14:textId="77777777" w:rsidR="00695778" w:rsidRPr="008B489D" w:rsidRDefault="00695778" w:rsidP="005B52A8">
            <w:pPr>
              <w:ind w:left="89"/>
              <w:contextualSpacing/>
              <w:jc w:val="left"/>
              <w:rPr>
                <w:rFonts w:cs="Arial"/>
                <w:snapToGrid w:val="0"/>
                <w:color w:val="FF0000"/>
                <w:sz w:val="16"/>
                <w:szCs w:val="16"/>
              </w:rPr>
            </w:pPr>
            <w:r w:rsidRPr="008B489D">
              <w:rPr>
                <w:rFonts w:cs="Arial"/>
                <w:snapToGrid w:val="0"/>
                <w:sz w:val="16"/>
                <w:szCs w:val="16"/>
              </w:rPr>
              <w:t>Obyvatelé (střední stav)</w:t>
            </w:r>
            <w:r w:rsidRPr="008B489D">
              <w:rPr>
                <w:rFonts w:cs="Arial"/>
                <w:snapToGrid w:val="0"/>
                <w:sz w:val="16"/>
                <w:szCs w:val="16"/>
                <w:vertAlign w:val="superscript"/>
              </w:rPr>
              <w:t xml:space="preserve"> 2)</w:t>
            </w:r>
          </w:p>
        </w:tc>
        <w:tc>
          <w:tcPr>
            <w:tcW w:w="1000" w:type="dxa"/>
            <w:vAlign w:val="center"/>
          </w:tcPr>
          <w:p w14:paraId="1541972F" w14:textId="77777777" w:rsidR="00695778" w:rsidRPr="008B489D" w:rsidRDefault="00695778" w:rsidP="005B52A8">
            <w:pPr>
              <w:contextualSpacing/>
              <w:jc w:val="center"/>
              <w:rPr>
                <w:rFonts w:cs="Arial"/>
                <w:snapToGrid w:val="0"/>
                <w:color w:val="FF0000"/>
                <w:sz w:val="16"/>
                <w:szCs w:val="16"/>
              </w:rPr>
            </w:pPr>
            <w:r w:rsidRPr="008B489D">
              <w:rPr>
                <w:rFonts w:cs="Arial"/>
                <w:snapToGrid w:val="0"/>
                <w:sz w:val="16"/>
                <w:szCs w:val="16"/>
              </w:rPr>
              <w:t>tis. obyv.</w:t>
            </w:r>
          </w:p>
        </w:tc>
        <w:tc>
          <w:tcPr>
            <w:tcW w:w="892" w:type="dxa"/>
            <w:vAlign w:val="center"/>
          </w:tcPr>
          <w:p w14:paraId="1051A5D7"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10 364</w:t>
            </w:r>
          </w:p>
        </w:tc>
        <w:tc>
          <w:tcPr>
            <w:tcW w:w="892" w:type="dxa"/>
            <w:vAlign w:val="center"/>
          </w:tcPr>
          <w:p w14:paraId="2753F2B0"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10 626</w:t>
            </w:r>
          </w:p>
        </w:tc>
        <w:tc>
          <w:tcPr>
            <w:tcW w:w="893" w:type="dxa"/>
            <w:vAlign w:val="center"/>
          </w:tcPr>
          <w:p w14:paraId="5A920BA6"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10 669</w:t>
            </w:r>
          </w:p>
        </w:tc>
        <w:tc>
          <w:tcPr>
            <w:tcW w:w="892" w:type="dxa"/>
            <w:vAlign w:val="center"/>
          </w:tcPr>
          <w:p w14:paraId="2FD5C49C"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10 700</w:t>
            </w:r>
          </w:p>
        </w:tc>
        <w:tc>
          <w:tcPr>
            <w:tcW w:w="893" w:type="dxa"/>
            <w:vAlign w:val="center"/>
          </w:tcPr>
          <w:p w14:paraId="36E45E54"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10 501</w:t>
            </w:r>
          </w:p>
        </w:tc>
        <w:tc>
          <w:tcPr>
            <w:tcW w:w="891" w:type="dxa"/>
            <w:vAlign w:val="center"/>
          </w:tcPr>
          <w:p w14:paraId="72038531"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10 530</w:t>
            </w:r>
          </w:p>
        </w:tc>
        <w:tc>
          <w:tcPr>
            <w:tcW w:w="908" w:type="dxa"/>
            <w:vAlign w:val="center"/>
          </w:tcPr>
          <w:p w14:paraId="0C19B059"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10 878</w:t>
            </w:r>
          </w:p>
        </w:tc>
        <w:tc>
          <w:tcPr>
            <w:tcW w:w="874" w:type="dxa"/>
            <w:vAlign w:val="center"/>
          </w:tcPr>
          <w:p w14:paraId="508F106F" w14:textId="77777777" w:rsidR="00695778" w:rsidRPr="008B489D" w:rsidRDefault="00695778" w:rsidP="005B52A8">
            <w:pPr>
              <w:ind w:right="-28"/>
              <w:contextualSpacing/>
              <w:jc w:val="center"/>
              <w:rPr>
                <w:rFonts w:cs="Arial"/>
                <w:snapToGrid w:val="0"/>
                <w:sz w:val="16"/>
                <w:szCs w:val="16"/>
              </w:rPr>
            </w:pPr>
            <w:r w:rsidRPr="008B489D">
              <w:rPr>
                <w:rFonts w:cs="Arial"/>
                <w:snapToGrid w:val="0"/>
                <w:sz w:val="16"/>
                <w:szCs w:val="16"/>
              </w:rPr>
              <w:t>10 887</w:t>
            </w:r>
          </w:p>
        </w:tc>
        <w:tc>
          <w:tcPr>
            <w:tcW w:w="969" w:type="dxa"/>
            <w:vAlign w:val="center"/>
          </w:tcPr>
          <w:p w14:paraId="1B7664D1" w14:textId="77777777" w:rsidR="00695778" w:rsidRPr="008B489D" w:rsidRDefault="00695778" w:rsidP="005B52A8">
            <w:pPr>
              <w:ind w:right="-28"/>
              <w:contextualSpacing/>
              <w:jc w:val="center"/>
              <w:rPr>
                <w:rFonts w:cs="Arial"/>
                <w:snapToGrid w:val="0"/>
                <w:sz w:val="16"/>
                <w:szCs w:val="16"/>
              </w:rPr>
            </w:pPr>
            <w:r w:rsidRPr="008B489D">
              <w:rPr>
                <w:rFonts w:cs="Arial"/>
                <w:snapToGrid w:val="0"/>
                <w:sz w:val="16"/>
                <w:szCs w:val="16"/>
              </w:rPr>
              <w:t>10 891</w:t>
            </w:r>
          </w:p>
        </w:tc>
      </w:tr>
      <w:tr w:rsidR="00695778" w:rsidRPr="008B489D" w14:paraId="036ED343" w14:textId="77777777" w:rsidTr="005B52A8">
        <w:trPr>
          <w:trHeight w:val="20"/>
          <w:jc w:val="center"/>
        </w:trPr>
        <w:tc>
          <w:tcPr>
            <w:tcW w:w="2373" w:type="dxa"/>
            <w:vMerge w:val="restart"/>
            <w:vAlign w:val="center"/>
          </w:tcPr>
          <w:p w14:paraId="19C571E2" w14:textId="77777777" w:rsidR="00695778" w:rsidRPr="008B489D" w:rsidRDefault="00695778" w:rsidP="005B52A8">
            <w:pPr>
              <w:ind w:left="89"/>
              <w:contextualSpacing/>
              <w:jc w:val="left"/>
              <w:rPr>
                <w:rFonts w:cs="Arial"/>
                <w:snapToGrid w:val="0"/>
                <w:color w:val="FF0000"/>
                <w:sz w:val="16"/>
                <w:szCs w:val="16"/>
              </w:rPr>
            </w:pPr>
            <w:r w:rsidRPr="008B489D">
              <w:rPr>
                <w:rFonts w:cs="Arial"/>
                <w:snapToGrid w:val="0"/>
                <w:sz w:val="16"/>
                <w:szCs w:val="16"/>
              </w:rPr>
              <w:t>Obyvatelé připojení na kanalizaci</w:t>
            </w:r>
          </w:p>
        </w:tc>
        <w:tc>
          <w:tcPr>
            <w:tcW w:w="1000" w:type="dxa"/>
            <w:vAlign w:val="center"/>
          </w:tcPr>
          <w:p w14:paraId="46AE9B21" w14:textId="77777777" w:rsidR="00695778" w:rsidRPr="008B489D" w:rsidRDefault="00695778" w:rsidP="005B52A8">
            <w:pPr>
              <w:contextualSpacing/>
              <w:jc w:val="center"/>
              <w:rPr>
                <w:rFonts w:cs="Arial"/>
                <w:snapToGrid w:val="0"/>
                <w:color w:val="FF0000"/>
                <w:sz w:val="16"/>
                <w:szCs w:val="16"/>
              </w:rPr>
            </w:pPr>
            <w:r w:rsidRPr="008B489D">
              <w:rPr>
                <w:rFonts w:cs="Arial"/>
                <w:snapToGrid w:val="0"/>
                <w:sz w:val="16"/>
                <w:szCs w:val="16"/>
              </w:rPr>
              <w:t>tis. obyv.</w:t>
            </w:r>
          </w:p>
        </w:tc>
        <w:tc>
          <w:tcPr>
            <w:tcW w:w="892" w:type="dxa"/>
            <w:vAlign w:val="center"/>
          </w:tcPr>
          <w:p w14:paraId="33822B63"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7 501</w:t>
            </w:r>
          </w:p>
        </w:tc>
        <w:tc>
          <w:tcPr>
            <w:tcW w:w="892" w:type="dxa"/>
            <w:vAlign w:val="center"/>
          </w:tcPr>
          <w:p w14:paraId="23C74C1C"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9 090</w:t>
            </w:r>
          </w:p>
        </w:tc>
        <w:tc>
          <w:tcPr>
            <w:tcW w:w="893" w:type="dxa"/>
            <w:vAlign w:val="center"/>
          </w:tcPr>
          <w:p w14:paraId="2FBF8B2A"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9 120</w:t>
            </w:r>
          </w:p>
        </w:tc>
        <w:tc>
          <w:tcPr>
            <w:tcW w:w="892" w:type="dxa"/>
            <w:vAlign w:val="center"/>
          </w:tcPr>
          <w:p w14:paraId="624A9E8D"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9 211</w:t>
            </w:r>
          </w:p>
        </w:tc>
        <w:tc>
          <w:tcPr>
            <w:tcW w:w="893" w:type="dxa"/>
            <w:vAlign w:val="center"/>
          </w:tcPr>
          <w:p w14:paraId="63B16E52"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9 174</w:t>
            </w:r>
          </w:p>
        </w:tc>
        <w:tc>
          <w:tcPr>
            <w:tcW w:w="891" w:type="dxa"/>
            <w:vAlign w:val="center"/>
          </w:tcPr>
          <w:p w14:paraId="28E23D98"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9 191</w:t>
            </w:r>
          </w:p>
        </w:tc>
        <w:tc>
          <w:tcPr>
            <w:tcW w:w="908" w:type="dxa"/>
            <w:vAlign w:val="center"/>
          </w:tcPr>
          <w:p w14:paraId="0A61C916"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9 428</w:t>
            </w:r>
          </w:p>
        </w:tc>
        <w:tc>
          <w:tcPr>
            <w:tcW w:w="874" w:type="dxa"/>
            <w:vAlign w:val="center"/>
          </w:tcPr>
          <w:p w14:paraId="646C14CD" w14:textId="77777777" w:rsidR="00695778" w:rsidRPr="008B489D" w:rsidRDefault="00695778" w:rsidP="005B52A8">
            <w:pPr>
              <w:ind w:right="-28"/>
              <w:contextualSpacing/>
              <w:jc w:val="center"/>
              <w:rPr>
                <w:rFonts w:cs="Arial"/>
                <w:snapToGrid w:val="0"/>
                <w:sz w:val="16"/>
                <w:szCs w:val="16"/>
              </w:rPr>
            </w:pPr>
            <w:r w:rsidRPr="008B489D">
              <w:rPr>
                <w:rFonts w:cs="Arial"/>
                <w:snapToGrid w:val="0"/>
                <w:sz w:val="16"/>
                <w:szCs w:val="16"/>
              </w:rPr>
              <w:t>9 832</w:t>
            </w:r>
          </w:p>
        </w:tc>
        <w:tc>
          <w:tcPr>
            <w:tcW w:w="969" w:type="dxa"/>
            <w:vAlign w:val="center"/>
          </w:tcPr>
          <w:p w14:paraId="2166E513" w14:textId="77777777" w:rsidR="00695778" w:rsidRPr="008B489D" w:rsidRDefault="00695778" w:rsidP="005B52A8">
            <w:pPr>
              <w:ind w:right="-28"/>
              <w:contextualSpacing/>
              <w:jc w:val="center"/>
              <w:rPr>
                <w:rFonts w:cs="Arial"/>
                <w:snapToGrid w:val="0"/>
                <w:sz w:val="16"/>
                <w:szCs w:val="16"/>
              </w:rPr>
            </w:pPr>
            <w:r w:rsidRPr="008B489D">
              <w:rPr>
                <w:rFonts w:cs="Arial"/>
                <w:snapToGrid w:val="0"/>
                <w:sz w:val="16"/>
                <w:szCs w:val="16"/>
              </w:rPr>
              <w:t>9 888</w:t>
            </w:r>
          </w:p>
        </w:tc>
      </w:tr>
      <w:tr w:rsidR="00695778" w:rsidRPr="008B489D" w14:paraId="23A56CC1" w14:textId="77777777" w:rsidTr="005B52A8">
        <w:trPr>
          <w:trHeight w:val="20"/>
          <w:jc w:val="center"/>
        </w:trPr>
        <w:tc>
          <w:tcPr>
            <w:tcW w:w="2373" w:type="dxa"/>
            <w:vMerge/>
            <w:vAlign w:val="center"/>
          </w:tcPr>
          <w:p w14:paraId="4DAB5E25" w14:textId="77777777" w:rsidR="00695778" w:rsidRPr="008B489D" w:rsidRDefault="00695778" w:rsidP="005B52A8">
            <w:pPr>
              <w:ind w:left="89"/>
              <w:contextualSpacing/>
              <w:jc w:val="left"/>
              <w:rPr>
                <w:rFonts w:cs="Arial"/>
                <w:snapToGrid w:val="0"/>
                <w:color w:val="FF0000"/>
                <w:sz w:val="16"/>
                <w:szCs w:val="16"/>
              </w:rPr>
            </w:pPr>
          </w:p>
        </w:tc>
        <w:tc>
          <w:tcPr>
            <w:tcW w:w="1000" w:type="dxa"/>
            <w:vAlign w:val="center"/>
          </w:tcPr>
          <w:p w14:paraId="4247A31C" w14:textId="77777777" w:rsidR="00695778" w:rsidRPr="008B489D" w:rsidRDefault="00695778" w:rsidP="005B52A8">
            <w:pPr>
              <w:contextualSpacing/>
              <w:jc w:val="center"/>
              <w:rPr>
                <w:rFonts w:cs="Arial"/>
                <w:snapToGrid w:val="0"/>
                <w:color w:val="FF0000"/>
                <w:sz w:val="16"/>
                <w:szCs w:val="16"/>
              </w:rPr>
            </w:pPr>
            <w:r w:rsidRPr="008B489D">
              <w:rPr>
                <w:rFonts w:cs="Arial"/>
                <w:snapToGrid w:val="0"/>
                <w:sz w:val="16"/>
                <w:szCs w:val="16"/>
              </w:rPr>
              <w:t>%</w:t>
            </w:r>
          </w:p>
        </w:tc>
        <w:tc>
          <w:tcPr>
            <w:tcW w:w="892" w:type="dxa"/>
            <w:vAlign w:val="center"/>
          </w:tcPr>
          <w:p w14:paraId="514931B4"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72,4</w:t>
            </w:r>
          </w:p>
        </w:tc>
        <w:tc>
          <w:tcPr>
            <w:tcW w:w="892" w:type="dxa"/>
            <w:vAlign w:val="center"/>
          </w:tcPr>
          <w:p w14:paraId="000499A4"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85,5</w:t>
            </w:r>
          </w:p>
        </w:tc>
        <w:tc>
          <w:tcPr>
            <w:tcW w:w="893" w:type="dxa"/>
            <w:vAlign w:val="center"/>
          </w:tcPr>
          <w:p w14:paraId="4B86D47C"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85,5</w:t>
            </w:r>
          </w:p>
        </w:tc>
        <w:tc>
          <w:tcPr>
            <w:tcW w:w="892" w:type="dxa"/>
            <w:vAlign w:val="center"/>
          </w:tcPr>
          <w:p w14:paraId="0E9283D3"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86,1</w:t>
            </w:r>
          </w:p>
        </w:tc>
        <w:tc>
          <w:tcPr>
            <w:tcW w:w="893" w:type="dxa"/>
            <w:vAlign w:val="center"/>
          </w:tcPr>
          <w:p w14:paraId="25D7F0C6"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87,4</w:t>
            </w:r>
          </w:p>
        </w:tc>
        <w:tc>
          <w:tcPr>
            <w:tcW w:w="891" w:type="dxa"/>
          </w:tcPr>
          <w:p w14:paraId="683C9B77"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87,3</w:t>
            </w:r>
          </w:p>
        </w:tc>
        <w:tc>
          <w:tcPr>
            <w:tcW w:w="908" w:type="dxa"/>
            <w:vAlign w:val="center"/>
          </w:tcPr>
          <w:p w14:paraId="782525A1" w14:textId="77777777" w:rsidR="00695778" w:rsidRPr="008B489D" w:rsidRDefault="00695778" w:rsidP="005B52A8">
            <w:pPr>
              <w:ind w:right="-28"/>
              <w:contextualSpacing/>
              <w:jc w:val="center"/>
              <w:rPr>
                <w:rFonts w:cs="Arial"/>
                <w:snapToGrid w:val="0"/>
                <w:sz w:val="16"/>
                <w:szCs w:val="16"/>
              </w:rPr>
            </w:pPr>
            <w:r w:rsidRPr="008B489D">
              <w:rPr>
                <w:rFonts w:cs="Arial"/>
                <w:snapToGrid w:val="0"/>
                <w:sz w:val="16"/>
                <w:szCs w:val="16"/>
              </w:rPr>
              <w:t>86,7</w:t>
            </w:r>
          </w:p>
        </w:tc>
        <w:tc>
          <w:tcPr>
            <w:tcW w:w="874" w:type="dxa"/>
            <w:vAlign w:val="center"/>
          </w:tcPr>
          <w:p w14:paraId="442185ED" w14:textId="77777777" w:rsidR="00695778" w:rsidRPr="008B489D" w:rsidRDefault="00695778" w:rsidP="005B52A8">
            <w:pPr>
              <w:ind w:right="-28"/>
              <w:contextualSpacing/>
              <w:jc w:val="center"/>
              <w:rPr>
                <w:rFonts w:cs="Arial"/>
                <w:snapToGrid w:val="0"/>
                <w:sz w:val="16"/>
                <w:szCs w:val="16"/>
              </w:rPr>
            </w:pPr>
            <w:r w:rsidRPr="008B489D">
              <w:rPr>
                <w:rFonts w:cs="Arial"/>
                <w:snapToGrid w:val="0"/>
                <w:sz w:val="16"/>
                <w:szCs w:val="16"/>
              </w:rPr>
              <w:t>90,3</w:t>
            </w:r>
          </w:p>
        </w:tc>
        <w:tc>
          <w:tcPr>
            <w:tcW w:w="969" w:type="dxa"/>
            <w:vAlign w:val="center"/>
          </w:tcPr>
          <w:p w14:paraId="551BB96D"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90,8</w:t>
            </w:r>
          </w:p>
        </w:tc>
      </w:tr>
      <w:tr w:rsidR="00695778" w:rsidRPr="008B489D" w14:paraId="5CD5386D" w14:textId="77777777" w:rsidTr="005B52A8">
        <w:trPr>
          <w:trHeight w:val="20"/>
          <w:jc w:val="center"/>
        </w:trPr>
        <w:tc>
          <w:tcPr>
            <w:tcW w:w="2373" w:type="dxa"/>
            <w:vMerge w:val="restart"/>
            <w:vAlign w:val="center"/>
          </w:tcPr>
          <w:p w14:paraId="1C4A0002" w14:textId="77777777" w:rsidR="00695778" w:rsidRPr="008B489D" w:rsidRDefault="00695778" w:rsidP="005B52A8">
            <w:pPr>
              <w:ind w:left="89"/>
              <w:contextualSpacing/>
              <w:jc w:val="left"/>
              <w:rPr>
                <w:rFonts w:cs="Arial"/>
                <w:snapToGrid w:val="0"/>
                <w:color w:val="FF0000"/>
                <w:sz w:val="16"/>
                <w:szCs w:val="16"/>
              </w:rPr>
            </w:pPr>
            <w:r w:rsidRPr="008B489D">
              <w:rPr>
                <w:rFonts w:cs="Arial"/>
                <w:snapToGrid w:val="0"/>
                <w:sz w:val="16"/>
                <w:szCs w:val="16"/>
              </w:rPr>
              <w:t>Vypouštěné odp. vody do kanalizace (bez zpoplatněných srážkových vod) celkem</w:t>
            </w:r>
          </w:p>
        </w:tc>
        <w:tc>
          <w:tcPr>
            <w:tcW w:w="1000" w:type="dxa"/>
            <w:vAlign w:val="center"/>
          </w:tcPr>
          <w:p w14:paraId="5DEF02AC" w14:textId="77777777" w:rsidR="00695778" w:rsidRPr="008B489D" w:rsidRDefault="00695778" w:rsidP="005B52A8">
            <w:pPr>
              <w:contextualSpacing/>
              <w:jc w:val="center"/>
              <w:rPr>
                <w:rFonts w:cs="Arial"/>
                <w:snapToGrid w:val="0"/>
                <w:color w:val="FF0000"/>
                <w:sz w:val="16"/>
                <w:szCs w:val="16"/>
                <w:vertAlign w:val="superscript"/>
              </w:rPr>
            </w:pPr>
            <w:r w:rsidRPr="008B489D">
              <w:rPr>
                <w:rFonts w:cs="Arial"/>
                <w:snapToGrid w:val="0"/>
                <w:sz w:val="16"/>
                <w:szCs w:val="16"/>
              </w:rPr>
              <w:t>mil. m</w:t>
            </w:r>
            <w:r w:rsidRPr="008B489D">
              <w:rPr>
                <w:rFonts w:cs="Arial"/>
                <w:snapToGrid w:val="0"/>
                <w:sz w:val="16"/>
                <w:szCs w:val="16"/>
                <w:vertAlign w:val="superscript"/>
              </w:rPr>
              <w:t>3</w:t>
            </w:r>
          </w:p>
        </w:tc>
        <w:tc>
          <w:tcPr>
            <w:tcW w:w="892" w:type="dxa"/>
            <w:vAlign w:val="center"/>
          </w:tcPr>
          <w:p w14:paraId="3546784C"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877,8</w:t>
            </w:r>
          </w:p>
        </w:tc>
        <w:tc>
          <w:tcPr>
            <w:tcW w:w="892" w:type="dxa"/>
            <w:vAlign w:val="center"/>
          </w:tcPr>
          <w:p w14:paraId="6B81C017"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457,3</w:t>
            </w:r>
          </w:p>
        </w:tc>
        <w:tc>
          <w:tcPr>
            <w:tcW w:w="893" w:type="dxa"/>
            <w:vAlign w:val="center"/>
          </w:tcPr>
          <w:p w14:paraId="6BB3334E"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461,1</w:t>
            </w:r>
          </w:p>
        </w:tc>
        <w:tc>
          <w:tcPr>
            <w:tcW w:w="892" w:type="dxa"/>
            <w:vAlign w:val="center"/>
          </w:tcPr>
          <w:p w14:paraId="54C42867"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450,5</w:t>
            </w:r>
          </w:p>
        </w:tc>
        <w:tc>
          <w:tcPr>
            <w:tcW w:w="893" w:type="dxa"/>
            <w:vAlign w:val="center"/>
          </w:tcPr>
          <w:p w14:paraId="044ED502"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451,8</w:t>
            </w:r>
          </w:p>
        </w:tc>
        <w:tc>
          <w:tcPr>
            <w:tcW w:w="891" w:type="dxa"/>
            <w:vAlign w:val="center"/>
          </w:tcPr>
          <w:p w14:paraId="5F4E5C2E"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453,0</w:t>
            </w:r>
          </w:p>
        </w:tc>
        <w:tc>
          <w:tcPr>
            <w:tcW w:w="908" w:type="dxa"/>
            <w:vAlign w:val="center"/>
          </w:tcPr>
          <w:p w14:paraId="5C33423A"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454,5</w:t>
            </w:r>
          </w:p>
        </w:tc>
        <w:tc>
          <w:tcPr>
            <w:tcW w:w="874" w:type="dxa"/>
            <w:vAlign w:val="center"/>
          </w:tcPr>
          <w:p w14:paraId="35808C07" w14:textId="77777777" w:rsidR="00695778" w:rsidRPr="008B489D" w:rsidRDefault="00695778" w:rsidP="005B52A8">
            <w:pPr>
              <w:ind w:right="-28"/>
              <w:contextualSpacing/>
              <w:jc w:val="center"/>
              <w:rPr>
                <w:rFonts w:cs="Arial"/>
                <w:snapToGrid w:val="0"/>
                <w:sz w:val="16"/>
                <w:szCs w:val="16"/>
              </w:rPr>
            </w:pPr>
            <w:r w:rsidRPr="008B489D">
              <w:rPr>
                <w:rFonts w:cs="Arial"/>
                <w:snapToGrid w:val="0"/>
                <w:sz w:val="16"/>
                <w:szCs w:val="16"/>
              </w:rPr>
              <w:t>505,7</w:t>
            </w:r>
          </w:p>
        </w:tc>
        <w:tc>
          <w:tcPr>
            <w:tcW w:w="969" w:type="dxa"/>
            <w:vAlign w:val="center"/>
          </w:tcPr>
          <w:p w14:paraId="1F88C408" w14:textId="77777777" w:rsidR="00695778" w:rsidRPr="008B489D" w:rsidRDefault="00695778" w:rsidP="005B52A8">
            <w:pPr>
              <w:ind w:right="-28"/>
              <w:contextualSpacing/>
              <w:jc w:val="center"/>
              <w:rPr>
                <w:rFonts w:cs="Arial"/>
                <w:snapToGrid w:val="0"/>
                <w:sz w:val="16"/>
                <w:szCs w:val="16"/>
              </w:rPr>
            </w:pPr>
            <w:r w:rsidRPr="008B489D">
              <w:rPr>
                <w:rFonts w:cs="Arial"/>
                <w:snapToGrid w:val="0"/>
                <w:sz w:val="16"/>
                <w:szCs w:val="16"/>
              </w:rPr>
              <w:t>510,8</w:t>
            </w:r>
          </w:p>
        </w:tc>
      </w:tr>
      <w:tr w:rsidR="00695778" w:rsidRPr="008B489D" w14:paraId="0AF7E40B" w14:textId="77777777" w:rsidTr="005B52A8">
        <w:trPr>
          <w:trHeight w:val="20"/>
          <w:jc w:val="center"/>
        </w:trPr>
        <w:tc>
          <w:tcPr>
            <w:tcW w:w="2373" w:type="dxa"/>
            <w:vMerge/>
            <w:vAlign w:val="center"/>
          </w:tcPr>
          <w:p w14:paraId="7AE29F69" w14:textId="77777777" w:rsidR="00695778" w:rsidRPr="008B489D" w:rsidRDefault="00695778" w:rsidP="005B52A8">
            <w:pPr>
              <w:ind w:left="89"/>
              <w:contextualSpacing/>
              <w:jc w:val="left"/>
              <w:rPr>
                <w:rFonts w:cs="Arial"/>
                <w:snapToGrid w:val="0"/>
                <w:color w:val="FF0000"/>
                <w:sz w:val="16"/>
                <w:szCs w:val="16"/>
              </w:rPr>
            </w:pPr>
          </w:p>
        </w:tc>
        <w:tc>
          <w:tcPr>
            <w:tcW w:w="1000" w:type="dxa"/>
            <w:vAlign w:val="center"/>
          </w:tcPr>
          <w:p w14:paraId="630A7BF9" w14:textId="77777777" w:rsidR="00695778" w:rsidRPr="008B489D" w:rsidRDefault="00695778" w:rsidP="005B52A8">
            <w:pPr>
              <w:contextualSpacing/>
              <w:jc w:val="center"/>
              <w:rPr>
                <w:rFonts w:cs="Arial"/>
                <w:snapToGrid w:val="0"/>
                <w:color w:val="FF0000"/>
                <w:sz w:val="16"/>
                <w:szCs w:val="16"/>
              </w:rPr>
            </w:pPr>
            <w:r w:rsidRPr="008B489D">
              <w:rPr>
                <w:rFonts w:cs="Arial"/>
                <w:snapToGrid w:val="0"/>
                <w:sz w:val="16"/>
                <w:szCs w:val="16"/>
              </w:rPr>
              <w:t>% k 1989</w:t>
            </w:r>
          </w:p>
        </w:tc>
        <w:tc>
          <w:tcPr>
            <w:tcW w:w="892" w:type="dxa"/>
            <w:vAlign w:val="center"/>
          </w:tcPr>
          <w:p w14:paraId="2442F0FA"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100,0</w:t>
            </w:r>
          </w:p>
        </w:tc>
        <w:tc>
          <w:tcPr>
            <w:tcW w:w="892" w:type="dxa"/>
            <w:vAlign w:val="center"/>
          </w:tcPr>
          <w:p w14:paraId="3723616A"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52,1</w:t>
            </w:r>
          </w:p>
        </w:tc>
        <w:tc>
          <w:tcPr>
            <w:tcW w:w="893" w:type="dxa"/>
            <w:vAlign w:val="center"/>
          </w:tcPr>
          <w:p w14:paraId="635CFAFE"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52,5</w:t>
            </w:r>
          </w:p>
        </w:tc>
        <w:tc>
          <w:tcPr>
            <w:tcW w:w="892" w:type="dxa"/>
            <w:vAlign w:val="center"/>
          </w:tcPr>
          <w:p w14:paraId="0115DA2A"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51,3</w:t>
            </w:r>
          </w:p>
        </w:tc>
        <w:tc>
          <w:tcPr>
            <w:tcW w:w="893" w:type="dxa"/>
            <w:vAlign w:val="center"/>
          </w:tcPr>
          <w:p w14:paraId="3E5F2259"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51,5</w:t>
            </w:r>
          </w:p>
        </w:tc>
        <w:tc>
          <w:tcPr>
            <w:tcW w:w="891" w:type="dxa"/>
            <w:vAlign w:val="center"/>
          </w:tcPr>
          <w:p w14:paraId="62B586CC"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51,6</w:t>
            </w:r>
          </w:p>
        </w:tc>
        <w:tc>
          <w:tcPr>
            <w:tcW w:w="908" w:type="dxa"/>
            <w:vAlign w:val="center"/>
          </w:tcPr>
          <w:p w14:paraId="69013CF0" w14:textId="77777777" w:rsidR="00695778" w:rsidRPr="008B489D" w:rsidRDefault="00695778" w:rsidP="005B52A8">
            <w:pPr>
              <w:ind w:right="-28"/>
              <w:contextualSpacing/>
              <w:jc w:val="center"/>
              <w:rPr>
                <w:rFonts w:cs="Arial"/>
                <w:snapToGrid w:val="0"/>
                <w:sz w:val="16"/>
                <w:szCs w:val="16"/>
              </w:rPr>
            </w:pPr>
            <w:r w:rsidRPr="008B489D">
              <w:rPr>
                <w:rFonts w:cs="Arial"/>
                <w:snapToGrid w:val="0"/>
                <w:sz w:val="16"/>
                <w:szCs w:val="16"/>
              </w:rPr>
              <w:t>51,7</w:t>
            </w:r>
          </w:p>
        </w:tc>
        <w:tc>
          <w:tcPr>
            <w:tcW w:w="874" w:type="dxa"/>
            <w:vAlign w:val="center"/>
          </w:tcPr>
          <w:p w14:paraId="6F8BB48D" w14:textId="77777777" w:rsidR="00695778" w:rsidRPr="008B489D" w:rsidRDefault="00695778" w:rsidP="005B52A8">
            <w:pPr>
              <w:ind w:right="-28"/>
              <w:contextualSpacing/>
              <w:jc w:val="center"/>
              <w:rPr>
                <w:rFonts w:cs="Arial"/>
                <w:snapToGrid w:val="0"/>
                <w:sz w:val="16"/>
                <w:szCs w:val="16"/>
              </w:rPr>
            </w:pPr>
            <w:r w:rsidRPr="008B489D">
              <w:rPr>
                <w:rFonts w:cs="Arial"/>
                <w:snapToGrid w:val="0"/>
                <w:sz w:val="16"/>
                <w:szCs w:val="16"/>
              </w:rPr>
              <w:t>57,6</w:t>
            </w:r>
          </w:p>
        </w:tc>
        <w:tc>
          <w:tcPr>
            <w:tcW w:w="969" w:type="dxa"/>
            <w:vAlign w:val="center"/>
          </w:tcPr>
          <w:p w14:paraId="5D9A7E9B" w14:textId="77777777" w:rsidR="00695778" w:rsidRPr="008B489D" w:rsidRDefault="00695778" w:rsidP="005B52A8">
            <w:pPr>
              <w:ind w:right="-28"/>
              <w:contextualSpacing/>
              <w:jc w:val="center"/>
              <w:rPr>
                <w:rFonts w:cs="Arial"/>
                <w:snapToGrid w:val="0"/>
                <w:sz w:val="16"/>
                <w:szCs w:val="16"/>
              </w:rPr>
            </w:pPr>
            <w:r w:rsidRPr="008B489D">
              <w:rPr>
                <w:rFonts w:cs="Arial"/>
                <w:snapToGrid w:val="0"/>
                <w:sz w:val="16"/>
                <w:szCs w:val="16"/>
              </w:rPr>
              <w:t>58,2</w:t>
            </w:r>
          </w:p>
        </w:tc>
      </w:tr>
      <w:tr w:rsidR="00695778" w:rsidRPr="008B489D" w14:paraId="520C3843" w14:textId="77777777" w:rsidTr="005B52A8">
        <w:trPr>
          <w:trHeight w:val="20"/>
          <w:jc w:val="center"/>
        </w:trPr>
        <w:tc>
          <w:tcPr>
            <w:tcW w:w="2373" w:type="dxa"/>
            <w:vAlign w:val="center"/>
          </w:tcPr>
          <w:p w14:paraId="62F42467" w14:textId="77777777" w:rsidR="00695778" w:rsidRPr="008B489D" w:rsidRDefault="00695778" w:rsidP="005B52A8">
            <w:pPr>
              <w:ind w:left="89"/>
              <w:contextualSpacing/>
              <w:jc w:val="left"/>
              <w:rPr>
                <w:rFonts w:cs="Arial"/>
                <w:snapToGrid w:val="0"/>
                <w:color w:val="FF0000"/>
                <w:sz w:val="16"/>
                <w:szCs w:val="16"/>
              </w:rPr>
            </w:pPr>
            <w:r w:rsidRPr="008B489D">
              <w:rPr>
                <w:rFonts w:cs="Arial"/>
                <w:snapToGrid w:val="0"/>
                <w:sz w:val="16"/>
                <w:szCs w:val="16"/>
              </w:rPr>
              <w:t xml:space="preserve">Čištěné odpadní vody včetně vod srážkových </w:t>
            </w:r>
          </w:p>
        </w:tc>
        <w:tc>
          <w:tcPr>
            <w:tcW w:w="1000" w:type="dxa"/>
            <w:vAlign w:val="center"/>
          </w:tcPr>
          <w:p w14:paraId="4B257C47" w14:textId="77777777" w:rsidR="00695778" w:rsidRPr="008B489D" w:rsidRDefault="00695778" w:rsidP="005B52A8">
            <w:pPr>
              <w:contextualSpacing/>
              <w:jc w:val="center"/>
              <w:rPr>
                <w:rFonts w:cs="Arial"/>
                <w:snapToGrid w:val="0"/>
                <w:color w:val="FF0000"/>
                <w:sz w:val="16"/>
                <w:szCs w:val="16"/>
                <w:vertAlign w:val="superscript"/>
              </w:rPr>
            </w:pPr>
            <w:r w:rsidRPr="008B489D">
              <w:rPr>
                <w:rFonts w:cs="Arial"/>
                <w:snapToGrid w:val="0"/>
                <w:sz w:val="16"/>
                <w:szCs w:val="16"/>
              </w:rPr>
              <w:t>mil. m</w:t>
            </w:r>
            <w:r w:rsidRPr="008B489D">
              <w:rPr>
                <w:rFonts w:cs="Arial"/>
                <w:snapToGrid w:val="0"/>
                <w:sz w:val="16"/>
                <w:szCs w:val="16"/>
                <w:vertAlign w:val="superscript"/>
              </w:rPr>
              <w:t>3</w:t>
            </w:r>
          </w:p>
        </w:tc>
        <w:tc>
          <w:tcPr>
            <w:tcW w:w="892" w:type="dxa"/>
            <w:vAlign w:val="center"/>
          </w:tcPr>
          <w:p w14:paraId="781D891B"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897,4</w:t>
            </w:r>
            <w:r w:rsidRPr="008B489D">
              <w:rPr>
                <w:rFonts w:cs="Arial"/>
                <w:snapToGrid w:val="0"/>
                <w:sz w:val="16"/>
                <w:szCs w:val="16"/>
                <w:vertAlign w:val="superscript"/>
              </w:rPr>
              <w:t>*)</w:t>
            </w:r>
          </w:p>
        </w:tc>
        <w:tc>
          <w:tcPr>
            <w:tcW w:w="892" w:type="dxa"/>
            <w:vAlign w:val="center"/>
          </w:tcPr>
          <w:p w14:paraId="2021BE6E"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743,6</w:t>
            </w:r>
          </w:p>
        </w:tc>
        <w:tc>
          <w:tcPr>
            <w:tcW w:w="893" w:type="dxa"/>
            <w:vAlign w:val="center"/>
          </w:tcPr>
          <w:p w14:paraId="499351E9"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792,6</w:t>
            </w:r>
          </w:p>
        </w:tc>
        <w:tc>
          <w:tcPr>
            <w:tcW w:w="892" w:type="dxa"/>
            <w:vAlign w:val="center"/>
          </w:tcPr>
          <w:p w14:paraId="33BA2A37"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863,0</w:t>
            </w:r>
          </w:p>
        </w:tc>
        <w:tc>
          <w:tcPr>
            <w:tcW w:w="893" w:type="dxa"/>
            <w:vAlign w:val="center"/>
          </w:tcPr>
          <w:p w14:paraId="07F26044"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877,6</w:t>
            </w:r>
          </w:p>
        </w:tc>
        <w:tc>
          <w:tcPr>
            <w:tcW w:w="891" w:type="dxa"/>
            <w:vAlign w:val="center"/>
          </w:tcPr>
          <w:p w14:paraId="7863D3D6"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799,7</w:t>
            </w:r>
          </w:p>
        </w:tc>
        <w:tc>
          <w:tcPr>
            <w:tcW w:w="908" w:type="dxa"/>
            <w:vAlign w:val="center"/>
          </w:tcPr>
          <w:p w14:paraId="28C2AF5B"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869,3</w:t>
            </w:r>
          </w:p>
        </w:tc>
        <w:tc>
          <w:tcPr>
            <w:tcW w:w="874" w:type="dxa"/>
            <w:vAlign w:val="center"/>
          </w:tcPr>
          <w:p w14:paraId="4FCDFE37" w14:textId="77777777" w:rsidR="00695778" w:rsidRPr="008B489D" w:rsidRDefault="00695778" w:rsidP="005B52A8">
            <w:pPr>
              <w:ind w:right="-28"/>
              <w:contextualSpacing/>
              <w:jc w:val="center"/>
              <w:rPr>
                <w:rFonts w:cs="Arial"/>
                <w:snapToGrid w:val="0"/>
                <w:sz w:val="16"/>
                <w:szCs w:val="16"/>
              </w:rPr>
            </w:pPr>
            <w:r w:rsidRPr="008B489D">
              <w:rPr>
                <w:rFonts w:cs="Arial"/>
                <w:snapToGrid w:val="0"/>
                <w:sz w:val="16"/>
                <w:szCs w:val="16"/>
              </w:rPr>
              <w:t>943,8</w:t>
            </w:r>
          </w:p>
        </w:tc>
        <w:tc>
          <w:tcPr>
            <w:tcW w:w="969" w:type="dxa"/>
            <w:vAlign w:val="center"/>
          </w:tcPr>
          <w:p w14:paraId="2C9E5AC0" w14:textId="77777777" w:rsidR="00695778" w:rsidRPr="008B489D" w:rsidRDefault="00695778" w:rsidP="005B52A8">
            <w:pPr>
              <w:ind w:right="-28"/>
              <w:contextualSpacing/>
              <w:jc w:val="center"/>
              <w:rPr>
                <w:rFonts w:cs="Arial"/>
                <w:snapToGrid w:val="0"/>
                <w:sz w:val="16"/>
                <w:szCs w:val="16"/>
              </w:rPr>
            </w:pPr>
            <w:r w:rsidRPr="008B489D">
              <w:rPr>
                <w:rFonts w:cs="Arial"/>
                <w:snapToGrid w:val="0"/>
                <w:sz w:val="16"/>
                <w:szCs w:val="16"/>
              </w:rPr>
              <w:t>839,7</w:t>
            </w:r>
          </w:p>
        </w:tc>
      </w:tr>
      <w:tr w:rsidR="00695778" w:rsidRPr="008B489D" w14:paraId="773E28C4" w14:textId="77777777" w:rsidTr="005B52A8">
        <w:trPr>
          <w:trHeight w:val="20"/>
          <w:jc w:val="center"/>
        </w:trPr>
        <w:tc>
          <w:tcPr>
            <w:tcW w:w="2373" w:type="dxa"/>
            <w:vMerge w:val="restart"/>
            <w:vAlign w:val="center"/>
          </w:tcPr>
          <w:p w14:paraId="39D74B3D" w14:textId="77777777" w:rsidR="00695778" w:rsidRPr="008B489D" w:rsidRDefault="00695778" w:rsidP="005B52A8">
            <w:pPr>
              <w:ind w:left="89"/>
              <w:contextualSpacing/>
              <w:jc w:val="left"/>
              <w:rPr>
                <w:rFonts w:cs="Arial"/>
                <w:snapToGrid w:val="0"/>
                <w:color w:val="FF0000"/>
                <w:sz w:val="16"/>
                <w:szCs w:val="16"/>
              </w:rPr>
            </w:pPr>
            <w:r w:rsidRPr="008B489D">
              <w:rPr>
                <w:rFonts w:cs="Arial"/>
                <w:snapToGrid w:val="0"/>
                <w:sz w:val="16"/>
                <w:szCs w:val="16"/>
              </w:rPr>
              <w:t>Čištěné odpadní vody celkem bez vod srážkových</w:t>
            </w:r>
          </w:p>
        </w:tc>
        <w:tc>
          <w:tcPr>
            <w:tcW w:w="1000" w:type="dxa"/>
            <w:vAlign w:val="center"/>
          </w:tcPr>
          <w:p w14:paraId="136E4864" w14:textId="77777777" w:rsidR="00695778" w:rsidRPr="008B489D" w:rsidRDefault="00695778" w:rsidP="005B52A8">
            <w:pPr>
              <w:contextualSpacing/>
              <w:jc w:val="center"/>
              <w:rPr>
                <w:rFonts w:cs="Arial"/>
                <w:snapToGrid w:val="0"/>
                <w:color w:val="FF0000"/>
                <w:sz w:val="16"/>
                <w:szCs w:val="16"/>
                <w:vertAlign w:val="superscript"/>
              </w:rPr>
            </w:pPr>
            <w:r w:rsidRPr="008B489D">
              <w:rPr>
                <w:rFonts w:cs="Arial"/>
                <w:snapToGrid w:val="0"/>
                <w:sz w:val="16"/>
                <w:szCs w:val="16"/>
              </w:rPr>
              <w:t>mil. m</w:t>
            </w:r>
            <w:r w:rsidRPr="008B489D">
              <w:rPr>
                <w:rFonts w:cs="Arial"/>
                <w:snapToGrid w:val="0"/>
                <w:sz w:val="16"/>
                <w:szCs w:val="16"/>
                <w:vertAlign w:val="superscript"/>
              </w:rPr>
              <w:t>3</w:t>
            </w:r>
          </w:p>
        </w:tc>
        <w:tc>
          <w:tcPr>
            <w:tcW w:w="892" w:type="dxa"/>
            <w:vAlign w:val="center"/>
          </w:tcPr>
          <w:p w14:paraId="08DBE705"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627,6</w:t>
            </w:r>
          </w:p>
        </w:tc>
        <w:tc>
          <w:tcPr>
            <w:tcW w:w="892" w:type="dxa"/>
            <w:vAlign w:val="center"/>
          </w:tcPr>
          <w:p w14:paraId="773A5140"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446,3</w:t>
            </w:r>
          </w:p>
        </w:tc>
        <w:tc>
          <w:tcPr>
            <w:tcW w:w="893" w:type="dxa"/>
            <w:vAlign w:val="center"/>
          </w:tcPr>
          <w:p w14:paraId="134C0B6C"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450,3</w:t>
            </w:r>
          </w:p>
        </w:tc>
        <w:tc>
          <w:tcPr>
            <w:tcW w:w="892" w:type="dxa"/>
            <w:vAlign w:val="center"/>
          </w:tcPr>
          <w:p w14:paraId="675EFBC8"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439,3</w:t>
            </w:r>
          </w:p>
        </w:tc>
        <w:tc>
          <w:tcPr>
            <w:tcW w:w="893" w:type="dxa"/>
            <w:vAlign w:val="center"/>
          </w:tcPr>
          <w:p w14:paraId="41EE27C9"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440,7</w:t>
            </w:r>
          </w:p>
        </w:tc>
        <w:tc>
          <w:tcPr>
            <w:tcW w:w="891" w:type="dxa"/>
            <w:vAlign w:val="center"/>
          </w:tcPr>
          <w:p w14:paraId="687914B9"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442,4</w:t>
            </w:r>
          </w:p>
        </w:tc>
        <w:tc>
          <w:tcPr>
            <w:tcW w:w="908" w:type="dxa"/>
            <w:vAlign w:val="center"/>
          </w:tcPr>
          <w:p w14:paraId="081CDAB9"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444,3</w:t>
            </w:r>
          </w:p>
        </w:tc>
        <w:tc>
          <w:tcPr>
            <w:tcW w:w="874" w:type="dxa"/>
            <w:vAlign w:val="center"/>
          </w:tcPr>
          <w:p w14:paraId="55FF92B1" w14:textId="77777777" w:rsidR="00695778" w:rsidRPr="008B489D" w:rsidRDefault="00695778" w:rsidP="005B52A8">
            <w:pPr>
              <w:ind w:right="-28"/>
              <w:contextualSpacing/>
              <w:jc w:val="center"/>
              <w:rPr>
                <w:rFonts w:cs="Arial"/>
                <w:snapToGrid w:val="0"/>
                <w:sz w:val="16"/>
                <w:szCs w:val="16"/>
              </w:rPr>
            </w:pPr>
            <w:r w:rsidRPr="008B489D">
              <w:rPr>
                <w:rFonts w:cs="Arial"/>
                <w:snapToGrid w:val="0"/>
                <w:sz w:val="16"/>
                <w:szCs w:val="16"/>
              </w:rPr>
              <w:t>493,8</w:t>
            </w:r>
            <w:r w:rsidRPr="008B489D">
              <w:rPr>
                <w:rFonts w:cs="Arial"/>
                <w:snapToGrid w:val="0"/>
                <w:sz w:val="16"/>
                <w:szCs w:val="16"/>
                <w:vertAlign w:val="superscript"/>
              </w:rPr>
              <w:t>**)</w:t>
            </w:r>
          </w:p>
        </w:tc>
        <w:tc>
          <w:tcPr>
            <w:tcW w:w="969" w:type="dxa"/>
            <w:vAlign w:val="center"/>
          </w:tcPr>
          <w:p w14:paraId="48AB85F0" w14:textId="77777777" w:rsidR="00695778" w:rsidRPr="008B489D" w:rsidRDefault="00695778" w:rsidP="005B52A8">
            <w:pPr>
              <w:ind w:right="-28"/>
              <w:contextualSpacing/>
              <w:jc w:val="center"/>
              <w:rPr>
                <w:rFonts w:cs="Arial"/>
                <w:snapToGrid w:val="0"/>
                <w:sz w:val="16"/>
                <w:szCs w:val="16"/>
              </w:rPr>
            </w:pPr>
            <w:r w:rsidRPr="008B489D">
              <w:rPr>
                <w:rFonts w:cs="Arial"/>
                <w:snapToGrid w:val="0"/>
                <w:sz w:val="16"/>
                <w:szCs w:val="16"/>
              </w:rPr>
              <w:t>507,8</w:t>
            </w:r>
            <w:r w:rsidRPr="008B489D">
              <w:rPr>
                <w:rFonts w:cs="Arial"/>
                <w:snapToGrid w:val="0"/>
                <w:sz w:val="16"/>
                <w:szCs w:val="16"/>
                <w:vertAlign w:val="superscript"/>
              </w:rPr>
              <w:t>**)</w:t>
            </w:r>
          </w:p>
        </w:tc>
      </w:tr>
      <w:tr w:rsidR="00695778" w:rsidRPr="00557E38" w14:paraId="01838826" w14:textId="77777777" w:rsidTr="005B52A8">
        <w:trPr>
          <w:trHeight w:val="20"/>
          <w:jc w:val="center"/>
        </w:trPr>
        <w:tc>
          <w:tcPr>
            <w:tcW w:w="2373" w:type="dxa"/>
            <w:vMerge/>
            <w:vAlign w:val="center"/>
          </w:tcPr>
          <w:p w14:paraId="26AEEC94" w14:textId="77777777" w:rsidR="00695778" w:rsidRPr="008B489D" w:rsidRDefault="00695778" w:rsidP="005B52A8">
            <w:pPr>
              <w:ind w:left="89"/>
              <w:contextualSpacing/>
              <w:rPr>
                <w:rFonts w:cs="Arial"/>
                <w:snapToGrid w:val="0"/>
                <w:color w:val="FF0000"/>
                <w:sz w:val="16"/>
                <w:szCs w:val="16"/>
              </w:rPr>
            </w:pPr>
          </w:p>
        </w:tc>
        <w:tc>
          <w:tcPr>
            <w:tcW w:w="1000" w:type="dxa"/>
            <w:vAlign w:val="center"/>
          </w:tcPr>
          <w:p w14:paraId="1FB6A988" w14:textId="77777777" w:rsidR="00695778" w:rsidRPr="008B489D" w:rsidRDefault="00695778" w:rsidP="005B52A8">
            <w:pPr>
              <w:contextualSpacing/>
              <w:jc w:val="center"/>
              <w:rPr>
                <w:rFonts w:cs="Arial"/>
                <w:snapToGrid w:val="0"/>
                <w:color w:val="FF0000"/>
                <w:sz w:val="16"/>
                <w:szCs w:val="16"/>
              </w:rPr>
            </w:pPr>
            <w:r w:rsidRPr="008B489D">
              <w:rPr>
                <w:rFonts w:cs="Arial"/>
                <w:snapToGrid w:val="0"/>
                <w:sz w:val="16"/>
                <w:szCs w:val="16"/>
              </w:rPr>
              <w:t>% k 1989</w:t>
            </w:r>
          </w:p>
        </w:tc>
        <w:tc>
          <w:tcPr>
            <w:tcW w:w="892" w:type="dxa"/>
            <w:vAlign w:val="center"/>
          </w:tcPr>
          <w:p w14:paraId="3D928FFC"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100,0</w:t>
            </w:r>
          </w:p>
        </w:tc>
        <w:tc>
          <w:tcPr>
            <w:tcW w:w="892" w:type="dxa"/>
            <w:vAlign w:val="center"/>
          </w:tcPr>
          <w:p w14:paraId="3AAA9E9F"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71,1</w:t>
            </w:r>
          </w:p>
        </w:tc>
        <w:tc>
          <w:tcPr>
            <w:tcW w:w="893" w:type="dxa"/>
            <w:vAlign w:val="center"/>
          </w:tcPr>
          <w:p w14:paraId="3E941F11"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71,7</w:t>
            </w:r>
          </w:p>
        </w:tc>
        <w:tc>
          <w:tcPr>
            <w:tcW w:w="892" w:type="dxa"/>
            <w:vAlign w:val="center"/>
          </w:tcPr>
          <w:p w14:paraId="537898D4"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69,9</w:t>
            </w:r>
          </w:p>
        </w:tc>
        <w:tc>
          <w:tcPr>
            <w:tcW w:w="893" w:type="dxa"/>
            <w:vAlign w:val="center"/>
          </w:tcPr>
          <w:p w14:paraId="548BEC0F"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70,2</w:t>
            </w:r>
          </w:p>
        </w:tc>
        <w:tc>
          <w:tcPr>
            <w:tcW w:w="891" w:type="dxa"/>
          </w:tcPr>
          <w:p w14:paraId="16EBDCA2" w14:textId="77777777" w:rsidR="00695778" w:rsidRPr="008B489D" w:rsidRDefault="00695778" w:rsidP="005B52A8">
            <w:pPr>
              <w:ind w:right="-28"/>
              <w:contextualSpacing/>
              <w:jc w:val="center"/>
              <w:rPr>
                <w:rFonts w:cs="Arial"/>
                <w:snapToGrid w:val="0"/>
                <w:color w:val="FF0000"/>
                <w:sz w:val="16"/>
                <w:szCs w:val="16"/>
              </w:rPr>
            </w:pPr>
            <w:r w:rsidRPr="008B489D">
              <w:rPr>
                <w:rFonts w:cs="Arial"/>
                <w:snapToGrid w:val="0"/>
                <w:sz w:val="16"/>
                <w:szCs w:val="16"/>
              </w:rPr>
              <w:t>70,5</w:t>
            </w:r>
          </w:p>
        </w:tc>
        <w:tc>
          <w:tcPr>
            <w:tcW w:w="908" w:type="dxa"/>
            <w:vAlign w:val="center"/>
          </w:tcPr>
          <w:p w14:paraId="717BFCE1" w14:textId="77777777" w:rsidR="00695778" w:rsidRPr="008B489D" w:rsidRDefault="00695778" w:rsidP="005B52A8">
            <w:pPr>
              <w:ind w:right="-28"/>
              <w:contextualSpacing/>
              <w:jc w:val="center"/>
              <w:rPr>
                <w:rFonts w:cs="Arial"/>
                <w:snapToGrid w:val="0"/>
                <w:sz w:val="16"/>
                <w:szCs w:val="16"/>
              </w:rPr>
            </w:pPr>
            <w:r w:rsidRPr="008B489D">
              <w:rPr>
                <w:rFonts w:cs="Arial"/>
                <w:snapToGrid w:val="0"/>
                <w:sz w:val="16"/>
                <w:szCs w:val="16"/>
              </w:rPr>
              <w:t>70,7</w:t>
            </w:r>
          </w:p>
        </w:tc>
        <w:tc>
          <w:tcPr>
            <w:tcW w:w="874" w:type="dxa"/>
            <w:vAlign w:val="center"/>
          </w:tcPr>
          <w:p w14:paraId="3CA12F43" w14:textId="77777777" w:rsidR="00695778" w:rsidRPr="008B489D" w:rsidRDefault="00695778" w:rsidP="005B52A8">
            <w:pPr>
              <w:ind w:right="-28"/>
              <w:contextualSpacing/>
              <w:jc w:val="center"/>
              <w:rPr>
                <w:rFonts w:cs="Arial"/>
                <w:snapToGrid w:val="0"/>
                <w:sz w:val="16"/>
                <w:szCs w:val="16"/>
              </w:rPr>
            </w:pPr>
            <w:r w:rsidRPr="008B489D">
              <w:rPr>
                <w:rFonts w:cs="Arial"/>
                <w:snapToGrid w:val="0"/>
                <w:sz w:val="16"/>
                <w:szCs w:val="16"/>
              </w:rPr>
              <w:t>78,7</w:t>
            </w:r>
          </w:p>
        </w:tc>
        <w:tc>
          <w:tcPr>
            <w:tcW w:w="969" w:type="dxa"/>
            <w:vAlign w:val="center"/>
          </w:tcPr>
          <w:p w14:paraId="0E9EE9FF" w14:textId="77777777" w:rsidR="00695778" w:rsidRPr="008B489D" w:rsidRDefault="00695778" w:rsidP="005B52A8">
            <w:pPr>
              <w:ind w:right="-28"/>
              <w:contextualSpacing/>
              <w:jc w:val="center"/>
              <w:rPr>
                <w:rFonts w:cs="Arial"/>
                <w:snapToGrid w:val="0"/>
                <w:sz w:val="16"/>
                <w:szCs w:val="16"/>
              </w:rPr>
            </w:pPr>
            <w:r w:rsidRPr="008B489D">
              <w:rPr>
                <w:rFonts w:cs="Arial"/>
                <w:snapToGrid w:val="0"/>
                <w:sz w:val="16"/>
                <w:szCs w:val="16"/>
              </w:rPr>
              <w:t>80,9</w:t>
            </w:r>
          </w:p>
        </w:tc>
      </w:tr>
    </w:tbl>
    <w:p w14:paraId="0B1CF1D1" w14:textId="0AA62F30" w:rsidR="00FA6F21" w:rsidRPr="008B489D" w:rsidRDefault="00FA6F21" w:rsidP="55DFC2AA">
      <w:pPr>
        <w:pStyle w:val="nzevpodkapit"/>
        <w:keepNext w:val="0"/>
        <w:keepLines w:val="0"/>
        <w:widowControl/>
        <w:suppressAutoHyphens w:val="0"/>
        <w:spacing w:before="90" w:after="0"/>
        <w:rPr>
          <w:rFonts w:ascii="Arial" w:hAnsi="Arial" w:cs="Arial"/>
          <w:b w:val="0"/>
          <w:i/>
          <w:iCs/>
          <w:sz w:val="20"/>
          <w:lang w:val="en-US"/>
        </w:rPr>
      </w:pPr>
      <w:bookmarkStart w:id="132" w:name="_Toc234397537"/>
      <w:bookmarkStart w:id="133" w:name="_Toc234400043"/>
      <w:bookmarkStart w:id="134" w:name="_Toc235195427"/>
      <w:bookmarkStart w:id="135" w:name="_Toc236991633"/>
      <w:bookmarkEnd w:id="131"/>
      <w:proofErr w:type="spellStart"/>
      <w:r w:rsidRPr="008B489D">
        <w:rPr>
          <w:rFonts w:ascii="Arial" w:hAnsi="Arial" w:cs="Arial"/>
          <w:b w:val="0"/>
          <w:i/>
          <w:iCs/>
          <w:snapToGrid w:val="0"/>
          <w:sz w:val="20"/>
          <w:lang w:val="en-US"/>
        </w:rPr>
        <w:t>Pramen</w:t>
      </w:r>
      <w:proofErr w:type="spellEnd"/>
      <w:r w:rsidRPr="008B489D">
        <w:rPr>
          <w:rFonts w:ascii="Arial" w:hAnsi="Arial" w:cs="Arial"/>
          <w:b w:val="0"/>
          <w:i/>
          <w:iCs/>
          <w:snapToGrid w:val="0"/>
          <w:sz w:val="20"/>
          <w:lang w:val="en-US"/>
        </w:rPr>
        <w:t xml:space="preserve">: ČSÚ, od </w:t>
      </w:r>
      <w:proofErr w:type="spellStart"/>
      <w:r w:rsidRPr="008B489D">
        <w:rPr>
          <w:rFonts w:ascii="Arial" w:hAnsi="Arial" w:cs="Arial"/>
          <w:b w:val="0"/>
          <w:i/>
          <w:iCs/>
          <w:snapToGrid w:val="0"/>
          <w:sz w:val="20"/>
          <w:lang w:val="en-US"/>
        </w:rPr>
        <w:t>roku</w:t>
      </w:r>
      <w:proofErr w:type="spellEnd"/>
      <w:r w:rsidRPr="008B489D">
        <w:rPr>
          <w:rFonts w:ascii="Arial" w:hAnsi="Arial" w:cs="Arial"/>
          <w:b w:val="0"/>
          <w:i/>
          <w:iCs/>
          <w:snapToGrid w:val="0"/>
          <w:sz w:val="20"/>
          <w:lang w:val="en-US"/>
        </w:rPr>
        <w:t xml:space="preserve"> 2024 </w:t>
      </w:r>
      <w:r w:rsidR="00CD6907" w:rsidRPr="008B489D">
        <w:rPr>
          <w:rFonts w:ascii="Arial" w:hAnsi="Arial" w:cs="Arial"/>
          <w:b w:val="0"/>
          <w:i/>
          <w:iCs/>
          <w:snapToGrid w:val="0"/>
          <w:sz w:val="20"/>
          <w:lang w:val="en-US"/>
        </w:rPr>
        <w:t>MZe</w:t>
      </w:r>
      <w:bookmarkEnd w:id="132"/>
      <w:bookmarkEnd w:id="133"/>
      <w:bookmarkEnd w:id="134"/>
      <w:bookmarkEnd w:id="135"/>
    </w:p>
    <w:p w14:paraId="7075A6C8" w14:textId="77777777" w:rsidR="00FA6F21" w:rsidRPr="008B489D" w:rsidRDefault="00FA6F21" w:rsidP="00FA6F21">
      <w:pPr>
        <w:spacing w:before="45"/>
        <w:rPr>
          <w:rFonts w:cs="Arial"/>
          <w:i/>
          <w:snapToGrid w:val="0"/>
          <w:sz w:val="20"/>
          <w:szCs w:val="20"/>
        </w:rPr>
      </w:pPr>
      <w:r w:rsidRPr="008B489D">
        <w:rPr>
          <w:rFonts w:cs="Arial"/>
          <w:i/>
          <w:snapToGrid w:val="0"/>
          <w:sz w:val="20"/>
          <w:szCs w:val="20"/>
        </w:rPr>
        <w:t xml:space="preserve">Pozn.:  </w:t>
      </w:r>
      <w:r w:rsidRPr="008B489D">
        <w:rPr>
          <w:rFonts w:cs="Arial"/>
          <w:i/>
          <w:snapToGrid w:val="0"/>
          <w:sz w:val="20"/>
          <w:szCs w:val="20"/>
          <w:vertAlign w:val="superscript"/>
        </w:rPr>
        <w:t>*)</w:t>
      </w:r>
      <w:r w:rsidRPr="008B489D">
        <w:rPr>
          <w:rFonts w:cs="Arial"/>
          <w:i/>
          <w:snapToGrid w:val="0"/>
          <w:sz w:val="20"/>
          <w:szCs w:val="20"/>
        </w:rPr>
        <w:t xml:space="preserve"> V roce 1989 se jedná o údaje za kanalizace hlavních provozovatelů</w:t>
      </w:r>
    </w:p>
    <w:p w14:paraId="4E7956F1" w14:textId="76E4455D" w:rsidR="004A6926" w:rsidRPr="008B489D" w:rsidRDefault="004A6926" w:rsidP="00FA6F21">
      <w:pPr>
        <w:spacing w:before="45"/>
        <w:rPr>
          <w:rFonts w:cs="Arial"/>
          <w:i/>
          <w:sz w:val="20"/>
          <w:szCs w:val="20"/>
        </w:rPr>
      </w:pPr>
      <w:r w:rsidRPr="008B489D">
        <w:rPr>
          <w:rFonts w:cs="Arial"/>
          <w:i/>
          <w:snapToGrid w:val="0"/>
          <w:sz w:val="20"/>
          <w:szCs w:val="20"/>
        </w:rPr>
        <w:t xml:space="preserve">           </w:t>
      </w:r>
      <w:r w:rsidRPr="008B489D">
        <w:rPr>
          <w:rFonts w:cs="Arial"/>
          <w:i/>
          <w:snapToGrid w:val="0"/>
          <w:sz w:val="20"/>
          <w:szCs w:val="20"/>
          <w:vertAlign w:val="superscript"/>
        </w:rPr>
        <w:t xml:space="preserve"> </w:t>
      </w:r>
      <w:r w:rsidR="00724F65" w:rsidRPr="008B489D">
        <w:rPr>
          <w:rFonts w:cs="Arial"/>
          <w:i/>
          <w:snapToGrid w:val="0"/>
          <w:sz w:val="20"/>
          <w:szCs w:val="20"/>
          <w:vertAlign w:val="superscript"/>
        </w:rPr>
        <w:t>**)</w:t>
      </w:r>
      <w:r w:rsidR="00724F65" w:rsidRPr="008B489D">
        <w:rPr>
          <w:rFonts w:cs="Arial"/>
          <w:i/>
          <w:snapToGrid w:val="0"/>
          <w:sz w:val="20"/>
          <w:szCs w:val="20"/>
        </w:rPr>
        <w:t xml:space="preserve"> Z údajů ČSÚ podle dat MZe</w:t>
      </w:r>
    </w:p>
    <w:p w14:paraId="6C3ED1B6" w14:textId="77777777" w:rsidR="00B13B5A" w:rsidRPr="008B489D" w:rsidRDefault="00B13B5A" w:rsidP="007C4955">
      <w:pPr>
        <w:contextualSpacing/>
        <w:rPr>
          <w:rFonts w:cs="Arial"/>
          <w:b/>
          <w:i/>
        </w:rPr>
      </w:pPr>
    </w:p>
    <w:p w14:paraId="756C9DA9" w14:textId="77777777" w:rsidR="008B489D" w:rsidRPr="008B489D" w:rsidRDefault="008B489D" w:rsidP="007C4955">
      <w:pPr>
        <w:contextualSpacing/>
        <w:rPr>
          <w:rFonts w:cs="Arial"/>
          <w:b/>
          <w:i/>
        </w:rPr>
      </w:pPr>
    </w:p>
    <w:p w14:paraId="2697B511" w14:textId="0661EA77" w:rsidR="00BB06AB" w:rsidRPr="008B489D" w:rsidRDefault="00EE6F9C" w:rsidP="007C4955">
      <w:pPr>
        <w:contextualSpacing/>
        <w:rPr>
          <w:rFonts w:cs="Arial"/>
          <w:b/>
          <w:i/>
        </w:rPr>
      </w:pPr>
      <w:r w:rsidRPr="008B489D">
        <w:rPr>
          <w:rFonts w:cs="Arial"/>
          <w:b/>
          <w:i/>
        </w:rPr>
        <w:t>Graf </w:t>
      </w:r>
      <w:r w:rsidR="00D046E0" w:rsidRPr="008B489D">
        <w:rPr>
          <w:rFonts w:cs="Arial"/>
          <w:b/>
          <w:i/>
        </w:rPr>
        <w:t>9</w:t>
      </w:r>
      <w:r w:rsidRPr="008B489D">
        <w:rPr>
          <w:rFonts w:cs="Arial"/>
          <w:b/>
          <w:i/>
        </w:rPr>
        <w:t>.2.1  </w:t>
      </w:r>
    </w:p>
    <w:p w14:paraId="390FF6FA" w14:textId="5ECB1B15" w:rsidR="00784237" w:rsidRPr="008B489D" w:rsidRDefault="00784237" w:rsidP="00784237">
      <w:pPr>
        <w:rPr>
          <w:rFonts w:cs="Arial"/>
          <w:b/>
          <w:i/>
        </w:rPr>
      </w:pPr>
      <w:r w:rsidRPr="008B489D">
        <w:rPr>
          <w:rFonts w:cs="Arial"/>
          <w:b/>
          <w:i/>
        </w:rPr>
        <w:t>Vývoj počtu obyvatel připojených na kanalizaci a množství vypouštěných a čištěných odpadních vod v letech 1989 a 2018–202</w:t>
      </w:r>
      <w:r w:rsidR="00D244F8" w:rsidRPr="008B489D">
        <w:rPr>
          <w:rFonts w:cs="Arial"/>
          <w:b/>
          <w:i/>
        </w:rPr>
        <w:t>5</w:t>
      </w:r>
    </w:p>
    <w:p w14:paraId="0A6E72AF" w14:textId="1B89791F" w:rsidR="00B41438" w:rsidRDefault="00B41438" w:rsidP="00784237">
      <w:pPr>
        <w:rPr>
          <w:rFonts w:cs="Arial"/>
          <w:b/>
          <w:i/>
          <w:highlight w:val="yellow"/>
        </w:rPr>
      </w:pPr>
      <w:r>
        <w:rPr>
          <w:noProof/>
        </w:rPr>
        <w:drawing>
          <wp:inline distT="0" distB="0" distL="0" distR="0" wp14:anchorId="03F850D0" wp14:editId="6AFEAC85">
            <wp:extent cx="6120130" cy="3004820"/>
            <wp:effectExtent l="0" t="0" r="13970" b="5080"/>
            <wp:docPr id="82614387" name="Graf 1">
              <a:extLst xmlns:a="http://schemas.openxmlformats.org/drawingml/2006/main">
                <a:ext uri="{FF2B5EF4-FFF2-40B4-BE49-F238E27FC236}">
                  <a16:creationId xmlns:a16="http://schemas.microsoft.com/office/drawing/2014/main" id="{8B18B61A-5A1B-47AC-89F9-09760C2265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356EBEFB" w14:textId="16F29D20" w:rsidR="00EE6F9C" w:rsidRPr="008B489D" w:rsidRDefault="00EE6F9C" w:rsidP="007C4955">
      <w:pPr>
        <w:contextualSpacing/>
        <w:rPr>
          <w:rFonts w:cs="Arial"/>
          <w:i/>
          <w:sz w:val="20"/>
          <w:szCs w:val="20"/>
        </w:rPr>
      </w:pPr>
      <w:bookmarkStart w:id="136" w:name="_MON_1366639092"/>
      <w:bookmarkStart w:id="137" w:name="_MON_1366639196"/>
      <w:bookmarkStart w:id="138" w:name="_MON_1302349488"/>
      <w:bookmarkStart w:id="139" w:name="_MON_1398155986"/>
      <w:bookmarkStart w:id="140" w:name="_MON_1398156044"/>
      <w:bookmarkStart w:id="141" w:name="_MON_1398156546"/>
      <w:bookmarkStart w:id="142" w:name="_MON_1398156675"/>
      <w:bookmarkStart w:id="143" w:name="_MON_1398157155"/>
      <w:bookmarkStart w:id="144" w:name="_MON_1398157201"/>
      <w:bookmarkStart w:id="145" w:name="_MON_1398157297"/>
      <w:bookmarkStart w:id="146" w:name="_MON_1331448673"/>
      <w:bookmarkStart w:id="147" w:name="_MON_1334998424"/>
      <w:bookmarkStart w:id="148" w:name="_MON_1334998549"/>
      <w:bookmarkStart w:id="149" w:name="_MON_1334998555"/>
      <w:bookmarkStart w:id="150" w:name="_MON_1334998597"/>
      <w:bookmarkStart w:id="151" w:name="_MON_1366638483"/>
      <w:bookmarkStart w:id="152" w:name="_MON_1366638744"/>
      <w:bookmarkStart w:id="153" w:name="_MON_1366638908"/>
      <w:bookmarkStart w:id="154" w:name="_MON_1366638936"/>
      <w:bookmarkStart w:id="155" w:name="_MON_1366639034"/>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rsidRPr="008B489D">
        <w:rPr>
          <w:rFonts w:cs="Arial"/>
          <w:i/>
          <w:sz w:val="20"/>
          <w:szCs w:val="20"/>
        </w:rPr>
        <w:t>Pramen: ČSÚ</w:t>
      </w:r>
      <w:r w:rsidR="0031277A" w:rsidRPr="008B489D">
        <w:rPr>
          <w:rFonts w:cs="Arial"/>
          <w:i/>
          <w:sz w:val="20"/>
          <w:szCs w:val="20"/>
        </w:rPr>
        <w:t>, od roku 2024 MZe</w:t>
      </w:r>
    </w:p>
    <w:p w14:paraId="4EB09F7B" w14:textId="77777777" w:rsidR="00BC708D" w:rsidRPr="008B489D" w:rsidRDefault="00BC708D" w:rsidP="00BC708D">
      <w:pPr>
        <w:contextualSpacing/>
        <w:rPr>
          <w:rFonts w:eastAsia="Times New Roman" w:cs="Arial"/>
          <w:lang w:val="x-none" w:eastAsia="x-none"/>
        </w:rPr>
      </w:pPr>
    </w:p>
    <w:p w14:paraId="0B286E6F" w14:textId="77777777" w:rsidR="00A23A67" w:rsidRPr="008B489D" w:rsidRDefault="00A23A67" w:rsidP="00A23A67">
      <w:pPr>
        <w:contextualSpacing/>
        <w:rPr>
          <w:rFonts w:eastAsia="Times New Roman" w:cs="Arial"/>
          <w:lang w:val="x-none" w:eastAsia="x-none"/>
        </w:rPr>
      </w:pPr>
      <w:r w:rsidRPr="008B489D">
        <w:rPr>
          <w:rFonts w:eastAsia="Times New Roman" w:cs="Arial"/>
          <w:lang w:val="x-none" w:eastAsia="x-none"/>
        </w:rPr>
        <w:t>Podíl obyvatel připojených na kanalizaci v roce 2025 byl nejvyšší v Hlavním městě Praha (100 %) a Jihomoravském a Zlínském kraji, kde přesáhl 98 %, nejnižší podíl obyvatel připojených na kanalizaci byl v roce 2025 v Libereckém kraji, a to zhruba 75 %.</w:t>
      </w:r>
    </w:p>
    <w:p w14:paraId="0EB992AB" w14:textId="77777777" w:rsidR="00851874" w:rsidRPr="008B489D" w:rsidRDefault="00851874" w:rsidP="007C4955">
      <w:pPr>
        <w:contextualSpacing/>
        <w:rPr>
          <w:b/>
          <w:snapToGrid w:val="0"/>
          <w:color w:val="FF0000"/>
        </w:rPr>
      </w:pPr>
    </w:p>
    <w:p w14:paraId="60B9BFD5" w14:textId="28E5323D" w:rsidR="009737BB" w:rsidRPr="008B489D" w:rsidRDefault="00EE6F9C" w:rsidP="009737BB">
      <w:pPr>
        <w:spacing w:after="90"/>
        <w:rPr>
          <w:rFonts w:cs="Arial"/>
          <w:b/>
          <w:i/>
          <w:snapToGrid w:val="0"/>
        </w:rPr>
      </w:pPr>
      <w:bookmarkStart w:id="156" w:name="_Hlk170812700"/>
      <w:r w:rsidRPr="008B489D">
        <w:rPr>
          <w:rFonts w:cs="Arial"/>
          <w:b/>
          <w:i/>
          <w:snapToGrid w:val="0"/>
        </w:rPr>
        <w:t>Tabulka </w:t>
      </w:r>
      <w:r w:rsidR="00D046E0" w:rsidRPr="008B489D">
        <w:rPr>
          <w:rFonts w:cs="Arial"/>
          <w:b/>
          <w:i/>
          <w:snapToGrid w:val="0"/>
        </w:rPr>
        <w:t>9</w:t>
      </w:r>
      <w:r w:rsidRPr="008B489D">
        <w:rPr>
          <w:rFonts w:cs="Arial"/>
          <w:b/>
          <w:i/>
          <w:snapToGrid w:val="0"/>
        </w:rPr>
        <w:t>.2.2</w:t>
      </w:r>
      <w:r w:rsidRPr="008B489D">
        <w:rPr>
          <w:rFonts w:cs="Arial"/>
          <w:b/>
          <w:i/>
          <w:snapToGrid w:val="0"/>
          <w:color w:val="FF0000"/>
        </w:rPr>
        <w:t>  </w:t>
      </w:r>
      <w:r w:rsidRPr="008B489D">
        <w:rPr>
          <w:rFonts w:cs="Arial"/>
          <w:b/>
          <w:i/>
          <w:snapToGrid w:val="0"/>
          <w:color w:val="FF0000"/>
        </w:rPr>
        <w:br/>
      </w:r>
      <w:r w:rsidR="009737BB" w:rsidRPr="008B489D">
        <w:rPr>
          <w:rFonts w:cs="Arial"/>
          <w:b/>
          <w:i/>
        </w:rPr>
        <w:t>Počet</w:t>
      </w:r>
      <w:r w:rsidR="009737BB" w:rsidRPr="008B489D">
        <w:rPr>
          <w:rFonts w:cs="Arial"/>
          <w:b/>
          <w:i/>
          <w:snapToGrid w:val="0"/>
        </w:rPr>
        <w:t xml:space="preserve"> obyvatel připojených na kanalizaci a množství vypouštěných a čištěných odpadních vod v jednotlivých krajích v roce 202</w:t>
      </w:r>
      <w:r w:rsidR="009F37A5" w:rsidRPr="008B489D">
        <w:rPr>
          <w:rFonts w:cs="Arial"/>
          <w:b/>
          <w:i/>
          <w:snapToGrid w:val="0"/>
        </w:rPr>
        <w:t>5</w:t>
      </w:r>
    </w:p>
    <w:tbl>
      <w:tblPr>
        <w:tblW w:w="9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000" w:firstRow="0" w:lastRow="0" w:firstColumn="0" w:lastColumn="0" w:noHBand="0" w:noVBand="0"/>
      </w:tblPr>
      <w:tblGrid>
        <w:gridCol w:w="1757"/>
        <w:gridCol w:w="1295"/>
        <w:gridCol w:w="2016"/>
        <w:gridCol w:w="2014"/>
        <w:gridCol w:w="1727"/>
        <w:gridCol w:w="1007"/>
      </w:tblGrid>
      <w:tr w:rsidR="002A24B5" w:rsidRPr="008B489D" w14:paraId="585689CB" w14:textId="77777777" w:rsidTr="000612F1">
        <w:trPr>
          <w:cantSplit/>
          <w:trHeight w:val="19"/>
          <w:tblHeader/>
        </w:trPr>
        <w:tc>
          <w:tcPr>
            <w:tcW w:w="1757" w:type="dxa"/>
            <w:vMerge w:val="restart"/>
            <w:shd w:val="clear" w:color="auto" w:fill="BFBFBF"/>
            <w:vAlign w:val="center"/>
          </w:tcPr>
          <w:p w14:paraId="5654CC30" w14:textId="77777777" w:rsidR="002A24B5" w:rsidRPr="008B489D" w:rsidRDefault="002A24B5" w:rsidP="00FA3EE8">
            <w:pPr>
              <w:contextualSpacing/>
              <w:jc w:val="center"/>
              <w:rPr>
                <w:rFonts w:cs="Arial"/>
                <w:b/>
                <w:snapToGrid w:val="0"/>
                <w:sz w:val="16"/>
                <w:szCs w:val="16"/>
              </w:rPr>
            </w:pPr>
            <w:r w:rsidRPr="008B489D">
              <w:rPr>
                <w:rFonts w:cs="Arial"/>
                <w:b/>
                <w:snapToGrid w:val="0"/>
                <w:sz w:val="16"/>
                <w:szCs w:val="16"/>
              </w:rPr>
              <w:t>Kraj</w:t>
            </w:r>
          </w:p>
        </w:tc>
        <w:tc>
          <w:tcPr>
            <w:tcW w:w="3311" w:type="dxa"/>
            <w:gridSpan w:val="2"/>
            <w:shd w:val="clear" w:color="auto" w:fill="BFBFBF"/>
            <w:vAlign w:val="center"/>
          </w:tcPr>
          <w:p w14:paraId="0E2A2209" w14:textId="67ED3FE4" w:rsidR="002A24B5" w:rsidRPr="008B489D" w:rsidRDefault="00C05670" w:rsidP="00FA3EE8">
            <w:pPr>
              <w:contextualSpacing/>
              <w:jc w:val="center"/>
              <w:rPr>
                <w:rFonts w:cs="Arial"/>
                <w:b/>
                <w:snapToGrid w:val="0"/>
                <w:sz w:val="16"/>
                <w:szCs w:val="16"/>
              </w:rPr>
            </w:pPr>
            <w:r w:rsidRPr="008B489D">
              <w:rPr>
                <w:rFonts w:cs="Arial"/>
                <w:b/>
                <w:snapToGrid w:val="0"/>
                <w:sz w:val="16"/>
                <w:szCs w:val="16"/>
              </w:rPr>
              <w:t>Obyvatelé připojení na kanalizaci</w:t>
            </w:r>
          </w:p>
        </w:tc>
        <w:tc>
          <w:tcPr>
            <w:tcW w:w="2014" w:type="dxa"/>
            <w:shd w:val="clear" w:color="auto" w:fill="BFBFBF"/>
            <w:vAlign w:val="center"/>
          </w:tcPr>
          <w:p w14:paraId="01686986" w14:textId="77777777" w:rsidR="002A24B5" w:rsidRPr="008B489D" w:rsidRDefault="002A24B5" w:rsidP="00FA3EE8">
            <w:pPr>
              <w:contextualSpacing/>
              <w:jc w:val="center"/>
              <w:rPr>
                <w:rFonts w:cs="Arial"/>
                <w:b/>
                <w:snapToGrid w:val="0"/>
                <w:sz w:val="16"/>
                <w:szCs w:val="16"/>
              </w:rPr>
            </w:pPr>
            <w:r w:rsidRPr="008B489D">
              <w:rPr>
                <w:rFonts w:cs="Arial"/>
                <w:b/>
                <w:snapToGrid w:val="0"/>
                <w:sz w:val="16"/>
                <w:szCs w:val="16"/>
              </w:rPr>
              <w:t>Odpadní vody vypouštěné do kanalizace (</w:t>
            </w:r>
            <w:r w:rsidRPr="008B489D">
              <w:rPr>
                <w:rFonts w:cs="Arial"/>
                <w:b/>
                <w:bCs/>
                <w:sz w:val="16"/>
                <w:szCs w:val="16"/>
              </w:rPr>
              <w:t>bez zpoplatněných srážkových vod)</w:t>
            </w:r>
          </w:p>
        </w:tc>
        <w:tc>
          <w:tcPr>
            <w:tcW w:w="2734" w:type="dxa"/>
            <w:gridSpan w:val="2"/>
            <w:shd w:val="clear" w:color="auto" w:fill="BFBFBF"/>
            <w:vAlign w:val="center"/>
          </w:tcPr>
          <w:p w14:paraId="1DA4DA47" w14:textId="1B1B5068" w:rsidR="002A24B5" w:rsidRPr="008B489D" w:rsidRDefault="002A24B5" w:rsidP="00FA3EE8">
            <w:pPr>
              <w:contextualSpacing/>
              <w:jc w:val="center"/>
              <w:rPr>
                <w:rFonts w:cs="Arial"/>
                <w:b/>
                <w:snapToGrid w:val="0"/>
                <w:sz w:val="16"/>
                <w:szCs w:val="16"/>
              </w:rPr>
            </w:pPr>
            <w:r w:rsidRPr="008B489D">
              <w:rPr>
                <w:rFonts w:cs="Arial"/>
                <w:b/>
                <w:snapToGrid w:val="0"/>
                <w:sz w:val="16"/>
                <w:szCs w:val="16"/>
              </w:rPr>
              <w:t>Čištěné odpadní vody bez vod srážkových</w:t>
            </w:r>
            <w:r w:rsidR="003569A6" w:rsidRPr="008B489D">
              <w:rPr>
                <w:rFonts w:cs="Arial"/>
                <w:b/>
                <w:snapToGrid w:val="0"/>
                <w:sz w:val="16"/>
                <w:szCs w:val="16"/>
              </w:rPr>
              <w:t xml:space="preserve"> </w:t>
            </w:r>
            <w:r w:rsidR="003569A6" w:rsidRPr="008B489D">
              <w:rPr>
                <w:rFonts w:cs="Arial"/>
                <w:bCs/>
                <w:i/>
                <w:iCs/>
                <w:snapToGrid w:val="0"/>
                <w:sz w:val="16"/>
                <w:szCs w:val="16"/>
                <w:vertAlign w:val="superscript"/>
              </w:rPr>
              <w:t>*)</w:t>
            </w:r>
          </w:p>
        </w:tc>
      </w:tr>
      <w:tr w:rsidR="002A24B5" w:rsidRPr="008B489D" w14:paraId="7B7AAE8F" w14:textId="77777777" w:rsidTr="0042149D">
        <w:trPr>
          <w:cantSplit/>
          <w:trHeight w:val="19"/>
          <w:tblHeader/>
        </w:trPr>
        <w:tc>
          <w:tcPr>
            <w:tcW w:w="1757" w:type="dxa"/>
            <w:vMerge/>
            <w:shd w:val="clear" w:color="auto" w:fill="BFBFBF"/>
            <w:vAlign w:val="center"/>
          </w:tcPr>
          <w:p w14:paraId="0AF11857" w14:textId="77777777" w:rsidR="002A24B5" w:rsidRPr="008B489D" w:rsidRDefault="002A24B5" w:rsidP="00FA3EE8">
            <w:pPr>
              <w:contextualSpacing/>
              <w:jc w:val="center"/>
              <w:rPr>
                <w:rFonts w:cs="Arial"/>
                <w:b/>
                <w:snapToGrid w:val="0"/>
                <w:sz w:val="16"/>
                <w:szCs w:val="16"/>
              </w:rPr>
            </w:pPr>
          </w:p>
        </w:tc>
        <w:tc>
          <w:tcPr>
            <w:tcW w:w="1295" w:type="dxa"/>
            <w:shd w:val="clear" w:color="auto" w:fill="BFBFBF"/>
            <w:vAlign w:val="center"/>
          </w:tcPr>
          <w:p w14:paraId="5E3F6678" w14:textId="77777777" w:rsidR="002A24B5" w:rsidRPr="008B489D" w:rsidRDefault="002A24B5" w:rsidP="00FA3EE8">
            <w:pPr>
              <w:contextualSpacing/>
              <w:jc w:val="center"/>
              <w:rPr>
                <w:rFonts w:cs="Arial"/>
                <w:b/>
                <w:snapToGrid w:val="0"/>
                <w:sz w:val="16"/>
                <w:szCs w:val="16"/>
              </w:rPr>
            </w:pPr>
            <w:r w:rsidRPr="008B489D">
              <w:rPr>
                <w:rFonts w:cs="Arial"/>
                <w:b/>
                <w:snapToGrid w:val="0"/>
                <w:sz w:val="16"/>
                <w:szCs w:val="16"/>
              </w:rPr>
              <w:t>Celkem</w:t>
            </w:r>
          </w:p>
        </w:tc>
        <w:tc>
          <w:tcPr>
            <w:tcW w:w="2016" w:type="dxa"/>
            <w:shd w:val="clear" w:color="auto" w:fill="BFBFBF"/>
            <w:vAlign w:val="center"/>
          </w:tcPr>
          <w:p w14:paraId="414AF185" w14:textId="77777777" w:rsidR="002A24B5" w:rsidRPr="008B489D" w:rsidRDefault="002A24B5" w:rsidP="00FA3EE8">
            <w:pPr>
              <w:contextualSpacing/>
              <w:jc w:val="center"/>
              <w:rPr>
                <w:rFonts w:cs="Arial"/>
                <w:b/>
                <w:snapToGrid w:val="0"/>
                <w:sz w:val="16"/>
                <w:szCs w:val="16"/>
              </w:rPr>
            </w:pPr>
            <w:r w:rsidRPr="008B489D">
              <w:rPr>
                <w:rFonts w:cs="Arial"/>
                <w:b/>
                <w:snapToGrid w:val="0"/>
                <w:sz w:val="16"/>
                <w:szCs w:val="16"/>
              </w:rPr>
              <w:t>Podíl k celkovému počtu obyvatel</w:t>
            </w:r>
          </w:p>
        </w:tc>
        <w:tc>
          <w:tcPr>
            <w:tcW w:w="2014" w:type="dxa"/>
            <w:shd w:val="clear" w:color="auto" w:fill="BFBFBF"/>
            <w:vAlign w:val="center"/>
          </w:tcPr>
          <w:p w14:paraId="732052AE" w14:textId="77777777" w:rsidR="002A24B5" w:rsidRPr="008B489D" w:rsidRDefault="002A24B5" w:rsidP="00FA3EE8">
            <w:pPr>
              <w:contextualSpacing/>
              <w:jc w:val="center"/>
              <w:rPr>
                <w:rFonts w:cs="Arial"/>
                <w:b/>
                <w:snapToGrid w:val="0"/>
                <w:sz w:val="16"/>
                <w:szCs w:val="16"/>
              </w:rPr>
            </w:pPr>
            <w:r w:rsidRPr="008B489D">
              <w:rPr>
                <w:rFonts w:cs="Arial"/>
                <w:b/>
                <w:snapToGrid w:val="0"/>
                <w:sz w:val="16"/>
                <w:szCs w:val="16"/>
              </w:rPr>
              <w:t>Celkem</w:t>
            </w:r>
          </w:p>
        </w:tc>
        <w:tc>
          <w:tcPr>
            <w:tcW w:w="1727" w:type="dxa"/>
            <w:shd w:val="clear" w:color="auto" w:fill="BFBFBF"/>
            <w:vAlign w:val="center"/>
          </w:tcPr>
          <w:p w14:paraId="3A10D579" w14:textId="77777777" w:rsidR="002A24B5" w:rsidRPr="008B489D" w:rsidRDefault="002A24B5" w:rsidP="00FA3EE8">
            <w:pPr>
              <w:contextualSpacing/>
              <w:jc w:val="center"/>
              <w:rPr>
                <w:rFonts w:cs="Arial"/>
                <w:b/>
                <w:snapToGrid w:val="0"/>
                <w:sz w:val="16"/>
                <w:szCs w:val="16"/>
              </w:rPr>
            </w:pPr>
            <w:r w:rsidRPr="008B489D">
              <w:rPr>
                <w:rFonts w:cs="Arial"/>
                <w:b/>
                <w:snapToGrid w:val="0"/>
                <w:sz w:val="16"/>
                <w:szCs w:val="16"/>
              </w:rPr>
              <w:t>Celkem</w:t>
            </w:r>
          </w:p>
        </w:tc>
        <w:tc>
          <w:tcPr>
            <w:tcW w:w="1007" w:type="dxa"/>
            <w:shd w:val="clear" w:color="auto" w:fill="BFBFBF"/>
            <w:vAlign w:val="center"/>
          </w:tcPr>
          <w:p w14:paraId="32DA4AF7" w14:textId="77777777" w:rsidR="002A24B5" w:rsidRPr="008B489D" w:rsidRDefault="002A24B5" w:rsidP="00FA3EE8">
            <w:pPr>
              <w:contextualSpacing/>
              <w:jc w:val="center"/>
              <w:rPr>
                <w:rFonts w:cs="Arial"/>
                <w:b/>
                <w:snapToGrid w:val="0"/>
                <w:sz w:val="16"/>
                <w:szCs w:val="16"/>
              </w:rPr>
            </w:pPr>
            <w:r w:rsidRPr="008B489D">
              <w:rPr>
                <w:rFonts w:cs="Arial"/>
                <w:b/>
                <w:snapToGrid w:val="0"/>
                <w:sz w:val="16"/>
                <w:szCs w:val="16"/>
              </w:rPr>
              <w:t>Podíl</w:t>
            </w:r>
          </w:p>
        </w:tc>
      </w:tr>
      <w:tr w:rsidR="002A24B5" w:rsidRPr="008B489D" w14:paraId="2EE649A3" w14:textId="77777777" w:rsidTr="0042149D">
        <w:trPr>
          <w:cantSplit/>
          <w:trHeight w:val="19"/>
          <w:tblHeader/>
        </w:trPr>
        <w:tc>
          <w:tcPr>
            <w:tcW w:w="1757" w:type="dxa"/>
            <w:vMerge/>
            <w:shd w:val="clear" w:color="auto" w:fill="BFBFBF"/>
            <w:vAlign w:val="center"/>
          </w:tcPr>
          <w:p w14:paraId="2C879312" w14:textId="77777777" w:rsidR="002A24B5" w:rsidRPr="008B489D" w:rsidRDefault="002A24B5" w:rsidP="00FA3EE8">
            <w:pPr>
              <w:contextualSpacing/>
              <w:jc w:val="right"/>
              <w:rPr>
                <w:rFonts w:cs="Arial"/>
                <w:b/>
                <w:snapToGrid w:val="0"/>
                <w:sz w:val="16"/>
                <w:szCs w:val="16"/>
              </w:rPr>
            </w:pPr>
          </w:p>
        </w:tc>
        <w:tc>
          <w:tcPr>
            <w:tcW w:w="1295" w:type="dxa"/>
            <w:shd w:val="clear" w:color="auto" w:fill="BFBFBF"/>
            <w:vAlign w:val="center"/>
          </w:tcPr>
          <w:p w14:paraId="6821DB66" w14:textId="77777777" w:rsidR="002A24B5" w:rsidRPr="008B489D" w:rsidRDefault="002A24B5" w:rsidP="00FA3EE8">
            <w:pPr>
              <w:contextualSpacing/>
              <w:jc w:val="center"/>
              <w:rPr>
                <w:rFonts w:cs="Arial"/>
                <w:snapToGrid w:val="0"/>
                <w:sz w:val="16"/>
                <w:szCs w:val="16"/>
              </w:rPr>
            </w:pPr>
            <w:r w:rsidRPr="008B489D">
              <w:rPr>
                <w:rFonts w:cs="Arial"/>
                <w:snapToGrid w:val="0"/>
                <w:sz w:val="16"/>
                <w:szCs w:val="16"/>
              </w:rPr>
              <w:t>(počet)</w:t>
            </w:r>
          </w:p>
        </w:tc>
        <w:tc>
          <w:tcPr>
            <w:tcW w:w="2016" w:type="dxa"/>
            <w:shd w:val="clear" w:color="auto" w:fill="BFBFBF"/>
            <w:vAlign w:val="center"/>
          </w:tcPr>
          <w:p w14:paraId="75EACB4B" w14:textId="77777777" w:rsidR="002A24B5" w:rsidRPr="008B489D" w:rsidRDefault="002A24B5" w:rsidP="00FA3EE8">
            <w:pPr>
              <w:contextualSpacing/>
              <w:jc w:val="center"/>
              <w:rPr>
                <w:rFonts w:cs="Arial"/>
                <w:snapToGrid w:val="0"/>
                <w:sz w:val="16"/>
                <w:szCs w:val="16"/>
              </w:rPr>
            </w:pPr>
            <w:r w:rsidRPr="008B489D">
              <w:rPr>
                <w:rFonts w:cs="Arial"/>
                <w:snapToGrid w:val="0"/>
                <w:sz w:val="16"/>
                <w:szCs w:val="16"/>
              </w:rPr>
              <w:t>(%)</w:t>
            </w:r>
          </w:p>
        </w:tc>
        <w:tc>
          <w:tcPr>
            <w:tcW w:w="2014" w:type="dxa"/>
            <w:shd w:val="clear" w:color="auto" w:fill="BFBFBF"/>
            <w:vAlign w:val="center"/>
          </w:tcPr>
          <w:p w14:paraId="4B85E405" w14:textId="77777777" w:rsidR="002A24B5" w:rsidRPr="008B489D" w:rsidRDefault="002A24B5" w:rsidP="00FA3EE8">
            <w:pPr>
              <w:contextualSpacing/>
              <w:jc w:val="center"/>
              <w:rPr>
                <w:rFonts w:cs="Arial"/>
                <w:snapToGrid w:val="0"/>
                <w:sz w:val="16"/>
                <w:szCs w:val="16"/>
              </w:rPr>
            </w:pPr>
            <w:r w:rsidRPr="008B489D">
              <w:rPr>
                <w:rFonts w:cs="Arial"/>
                <w:snapToGrid w:val="0"/>
                <w:sz w:val="16"/>
                <w:szCs w:val="16"/>
              </w:rPr>
              <w:t>(tis. m</w:t>
            </w:r>
            <w:r w:rsidRPr="008B489D">
              <w:rPr>
                <w:rFonts w:cs="Arial"/>
                <w:snapToGrid w:val="0"/>
                <w:sz w:val="16"/>
                <w:szCs w:val="16"/>
                <w:vertAlign w:val="superscript"/>
              </w:rPr>
              <w:t>3</w:t>
            </w:r>
            <w:r w:rsidRPr="008B489D">
              <w:rPr>
                <w:rFonts w:cs="Arial"/>
                <w:snapToGrid w:val="0"/>
                <w:sz w:val="16"/>
                <w:szCs w:val="16"/>
              </w:rPr>
              <w:t>)</w:t>
            </w:r>
          </w:p>
        </w:tc>
        <w:tc>
          <w:tcPr>
            <w:tcW w:w="1727" w:type="dxa"/>
            <w:shd w:val="clear" w:color="auto" w:fill="BFBFBF"/>
            <w:vAlign w:val="center"/>
          </w:tcPr>
          <w:p w14:paraId="6A8983AF" w14:textId="77777777" w:rsidR="002A24B5" w:rsidRPr="008B489D" w:rsidRDefault="002A24B5" w:rsidP="00FA3EE8">
            <w:pPr>
              <w:contextualSpacing/>
              <w:jc w:val="center"/>
              <w:rPr>
                <w:rFonts w:cs="Arial"/>
                <w:snapToGrid w:val="0"/>
                <w:sz w:val="16"/>
                <w:szCs w:val="16"/>
              </w:rPr>
            </w:pPr>
            <w:r w:rsidRPr="008B489D">
              <w:rPr>
                <w:rFonts w:cs="Arial"/>
                <w:snapToGrid w:val="0"/>
                <w:sz w:val="16"/>
                <w:szCs w:val="16"/>
              </w:rPr>
              <w:t>(tis. m</w:t>
            </w:r>
            <w:r w:rsidRPr="008B489D">
              <w:rPr>
                <w:rFonts w:cs="Arial"/>
                <w:snapToGrid w:val="0"/>
                <w:sz w:val="16"/>
                <w:szCs w:val="16"/>
                <w:vertAlign w:val="superscript"/>
              </w:rPr>
              <w:t>3</w:t>
            </w:r>
            <w:r w:rsidRPr="008B489D">
              <w:rPr>
                <w:rFonts w:cs="Arial"/>
                <w:snapToGrid w:val="0"/>
                <w:sz w:val="16"/>
                <w:szCs w:val="16"/>
              </w:rPr>
              <w:t>)</w:t>
            </w:r>
          </w:p>
        </w:tc>
        <w:tc>
          <w:tcPr>
            <w:tcW w:w="1007" w:type="dxa"/>
            <w:shd w:val="clear" w:color="auto" w:fill="BFBFBF"/>
            <w:vAlign w:val="center"/>
          </w:tcPr>
          <w:p w14:paraId="388DB1AF" w14:textId="77777777" w:rsidR="002A24B5" w:rsidRPr="008B489D" w:rsidRDefault="002A24B5" w:rsidP="00FA3EE8">
            <w:pPr>
              <w:contextualSpacing/>
              <w:jc w:val="center"/>
              <w:rPr>
                <w:rFonts w:cs="Arial"/>
                <w:snapToGrid w:val="0"/>
                <w:sz w:val="16"/>
                <w:szCs w:val="16"/>
              </w:rPr>
            </w:pPr>
            <w:r w:rsidRPr="008B489D">
              <w:rPr>
                <w:rFonts w:cs="Arial"/>
                <w:snapToGrid w:val="0"/>
                <w:sz w:val="16"/>
                <w:szCs w:val="16"/>
              </w:rPr>
              <w:t>(%)</w:t>
            </w:r>
          </w:p>
        </w:tc>
      </w:tr>
      <w:tr w:rsidR="0042149D" w:rsidRPr="008B489D" w14:paraId="56FF334B" w14:textId="77777777" w:rsidTr="008B489D">
        <w:trPr>
          <w:trHeight w:val="230"/>
        </w:trPr>
        <w:tc>
          <w:tcPr>
            <w:tcW w:w="1757" w:type="dxa"/>
            <w:shd w:val="solid" w:color="FFFFFF" w:fill="auto"/>
            <w:vAlign w:val="center"/>
          </w:tcPr>
          <w:p w14:paraId="53A3BB7E" w14:textId="77777777" w:rsidR="0042149D" w:rsidRPr="008B489D" w:rsidRDefault="0042149D" w:rsidP="0042149D">
            <w:pPr>
              <w:contextualSpacing/>
              <w:jc w:val="left"/>
              <w:rPr>
                <w:rFonts w:cs="Arial"/>
                <w:snapToGrid w:val="0"/>
                <w:sz w:val="16"/>
                <w:szCs w:val="16"/>
              </w:rPr>
            </w:pPr>
            <w:r w:rsidRPr="008B489D">
              <w:rPr>
                <w:rFonts w:cs="Arial"/>
                <w:snapToGrid w:val="0"/>
                <w:sz w:val="16"/>
                <w:szCs w:val="16"/>
              </w:rPr>
              <w:t>Hl. město Praha</w:t>
            </w:r>
          </w:p>
        </w:tc>
        <w:tc>
          <w:tcPr>
            <w:tcW w:w="1295" w:type="dxa"/>
            <w:tcMar>
              <w:right w:w="284" w:type="dxa"/>
            </w:tcMar>
          </w:tcPr>
          <w:p w14:paraId="4B5CC357" w14:textId="581BE19A" w:rsidR="0042149D" w:rsidRPr="008B489D" w:rsidRDefault="0042149D" w:rsidP="0042149D">
            <w:pPr>
              <w:contextualSpacing/>
              <w:jc w:val="right"/>
              <w:rPr>
                <w:rFonts w:cs="Arial"/>
                <w:sz w:val="16"/>
                <w:szCs w:val="16"/>
              </w:rPr>
            </w:pPr>
            <w:r w:rsidRPr="008B489D">
              <w:rPr>
                <w:sz w:val="16"/>
                <w:szCs w:val="16"/>
              </w:rPr>
              <w:t>1 398 674</w:t>
            </w:r>
          </w:p>
        </w:tc>
        <w:tc>
          <w:tcPr>
            <w:tcW w:w="2016" w:type="dxa"/>
            <w:tcMar>
              <w:right w:w="284" w:type="dxa"/>
            </w:tcMar>
            <w:vAlign w:val="center"/>
          </w:tcPr>
          <w:p w14:paraId="40BEB008" w14:textId="40AAACCF" w:rsidR="0042149D" w:rsidRPr="008B489D" w:rsidRDefault="0042149D" w:rsidP="0042149D">
            <w:pPr>
              <w:contextualSpacing/>
              <w:jc w:val="right"/>
              <w:rPr>
                <w:rFonts w:cs="Arial"/>
                <w:sz w:val="16"/>
                <w:szCs w:val="16"/>
              </w:rPr>
            </w:pPr>
            <w:r w:rsidRPr="008B489D">
              <w:rPr>
                <w:sz w:val="16"/>
                <w:szCs w:val="16"/>
              </w:rPr>
              <w:t>100,0</w:t>
            </w:r>
          </w:p>
        </w:tc>
        <w:tc>
          <w:tcPr>
            <w:tcW w:w="2014" w:type="dxa"/>
            <w:shd w:val="solid" w:color="FFFFFF" w:fill="auto"/>
            <w:tcMar>
              <w:right w:w="284" w:type="dxa"/>
            </w:tcMar>
            <w:vAlign w:val="center"/>
          </w:tcPr>
          <w:p w14:paraId="6E73EB0F" w14:textId="6EB44F32" w:rsidR="0042149D" w:rsidRPr="008B489D" w:rsidRDefault="0042149D" w:rsidP="0042149D">
            <w:pPr>
              <w:contextualSpacing/>
              <w:jc w:val="right"/>
              <w:rPr>
                <w:rFonts w:cs="Arial"/>
                <w:sz w:val="16"/>
                <w:szCs w:val="16"/>
              </w:rPr>
            </w:pPr>
            <w:r w:rsidRPr="008B489D">
              <w:rPr>
                <w:sz w:val="16"/>
                <w:szCs w:val="16"/>
              </w:rPr>
              <w:t>80 608</w:t>
            </w:r>
          </w:p>
        </w:tc>
        <w:tc>
          <w:tcPr>
            <w:tcW w:w="1727" w:type="dxa"/>
            <w:shd w:val="solid" w:color="FFFFFF" w:fill="auto"/>
            <w:tcMar>
              <w:right w:w="284" w:type="dxa"/>
            </w:tcMar>
            <w:vAlign w:val="center"/>
          </w:tcPr>
          <w:p w14:paraId="700D9B94" w14:textId="164F34BE" w:rsidR="0042149D" w:rsidRPr="008B489D" w:rsidRDefault="0042149D" w:rsidP="0042149D">
            <w:pPr>
              <w:contextualSpacing/>
              <w:jc w:val="right"/>
              <w:rPr>
                <w:rFonts w:cs="Arial"/>
                <w:sz w:val="16"/>
                <w:szCs w:val="16"/>
              </w:rPr>
            </w:pPr>
            <w:r w:rsidRPr="008B489D">
              <w:rPr>
                <w:sz w:val="16"/>
                <w:szCs w:val="16"/>
              </w:rPr>
              <w:t>80 608</w:t>
            </w:r>
          </w:p>
        </w:tc>
        <w:tc>
          <w:tcPr>
            <w:tcW w:w="1007" w:type="dxa"/>
            <w:shd w:val="solid" w:color="FFFFFF" w:fill="auto"/>
            <w:tcMar>
              <w:right w:w="284" w:type="dxa"/>
            </w:tcMar>
            <w:vAlign w:val="center"/>
          </w:tcPr>
          <w:p w14:paraId="551663CB" w14:textId="77A70EFF" w:rsidR="0042149D" w:rsidRPr="008B489D" w:rsidRDefault="0042149D" w:rsidP="0042149D">
            <w:pPr>
              <w:contextualSpacing/>
              <w:jc w:val="right"/>
              <w:rPr>
                <w:rFonts w:cs="Arial"/>
                <w:sz w:val="16"/>
                <w:szCs w:val="16"/>
              </w:rPr>
            </w:pPr>
            <w:r w:rsidRPr="008B489D">
              <w:rPr>
                <w:sz w:val="16"/>
                <w:szCs w:val="16"/>
              </w:rPr>
              <w:t>100,0</w:t>
            </w:r>
          </w:p>
        </w:tc>
      </w:tr>
      <w:tr w:rsidR="0042149D" w:rsidRPr="008B489D" w14:paraId="35FAAD3F" w14:textId="77777777" w:rsidTr="008B489D">
        <w:trPr>
          <w:trHeight w:val="230"/>
        </w:trPr>
        <w:tc>
          <w:tcPr>
            <w:tcW w:w="1757" w:type="dxa"/>
            <w:shd w:val="solid" w:color="FFFFFF" w:fill="auto"/>
            <w:vAlign w:val="center"/>
          </w:tcPr>
          <w:p w14:paraId="175FA834" w14:textId="77777777" w:rsidR="0042149D" w:rsidRPr="008B489D" w:rsidRDefault="0042149D" w:rsidP="0042149D">
            <w:pPr>
              <w:contextualSpacing/>
              <w:jc w:val="left"/>
              <w:rPr>
                <w:rFonts w:cs="Arial"/>
                <w:snapToGrid w:val="0"/>
                <w:sz w:val="16"/>
                <w:szCs w:val="16"/>
              </w:rPr>
            </w:pPr>
            <w:r w:rsidRPr="008B489D">
              <w:rPr>
                <w:rFonts w:cs="Arial"/>
                <w:snapToGrid w:val="0"/>
                <w:sz w:val="16"/>
                <w:szCs w:val="16"/>
              </w:rPr>
              <w:t>Středočeský kraj</w:t>
            </w:r>
          </w:p>
        </w:tc>
        <w:tc>
          <w:tcPr>
            <w:tcW w:w="1295" w:type="dxa"/>
            <w:tcMar>
              <w:right w:w="284" w:type="dxa"/>
            </w:tcMar>
          </w:tcPr>
          <w:p w14:paraId="4BC49234" w14:textId="5EF752C2" w:rsidR="0042149D" w:rsidRPr="008B489D" w:rsidRDefault="0042149D" w:rsidP="0042149D">
            <w:pPr>
              <w:contextualSpacing/>
              <w:jc w:val="right"/>
              <w:rPr>
                <w:rFonts w:cs="Arial"/>
                <w:sz w:val="16"/>
                <w:szCs w:val="16"/>
              </w:rPr>
            </w:pPr>
            <w:r w:rsidRPr="008B489D">
              <w:rPr>
                <w:sz w:val="16"/>
                <w:szCs w:val="16"/>
              </w:rPr>
              <w:t>1 303 212</w:t>
            </w:r>
          </w:p>
        </w:tc>
        <w:tc>
          <w:tcPr>
            <w:tcW w:w="2016" w:type="dxa"/>
            <w:tcMar>
              <w:right w:w="284" w:type="dxa"/>
            </w:tcMar>
            <w:vAlign w:val="center"/>
          </w:tcPr>
          <w:p w14:paraId="4F29C163" w14:textId="512EBBB6" w:rsidR="0042149D" w:rsidRPr="008B489D" w:rsidRDefault="0042149D" w:rsidP="0042149D">
            <w:pPr>
              <w:contextualSpacing/>
              <w:jc w:val="right"/>
              <w:rPr>
                <w:rFonts w:cs="Arial"/>
                <w:sz w:val="16"/>
                <w:szCs w:val="16"/>
              </w:rPr>
            </w:pPr>
            <w:r w:rsidRPr="008B489D">
              <w:rPr>
                <w:sz w:val="16"/>
                <w:szCs w:val="16"/>
              </w:rPr>
              <w:t>88,7</w:t>
            </w:r>
          </w:p>
        </w:tc>
        <w:tc>
          <w:tcPr>
            <w:tcW w:w="2014" w:type="dxa"/>
            <w:shd w:val="solid" w:color="FFFFFF" w:fill="auto"/>
            <w:tcMar>
              <w:right w:w="284" w:type="dxa"/>
            </w:tcMar>
            <w:vAlign w:val="center"/>
          </w:tcPr>
          <w:p w14:paraId="0FECCD68" w14:textId="08E409CA" w:rsidR="0042149D" w:rsidRPr="008B489D" w:rsidRDefault="0042149D" w:rsidP="0042149D">
            <w:pPr>
              <w:contextualSpacing/>
              <w:jc w:val="right"/>
              <w:rPr>
                <w:rFonts w:cs="Arial"/>
                <w:sz w:val="16"/>
                <w:szCs w:val="16"/>
              </w:rPr>
            </w:pPr>
            <w:r w:rsidRPr="008B489D">
              <w:rPr>
                <w:sz w:val="16"/>
                <w:szCs w:val="16"/>
              </w:rPr>
              <w:t>55 891</w:t>
            </w:r>
          </w:p>
        </w:tc>
        <w:tc>
          <w:tcPr>
            <w:tcW w:w="1727" w:type="dxa"/>
            <w:shd w:val="solid" w:color="FFFFFF" w:fill="auto"/>
            <w:tcMar>
              <w:right w:w="284" w:type="dxa"/>
            </w:tcMar>
            <w:vAlign w:val="center"/>
          </w:tcPr>
          <w:p w14:paraId="0A90CB7A" w14:textId="2F58479A" w:rsidR="0042149D" w:rsidRPr="008B489D" w:rsidRDefault="0042149D" w:rsidP="0042149D">
            <w:pPr>
              <w:contextualSpacing/>
              <w:jc w:val="right"/>
              <w:rPr>
                <w:rFonts w:cs="Arial"/>
                <w:sz w:val="16"/>
                <w:szCs w:val="16"/>
              </w:rPr>
            </w:pPr>
            <w:r w:rsidRPr="008B489D">
              <w:rPr>
                <w:sz w:val="16"/>
                <w:szCs w:val="16"/>
              </w:rPr>
              <w:t>55 859</w:t>
            </w:r>
          </w:p>
        </w:tc>
        <w:tc>
          <w:tcPr>
            <w:tcW w:w="1007" w:type="dxa"/>
            <w:shd w:val="solid" w:color="FFFFFF" w:fill="auto"/>
            <w:tcMar>
              <w:right w:w="284" w:type="dxa"/>
            </w:tcMar>
            <w:vAlign w:val="center"/>
          </w:tcPr>
          <w:p w14:paraId="6FDABFBD" w14:textId="68BFA1C7" w:rsidR="0042149D" w:rsidRPr="008B489D" w:rsidRDefault="0042149D" w:rsidP="0042149D">
            <w:pPr>
              <w:contextualSpacing/>
              <w:jc w:val="right"/>
              <w:rPr>
                <w:rFonts w:cs="Arial"/>
                <w:sz w:val="16"/>
                <w:szCs w:val="16"/>
              </w:rPr>
            </w:pPr>
            <w:r w:rsidRPr="008B489D">
              <w:rPr>
                <w:sz w:val="16"/>
                <w:szCs w:val="16"/>
              </w:rPr>
              <w:t>99,9</w:t>
            </w:r>
          </w:p>
        </w:tc>
      </w:tr>
      <w:tr w:rsidR="0042149D" w:rsidRPr="008B489D" w14:paraId="4E5A2BFC" w14:textId="77777777" w:rsidTr="008B489D">
        <w:trPr>
          <w:trHeight w:val="230"/>
        </w:trPr>
        <w:tc>
          <w:tcPr>
            <w:tcW w:w="1757" w:type="dxa"/>
            <w:shd w:val="solid" w:color="FFFFFF" w:fill="auto"/>
            <w:vAlign w:val="center"/>
          </w:tcPr>
          <w:p w14:paraId="6CD51FD4" w14:textId="77777777" w:rsidR="0042149D" w:rsidRPr="008B489D" w:rsidRDefault="0042149D" w:rsidP="0042149D">
            <w:pPr>
              <w:contextualSpacing/>
              <w:jc w:val="left"/>
              <w:rPr>
                <w:rFonts w:cs="Arial"/>
                <w:snapToGrid w:val="0"/>
                <w:sz w:val="16"/>
                <w:szCs w:val="16"/>
              </w:rPr>
            </w:pPr>
            <w:r w:rsidRPr="008B489D">
              <w:rPr>
                <w:rFonts w:cs="Arial"/>
                <w:snapToGrid w:val="0"/>
                <w:sz w:val="16"/>
                <w:szCs w:val="16"/>
              </w:rPr>
              <w:t>Jihočeský kraj</w:t>
            </w:r>
          </w:p>
        </w:tc>
        <w:tc>
          <w:tcPr>
            <w:tcW w:w="1295" w:type="dxa"/>
            <w:tcMar>
              <w:right w:w="284" w:type="dxa"/>
            </w:tcMar>
          </w:tcPr>
          <w:p w14:paraId="4732EEF8" w14:textId="1AAE5066" w:rsidR="0042149D" w:rsidRPr="008B489D" w:rsidRDefault="0042149D" w:rsidP="0042149D">
            <w:pPr>
              <w:contextualSpacing/>
              <w:jc w:val="right"/>
              <w:rPr>
                <w:rFonts w:cs="Arial"/>
                <w:sz w:val="16"/>
                <w:szCs w:val="16"/>
              </w:rPr>
            </w:pPr>
            <w:r w:rsidRPr="008B489D">
              <w:rPr>
                <w:sz w:val="16"/>
                <w:szCs w:val="16"/>
              </w:rPr>
              <w:t>554 572</w:t>
            </w:r>
          </w:p>
        </w:tc>
        <w:tc>
          <w:tcPr>
            <w:tcW w:w="2016" w:type="dxa"/>
            <w:tcMar>
              <w:right w:w="284" w:type="dxa"/>
            </w:tcMar>
            <w:vAlign w:val="center"/>
          </w:tcPr>
          <w:p w14:paraId="080669C1" w14:textId="2C4F0B42" w:rsidR="0042149D" w:rsidRPr="008B489D" w:rsidRDefault="0042149D" w:rsidP="0042149D">
            <w:pPr>
              <w:contextualSpacing/>
              <w:jc w:val="right"/>
              <w:rPr>
                <w:rFonts w:cs="Arial"/>
                <w:sz w:val="16"/>
                <w:szCs w:val="16"/>
              </w:rPr>
            </w:pPr>
            <w:r w:rsidRPr="008B489D">
              <w:rPr>
                <w:sz w:val="16"/>
                <w:szCs w:val="16"/>
              </w:rPr>
              <w:t>85,0</w:t>
            </w:r>
          </w:p>
        </w:tc>
        <w:tc>
          <w:tcPr>
            <w:tcW w:w="2014" w:type="dxa"/>
            <w:shd w:val="solid" w:color="FFFFFF" w:fill="auto"/>
            <w:tcMar>
              <w:right w:w="284" w:type="dxa"/>
            </w:tcMar>
            <w:vAlign w:val="center"/>
          </w:tcPr>
          <w:p w14:paraId="7913B36D" w14:textId="6F6FB146" w:rsidR="0042149D" w:rsidRPr="008B489D" w:rsidRDefault="0042149D" w:rsidP="0042149D">
            <w:pPr>
              <w:contextualSpacing/>
              <w:jc w:val="right"/>
              <w:rPr>
                <w:rFonts w:cs="Arial"/>
                <w:sz w:val="16"/>
                <w:szCs w:val="16"/>
              </w:rPr>
            </w:pPr>
            <w:r w:rsidRPr="008B489D">
              <w:rPr>
                <w:sz w:val="16"/>
                <w:szCs w:val="16"/>
              </w:rPr>
              <w:t>27 831</w:t>
            </w:r>
          </w:p>
        </w:tc>
        <w:tc>
          <w:tcPr>
            <w:tcW w:w="1727" w:type="dxa"/>
            <w:shd w:val="solid" w:color="FFFFFF" w:fill="auto"/>
            <w:tcMar>
              <w:right w:w="284" w:type="dxa"/>
            </w:tcMar>
            <w:vAlign w:val="center"/>
          </w:tcPr>
          <w:p w14:paraId="03D76426" w14:textId="2AF0C384" w:rsidR="0042149D" w:rsidRPr="008B489D" w:rsidRDefault="0042149D" w:rsidP="0042149D">
            <w:pPr>
              <w:contextualSpacing/>
              <w:jc w:val="right"/>
              <w:rPr>
                <w:rFonts w:cs="Arial"/>
                <w:sz w:val="16"/>
                <w:szCs w:val="16"/>
              </w:rPr>
            </w:pPr>
            <w:r w:rsidRPr="008B489D">
              <w:rPr>
                <w:sz w:val="16"/>
                <w:szCs w:val="16"/>
              </w:rPr>
              <w:t>26 873</w:t>
            </w:r>
          </w:p>
        </w:tc>
        <w:tc>
          <w:tcPr>
            <w:tcW w:w="1007" w:type="dxa"/>
            <w:shd w:val="solid" w:color="FFFFFF" w:fill="auto"/>
            <w:tcMar>
              <w:right w:w="284" w:type="dxa"/>
            </w:tcMar>
            <w:vAlign w:val="center"/>
          </w:tcPr>
          <w:p w14:paraId="7929A98B" w14:textId="718966CF" w:rsidR="0042149D" w:rsidRPr="008B489D" w:rsidRDefault="0042149D" w:rsidP="0042149D">
            <w:pPr>
              <w:contextualSpacing/>
              <w:jc w:val="right"/>
              <w:rPr>
                <w:rFonts w:cs="Arial"/>
                <w:sz w:val="16"/>
                <w:szCs w:val="16"/>
              </w:rPr>
            </w:pPr>
            <w:r w:rsidRPr="008B489D">
              <w:rPr>
                <w:sz w:val="16"/>
                <w:szCs w:val="16"/>
              </w:rPr>
              <w:t>96,6</w:t>
            </w:r>
          </w:p>
        </w:tc>
      </w:tr>
      <w:tr w:rsidR="0042149D" w:rsidRPr="008B489D" w14:paraId="653F1A11" w14:textId="77777777" w:rsidTr="008B489D">
        <w:trPr>
          <w:trHeight w:val="230"/>
        </w:trPr>
        <w:tc>
          <w:tcPr>
            <w:tcW w:w="1757" w:type="dxa"/>
            <w:shd w:val="solid" w:color="FFFFFF" w:fill="auto"/>
            <w:vAlign w:val="center"/>
          </w:tcPr>
          <w:p w14:paraId="7456515D" w14:textId="77777777" w:rsidR="0042149D" w:rsidRPr="008B489D" w:rsidRDefault="0042149D" w:rsidP="0042149D">
            <w:pPr>
              <w:contextualSpacing/>
              <w:jc w:val="left"/>
              <w:rPr>
                <w:rFonts w:cs="Arial"/>
                <w:snapToGrid w:val="0"/>
                <w:sz w:val="16"/>
                <w:szCs w:val="16"/>
              </w:rPr>
            </w:pPr>
            <w:r w:rsidRPr="008B489D">
              <w:rPr>
                <w:rFonts w:cs="Arial"/>
                <w:snapToGrid w:val="0"/>
                <w:sz w:val="16"/>
                <w:szCs w:val="16"/>
              </w:rPr>
              <w:t>Plzeňský kraj</w:t>
            </w:r>
          </w:p>
        </w:tc>
        <w:tc>
          <w:tcPr>
            <w:tcW w:w="1295" w:type="dxa"/>
            <w:tcMar>
              <w:right w:w="284" w:type="dxa"/>
            </w:tcMar>
          </w:tcPr>
          <w:p w14:paraId="2E7C4F6D" w14:textId="3F39F475" w:rsidR="0042149D" w:rsidRPr="008B489D" w:rsidRDefault="0042149D" w:rsidP="0042149D">
            <w:pPr>
              <w:contextualSpacing/>
              <w:jc w:val="right"/>
              <w:rPr>
                <w:rFonts w:cs="Arial"/>
                <w:sz w:val="16"/>
                <w:szCs w:val="16"/>
              </w:rPr>
            </w:pPr>
            <w:r w:rsidRPr="008B489D">
              <w:rPr>
                <w:sz w:val="16"/>
                <w:szCs w:val="16"/>
              </w:rPr>
              <w:t>546 376</w:t>
            </w:r>
          </w:p>
        </w:tc>
        <w:tc>
          <w:tcPr>
            <w:tcW w:w="2016" w:type="dxa"/>
            <w:tcMar>
              <w:right w:w="284" w:type="dxa"/>
            </w:tcMar>
            <w:vAlign w:val="center"/>
          </w:tcPr>
          <w:p w14:paraId="71FFDF23" w14:textId="2D63FDA7" w:rsidR="0042149D" w:rsidRPr="008B489D" w:rsidRDefault="0042149D" w:rsidP="0042149D">
            <w:pPr>
              <w:contextualSpacing/>
              <w:jc w:val="right"/>
              <w:rPr>
                <w:rFonts w:cs="Arial"/>
                <w:sz w:val="16"/>
                <w:szCs w:val="16"/>
              </w:rPr>
            </w:pPr>
            <w:r w:rsidRPr="008B489D">
              <w:rPr>
                <w:sz w:val="16"/>
                <w:szCs w:val="16"/>
              </w:rPr>
              <w:t>89,3</w:t>
            </w:r>
          </w:p>
        </w:tc>
        <w:tc>
          <w:tcPr>
            <w:tcW w:w="2014" w:type="dxa"/>
            <w:shd w:val="solid" w:color="FFFFFF" w:fill="auto"/>
            <w:tcMar>
              <w:right w:w="284" w:type="dxa"/>
            </w:tcMar>
            <w:vAlign w:val="center"/>
          </w:tcPr>
          <w:p w14:paraId="00203A0E" w14:textId="7006BEA4" w:rsidR="0042149D" w:rsidRPr="008B489D" w:rsidRDefault="0042149D" w:rsidP="0042149D">
            <w:pPr>
              <w:contextualSpacing/>
              <w:jc w:val="right"/>
              <w:rPr>
                <w:rFonts w:cs="Arial"/>
                <w:sz w:val="16"/>
                <w:szCs w:val="16"/>
              </w:rPr>
            </w:pPr>
            <w:r w:rsidRPr="008B489D">
              <w:rPr>
                <w:sz w:val="16"/>
                <w:szCs w:val="16"/>
              </w:rPr>
              <w:t>27 244</w:t>
            </w:r>
          </w:p>
        </w:tc>
        <w:tc>
          <w:tcPr>
            <w:tcW w:w="1727" w:type="dxa"/>
            <w:shd w:val="solid" w:color="FFFFFF" w:fill="auto"/>
            <w:tcMar>
              <w:right w:w="284" w:type="dxa"/>
            </w:tcMar>
            <w:vAlign w:val="center"/>
          </w:tcPr>
          <w:p w14:paraId="6F5FD3C5" w14:textId="4DCC84A6" w:rsidR="0042149D" w:rsidRPr="008B489D" w:rsidRDefault="0042149D" w:rsidP="0042149D">
            <w:pPr>
              <w:contextualSpacing/>
              <w:jc w:val="right"/>
              <w:rPr>
                <w:rFonts w:cs="Arial"/>
                <w:sz w:val="16"/>
                <w:szCs w:val="16"/>
              </w:rPr>
            </w:pPr>
            <w:r w:rsidRPr="008B489D">
              <w:rPr>
                <w:sz w:val="16"/>
                <w:szCs w:val="16"/>
              </w:rPr>
              <w:t>25 962</w:t>
            </w:r>
          </w:p>
        </w:tc>
        <w:tc>
          <w:tcPr>
            <w:tcW w:w="1007" w:type="dxa"/>
            <w:shd w:val="solid" w:color="FFFFFF" w:fill="auto"/>
            <w:tcMar>
              <w:right w:w="284" w:type="dxa"/>
            </w:tcMar>
            <w:vAlign w:val="center"/>
          </w:tcPr>
          <w:p w14:paraId="4A4C1E9C" w14:textId="3A09C3E0" w:rsidR="0042149D" w:rsidRPr="008B489D" w:rsidRDefault="0042149D" w:rsidP="0042149D">
            <w:pPr>
              <w:contextualSpacing/>
              <w:jc w:val="right"/>
              <w:rPr>
                <w:rFonts w:cs="Arial"/>
                <w:sz w:val="16"/>
                <w:szCs w:val="16"/>
              </w:rPr>
            </w:pPr>
            <w:r w:rsidRPr="008B489D">
              <w:rPr>
                <w:sz w:val="16"/>
                <w:szCs w:val="16"/>
              </w:rPr>
              <w:t>95,3</w:t>
            </w:r>
          </w:p>
        </w:tc>
      </w:tr>
      <w:tr w:rsidR="0042149D" w:rsidRPr="008B489D" w14:paraId="16A897A9" w14:textId="77777777" w:rsidTr="008B489D">
        <w:trPr>
          <w:trHeight w:val="230"/>
        </w:trPr>
        <w:tc>
          <w:tcPr>
            <w:tcW w:w="1757" w:type="dxa"/>
            <w:shd w:val="solid" w:color="FFFFFF" w:fill="auto"/>
            <w:vAlign w:val="center"/>
          </w:tcPr>
          <w:p w14:paraId="40D7DE62" w14:textId="77777777" w:rsidR="0042149D" w:rsidRPr="008B489D" w:rsidRDefault="0042149D" w:rsidP="0042149D">
            <w:pPr>
              <w:contextualSpacing/>
              <w:jc w:val="left"/>
              <w:rPr>
                <w:rFonts w:cs="Arial"/>
                <w:snapToGrid w:val="0"/>
                <w:sz w:val="16"/>
                <w:szCs w:val="16"/>
              </w:rPr>
            </w:pPr>
            <w:r w:rsidRPr="008B489D">
              <w:rPr>
                <w:rFonts w:cs="Arial"/>
                <w:snapToGrid w:val="0"/>
                <w:sz w:val="16"/>
                <w:szCs w:val="16"/>
              </w:rPr>
              <w:t>Karlovarský kraj</w:t>
            </w:r>
          </w:p>
        </w:tc>
        <w:tc>
          <w:tcPr>
            <w:tcW w:w="1295" w:type="dxa"/>
            <w:tcMar>
              <w:right w:w="284" w:type="dxa"/>
            </w:tcMar>
          </w:tcPr>
          <w:p w14:paraId="347B3822" w14:textId="23AC2D9C" w:rsidR="0042149D" w:rsidRPr="008B489D" w:rsidRDefault="0042149D" w:rsidP="0042149D">
            <w:pPr>
              <w:contextualSpacing/>
              <w:jc w:val="right"/>
              <w:rPr>
                <w:rFonts w:cs="Arial"/>
                <w:sz w:val="16"/>
                <w:szCs w:val="16"/>
              </w:rPr>
            </w:pPr>
            <w:r w:rsidRPr="008B489D">
              <w:rPr>
                <w:sz w:val="16"/>
                <w:szCs w:val="16"/>
              </w:rPr>
              <w:t>270 946</w:t>
            </w:r>
          </w:p>
        </w:tc>
        <w:tc>
          <w:tcPr>
            <w:tcW w:w="2016" w:type="dxa"/>
            <w:tcMar>
              <w:right w:w="284" w:type="dxa"/>
            </w:tcMar>
            <w:vAlign w:val="center"/>
          </w:tcPr>
          <w:p w14:paraId="762544B8" w14:textId="1F5E8D38" w:rsidR="0042149D" w:rsidRPr="008B489D" w:rsidRDefault="0042149D" w:rsidP="0042149D">
            <w:pPr>
              <w:contextualSpacing/>
              <w:jc w:val="right"/>
              <w:rPr>
                <w:rFonts w:cs="Arial"/>
                <w:sz w:val="16"/>
                <w:szCs w:val="16"/>
              </w:rPr>
            </w:pPr>
            <w:r w:rsidRPr="008B489D">
              <w:rPr>
                <w:sz w:val="16"/>
                <w:szCs w:val="16"/>
              </w:rPr>
              <w:t>92,8</w:t>
            </w:r>
          </w:p>
        </w:tc>
        <w:tc>
          <w:tcPr>
            <w:tcW w:w="2014" w:type="dxa"/>
            <w:shd w:val="solid" w:color="FFFFFF" w:fill="auto"/>
            <w:tcMar>
              <w:right w:w="284" w:type="dxa"/>
            </w:tcMar>
            <w:vAlign w:val="center"/>
          </w:tcPr>
          <w:p w14:paraId="0ECA34EB" w14:textId="095C6521" w:rsidR="0042149D" w:rsidRPr="008B489D" w:rsidRDefault="0042149D" w:rsidP="0042149D">
            <w:pPr>
              <w:contextualSpacing/>
              <w:jc w:val="right"/>
              <w:rPr>
                <w:rFonts w:cs="Arial"/>
                <w:sz w:val="16"/>
                <w:szCs w:val="16"/>
              </w:rPr>
            </w:pPr>
            <w:r w:rsidRPr="008B489D">
              <w:rPr>
                <w:sz w:val="16"/>
                <w:szCs w:val="16"/>
              </w:rPr>
              <w:t>13 357</w:t>
            </w:r>
          </w:p>
        </w:tc>
        <w:tc>
          <w:tcPr>
            <w:tcW w:w="1727" w:type="dxa"/>
            <w:shd w:val="solid" w:color="FFFFFF" w:fill="auto"/>
            <w:tcMar>
              <w:right w:w="284" w:type="dxa"/>
            </w:tcMar>
            <w:vAlign w:val="center"/>
          </w:tcPr>
          <w:p w14:paraId="7E5CC866" w14:textId="38A056EA" w:rsidR="0042149D" w:rsidRPr="008B489D" w:rsidRDefault="0042149D" w:rsidP="0042149D">
            <w:pPr>
              <w:contextualSpacing/>
              <w:jc w:val="right"/>
              <w:rPr>
                <w:rFonts w:cs="Arial"/>
                <w:sz w:val="16"/>
                <w:szCs w:val="16"/>
              </w:rPr>
            </w:pPr>
            <w:r w:rsidRPr="008B489D">
              <w:rPr>
                <w:sz w:val="16"/>
                <w:szCs w:val="16"/>
              </w:rPr>
              <w:t>13 353</w:t>
            </w:r>
          </w:p>
        </w:tc>
        <w:tc>
          <w:tcPr>
            <w:tcW w:w="1007" w:type="dxa"/>
            <w:shd w:val="solid" w:color="FFFFFF" w:fill="auto"/>
            <w:tcMar>
              <w:right w:w="284" w:type="dxa"/>
            </w:tcMar>
            <w:vAlign w:val="center"/>
          </w:tcPr>
          <w:p w14:paraId="4880F7A0" w14:textId="7A332420" w:rsidR="0042149D" w:rsidRPr="008B489D" w:rsidRDefault="0042149D" w:rsidP="0042149D">
            <w:pPr>
              <w:contextualSpacing/>
              <w:jc w:val="right"/>
              <w:rPr>
                <w:rFonts w:cs="Arial"/>
                <w:sz w:val="16"/>
                <w:szCs w:val="16"/>
              </w:rPr>
            </w:pPr>
            <w:r w:rsidRPr="008B489D">
              <w:rPr>
                <w:sz w:val="16"/>
                <w:szCs w:val="16"/>
              </w:rPr>
              <w:t>100,0</w:t>
            </w:r>
          </w:p>
        </w:tc>
      </w:tr>
      <w:tr w:rsidR="0042149D" w:rsidRPr="008B489D" w14:paraId="47823B7D" w14:textId="77777777" w:rsidTr="008B489D">
        <w:trPr>
          <w:trHeight w:val="230"/>
        </w:trPr>
        <w:tc>
          <w:tcPr>
            <w:tcW w:w="1757" w:type="dxa"/>
            <w:shd w:val="solid" w:color="FFFFFF" w:fill="auto"/>
            <w:vAlign w:val="center"/>
          </w:tcPr>
          <w:p w14:paraId="5CCEDC66" w14:textId="77777777" w:rsidR="0042149D" w:rsidRPr="008B489D" w:rsidRDefault="0042149D" w:rsidP="0042149D">
            <w:pPr>
              <w:contextualSpacing/>
              <w:jc w:val="left"/>
              <w:rPr>
                <w:rFonts w:cs="Arial"/>
                <w:snapToGrid w:val="0"/>
                <w:sz w:val="16"/>
                <w:szCs w:val="16"/>
              </w:rPr>
            </w:pPr>
            <w:r w:rsidRPr="008B489D">
              <w:rPr>
                <w:rFonts w:cs="Arial"/>
                <w:snapToGrid w:val="0"/>
                <w:sz w:val="16"/>
                <w:szCs w:val="16"/>
              </w:rPr>
              <w:t>Ústecký kraj</w:t>
            </w:r>
          </w:p>
        </w:tc>
        <w:tc>
          <w:tcPr>
            <w:tcW w:w="1295" w:type="dxa"/>
            <w:tcMar>
              <w:right w:w="284" w:type="dxa"/>
            </w:tcMar>
          </w:tcPr>
          <w:p w14:paraId="06EA2321" w14:textId="16FDC6A7" w:rsidR="0042149D" w:rsidRPr="008B489D" w:rsidRDefault="0042149D" w:rsidP="0042149D">
            <w:pPr>
              <w:contextualSpacing/>
              <w:jc w:val="right"/>
              <w:rPr>
                <w:rFonts w:cs="Arial"/>
                <w:sz w:val="16"/>
                <w:szCs w:val="16"/>
              </w:rPr>
            </w:pPr>
            <w:r w:rsidRPr="008B489D">
              <w:rPr>
                <w:sz w:val="16"/>
                <w:szCs w:val="16"/>
              </w:rPr>
              <w:t>723 213</w:t>
            </w:r>
          </w:p>
        </w:tc>
        <w:tc>
          <w:tcPr>
            <w:tcW w:w="2016" w:type="dxa"/>
            <w:tcMar>
              <w:right w:w="284" w:type="dxa"/>
            </w:tcMar>
            <w:vAlign w:val="center"/>
          </w:tcPr>
          <w:p w14:paraId="5F5255F2" w14:textId="20BAC538" w:rsidR="0042149D" w:rsidRPr="008B489D" w:rsidRDefault="0042149D" w:rsidP="0042149D">
            <w:pPr>
              <w:contextualSpacing/>
              <w:jc w:val="right"/>
              <w:rPr>
                <w:rFonts w:cs="Arial"/>
                <w:sz w:val="16"/>
                <w:szCs w:val="16"/>
              </w:rPr>
            </w:pPr>
            <w:r w:rsidRPr="008B489D">
              <w:rPr>
                <w:sz w:val="16"/>
                <w:szCs w:val="16"/>
              </w:rPr>
              <w:t>89,7</w:t>
            </w:r>
          </w:p>
        </w:tc>
        <w:tc>
          <w:tcPr>
            <w:tcW w:w="2014" w:type="dxa"/>
            <w:shd w:val="solid" w:color="FFFFFF" w:fill="auto"/>
            <w:tcMar>
              <w:right w:w="284" w:type="dxa"/>
            </w:tcMar>
            <w:vAlign w:val="center"/>
          </w:tcPr>
          <w:p w14:paraId="74B7FE27" w14:textId="382CB2F0" w:rsidR="0042149D" w:rsidRPr="008B489D" w:rsidRDefault="0042149D" w:rsidP="0042149D">
            <w:pPr>
              <w:contextualSpacing/>
              <w:jc w:val="right"/>
              <w:rPr>
                <w:rFonts w:cs="Arial"/>
                <w:sz w:val="16"/>
                <w:szCs w:val="16"/>
              </w:rPr>
            </w:pPr>
            <w:r w:rsidRPr="008B489D">
              <w:rPr>
                <w:sz w:val="16"/>
                <w:szCs w:val="16"/>
              </w:rPr>
              <w:t>65 852</w:t>
            </w:r>
          </w:p>
        </w:tc>
        <w:tc>
          <w:tcPr>
            <w:tcW w:w="1727" w:type="dxa"/>
            <w:shd w:val="solid" w:color="FFFFFF" w:fill="auto"/>
            <w:tcMar>
              <w:right w:w="284" w:type="dxa"/>
            </w:tcMar>
            <w:vAlign w:val="center"/>
          </w:tcPr>
          <w:p w14:paraId="519E04D2" w14:textId="25D96081" w:rsidR="0042149D" w:rsidRPr="008B489D" w:rsidRDefault="0042149D" w:rsidP="0042149D">
            <w:pPr>
              <w:contextualSpacing/>
              <w:jc w:val="right"/>
              <w:rPr>
                <w:rFonts w:cs="Arial"/>
                <w:sz w:val="16"/>
                <w:szCs w:val="16"/>
              </w:rPr>
            </w:pPr>
            <w:r w:rsidRPr="008B489D">
              <w:rPr>
                <w:sz w:val="16"/>
                <w:szCs w:val="16"/>
              </w:rPr>
              <w:t>65 450</w:t>
            </w:r>
          </w:p>
        </w:tc>
        <w:tc>
          <w:tcPr>
            <w:tcW w:w="1007" w:type="dxa"/>
            <w:shd w:val="solid" w:color="FFFFFF" w:fill="auto"/>
            <w:tcMar>
              <w:right w:w="284" w:type="dxa"/>
            </w:tcMar>
            <w:vAlign w:val="center"/>
          </w:tcPr>
          <w:p w14:paraId="362BC06F" w14:textId="1F57FB00" w:rsidR="0042149D" w:rsidRPr="008B489D" w:rsidRDefault="0042149D" w:rsidP="0042149D">
            <w:pPr>
              <w:contextualSpacing/>
              <w:jc w:val="right"/>
              <w:rPr>
                <w:rFonts w:cs="Arial"/>
                <w:sz w:val="16"/>
                <w:szCs w:val="16"/>
              </w:rPr>
            </w:pPr>
            <w:r w:rsidRPr="008B489D">
              <w:rPr>
                <w:sz w:val="16"/>
                <w:szCs w:val="16"/>
              </w:rPr>
              <w:t>99,4</w:t>
            </w:r>
          </w:p>
        </w:tc>
      </w:tr>
      <w:tr w:rsidR="0042149D" w:rsidRPr="008B489D" w14:paraId="0535B8A4" w14:textId="77777777" w:rsidTr="008B489D">
        <w:trPr>
          <w:trHeight w:val="230"/>
        </w:trPr>
        <w:tc>
          <w:tcPr>
            <w:tcW w:w="1757" w:type="dxa"/>
            <w:shd w:val="solid" w:color="FFFFFF" w:fill="auto"/>
            <w:vAlign w:val="center"/>
          </w:tcPr>
          <w:p w14:paraId="6A310A17" w14:textId="77777777" w:rsidR="0042149D" w:rsidRPr="008B489D" w:rsidRDefault="0042149D" w:rsidP="0042149D">
            <w:pPr>
              <w:contextualSpacing/>
              <w:jc w:val="left"/>
              <w:rPr>
                <w:rFonts w:cs="Arial"/>
                <w:snapToGrid w:val="0"/>
                <w:sz w:val="16"/>
                <w:szCs w:val="16"/>
              </w:rPr>
            </w:pPr>
            <w:r w:rsidRPr="008B489D">
              <w:rPr>
                <w:rFonts w:cs="Arial"/>
                <w:snapToGrid w:val="0"/>
                <w:sz w:val="16"/>
                <w:szCs w:val="16"/>
              </w:rPr>
              <w:t>Liberecký kraj</w:t>
            </w:r>
          </w:p>
        </w:tc>
        <w:tc>
          <w:tcPr>
            <w:tcW w:w="1295" w:type="dxa"/>
            <w:tcMar>
              <w:right w:w="284" w:type="dxa"/>
            </w:tcMar>
          </w:tcPr>
          <w:p w14:paraId="765D12D5" w14:textId="0D44E314" w:rsidR="0042149D" w:rsidRPr="008B489D" w:rsidRDefault="0042149D" w:rsidP="0042149D">
            <w:pPr>
              <w:contextualSpacing/>
              <w:jc w:val="right"/>
              <w:rPr>
                <w:rFonts w:cs="Arial"/>
                <w:sz w:val="16"/>
                <w:szCs w:val="16"/>
              </w:rPr>
            </w:pPr>
            <w:r w:rsidRPr="008B489D">
              <w:rPr>
                <w:sz w:val="16"/>
                <w:szCs w:val="16"/>
              </w:rPr>
              <w:t>335 479</w:t>
            </w:r>
          </w:p>
        </w:tc>
        <w:tc>
          <w:tcPr>
            <w:tcW w:w="2016" w:type="dxa"/>
            <w:tcMar>
              <w:right w:w="284" w:type="dxa"/>
            </w:tcMar>
            <w:vAlign w:val="center"/>
          </w:tcPr>
          <w:p w14:paraId="6BA86698" w14:textId="26C832F6" w:rsidR="0042149D" w:rsidRPr="008B489D" w:rsidRDefault="0042149D" w:rsidP="0042149D">
            <w:pPr>
              <w:contextualSpacing/>
              <w:jc w:val="right"/>
              <w:rPr>
                <w:rFonts w:cs="Arial"/>
                <w:sz w:val="16"/>
                <w:szCs w:val="16"/>
              </w:rPr>
            </w:pPr>
            <w:r w:rsidRPr="008B489D">
              <w:rPr>
                <w:sz w:val="16"/>
                <w:szCs w:val="16"/>
              </w:rPr>
              <w:t>74,9</w:t>
            </w:r>
          </w:p>
        </w:tc>
        <w:tc>
          <w:tcPr>
            <w:tcW w:w="2014" w:type="dxa"/>
            <w:shd w:val="solid" w:color="FFFFFF" w:fill="auto"/>
            <w:tcMar>
              <w:right w:w="284" w:type="dxa"/>
            </w:tcMar>
            <w:vAlign w:val="center"/>
          </w:tcPr>
          <w:p w14:paraId="3674C0BE" w14:textId="6957BFC9" w:rsidR="0042149D" w:rsidRPr="008B489D" w:rsidRDefault="0042149D" w:rsidP="0042149D">
            <w:pPr>
              <w:contextualSpacing/>
              <w:jc w:val="right"/>
              <w:rPr>
                <w:rFonts w:cs="Arial"/>
                <w:sz w:val="16"/>
                <w:szCs w:val="16"/>
              </w:rPr>
            </w:pPr>
            <w:r w:rsidRPr="008B489D">
              <w:rPr>
                <w:sz w:val="16"/>
                <w:szCs w:val="16"/>
              </w:rPr>
              <w:t>14 783</w:t>
            </w:r>
          </w:p>
        </w:tc>
        <w:tc>
          <w:tcPr>
            <w:tcW w:w="1727" w:type="dxa"/>
            <w:shd w:val="solid" w:color="FFFFFF" w:fill="auto"/>
            <w:tcMar>
              <w:right w:w="284" w:type="dxa"/>
            </w:tcMar>
            <w:vAlign w:val="center"/>
          </w:tcPr>
          <w:p w14:paraId="381305AD" w14:textId="6665799A" w:rsidR="0042149D" w:rsidRPr="008B489D" w:rsidRDefault="0042149D" w:rsidP="0042149D">
            <w:pPr>
              <w:contextualSpacing/>
              <w:jc w:val="right"/>
              <w:rPr>
                <w:rFonts w:cs="Arial"/>
                <w:sz w:val="16"/>
                <w:szCs w:val="16"/>
              </w:rPr>
            </w:pPr>
            <w:r w:rsidRPr="008B489D">
              <w:rPr>
                <w:sz w:val="16"/>
                <w:szCs w:val="16"/>
              </w:rPr>
              <w:t>14 576</w:t>
            </w:r>
          </w:p>
        </w:tc>
        <w:tc>
          <w:tcPr>
            <w:tcW w:w="1007" w:type="dxa"/>
            <w:shd w:val="solid" w:color="FFFFFF" w:fill="auto"/>
            <w:tcMar>
              <w:right w:w="284" w:type="dxa"/>
            </w:tcMar>
            <w:vAlign w:val="center"/>
          </w:tcPr>
          <w:p w14:paraId="4CCD90B8" w14:textId="5DF70540" w:rsidR="0042149D" w:rsidRPr="008B489D" w:rsidRDefault="0042149D" w:rsidP="0042149D">
            <w:pPr>
              <w:contextualSpacing/>
              <w:jc w:val="right"/>
              <w:rPr>
                <w:rFonts w:cs="Arial"/>
                <w:sz w:val="16"/>
                <w:szCs w:val="16"/>
              </w:rPr>
            </w:pPr>
            <w:r w:rsidRPr="008B489D">
              <w:rPr>
                <w:sz w:val="16"/>
                <w:szCs w:val="16"/>
              </w:rPr>
              <w:t>98,6</w:t>
            </w:r>
          </w:p>
        </w:tc>
      </w:tr>
      <w:tr w:rsidR="0042149D" w:rsidRPr="008B489D" w14:paraId="48F4BA02" w14:textId="77777777" w:rsidTr="008B489D">
        <w:trPr>
          <w:trHeight w:val="230"/>
        </w:trPr>
        <w:tc>
          <w:tcPr>
            <w:tcW w:w="1757" w:type="dxa"/>
            <w:shd w:val="solid" w:color="FFFFFF" w:fill="auto"/>
            <w:vAlign w:val="center"/>
          </w:tcPr>
          <w:p w14:paraId="78F91E3A" w14:textId="77777777" w:rsidR="0042149D" w:rsidRPr="008B489D" w:rsidRDefault="0042149D" w:rsidP="0042149D">
            <w:pPr>
              <w:contextualSpacing/>
              <w:jc w:val="left"/>
              <w:rPr>
                <w:rFonts w:cs="Arial"/>
                <w:snapToGrid w:val="0"/>
                <w:sz w:val="16"/>
                <w:szCs w:val="16"/>
              </w:rPr>
            </w:pPr>
            <w:r w:rsidRPr="008B489D">
              <w:rPr>
                <w:rFonts w:cs="Arial"/>
                <w:snapToGrid w:val="0"/>
                <w:sz w:val="16"/>
                <w:szCs w:val="16"/>
              </w:rPr>
              <w:t>Královéhradecký kraj</w:t>
            </w:r>
          </w:p>
        </w:tc>
        <w:tc>
          <w:tcPr>
            <w:tcW w:w="1295" w:type="dxa"/>
            <w:tcMar>
              <w:right w:w="284" w:type="dxa"/>
            </w:tcMar>
          </w:tcPr>
          <w:p w14:paraId="08098F2F" w14:textId="68914F33" w:rsidR="0042149D" w:rsidRPr="008B489D" w:rsidRDefault="0042149D" w:rsidP="0042149D">
            <w:pPr>
              <w:contextualSpacing/>
              <w:jc w:val="right"/>
              <w:rPr>
                <w:rFonts w:cs="Arial"/>
                <w:sz w:val="16"/>
                <w:szCs w:val="16"/>
              </w:rPr>
            </w:pPr>
            <w:r w:rsidRPr="008B489D">
              <w:rPr>
                <w:sz w:val="16"/>
                <w:szCs w:val="16"/>
              </w:rPr>
              <w:t>459 432</w:t>
            </w:r>
          </w:p>
        </w:tc>
        <w:tc>
          <w:tcPr>
            <w:tcW w:w="2016" w:type="dxa"/>
            <w:tcMar>
              <w:right w:w="284" w:type="dxa"/>
            </w:tcMar>
            <w:vAlign w:val="center"/>
          </w:tcPr>
          <w:p w14:paraId="71C6B824" w14:textId="29984766" w:rsidR="0042149D" w:rsidRPr="008B489D" w:rsidRDefault="0042149D" w:rsidP="0042149D">
            <w:pPr>
              <w:contextualSpacing/>
              <w:jc w:val="right"/>
              <w:rPr>
                <w:rFonts w:cs="Arial"/>
                <w:sz w:val="16"/>
                <w:szCs w:val="16"/>
              </w:rPr>
            </w:pPr>
            <w:r w:rsidRPr="008B489D">
              <w:rPr>
                <w:sz w:val="16"/>
                <w:szCs w:val="16"/>
              </w:rPr>
              <w:t>82,9</w:t>
            </w:r>
          </w:p>
        </w:tc>
        <w:tc>
          <w:tcPr>
            <w:tcW w:w="2014" w:type="dxa"/>
            <w:shd w:val="solid" w:color="FFFFFF" w:fill="auto"/>
            <w:tcMar>
              <w:right w:w="284" w:type="dxa"/>
            </w:tcMar>
            <w:vAlign w:val="center"/>
          </w:tcPr>
          <w:p w14:paraId="6F933483" w14:textId="51F7CECC" w:rsidR="0042149D" w:rsidRPr="008B489D" w:rsidRDefault="0042149D" w:rsidP="0042149D">
            <w:pPr>
              <w:contextualSpacing/>
              <w:jc w:val="right"/>
              <w:rPr>
                <w:rFonts w:cs="Arial"/>
                <w:sz w:val="16"/>
                <w:szCs w:val="16"/>
              </w:rPr>
            </w:pPr>
            <w:r w:rsidRPr="008B489D">
              <w:rPr>
                <w:sz w:val="16"/>
                <w:szCs w:val="16"/>
              </w:rPr>
              <w:t>22 039</w:t>
            </w:r>
          </w:p>
        </w:tc>
        <w:tc>
          <w:tcPr>
            <w:tcW w:w="1727" w:type="dxa"/>
            <w:shd w:val="solid" w:color="FFFFFF" w:fill="auto"/>
            <w:tcMar>
              <w:right w:w="284" w:type="dxa"/>
            </w:tcMar>
            <w:vAlign w:val="center"/>
          </w:tcPr>
          <w:p w14:paraId="7D52741B" w14:textId="2AC55189" w:rsidR="0042149D" w:rsidRPr="008B489D" w:rsidRDefault="0042149D" w:rsidP="0042149D">
            <w:pPr>
              <w:contextualSpacing/>
              <w:jc w:val="right"/>
              <w:rPr>
                <w:rFonts w:cs="Arial"/>
                <w:sz w:val="16"/>
                <w:szCs w:val="16"/>
              </w:rPr>
            </w:pPr>
            <w:r w:rsidRPr="008B489D">
              <w:rPr>
                <w:sz w:val="16"/>
                <w:szCs w:val="16"/>
              </w:rPr>
              <w:t>21 022</w:t>
            </w:r>
          </w:p>
        </w:tc>
        <w:tc>
          <w:tcPr>
            <w:tcW w:w="1007" w:type="dxa"/>
            <w:shd w:val="solid" w:color="FFFFFF" w:fill="auto"/>
            <w:tcMar>
              <w:right w:w="284" w:type="dxa"/>
            </w:tcMar>
            <w:vAlign w:val="center"/>
          </w:tcPr>
          <w:p w14:paraId="5F3D2D03" w14:textId="6ED5BE0C" w:rsidR="0042149D" w:rsidRPr="008B489D" w:rsidRDefault="0042149D" w:rsidP="0042149D">
            <w:pPr>
              <w:contextualSpacing/>
              <w:jc w:val="right"/>
              <w:rPr>
                <w:rFonts w:cs="Arial"/>
                <w:sz w:val="16"/>
                <w:szCs w:val="16"/>
              </w:rPr>
            </w:pPr>
            <w:r w:rsidRPr="008B489D">
              <w:rPr>
                <w:sz w:val="16"/>
                <w:szCs w:val="16"/>
              </w:rPr>
              <w:t>95,4</w:t>
            </w:r>
          </w:p>
        </w:tc>
      </w:tr>
      <w:tr w:rsidR="0042149D" w:rsidRPr="008B489D" w14:paraId="05401AB2" w14:textId="77777777" w:rsidTr="008B489D">
        <w:trPr>
          <w:trHeight w:val="230"/>
        </w:trPr>
        <w:tc>
          <w:tcPr>
            <w:tcW w:w="1757" w:type="dxa"/>
            <w:shd w:val="solid" w:color="FFFFFF" w:fill="auto"/>
            <w:vAlign w:val="center"/>
          </w:tcPr>
          <w:p w14:paraId="6F90CA79" w14:textId="77777777" w:rsidR="0042149D" w:rsidRPr="008B489D" w:rsidRDefault="0042149D" w:rsidP="0042149D">
            <w:pPr>
              <w:contextualSpacing/>
              <w:jc w:val="left"/>
              <w:rPr>
                <w:rFonts w:cs="Arial"/>
                <w:snapToGrid w:val="0"/>
                <w:sz w:val="16"/>
                <w:szCs w:val="16"/>
              </w:rPr>
            </w:pPr>
            <w:r w:rsidRPr="008B489D">
              <w:rPr>
                <w:rFonts w:cs="Arial"/>
                <w:snapToGrid w:val="0"/>
                <w:sz w:val="16"/>
                <w:szCs w:val="16"/>
              </w:rPr>
              <w:t>Pardubický kraj</w:t>
            </w:r>
          </w:p>
        </w:tc>
        <w:tc>
          <w:tcPr>
            <w:tcW w:w="1295" w:type="dxa"/>
            <w:tcMar>
              <w:right w:w="284" w:type="dxa"/>
            </w:tcMar>
          </w:tcPr>
          <w:p w14:paraId="20B46571" w14:textId="18E8C4ED" w:rsidR="0042149D" w:rsidRPr="008B489D" w:rsidRDefault="0042149D" w:rsidP="0042149D">
            <w:pPr>
              <w:contextualSpacing/>
              <w:jc w:val="right"/>
              <w:rPr>
                <w:rFonts w:cs="Arial"/>
                <w:sz w:val="16"/>
                <w:szCs w:val="16"/>
              </w:rPr>
            </w:pPr>
            <w:r w:rsidRPr="008B489D">
              <w:rPr>
                <w:sz w:val="16"/>
                <w:szCs w:val="16"/>
              </w:rPr>
              <w:t>442 908</w:t>
            </w:r>
          </w:p>
        </w:tc>
        <w:tc>
          <w:tcPr>
            <w:tcW w:w="2016" w:type="dxa"/>
            <w:tcMar>
              <w:right w:w="284" w:type="dxa"/>
            </w:tcMar>
            <w:vAlign w:val="center"/>
          </w:tcPr>
          <w:p w14:paraId="43A45FAA" w14:textId="34D78799" w:rsidR="0042149D" w:rsidRPr="008B489D" w:rsidRDefault="0042149D" w:rsidP="0042149D">
            <w:pPr>
              <w:contextualSpacing/>
              <w:jc w:val="right"/>
              <w:rPr>
                <w:rFonts w:cs="Arial"/>
                <w:sz w:val="16"/>
                <w:szCs w:val="16"/>
              </w:rPr>
            </w:pPr>
            <w:r w:rsidRPr="008B489D">
              <w:rPr>
                <w:sz w:val="16"/>
                <w:szCs w:val="16"/>
              </w:rPr>
              <w:t>83,6</w:t>
            </w:r>
          </w:p>
        </w:tc>
        <w:tc>
          <w:tcPr>
            <w:tcW w:w="2014" w:type="dxa"/>
            <w:shd w:val="solid" w:color="FFFFFF" w:fill="auto"/>
            <w:tcMar>
              <w:right w:w="284" w:type="dxa"/>
            </w:tcMar>
            <w:vAlign w:val="center"/>
          </w:tcPr>
          <w:p w14:paraId="13F6DEC4" w14:textId="4B79C7B5" w:rsidR="0042149D" w:rsidRPr="008B489D" w:rsidRDefault="0042149D" w:rsidP="0042149D">
            <w:pPr>
              <w:contextualSpacing/>
              <w:jc w:val="right"/>
              <w:rPr>
                <w:rFonts w:cs="Arial"/>
                <w:sz w:val="16"/>
                <w:szCs w:val="16"/>
              </w:rPr>
            </w:pPr>
            <w:r w:rsidRPr="008B489D">
              <w:rPr>
                <w:sz w:val="16"/>
                <w:szCs w:val="16"/>
              </w:rPr>
              <w:t>23 441</w:t>
            </w:r>
          </w:p>
        </w:tc>
        <w:tc>
          <w:tcPr>
            <w:tcW w:w="1727" w:type="dxa"/>
            <w:shd w:val="solid" w:color="FFFFFF" w:fill="auto"/>
            <w:tcMar>
              <w:right w:w="284" w:type="dxa"/>
            </w:tcMar>
            <w:vAlign w:val="center"/>
          </w:tcPr>
          <w:p w14:paraId="00CCCF29" w14:textId="19EF3D67" w:rsidR="0042149D" w:rsidRPr="008B489D" w:rsidRDefault="0042149D" w:rsidP="0042149D">
            <w:pPr>
              <w:contextualSpacing/>
              <w:jc w:val="right"/>
              <w:rPr>
                <w:rFonts w:cs="Arial"/>
                <w:sz w:val="16"/>
                <w:szCs w:val="16"/>
              </w:rPr>
            </w:pPr>
            <w:r w:rsidRPr="008B489D">
              <w:rPr>
                <w:sz w:val="16"/>
                <w:szCs w:val="16"/>
              </w:rPr>
              <w:t>21 276</w:t>
            </w:r>
          </w:p>
        </w:tc>
        <w:tc>
          <w:tcPr>
            <w:tcW w:w="1007" w:type="dxa"/>
            <w:shd w:val="solid" w:color="FFFFFF" w:fill="auto"/>
            <w:tcMar>
              <w:right w:w="284" w:type="dxa"/>
            </w:tcMar>
            <w:vAlign w:val="center"/>
          </w:tcPr>
          <w:p w14:paraId="4C341616" w14:textId="0A13594F" w:rsidR="0042149D" w:rsidRPr="008B489D" w:rsidRDefault="0042149D" w:rsidP="0042149D">
            <w:pPr>
              <w:contextualSpacing/>
              <w:jc w:val="right"/>
              <w:rPr>
                <w:rFonts w:cs="Arial"/>
                <w:sz w:val="16"/>
                <w:szCs w:val="16"/>
              </w:rPr>
            </w:pPr>
            <w:r w:rsidRPr="008B489D">
              <w:rPr>
                <w:sz w:val="16"/>
                <w:szCs w:val="16"/>
              </w:rPr>
              <w:t>90,8</w:t>
            </w:r>
          </w:p>
        </w:tc>
      </w:tr>
      <w:tr w:rsidR="0042149D" w:rsidRPr="008B489D" w14:paraId="64B047E4" w14:textId="77777777" w:rsidTr="008B489D">
        <w:trPr>
          <w:trHeight w:val="230"/>
        </w:trPr>
        <w:tc>
          <w:tcPr>
            <w:tcW w:w="1757" w:type="dxa"/>
            <w:shd w:val="solid" w:color="FFFFFF" w:fill="auto"/>
            <w:vAlign w:val="center"/>
          </w:tcPr>
          <w:p w14:paraId="074CCF4C" w14:textId="77777777" w:rsidR="0042149D" w:rsidRPr="008B489D" w:rsidRDefault="0042149D" w:rsidP="0042149D">
            <w:pPr>
              <w:contextualSpacing/>
              <w:jc w:val="left"/>
              <w:rPr>
                <w:rFonts w:cs="Arial"/>
                <w:snapToGrid w:val="0"/>
                <w:sz w:val="16"/>
                <w:szCs w:val="16"/>
              </w:rPr>
            </w:pPr>
            <w:r w:rsidRPr="008B489D">
              <w:rPr>
                <w:rFonts w:cs="Arial"/>
                <w:snapToGrid w:val="0"/>
                <w:sz w:val="16"/>
                <w:szCs w:val="16"/>
              </w:rPr>
              <w:t>Kraj Vysočina</w:t>
            </w:r>
          </w:p>
        </w:tc>
        <w:tc>
          <w:tcPr>
            <w:tcW w:w="1295" w:type="dxa"/>
            <w:tcMar>
              <w:right w:w="284" w:type="dxa"/>
            </w:tcMar>
          </w:tcPr>
          <w:p w14:paraId="28B945AB" w14:textId="2355EAB7" w:rsidR="0042149D" w:rsidRPr="008B489D" w:rsidRDefault="0042149D" w:rsidP="0042149D">
            <w:pPr>
              <w:contextualSpacing/>
              <w:jc w:val="right"/>
              <w:rPr>
                <w:rFonts w:cs="Arial"/>
                <w:sz w:val="16"/>
                <w:szCs w:val="16"/>
              </w:rPr>
            </w:pPr>
            <w:r w:rsidRPr="008B489D">
              <w:rPr>
                <w:sz w:val="16"/>
                <w:szCs w:val="16"/>
              </w:rPr>
              <w:t>450 380</w:t>
            </w:r>
          </w:p>
        </w:tc>
        <w:tc>
          <w:tcPr>
            <w:tcW w:w="2016" w:type="dxa"/>
            <w:tcMar>
              <w:right w:w="284" w:type="dxa"/>
            </w:tcMar>
            <w:vAlign w:val="center"/>
          </w:tcPr>
          <w:p w14:paraId="66B2674B" w14:textId="321A3F1B" w:rsidR="0042149D" w:rsidRPr="008B489D" w:rsidRDefault="0042149D" w:rsidP="0042149D">
            <w:pPr>
              <w:contextualSpacing/>
              <w:jc w:val="right"/>
              <w:rPr>
                <w:rFonts w:cs="Arial"/>
                <w:sz w:val="16"/>
                <w:szCs w:val="16"/>
              </w:rPr>
            </w:pPr>
            <w:r w:rsidRPr="008B489D">
              <w:rPr>
                <w:sz w:val="16"/>
                <w:szCs w:val="16"/>
              </w:rPr>
              <w:t>87,3</w:t>
            </w:r>
          </w:p>
        </w:tc>
        <w:tc>
          <w:tcPr>
            <w:tcW w:w="2014" w:type="dxa"/>
            <w:shd w:val="solid" w:color="FFFFFF" w:fill="auto"/>
            <w:tcMar>
              <w:right w:w="284" w:type="dxa"/>
            </w:tcMar>
            <w:vAlign w:val="center"/>
          </w:tcPr>
          <w:p w14:paraId="65318E99" w14:textId="33F3B35E" w:rsidR="0042149D" w:rsidRPr="008B489D" w:rsidRDefault="0042149D" w:rsidP="0042149D">
            <w:pPr>
              <w:contextualSpacing/>
              <w:jc w:val="right"/>
              <w:rPr>
                <w:rFonts w:cs="Arial"/>
                <w:sz w:val="16"/>
                <w:szCs w:val="16"/>
              </w:rPr>
            </w:pPr>
            <w:r w:rsidRPr="008B489D">
              <w:rPr>
                <w:sz w:val="16"/>
                <w:szCs w:val="16"/>
              </w:rPr>
              <w:t>19 322</w:t>
            </w:r>
          </w:p>
        </w:tc>
        <w:tc>
          <w:tcPr>
            <w:tcW w:w="1727" w:type="dxa"/>
            <w:shd w:val="solid" w:color="FFFFFF" w:fill="auto"/>
            <w:tcMar>
              <w:right w:w="284" w:type="dxa"/>
            </w:tcMar>
            <w:vAlign w:val="center"/>
          </w:tcPr>
          <w:p w14:paraId="39386211" w14:textId="2734FEB5" w:rsidR="0042149D" w:rsidRPr="008B489D" w:rsidRDefault="0042149D" w:rsidP="0042149D">
            <w:pPr>
              <w:contextualSpacing/>
              <w:jc w:val="right"/>
              <w:rPr>
                <w:rFonts w:cs="Arial"/>
                <w:sz w:val="16"/>
                <w:szCs w:val="16"/>
              </w:rPr>
            </w:pPr>
            <w:r w:rsidRPr="008B489D">
              <w:rPr>
                <w:sz w:val="16"/>
                <w:szCs w:val="16"/>
              </w:rPr>
              <w:t>17 891</w:t>
            </w:r>
          </w:p>
        </w:tc>
        <w:tc>
          <w:tcPr>
            <w:tcW w:w="1007" w:type="dxa"/>
            <w:shd w:val="solid" w:color="FFFFFF" w:fill="auto"/>
            <w:tcMar>
              <w:right w:w="284" w:type="dxa"/>
            </w:tcMar>
            <w:vAlign w:val="center"/>
          </w:tcPr>
          <w:p w14:paraId="431701E3" w14:textId="371C2C43" w:rsidR="0042149D" w:rsidRPr="008B489D" w:rsidRDefault="0042149D" w:rsidP="0042149D">
            <w:pPr>
              <w:contextualSpacing/>
              <w:jc w:val="right"/>
              <w:rPr>
                <w:rFonts w:cs="Arial"/>
                <w:sz w:val="16"/>
                <w:szCs w:val="16"/>
              </w:rPr>
            </w:pPr>
            <w:r w:rsidRPr="008B489D">
              <w:rPr>
                <w:sz w:val="16"/>
                <w:szCs w:val="16"/>
              </w:rPr>
              <w:t>92,6</w:t>
            </w:r>
          </w:p>
        </w:tc>
      </w:tr>
      <w:tr w:rsidR="0042149D" w:rsidRPr="008B489D" w14:paraId="660157A0" w14:textId="77777777" w:rsidTr="008B489D">
        <w:trPr>
          <w:trHeight w:val="230"/>
        </w:trPr>
        <w:tc>
          <w:tcPr>
            <w:tcW w:w="1757" w:type="dxa"/>
            <w:shd w:val="solid" w:color="FFFFFF" w:fill="auto"/>
            <w:vAlign w:val="center"/>
          </w:tcPr>
          <w:p w14:paraId="59C2DB48" w14:textId="77777777" w:rsidR="0042149D" w:rsidRPr="008B489D" w:rsidRDefault="0042149D" w:rsidP="0042149D">
            <w:pPr>
              <w:contextualSpacing/>
              <w:jc w:val="left"/>
              <w:rPr>
                <w:rFonts w:cs="Arial"/>
                <w:snapToGrid w:val="0"/>
                <w:sz w:val="16"/>
                <w:szCs w:val="16"/>
              </w:rPr>
            </w:pPr>
            <w:r w:rsidRPr="008B489D">
              <w:rPr>
                <w:rFonts w:cs="Arial"/>
                <w:snapToGrid w:val="0"/>
                <w:sz w:val="16"/>
                <w:szCs w:val="16"/>
              </w:rPr>
              <w:t>Jihomoravský kraj</w:t>
            </w:r>
          </w:p>
        </w:tc>
        <w:tc>
          <w:tcPr>
            <w:tcW w:w="1295" w:type="dxa"/>
            <w:tcMar>
              <w:right w:w="284" w:type="dxa"/>
            </w:tcMar>
          </w:tcPr>
          <w:p w14:paraId="236330C0" w14:textId="4EDADD42" w:rsidR="0042149D" w:rsidRPr="008B489D" w:rsidRDefault="0042149D" w:rsidP="0042149D">
            <w:pPr>
              <w:contextualSpacing/>
              <w:jc w:val="right"/>
              <w:rPr>
                <w:rFonts w:cs="Arial"/>
                <w:sz w:val="16"/>
                <w:szCs w:val="16"/>
              </w:rPr>
            </w:pPr>
            <w:r w:rsidRPr="008B489D">
              <w:rPr>
                <w:sz w:val="16"/>
                <w:szCs w:val="16"/>
              </w:rPr>
              <w:t>1 206 777</w:t>
            </w:r>
          </w:p>
        </w:tc>
        <w:tc>
          <w:tcPr>
            <w:tcW w:w="2016" w:type="dxa"/>
            <w:tcMar>
              <w:right w:w="284" w:type="dxa"/>
            </w:tcMar>
            <w:vAlign w:val="center"/>
          </w:tcPr>
          <w:p w14:paraId="2F51F631" w14:textId="3D66FB6D" w:rsidR="0042149D" w:rsidRPr="008B489D" w:rsidRDefault="0042149D" w:rsidP="0042149D">
            <w:pPr>
              <w:contextualSpacing/>
              <w:jc w:val="right"/>
              <w:rPr>
                <w:rFonts w:cs="Arial"/>
                <w:sz w:val="16"/>
                <w:szCs w:val="16"/>
              </w:rPr>
            </w:pPr>
            <w:r w:rsidRPr="008B489D">
              <w:rPr>
                <w:sz w:val="16"/>
                <w:szCs w:val="16"/>
              </w:rPr>
              <w:t>98,3</w:t>
            </w:r>
          </w:p>
        </w:tc>
        <w:tc>
          <w:tcPr>
            <w:tcW w:w="2014" w:type="dxa"/>
            <w:shd w:val="solid" w:color="FFFFFF" w:fill="auto"/>
            <w:tcMar>
              <w:right w:w="284" w:type="dxa"/>
            </w:tcMar>
            <w:vAlign w:val="center"/>
          </w:tcPr>
          <w:p w14:paraId="765E715E" w14:textId="32C86542" w:rsidR="0042149D" w:rsidRPr="008B489D" w:rsidRDefault="0042149D" w:rsidP="0042149D">
            <w:pPr>
              <w:contextualSpacing/>
              <w:jc w:val="right"/>
              <w:rPr>
                <w:rFonts w:cs="Arial"/>
                <w:sz w:val="16"/>
                <w:szCs w:val="16"/>
              </w:rPr>
            </w:pPr>
            <w:r w:rsidRPr="008B489D">
              <w:rPr>
                <w:sz w:val="16"/>
                <w:szCs w:val="16"/>
              </w:rPr>
              <w:t>54 988</w:t>
            </w:r>
          </w:p>
        </w:tc>
        <w:tc>
          <w:tcPr>
            <w:tcW w:w="1727" w:type="dxa"/>
            <w:shd w:val="solid" w:color="FFFFFF" w:fill="auto"/>
            <w:tcMar>
              <w:right w:w="284" w:type="dxa"/>
            </w:tcMar>
            <w:vAlign w:val="center"/>
          </w:tcPr>
          <w:p w14:paraId="20300C80" w14:textId="4CE15497" w:rsidR="0042149D" w:rsidRPr="008B489D" w:rsidRDefault="0042149D" w:rsidP="0042149D">
            <w:pPr>
              <w:contextualSpacing/>
              <w:jc w:val="right"/>
              <w:rPr>
                <w:rFonts w:cs="Arial"/>
                <w:sz w:val="16"/>
                <w:szCs w:val="16"/>
              </w:rPr>
            </w:pPr>
            <w:r w:rsidRPr="008B489D">
              <w:rPr>
                <w:sz w:val="16"/>
                <w:szCs w:val="16"/>
              </w:rPr>
              <w:t>54 302</w:t>
            </w:r>
          </w:p>
        </w:tc>
        <w:tc>
          <w:tcPr>
            <w:tcW w:w="1007" w:type="dxa"/>
            <w:shd w:val="solid" w:color="FFFFFF" w:fill="auto"/>
            <w:tcMar>
              <w:right w:w="284" w:type="dxa"/>
            </w:tcMar>
            <w:vAlign w:val="center"/>
          </w:tcPr>
          <w:p w14:paraId="6E5C4CF5" w14:textId="7B7706DC" w:rsidR="0042149D" w:rsidRPr="008B489D" w:rsidRDefault="0042149D" w:rsidP="0042149D">
            <w:pPr>
              <w:contextualSpacing/>
              <w:jc w:val="right"/>
              <w:rPr>
                <w:rFonts w:cs="Arial"/>
                <w:sz w:val="16"/>
                <w:szCs w:val="16"/>
              </w:rPr>
            </w:pPr>
            <w:r w:rsidRPr="008B489D">
              <w:rPr>
                <w:sz w:val="16"/>
                <w:szCs w:val="16"/>
              </w:rPr>
              <w:t>98,8</w:t>
            </w:r>
          </w:p>
        </w:tc>
      </w:tr>
      <w:tr w:rsidR="0042149D" w:rsidRPr="008B489D" w14:paraId="7E4C06BA" w14:textId="77777777" w:rsidTr="008B489D">
        <w:trPr>
          <w:trHeight w:val="230"/>
        </w:trPr>
        <w:tc>
          <w:tcPr>
            <w:tcW w:w="1757" w:type="dxa"/>
            <w:shd w:val="solid" w:color="FFFFFF" w:fill="auto"/>
            <w:vAlign w:val="center"/>
          </w:tcPr>
          <w:p w14:paraId="5C8B8272" w14:textId="77777777" w:rsidR="0042149D" w:rsidRPr="008B489D" w:rsidRDefault="0042149D" w:rsidP="0042149D">
            <w:pPr>
              <w:contextualSpacing/>
              <w:jc w:val="left"/>
              <w:rPr>
                <w:rFonts w:cs="Arial"/>
                <w:snapToGrid w:val="0"/>
                <w:sz w:val="16"/>
                <w:szCs w:val="16"/>
              </w:rPr>
            </w:pPr>
            <w:r w:rsidRPr="008B489D">
              <w:rPr>
                <w:rFonts w:cs="Arial"/>
                <w:snapToGrid w:val="0"/>
                <w:sz w:val="16"/>
                <w:szCs w:val="16"/>
              </w:rPr>
              <w:t>Olomoucký kraj</w:t>
            </w:r>
          </w:p>
        </w:tc>
        <w:tc>
          <w:tcPr>
            <w:tcW w:w="1295" w:type="dxa"/>
            <w:tcMar>
              <w:right w:w="284" w:type="dxa"/>
            </w:tcMar>
          </w:tcPr>
          <w:p w14:paraId="6F1829C6" w14:textId="204F163E" w:rsidR="0042149D" w:rsidRPr="008B489D" w:rsidRDefault="0042149D" w:rsidP="0042149D">
            <w:pPr>
              <w:contextualSpacing/>
              <w:jc w:val="right"/>
              <w:rPr>
                <w:rFonts w:cs="Arial"/>
                <w:sz w:val="16"/>
                <w:szCs w:val="16"/>
              </w:rPr>
            </w:pPr>
            <w:r w:rsidRPr="008B489D">
              <w:rPr>
                <w:sz w:val="16"/>
                <w:szCs w:val="16"/>
              </w:rPr>
              <w:t>591 177</w:t>
            </w:r>
          </w:p>
        </w:tc>
        <w:tc>
          <w:tcPr>
            <w:tcW w:w="2016" w:type="dxa"/>
            <w:tcMar>
              <w:right w:w="284" w:type="dxa"/>
            </w:tcMar>
            <w:vAlign w:val="center"/>
          </w:tcPr>
          <w:p w14:paraId="0D079362" w14:textId="151506CB" w:rsidR="0042149D" w:rsidRPr="008B489D" w:rsidRDefault="0042149D" w:rsidP="0042149D">
            <w:pPr>
              <w:contextualSpacing/>
              <w:jc w:val="right"/>
              <w:rPr>
                <w:rFonts w:cs="Arial"/>
                <w:sz w:val="16"/>
                <w:szCs w:val="16"/>
              </w:rPr>
            </w:pPr>
            <w:r w:rsidRPr="008B489D">
              <w:rPr>
                <w:sz w:val="16"/>
                <w:szCs w:val="16"/>
              </w:rPr>
              <w:t>93,8</w:t>
            </w:r>
          </w:p>
        </w:tc>
        <w:tc>
          <w:tcPr>
            <w:tcW w:w="2014" w:type="dxa"/>
            <w:shd w:val="solid" w:color="FFFFFF" w:fill="auto"/>
            <w:tcMar>
              <w:right w:w="284" w:type="dxa"/>
            </w:tcMar>
            <w:vAlign w:val="center"/>
          </w:tcPr>
          <w:p w14:paraId="76ADD337" w14:textId="62B24B0C" w:rsidR="0042149D" w:rsidRPr="008B489D" w:rsidRDefault="0042149D" w:rsidP="0042149D">
            <w:pPr>
              <w:contextualSpacing/>
              <w:jc w:val="right"/>
              <w:rPr>
                <w:rFonts w:cs="Arial"/>
                <w:sz w:val="16"/>
                <w:szCs w:val="16"/>
              </w:rPr>
            </w:pPr>
            <w:r w:rsidRPr="008B489D">
              <w:rPr>
                <w:sz w:val="16"/>
                <w:szCs w:val="16"/>
              </w:rPr>
              <w:t>30 229</w:t>
            </w:r>
          </w:p>
        </w:tc>
        <w:tc>
          <w:tcPr>
            <w:tcW w:w="1727" w:type="dxa"/>
            <w:shd w:val="solid" w:color="FFFFFF" w:fill="auto"/>
            <w:tcMar>
              <w:right w:w="284" w:type="dxa"/>
            </w:tcMar>
            <w:vAlign w:val="center"/>
          </w:tcPr>
          <w:p w14:paraId="058CE32A" w14:textId="6CF5F920" w:rsidR="0042149D" w:rsidRPr="008B489D" w:rsidRDefault="0042149D" w:rsidP="0042149D">
            <w:pPr>
              <w:contextualSpacing/>
              <w:jc w:val="right"/>
              <w:rPr>
                <w:rFonts w:cs="Arial"/>
                <w:sz w:val="16"/>
                <w:szCs w:val="16"/>
              </w:rPr>
            </w:pPr>
            <w:r w:rsidRPr="008B489D">
              <w:rPr>
                <w:sz w:val="16"/>
                <w:szCs w:val="16"/>
              </w:rPr>
              <w:t>29 811</w:t>
            </w:r>
          </w:p>
        </w:tc>
        <w:tc>
          <w:tcPr>
            <w:tcW w:w="1007" w:type="dxa"/>
            <w:shd w:val="solid" w:color="FFFFFF" w:fill="auto"/>
            <w:tcMar>
              <w:right w:w="284" w:type="dxa"/>
            </w:tcMar>
            <w:vAlign w:val="center"/>
          </w:tcPr>
          <w:p w14:paraId="08F3713E" w14:textId="336344CD" w:rsidR="0042149D" w:rsidRPr="008B489D" w:rsidRDefault="0042149D" w:rsidP="0042149D">
            <w:pPr>
              <w:contextualSpacing/>
              <w:jc w:val="right"/>
              <w:rPr>
                <w:rFonts w:cs="Arial"/>
                <w:sz w:val="16"/>
                <w:szCs w:val="16"/>
              </w:rPr>
            </w:pPr>
            <w:r w:rsidRPr="008B489D">
              <w:rPr>
                <w:sz w:val="16"/>
                <w:szCs w:val="16"/>
              </w:rPr>
              <w:t>98,6</w:t>
            </w:r>
          </w:p>
        </w:tc>
      </w:tr>
      <w:tr w:rsidR="0042149D" w:rsidRPr="008B489D" w14:paraId="3F7AD6B2" w14:textId="77777777" w:rsidTr="008B489D">
        <w:trPr>
          <w:trHeight w:val="230"/>
        </w:trPr>
        <w:tc>
          <w:tcPr>
            <w:tcW w:w="1757" w:type="dxa"/>
            <w:shd w:val="solid" w:color="FFFFFF" w:fill="auto"/>
            <w:vAlign w:val="center"/>
          </w:tcPr>
          <w:p w14:paraId="45AAF80B" w14:textId="77777777" w:rsidR="0042149D" w:rsidRPr="008B489D" w:rsidRDefault="0042149D" w:rsidP="0042149D">
            <w:pPr>
              <w:contextualSpacing/>
              <w:jc w:val="left"/>
              <w:rPr>
                <w:rFonts w:cs="Arial"/>
                <w:snapToGrid w:val="0"/>
                <w:sz w:val="16"/>
                <w:szCs w:val="16"/>
              </w:rPr>
            </w:pPr>
            <w:r w:rsidRPr="008B489D">
              <w:rPr>
                <w:rFonts w:cs="Arial"/>
                <w:snapToGrid w:val="0"/>
                <w:sz w:val="16"/>
                <w:szCs w:val="16"/>
              </w:rPr>
              <w:t>Zlínský kraj</w:t>
            </w:r>
          </w:p>
        </w:tc>
        <w:tc>
          <w:tcPr>
            <w:tcW w:w="1295" w:type="dxa"/>
            <w:tcMar>
              <w:right w:w="284" w:type="dxa"/>
            </w:tcMar>
          </w:tcPr>
          <w:p w14:paraId="4AFA9C2E" w14:textId="02532FD6" w:rsidR="0042149D" w:rsidRPr="008B489D" w:rsidRDefault="0042149D" w:rsidP="0042149D">
            <w:pPr>
              <w:contextualSpacing/>
              <w:jc w:val="right"/>
              <w:rPr>
                <w:rFonts w:cs="Arial"/>
                <w:sz w:val="16"/>
                <w:szCs w:val="16"/>
              </w:rPr>
            </w:pPr>
            <w:r w:rsidRPr="008B489D">
              <w:rPr>
                <w:sz w:val="16"/>
                <w:szCs w:val="16"/>
              </w:rPr>
              <w:t>571 409</w:t>
            </w:r>
          </w:p>
        </w:tc>
        <w:tc>
          <w:tcPr>
            <w:tcW w:w="2016" w:type="dxa"/>
            <w:tcMar>
              <w:right w:w="284" w:type="dxa"/>
            </w:tcMar>
            <w:vAlign w:val="center"/>
          </w:tcPr>
          <w:p w14:paraId="0B4676EB" w14:textId="4C5EE388" w:rsidR="0042149D" w:rsidRPr="008B489D" w:rsidRDefault="0042149D" w:rsidP="0042149D">
            <w:pPr>
              <w:contextualSpacing/>
              <w:jc w:val="right"/>
              <w:rPr>
                <w:rFonts w:cs="Arial"/>
                <w:sz w:val="16"/>
                <w:szCs w:val="16"/>
              </w:rPr>
            </w:pPr>
            <w:r w:rsidRPr="008B489D">
              <w:rPr>
                <w:sz w:val="16"/>
                <w:szCs w:val="16"/>
              </w:rPr>
              <w:t>98,9</w:t>
            </w:r>
          </w:p>
        </w:tc>
        <w:tc>
          <w:tcPr>
            <w:tcW w:w="2014" w:type="dxa"/>
            <w:shd w:val="solid" w:color="FFFFFF" w:fill="auto"/>
            <w:tcMar>
              <w:right w:w="284" w:type="dxa"/>
            </w:tcMar>
            <w:vAlign w:val="center"/>
          </w:tcPr>
          <w:p w14:paraId="294CBF8F" w14:textId="6F4BBA7D" w:rsidR="0042149D" w:rsidRPr="008B489D" w:rsidRDefault="0042149D" w:rsidP="0042149D">
            <w:pPr>
              <w:contextualSpacing/>
              <w:jc w:val="right"/>
              <w:rPr>
                <w:rFonts w:cs="Arial"/>
                <w:sz w:val="16"/>
                <w:szCs w:val="16"/>
              </w:rPr>
            </w:pPr>
            <w:r w:rsidRPr="008B489D">
              <w:rPr>
                <w:sz w:val="16"/>
                <w:szCs w:val="16"/>
              </w:rPr>
              <w:t>26 263</w:t>
            </w:r>
          </w:p>
        </w:tc>
        <w:tc>
          <w:tcPr>
            <w:tcW w:w="1727" w:type="dxa"/>
            <w:shd w:val="solid" w:color="FFFFFF" w:fill="auto"/>
            <w:tcMar>
              <w:right w:w="284" w:type="dxa"/>
            </w:tcMar>
            <w:vAlign w:val="center"/>
          </w:tcPr>
          <w:p w14:paraId="005D8E8B" w14:textId="473E3556" w:rsidR="0042149D" w:rsidRPr="008B489D" w:rsidRDefault="0042149D" w:rsidP="0042149D">
            <w:pPr>
              <w:contextualSpacing/>
              <w:jc w:val="right"/>
              <w:rPr>
                <w:rFonts w:cs="Arial"/>
                <w:sz w:val="16"/>
                <w:szCs w:val="16"/>
              </w:rPr>
            </w:pPr>
            <w:r w:rsidRPr="008B489D">
              <w:rPr>
                <w:sz w:val="16"/>
                <w:szCs w:val="16"/>
              </w:rPr>
              <w:t>25 058</w:t>
            </w:r>
          </w:p>
        </w:tc>
        <w:tc>
          <w:tcPr>
            <w:tcW w:w="1007" w:type="dxa"/>
            <w:shd w:val="solid" w:color="FFFFFF" w:fill="auto"/>
            <w:tcMar>
              <w:right w:w="284" w:type="dxa"/>
            </w:tcMar>
            <w:vAlign w:val="center"/>
          </w:tcPr>
          <w:p w14:paraId="203229D0" w14:textId="3890FBAF" w:rsidR="0042149D" w:rsidRPr="008B489D" w:rsidRDefault="0042149D" w:rsidP="0042149D">
            <w:pPr>
              <w:contextualSpacing/>
              <w:jc w:val="right"/>
              <w:rPr>
                <w:rFonts w:cs="Arial"/>
                <w:sz w:val="16"/>
                <w:szCs w:val="16"/>
              </w:rPr>
            </w:pPr>
            <w:r w:rsidRPr="008B489D">
              <w:rPr>
                <w:sz w:val="16"/>
                <w:szCs w:val="16"/>
              </w:rPr>
              <w:t>95,4</w:t>
            </w:r>
          </w:p>
        </w:tc>
      </w:tr>
      <w:tr w:rsidR="0042149D" w:rsidRPr="008B489D" w14:paraId="6250A7E2" w14:textId="77777777" w:rsidTr="008B489D">
        <w:trPr>
          <w:trHeight w:val="230"/>
        </w:trPr>
        <w:tc>
          <w:tcPr>
            <w:tcW w:w="1757" w:type="dxa"/>
            <w:shd w:val="solid" w:color="FFFFFF" w:fill="auto"/>
            <w:vAlign w:val="center"/>
          </w:tcPr>
          <w:p w14:paraId="668B537D" w14:textId="77777777" w:rsidR="0042149D" w:rsidRPr="008B489D" w:rsidRDefault="0042149D" w:rsidP="0042149D">
            <w:pPr>
              <w:contextualSpacing/>
              <w:jc w:val="left"/>
              <w:rPr>
                <w:rFonts w:cs="Arial"/>
                <w:snapToGrid w:val="0"/>
                <w:sz w:val="16"/>
                <w:szCs w:val="16"/>
              </w:rPr>
            </w:pPr>
            <w:r w:rsidRPr="008B489D">
              <w:rPr>
                <w:rFonts w:cs="Arial"/>
                <w:snapToGrid w:val="0"/>
                <w:sz w:val="16"/>
                <w:szCs w:val="16"/>
              </w:rPr>
              <w:t>Moravskoslezský kraj</w:t>
            </w:r>
          </w:p>
        </w:tc>
        <w:tc>
          <w:tcPr>
            <w:tcW w:w="1295" w:type="dxa"/>
            <w:tcMar>
              <w:right w:w="284" w:type="dxa"/>
            </w:tcMar>
          </w:tcPr>
          <w:p w14:paraId="0A0EC0AC" w14:textId="2D144171" w:rsidR="0042149D" w:rsidRPr="008B489D" w:rsidRDefault="0042149D" w:rsidP="0042149D">
            <w:pPr>
              <w:contextualSpacing/>
              <w:jc w:val="right"/>
              <w:rPr>
                <w:rFonts w:cs="Arial"/>
                <w:sz w:val="16"/>
                <w:szCs w:val="16"/>
              </w:rPr>
            </w:pPr>
            <w:r w:rsidRPr="008B489D">
              <w:rPr>
                <w:sz w:val="16"/>
                <w:szCs w:val="16"/>
              </w:rPr>
              <w:t>1 033 733</w:t>
            </w:r>
          </w:p>
        </w:tc>
        <w:tc>
          <w:tcPr>
            <w:tcW w:w="2016" w:type="dxa"/>
            <w:tcMar>
              <w:right w:w="284" w:type="dxa"/>
            </w:tcMar>
            <w:vAlign w:val="center"/>
          </w:tcPr>
          <w:p w14:paraId="73024D4A" w14:textId="7D1F4FDC" w:rsidR="0042149D" w:rsidRPr="008B489D" w:rsidRDefault="0042149D" w:rsidP="0042149D">
            <w:pPr>
              <w:contextualSpacing/>
              <w:jc w:val="right"/>
              <w:rPr>
                <w:rFonts w:cs="Arial"/>
                <w:sz w:val="16"/>
                <w:szCs w:val="16"/>
              </w:rPr>
            </w:pPr>
            <w:r w:rsidRPr="008B489D">
              <w:rPr>
                <w:sz w:val="16"/>
                <w:szCs w:val="16"/>
              </w:rPr>
              <w:t>87,7</w:t>
            </w:r>
          </w:p>
        </w:tc>
        <w:tc>
          <w:tcPr>
            <w:tcW w:w="2014" w:type="dxa"/>
            <w:shd w:val="solid" w:color="FFFFFF" w:fill="auto"/>
            <w:tcMar>
              <w:right w:w="284" w:type="dxa"/>
            </w:tcMar>
            <w:vAlign w:val="center"/>
          </w:tcPr>
          <w:p w14:paraId="3A5C02AC" w14:textId="35479386" w:rsidR="0042149D" w:rsidRPr="008B489D" w:rsidRDefault="0042149D" w:rsidP="0042149D">
            <w:pPr>
              <w:contextualSpacing/>
              <w:jc w:val="right"/>
              <w:rPr>
                <w:rFonts w:cs="Arial"/>
                <w:sz w:val="16"/>
                <w:szCs w:val="16"/>
              </w:rPr>
            </w:pPr>
            <w:r w:rsidRPr="008B489D">
              <w:rPr>
                <w:sz w:val="16"/>
                <w:szCs w:val="16"/>
              </w:rPr>
              <w:t>48 948</w:t>
            </w:r>
          </w:p>
        </w:tc>
        <w:tc>
          <w:tcPr>
            <w:tcW w:w="1727" w:type="dxa"/>
            <w:shd w:val="solid" w:color="FFFFFF" w:fill="auto"/>
            <w:tcMar>
              <w:right w:w="284" w:type="dxa"/>
            </w:tcMar>
            <w:vAlign w:val="center"/>
          </w:tcPr>
          <w:p w14:paraId="76DF64CF" w14:textId="00320978" w:rsidR="0042149D" w:rsidRPr="008B489D" w:rsidRDefault="00BC1275" w:rsidP="0042149D">
            <w:pPr>
              <w:contextualSpacing/>
              <w:jc w:val="right"/>
              <w:rPr>
                <w:rFonts w:cs="Arial"/>
                <w:sz w:val="16"/>
                <w:szCs w:val="16"/>
              </w:rPr>
            </w:pPr>
            <w:r>
              <w:rPr>
                <w:sz w:val="16"/>
                <w:szCs w:val="16"/>
              </w:rPr>
              <w:t>47 247</w:t>
            </w:r>
          </w:p>
        </w:tc>
        <w:tc>
          <w:tcPr>
            <w:tcW w:w="1007" w:type="dxa"/>
            <w:shd w:val="solid" w:color="FFFFFF" w:fill="auto"/>
            <w:tcMar>
              <w:right w:w="284" w:type="dxa"/>
            </w:tcMar>
            <w:vAlign w:val="center"/>
          </w:tcPr>
          <w:p w14:paraId="732B61B7" w14:textId="30AC3D71" w:rsidR="0042149D" w:rsidRPr="008B489D" w:rsidRDefault="0042149D" w:rsidP="0042149D">
            <w:pPr>
              <w:contextualSpacing/>
              <w:jc w:val="right"/>
              <w:rPr>
                <w:rFonts w:cs="Arial"/>
                <w:sz w:val="16"/>
                <w:szCs w:val="16"/>
              </w:rPr>
            </w:pPr>
            <w:r w:rsidRPr="008B489D">
              <w:rPr>
                <w:sz w:val="16"/>
                <w:szCs w:val="16"/>
              </w:rPr>
              <w:t>96,5</w:t>
            </w:r>
          </w:p>
        </w:tc>
      </w:tr>
      <w:tr w:rsidR="0042149D" w:rsidRPr="008B489D" w14:paraId="1F07A3C3" w14:textId="77777777" w:rsidTr="008B489D">
        <w:trPr>
          <w:trHeight w:val="230"/>
        </w:trPr>
        <w:tc>
          <w:tcPr>
            <w:tcW w:w="1757" w:type="dxa"/>
            <w:shd w:val="clear" w:color="auto" w:fill="BFBFBF"/>
            <w:vAlign w:val="center"/>
          </w:tcPr>
          <w:p w14:paraId="4B45736D" w14:textId="77777777" w:rsidR="0042149D" w:rsidRPr="008B489D" w:rsidRDefault="0042149D" w:rsidP="0042149D">
            <w:pPr>
              <w:contextualSpacing/>
              <w:jc w:val="left"/>
              <w:rPr>
                <w:rFonts w:cs="Arial"/>
                <w:b/>
                <w:snapToGrid w:val="0"/>
                <w:sz w:val="16"/>
                <w:szCs w:val="16"/>
              </w:rPr>
            </w:pPr>
            <w:r w:rsidRPr="008B489D">
              <w:rPr>
                <w:rFonts w:cs="Arial"/>
                <w:b/>
                <w:snapToGrid w:val="0"/>
                <w:sz w:val="16"/>
                <w:szCs w:val="16"/>
              </w:rPr>
              <w:t>Česká republika</w:t>
            </w:r>
          </w:p>
        </w:tc>
        <w:tc>
          <w:tcPr>
            <w:tcW w:w="1295" w:type="dxa"/>
            <w:shd w:val="clear" w:color="auto" w:fill="BFBFBF"/>
            <w:tcMar>
              <w:right w:w="284" w:type="dxa"/>
            </w:tcMar>
          </w:tcPr>
          <w:p w14:paraId="4269ECC5" w14:textId="5ABDE35A" w:rsidR="0042149D" w:rsidRPr="008B489D" w:rsidRDefault="0042149D" w:rsidP="0042149D">
            <w:pPr>
              <w:contextualSpacing/>
              <w:jc w:val="right"/>
              <w:rPr>
                <w:rFonts w:cs="Arial"/>
                <w:b/>
                <w:bCs/>
                <w:sz w:val="16"/>
                <w:szCs w:val="16"/>
              </w:rPr>
            </w:pPr>
            <w:r w:rsidRPr="008B489D">
              <w:rPr>
                <w:b/>
                <w:bCs/>
                <w:sz w:val="16"/>
                <w:szCs w:val="16"/>
              </w:rPr>
              <w:t>9 888 288</w:t>
            </w:r>
          </w:p>
        </w:tc>
        <w:tc>
          <w:tcPr>
            <w:tcW w:w="2016" w:type="dxa"/>
            <w:shd w:val="clear" w:color="auto" w:fill="BFBFBF"/>
            <w:tcMar>
              <w:right w:w="284" w:type="dxa"/>
            </w:tcMar>
            <w:vAlign w:val="center"/>
          </w:tcPr>
          <w:p w14:paraId="74AD290A" w14:textId="41C7E297" w:rsidR="0042149D" w:rsidRPr="008B489D" w:rsidRDefault="0042149D" w:rsidP="0042149D">
            <w:pPr>
              <w:contextualSpacing/>
              <w:jc w:val="right"/>
              <w:rPr>
                <w:rFonts w:cs="Arial"/>
                <w:b/>
                <w:bCs/>
                <w:sz w:val="16"/>
                <w:szCs w:val="16"/>
              </w:rPr>
            </w:pPr>
            <w:r w:rsidRPr="008B489D">
              <w:rPr>
                <w:b/>
                <w:bCs/>
                <w:sz w:val="16"/>
                <w:szCs w:val="16"/>
              </w:rPr>
              <w:t>90,8</w:t>
            </w:r>
          </w:p>
        </w:tc>
        <w:tc>
          <w:tcPr>
            <w:tcW w:w="2014" w:type="dxa"/>
            <w:shd w:val="clear" w:color="auto" w:fill="BFBFBF"/>
            <w:tcMar>
              <w:right w:w="284" w:type="dxa"/>
            </w:tcMar>
            <w:vAlign w:val="center"/>
          </w:tcPr>
          <w:p w14:paraId="320C5EEB" w14:textId="2C4C8E1A" w:rsidR="0042149D" w:rsidRPr="008B489D" w:rsidRDefault="0042149D" w:rsidP="0042149D">
            <w:pPr>
              <w:contextualSpacing/>
              <w:jc w:val="right"/>
              <w:rPr>
                <w:rFonts w:cs="Arial"/>
                <w:b/>
                <w:bCs/>
                <w:sz w:val="16"/>
                <w:szCs w:val="16"/>
              </w:rPr>
            </w:pPr>
            <w:r w:rsidRPr="008B489D">
              <w:rPr>
                <w:b/>
                <w:bCs/>
                <w:sz w:val="16"/>
                <w:szCs w:val="16"/>
              </w:rPr>
              <w:t>510 797</w:t>
            </w:r>
          </w:p>
        </w:tc>
        <w:tc>
          <w:tcPr>
            <w:tcW w:w="1727" w:type="dxa"/>
            <w:shd w:val="clear" w:color="auto" w:fill="BFBFBF"/>
            <w:tcMar>
              <w:right w:w="284" w:type="dxa"/>
            </w:tcMar>
            <w:vAlign w:val="center"/>
          </w:tcPr>
          <w:p w14:paraId="1FA221A2" w14:textId="5728FFCC" w:rsidR="0042149D" w:rsidRPr="008B489D" w:rsidRDefault="00BC1275" w:rsidP="0042149D">
            <w:pPr>
              <w:jc w:val="right"/>
              <w:rPr>
                <w:rFonts w:cs="Arial"/>
                <w:b/>
                <w:bCs/>
                <w:color w:val="000000"/>
                <w:sz w:val="16"/>
                <w:szCs w:val="16"/>
                <w:lang w:eastAsia="cs-CZ"/>
              </w:rPr>
            </w:pPr>
            <w:r>
              <w:rPr>
                <w:b/>
                <w:bCs/>
                <w:sz w:val="16"/>
                <w:szCs w:val="16"/>
              </w:rPr>
              <w:t>499</w:t>
            </w:r>
            <w:r w:rsidR="00D71E6B">
              <w:rPr>
                <w:b/>
                <w:bCs/>
                <w:sz w:val="16"/>
                <w:szCs w:val="16"/>
              </w:rPr>
              <w:t xml:space="preserve"> 287</w:t>
            </w:r>
          </w:p>
        </w:tc>
        <w:tc>
          <w:tcPr>
            <w:tcW w:w="1007" w:type="dxa"/>
            <w:shd w:val="clear" w:color="auto" w:fill="BFBFBF"/>
            <w:tcMar>
              <w:right w:w="284" w:type="dxa"/>
            </w:tcMar>
            <w:vAlign w:val="center"/>
          </w:tcPr>
          <w:p w14:paraId="29F10989" w14:textId="2A565041" w:rsidR="0042149D" w:rsidRPr="008B489D" w:rsidRDefault="0042149D" w:rsidP="0042149D">
            <w:pPr>
              <w:contextualSpacing/>
              <w:jc w:val="right"/>
              <w:rPr>
                <w:rFonts w:cs="Arial"/>
                <w:b/>
                <w:bCs/>
                <w:sz w:val="16"/>
                <w:szCs w:val="16"/>
              </w:rPr>
            </w:pPr>
            <w:r w:rsidRPr="008B489D">
              <w:rPr>
                <w:b/>
                <w:bCs/>
                <w:sz w:val="16"/>
                <w:szCs w:val="16"/>
              </w:rPr>
              <w:t>97,6</w:t>
            </w:r>
          </w:p>
        </w:tc>
      </w:tr>
    </w:tbl>
    <w:p w14:paraId="0768861D" w14:textId="31B9C5D0" w:rsidR="00B7246A" w:rsidRPr="008B489D" w:rsidRDefault="00B7246A" w:rsidP="00B7246A">
      <w:pPr>
        <w:spacing w:before="90"/>
        <w:rPr>
          <w:rFonts w:cs="Arial"/>
          <w:i/>
          <w:sz w:val="20"/>
          <w:szCs w:val="20"/>
        </w:rPr>
      </w:pPr>
      <w:r w:rsidRPr="008B489D">
        <w:rPr>
          <w:rFonts w:cs="Arial"/>
          <w:i/>
          <w:sz w:val="20"/>
          <w:szCs w:val="20"/>
        </w:rPr>
        <w:t xml:space="preserve">Pramen: ČSÚ, </w:t>
      </w:r>
      <w:r w:rsidR="00D0610F" w:rsidRPr="008B489D">
        <w:rPr>
          <w:rFonts w:cs="Arial"/>
          <w:i/>
          <w:sz w:val="20"/>
          <w:szCs w:val="20"/>
        </w:rPr>
        <w:t>na základě dat MZe</w:t>
      </w:r>
    </w:p>
    <w:p w14:paraId="4E6B4336" w14:textId="13FF5665" w:rsidR="00BA52D5" w:rsidRPr="008B489D" w:rsidRDefault="00BA52D5" w:rsidP="00BA52D5">
      <w:pPr>
        <w:spacing w:before="45"/>
        <w:rPr>
          <w:rFonts w:cs="Arial"/>
          <w:i/>
          <w:sz w:val="20"/>
          <w:szCs w:val="20"/>
        </w:rPr>
      </w:pPr>
      <w:r w:rsidRPr="008B489D">
        <w:rPr>
          <w:rFonts w:cs="Arial"/>
          <w:i/>
          <w:snapToGrid w:val="0"/>
          <w:sz w:val="20"/>
          <w:szCs w:val="20"/>
        </w:rPr>
        <w:t xml:space="preserve">Pozn.:  </w:t>
      </w:r>
      <w:r w:rsidRPr="008B489D">
        <w:rPr>
          <w:rFonts w:cs="Arial"/>
          <w:i/>
          <w:snapToGrid w:val="0"/>
          <w:sz w:val="20"/>
          <w:szCs w:val="20"/>
          <w:vertAlign w:val="superscript"/>
        </w:rPr>
        <w:t xml:space="preserve">*) </w:t>
      </w:r>
      <w:r w:rsidR="00724F65" w:rsidRPr="008B489D">
        <w:rPr>
          <w:rFonts w:cs="Arial"/>
          <w:i/>
          <w:snapToGrid w:val="0"/>
          <w:sz w:val="20"/>
          <w:szCs w:val="20"/>
        </w:rPr>
        <w:t>Z údajů ČSÚ podle dat MZe</w:t>
      </w:r>
    </w:p>
    <w:p w14:paraId="4C6DA079" w14:textId="77777777" w:rsidR="002A24B5" w:rsidRPr="008B489D" w:rsidRDefault="002A24B5" w:rsidP="00903C63">
      <w:pPr>
        <w:tabs>
          <w:tab w:val="left" w:pos="1985"/>
        </w:tabs>
        <w:contextualSpacing/>
        <w:rPr>
          <w:rFonts w:cs="Arial"/>
        </w:rPr>
      </w:pPr>
      <w:bookmarkStart w:id="157" w:name="_Toc10183428"/>
      <w:bookmarkEnd w:id="156"/>
    </w:p>
    <w:p w14:paraId="0021AC5A" w14:textId="77777777" w:rsidR="00CC7669" w:rsidRPr="008B489D" w:rsidRDefault="00CC7669" w:rsidP="00CC7669">
      <w:pPr>
        <w:tabs>
          <w:tab w:val="left" w:pos="1985"/>
        </w:tabs>
        <w:contextualSpacing/>
        <w:rPr>
          <w:rFonts w:cs="Arial"/>
        </w:rPr>
      </w:pPr>
      <w:r w:rsidRPr="008B489D">
        <w:rPr>
          <w:rFonts w:cs="Arial"/>
        </w:rPr>
        <w:t xml:space="preserve">Délka kanalizační sítě v České republice v roce 2025 činila v souhrnu 56 111 km. V témže roce bylo v ČR celkem 3 489 čistíren odpadních vod a 2 022 314 </w:t>
      </w:r>
      <w:r w:rsidRPr="008B489D">
        <w:rPr>
          <w:rFonts w:cs="Arial"/>
          <w:snapToGrid w:val="0"/>
        </w:rPr>
        <w:t>kanalizačních přípojek</w:t>
      </w:r>
      <w:r w:rsidRPr="008B489D">
        <w:rPr>
          <w:rFonts w:cs="Arial"/>
        </w:rPr>
        <w:t>.</w:t>
      </w:r>
    </w:p>
    <w:p w14:paraId="4C51174C" w14:textId="77777777" w:rsidR="004C48DE" w:rsidRPr="008B489D" w:rsidRDefault="004C48DE" w:rsidP="004C48DE">
      <w:pPr>
        <w:tabs>
          <w:tab w:val="left" w:pos="1985"/>
        </w:tabs>
        <w:contextualSpacing/>
        <w:rPr>
          <w:rFonts w:cs="Arial"/>
          <w:snapToGrid w:val="0"/>
          <w:sz w:val="16"/>
          <w:szCs w:val="16"/>
        </w:rPr>
      </w:pPr>
    </w:p>
    <w:p w14:paraId="64878E35" w14:textId="77777777" w:rsidR="00397F99" w:rsidRPr="008B489D" w:rsidRDefault="00397F99" w:rsidP="00903C63">
      <w:pPr>
        <w:tabs>
          <w:tab w:val="left" w:pos="1985"/>
        </w:tabs>
        <w:contextualSpacing/>
        <w:rPr>
          <w:rFonts w:cs="Arial"/>
          <w:snapToGrid w:val="0"/>
          <w:sz w:val="16"/>
          <w:szCs w:val="16"/>
        </w:rPr>
      </w:pPr>
    </w:p>
    <w:p w14:paraId="5B185845" w14:textId="77777777" w:rsidR="0027267B" w:rsidRPr="008B489D" w:rsidRDefault="0027267B" w:rsidP="007C4955">
      <w:pPr>
        <w:tabs>
          <w:tab w:val="left" w:pos="1985"/>
        </w:tabs>
        <w:contextualSpacing/>
        <w:rPr>
          <w:rFonts w:cs="Arial"/>
          <w:snapToGrid w:val="0"/>
          <w:color w:val="FF0000"/>
          <w:sz w:val="16"/>
          <w:szCs w:val="16"/>
        </w:rPr>
      </w:pPr>
    </w:p>
    <w:p w14:paraId="3AA46215" w14:textId="77777777" w:rsidR="00547C0E" w:rsidRPr="008B489D" w:rsidRDefault="00547C0E">
      <w:pPr>
        <w:pStyle w:val="Nadpis2"/>
        <w:numPr>
          <w:ilvl w:val="1"/>
          <w:numId w:val="13"/>
        </w:numPr>
        <w:spacing w:before="0"/>
        <w:contextualSpacing/>
      </w:pPr>
      <w:bookmarkStart w:id="158" w:name="_Toc236991634"/>
      <w:r w:rsidRPr="008B489D">
        <w:t>Vývoj ceny pro vodné a stočné</w:t>
      </w:r>
      <w:bookmarkEnd w:id="157"/>
      <w:bookmarkEnd w:id="158"/>
    </w:p>
    <w:p w14:paraId="6D1B8683" w14:textId="77777777" w:rsidR="00D924C1" w:rsidRPr="008B489D" w:rsidRDefault="00D924C1" w:rsidP="00D046E0">
      <w:pPr>
        <w:contextualSpacing/>
        <w:rPr>
          <w:rFonts w:eastAsia="Times New Roman"/>
          <w:b/>
          <w:lang w:val="x-none" w:eastAsia="x-none"/>
        </w:rPr>
      </w:pPr>
    </w:p>
    <w:p w14:paraId="29FD753A" w14:textId="77777777" w:rsidR="00383244" w:rsidRPr="0058525F" w:rsidRDefault="00383244" w:rsidP="00383244">
      <w:pPr>
        <w:contextualSpacing/>
        <w:rPr>
          <w:rFonts w:eastAsia="Times New Roman"/>
          <w:b/>
          <w:lang w:val="x-none" w:eastAsia="x-none"/>
        </w:rPr>
      </w:pPr>
      <w:r w:rsidRPr="008B489D">
        <w:rPr>
          <w:rFonts w:eastAsia="Times New Roman"/>
          <w:b/>
          <w:lang w:val="x-none" w:eastAsia="x-none"/>
        </w:rPr>
        <w:t>V roce 2025 činila dle údajů Ministerstva zemědělství průměrná cena bez DPH pro vodné 59,95 Kč/m</w:t>
      </w:r>
      <w:r w:rsidRPr="008B489D">
        <w:rPr>
          <w:rFonts w:eastAsia="Times New Roman"/>
          <w:b/>
          <w:vertAlign w:val="superscript"/>
          <w:lang w:val="x-none" w:eastAsia="x-none"/>
        </w:rPr>
        <w:t>3</w:t>
      </w:r>
      <w:r w:rsidRPr="008B489D">
        <w:rPr>
          <w:rFonts w:eastAsia="Times New Roman"/>
          <w:b/>
          <w:lang w:val="x-none" w:eastAsia="x-none"/>
        </w:rPr>
        <w:t xml:space="preserve"> a průměrná cena pro stočné 54,16 Kč/m</w:t>
      </w:r>
      <w:r w:rsidRPr="0058525F">
        <w:rPr>
          <w:rFonts w:eastAsia="Times New Roman"/>
          <w:b/>
          <w:vertAlign w:val="superscript"/>
          <w:lang w:val="x-none" w:eastAsia="x-none"/>
        </w:rPr>
        <w:t>3</w:t>
      </w:r>
      <w:r w:rsidRPr="0058525F">
        <w:rPr>
          <w:rFonts w:eastAsia="Times New Roman"/>
          <w:b/>
          <w:lang w:val="x-none" w:eastAsia="x-none"/>
        </w:rPr>
        <w:t>.</w:t>
      </w:r>
    </w:p>
    <w:p w14:paraId="7B870AEF" w14:textId="77777777" w:rsidR="00383244" w:rsidRPr="00B92A14" w:rsidRDefault="00383244" w:rsidP="00383244">
      <w:pPr>
        <w:contextualSpacing/>
        <w:rPr>
          <w:rFonts w:eastAsia="Times New Roman"/>
          <w:bCs/>
          <w:lang w:val="x-none" w:eastAsia="x-none"/>
        </w:rPr>
      </w:pPr>
    </w:p>
    <w:p w14:paraId="06BB5D00" w14:textId="77777777" w:rsidR="00383244" w:rsidRPr="0058525F" w:rsidRDefault="00383244" w:rsidP="00383244">
      <w:pPr>
        <w:contextualSpacing/>
        <w:rPr>
          <w:rFonts w:eastAsia="Times New Roman"/>
          <w:lang w:val="x-none" w:eastAsia="x-none"/>
        </w:rPr>
      </w:pPr>
      <w:r w:rsidRPr="0058525F">
        <w:rPr>
          <w:rFonts w:eastAsia="Times New Roman"/>
          <w:lang w:val="x-none" w:eastAsia="x-none"/>
        </w:rPr>
        <w:t xml:space="preserve">Před účinností novely </w:t>
      </w:r>
      <w:r>
        <w:rPr>
          <w:rFonts w:eastAsia="Times New Roman"/>
          <w:lang w:val="x-none" w:eastAsia="x-none"/>
        </w:rPr>
        <w:t>ZVK</w:t>
      </w:r>
      <w:r w:rsidRPr="0058525F">
        <w:rPr>
          <w:rFonts w:cs="Arial"/>
        </w:rPr>
        <w:t>, která byla provedena zákonem č. </w:t>
      </w:r>
      <w:r w:rsidRPr="0058525F">
        <w:rPr>
          <w:rFonts w:eastAsia="Times New Roman"/>
          <w:lang w:val="x-none" w:eastAsia="x-none"/>
        </w:rPr>
        <w:t>76/2006 Sb., byly do roku 2006 údaje o</w:t>
      </w:r>
      <w:r>
        <w:rPr>
          <w:rFonts w:eastAsia="Times New Roman"/>
          <w:lang w:val="x-none" w:eastAsia="x-none"/>
        </w:rPr>
        <w:t xml:space="preserve"> </w:t>
      </w:r>
      <w:r w:rsidRPr="0058525F">
        <w:rPr>
          <w:rFonts w:eastAsia="Times New Roman"/>
          <w:lang w:val="x-none" w:eastAsia="x-none"/>
        </w:rPr>
        <w:t xml:space="preserve">průměrné výši ceny pro vodné a stočné stanovovány na základě údajů, které na požádání MZe zasílali vybraní provozovatelé vodovodů a kanalizací. </w:t>
      </w:r>
      <w:r w:rsidRPr="0058525F">
        <w:rPr>
          <w:rFonts w:eastAsia="Times New Roman"/>
          <w:lang w:eastAsia="x-none"/>
        </w:rPr>
        <w:t>Citovaným zákonem</w:t>
      </w:r>
      <w:r w:rsidRPr="0058525F">
        <w:rPr>
          <w:rFonts w:eastAsia="Times New Roman"/>
          <w:lang w:val="x-none" w:eastAsia="x-none"/>
        </w:rPr>
        <w:t xml:space="preserve"> byla vlastníkům, popřípadě provozovatelům, pokud byli vlastníkem zmocněni v souladu s</w:t>
      </w:r>
      <w:r>
        <w:rPr>
          <w:rFonts w:eastAsia="Times New Roman"/>
          <w:lang w:val="x-none" w:eastAsia="x-none"/>
        </w:rPr>
        <w:t> </w:t>
      </w:r>
      <w:r w:rsidRPr="0058525F">
        <w:rPr>
          <w:rFonts w:eastAsia="Times New Roman"/>
          <w:lang w:val="x-none" w:eastAsia="x-none"/>
        </w:rPr>
        <w:t>ustanovením §</w:t>
      </w:r>
      <w:r>
        <w:rPr>
          <w:rFonts w:eastAsia="Times New Roman"/>
          <w:lang w:val="x-none" w:eastAsia="x-none"/>
        </w:rPr>
        <w:t xml:space="preserve"> </w:t>
      </w:r>
      <w:r w:rsidRPr="0058525F">
        <w:rPr>
          <w:rFonts w:eastAsia="Times New Roman"/>
          <w:lang w:val="x-none" w:eastAsia="x-none"/>
        </w:rPr>
        <w:t>36 odst.</w:t>
      </w:r>
      <w:r>
        <w:rPr>
          <w:rFonts w:eastAsia="Times New Roman"/>
          <w:lang w:val="x-none" w:eastAsia="x-none"/>
        </w:rPr>
        <w:t xml:space="preserve"> </w:t>
      </w:r>
      <w:r w:rsidRPr="0058525F">
        <w:rPr>
          <w:rFonts w:eastAsia="Times New Roman"/>
          <w:lang w:val="x-none" w:eastAsia="x-none"/>
        </w:rPr>
        <w:t xml:space="preserve">5 </w:t>
      </w:r>
      <w:r>
        <w:rPr>
          <w:rFonts w:eastAsia="Times New Roman"/>
          <w:lang w:val="x-none" w:eastAsia="x-none"/>
        </w:rPr>
        <w:t>ZVK</w:t>
      </w:r>
      <w:r w:rsidRPr="0058525F">
        <w:rPr>
          <w:rFonts w:eastAsia="Times New Roman"/>
          <w:lang w:val="x-none" w:eastAsia="x-none"/>
        </w:rPr>
        <w:t xml:space="preserve"> stanovena povinnost každoročně nejpozději do 30. dubna následujícího kalendářního roku zaslat MZe úplné informace o porovnání všech položek </w:t>
      </w:r>
      <w:r w:rsidRPr="0058525F">
        <w:rPr>
          <w:rFonts w:eastAsia="Times New Roman"/>
          <w:lang w:eastAsia="x-none"/>
        </w:rPr>
        <w:t>kalkulace (</w:t>
      </w:r>
      <w:r w:rsidRPr="0058525F">
        <w:rPr>
          <w:rFonts w:eastAsia="Times New Roman"/>
          <w:lang w:val="x-none" w:eastAsia="x-none"/>
        </w:rPr>
        <w:t>výpočtu</w:t>
      </w:r>
      <w:r w:rsidRPr="0058525F">
        <w:rPr>
          <w:rFonts w:eastAsia="Times New Roman"/>
          <w:lang w:eastAsia="x-none"/>
        </w:rPr>
        <w:t>)</w:t>
      </w:r>
      <w:r w:rsidRPr="0058525F">
        <w:rPr>
          <w:rFonts w:eastAsia="Times New Roman"/>
          <w:lang w:val="x-none" w:eastAsia="x-none"/>
        </w:rPr>
        <w:t xml:space="preserve"> ceny podle cenových předpisů pro vodné a stočné a dosažené skutečnosti v</w:t>
      </w:r>
      <w:r>
        <w:rPr>
          <w:rFonts w:eastAsia="Times New Roman"/>
          <w:lang w:val="x-none" w:eastAsia="x-none"/>
        </w:rPr>
        <w:t> </w:t>
      </w:r>
      <w:r w:rsidRPr="0058525F">
        <w:rPr>
          <w:rFonts w:eastAsia="Times New Roman"/>
          <w:lang w:val="x-none" w:eastAsia="x-none"/>
        </w:rPr>
        <w:t xml:space="preserve">předchozím kalendářním roce (dále jen “porovnání”). Následující </w:t>
      </w:r>
      <w:r w:rsidRPr="00380DF4">
        <w:rPr>
          <w:rFonts w:eastAsia="Times New Roman"/>
          <w:lang w:val="x-none" w:eastAsia="x-none"/>
        </w:rPr>
        <w:t>výstupy vycházejí z výše uvedených porovnání</w:t>
      </w:r>
      <w:r w:rsidRPr="0058525F">
        <w:rPr>
          <w:rFonts w:eastAsia="Times New Roman"/>
          <w:lang w:val="x-none" w:eastAsia="x-none"/>
        </w:rPr>
        <w:t xml:space="preserve">, které MZe obdrželo v termínu do </w:t>
      </w:r>
      <w:r w:rsidRPr="008B489D">
        <w:rPr>
          <w:rFonts w:eastAsia="Times New Roman"/>
          <w:lang w:val="x-none" w:eastAsia="x-none"/>
        </w:rPr>
        <w:t>15. 6. 2026.</w:t>
      </w:r>
    </w:p>
    <w:p w14:paraId="6684E36A" w14:textId="77777777" w:rsidR="003B49EB" w:rsidRPr="00104F7D" w:rsidRDefault="003B49EB" w:rsidP="007C4955">
      <w:pPr>
        <w:contextualSpacing/>
        <w:rPr>
          <w:rFonts w:cs="Arial"/>
          <w:b/>
          <w:bCs/>
          <w:i/>
          <w:highlight w:val="yellow"/>
        </w:rPr>
      </w:pPr>
    </w:p>
    <w:p w14:paraId="0C84401E" w14:textId="77777777" w:rsidR="003B49EB" w:rsidRPr="00741215" w:rsidRDefault="003B49EB" w:rsidP="00FB7886">
      <w:pPr>
        <w:rPr>
          <w:rFonts w:cs="Arial"/>
          <w:b/>
          <w:bCs/>
          <w:i/>
        </w:rPr>
      </w:pPr>
      <w:r w:rsidRPr="00741215">
        <w:rPr>
          <w:rFonts w:cs="Arial"/>
          <w:b/>
          <w:bCs/>
          <w:i/>
        </w:rPr>
        <w:t>Tabulka 9.3.1</w:t>
      </w:r>
    </w:p>
    <w:p w14:paraId="489C845B" w14:textId="4FBAFE94" w:rsidR="003B49EB" w:rsidRPr="00741215" w:rsidRDefault="003B49EB" w:rsidP="00FB7886">
      <w:pPr>
        <w:rPr>
          <w:rFonts w:cs="Arial"/>
          <w:b/>
          <w:bCs/>
          <w:i/>
        </w:rPr>
      </w:pPr>
      <w:r w:rsidRPr="00741215">
        <w:rPr>
          <w:rFonts w:cs="Arial"/>
          <w:b/>
          <w:bCs/>
          <w:i/>
        </w:rPr>
        <w:t>Realizační ceny pro vodné a pro stočné v roce 202</w:t>
      </w:r>
      <w:r w:rsidR="00EB264C" w:rsidRPr="00741215">
        <w:rPr>
          <w:rFonts w:cs="Arial"/>
          <w:b/>
          <w:bCs/>
          <w:i/>
        </w:rPr>
        <w:t>5</w:t>
      </w:r>
    </w:p>
    <w:tbl>
      <w:tblPr>
        <w:tblW w:w="2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45" w:type="dxa"/>
          <w:bottom w:w="30" w:type="dxa"/>
          <w:right w:w="45" w:type="dxa"/>
        </w:tblCellMar>
        <w:tblLook w:val="0000" w:firstRow="0" w:lastRow="0" w:firstColumn="0" w:lastColumn="0" w:noHBand="0" w:noVBand="0"/>
      </w:tblPr>
      <w:tblGrid>
        <w:gridCol w:w="3473"/>
        <w:gridCol w:w="1323"/>
        <w:gridCol w:w="960"/>
      </w:tblGrid>
      <w:tr w:rsidR="003B49EB" w:rsidRPr="00741215" w14:paraId="0CDC37A3" w14:textId="77777777" w:rsidTr="00307E0A">
        <w:trPr>
          <w:trHeight w:val="20"/>
        </w:trPr>
        <w:tc>
          <w:tcPr>
            <w:tcW w:w="3017" w:type="pct"/>
            <w:shd w:val="clear" w:color="auto" w:fill="BFBFBF"/>
            <w:noWrap/>
            <w:vAlign w:val="center"/>
          </w:tcPr>
          <w:p w14:paraId="378E7F82" w14:textId="77777777" w:rsidR="003B49EB" w:rsidRPr="00741215" w:rsidRDefault="003B49EB" w:rsidP="001D3765">
            <w:pPr>
              <w:spacing w:before="30" w:after="30"/>
              <w:jc w:val="center"/>
              <w:rPr>
                <w:rFonts w:cs="Arial"/>
                <w:b/>
                <w:bCs/>
                <w:sz w:val="18"/>
                <w:szCs w:val="18"/>
              </w:rPr>
            </w:pPr>
            <w:r w:rsidRPr="00741215">
              <w:rPr>
                <w:rFonts w:cs="Arial"/>
                <w:b/>
                <w:bCs/>
                <w:sz w:val="18"/>
                <w:szCs w:val="18"/>
              </w:rPr>
              <w:t>Ukazatel</w:t>
            </w:r>
          </w:p>
        </w:tc>
        <w:tc>
          <w:tcPr>
            <w:tcW w:w="1149" w:type="pct"/>
            <w:shd w:val="clear" w:color="auto" w:fill="BFBFBF"/>
            <w:noWrap/>
            <w:vAlign w:val="center"/>
          </w:tcPr>
          <w:p w14:paraId="70BE8001" w14:textId="77777777" w:rsidR="003B49EB" w:rsidRPr="00741215" w:rsidRDefault="003B49EB" w:rsidP="001D3765">
            <w:pPr>
              <w:spacing w:before="30" w:after="30"/>
              <w:jc w:val="center"/>
              <w:rPr>
                <w:rFonts w:cs="Arial"/>
                <w:b/>
                <w:bCs/>
                <w:sz w:val="18"/>
                <w:szCs w:val="18"/>
              </w:rPr>
            </w:pPr>
            <w:r w:rsidRPr="00741215">
              <w:rPr>
                <w:rFonts w:cs="Arial"/>
                <w:b/>
                <w:bCs/>
                <w:sz w:val="18"/>
                <w:szCs w:val="18"/>
              </w:rPr>
              <w:t>Měrná jednotka</w:t>
            </w:r>
          </w:p>
        </w:tc>
        <w:tc>
          <w:tcPr>
            <w:tcW w:w="834" w:type="pct"/>
            <w:shd w:val="clear" w:color="auto" w:fill="BFBFBF"/>
          </w:tcPr>
          <w:p w14:paraId="5741A823" w14:textId="52A3CBF7" w:rsidR="003B49EB" w:rsidRPr="00741215" w:rsidRDefault="003B49EB" w:rsidP="001D3765">
            <w:pPr>
              <w:spacing w:before="30" w:after="30"/>
              <w:jc w:val="center"/>
              <w:rPr>
                <w:rFonts w:cs="Arial"/>
                <w:b/>
                <w:bCs/>
                <w:sz w:val="18"/>
                <w:szCs w:val="18"/>
              </w:rPr>
            </w:pPr>
            <w:r w:rsidRPr="00741215">
              <w:rPr>
                <w:rFonts w:cs="Arial"/>
                <w:b/>
                <w:bCs/>
                <w:sz w:val="18"/>
                <w:szCs w:val="18"/>
              </w:rPr>
              <w:t>202</w:t>
            </w:r>
            <w:r w:rsidR="00EB264C" w:rsidRPr="00741215">
              <w:rPr>
                <w:rFonts w:cs="Arial"/>
                <w:b/>
                <w:bCs/>
                <w:sz w:val="18"/>
                <w:szCs w:val="18"/>
              </w:rPr>
              <w:t>5</w:t>
            </w:r>
          </w:p>
        </w:tc>
      </w:tr>
      <w:tr w:rsidR="00741215" w:rsidRPr="00741215" w14:paraId="536A0226" w14:textId="77777777" w:rsidTr="00307E0A">
        <w:trPr>
          <w:trHeight w:val="20"/>
        </w:trPr>
        <w:tc>
          <w:tcPr>
            <w:tcW w:w="3017" w:type="pct"/>
            <w:vAlign w:val="center"/>
          </w:tcPr>
          <w:p w14:paraId="774F116C" w14:textId="77777777" w:rsidR="00741215" w:rsidRPr="00741215" w:rsidRDefault="00741215" w:rsidP="00741215">
            <w:pPr>
              <w:spacing w:before="30" w:after="30"/>
              <w:rPr>
                <w:rFonts w:cs="Arial"/>
                <w:bCs/>
                <w:sz w:val="18"/>
                <w:szCs w:val="18"/>
              </w:rPr>
            </w:pPr>
            <w:r w:rsidRPr="00741215">
              <w:rPr>
                <w:rFonts w:cs="Arial"/>
                <w:bCs/>
                <w:sz w:val="18"/>
                <w:szCs w:val="18"/>
              </w:rPr>
              <w:t>Vodné celkem</w:t>
            </w:r>
          </w:p>
        </w:tc>
        <w:tc>
          <w:tcPr>
            <w:tcW w:w="1149" w:type="pct"/>
            <w:noWrap/>
            <w:vAlign w:val="center"/>
          </w:tcPr>
          <w:p w14:paraId="2F5C58B1" w14:textId="77777777" w:rsidR="00741215" w:rsidRPr="00741215" w:rsidRDefault="00741215" w:rsidP="00741215">
            <w:pPr>
              <w:spacing w:before="30" w:after="30"/>
              <w:jc w:val="left"/>
              <w:rPr>
                <w:rFonts w:cs="Arial"/>
                <w:sz w:val="18"/>
                <w:szCs w:val="18"/>
              </w:rPr>
            </w:pPr>
            <w:r w:rsidRPr="00741215">
              <w:rPr>
                <w:rFonts w:cs="Arial"/>
                <w:sz w:val="18"/>
                <w:szCs w:val="18"/>
              </w:rPr>
              <w:t>mil. Kč</w:t>
            </w:r>
          </w:p>
        </w:tc>
        <w:tc>
          <w:tcPr>
            <w:tcW w:w="834" w:type="pct"/>
          </w:tcPr>
          <w:p w14:paraId="04C34CE8" w14:textId="6A3B38C2" w:rsidR="00741215" w:rsidRPr="00741215" w:rsidRDefault="00741215" w:rsidP="00741215">
            <w:pPr>
              <w:spacing w:before="30" w:after="30"/>
              <w:jc w:val="right"/>
              <w:rPr>
                <w:rFonts w:cs="Arial"/>
                <w:sz w:val="18"/>
                <w:szCs w:val="18"/>
              </w:rPr>
            </w:pPr>
            <w:r w:rsidRPr="00741215">
              <w:rPr>
                <w:rFonts w:cs="Arial"/>
                <w:sz w:val="18"/>
                <w:szCs w:val="18"/>
              </w:rPr>
              <w:t>29 450</w:t>
            </w:r>
          </w:p>
        </w:tc>
      </w:tr>
      <w:tr w:rsidR="00741215" w:rsidRPr="00741215" w14:paraId="5B7BCA71" w14:textId="77777777" w:rsidTr="00307E0A">
        <w:trPr>
          <w:trHeight w:val="20"/>
        </w:trPr>
        <w:tc>
          <w:tcPr>
            <w:tcW w:w="3017" w:type="pct"/>
            <w:vAlign w:val="center"/>
          </w:tcPr>
          <w:p w14:paraId="24E1498B" w14:textId="77777777" w:rsidR="00741215" w:rsidRPr="00741215" w:rsidRDefault="00741215" w:rsidP="00741215">
            <w:pPr>
              <w:spacing w:before="30" w:after="30"/>
              <w:rPr>
                <w:rFonts w:cs="Arial"/>
                <w:bCs/>
                <w:sz w:val="18"/>
                <w:szCs w:val="18"/>
              </w:rPr>
            </w:pPr>
            <w:r w:rsidRPr="00741215">
              <w:rPr>
                <w:rFonts w:cs="Arial"/>
                <w:bCs/>
                <w:sz w:val="18"/>
                <w:szCs w:val="18"/>
              </w:rPr>
              <w:t>Voda fakturovaná celkem</w:t>
            </w:r>
          </w:p>
        </w:tc>
        <w:tc>
          <w:tcPr>
            <w:tcW w:w="1149" w:type="pct"/>
            <w:vAlign w:val="center"/>
          </w:tcPr>
          <w:p w14:paraId="71CF15E3" w14:textId="77777777" w:rsidR="00741215" w:rsidRPr="00741215" w:rsidRDefault="00741215" w:rsidP="00741215">
            <w:pPr>
              <w:spacing w:before="30" w:after="30"/>
              <w:jc w:val="left"/>
              <w:rPr>
                <w:rFonts w:cs="Arial"/>
                <w:sz w:val="18"/>
                <w:szCs w:val="18"/>
              </w:rPr>
            </w:pPr>
            <w:r w:rsidRPr="00741215">
              <w:rPr>
                <w:rFonts w:cs="Arial"/>
                <w:sz w:val="18"/>
                <w:szCs w:val="18"/>
              </w:rPr>
              <w:t>mil. m</w:t>
            </w:r>
            <w:r w:rsidRPr="00741215">
              <w:rPr>
                <w:rFonts w:cs="Arial"/>
                <w:sz w:val="18"/>
                <w:szCs w:val="18"/>
                <w:vertAlign w:val="superscript"/>
              </w:rPr>
              <w:t>3</w:t>
            </w:r>
            <w:r w:rsidRPr="00741215">
              <w:rPr>
                <w:rFonts w:cs="Arial"/>
                <w:sz w:val="18"/>
                <w:szCs w:val="18"/>
              </w:rPr>
              <w:t>/rok</w:t>
            </w:r>
          </w:p>
        </w:tc>
        <w:tc>
          <w:tcPr>
            <w:tcW w:w="834" w:type="pct"/>
          </w:tcPr>
          <w:p w14:paraId="30878EBE" w14:textId="1C54FC0A" w:rsidR="00741215" w:rsidRPr="00741215" w:rsidRDefault="00741215" w:rsidP="00741215">
            <w:pPr>
              <w:spacing w:before="30" w:after="30"/>
              <w:jc w:val="right"/>
              <w:rPr>
                <w:rFonts w:cs="Arial"/>
                <w:sz w:val="18"/>
                <w:szCs w:val="18"/>
              </w:rPr>
            </w:pPr>
            <w:r w:rsidRPr="00741215">
              <w:rPr>
                <w:rFonts w:cs="Arial"/>
                <w:sz w:val="18"/>
                <w:szCs w:val="18"/>
              </w:rPr>
              <w:t>490,60</w:t>
            </w:r>
          </w:p>
        </w:tc>
      </w:tr>
      <w:tr w:rsidR="00741215" w:rsidRPr="00741215" w14:paraId="6A38C64F" w14:textId="77777777" w:rsidTr="00307E0A">
        <w:trPr>
          <w:trHeight w:val="20"/>
        </w:trPr>
        <w:tc>
          <w:tcPr>
            <w:tcW w:w="3017" w:type="pct"/>
            <w:vAlign w:val="center"/>
          </w:tcPr>
          <w:p w14:paraId="37122C77" w14:textId="77777777" w:rsidR="00741215" w:rsidRPr="00741215" w:rsidRDefault="00741215" w:rsidP="00741215">
            <w:pPr>
              <w:spacing w:before="30" w:after="30"/>
              <w:rPr>
                <w:rFonts w:cs="Arial"/>
                <w:bCs/>
                <w:sz w:val="18"/>
                <w:szCs w:val="18"/>
              </w:rPr>
            </w:pPr>
            <w:r w:rsidRPr="00741215">
              <w:rPr>
                <w:rFonts w:cs="Arial"/>
                <w:bCs/>
                <w:sz w:val="18"/>
                <w:szCs w:val="18"/>
              </w:rPr>
              <w:t>Průměrná cena pro vodné</w:t>
            </w:r>
          </w:p>
        </w:tc>
        <w:tc>
          <w:tcPr>
            <w:tcW w:w="1149" w:type="pct"/>
            <w:noWrap/>
            <w:vAlign w:val="center"/>
          </w:tcPr>
          <w:p w14:paraId="4F409BC9" w14:textId="77777777" w:rsidR="00741215" w:rsidRPr="00741215" w:rsidRDefault="00741215" w:rsidP="00741215">
            <w:pPr>
              <w:spacing w:before="30" w:after="30"/>
              <w:jc w:val="left"/>
              <w:rPr>
                <w:rFonts w:cs="Arial"/>
                <w:sz w:val="18"/>
                <w:szCs w:val="18"/>
              </w:rPr>
            </w:pPr>
            <w:r w:rsidRPr="00741215">
              <w:rPr>
                <w:rFonts w:cs="Arial"/>
                <w:sz w:val="18"/>
                <w:szCs w:val="18"/>
              </w:rPr>
              <w:t>Kč/m</w:t>
            </w:r>
            <w:r w:rsidRPr="00741215">
              <w:rPr>
                <w:rFonts w:cs="Arial"/>
                <w:sz w:val="18"/>
                <w:szCs w:val="18"/>
                <w:vertAlign w:val="superscript"/>
              </w:rPr>
              <w:t xml:space="preserve">3 </w:t>
            </w:r>
            <w:r w:rsidRPr="00741215">
              <w:rPr>
                <w:rFonts w:cs="Arial"/>
                <w:bCs/>
                <w:sz w:val="18"/>
                <w:szCs w:val="18"/>
              </w:rPr>
              <w:t>bez DPH</w:t>
            </w:r>
          </w:p>
        </w:tc>
        <w:tc>
          <w:tcPr>
            <w:tcW w:w="834" w:type="pct"/>
          </w:tcPr>
          <w:p w14:paraId="7CA53D97" w14:textId="0C605D89" w:rsidR="00741215" w:rsidRPr="00741215" w:rsidRDefault="00741215" w:rsidP="00741215">
            <w:pPr>
              <w:spacing w:before="30" w:after="30"/>
              <w:jc w:val="right"/>
              <w:rPr>
                <w:rFonts w:cs="Arial"/>
                <w:sz w:val="18"/>
                <w:szCs w:val="18"/>
              </w:rPr>
            </w:pPr>
            <w:r w:rsidRPr="00741215">
              <w:rPr>
                <w:rFonts w:cs="Arial"/>
                <w:sz w:val="18"/>
                <w:szCs w:val="18"/>
              </w:rPr>
              <w:t>59,95</w:t>
            </w:r>
          </w:p>
        </w:tc>
      </w:tr>
      <w:tr w:rsidR="00741215" w:rsidRPr="00741215" w14:paraId="1B3F8DB3" w14:textId="77777777" w:rsidTr="00307E0A">
        <w:trPr>
          <w:trHeight w:val="20"/>
        </w:trPr>
        <w:tc>
          <w:tcPr>
            <w:tcW w:w="3017" w:type="pct"/>
            <w:vAlign w:val="center"/>
          </w:tcPr>
          <w:p w14:paraId="1F1CB9AA" w14:textId="77777777" w:rsidR="00741215" w:rsidRPr="00741215" w:rsidRDefault="00741215" w:rsidP="00741215">
            <w:pPr>
              <w:spacing w:before="30" w:after="30"/>
              <w:rPr>
                <w:rFonts w:cs="Arial"/>
                <w:bCs/>
                <w:sz w:val="18"/>
                <w:szCs w:val="18"/>
              </w:rPr>
            </w:pPr>
            <w:r w:rsidRPr="00741215">
              <w:rPr>
                <w:rFonts w:cs="Arial"/>
                <w:bCs/>
                <w:sz w:val="18"/>
                <w:szCs w:val="18"/>
              </w:rPr>
              <w:t>Stočné celkem</w:t>
            </w:r>
          </w:p>
        </w:tc>
        <w:tc>
          <w:tcPr>
            <w:tcW w:w="1149" w:type="pct"/>
            <w:noWrap/>
            <w:vAlign w:val="center"/>
          </w:tcPr>
          <w:p w14:paraId="2C0B76FD" w14:textId="77777777" w:rsidR="00741215" w:rsidRPr="00741215" w:rsidRDefault="00741215" w:rsidP="00741215">
            <w:pPr>
              <w:spacing w:before="30" w:after="30"/>
              <w:jc w:val="left"/>
              <w:rPr>
                <w:rFonts w:cs="Arial"/>
                <w:sz w:val="18"/>
                <w:szCs w:val="18"/>
              </w:rPr>
            </w:pPr>
            <w:r w:rsidRPr="00741215">
              <w:rPr>
                <w:rFonts w:cs="Arial"/>
                <w:sz w:val="18"/>
                <w:szCs w:val="18"/>
              </w:rPr>
              <w:t>mil. Kč</w:t>
            </w:r>
          </w:p>
        </w:tc>
        <w:tc>
          <w:tcPr>
            <w:tcW w:w="834" w:type="pct"/>
          </w:tcPr>
          <w:p w14:paraId="4EE0A5A5" w14:textId="25B265C0" w:rsidR="00741215" w:rsidRPr="00741215" w:rsidRDefault="00741215" w:rsidP="00741215">
            <w:pPr>
              <w:spacing w:before="30" w:after="30"/>
              <w:jc w:val="right"/>
              <w:rPr>
                <w:rFonts w:cs="Arial"/>
                <w:sz w:val="18"/>
                <w:szCs w:val="18"/>
              </w:rPr>
            </w:pPr>
            <w:r w:rsidRPr="00741215">
              <w:rPr>
                <w:rFonts w:cs="Arial"/>
                <w:sz w:val="18"/>
                <w:szCs w:val="18"/>
              </w:rPr>
              <w:t>28 950</w:t>
            </w:r>
          </w:p>
        </w:tc>
      </w:tr>
      <w:tr w:rsidR="00741215" w:rsidRPr="00741215" w14:paraId="3F604AE4" w14:textId="77777777" w:rsidTr="00307E0A">
        <w:trPr>
          <w:trHeight w:val="20"/>
        </w:trPr>
        <w:tc>
          <w:tcPr>
            <w:tcW w:w="3017" w:type="pct"/>
            <w:vAlign w:val="center"/>
          </w:tcPr>
          <w:p w14:paraId="702BCEF0" w14:textId="77777777" w:rsidR="00741215" w:rsidRPr="00741215" w:rsidRDefault="00741215" w:rsidP="00741215">
            <w:pPr>
              <w:spacing w:before="30" w:after="30"/>
              <w:rPr>
                <w:rFonts w:cs="Arial"/>
                <w:bCs/>
                <w:sz w:val="18"/>
                <w:szCs w:val="18"/>
              </w:rPr>
            </w:pPr>
            <w:r w:rsidRPr="00741215">
              <w:rPr>
                <w:rFonts w:cs="Arial"/>
                <w:bCs/>
                <w:sz w:val="18"/>
                <w:szCs w:val="18"/>
              </w:rPr>
              <w:t>Vypouštěné odpadní vody do kanalizace</w:t>
            </w:r>
          </w:p>
        </w:tc>
        <w:tc>
          <w:tcPr>
            <w:tcW w:w="1149" w:type="pct"/>
            <w:vAlign w:val="center"/>
          </w:tcPr>
          <w:p w14:paraId="5BAEAEE5" w14:textId="77777777" w:rsidR="00741215" w:rsidRPr="00741215" w:rsidRDefault="00741215" w:rsidP="00741215">
            <w:pPr>
              <w:spacing w:before="30" w:after="30"/>
              <w:jc w:val="left"/>
              <w:rPr>
                <w:rFonts w:cs="Arial"/>
                <w:sz w:val="18"/>
                <w:szCs w:val="18"/>
              </w:rPr>
            </w:pPr>
            <w:r w:rsidRPr="00741215">
              <w:rPr>
                <w:rFonts w:cs="Arial"/>
                <w:sz w:val="18"/>
                <w:szCs w:val="18"/>
              </w:rPr>
              <w:t>mil. m</w:t>
            </w:r>
            <w:r w:rsidRPr="00741215">
              <w:rPr>
                <w:rFonts w:cs="Arial"/>
                <w:sz w:val="18"/>
                <w:szCs w:val="18"/>
                <w:vertAlign w:val="superscript"/>
              </w:rPr>
              <w:t>3</w:t>
            </w:r>
            <w:r w:rsidRPr="00741215">
              <w:rPr>
                <w:rFonts w:cs="Arial"/>
                <w:sz w:val="18"/>
                <w:szCs w:val="18"/>
              </w:rPr>
              <w:t>/rok</w:t>
            </w:r>
          </w:p>
        </w:tc>
        <w:tc>
          <w:tcPr>
            <w:tcW w:w="834" w:type="pct"/>
          </w:tcPr>
          <w:p w14:paraId="57785BA2" w14:textId="49E14331" w:rsidR="00741215" w:rsidRPr="00741215" w:rsidRDefault="00741215" w:rsidP="00741215">
            <w:pPr>
              <w:spacing w:before="30" w:after="30"/>
              <w:jc w:val="right"/>
              <w:rPr>
                <w:rFonts w:cs="Arial"/>
                <w:sz w:val="18"/>
                <w:szCs w:val="18"/>
              </w:rPr>
            </w:pPr>
            <w:r w:rsidRPr="00741215">
              <w:rPr>
                <w:rFonts w:cs="Arial"/>
                <w:sz w:val="18"/>
                <w:szCs w:val="18"/>
              </w:rPr>
              <w:t>533,73</w:t>
            </w:r>
          </w:p>
        </w:tc>
      </w:tr>
      <w:tr w:rsidR="00741215" w:rsidRPr="00741215" w14:paraId="5DBCD825" w14:textId="77777777" w:rsidTr="00307E0A">
        <w:trPr>
          <w:trHeight w:val="20"/>
        </w:trPr>
        <w:tc>
          <w:tcPr>
            <w:tcW w:w="3017" w:type="pct"/>
            <w:vAlign w:val="center"/>
          </w:tcPr>
          <w:p w14:paraId="6C25DC06" w14:textId="77777777" w:rsidR="00741215" w:rsidRPr="00741215" w:rsidRDefault="00741215" w:rsidP="00741215">
            <w:pPr>
              <w:spacing w:before="30" w:after="30"/>
              <w:rPr>
                <w:rFonts w:cs="Arial"/>
                <w:bCs/>
                <w:sz w:val="18"/>
                <w:szCs w:val="18"/>
              </w:rPr>
            </w:pPr>
            <w:r w:rsidRPr="00741215">
              <w:rPr>
                <w:rFonts w:cs="Arial"/>
                <w:bCs/>
                <w:sz w:val="18"/>
                <w:szCs w:val="18"/>
              </w:rPr>
              <w:t>Průměrná cena pro stočné</w:t>
            </w:r>
          </w:p>
        </w:tc>
        <w:tc>
          <w:tcPr>
            <w:tcW w:w="1149" w:type="pct"/>
            <w:noWrap/>
            <w:vAlign w:val="center"/>
          </w:tcPr>
          <w:p w14:paraId="0376D229" w14:textId="77777777" w:rsidR="00741215" w:rsidRPr="00741215" w:rsidRDefault="00741215" w:rsidP="00741215">
            <w:pPr>
              <w:spacing w:before="30" w:after="30"/>
              <w:jc w:val="left"/>
              <w:rPr>
                <w:rFonts w:cs="Arial"/>
                <w:sz w:val="18"/>
                <w:szCs w:val="18"/>
              </w:rPr>
            </w:pPr>
            <w:r w:rsidRPr="00741215">
              <w:rPr>
                <w:rFonts w:cs="Arial"/>
                <w:sz w:val="18"/>
                <w:szCs w:val="18"/>
              </w:rPr>
              <w:t>Kč/m</w:t>
            </w:r>
            <w:r w:rsidRPr="00741215">
              <w:rPr>
                <w:rFonts w:cs="Arial"/>
                <w:sz w:val="18"/>
                <w:szCs w:val="18"/>
                <w:vertAlign w:val="superscript"/>
              </w:rPr>
              <w:t xml:space="preserve">3 </w:t>
            </w:r>
            <w:r w:rsidRPr="00741215">
              <w:rPr>
                <w:rFonts w:cs="Arial"/>
                <w:bCs/>
                <w:sz w:val="18"/>
                <w:szCs w:val="18"/>
              </w:rPr>
              <w:t>bez DPH</w:t>
            </w:r>
          </w:p>
        </w:tc>
        <w:tc>
          <w:tcPr>
            <w:tcW w:w="834" w:type="pct"/>
          </w:tcPr>
          <w:p w14:paraId="00692BAA" w14:textId="3C5B212B" w:rsidR="00741215" w:rsidRPr="00741215" w:rsidRDefault="00741215" w:rsidP="00741215">
            <w:pPr>
              <w:spacing w:before="30" w:after="30"/>
              <w:jc w:val="right"/>
              <w:rPr>
                <w:rFonts w:cs="Arial"/>
                <w:sz w:val="18"/>
                <w:szCs w:val="18"/>
              </w:rPr>
            </w:pPr>
            <w:r w:rsidRPr="00741215">
              <w:rPr>
                <w:rFonts w:cs="Arial"/>
                <w:sz w:val="18"/>
                <w:szCs w:val="18"/>
              </w:rPr>
              <w:t>54,16</w:t>
            </w:r>
          </w:p>
        </w:tc>
      </w:tr>
    </w:tbl>
    <w:p w14:paraId="30BCF6E9" w14:textId="77777777" w:rsidR="003B49EB" w:rsidRPr="00741215" w:rsidRDefault="003B49EB" w:rsidP="00D864B6">
      <w:pPr>
        <w:rPr>
          <w:rFonts w:cs="Arial"/>
          <w:i/>
          <w:sz w:val="20"/>
          <w:szCs w:val="20"/>
        </w:rPr>
      </w:pPr>
      <w:r w:rsidRPr="00741215">
        <w:rPr>
          <w:rFonts w:cs="Arial"/>
          <w:i/>
          <w:sz w:val="20"/>
          <w:szCs w:val="20"/>
        </w:rPr>
        <w:t>Pramen: MZe</w:t>
      </w:r>
    </w:p>
    <w:p w14:paraId="3042C4CA" w14:textId="77777777" w:rsidR="003B49EB" w:rsidRPr="00104F7D" w:rsidRDefault="003B49EB" w:rsidP="007C4955">
      <w:pPr>
        <w:contextualSpacing/>
        <w:rPr>
          <w:rFonts w:cs="Arial"/>
          <w:b/>
          <w:bCs/>
          <w:i/>
          <w:highlight w:val="yellow"/>
        </w:rPr>
      </w:pPr>
    </w:p>
    <w:p w14:paraId="2F3D001C" w14:textId="77777777" w:rsidR="00CE49D5" w:rsidRPr="007D669C" w:rsidRDefault="00CE49D5" w:rsidP="00CE49D5">
      <w:pPr>
        <w:contextualSpacing/>
        <w:rPr>
          <w:rFonts w:cs="Arial"/>
        </w:rPr>
      </w:pPr>
      <w:r w:rsidRPr="007D669C">
        <w:rPr>
          <w:rFonts w:cs="Arial"/>
        </w:rPr>
        <w:t>Podle porovnání, která byla MZe jednotlivými vlastníky nebo provozovateli vodovodů a kanalizací zaslána do 15. 6. 2026, byla nejvyšší průměrná cena pro vodné zjištěna v Ústeckém kraji, kde dosáhla hodnoty 73,39 Kč/m</w:t>
      </w:r>
      <w:r w:rsidRPr="007D669C">
        <w:rPr>
          <w:rFonts w:cs="Arial"/>
          <w:vertAlign w:val="superscript"/>
        </w:rPr>
        <w:t>3</w:t>
      </w:r>
      <w:r w:rsidRPr="007D669C">
        <w:rPr>
          <w:rFonts w:cs="Arial"/>
        </w:rPr>
        <w:t>. Ve srovnání s celorepublikovým průměrem tak byla vyšší o více než 22 %. Nejvyšší průměrná cena pro stočné byla v Hlavním městě Praha, která při výši 68,28 Kč/m</w:t>
      </w:r>
      <w:r w:rsidRPr="007D669C">
        <w:rPr>
          <w:rFonts w:cs="Arial"/>
          <w:vertAlign w:val="superscript"/>
        </w:rPr>
        <w:t>3</w:t>
      </w:r>
      <w:r w:rsidRPr="007D669C">
        <w:rPr>
          <w:rFonts w:cs="Arial"/>
        </w:rPr>
        <w:t xml:space="preserve"> byla o 26 % vyšší, než byl celorepublikový průměr. Naopak nejnižší průměrná cena pro vodné (50,64 Kč/m</w:t>
      </w:r>
      <w:r w:rsidRPr="007D669C">
        <w:rPr>
          <w:rFonts w:cs="Arial"/>
          <w:vertAlign w:val="superscript"/>
        </w:rPr>
        <w:t>3</w:t>
      </w:r>
      <w:r w:rsidRPr="007D669C">
        <w:rPr>
          <w:rFonts w:cs="Arial"/>
        </w:rPr>
        <w:t>) byla v Olomouckém kraji. Nejnižší průměrná cena pro stočné (40,93 Kč/m</w:t>
      </w:r>
      <w:r w:rsidRPr="007D669C">
        <w:rPr>
          <w:rFonts w:cs="Arial"/>
          <w:vertAlign w:val="superscript"/>
        </w:rPr>
        <w:t>3</w:t>
      </w:r>
      <w:r w:rsidRPr="007D669C">
        <w:rPr>
          <w:rFonts w:cs="Arial"/>
        </w:rPr>
        <w:t>) byla v Jihočeském kraji.</w:t>
      </w:r>
    </w:p>
    <w:p w14:paraId="00F06EFE" w14:textId="77777777" w:rsidR="009168AE" w:rsidRPr="007D669C" w:rsidRDefault="009168AE" w:rsidP="007C4955">
      <w:pPr>
        <w:contextualSpacing/>
        <w:rPr>
          <w:b/>
          <w:i/>
        </w:rPr>
      </w:pPr>
    </w:p>
    <w:p w14:paraId="2DCEAA09" w14:textId="149AFA81" w:rsidR="00ED6DC6" w:rsidRPr="00A55F03" w:rsidRDefault="00ED6DC6" w:rsidP="007C4955">
      <w:pPr>
        <w:contextualSpacing/>
        <w:rPr>
          <w:b/>
          <w:i/>
        </w:rPr>
      </w:pPr>
      <w:r w:rsidRPr="00A55F03">
        <w:rPr>
          <w:b/>
          <w:i/>
        </w:rPr>
        <w:t xml:space="preserve">Tabulka </w:t>
      </w:r>
      <w:r w:rsidR="00D046E0" w:rsidRPr="00A55F03">
        <w:rPr>
          <w:b/>
          <w:i/>
        </w:rPr>
        <w:t>9</w:t>
      </w:r>
      <w:r w:rsidRPr="00A55F03">
        <w:rPr>
          <w:b/>
          <w:i/>
        </w:rPr>
        <w:t xml:space="preserve">.3.2  </w:t>
      </w:r>
    </w:p>
    <w:p w14:paraId="6C5DF03D" w14:textId="3FBACBA8" w:rsidR="00ED6DC6" w:rsidRDefault="00ED6DC6" w:rsidP="007C4955">
      <w:pPr>
        <w:contextualSpacing/>
        <w:rPr>
          <w:b/>
          <w:i/>
        </w:rPr>
      </w:pPr>
      <w:r w:rsidRPr="00A55F03">
        <w:rPr>
          <w:b/>
          <w:i/>
        </w:rPr>
        <w:t>Spotřeba vody, průměrné ceny bez DPH pro vodné a pro stoč</w:t>
      </w:r>
      <w:r w:rsidR="0052601F" w:rsidRPr="00A55F03">
        <w:rPr>
          <w:b/>
          <w:i/>
        </w:rPr>
        <w:t>né v roce 202</w:t>
      </w:r>
      <w:r w:rsidR="00A55F03" w:rsidRPr="00A55F03">
        <w:rPr>
          <w:b/>
          <w:i/>
        </w:rPr>
        <w:t>5</w:t>
      </w:r>
    </w:p>
    <w:tbl>
      <w:tblPr>
        <w:tblW w:w="8520" w:type="dxa"/>
        <w:tblInd w:w="55" w:type="dxa"/>
        <w:tblLayout w:type="fixed"/>
        <w:tblCellMar>
          <w:top w:w="30" w:type="dxa"/>
          <w:left w:w="45" w:type="dxa"/>
          <w:bottom w:w="30" w:type="dxa"/>
          <w:right w:w="45" w:type="dxa"/>
        </w:tblCellMar>
        <w:tblLook w:val="0000" w:firstRow="0" w:lastRow="0" w:firstColumn="0" w:lastColumn="0" w:noHBand="0" w:noVBand="0"/>
      </w:tblPr>
      <w:tblGrid>
        <w:gridCol w:w="1716"/>
        <w:gridCol w:w="1701"/>
        <w:gridCol w:w="1701"/>
        <w:gridCol w:w="1560"/>
        <w:gridCol w:w="1842"/>
      </w:tblGrid>
      <w:tr w:rsidR="009B131F" w:rsidRPr="00943D12" w14:paraId="1F050ED9" w14:textId="77777777" w:rsidTr="00EF1ABD">
        <w:trPr>
          <w:cantSplit/>
          <w:trHeight w:val="660"/>
          <w:tblHeader/>
        </w:trPr>
        <w:tc>
          <w:tcPr>
            <w:tcW w:w="1716"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678068B0" w14:textId="77777777" w:rsidR="009B131F" w:rsidRPr="00943D12" w:rsidRDefault="009B131F" w:rsidP="00EF1ABD">
            <w:pPr>
              <w:spacing w:before="30" w:after="30"/>
              <w:jc w:val="center"/>
              <w:rPr>
                <w:rFonts w:cs="Arial"/>
                <w:b/>
                <w:bCs/>
                <w:sz w:val="16"/>
                <w:szCs w:val="16"/>
              </w:rPr>
            </w:pPr>
            <w:r w:rsidRPr="00943D12">
              <w:rPr>
                <w:rFonts w:cs="Arial"/>
                <w:b/>
                <w:bCs/>
                <w:sz w:val="16"/>
                <w:szCs w:val="16"/>
              </w:rPr>
              <w:t>Kraj</w:t>
            </w:r>
          </w:p>
        </w:tc>
        <w:tc>
          <w:tcPr>
            <w:tcW w:w="1701" w:type="dxa"/>
            <w:tcBorders>
              <w:top w:val="single" w:sz="4" w:space="0" w:color="auto"/>
              <w:left w:val="single" w:sz="4" w:space="0" w:color="auto"/>
              <w:bottom w:val="single" w:sz="4" w:space="0" w:color="auto"/>
              <w:right w:val="single" w:sz="4" w:space="0" w:color="auto"/>
            </w:tcBorders>
            <w:shd w:val="clear" w:color="auto" w:fill="BFBFBF"/>
            <w:vAlign w:val="center"/>
          </w:tcPr>
          <w:p w14:paraId="443D2751" w14:textId="77777777" w:rsidR="009B131F" w:rsidRPr="00943D12" w:rsidRDefault="009B131F" w:rsidP="00EF1ABD">
            <w:pPr>
              <w:spacing w:before="30" w:after="30"/>
              <w:jc w:val="center"/>
              <w:rPr>
                <w:rFonts w:cs="Arial"/>
                <w:b/>
                <w:bCs/>
                <w:sz w:val="16"/>
                <w:szCs w:val="16"/>
              </w:rPr>
            </w:pPr>
            <w:r w:rsidRPr="00943D12">
              <w:rPr>
                <w:rFonts w:cs="Arial"/>
                <w:b/>
                <w:bCs/>
                <w:sz w:val="16"/>
                <w:szCs w:val="16"/>
              </w:rPr>
              <w:t>Specifické množství vody fakturované celkem</w:t>
            </w:r>
          </w:p>
        </w:tc>
        <w:tc>
          <w:tcPr>
            <w:tcW w:w="1701" w:type="dxa"/>
            <w:tcBorders>
              <w:top w:val="single" w:sz="4" w:space="0" w:color="auto"/>
              <w:left w:val="single" w:sz="4" w:space="0" w:color="auto"/>
              <w:bottom w:val="single" w:sz="4" w:space="0" w:color="auto"/>
              <w:right w:val="single" w:sz="4" w:space="0" w:color="auto"/>
            </w:tcBorders>
            <w:shd w:val="clear" w:color="auto" w:fill="BFBFBF"/>
            <w:vAlign w:val="center"/>
          </w:tcPr>
          <w:p w14:paraId="791A202B" w14:textId="77777777" w:rsidR="009B131F" w:rsidRPr="00943D12" w:rsidRDefault="009B131F" w:rsidP="00EF1ABD">
            <w:pPr>
              <w:spacing w:before="30" w:after="30"/>
              <w:jc w:val="center"/>
              <w:rPr>
                <w:rFonts w:cs="Arial"/>
                <w:b/>
                <w:bCs/>
                <w:sz w:val="16"/>
                <w:szCs w:val="16"/>
              </w:rPr>
            </w:pPr>
            <w:r w:rsidRPr="00943D12">
              <w:rPr>
                <w:rFonts w:cs="Arial"/>
                <w:b/>
                <w:bCs/>
                <w:sz w:val="16"/>
                <w:szCs w:val="16"/>
              </w:rPr>
              <w:t>Specifické množství vody fakturované domácnostem</w:t>
            </w:r>
          </w:p>
        </w:tc>
        <w:tc>
          <w:tcPr>
            <w:tcW w:w="1560" w:type="dxa"/>
            <w:tcBorders>
              <w:top w:val="single" w:sz="4" w:space="0" w:color="auto"/>
              <w:left w:val="single" w:sz="4" w:space="0" w:color="auto"/>
              <w:bottom w:val="single" w:sz="4" w:space="0" w:color="auto"/>
              <w:right w:val="single" w:sz="4" w:space="0" w:color="auto"/>
            </w:tcBorders>
            <w:shd w:val="clear" w:color="auto" w:fill="BFBFBF"/>
            <w:vAlign w:val="center"/>
          </w:tcPr>
          <w:p w14:paraId="7A511857" w14:textId="77777777" w:rsidR="009B131F" w:rsidRPr="00943D12" w:rsidRDefault="009B131F" w:rsidP="00EF1ABD">
            <w:pPr>
              <w:spacing w:before="30" w:after="30"/>
              <w:jc w:val="center"/>
              <w:rPr>
                <w:rFonts w:cs="Arial"/>
                <w:b/>
                <w:bCs/>
                <w:sz w:val="16"/>
                <w:szCs w:val="16"/>
              </w:rPr>
            </w:pPr>
            <w:r w:rsidRPr="00943D12">
              <w:rPr>
                <w:rFonts w:cs="Arial"/>
                <w:b/>
                <w:bCs/>
                <w:sz w:val="16"/>
                <w:szCs w:val="16"/>
              </w:rPr>
              <w:t>Průměrná cena pro vodné</w:t>
            </w:r>
          </w:p>
        </w:tc>
        <w:tc>
          <w:tcPr>
            <w:tcW w:w="1842" w:type="dxa"/>
            <w:tcBorders>
              <w:top w:val="single" w:sz="4" w:space="0" w:color="auto"/>
              <w:left w:val="single" w:sz="4" w:space="0" w:color="auto"/>
              <w:bottom w:val="single" w:sz="4" w:space="0" w:color="auto"/>
              <w:right w:val="single" w:sz="4" w:space="0" w:color="auto"/>
            </w:tcBorders>
            <w:shd w:val="clear" w:color="auto" w:fill="BFBFBF"/>
            <w:vAlign w:val="center"/>
          </w:tcPr>
          <w:p w14:paraId="141FB23A" w14:textId="77777777" w:rsidR="009B131F" w:rsidRPr="00943D12" w:rsidRDefault="009B131F" w:rsidP="00EF1ABD">
            <w:pPr>
              <w:spacing w:before="30" w:after="30"/>
              <w:jc w:val="center"/>
              <w:rPr>
                <w:rFonts w:cs="Arial"/>
                <w:b/>
                <w:bCs/>
                <w:sz w:val="16"/>
                <w:szCs w:val="16"/>
              </w:rPr>
            </w:pPr>
            <w:r w:rsidRPr="00943D12">
              <w:rPr>
                <w:rFonts w:cs="Arial"/>
                <w:b/>
                <w:bCs/>
                <w:sz w:val="16"/>
                <w:szCs w:val="16"/>
              </w:rPr>
              <w:t>Průměrná cena pro stočné</w:t>
            </w:r>
          </w:p>
        </w:tc>
      </w:tr>
      <w:tr w:rsidR="009B131F" w:rsidRPr="00943D12" w14:paraId="4E52E078" w14:textId="77777777" w:rsidTr="00EF1ABD">
        <w:trPr>
          <w:cantSplit/>
          <w:trHeight w:val="255"/>
          <w:tblHeader/>
        </w:trPr>
        <w:tc>
          <w:tcPr>
            <w:tcW w:w="1716" w:type="dxa"/>
            <w:vMerge/>
            <w:tcBorders>
              <w:top w:val="single" w:sz="4" w:space="0" w:color="auto"/>
              <w:left w:val="single" w:sz="4" w:space="0" w:color="auto"/>
              <w:bottom w:val="single" w:sz="4" w:space="0" w:color="auto"/>
              <w:right w:val="single" w:sz="4" w:space="0" w:color="auto"/>
            </w:tcBorders>
            <w:shd w:val="clear" w:color="auto" w:fill="BFBFBF"/>
            <w:vAlign w:val="center"/>
          </w:tcPr>
          <w:p w14:paraId="20176204" w14:textId="77777777" w:rsidR="009B131F" w:rsidRPr="00943D12" w:rsidRDefault="009B131F" w:rsidP="00EF1ABD">
            <w:pPr>
              <w:spacing w:before="30" w:after="30"/>
              <w:rPr>
                <w:rFonts w:cs="Arial"/>
                <w:b/>
                <w:bCs/>
                <w:sz w:val="16"/>
                <w:szCs w:val="16"/>
              </w:rPr>
            </w:pPr>
          </w:p>
        </w:tc>
        <w:tc>
          <w:tcPr>
            <w:tcW w:w="3402"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C17FC5C" w14:textId="77777777" w:rsidR="009B131F" w:rsidRPr="00943D12" w:rsidRDefault="009B131F" w:rsidP="00EF1ABD">
            <w:pPr>
              <w:spacing w:before="30" w:after="30"/>
              <w:jc w:val="center"/>
              <w:rPr>
                <w:rFonts w:cs="Arial"/>
                <w:bCs/>
                <w:sz w:val="16"/>
                <w:szCs w:val="16"/>
              </w:rPr>
            </w:pPr>
            <w:r w:rsidRPr="00943D12">
              <w:rPr>
                <w:rFonts w:cs="Arial"/>
                <w:bCs/>
                <w:sz w:val="16"/>
                <w:szCs w:val="16"/>
              </w:rPr>
              <w:t>(l/os/den)</w:t>
            </w:r>
          </w:p>
        </w:tc>
        <w:tc>
          <w:tcPr>
            <w:tcW w:w="3402"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F392524" w14:textId="77777777" w:rsidR="009B131F" w:rsidRPr="00943D12" w:rsidRDefault="009B131F" w:rsidP="00EF1ABD">
            <w:pPr>
              <w:spacing w:before="30" w:after="30"/>
              <w:jc w:val="center"/>
              <w:rPr>
                <w:rFonts w:cs="Arial"/>
                <w:bCs/>
                <w:sz w:val="16"/>
                <w:szCs w:val="16"/>
              </w:rPr>
            </w:pPr>
            <w:r w:rsidRPr="00943D12">
              <w:rPr>
                <w:rFonts w:cs="Arial"/>
                <w:bCs/>
                <w:sz w:val="16"/>
                <w:szCs w:val="16"/>
              </w:rPr>
              <w:t>(Kč/m</w:t>
            </w:r>
            <w:r w:rsidRPr="00943D12">
              <w:rPr>
                <w:rFonts w:cs="Arial"/>
                <w:bCs/>
                <w:sz w:val="16"/>
                <w:szCs w:val="16"/>
                <w:vertAlign w:val="superscript"/>
              </w:rPr>
              <w:t>3</w:t>
            </w:r>
            <w:r w:rsidRPr="00943D12">
              <w:rPr>
                <w:rFonts w:cs="Arial"/>
                <w:bCs/>
                <w:sz w:val="16"/>
                <w:szCs w:val="16"/>
              </w:rPr>
              <w:t xml:space="preserve"> bez DPH)</w:t>
            </w:r>
          </w:p>
        </w:tc>
      </w:tr>
      <w:tr w:rsidR="009B131F" w:rsidRPr="00943D12" w14:paraId="7ED8CD30" w14:textId="77777777" w:rsidTr="00EF1ABD">
        <w:trPr>
          <w:trHeight w:val="240"/>
        </w:trPr>
        <w:tc>
          <w:tcPr>
            <w:tcW w:w="1716" w:type="dxa"/>
            <w:tcBorders>
              <w:top w:val="single" w:sz="4" w:space="0" w:color="auto"/>
              <w:left w:val="single" w:sz="4" w:space="0" w:color="auto"/>
              <w:bottom w:val="single" w:sz="4" w:space="0" w:color="auto"/>
              <w:right w:val="single" w:sz="4" w:space="0" w:color="auto"/>
            </w:tcBorders>
            <w:vAlign w:val="center"/>
          </w:tcPr>
          <w:p w14:paraId="5C7A4850" w14:textId="77777777" w:rsidR="009B131F" w:rsidRPr="00943D12" w:rsidRDefault="009B131F" w:rsidP="00EF1ABD">
            <w:pPr>
              <w:spacing w:before="30" w:after="30"/>
              <w:jc w:val="left"/>
              <w:rPr>
                <w:rFonts w:cs="Arial"/>
                <w:bCs/>
                <w:sz w:val="16"/>
                <w:szCs w:val="16"/>
              </w:rPr>
            </w:pPr>
            <w:r w:rsidRPr="00943D12">
              <w:rPr>
                <w:rFonts w:cs="Arial"/>
                <w:bCs/>
                <w:sz w:val="16"/>
                <w:szCs w:val="16"/>
              </w:rPr>
              <w:t>Hl. město Praha</w:t>
            </w:r>
          </w:p>
        </w:tc>
        <w:tc>
          <w:tcPr>
            <w:tcW w:w="1701" w:type="dxa"/>
            <w:tcBorders>
              <w:top w:val="single" w:sz="4" w:space="0" w:color="auto"/>
              <w:left w:val="single" w:sz="4" w:space="0" w:color="auto"/>
              <w:bottom w:val="single" w:sz="4" w:space="0" w:color="auto"/>
              <w:right w:val="single" w:sz="4" w:space="0" w:color="auto"/>
            </w:tcBorders>
          </w:tcPr>
          <w:p w14:paraId="5A351468"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157,5</w:t>
            </w:r>
          </w:p>
        </w:tc>
        <w:tc>
          <w:tcPr>
            <w:tcW w:w="1701" w:type="dxa"/>
            <w:tcBorders>
              <w:top w:val="single" w:sz="4" w:space="0" w:color="auto"/>
              <w:left w:val="single" w:sz="4" w:space="0" w:color="auto"/>
              <w:bottom w:val="single" w:sz="4" w:space="0" w:color="auto"/>
              <w:right w:val="single" w:sz="4" w:space="0" w:color="auto"/>
            </w:tcBorders>
          </w:tcPr>
          <w:p w14:paraId="415CB079"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106,8</w:t>
            </w:r>
          </w:p>
        </w:tc>
        <w:tc>
          <w:tcPr>
            <w:tcW w:w="1560" w:type="dxa"/>
            <w:tcBorders>
              <w:top w:val="single" w:sz="4" w:space="0" w:color="auto"/>
              <w:left w:val="single" w:sz="4" w:space="0" w:color="auto"/>
              <w:bottom w:val="single" w:sz="4" w:space="0" w:color="auto"/>
              <w:right w:val="single" w:sz="4" w:space="0" w:color="auto"/>
            </w:tcBorders>
          </w:tcPr>
          <w:p w14:paraId="1BEAF1DE"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67,18</w:t>
            </w:r>
          </w:p>
        </w:tc>
        <w:tc>
          <w:tcPr>
            <w:tcW w:w="1842" w:type="dxa"/>
            <w:tcBorders>
              <w:top w:val="single" w:sz="4" w:space="0" w:color="auto"/>
              <w:left w:val="single" w:sz="4" w:space="0" w:color="auto"/>
              <w:bottom w:val="single" w:sz="4" w:space="0" w:color="auto"/>
              <w:right w:val="single" w:sz="4" w:space="0" w:color="auto"/>
            </w:tcBorders>
          </w:tcPr>
          <w:p w14:paraId="1F4D984F"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68,28</w:t>
            </w:r>
          </w:p>
        </w:tc>
      </w:tr>
      <w:tr w:rsidR="009B131F" w:rsidRPr="00943D12" w14:paraId="1DAEBCB7" w14:textId="77777777" w:rsidTr="00EF1ABD">
        <w:trPr>
          <w:trHeight w:val="240"/>
        </w:trPr>
        <w:tc>
          <w:tcPr>
            <w:tcW w:w="1716" w:type="dxa"/>
            <w:tcBorders>
              <w:top w:val="single" w:sz="4" w:space="0" w:color="auto"/>
              <w:left w:val="single" w:sz="4" w:space="0" w:color="auto"/>
              <w:bottom w:val="single" w:sz="4" w:space="0" w:color="auto"/>
              <w:right w:val="single" w:sz="4" w:space="0" w:color="auto"/>
            </w:tcBorders>
            <w:vAlign w:val="center"/>
          </w:tcPr>
          <w:p w14:paraId="5E449702" w14:textId="77777777" w:rsidR="009B131F" w:rsidRPr="00943D12" w:rsidRDefault="009B131F" w:rsidP="00EF1ABD">
            <w:pPr>
              <w:spacing w:before="30" w:after="30"/>
              <w:jc w:val="left"/>
              <w:rPr>
                <w:rFonts w:cs="Arial"/>
                <w:bCs/>
                <w:sz w:val="16"/>
                <w:szCs w:val="16"/>
              </w:rPr>
            </w:pPr>
            <w:r w:rsidRPr="00943D12">
              <w:rPr>
                <w:rFonts w:cs="Arial"/>
                <w:bCs/>
                <w:sz w:val="16"/>
                <w:szCs w:val="16"/>
              </w:rPr>
              <w:t>Středočeský</w:t>
            </w:r>
          </w:p>
        </w:tc>
        <w:tc>
          <w:tcPr>
            <w:tcW w:w="1701" w:type="dxa"/>
            <w:tcBorders>
              <w:top w:val="single" w:sz="4" w:space="0" w:color="auto"/>
              <w:left w:val="single" w:sz="4" w:space="0" w:color="auto"/>
              <w:bottom w:val="single" w:sz="4" w:space="0" w:color="auto"/>
              <w:right w:val="single" w:sz="4" w:space="0" w:color="auto"/>
            </w:tcBorders>
          </w:tcPr>
          <w:p w14:paraId="08620936"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119,7</w:t>
            </w:r>
          </w:p>
        </w:tc>
        <w:tc>
          <w:tcPr>
            <w:tcW w:w="1701" w:type="dxa"/>
            <w:tcBorders>
              <w:top w:val="single" w:sz="4" w:space="0" w:color="auto"/>
              <w:left w:val="single" w:sz="4" w:space="0" w:color="auto"/>
              <w:bottom w:val="single" w:sz="4" w:space="0" w:color="auto"/>
              <w:right w:val="single" w:sz="4" w:space="0" w:color="auto"/>
            </w:tcBorders>
          </w:tcPr>
          <w:p w14:paraId="34081C28"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86,1</w:t>
            </w:r>
          </w:p>
        </w:tc>
        <w:tc>
          <w:tcPr>
            <w:tcW w:w="1560" w:type="dxa"/>
            <w:tcBorders>
              <w:top w:val="single" w:sz="4" w:space="0" w:color="auto"/>
              <w:left w:val="single" w:sz="4" w:space="0" w:color="auto"/>
              <w:bottom w:val="single" w:sz="4" w:space="0" w:color="auto"/>
              <w:right w:val="single" w:sz="4" w:space="0" w:color="auto"/>
            </w:tcBorders>
          </w:tcPr>
          <w:p w14:paraId="362D0592"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67,15</w:t>
            </w:r>
          </w:p>
        </w:tc>
        <w:tc>
          <w:tcPr>
            <w:tcW w:w="1842" w:type="dxa"/>
            <w:tcBorders>
              <w:top w:val="single" w:sz="4" w:space="0" w:color="auto"/>
              <w:left w:val="single" w:sz="4" w:space="0" w:color="auto"/>
              <w:bottom w:val="single" w:sz="4" w:space="0" w:color="auto"/>
              <w:right w:val="single" w:sz="4" w:space="0" w:color="auto"/>
            </w:tcBorders>
          </w:tcPr>
          <w:p w14:paraId="783B801C"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56,46</w:t>
            </w:r>
          </w:p>
        </w:tc>
      </w:tr>
      <w:tr w:rsidR="009B131F" w:rsidRPr="00943D12" w14:paraId="50464BD7" w14:textId="77777777" w:rsidTr="00EF1ABD">
        <w:trPr>
          <w:trHeight w:val="240"/>
        </w:trPr>
        <w:tc>
          <w:tcPr>
            <w:tcW w:w="1716" w:type="dxa"/>
            <w:tcBorders>
              <w:top w:val="single" w:sz="4" w:space="0" w:color="auto"/>
              <w:left w:val="single" w:sz="4" w:space="0" w:color="auto"/>
              <w:bottom w:val="single" w:sz="4" w:space="0" w:color="auto"/>
              <w:right w:val="single" w:sz="4" w:space="0" w:color="auto"/>
            </w:tcBorders>
            <w:vAlign w:val="center"/>
          </w:tcPr>
          <w:p w14:paraId="538A8CC6" w14:textId="77777777" w:rsidR="009B131F" w:rsidRPr="00943D12" w:rsidRDefault="009B131F" w:rsidP="00EF1ABD">
            <w:pPr>
              <w:spacing w:before="30" w:after="30"/>
              <w:jc w:val="left"/>
              <w:rPr>
                <w:rFonts w:cs="Arial"/>
                <w:bCs/>
                <w:sz w:val="16"/>
                <w:szCs w:val="16"/>
              </w:rPr>
            </w:pPr>
            <w:r w:rsidRPr="00943D12">
              <w:rPr>
                <w:rFonts w:cs="Arial"/>
                <w:bCs/>
                <w:sz w:val="16"/>
                <w:szCs w:val="16"/>
              </w:rPr>
              <w:t>Jihočeský</w:t>
            </w:r>
          </w:p>
        </w:tc>
        <w:tc>
          <w:tcPr>
            <w:tcW w:w="1701" w:type="dxa"/>
            <w:tcBorders>
              <w:top w:val="single" w:sz="4" w:space="0" w:color="auto"/>
              <w:left w:val="single" w:sz="4" w:space="0" w:color="auto"/>
              <w:bottom w:val="single" w:sz="4" w:space="0" w:color="auto"/>
              <w:right w:val="single" w:sz="4" w:space="0" w:color="auto"/>
            </w:tcBorders>
          </w:tcPr>
          <w:p w14:paraId="05476F09"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126,5</w:t>
            </w:r>
          </w:p>
        </w:tc>
        <w:tc>
          <w:tcPr>
            <w:tcW w:w="1701" w:type="dxa"/>
            <w:tcBorders>
              <w:top w:val="single" w:sz="4" w:space="0" w:color="auto"/>
              <w:left w:val="single" w:sz="4" w:space="0" w:color="auto"/>
              <w:bottom w:val="single" w:sz="4" w:space="0" w:color="auto"/>
              <w:right w:val="single" w:sz="4" w:space="0" w:color="auto"/>
            </w:tcBorders>
          </w:tcPr>
          <w:p w14:paraId="207B5D5A"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81,8</w:t>
            </w:r>
          </w:p>
        </w:tc>
        <w:tc>
          <w:tcPr>
            <w:tcW w:w="1560" w:type="dxa"/>
            <w:tcBorders>
              <w:top w:val="single" w:sz="4" w:space="0" w:color="auto"/>
              <w:left w:val="single" w:sz="4" w:space="0" w:color="auto"/>
              <w:bottom w:val="single" w:sz="4" w:space="0" w:color="auto"/>
              <w:right w:val="single" w:sz="4" w:space="0" w:color="auto"/>
            </w:tcBorders>
          </w:tcPr>
          <w:p w14:paraId="37B8F833"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51,88</w:t>
            </w:r>
          </w:p>
        </w:tc>
        <w:tc>
          <w:tcPr>
            <w:tcW w:w="1842" w:type="dxa"/>
            <w:tcBorders>
              <w:top w:val="single" w:sz="4" w:space="0" w:color="auto"/>
              <w:left w:val="single" w:sz="4" w:space="0" w:color="auto"/>
              <w:bottom w:val="single" w:sz="4" w:space="0" w:color="auto"/>
              <w:right w:val="single" w:sz="4" w:space="0" w:color="auto"/>
            </w:tcBorders>
          </w:tcPr>
          <w:p w14:paraId="4E168056"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40,93</w:t>
            </w:r>
          </w:p>
        </w:tc>
      </w:tr>
      <w:tr w:rsidR="009B131F" w:rsidRPr="00943D12" w14:paraId="4330EDB9" w14:textId="77777777" w:rsidTr="00EF1ABD">
        <w:trPr>
          <w:trHeight w:val="240"/>
        </w:trPr>
        <w:tc>
          <w:tcPr>
            <w:tcW w:w="1716" w:type="dxa"/>
            <w:tcBorders>
              <w:top w:val="single" w:sz="4" w:space="0" w:color="auto"/>
              <w:left w:val="single" w:sz="4" w:space="0" w:color="auto"/>
              <w:bottom w:val="single" w:sz="4" w:space="0" w:color="auto"/>
              <w:right w:val="single" w:sz="4" w:space="0" w:color="auto"/>
            </w:tcBorders>
            <w:vAlign w:val="center"/>
          </w:tcPr>
          <w:p w14:paraId="33D866D3" w14:textId="77777777" w:rsidR="009B131F" w:rsidRPr="00943D12" w:rsidRDefault="009B131F" w:rsidP="00EF1ABD">
            <w:pPr>
              <w:spacing w:before="30" w:after="30"/>
              <w:jc w:val="left"/>
              <w:rPr>
                <w:rFonts w:cs="Arial"/>
                <w:bCs/>
                <w:sz w:val="16"/>
                <w:szCs w:val="16"/>
              </w:rPr>
            </w:pPr>
            <w:r w:rsidRPr="00943D12">
              <w:rPr>
                <w:rFonts w:cs="Arial"/>
                <w:bCs/>
                <w:sz w:val="16"/>
                <w:szCs w:val="16"/>
              </w:rPr>
              <w:t>Plzeňský</w:t>
            </w:r>
          </w:p>
        </w:tc>
        <w:tc>
          <w:tcPr>
            <w:tcW w:w="1701" w:type="dxa"/>
            <w:tcBorders>
              <w:top w:val="single" w:sz="4" w:space="0" w:color="auto"/>
              <w:left w:val="single" w:sz="4" w:space="0" w:color="auto"/>
              <w:bottom w:val="single" w:sz="4" w:space="0" w:color="auto"/>
              <w:right w:val="single" w:sz="4" w:space="0" w:color="auto"/>
            </w:tcBorders>
          </w:tcPr>
          <w:p w14:paraId="0FED7FD3"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130,3</w:t>
            </w:r>
          </w:p>
        </w:tc>
        <w:tc>
          <w:tcPr>
            <w:tcW w:w="1701" w:type="dxa"/>
            <w:tcBorders>
              <w:top w:val="single" w:sz="4" w:space="0" w:color="auto"/>
              <w:left w:val="single" w:sz="4" w:space="0" w:color="auto"/>
              <w:bottom w:val="single" w:sz="4" w:space="0" w:color="auto"/>
              <w:right w:val="single" w:sz="4" w:space="0" w:color="auto"/>
            </w:tcBorders>
          </w:tcPr>
          <w:p w14:paraId="254D8CF5"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85,3</w:t>
            </w:r>
          </w:p>
        </w:tc>
        <w:tc>
          <w:tcPr>
            <w:tcW w:w="1560" w:type="dxa"/>
            <w:tcBorders>
              <w:top w:val="single" w:sz="4" w:space="0" w:color="auto"/>
              <w:left w:val="single" w:sz="4" w:space="0" w:color="auto"/>
              <w:bottom w:val="single" w:sz="4" w:space="0" w:color="auto"/>
              <w:right w:val="single" w:sz="4" w:space="0" w:color="auto"/>
            </w:tcBorders>
          </w:tcPr>
          <w:p w14:paraId="2B255B89"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56,02</w:t>
            </w:r>
          </w:p>
        </w:tc>
        <w:tc>
          <w:tcPr>
            <w:tcW w:w="1842" w:type="dxa"/>
            <w:tcBorders>
              <w:top w:val="single" w:sz="4" w:space="0" w:color="auto"/>
              <w:left w:val="single" w:sz="4" w:space="0" w:color="auto"/>
              <w:bottom w:val="single" w:sz="4" w:space="0" w:color="auto"/>
              <w:right w:val="single" w:sz="4" w:space="0" w:color="auto"/>
            </w:tcBorders>
          </w:tcPr>
          <w:p w14:paraId="53356A04"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41,81</w:t>
            </w:r>
          </w:p>
        </w:tc>
      </w:tr>
      <w:tr w:rsidR="009B131F" w:rsidRPr="00943D12" w14:paraId="27AF1CF9" w14:textId="77777777" w:rsidTr="00EF1ABD">
        <w:trPr>
          <w:trHeight w:val="240"/>
        </w:trPr>
        <w:tc>
          <w:tcPr>
            <w:tcW w:w="1716" w:type="dxa"/>
            <w:tcBorders>
              <w:top w:val="single" w:sz="4" w:space="0" w:color="auto"/>
              <w:left w:val="single" w:sz="4" w:space="0" w:color="auto"/>
              <w:bottom w:val="single" w:sz="4" w:space="0" w:color="auto"/>
              <w:right w:val="single" w:sz="4" w:space="0" w:color="auto"/>
            </w:tcBorders>
            <w:vAlign w:val="center"/>
          </w:tcPr>
          <w:p w14:paraId="471CBCFB" w14:textId="77777777" w:rsidR="009B131F" w:rsidRPr="00943D12" w:rsidRDefault="009B131F" w:rsidP="00EF1ABD">
            <w:pPr>
              <w:spacing w:before="30" w:after="30"/>
              <w:jc w:val="left"/>
              <w:rPr>
                <w:rFonts w:cs="Arial"/>
                <w:bCs/>
                <w:sz w:val="16"/>
                <w:szCs w:val="16"/>
              </w:rPr>
            </w:pPr>
            <w:r w:rsidRPr="00943D12">
              <w:rPr>
                <w:rFonts w:cs="Arial"/>
                <w:bCs/>
                <w:sz w:val="16"/>
                <w:szCs w:val="16"/>
              </w:rPr>
              <w:t>Karlovarský</w:t>
            </w:r>
          </w:p>
        </w:tc>
        <w:tc>
          <w:tcPr>
            <w:tcW w:w="1701" w:type="dxa"/>
            <w:tcBorders>
              <w:top w:val="single" w:sz="4" w:space="0" w:color="auto"/>
              <w:left w:val="single" w:sz="4" w:space="0" w:color="auto"/>
              <w:bottom w:val="single" w:sz="4" w:space="0" w:color="auto"/>
              <w:right w:val="single" w:sz="4" w:space="0" w:color="auto"/>
            </w:tcBorders>
          </w:tcPr>
          <w:p w14:paraId="348ABCCE"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133,7</w:t>
            </w:r>
          </w:p>
        </w:tc>
        <w:tc>
          <w:tcPr>
            <w:tcW w:w="1701" w:type="dxa"/>
            <w:tcBorders>
              <w:top w:val="single" w:sz="4" w:space="0" w:color="auto"/>
              <w:left w:val="single" w:sz="4" w:space="0" w:color="auto"/>
              <w:bottom w:val="single" w:sz="4" w:space="0" w:color="auto"/>
              <w:right w:val="single" w:sz="4" w:space="0" w:color="auto"/>
            </w:tcBorders>
          </w:tcPr>
          <w:p w14:paraId="4979F996"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84,0</w:t>
            </w:r>
          </w:p>
        </w:tc>
        <w:tc>
          <w:tcPr>
            <w:tcW w:w="1560" w:type="dxa"/>
            <w:tcBorders>
              <w:top w:val="single" w:sz="4" w:space="0" w:color="auto"/>
              <w:left w:val="single" w:sz="4" w:space="0" w:color="auto"/>
              <w:bottom w:val="single" w:sz="4" w:space="0" w:color="auto"/>
              <w:right w:val="single" w:sz="4" w:space="0" w:color="auto"/>
            </w:tcBorders>
          </w:tcPr>
          <w:p w14:paraId="6768C5A8"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57,37</w:t>
            </w:r>
          </w:p>
        </w:tc>
        <w:tc>
          <w:tcPr>
            <w:tcW w:w="1842" w:type="dxa"/>
            <w:tcBorders>
              <w:top w:val="single" w:sz="4" w:space="0" w:color="auto"/>
              <w:left w:val="single" w:sz="4" w:space="0" w:color="auto"/>
              <w:bottom w:val="single" w:sz="4" w:space="0" w:color="auto"/>
              <w:right w:val="single" w:sz="4" w:space="0" w:color="auto"/>
            </w:tcBorders>
          </w:tcPr>
          <w:p w14:paraId="3973B9E3"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51,83</w:t>
            </w:r>
          </w:p>
        </w:tc>
      </w:tr>
      <w:tr w:rsidR="009B131F" w:rsidRPr="00943D12" w14:paraId="00961ECB" w14:textId="77777777" w:rsidTr="00EF1ABD">
        <w:trPr>
          <w:trHeight w:val="240"/>
        </w:trPr>
        <w:tc>
          <w:tcPr>
            <w:tcW w:w="1716" w:type="dxa"/>
            <w:tcBorders>
              <w:top w:val="single" w:sz="4" w:space="0" w:color="auto"/>
              <w:left w:val="single" w:sz="4" w:space="0" w:color="auto"/>
              <w:bottom w:val="single" w:sz="4" w:space="0" w:color="auto"/>
              <w:right w:val="single" w:sz="4" w:space="0" w:color="auto"/>
            </w:tcBorders>
            <w:vAlign w:val="center"/>
          </w:tcPr>
          <w:p w14:paraId="03F73854" w14:textId="77777777" w:rsidR="009B131F" w:rsidRPr="00943D12" w:rsidRDefault="009B131F" w:rsidP="00EF1ABD">
            <w:pPr>
              <w:spacing w:before="30" w:after="30"/>
              <w:jc w:val="left"/>
              <w:rPr>
                <w:rFonts w:cs="Arial"/>
                <w:bCs/>
                <w:sz w:val="16"/>
                <w:szCs w:val="16"/>
              </w:rPr>
            </w:pPr>
            <w:r w:rsidRPr="00943D12">
              <w:rPr>
                <w:rFonts w:cs="Arial"/>
                <w:bCs/>
                <w:sz w:val="16"/>
                <w:szCs w:val="16"/>
              </w:rPr>
              <w:t>Ústecký</w:t>
            </w:r>
          </w:p>
        </w:tc>
        <w:tc>
          <w:tcPr>
            <w:tcW w:w="1701" w:type="dxa"/>
            <w:tcBorders>
              <w:top w:val="single" w:sz="4" w:space="0" w:color="auto"/>
              <w:left w:val="single" w:sz="4" w:space="0" w:color="auto"/>
              <w:bottom w:val="single" w:sz="4" w:space="0" w:color="auto"/>
              <w:right w:val="single" w:sz="4" w:space="0" w:color="auto"/>
            </w:tcBorders>
          </w:tcPr>
          <w:p w14:paraId="3E38A703"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126,0</w:t>
            </w:r>
          </w:p>
        </w:tc>
        <w:tc>
          <w:tcPr>
            <w:tcW w:w="1701" w:type="dxa"/>
            <w:tcBorders>
              <w:top w:val="single" w:sz="4" w:space="0" w:color="auto"/>
              <w:left w:val="single" w:sz="4" w:space="0" w:color="auto"/>
              <w:bottom w:val="single" w:sz="4" w:space="0" w:color="auto"/>
              <w:right w:val="single" w:sz="4" w:space="0" w:color="auto"/>
            </w:tcBorders>
          </w:tcPr>
          <w:p w14:paraId="1E6BF648"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91,5</w:t>
            </w:r>
          </w:p>
        </w:tc>
        <w:tc>
          <w:tcPr>
            <w:tcW w:w="1560" w:type="dxa"/>
            <w:tcBorders>
              <w:top w:val="single" w:sz="4" w:space="0" w:color="auto"/>
              <w:left w:val="single" w:sz="4" w:space="0" w:color="auto"/>
              <w:bottom w:val="single" w:sz="4" w:space="0" w:color="auto"/>
              <w:right w:val="single" w:sz="4" w:space="0" w:color="auto"/>
            </w:tcBorders>
          </w:tcPr>
          <w:p w14:paraId="2ED3F9FB"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73,39</w:t>
            </w:r>
          </w:p>
        </w:tc>
        <w:tc>
          <w:tcPr>
            <w:tcW w:w="1842" w:type="dxa"/>
            <w:tcBorders>
              <w:top w:val="single" w:sz="4" w:space="0" w:color="auto"/>
              <w:left w:val="single" w:sz="4" w:space="0" w:color="auto"/>
              <w:bottom w:val="single" w:sz="4" w:space="0" w:color="auto"/>
              <w:right w:val="single" w:sz="4" w:space="0" w:color="auto"/>
            </w:tcBorders>
          </w:tcPr>
          <w:p w14:paraId="1529D326"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54,24</w:t>
            </w:r>
          </w:p>
        </w:tc>
      </w:tr>
      <w:tr w:rsidR="009B131F" w:rsidRPr="00943D12" w14:paraId="6122C89E" w14:textId="77777777" w:rsidTr="00EF1ABD">
        <w:trPr>
          <w:trHeight w:val="240"/>
        </w:trPr>
        <w:tc>
          <w:tcPr>
            <w:tcW w:w="1716" w:type="dxa"/>
            <w:tcBorders>
              <w:top w:val="single" w:sz="4" w:space="0" w:color="auto"/>
              <w:left w:val="single" w:sz="4" w:space="0" w:color="auto"/>
              <w:bottom w:val="single" w:sz="4" w:space="0" w:color="auto"/>
              <w:right w:val="single" w:sz="4" w:space="0" w:color="auto"/>
            </w:tcBorders>
            <w:vAlign w:val="center"/>
          </w:tcPr>
          <w:p w14:paraId="1A27F7E3" w14:textId="77777777" w:rsidR="009B131F" w:rsidRPr="00943D12" w:rsidRDefault="009B131F" w:rsidP="00EF1ABD">
            <w:pPr>
              <w:spacing w:before="30" w:after="30"/>
              <w:jc w:val="left"/>
              <w:rPr>
                <w:rFonts w:cs="Arial"/>
                <w:bCs/>
                <w:sz w:val="16"/>
                <w:szCs w:val="16"/>
              </w:rPr>
            </w:pPr>
            <w:r w:rsidRPr="00943D12">
              <w:rPr>
                <w:rFonts w:cs="Arial"/>
                <w:bCs/>
                <w:sz w:val="16"/>
                <w:szCs w:val="16"/>
              </w:rPr>
              <w:t>Liberecký</w:t>
            </w:r>
          </w:p>
        </w:tc>
        <w:tc>
          <w:tcPr>
            <w:tcW w:w="1701" w:type="dxa"/>
            <w:tcBorders>
              <w:top w:val="single" w:sz="4" w:space="0" w:color="auto"/>
              <w:left w:val="single" w:sz="4" w:space="0" w:color="auto"/>
              <w:bottom w:val="single" w:sz="4" w:space="0" w:color="auto"/>
              <w:right w:val="single" w:sz="4" w:space="0" w:color="auto"/>
            </w:tcBorders>
          </w:tcPr>
          <w:p w14:paraId="0A5D8467"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119,7</w:t>
            </w:r>
          </w:p>
        </w:tc>
        <w:tc>
          <w:tcPr>
            <w:tcW w:w="1701" w:type="dxa"/>
            <w:tcBorders>
              <w:top w:val="single" w:sz="4" w:space="0" w:color="auto"/>
              <w:left w:val="single" w:sz="4" w:space="0" w:color="auto"/>
              <w:bottom w:val="single" w:sz="4" w:space="0" w:color="auto"/>
              <w:right w:val="single" w:sz="4" w:space="0" w:color="auto"/>
            </w:tcBorders>
          </w:tcPr>
          <w:p w14:paraId="40AD2697"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85,9</w:t>
            </w:r>
          </w:p>
        </w:tc>
        <w:tc>
          <w:tcPr>
            <w:tcW w:w="1560" w:type="dxa"/>
            <w:tcBorders>
              <w:top w:val="single" w:sz="4" w:space="0" w:color="auto"/>
              <w:left w:val="single" w:sz="4" w:space="0" w:color="auto"/>
              <w:bottom w:val="single" w:sz="4" w:space="0" w:color="auto"/>
              <w:right w:val="single" w:sz="4" w:space="0" w:color="auto"/>
            </w:tcBorders>
          </w:tcPr>
          <w:p w14:paraId="4DAE55C5"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70,35</w:t>
            </w:r>
          </w:p>
        </w:tc>
        <w:tc>
          <w:tcPr>
            <w:tcW w:w="1842" w:type="dxa"/>
            <w:tcBorders>
              <w:top w:val="single" w:sz="4" w:space="0" w:color="auto"/>
              <w:left w:val="single" w:sz="4" w:space="0" w:color="auto"/>
              <w:bottom w:val="single" w:sz="4" w:space="0" w:color="auto"/>
              <w:right w:val="single" w:sz="4" w:space="0" w:color="auto"/>
            </w:tcBorders>
          </w:tcPr>
          <w:p w14:paraId="341D3FBB"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61,06</w:t>
            </w:r>
          </w:p>
        </w:tc>
      </w:tr>
      <w:tr w:rsidR="009B131F" w:rsidRPr="00943D12" w14:paraId="5FA979A1" w14:textId="77777777" w:rsidTr="00EF1ABD">
        <w:trPr>
          <w:trHeight w:val="240"/>
        </w:trPr>
        <w:tc>
          <w:tcPr>
            <w:tcW w:w="1716" w:type="dxa"/>
            <w:tcBorders>
              <w:top w:val="single" w:sz="4" w:space="0" w:color="auto"/>
              <w:left w:val="single" w:sz="4" w:space="0" w:color="auto"/>
              <w:bottom w:val="single" w:sz="4" w:space="0" w:color="auto"/>
              <w:right w:val="single" w:sz="4" w:space="0" w:color="auto"/>
            </w:tcBorders>
            <w:vAlign w:val="center"/>
          </w:tcPr>
          <w:p w14:paraId="0E772D84" w14:textId="77777777" w:rsidR="009B131F" w:rsidRPr="00943D12" w:rsidRDefault="009B131F" w:rsidP="00EF1ABD">
            <w:pPr>
              <w:spacing w:before="30" w:after="30"/>
              <w:jc w:val="left"/>
              <w:rPr>
                <w:rFonts w:cs="Arial"/>
                <w:bCs/>
                <w:sz w:val="16"/>
                <w:szCs w:val="16"/>
              </w:rPr>
            </w:pPr>
            <w:r w:rsidRPr="00943D12">
              <w:rPr>
                <w:rFonts w:cs="Arial"/>
                <w:bCs/>
                <w:sz w:val="16"/>
                <w:szCs w:val="16"/>
              </w:rPr>
              <w:t>Královéhradecký</w:t>
            </w:r>
          </w:p>
        </w:tc>
        <w:tc>
          <w:tcPr>
            <w:tcW w:w="1701" w:type="dxa"/>
            <w:tcBorders>
              <w:top w:val="single" w:sz="4" w:space="0" w:color="auto"/>
              <w:left w:val="single" w:sz="4" w:space="0" w:color="auto"/>
              <w:bottom w:val="single" w:sz="4" w:space="0" w:color="auto"/>
              <w:right w:val="single" w:sz="4" w:space="0" w:color="auto"/>
            </w:tcBorders>
          </w:tcPr>
          <w:p w14:paraId="0D19EBCF"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129,0</w:t>
            </w:r>
          </w:p>
        </w:tc>
        <w:tc>
          <w:tcPr>
            <w:tcW w:w="1701" w:type="dxa"/>
            <w:tcBorders>
              <w:top w:val="single" w:sz="4" w:space="0" w:color="auto"/>
              <w:left w:val="single" w:sz="4" w:space="0" w:color="auto"/>
              <w:bottom w:val="single" w:sz="4" w:space="0" w:color="auto"/>
              <w:right w:val="single" w:sz="4" w:space="0" w:color="auto"/>
            </w:tcBorders>
          </w:tcPr>
          <w:p w14:paraId="36782949"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85,6</w:t>
            </w:r>
          </w:p>
        </w:tc>
        <w:tc>
          <w:tcPr>
            <w:tcW w:w="1560" w:type="dxa"/>
            <w:tcBorders>
              <w:top w:val="single" w:sz="4" w:space="0" w:color="auto"/>
              <w:left w:val="single" w:sz="4" w:space="0" w:color="auto"/>
              <w:bottom w:val="single" w:sz="4" w:space="0" w:color="auto"/>
              <w:right w:val="single" w:sz="4" w:space="0" w:color="auto"/>
            </w:tcBorders>
          </w:tcPr>
          <w:p w14:paraId="3AD49B21"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53,30</w:t>
            </w:r>
          </w:p>
        </w:tc>
        <w:tc>
          <w:tcPr>
            <w:tcW w:w="1842" w:type="dxa"/>
            <w:tcBorders>
              <w:top w:val="single" w:sz="4" w:space="0" w:color="auto"/>
              <w:left w:val="single" w:sz="4" w:space="0" w:color="auto"/>
              <w:bottom w:val="single" w:sz="4" w:space="0" w:color="auto"/>
              <w:right w:val="single" w:sz="4" w:space="0" w:color="auto"/>
            </w:tcBorders>
          </w:tcPr>
          <w:p w14:paraId="09501104"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51,43</w:t>
            </w:r>
          </w:p>
        </w:tc>
      </w:tr>
      <w:tr w:rsidR="009B131F" w:rsidRPr="00943D12" w14:paraId="4AC44FDF" w14:textId="77777777" w:rsidTr="00EF1ABD">
        <w:trPr>
          <w:trHeight w:val="240"/>
        </w:trPr>
        <w:tc>
          <w:tcPr>
            <w:tcW w:w="1716" w:type="dxa"/>
            <w:tcBorders>
              <w:top w:val="single" w:sz="4" w:space="0" w:color="auto"/>
              <w:left w:val="single" w:sz="4" w:space="0" w:color="auto"/>
              <w:bottom w:val="single" w:sz="4" w:space="0" w:color="auto"/>
              <w:right w:val="single" w:sz="4" w:space="0" w:color="auto"/>
            </w:tcBorders>
            <w:vAlign w:val="center"/>
          </w:tcPr>
          <w:p w14:paraId="03ABF1A7" w14:textId="77777777" w:rsidR="009B131F" w:rsidRPr="00943D12" w:rsidRDefault="009B131F" w:rsidP="00EF1ABD">
            <w:pPr>
              <w:spacing w:before="30" w:after="30"/>
              <w:jc w:val="left"/>
              <w:rPr>
                <w:rFonts w:cs="Arial"/>
                <w:bCs/>
                <w:sz w:val="16"/>
                <w:szCs w:val="16"/>
              </w:rPr>
            </w:pPr>
            <w:r w:rsidRPr="00943D12">
              <w:rPr>
                <w:rFonts w:cs="Arial"/>
                <w:bCs/>
                <w:sz w:val="16"/>
                <w:szCs w:val="16"/>
              </w:rPr>
              <w:t>Pardubický</w:t>
            </w:r>
          </w:p>
        </w:tc>
        <w:tc>
          <w:tcPr>
            <w:tcW w:w="1701" w:type="dxa"/>
            <w:tcBorders>
              <w:top w:val="single" w:sz="4" w:space="0" w:color="auto"/>
              <w:left w:val="single" w:sz="4" w:space="0" w:color="auto"/>
              <w:bottom w:val="single" w:sz="4" w:space="0" w:color="auto"/>
              <w:right w:val="single" w:sz="4" w:space="0" w:color="auto"/>
            </w:tcBorders>
          </w:tcPr>
          <w:p w14:paraId="7662572D"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122,9</w:t>
            </w:r>
          </w:p>
        </w:tc>
        <w:tc>
          <w:tcPr>
            <w:tcW w:w="1701" w:type="dxa"/>
            <w:tcBorders>
              <w:top w:val="single" w:sz="4" w:space="0" w:color="auto"/>
              <w:left w:val="single" w:sz="4" w:space="0" w:color="auto"/>
              <w:bottom w:val="single" w:sz="4" w:space="0" w:color="auto"/>
              <w:right w:val="single" w:sz="4" w:space="0" w:color="auto"/>
            </w:tcBorders>
          </w:tcPr>
          <w:p w14:paraId="35B74C70"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81,2</w:t>
            </w:r>
          </w:p>
        </w:tc>
        <w:tc>
          <w:tcPr>
            <w:tcW w:w="1560" w:type="dxa"/>
            <w:tcBorders>
              <w:top w:val="single" w:sz="4" w:space="0" w:color="auto"/>
              <w:left w:val="single" w:sz="4" w:space="0" w:color="auto"/>
              <w:bottom w:val="single" w:sz="4" w:space="0" w:color="auto"/>
              <w:right w:val="single" w:sz="4" w:space="0" w:color="auto"/>
            </w:tcBorders>
          </w:tcPr>
          <w:p w14:paraId="53FC3E87"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55,72</w:t>
            </w:r>
          </w:p>
        </w:tc>
        <w:tc>
          <w:tcPr>
            <w:tcW w:w="1842" w:type="dxa"/>
            <w:tcBorders>
              <w:top w:val="single" w:sz="4" w:space="0" w:color="auto"/>
              <w:left w:val="single" w:sz="4" w:space="0" w:color="auto"/>
              <w:bottom w:val="single" w:sz="4" w:space="0" w:color="auto"/>
              <w:right w:val="single" w:sz="4" w:space="0" w:color="auto"/>
            </w:tcBorders>
          </w:tcPr>
          <w:p w14:paraId="0EF792B8"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54,07</w:t>
            </w:r>
          </w:p>
        </w:tc>
      </w:tr>
      <w:tr w:rsidR="009B131F" w:rsidRPr="00943D12" w14:paraId="06EBD31D" w14:textId="77777777" w:rsidTr="00EF1ABD">
        <w:trPr>
          <w:trHeight w:val="240"/>
        </w:trPr>
        <w:tc>
          <w:tcPr>
            <w:tcW w:w="1716" w:type="dxa"/>
            <w:tcBorders>
              <w:top w:val="single" w:sz="4" w:space="0" w:color="auto"/>
              <w:left w:val="single" w:sz="4" w:space="0" w:color="auto"/>
              <w:bottom w:val="single" w:sz="4" w:space="0" w:color="auto"/>
              <w:right w:val="single" w:sz="4" w:space="0" w:color="auto"/>
            </w:tcBorders>
            <w:vAlign w:val="center"/>
          </w:tcPr>
          <w:p w14:paraId="6838EC3C" w14:textId="77777777" w:rsidR="009B131F" w:rsidRPr="00943D12" w:rsidRDefault="009B131F" w:rsidP="00EF1ABD">
            <w:pPr>
              <w:spacing w:before="30" w:after="30"/>
              <w:jc w:val="left"/>
              <w:rPr>
                <w:rFonts w:cs="Arial"/>
                <w:bCs/>
                <w:sz w:val="16"/>
                <w:szCs w:val="16"/>
              </w:rPr>
            </w:pPr>
            <w:r w:rsidRPr="00943D12">
              <w:rPr>
                <w:rFonts w:cs="Arial"/>
                <w:bCs/>
                <w:sz w:val="16"/>
                <w:szCs w:val="16"/>
              </w:rPr>
              <w:t>Vysočina</w:t>
            </w:r>
          </w:p>
        </w:tc>
        <w:tc>
          <w:tcPr>
            <w:tcW w:w="1701" w:type="dxa"/>
            <w:tcBorders>
              <w:top w:val="single" w:sz="4" w:space="0" w:color="auto"/>
              <w:left w:val="single" w:sz="4" w:space="0" w:color="auto"/>
              <w:bottom w:val="single" w:sz="4" w:space="0" w:color="auto"/>
              <w:right w:val="single" w:sz="4" w:space="0" w:color="auto"/>
            </w:tcBorders>
          </w:tcPr>
          <w:p w14:paraId="6ACBABE9"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122,2</w:t>
            </w:r>
          </w:p>
        </w:tc>
        <w:tc>
          <w:tcPr>
            <w:tcW w:w="1701" w:type="dxa"/>
            <w:tcBorders>
              <w:top w:val="single" w:sz="4" w:space="0" w:color="auto"/>
              <w:left w:val="single" w:sz="4" w:space="0" w:color="auto"/>
              <w:bottom w:val="single" w:sz="4" w:space="0" w:color="auto"/>
              <w:right w:val="single" w:sz="4" w:space="0" w:color="auto"/>
            </w:tcBorders>
          </w:tcPr>
          <w:p w14:paraId="228EFBFD"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83,3</w:t>
            </w:r>
          </w:p>
        </w:tc>
        <w:tc>
          <w:tcPr>
            <w:tcW w:w="1560" w:type="dxa"/>
            <w:tcBorders>
              <w:top w:val="single" w:sz="4" w:space="0" w:color="auto"/>
              <w:left w:val="single" w:sz="4" w:space="0" w:color="auto"/>
              <w:bottom w:val="single" w:sz="4" w:space="0" w:color="auto"/>
              <w:right w:val="single" w:sz="4" w:space="0" w:color="auto"/>
            </w:tcBorders>
          </w:tcPr>
          <w:p w14:paraId="6265D394"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54,02</w:t>
            </w:r>
          </w:p>
        </w:tc>
        <w:tc>
          <w:tcPr>
            <w:tcW w:w="1842" w:type="dxa"/>
            <w:tcBorders>
              <w:top w:val="single" w:sz="4" w:space="0" w:color="auto"/>
              <w:left w:val="single" w:sz="4" w:space="0" w:color="auto"/>
              <w:bottom w:val="single" w:sz="4" w:space="0" w:color="auto"/>
              <w:right w:val="single" w:sz="4" w:space="0" w:color="auto"/>
            </w:tcBorders>
          </w:tcPr>
          <w:p w14:paraId="7772B738"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44,29</w:t>
            </w:r>
          </w:p>
        </w:tc>
      </w:tr>
      <w:tr w:rsidR="009B131F" w:rsidRPr="00943D12" w14:paraId="1971B014" w14:textId="77777777" w:rsidTr="00EF1ABD">
        <w:trPr>
          <w:trHeight w:val="240"/>
        </w:trPr>
        <w:tc>
          <w:tcPr>
            <w:tcW w:w="1716" w:type="dxa"/>
            <w:tcBorders>
              <w:top w:val="single" w:sz="4" w:space="0" w:color="auto"/>
              <w:left w:val="single" w:sz="4" w:space="0" w:color="auto"/>
              <w:bottom w:val="single" w:sz="4" w:space="0" w:color="auto"/>
              <w:right w:val="single" w:sz="4" w:space="0" w:color="auto"/>
            </w:tcBorders>
            <w:vAlign w:val="center"/>
          </w:tcPr>
          <w:p w14:paraId="200EA514" w14:textId="77777777" w:rsidR="009B131F" w:rsidRPr="00943D12" w:rsidRDefault="009B131F" w:rsidP="00EF1ABD">
            <w:pPr>
              <w:spacing w:before="30" w:after="30"/>
              <w:jc w:val="left"/>
              <w:rPr>
                <w:rFonts w:cs="Arial"/>
                <w:bCs/>
                <w:sz w:val="16"/>
                <w:szCs w:val="16"/>
              </w:rPr>
            </w:pPr>
            <w:r w:rsidRPr="00943D12">
              <w:rPr>
                <w:rFonts w:cs="Arial"/>
                <w:bCs/>
                <w:sz w:val="16"/>
                <w:szCs w:val="16"/>
              </w:rPr>
              <w:t>Jihomoravský</w:t>
            </w:r>
          </w:p>
        </w:tc>
        <w:tc>
          <w:tcPr>
            <w:tcW w:w="1701" w:type="dxa"/>
            <w:tcBorders>
              <w:top w:val="single" w:sz="4" w:space="0" w:color="auto"/>
              <w:left w:val="single" w:sz="4" w:space="0" w:color="auto"/>
              <w:bottom w:val="single" w:sz="4" w:space="0" w:color="auto"/>
              <w:right w:val="single" w:sz="4" w:space="0" w:color="auto"/>
            </w:tcBorders>
          </w:tcPr>
          <w:p w14:paraId="6CDFA3D0"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133,7</w:t>
            </w:r>
          </w:p>
        </w:tc>
        <w:tc>
          <w:tcPr>
            <w:tcW w:w="1701" w:type="dxa"/>
            <w:tcBorders>
              <w:top w:val="single" w:sz="4" w:space="0" w:color="auto"/>
              <w:left w:val="single" w:sz="4" w:space="0" w:color="auto"/>
              <w:bottom w:val="single" w:sz="4" w:space="0" w:color="auto"/>
              <w:right w:val="single" w:sz="4" w:space="0" w:color="auto"/>
            </w:tcBorders>
          </w:tcPr>
          <w:p w14:paraId="5A9C6191"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93,5</w:t>
            </w:r>
          </w:p>
        </w:tc>
        <w:tc>
          <w:tcPr>
            <w:tcW w:w="1560" w:type="dxa"/>
            <w:tcBorders>
              <w:top w:val="single" w:sz="4" w:space="0" w:color="auto"/>
              <w:left w:val="single" w:sz="4" w:space="0" w:color="auto"/>
              <w:bottom w:val="single" w:sz="4" w:space="0" w:color="auto"/>
              <w:right w:val="single" w:sz="4" w:space="0" w:color="auto"/>
            </w:tcBorders>
          </w:tcPr>
          <w:p w14:paraId="3C57CD05"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52,32</w:t>
            </w:r>
          </w:p>
        </w:tc>
        <w:tc>
          <w:tcPr>
            <w:tcW w:w="1842" w:type="dxa"/>
            <w:tcBorders>
              <w:top w:val="single" w:sz="4" w:space="0" w:color="auto"/>
              <w:left w:val="single" w:sz="4" w:space="0" w:color="auto"/>
              <w:bottom w:val="single" w:sz="4" w:space="0" w:color="auto"/>
              <w:right w:val="single" w:sz="4" w:space="0" w:color="auto"/>
            </w:tcBorders>
          </w:tcPr>
          <w:p w14:paraId="0F610E63"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54,34</w:t>
            </w:r>
          </w:p>
        </w:tc>
      </w:tr>
      <w:tr w:rsidR="009B131F" w:rsidRPr="00943D12" w14:paraId="73B7E059" w14:textId="77777777" w:rsidTr="00EF1ABD">
        <w:trPr>
          <w:trHeight w:val="240"/>
        </w:trPr>
        <w:tc>
          <w:tcPr>
            <w:tcW w:w="1716" w:type="dxa"/>
            <w:tcBorders>
              <w:top w:val="single" w:sz="4" w:space="0" w:color="auto"/>
              <w:left w:val="single" w:sz="4" w:space="0" w:color="auto"/>
              <w:bottom w:val="single" w:sz="4" w:space="0" w:color="auto"/>
              <w:right w:val="single" w:sz="4" w:space="0" w:color="auto"/>
            </w:tcBorders>
            <w:vAlign w:val="center"/>
          </w:tcPr>
          <w:p w14:paraId="397CA703" w14:textId="77777777" w:rsidR="009B131F" w:rsidRPr="00943D12" w:rsidRDefault="009B131F" w:rsidP="00EF1ABD">
            <w:pPr>
              <w:spacing w:before="30" w:after="30"/>
              <w:jc w:val="left"/>
              <w:rPr>
                <w:rFonts w:cs="Arial"/>
                <w:bCs/>
                <w:sz w:val="16"/>
                <w:szCs w:val="16"/>
              </w:rPr>
            </w:pPr>
            <w:r w:rsidRPr="00943D12">
              <w:rPr>
                <w:rFonts w:cs="Arial"/>
                <w:bCs/>
                <w:sz w:val="16"/>
                <w:szCs w:val="16"/>
              </w:rPr>
              <w:t>Olomoucký</w:t>
            </w:r>
          </w:p>
        </w:tc>
        <w:tc>
          <w:tcPr>
            <w:tcW w:w="1701" w:type="dxa"/>
            <w:tcBorders>
              <w:top w:val="single" w:sz="4" w:space="0" w:color="auto"/>
              <w:left w:val="single" w:sz="4" w:space="0" w:color="auto"/>
              <w:bottom w:val="single" w:sz="4" w:space="0" w:color="auto"/>
              <w:right w:val="single" w:sz="4" w:space="0" w:color="auto"/>
            </w:tcBorders>
          </w:tcPr>
          <w:p w14:paraId="7E1FFD52"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121,3</w:t>
            </w:r>
          </w:p>
        </w:tc>
        <w:tc>
          <w:tcPr>
            <w:tcW w:w="1701" w:type="dxa"/>
            <w:tcBorders>
              <w:top w:val="single" w:sz="4" w:space="0" w:color="auto"/>
              <w:left w:val="single" w:sz="4" w:space="0" w:color="auto"/>
              <w:bottom w:val="single" w:sz="4" w:space="0" w:color="auto"/>
              <w:right w:val="single" w:sz="4" w:space="0" w:color="auto"/>
            </w:tcBorders>
          </w:tcPr>
          <w:p w14:paraId="2C462DD3"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87,9</w:t>
            </w:r>
          </w:p>
        </w:tc>
        <w:tc>
          <w:tcPr>
            <w:tcW w:w="1560" w:type="dxa"/>
            <w:tcBorders>
              <w:top w:val="single" w:sz="4" w:space="0" w:color="auto"/>
              <w:left w:val="single" w:sz="4" w:space="0" w:color="auto"/>
              <w:bottom w:val="single" w:sz="4" w:space="0" w:color="auto"/>
              <w:right w:val="single" w:sz="4" w:space="0" w:color="auto"/>
            </w:tcBorders>
          </w:tcPr>
          <w:p w14:paraId="1B58B505"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50,64</w:t>
            </w:r>
          </w:p>
        </w:tc>
        <w:tc>
          <w:tcPr>
            <w:tcW w:w="1842" w:type="dxa"/>
            <w:tcBorders>
              <w:top w:val="single" w:sz="4" w:space="0" w:color="auto"/>
              <w:left w:val="single" w:sz="4" w:space="0" w:color="auto"/>
              <w:bottom w:val="single" w:sz="4" w:space="0" w:color="auto"/>
              <w:right w:val="single" w:sz="4" w:space="0" w:color="auto"/>
            </w:tcBorders>
          </w:tcPr>
          <w:p w14:paraId="35255197"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52,39</w:t>
            </w:r>
          </w:p>
        </w:tc>
      </w:tr>
      <w:tr w:rsidR="009B131F" w:rsidRPr="00943D12" w14:paraId="01DE09B3" w14:textId="77777777" w:rsidTr="00EF1ABD">
        <w:trPr>
          <w:trHeight w:val="240"/>
        </w:trPr>
        <w:tc>
          <w:tcPr>
            <w:tcW w:w="1716" w:type="dxa"/>
            <w:tcBorders>
              <w:top w:val="single" w:sz="4" w:space="0" w:color="auto"/>
              <w:left w:val="single" w:sz="4" w:space="0" w:color="auto"/>
              <w:bottom w:val="single" w:sz="4" w:space="0" w:color="auto"/>
              <w:right w:val="single" w:sz="4" w:space="0" w:color="auto"/>
            </w:tcBorders>
            <w:vAlign w:val="center"/>
          </w:tcPr>
          <w:p w14:paraId="7026B602" w14:textId="77777777" w:rsidR="009B131F" w:rsidRPr="00943D12" w:rsidRDefault="009B131F" w:rsidP="00EF1ABD">
            <w:pPr>
              <w:spacing w:before="30" w:after="30"/>
              <w:jc w:val="left"/>
              <w:rPr>
                <w:rFonts w:cs="Arial"/>
                <w:bCs/>
                <w:sz w:val="16"/>
                <w:szCs w:val="16"/>
              </w:rPr>
            </w:pPr>
            <w:r w:rsidRPr="00943D12">
              <w:rPr>
                <w:rFonts w:cs="Arial"/>
                <w:bCs/>
                <w:sz w:val="16"/>
                <w:szCs w:val="16"/>
              </w:rPr>
              <w:t>Zlínský</w:t>
            </w:r>
          </w:p>
        </w:tc>
        <w:tc>
          <w:tcPr>
            <w:tcW w:w="1701" w:type="dxa"/>
            <w:tcBorders>
              <w:top w:val="single" w:sz="4" w:space="0" w:color="auto"/>
              <w:left w:val="single" w:sz="4" w:space="0" w:color="auto"/>
              <w:bottom w:val="single" w:sz="4" w:space="0" w:color="auto"/>
              <w:right w:val="single" w:sz="4" w:space="0" w:color="auto"/>
            </w:tcBorders>
          </w:tcPr>
          <w:p w14:paraId="18215859"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115,7</w:t>
            </w:r>
          </w:p>
        </w:tc>
        <w:tc>
          <w:tcPr>
            <w:tcW w:w="1701" w:type="dxa"/>
            <w:tcBorders>
              <w:top w:val="single" w:sz="4" w:space="0" w:color="auto"/>
              <w:left w:val="single" w:sz="4" w:space="0" w:color="auto"/>
              <w:bottom w:val="single" w:sz="4" w:space="0" w:color="auto"/>
              <w:right w:val="single" w:sz="4" w:space="0" w:color="auto"/>
            </w:tcBorders>
          </w:tcPr>
          <w:p w14:paraId="52471E48"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81,0</w:t>
            </w:r>
          </w:p>
        </w:tc>
        <w:tc>
          <w:tcPr>
            <w:tcW w:w="1560" w:type="dxa"/>
            <w:tcBorders>
              <w:top w:val="single" w:sz="4" w:space="0" w:color="auto"/>
              <w:left w:val="single" w:sz="4" w:space="0" w:color="auto"/>
              <w:bottom w:val="single" w:sz="4" w:space="0" w:color="auto"/>
              <w:right w:val="single" w:sz="4" w:space="0" w:color="auto"/>
            </w:tcBorders>
          </w:tcPr>
          <w:p w14:paraId="0D6182BB"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56,85</w:t>
            </w:r>
          </w:p>
        </w:tc>
        <w:tc>
          <w:tcPr>
            <w:tcW w:w="1842" w:type="dxa"/>
            <w:tcBorders>
              <w:top w:val="single" w:sz="4" w:space="0" w:color="auto"/>
              <w:left w:val="single" w:sz="4" w:space="0" w:color="auto"/>
              <w:bottom w:val="single" w:sz="4" w:space="0" w:color="auto"/>
              <w:right w:val="single" w:sz="4" w:space="0" w:color="auto"/>
            </w:tcBorders>
          </w:tcPr>
          <w:p w14:paraId="70E0F9DA"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46,24</w:t>
            </w:r>
          </w:p>
        </w:tc>
      </w:tr>
      <w:tr w:rsidR="009B131F" w:rsidRPr="00943D12" w14:paraId="38CCB187" w14:textId="77777777" w:rsidTr="00EF1ABD">
        <w:trPr>
          <w:trHeight w:val="240"/>
        </w:trPr>
        <w:tc>
          <w:tcPr>
            <w:tcW w:w="1716" w:type="dxa"/>
            <w:tcBorders>
              <w:top w:val="single" w:sz="4" w:space="0" w:color="auto"/>
              <w:left w:val="single" w:sz="4" w:space="0" w:color="auto"/>
              <w:bottom w:val="single" w:sz="4" w:space="0" w:color="auto"/>
              <w:right w:val="single" w:sz="4" w:space="0" w:color="auto"/>
            </w:tcBorders>
            <w:vAlign w:val="center"/>
          </w:tcPr>
          <w:p w14:paraId="3E26C1EA" w14:textId="77777777" w:rsidR="009B131F" w:rsidRPr="00943D12" w:rsidRDefault="009B131F" w:rsidP="00EF1ABD">
            <w:pPr>
              <w:spacing w:before="30" w:after="30"/>
              <w:jc w:val="left"/>
              <w:rPr>
                <w:rFonts w:cs="Arial"/>
                <w:bCs/>
                <w:sz w:val="16"/>
                <w:szCs w:val="16"/>
              </w:rPr>
            </w:pPr>
            <w:r w:rsidRPr="00943D12">
              <w:rPr>
                <w:rFonts w:cs="Arial"/>
                <w:bCs/>
                <w:sz w:val="16"/>
                <w:szCs w:val="16"/>
              </w:rPr>
              <w:t>Moravskoslezský</w:t>
            </w:r>
          </w:p>
        </w:tc>
        <w:tc>
          <w:tcPr>
            <w:tcW w:w="1701" w:type="dxa"/>
            <w:tcBorders>
              <w:top w:val="single" w:sz="4" w:space="0" w:color="auto"/>
              <w:left w:val="single" w:sz="4" w:space="0" w:color="auto"/>
              <w:bottom w:val="single" w:sz="4" w:space="0" w:color="auto"/>
              <w:right w:val="single" w:sz="4" w:space="0" w:color="auto"/>
            </w:tcBorders>
          </w:tcPr>
          <w:p w14:paraId="6FE9F617"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126,0</w:t>
            </w:r>
          </w:p>
        </w:tc>
        <w:tc>
          <w:tcPr>
            <w:tcW w:w="1701" w:type="dxa"/>
            <w:tcBorders>
              <w:top w:val="single" w:sz="4" w:space="0" w:color="auto"/>
              <w:left w:val="single" w:sz="4" w:space="0" w:color="auto"/>
              <w:bottom w:val="single" w:sz="4" w:space="0" w:color="auto"/>
              <w:right w:val="single" w:sz="4" w:space="0" w:color="auto"/>
            </w:tcBorders>
          </w:tcPr>
          <w:p w14:paraId="7D92B727"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90,2</w:t>
            </w:r>
          </w:p>
        </w:tc>
        <w:tc>
          <w:tcPr>
            <w:tcW w:w="1560" w:type="dxa"/>
            <w:tcBorders>
              <w:top w:val="single" w:sz="4" w:space="0" w:color="auto"/>
              <w:left w:val="single" w:sz="4" w:space="0" w:color="auto"/>
              <w:bottom w:val="single" w:sz="4" w:space="0" w:color="auto"/>
              <w:right w:val="single" w:sz="4" w:space="0" w:color="auto"/>
            </w:tcBorders>
          </w:tcPr>
          <w:p w14:paraId="00895B77"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56,55</w:t>
            </w:r>
          </w:p>
        </w:tc>
        <w:tc>
          <w:tcPr>
            <w:tcW w:w="1842" w:type="dxa"/>
            <w:tcBorders>
              <w:top w:val="single" w:sz="4" w:space="0" w:color="auto"/>
              <w:left w:val="single" w:sz="4" w:space="0" w:color="auto"/>
              <w:bottom w:val="single" w:sz="4" w:space="0" w:color="auto"/>
              <w:right w:val="single" w:sz="4" w:space="0" w:color="auto"/>
            </w:tcBorders>
          </w:tcPr>
          <w:p w14:paraId="3086A74B" w14:textId="77777777" w:rsidR="009B131F" w:rsidRPr="00943D12" w:rsidRDefault="009B131F" w:rsidP="00EF1ABD">
            <w:pPr>
              <w:autoSpaceDE w:val="0"/>
              <w:autoSpaceDN w:val="0"/>
              <w:adjustRightInd w:val="0"/>
              <w:spacing w:before="30" w:after="30"/>
              <w:jc w:val="center"/>
              <w:rPr>
                <w:rFonts w:cs="Arial"/>
                <w:sz w:val="16"/>
                <w:szCs w:val="16"/>
              </w:rPr>
            </w:pPr>
            <w:r w:rsidRPr="00943D12">
              <w:rPr>
                <w:sz w:val="16"/>
                <w:szCs w:val="16"/>
              </w:rPr>
              <w:t>52,37</w:t>
            </w:r>
          </w:p>
        </w:tc>
      </w:tr>
      <w:tr w:rsidR="009B131F" w:rsidRPr="00943D12" w14:paraId="1EA98429" w14:textId="77777777" w:rsidTr="00EF1ABD">
        <w:trPr>
          <w:trHeight w:val="240"/>
        </w:trPr>
        <w:tc>
          <w:tcPr>
            <w:tcW w:w="1716" w:type="dxa"/>
            <w:tcBorders>
              <w:top w:val="single" w:sz="4" w:space="0" w:color="auto"/>
              <w:left w:val="single" w:sz="4" w:space="0" w:color="auto"/>
              <w:bottom w:val="single" w:sz="4" w:space="0" w:color="auto"/>
              <w:right w:val="single" w:sz="4" w:space="0" w:color="auto"/>
            </w:tcBorders>
            <w:shd w:val="clear" w:color="auto" w:fill="BFBFBF"/>
            <w:vAlign w:val="center"/>
          </w:tcPr>
          <w:p w14:paraId="1FC35FC0" w14:textId="77777777" w:rsidR="009B131F" w:rsidRPr="00943D12" w:rsidRDefault="009B131F" w:rsidP="00EF1ABD">
            <w:pPr>
              <w:spacing w:before="30" w:after="30"/>
              <w:jc w:val="left"/>
              <w:rPr>
                <w:rFonts w:cs="Arial"/>
                <w:b/>
                <w:bCs/>
                <w:sz w:val="16"/>
                <w:szCs w:val="16"/>
              </w:rPr>
            </w:pPr>
            <w:r w:rsidRPr="00943D12">
              <w:rPr>
                <w:rFonts w:cs="Arial"/>
                <w:b/>
                <w:bCs/>
                <w:sz w:val="16"/>
                <w:szCs w:val="16"/>
              </w:rPr>
              <w:t>Česká republika</w:t>
            </w:r>
          </w:p>
        </w:tc>
        <w:tc>
          <w:tcPr>
            <w:tcW w:w="1701" w:type="dxa"/>
            <w:tcBorders>
              <w:top w:val="single" w:sz="4" w:space="0" w:color="auto"/>
              <w:left w:val="single" w:sz="4" w:space="0" w:color="auto"/>
              <w:bottom w:val="single" w:sz="4" w:space="0" w:color="auto"/>
              <w:right w:val="single" w:sz="4" w:space="0" w:color="auto"/>
            </w:tcBorders>
            <w:shd w:val="clear" w:color="auto" w:fill="BFBFBF"/>
            <w:vAlign w:val="center"/>
          </w:tcPr>
          <w:p w14:paraId="253D0080" w14:textId="77777777" w:rsidR="009B131F" w:rsidRPr="00943D12" w:rsidRDefault="009B131F" w:rsidP="00EF1ABD">
            <w:pPr>
              <w:autoSpaceDE w:val="0"/>
              <w:autoSpaceDN w:val="0"/>
              <w:adjustRightInd w:val="0"/>
              <w:spacing w:before="30" w:after="30"/>
              <w:jc w:val="center"/>
              <w:rPr>
                <w:rFonts w:cs="Arial"/>
                <w:b/>
                <w:bCs/>
                <w:sz w:val="16"/>
                <w:szCs w:val="16"/>
              </w:rPr>
            </w:pPr>
            <w:r w:rsidRPr="00943D12">
              <w:rPr>
                <w:rFonts w:cs="Arial"/>
                <w:b/>
                <w:bCs/>
                <w:sz w:val="16"/>
                <w:szCs w:val="16"/>
              </w:rPr>
              <w:t>129,5</w:t>
            </w:r>
          </w:p>
        </w:tc>
        <w:tc>
          <w:tcPr>
            <w:tcW w:w="1701" w:type="dxa"/>
            <w:tcBorders>
              <w:top w:val="single" w:sz="4" w:space="0" w:color="auto"/>
              <w:left w:val="single" w:sz="4" w:space="0" w:color="auto"/>
              <w:bottom w:val="single" w:sz="4" w:space="0" w:color="auto"/>
              <w:right w:val="single" w:sz="4" w:space="0" w:color="auto"/>
            </w:tcBorders>
            <w:shd w:val="clear" w:color="auto" w:fill="BFBFBF"/>
            <w:vAlign w:val="center"/>
          </w:tcPr>
          <w:p w14:paraId="3048E75F" w14:textId="77777777" w:rsidR="009B131F" w:rsidRPr="00943D12" w:rsidRDefault="009B131F" w:rsidP="00EF1ABD">
            <w:pPr>
              <w:autoSpaceDE w:val="0"/>
              <w:autoSpaceDN w:val="0"/>
              <w:adjustRightInd w:val="0"/>
              <w:spacing w:before="30" w:after="30"/>
              <w:jc w:val="center"/>
              <w:rPr>
                <w:rFonts w:cs="Arial"/>
                <w:b/>
                <w:bCs/>
                <w:sz w:val="16"/>
                <w:szCs w:val="16"/>
              </w:rPr>
            </w:pPr>
            <w:r w:rsidRPr="00943D12">
              <w:rPr>
                <w:rFonts w:cs="Arial"/>
                <w:b/>
                <w:bCs/>
                <w:sz w:val="16"/>
                <w:szCs w:val="16"/>
              </w:rPr>
              <w:t>89,7</w:t>
            </w:r>
          </w:p>
        </w:tc>
        <w:tc>
          <w:tcPr>
            <w:tcW w:w="1560" w:type="dxa"/>
            <w:tcBorders>
              <w:top w:val="single" w:sz="4" w:space="0" w:color="auto"/>
              <w:left w:val="single" w:sz="4" w:space="0" w:color="auto"/>
              <w:bottom w:val="single" w:sz="4" w:space="0" w:color="auto"/>
              <w:right w:val="single" w:sz="4" w:space="0" w:color="auto"/>
            </w:tcBorders>
            <w:shd w:val="clear" w:color="auto" w:fill="BFBFBF"/>
            <w:vAlign w:val="center"/>
          </w:tcPr>
          <w:p w14:paraId="77E0FC2D" w14:textId="77777777" w:rsidR="009B131F" w:rsidRPr="00943D12" w:rsidRDefault="009B131F" w:rsidP="00EF1ABD">
            <w:pPr>
              <w:autoSpaceDE w:val="0"/>
              <w:autoSpaceDN w:val="0"/>
              <w:adjustRightInd w:val="0"/>
              <w:spacing w:before="30" w:after="30"/>
              <w:jc w:val="center"/>
              <w:rPr>
                <w:rFonts w:cs="Arial"/>
                <w:b/>
                <w:bCs/>
                <w:sz w:val="16"/>
                <w:szCs w:val="16"/>
              </w:rPr>
            </w:pPr>
            <w:r w:rsidRPr="00943D12">
              <w:rPr>
                <w:rFonts w:cs="Arial"/>
                <w:b/>
                <w:bCs/>
                <w:sz w:val="16"/>
                <w:szCs w:val="16"/>
              </w:rPr>
              <w:t>59,95</w:t>
            </w:r>
          </w:p>
        </w:tc>
        <w:tc>
          <w:tcPr>
            <w:tcW w:w="1842" w:type="dxa"/>
            <w:tcBorders>
              <w:top w:val="single" w:sz="4" w:space="0" w:color="auto"/>
              <w:left w:val="single" w:sz="4" w:space="0" w:color="auto"/>
              <w:bottom w:val="single" w:sz="4" w:space="0" w:color="auto"/>
              <w:right w:val="single" w:sz="4" w:space="0" w:color="auto"/>
            </w:tcBorders>
            <w:shd w:val="clear" w:color="auto" w:fill="BFBFBF"/>
            <w:vAlign w:val="center"/>
          </w:tcPr>
          <w:p w14:paraId="0D37544B" w14:textId="77777777" w:rsidR="009B131F" w:rsidRPr="00943D12" w:rsidRDefault="009B131F" w:rsidP="00EF1ABD">
            <w:pPr>
              <w:autoSpaceDE w:val="0"/>
              <w:autoSpaceDN w:val="0"/>
              <w:adjustRightInd w:val="0"/>
              <w:spacing w:before="30" w:after="30"/>
              <w:jc w:val="center"/>
              <w:rPr>
                <w:rFonts w:cs="Arial"/>
                <w:b/>
                <w:bCs/>
                <w:sz w:val="16"/>
                <w:szCs w:val="16"/>
              </w:rPr>
            </w:pPr>
            <w:r w:rsidRPr="00943D12">
              <w:rPr>
                <w:rFonts w:cs="Arial"/>
                <w:b/>
                <w:bCs/>
                <w:sz w:val="16"/>
                <w:szCs w:val="16"/>
              </w:rPr>
              <w:t>54,16</w:t>
            </w:r>
          </w:p>
        </w:tc>
      </w:tr>
    </w:tbl>
    <w:p w14:paraId="1EC2C95C" w14:textId="73B7591F" w:rsidR="00EE6F9C" w:rsidRPr="007D669C" w:rsidRDefault="00EE6F9C" w:rsidP="007C4955">
      <w:pPr>
        <w:contextualSpacing/>
        <w:rPr>
          <w:rFonts w:cs="Arial"/>
          <w:i/>
          <w:sz w:val="20"/>
          <w:szCs w:val="20"/>
        </w:rPr>
      </w:pPr>
      <w:r w:rsidRPr="007D669C">
        <w:rPr>
          <w:rFonts w:cs="Arial"/>
          <w:i/>
          <w:sz w:val="20"/>
          <w:szCs w:val="20"/>
        </w:rPr>
        <w:t xml:space="preserve">Pramen: </w:t>
      </w:r>
      <w:r w:rsidR="009B131F">
        <w:rPr>
          <w:rFonts w:cs="Arial"/>
          <w:i/>
          <w:sz w:val="20"/>
          <w:szCs w:val="20"/>
        </w:rPr>
        <w:t xml:space="preserve">ČSÚ, </w:t>
      </w:r>
      <w:r w:rsidR="00925C26" w:rsidRPr="007D669C">
        <w:rPr>
          <w:rFonts w:cs="Arial"/>
          <w:i/>
          <w:sz w:val="20"/>
          <w:szCs w:val="20"/>
        </w:rPr>
        <w:t>MZe</w:t>
      </w:r>
    </w:p>
    <w:p w14:paraId="186A1F64" w14:textId="77777777" w:rsidR="009E38E4" w:rsidRPr="007D669C" w:rsidRDefault="009E38E4" w:rsidP="007C4955">
      <w:pPr>
        <w:contextualSpacing/>
        <w:rPr>
          <w:rFonts w:cs="Arial"/>
          <w:i/>
          <w:sz w:val="20"/>
          <w:szCs w:val="20"/>
        </w:rPr>
      </w:pPr>
    </w:p>
    <w:bookmarkEnd w:id="101"/>
    <w:p w14:paraId="31B37E3A" w14:textId="77777777" w:rsidR="0095264F" w:rsidRPr="007D669C" w:rsidRDefault="0095264F" w:rsidP="007C4955">
      <w:pPr>
        <w:contextualSpacing/>
        <w:rPr>
          <w:rFonts w:cs="Arial"/>
          <w:i/>
          <w:color w:val="000000" w:themeColor="text1"/>
          <w:sz w:val="20"/>
          <w:szCs w:val="20"/>
        </w:rPr>
      </w:pPr>
    </w:p>
    <w:p w14:paraId="4DFE4C90" w14:textId="77777777" w:rsidR="00547C0E" w:rsidRPr="007D669C" w:rsidRDefault="00547C0E">
      <w:pPr>
        <w:pStyle w:val="Nadpis2"/>
        <w:numPr>
          <w:ilvl w:val="1"/>
          <w:numId w:val="13"/>
        </w:numPr>
        <w:spacing w:before="0"/>
        <w:contextualSpacing/>
        <w:rPr>
          <w:color w:val="000000" w:themeColor="text1"/>
        </w:rPr>
      </w:pPr>
      <w:bookmarkStart w:id="159" w:name="_Toc10183429"/>
      <w:bookmarkStart w:id="160" w:name="_Toc236991635"/>
      <w:r w:rsidRPr="007D669C">
        <w:rPr>
          <w:color w:val="000000" w:themeColor="text1"/>
        </w:rPr>
        <w:t>Regulace oboru vodovodů a kanalizací</w:t>
      </w:r>
      <w:bookmarkEnd w:id="159"/>
      <w:bookmarkEnd w:id="160"/>
    </w:p>
    <w:p w14:paraId="2FCC13D2" w14:textId="77777777" w:rsidR="0095264F" w:rsidRPr="007D669C" w:rsidRDefault="0095264F" w:rsidP="007C4955">
      <w:pPr>
        <w:contextualSpacing/>
        <w:rPr>
          <w:color w:val="FF0000"/>
        </w:rPr>
      </w:pPr>
    </w:p>
    <w:p w14:paraId="52B63760" w14:textId="77777777" w:rsidR="00244D81" w:rsidRPr="007D669C" w:rsidRDefault="00244D81" w:rsidP="00244D81">
      <w:pPr>
        <w:contextualSpacing/>
        <w:rPr>
          <w:rFonts w:cs="Arial"/>
          <w:b/>
          <w:color w:val="000000" w:themeColor="text1"/>
        </w:rPr>
      </w:pPr>
      <w:r w:rsidRPr="007D669C">
        <w:rPr>
          <w:b/>
          <w:color w:val="000000" w:themeColor="text1"/>
        </w:rPr>
        <w:t>V roce 2025 provedlo Ministerstvo zemědělství celkem 35 kontrol u vlastníků a provozovatelů vodovodů a kanalizací pro veřejnou potřebu.</w:t>
      </w:r>
      <w:r w:rsidRPr="007D669C">
        <w:rPr>
          <w:rFonts w:cs="Arial"/>
          <w:b/>
          <w:color w:val="000000" w:themeColor="text1"/>
        </w:rPr>
        <w:t xml:space="preserve"> </w:t>
      </w:r>
    </w:p>
    <w:p w14:paraId="337747F9" w14:textId="77777777" w:rsidR="00244D81" w:rsidRPr="007D669C" w:rsidRDefault="00244D81" w:rsidP="00244D81">
      <w:pPr>
        <w:contextualSpacing/>
        <w:rPr>
          <w:rFonts w:cs="Arial"/>
          <w:b/>
          <w:color w:val="FF0000"/>
        </w:rPr>
      </w:pPr>
    </w:p>
    <w:p w14:paraId="0A0B0094" w14:textId="4197D858" w:rsidR="005F69B9" w:rsidRPr="00FF629E" w:rsidRDefault="00244D81" w:rsidP="005F69B9">
      <w:r w:rsidRPr="007D669C">
        <w:rPr>
          <w:bCs/>
        </w:rPr>
        <w:t>Ministerstvo zemědělství spatřuje hlavní cíle regulace oboru vodovodů a kanalizací pro veřejnou potřebu zejména v následujících klíčových oblastech: dohled nad dlouhodobou udržitelností vodovodů a kanalizací pro veřejnou potřeb (dále jen „</w:t>
      </w:r>
      <w:proofErr w:type="spellStart"/>
      <w:r w:rsidRPr="007D669C">
        <w:rPr>
          <w:bCs/>
        </w:rPr>
        <w:t>VaK</w:t>
      </w:r>
      <w:proofErr w:type="spellEnd"/>
      <w:r w:rsidRPr="007D669C">
        <w:rPr>
          <w:bCs/>
        </w:rPr>
        <w:t xml:space="preserve">“), zejména ve vztahu k plánu financování obnovy </w:t>
      </w:r>
      <w:proofErr w:type="spellStart"/>
      <w:r w:rsidRPr="007D669C">
        <w:rPr>
          <w:bCs/>
        </w:rPr>
        <w:t>VaK</w:t>
      </w:r>
      <w:proofErr w:type="spellEnd"/>
      <w:r w:rsidRPr="007D669C">
        <w:rPr>
          <w:bCs/>
        </w:rPr>
        <w:t xml:space="preserve"> a jeho plnění, zvýšení transparentnosti regulace cen pro vodné a stočné, soustavné zlepšování ochrany odběratelů a získávání podkladů pro návrhy na úpravu legislativy v oboru vodovodů a kanalizací pro veřejnou potřebu. Kontrolní činnost Ministerstva zemědělství, která byla v roce 2025 zajišťovaná odborem regulace oboru vodovodů a kanalizací se i v roce 2025 zaměřila na kontroly plnění povinností vlastníků a provozovatelů </w:t>
      </w:r>
      <w:proofErr w:type="spellStart"/>
      <w:r w:rsidRPr="007D669C">
        <w:rPr>
          <w:bCs/>
        </w:rPr>
        <w:t>VaK</w:t>
      </w:r>
      <w:proofErr w:type="spellEnd"/>
      <w:r w:rsidRPr="007D669C">
        <w:rPr>
          <w:bCs/>
        </w:rPr>
        <w:t xml:space="preserve"> vyplývajících ze zákona č. 274/2001 Sb., o vodovodech a kanalizacích pro veřejnou potřebu a o změně některých souvisejících zákonů, ve znění pozdějších předpisů, (dále jen „zákon o vodovodech a kanalizacích“) a rovněž z vyhlášky č. 428/2001 Sb.,</w:t>
      </w:r>
      <w:r w:rsidRPr="007D669C">
        <w:rPr>
          <w:rFonts w:cs="Arial"/>
        </w:rPr>
        <w:t xml:space="preserve"> kterou se zákon o vodovodech a kanalizacích provádí</w:t>
      </w:r>
      <w:r w:rsidRPr="007D669C">
        <w:rPr>
          <w:bCs/>
        </w:rPr>
        <w:t xml:space="preserve">. Celkem Ministerstvo zemědělství v roce 2025 vykonalo 35 kontrol vlastníků a provozovatelů </w:t>
      </w:r>
      <w:proofErr w:type="spellStart"/>
      <w:r w:rsidRPr="007D669C">
        <w:rPr>
          <w:bCs/>
        </w:rPr>
        <w:t>VaK</w:t>
      </w:r>
      <w:proofErr w:type="spellEnd"/>
      <w:r w:rsidRPr="007D669C">
        <w:rPr>
          <w:bCs/>
        </w:rPr>
        <w:t xml:space="preserve"> pro veřejnou potřebu.</w:t>
      </w:r>
      <w:r w:rsidRPr="007D669C">
        <w:rPr>
          <w:rFonts w:cs="Arial"/>
          <w:b/>
        </w:rPr>
        <w:t xml:space="preserve"> </w:t>
      </w:r>
      <w:r w:rsidR="005F69B9" w:rsidRPr="00FF629E">
        <w:t>Vzhledem k vysokému počtu hlášení, termínu jejich zasílání (do 30. 4. následujícího kalendářního roku) a nutnosti zařadit do analýzy co nejvyšší počet validních dat, jsou výsledky a Zpráva z benchmarkingu k dispozici cca 1,5 roku po skončení rozhodného kalendářního roku.</w:t>
      </w:r>
    </w:p>
    <w:p w14:paraId="0210FD18" w14:textId="6321D2C7" w:rsidR="00244D81" w:rsidRPr="007D669C" w:rsidRDefault="00244D81" w:rsidP="00244D81">
      <w:pPr>
        <w:rPr>
          <w:rFonts w:cs="Arial"/>
        </w:rPr>
      </w:pPr>
    </w:p>
    <w:p w14:paraId="60CA28D4" w14:textId="77777777" w:rsidR="00244D81" w:rsidRPr="007D669C" w:rsidRDefault="00244D81" w:rsidP="00244D81">
      <w:pPr>
        <w:contextualSpacing/>
        <w:rPr>
          <w:rFonts w:cs="Arial"/>
          <w:color w:val="FF0000"/>
        </w:rPr>
      </w:pPr>
    </w:p>
    <w:p w14:paraId="468D462D" w14:textId="77777777" w:rsidR="00244D81" w:rsidRPr="007D669C" w:rsidRDefault="00244D81" w:rsidP="00244D81">
      <w:pPr>
        <w:rPr>
          <w:rFonts w:cs="Arial"/>
        </w:rPr>
      </w:pPr>
      <w:r w:rsidRPr="007D669C">
        <w:rPr>
          <w:rFonts w:cs="Arial"/>
        </w:rPr>
        <w:t>Kontroly byly zam</w:t>
      </w:r>
      <w:r w:rsidRPr="007D669C">
        <w:rPr>
          <w:rFonts w:cs="Arial" w:hint="eastAsia"/>
        </w:rPr>
        <w:t>ěř</w:t>
      </w:r>
      <w:r w:rsidRPr="007D669C">
        <w:rPr>
          <w:rFonts w:cs="Arial"/>
        </w:rPr>
        <w:t>eny zejména na plnění základních zákonných povinností vlastníků a provozovatelů vodohospodářské infrastruktury. Jejich obsahem byla kontrola skutečně provozovan</w:t>
      </w:r>
      <w:r w:rsidRPr="007D669C">
        <w:rPr>
          <w:rFonts w:cs="Arial" w:hint="eastAsia"/>
        </w:rPr>
        <w:t>é</w:t>
      </w:r>
      <w:r w:rsidRPr="007D669C">
        <w:rPr>
          <w:rFonts w:cs="Arial"/>
        </w:rPr>
        <w:t xml:space="preserve">ho majetku </w:t>
      </w:r>
      <w:proofErr w:type="spellStart"/>
      <w:r w:rsidRPr="007D669C">
        <w:rPr>
          <w:rFonts w:cs="Arial"/>
        </w:rPr>
        <w:t>VaK</w:t>
      </w:r>
      <w:proofErr w:type="spellEnd"/>
      <w:r w:rsidRPr="007D669C">
        <w:rPr>
          <w:rFonts w:cs="Arial"/>
        </w:rPr>
        <w:t xml:space="preserve"> s vydan</w:t>
      </w:r>
      <w:r w:rsidRPr="007D669C">
        <w:rPr>
          <w:rFonts w:cs="Arial" w:hint="eastAsia"/>
        </w:rPr>
        <w:t>ý</w:t>
      </w:r>
      <w:r w:rsidRPr="007D669C">
        <w:rPr>
          <w:rFonts w:cs="Arial"/>
        </w:rPr>
        <w:t>mi povolen</w:t>
      </w:r>
      <w:r w:rsidRPr="007D669C">
        <w:rPr>
          <w:rFonts w:cs="Arial" w:hint="eastAsia"/>
        </w:rPr>
        <w:t>í</w:t>
      </w:r>
      <w:r w:rsidRPr="007D669C">
        <w:rPr>
          <w:rFonts w:cs="Arial"/>
        </w:rPr>
        <w:t xml:space="preserve">mi k provozování </w:t>
      </w:r>
      <w:proofErr w:type="spellStart"/>
      <w:r w:rsidRPr="007D669C">
        <w:rPr>
          <w:rFonts w:cs="Arial"/>
        </w:rPr>
        <w:t>VaK</w:t>
      </w:r>
      <w:proofErr w:type="spellEnd"/>
      <w:r w:rsidRPr="007D669C">
        <w:rPr>
          <w:rFonts w:cs="Arial"/>
        </w:rPr>
        <w:t xml:space="preserve"> a soulad vybran</w:t>
      </w:r>
      <w:r w:rsidRPr="007D669C">
        <w:rPr>
          <w:rFonts w:cs="Arial" w:hint="eastAsia"/>
        </w:rPr>
        <w:t>ý</w:t>
      </w:r>
      <w:r w:rsidRPr="007D669C">
        <w:rPr>
          <w:rFonts w:cs="Arial"/>
        </w:rPr>
        <w:t xml:space="preserve">ch </w:t>
      </w:r>
      <w:r w:rsidRPr="007D669C">
        <w:rPr>
          <w:rFonts w:cs="Arial" w:hint="eastAsia"/>
        </w:rPr>
        <w:t>ú</w:t>
      </w:r>
      <w:r w:rsidRPr="007D669C">
        <w:rPr>
          <w:rFonts w:cs="Arial"/>
        </w:rPr>
        <w:t>daj</w:t>
      </w:r>
      <w:r w:rsidRPr="007D669C">
        <w:rPr>
          <w:rFonts w:cs="Arial" w:hint="eastAsia"/>
        </w:rPr>
        <w:t>ů</w:t>
      </w:r>
      <w:r w:rsidRPr="007D669C">
        <w:rPr>
          <w:rFonts w:cs="Arial"/>
        </w:rPr>
        <w:t xml:space="preserve"> z provozn</w:t>
      </w:r>
      <w:r w:rsidRPr="007D669C">
        <w:rPr>
          <w:rFonts w:cs="Arial" w:hint="eastAsia"/>
        </w:rPr>
        <w:t>í</w:t>
      </w:r>
      <w:r w:rsidRPr="007D669C">
        <w:rPr>
          <w:rFonts w:cs="Arial"/>
        </w:rPr>
        <w:t xml:space="preserve"> evidence (dále jen „VÚPE“) a vybran</w:t>
      </w:r>
      <w:r w:rsidRPr="007D669C">
        <w:rPr>
          <w:rFonts w:cs="Arial" w:hint="eastAsia"/>
        </w:rPr>
        <w:t>ý</w:t>
      </w:r>
      <w:r w:rsidRPr="007D669C">
        <w:rPr>
          <w:rFonts w:cs="Arial"/>
        </w:rPr>
        <w:t xml:space="preserve">ch </w:t>
      </w:r>
      <w:r w:rsidRPr="007D669C">
        <w:rPr>
          <w:rFonts w:cs="Arial" w:hint="eastAsia"/>
        </w:rPr>
        <w:t>ú</w:t>
      </w:r>
      <w:r w:rsidRPr="007D669C">
        <w:rPr>
          <w:rFonts w:cs="Arial"/>
        </w:rPr>
        <w:t>daj</w:t>
      </w:r>
      <w:r w:rsidRPr="007D669C">
        <w:rPr>
          <w:rFonts w:cs="Arial" w:hint="eastAsia"/>
        </w:rPr>
        <w:t>ů</w:t>
      </w:r>
      <w:r w:rsidRPr="007D669C">
        <w:rPr>
          <w:rFonts w:cs="Arial"/>
        </w:rPr>
        <w:t xml:space="preserve"> z majetkov</w:t>
      </w:r>
      <w:r w:rsidRPr="007D669C">
        <w:rPr>
          <w:rFonts w:cs="Arial" w:hint="eastAsia"/>
        </w:rPr>
        <w:t>é</w:t>
      </w:r>
      <w:r w:rsidRPr="007D669C">
        <w:rPr>
          <w:rFonts w:cs="Arial"/>
        </w:rPr>
        <w:t xml:space="preserve"> evidence (dále jen „VÚME“), smlouvy o provozov</w:t>
      </w:r>
      <w:r w:rsidRPr="007D669C">
        <w:rPr>
          <w:rFonts w:cs="Arial" w:hint="eastAsia"/>
        </w:rPr>
        <w:t>á</w:t>
      </w:r>
      <w:r w:rsidRPr="007D669C">
        <w:rPr>
          <w:rFonts w:cs="Arial"/>
        </w:rPr>
        <w:t>n</w:t>
      </w:r>
      <w:r w:rsidRPr="007D669C">
        <w:rPr>
          <w:rFonts w:cs="Arial" w:hint="eastAsia"/>
        </w:rPr>
        <w:t>í</w:t>
      </w:r>
      <w:r w:rsidRPr="007D669C">
        <w:rPr>
          <w:rFonts w:cs="Arial"/>
        </w:rPr>
        <w:t xml:space="preserve"> uzav</w:t>
      </w:r>
      <w:r w:rsidRPr="007D669C">
        <w:rPr>
          <w:rFonts w:cs="Arial" w:hint="eastAsia"/>
        </w:rPr>
        <w:t>ř</w:t>
      </w:r>
      <w:r w:rsidRPr="007D669C">
        <w:rPr>
          <w:rFonts w:cs="Arial"/>
        </w:rPr>
        <w:t>en</w:t>
      </w:r>
      <w:r w:rsidRPr="007D669C">
        <w:rPr>
          <w:rFonts w:cs="Arial" w:hint="eastAsia"/>
        </w:rPr>
        <w:t>é</w:t>
      </w:r>
      <w:r w:rsidRPr="007D669C">
        <w:rPr>
          <w:rFonts w:cs="Arial"/>
        </w:rPr>
        <w:t xml:space="preserve"> mezi vlastn</w:t>
      </w:r>
      <w:r w:rsidRPr="007D669C">
        <w:rPr>
          <w:rFonts w:cs="Arial" w:hint="eastAsia"/>
        </w:rPr>
        <w:t>í</w:t>
      </w:r>
      <w:r w:rsidRPr="007D669C">
        <w:rPr>
          <w:rFonts w:cs="Arial"/>
        </w:rPr>
        <w:t xml:space="preserve">ky a provozovateli </w:t>
      </w:r>
      <w:proofErr w:type="spellStart"/>
      <w:r w:rsidRPr="007D669C">
        <w:rPr>
          <w:rFonts w:cs="Arial"/>
        </w:rPr>
        <w:t>VaK</w:t>
      </w:r>
      <w:proofErr w:type="spellEnd"/>
      <w:r w:rsidRPr="007D669C">
        <w:rPr>
          <w:rFonts w:cs="Arial"/>
        </w:rPr>
        <w:t>, p</w:t>
      </w:r>
      <w:r w:rsidRPr="007D669C">
        <w:rPr>
          <w:rFonts w:cs="Arial" w:hint="eastAsia"/>
        </w:rPr>
        <w:t>í</w:t>
      </w:r>
      <w:r w:rsidRPr="007D669C">
        <w:rPr>
          <w:rFonts w:cs="Arial"/>
        </w:rPr>
        <w:t>semn</w:t>
      </w:r>
      <w:r w:rsidRPr="007D669C">
        <w:rPr>
          <w:rFonts w:cs="Arial" w:hint="eastAsia"/>
        </w:rPr>
        <w:t>é</w:t>
      </w:r>
      <w:r w:rsidRPr="007D669C">
        <w:rPr>
          <w:rFonts w:cs="Arial"/>
        </w:rPr>
        <w:t xml:space="preserve"> dohody vlastn</w:t>
      </w:r>
      <w:r w:rsidRPr="007D669C">
        <w:rPr>
          <w:rFonts w:cs="Arial" w:hint="eastAsia"/>
        </w:rPr>
        <w:t>í</w:t>
      </w:r>
      <w:r w:rsidRPr="007D669C">
        <w:rPr>
          <w:rFonts w:cs="Arial"/>
        </w:rPr>
        <w:t>k</w:t>
      </w:r>
      <w:r w:rsidRPr="007D669C">
        <w:rPr>
          <w:rFonts w:cs="Arial" w:hint="eastAsia"/>
        </w:rPr>
        <w:t>ů</w:t>
      </w:r>
      <w:r w:rsidRPr="007D669C">
        <w:rPr>
          <w:rFonts w:cs="Arial"/>
        </w:rPr>
        <w:t xml:space="preserve"> provozn</w:t>
      </w:r>
      <w:r w:rsidRPr="007D669C">
        <w:rPr>
          <w:rFonts w:cs="Arial" w:hint="eastAsia"/>
        </w:rPr>
        <w:t>ě</w:t>
      </w:r>
      <w:r w:rsidRPr="007D669C">
        <w:rPr>
          <w:rFonts w:cs="Arial"/>
        </w:rPr>
        <w:t xml:space="preserve"> souvisej</w:t>
      </w:r>
      <w:r w:rsidRPr="007D669C">
        <w:rPr>
          <w:rFonts w:cs="Arial" w:hint="eastAsia"/>
        </w:rPr>
        <w:t>í</w:t>
      </w:r>
      <w:r w:rsidRPr="007D669C">
        <w:rPr>
          <w:rFonts w:cs="Arial"/>
        </w:rPr>
        <w:t>c</w:t>
      </w:r>
      <w:r w:rsidRPr="007D669C">
        <w:rPr>
          <w:rFonts w:cs="Arial" w:hint="eastAsia"/>
        </w:rPr>
        <w:t>í</w:t>
      </w:r>
      <w:r w:rsidRPr="007D669C">
        <w:rPr>
          <w:rFonts w:cs="Arial"/>
        </w:rPr>
        <w:t xml:space="preserve">ch </w:t>
      </w:r>
      <w:proofErr w:type="spellStart"/>
      <w:r w:rsidRPr="007D669C">
        <w:rPr>
          <w:rFonts w:cs="Arial"/>
        </w:rPr>
        <w:t>VaK</w:t>
      </w:r>
      <w:proofErr w:type="spellEnd"/>
      <w:r w:rsidRPr="007D669C">
        <w:rPr>
          <w:rFonts w:cs="Arial"/>
        </w:rPr>
        <w:t>, povinný smluvn</w:t>
      </w:r>
      <w:r w:rsidRPr="007D669C">
        <w:rPr>
          <w:rFonts w:cs="Arial" w:hint="eastAsia"/>
        </w:rPr>
        <w:t>í</w:t>
      </w:r>
      <w:r w:rsidRPr="007D669C">
        <w:rPr>
          <w:rFonts w:cs="Arial"/>
        </w:rPr>
        <w:t xml:space="preserve"> vztah mezi provozovatelem a jeho odborn</w:t>
      </w:r>
      <w:r w:rsidRPr="007D669C">
        <w:rPr>
          <w:rFonts w:cs="Arial" w:hint="eastAsia"/>
        </w:rPr>
        <w:t>ý</w:t>
      </w:r>
      <w:r w:rsidRPr="007D669C">
        <w:rPr>
          <w:rFonts w:cs="Arial"/>
        </w:rPr>
        <w:t>m z</w:t>
      </w:r>
      <w:r w:rsidRPr="007D669C">
        <w:rPr>
          <w:rFonts w:cs="Arial" w:hint="eastAsia"/>
        </w:rPr>
        <w:t>á</w:t>
      </w:r>
      <w:r w:rsidRPr="007D669C">
        <w:rPr>
          <w:rFonts w:cs="Arial"/>
        </w:rPr>
        <w:t>stupcem, povinné náležitosti odb</w:t>
      </w:r>
      <w:r w:rsidRPr="007D669C">
        <w:rPr>
          <w:rFonts w:cs="Arial" w:hint="eastAsia"/>
        </w:rPr>
        <w:t>ě</w:t>
      </w:r>
      <w:r w:rsidRPr="007D669C">
        <w:rPr>
          <w:rFonts w:cs="Arial"/>
        </w:rPr>
        <w:t>ratelských smluv a dále dodržování postupů při stanovování množství dodané vody a odváděné odpadní vody. Kontrolováno bylo rovněž zpracování kanaliza</w:t>
      </w:r>
      <w:r w:rsidRPr="007D669C">
        <w:rPr>
          <w:rFonts w:cs="Arial" w:hint="eastAsia"/>
        </w:rPr>
        <w:t>č</w:t>
      </w:r>
      <w:r w:rsidRPr="007D669C">
        <w:rPr>
          <w:rFonts w:cs="Arial"/>
        </w:rPr>
        <w:t>n</w:t>
      </w:r>
      <w:r w:rsidRPr="007D669C">
        <w:rPr>
          <w:rFonts w:cs="Arial" w:hint="eastAsia"/>
        </w:rPr>
        <w:t>í</w:t>
      </w:r>
      <w:r w:rsidRPr="007D669C">
        <w:rPr>
          <w:rFonts w:cs="Arial"/>
        </w:rPr>
        <w:t xml:space="preserve">ch </w:t>
      </w:r>
      <w:r w:rsidRPr="007D669C">
        <w:rPr>
          <w:rFonts w:cs="Arial" w:hint="eastAsia"/>
        </w:rPr>
        <w:t>řá</w:t>
      </w:r>
      <w:r w:rsidRPr="007D669C">
        <w:rPr>
          <w:rFonts w:cs="Arial"/>
        </w:rPr>
        <w:t>dů včetně jejich schv</w:t>
      </w:r>
      <w:r w:rsidRPr="007D669C">
        <w:rPr>
          <w:rFonts w:cs="Arial" w:hint="eastAsia"/>
        </w:rPr>
        <w:t>á</w:t>
      </w:r>
      <w:r w:rsidRPr="007D669C">
        <w:rPr>
          <w:rFonts w:cs="Arial"/>
        </w:rPr>
        <w:t>len</w:t>
      </w:r>
      <w:r w:rsidRPr="007D669C">
        <w:rPr>
          <w:rFonts w:cs="Arial" w:hint="eastAsia"/>
        </w:rPr>
        <w:t>í</w:t>
      </w:r>
      <w:r w:rsidRPr="007D669C">
        <w:rPr>
          <w:rFonts w:cs="Arial"/>
        </w:rPr>
        <w:t xml:space="preserve"> příslušným vodoprávním </w:t>
      </w:r>
      <w:r w:rsidRPr="007D669C">
        <w:rPr>
          <w:rFonts w:cs="Arial" w:hint="eastAsia"/>
        </w:rPr>
        <w:t>úř</w:t>
      </w:r>
      <w:r w:rsidRPr="007D669C">
        <w:rPr>
          <w:rFonts w:cs="Arial"/>
        </w:rPr>
        <w:t>adem a zpracování reklama</w:t>
      </w:r>
      <w:r w:rsidRPr="007D669C">
        <w:rPr>
          <w:rFonts w:cs="Arial" w:hint="eastAsia"/>
        </w:rPr>
        <w:t>č</w:t>
      </w:r>
      <w:r w:rsidRPr="007D669C">
        <w:rPr>
          <w:rFonts w:cs="Arial"/>
        </w:rPr>
        <w:t>n</w:t>
      </w:r>
      <w:r w:rsidRPr="007D669C">
        <w:rPr>
          <w:rFonts w:cs="Arial" w:hint="eastAsia"/>
        </w:rPr>
        <w:t>í</w:t>
      </w:r>
      <w:r w:rsidRPr="007D669C">
        <w:rPr>
          <w:rFonts w:cs="Arial"/>
        </w:rPr>
        <w:t xml:space="preserve">ho </w:t>
      </w:r>
      <w:r w:rsidRPr="007D669C">
        <w:rPr>
          <w:rFonts w:cs="Arial" w:hint="eastAsia"/>
        </w:rPr>
        <w:t>řá</w:t>
      </w:r>
      <w:r w:rsidRPr="007D669C">
        <w:rPr>
          <w:rFonts w:cs="Arial"/>
        </w:rPr>
        <w:t>du. Zvláštní pozornost byla věnována povinně zpracovávaným pl</w:t>
      </w:r>
      <w:r w:rsidRPr="007D669C">
        <w:rPr>
          <w:rFonts w:cs="Arial" w:hint="eastAsia"/>
        </w:rPr>
        <w:t>á</w:t>
      </w:r>
      <w:r w:rsidRPr="007D669C">
        <w:rPr>
          <w:rFonts w:cs="Arial"/>
        </w:rPr>
        <w:t>nům financov</w:t>
      </w:r>
      <w:r w:rsidRPr="007D669C">
        <w:rPr>
          <w:rFonts w:cs="Arial" w:hint="eastAsia"/>
        </w:rPr>
        <w:t>á</w:t>
      </w:r>
      <w:r w:rsidRPr="007D669C">
        <w:rPr>
          <w:rFonts w:cs="Arial"/>
        </w:rPr>
        <w:t>n</w:t>
      </w:r>
      <w:r w:rsidRPr="007D669C">
        <w:rPr>
          <w:rFonts w:cs="Arial" w:hint="eastAsia"/>
        </w:rPr>
        <w:t>í</w:t>
      </w:r>
      <w:r w:rsidRPr="007D669C">
        <w:rPr>
          <w:rFonts w:cs="Arial"/>
        </w:rPr>
        <w:t xml:space="preserve"> obnovy a vytv</w:t>
      </w:r>
      <w:r w:rsidRPr="007D669C">
        <w:rPr>
          <w:rFonts w:cs="Arial" w:hint="eastAsia"/>
        </w:rPr>
        <w:t>ář</w:t>
      </w:r>
      <w:r w:rsidRPr="007D669C">
        <w:rPr>
          <w:rFonts w:cs="Arial"/>
        </w:rPr>
        <w:t>en</w:t>
      </w:r>
      <w:r w:rsidRPr="007D669C">
        <w:rPr>
          <w:rFonts w:cs="Arial" w:hint="eastAsia"/>
        </w:rPr>
        <w:t>í</w:t>
      </w:r>
      <w:r w:rsidRPr="007D669C">
        <w:rPr>
          <w:rFonts w:cs="Arial"/>
        </w:rPr>
        <w:t xml:space="preserve"> rezervy finan</w:t>
      </w:r>
      <w:r w:rsidRPr="007D669C">
        <w:rPr>
          <w:rFonts w:cs="Arial" w:hint="eastAsia"/>
        </w:rPr>
        <w:t>č</w:t>
      </w:r>
      <w:r w:rsidRPr="007D669C">
        <w:rPr>
          <w:rFonts w:cs="Arial"/>
        </w:rPr>
        <w:t>n</w:t>
      </w:r>
      <w:r w:rsidRPr="007D669C">
        <w:rPr>
          <w:rFonts w:cs="Arial" w:hint="eastAsia"/>
        </w:rPr>
        <w:t>í</w:t>
      </w:r>
      <w:r w:rsidRPr="007D669C">
        <w:rPr>
          <w:rFonts w:cs="Arial"/>
        </w:rPr>
        <w:t>ch prost</w:t>
      </w:r>
      <w:r w:rsidRPr="007D669C">
        <w:rPr>
          <w:rFonts w:cs="Arial" w:hint="eastAsia"/>
        </w:rPr>
        <w:t>ř</w:t>
      </w:r>
      <w:r w:rsidRPr="007D669C">
        <w:rPr>
          <w:rFonts w:cs="Arial"/>
        </w:rPr>
        <w:t>edk</w:t>
      </w:r>
      <w:r w:rsidRPr="007D669C">
        <w:rPr>
          <w:rFonts w:cs="Arial" w:hint="eastAsia"/>
        </w:rPr>
        <w:t>ů</w:t>
      </w:r>
      <w:r w:rsidRPr="007D669C">
        <w:rPr>
          <w:rFonts w:cs="Arial"/>
        </w:rPr>
        <w:t xml:space="preserve"> na obnovu </w:t>
      </w:r>
      <w:proofErr w:type="spellStart"/>
      <w:r w:rsidRPr="007D669C">
        <w:rPr>
          <w:rFonts w:cs="Arial"/>
        </w:rPr>
        <w:t>VaK</w:t>
      </w:r>
      <w:proofErr w:type="spellEnd"/>
      <w:r w:rsidRPr="007D669C">
        <w:rPr>
          <w:rFonts w:cs="Arial"/>
        </w:rPr>
        <w:t xml:space="preserve"> a dolo</w:t>
      </w:r>
      <w:r w:rsidRPr="007D669C">
        <w:rPr>
          <w:rFonts w:cs="Arial" w:hint="eastAsia"/>
        </w:rPr>
        <w:t>ž</w:t>
      </w:r>
      <w:r w:rsidRPr="007D669C">
        <w:rPr>
          <w:rFonts w:cs="Arial"/>
        </w:rPr>
        <w:t>en</w:t>
      </w:r>
      <w:r w:rsidRPr="007D669C">
        <w:rPr>
          <w:rFonts w:cs="Arial" w:hint="eastAsia"/>
        </w:rPr>
        <w:t>í</w:t>
      </w:r>
      <w:r w:rsidRPr="007D669C">
        <w:rPr>
          <w:rFonts w:cs="Arial"/>
        </w:rPr>
        <w:t xml:space="preserve"> doklad</w:t>
      </w:r>
      <w:r w:rsidRPr="007D669C">
        <w:rPr>
          <w:rFonts w:cs="Arial" w:hint="eastAsia"/>
        </w:rPr>
        <w:t>ů</w:t>
      </w:r>
      <w:r w:rsidRPr="007D669C">
        <w:rPr>
          <w:rFonts w:cs="Arial"/>
        </w:rPr>
        <w:t xml:space="preserve"> o jejich pou</w:t>
      </w:r>
      <w:r w:rsidRPr="007D669C">
        <w:rPr>
          <w:rFonts w:cs="Arial" w:hint="eastAsia"/>
        </w:rPr>
        <w:t>ž</w:t>
      </w:r>
      <w:r w:rsidRPr="007D669C">
        <w:rPr>
          <w:rFonts w:cs="Arial"/>
        </w:rPr>
        <w:t>it</w:t>
      </w:r>
      <w:r w:rsidRPr="007D669C">
        <w:rPr>
          <w:rFonts w:cs="Arial" w:hint="eastAsia"/>
        </w:rPr>
        <w:t>í</w:t>
      </w:r>
      <w:r w:rsidRPr="007D669C">
        <w:rPr>
          <w:rFonts w:cs="Arial"/>
        </w:rPr>
        <w:t xml:space="preserve"> pro tyto </w:t>
      </w:r>
      <w:r w:rsidRPr="007D669C">
        <w:rPr>
          <w:rFonts w:cs="Arial" w:hint="eastAsia"/>
        </w:rPr>
        <w:t>úč</w:t>
      </w:r>
      <w:r w:rsidRPr="007D669C">
        <w:rPr>
          <w:rFonts w:cs="Arial"/>
        </w:rPr>
        <w:t>ely.</w:t>
      </w:r>
    </w:p>
    <w:p w14:paraId="34CA122D" w14:textId="77777777" w:rsidR="00244D81" w:rsidRPr="007D669C" w:rsidRDefault="00244D81" w:rsidP="00244D81">
      <w:pPr>
        <w:rPr>
          <w:rFonts w:cs="Arial"/>
        </w:rPr>
      </w:pPr>
    </w:p>
    <w:p w14:paraId="47281C6B" w14:textId="77777777" w:rsidR="00244D81" w:rsidRPr="007D669C" w:rsidRDefault="00244D81" w:rsidP="00244D81">
      <w:pPr>
        <w:rPr>
          <w:rFonts w:cs="Arial"/>
        </w:rPr>
      </w:pPr>
      <w:r w:rsidRPr="007D669C">
        <w:rPr>
          <w:rFonts w:cs="Arial"/>
        </w:rPr>
        <w:t xml:space="preserve">V případě zjištěných nedostatků MZe požadovalo zjednání nápravy. Mezi opakující se nedostatky patří např. úplná absence nebo chybné zpracování plánu financování obnovy, nerespektování povinných náležitostí odběratelských smluv, nesoulad VÚME a VÚPE s vydanými povoleními k provozování příslušných </w:t>
      </w:r>
      <w:proofErr w:type="spellStart"/>
      <w:r w:rsidRPr="007D669C">
        <w:rPr>
          <w:rFonts w:cs="Arial"/>
        </w:rPr>
        <w:t>VaK</w:t>
      </w:r>
      <w:proofErr w:type="spellEnd"/>
      <w:r w:rsidRPr="007D669C">
        <w:rPr>
          <w:rFonts w:cs="Arial"/>
        </w:rPr>
        <w:t xml:space="preserve">, absence rozhodnutí o povolení k provozování </w:t>
      </w:r>
      <w:proofErr w:type="spellStart"/>
      <w:r w:rsidRPr="007D669C">
        <w:rPr>
          <w:rFonts w:cs="Arial"/>
        </w:rPr>
        <w:t>VaK</w:t>
      </w:r>
      <w:proofErr w:type="spellEnd"/>
      <w:r w:rsidRPr="007D669C">
        <w:rPr>
          <w:rFonts w:cs="Arial"/>
        </w:rPr>
        <w:t>, absence dohod vlastníků provozně souvisejících vodovodů nebo kanalizací a další.</w:t>
      </w:r>
    </w:p>
    <w:p w14:paraId="436A3E5C" w14:textId="77777777" w:rsidR="007D669C" w:rsidRDefault="007D669C" w:rsidP="00975413">
      <w:pPr>
        <w:contextualSpacing/>
        <w:rPr>
          <w:rFonts w:cs="Arial"/>
          <w:b/>
          <w:i/>
        </w:rPr>
      </w:pPr>
    </w:p>
    <w:p w14:paraId="669297C6" w14:textId="6CD85CBA" w:rsidR="00975413" w:rsidRPr="007D669C" w:rsidRDefault="00975413" w:rsidP="00975413">
      <w:pPr>
        <w:contextualSpacing/>
        <w:rPr>
          <w:rFonts w:cs="Arial"/>
          <w:b/>
          <w:i/>
        </w:rPr>
      </w:pPr>
      <w:r w:rsidRPr="007D669C">
        <w:rPr>
          <w:rFonts w:cs="Arial"/>
          <w:b/>
          <w:i/>
        </w:rPr>
        <w:t>Tabulka 9.4.1</w:t>
      </w:r>
    </w:p>
    <w:p w14:paraId="20D56CFC" w14:textId="77777777" w:rsidR="00975413" w:rsidRPr="007D669C" w:rsidRDefault="00975413" w:rsidP="00975413">
      <w:pPr>
        <w:contextualSpacing/>
        <w:rPr>
          <w:rFonts w:cs="Arial"/>
          <w:b/>
          <w:i/>
        </w:rPr>
      </w:pPr>
      <w:r w:rsidRPr="007D669C">
        <w:rPr>
          <w:rFonts w:cs="Arial"/>
          <w:b/>
          <w:i/>
        </w:rPr>
        <w:t>Počty kontrol provedených u vlastníků a provozovatelů vodovodů a kanalizací v roce 2025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6748"/>
        <w:gridCol w:w="2880"/>
      </w:tblGrid>
      <w:tr w:rsidR="00975413" w:rsidRPr="007D669C" w14:paraId="45E81880" w14:textId="77777777" w:rsidTr="00366C52">
        <w:trPr>
          <w:trHeight w:val="20"/>
        </w:trPr>
        <w:tc>
          <w:tcPr>
            <w:tcW w:w="6748" w:type="dxa"/>
            <w:shd w:val="clear" w:color="auto" w:fill="AEAAAA"/>
            <w:vAlign w:val="center"/>
          </w:tcPr>
          <w:p w14:paraId="36C2C229" w14:textId="77777777" w:rsidR="00975413" w:rsidRPr="007D669C" w:rsidRDefault="00975413" w:rsidP="00366C52">
            <w:pPr>
              <w:contextualSpacing/>
              <w:rPr>
                <w:rFonts w:eastAsia="Times New Roman" w:cs="Arial"/>
                <w:b/>
                <w:sz w:val="18"/>
                <w:szCs w:val="18"/>
              </w:rPr>
            </w:pPr>
            <w:r w:rsidRPr="007D669C">
              <w:rPr>
                <w:rFonts w:eastAsia="Times New Roman" w:cs="Arial"/>
                <w:b/>
                <w:bCs/>
                <w:sz w:val="18"/>
                <w:szCs w:val="18"/>
              </w:rPr>
              <w:t>Kontrolované subjekty</w:t>
            </w:r>
          </w:p>
        </w:tc>
        <w:tc>
          <w:tcPr>
            <w:tcW w:w="2880" w:type="dxa"/>
            <w:shd w:val="clear" w:color="auto" w:fill="AEAAAA"/>
          </w:tcPr>
          <w:p w14:paraId="689F64BA" w14:textId="77777777" w:rsidR="00975413" w:rsidRPr="007D669C" w:rsidRDefault="00975413" w:rsidP="00366C52">
            <w:pPr>
              <w:contextualSpacing/>
              <w:jc w:val="center"/>
              <w:rPr>
                <w:rFonts w:eastAsia="Times New Roman" w:cs="Arial"/>
                <w:b/>
                <w:sz w:val="18"/>
                <w:szCs w:val="18"/>
              </w:rPr>
            </w:pPr>
            <w:r w:rsidRPr="007D669C">
              <w:rPr>
                <w:rFonts w:eastAsia="Times New Roman" w:cs="Arial"/>
                <w:b/>
                <w:bCs/>
                <w:sz w:val="18"/>
                <w:szCs w:val="18"/>
              </w:rPr>
              <w:t>Počet všech provedených kontrol</w:t>
            </w:r>
          </w:p>
        </w:tc>
      </w:tr>
      <w:tr w:rsidR="00975413" w:rsidRPr="007D669C" w14:paraId="5FD8E4BC" w14:textId="77777777" w:rsidTr="00366C52">
        <w:trPr>
          <w:trHeight w:val="20"/>
        </w:trPr>
        <w:tc>
          <w:tcPr>
            <w:tcW w:w="6748" w:type="dxa"/>
          </w:tcPr>
          <w:p w14:paraId="7400B3AC" w14:textId="77777777" w:rsidR="00975413" w:rsidRPr="007D669C" w:rsidRDefault="00975413" w:rsidP="00366C52">
            <w:pPr>
              <w:contextualSpacing/>
              <w:rPr>
                <w:rFonts w:eastAsia="Times New Roman" w:cs="Arial"/>
                <w:b/>
                <w:bCs/>
                <w:sz w:val="18"/>
                <w:szCs w:val="18"/>
              </w:rPr>
            </w:pPr>
            <w:r w:rsidRPr="007D669C">
              <w:rPr>
                <w:rFonts w:eastAsia="Times New Roman" w:cs="Arial"/>
                <w:b/>
                <w:bCs/>
                <w:sz w:val="18"/>
                <w:szCs w:val="18"/>
              </w:rPr>
              <w:t xml:space="preserve">Vlastníci </w:t>
            </w:r>
            <w:r w:rsidRPr="007D669C">
              <w:rPr>
                <w:rFonts w:cs="Arial"/>
                <w:b/>
                <w:bCs/>
                <w:sz w:val="18"/>
                <w:szCs w:val="18"/>
              </w:rPr>
              <w:t>vodovodů a kanalizací</w:t>
            </w:r>
          </w:p>
        </w:tc>
        <w:tc>
          <w:tcPr>
            <w:tcW w:w="2880" w:type="dxa"/>
          </w:tcPr>
          <w:p w14:paraId="59F9D122" w14:textId="77777777" w:rsidR="00975413" w:rsidRPr="007D669C" w:rsidRDefault="00975413" w:rsidP="00366C52">
            <w:pPr>
              <w:contextualSpacing/>
              <w:jc w:val="center"/>
              <w:rPr>
                <w:rFonts w:eastAsia="Times New Roman" w:cs="Arial"/>
                <w:b/>
                <w:bCs/>
                <w:sz w:val="18"/>
                <w:szCs w:val="18"/>
              </w:rPr>
            </w:pPr>
            <w:r w:rsidRPr="007D669C">
              <w:rPr>
                <w:rFonts w:eastAsia="Times New Roman" w:cs="Arial"/>
                <w:b/>
                <w:bCs/>
                <w:sz w:val="18"/>
                <w:szCs w:val="18"/>
              </w:rPr>
              <w:t>10</w:t>
            </w:r>
          </w:p>
        </w:tc>
      </w:tr>
      <w:tr w:rsidR="00975413" w:rsidRPr="007D669C" w14:paraId="593A0E90" w14:textId="77777777" w:rsidTr="00366C52">
        <w:trPr>
          <w:trHeight w:val="20"/>
        </w:trPr>
        <w:tc>
          <w:tcPr>
            <w:tcW w:w="6748" w:type="dxa"/>
          </w:tcPr>
          <w:p w14:paraId="1ECBE2E8" w14:textId="77777777" w:rsidR="00975413" w:rsidRPr="007D669C" w:rsidRDefault="00975413" w:rsidP="00366C52">
            <w:pPr>
              <w:pStyle w:val="Odstavecseseznamem"/>
              <w:numPr>
                <w:ilvl w:val="0"/>
                <w:numId w:val="2"/>
              </w:numPr>
              <w:ind w:left="240" w:hanging="228"/>
              <w:jc w:val="left"/>
              <w:rPr>
                <w:rFonts w:ascii="Arial" w:hAnsi="Arial" w:cs="Arial"/>
                <w:b/>
                <w:bCs/>
                <w:sz w:val="18"/>
                <w:szCs w:val="18"/>
              </w:rPr>
            </w:pPr>
            <w:r w:rsidRPr="007D669C">
              <w:rPr>
                <w:rFonts w:ascii="Arial" w:hAnsi="Arial" w:cs="Arial"/>
                <w:sz w:val="18"/>
                <w:szCs w:val="18"/>
              </w:rPr>
              <w:t>z toho města a obce</w:t>
            </w:r>
          </w:p>
        </w:tc>
        <w:tc>
          <w:tcPr>
            <w:tcW w:w="2880" w:type="dxa"/>
          </w:tcPr>
          <w:p w14:paraId="0ECC9342" w14:textId="77777777" w:rsidR="00975413" w:rsidRPr="007D669C" w:rsidRDefault="00975413" w:rsidP="00366C52">
            <w:pPr>
              <w:contextualSpacing/>
              <w:jc w:val="center"/>
              <w:rPr>
                <w:rFonts w:eastAsia="Times New Roman" w:cs="Arial"/>
                <w:sz w:val="18"/>
                <w:szCs w:val="18"/>
              </w:rPr>
            </w:pPr>
            <w:r w:rsidRPr="007D669C">
              <w:rPr>
                <w:rFonts w:eastAsia="Times New Roman" w:cs="Arial"/>
                <w:sz w:val="18"/>
                <w:szCs w:val="18"/>
              </w:rPr>
              <w:t>10</w:t>
            </w:r>
          </w:p>
        </w:tc>
      </w:tr>
      <w:tr w:rsidR="00975413" w:rsidRPr="007D669C" w14:paraId="51CD2F76" w14:textId="77777777" w:rsidTr="00366C52">
        <w:trPr>
          <w:trHeight w:val="20"/>
        </w:trPr>
        <w:tc>
          <w:tcPr>
            <w:tcW w:w="6748" w:type="dxa"/>
          </w:tcPr>
          <w:p w14:paraId="234D7E02" w14:textId="77777777" w:rsidR="00975413" w:rsidRPr="007D669C" w:rsidRDefault="00975413" w:rsidP="00366C52">
            <w:pPr>
              <w:contextualSpacing/>
              <w:rPr>
                <w:rFonts w:eastAsia="Times New Roman" w:cs="Arial"/>
                <w:b/>
                <w:bCs/>
                <w:sz w:val="18"/>
                <w:szCs w:val="18"/>
              </w:rPr>
            </w:pPr>
            <w:r w:rsidRPr="007D669C">
              <w:rPr>
                <w:rFonts w:eastAsia="Times New Roman" w:cs="Arial"/>
                <w:b/>
                <w:bCs/>
                <w:sz w:val="18"/>
                <w:szCs w:val="18"/>
              </w:rPr>
              <w:t xml:space="preserve">Vlastníci a současně provozovatelé </w:t>
            </w:r>
            <w:r w:rsidRPr="007D669C">
              <w:rPr>
                <w:rFonts w:cs="Arial"/>
                <w:b/>
                <w:bCs/>
                <w:sz w:val="18"/>
                <w:szCs w:val="18"/>
              </w:rPr>
              <w:t>vodovodů a kanalizací</w:t>
            </w:r>
          </w:p>
        </w:tc>
        <w:tc>
          <w:tcPr>
            <w:tcW w:w="2880" w:type="dxa"/>
          </w:tcPr>
          <w:p w14:paraId="6EE7E871" w14:textId="77777777" w:rsidR="00975413" w:rsidRPr="007D669C" w:rsidRDefault="00975413" w:rsidP="00366C52">
            <w:pPr>
              <w:contextualSpacing/>
              <w:jc w:val="center"/>
              <w:rPr>
                <w:rFonts w:eastAsia="Times New Roman" w:cs="Arial"/>
                <w:b/>
                <w:bCs/>
                <w:sz w:val="18"/>
                <w:szCs w:val="18"/>
              </w:rPr>
            </w:pPr>
            <w:r w:rsidRPr="007D669C">
              <w:rPr>
                <w:rFonts w:eastAsia="Times New Roman" w:cs="Arial"/>
                <w:b/>
                <w:bCs/>
                <w:sz w:val="18"/>
                <w:szCs w:val="18"/>
              </w:rPr>
              <w:t>18</w:t>
            </w:r>
          </w:p>
        </w:tc>
      </w:tr>
      <w:tr w:rsidR="00975413" w:rsidRPr="007D669C" w14:paraId="7032ECAC" w14:textId="77777777" w:rsidTr="00366C52">
        <w:trPr>
          <w:trHeight w:val="20"/>
        </w:trPr>
        <w:tc>
          <w:tcPr>
            <w:tcW w:w="6748" w:type="dxa"/>
          </w:tcPr>
          <w:p w14:paraId="47A297CF" w14:textId="77777777" w:rsidR="00975413" w:rsidRPr="007D669C" w:rsidRDefault="00975413" w:rsidP="00366C52">
            <w:pPr>
              <w:pStyle w:val="Odstavecseseznamem"/>
              <w:numPr>
                <w:ilvl w:val="0"/>
                <w:numId w:val="2"/>
              </w:numPr>
              <w:ind w:left="240" w:hanging="228"/>
              <w:jc w:val="left"/>
              <w:rPr>
                <w:rFonts w:ascii="Arial" w:hAnsi="Arial" w:cs="Arial"/>
                <w:bCs/>
                <w:sz w:val="18"/>
                <w:szCs w:val="18"/>
              </w:rPr>
            </w:pPr>
            <w:r w:rsidRPr="007D669C">
              <w:rPr>
                <w:rFonts w:ascii="Arial" w:hAnsi="Arial" w:cs="Arial"/>
                <w:bCs/>
                <w:sz w:val="18"/>
                <w:szCs w:val="18"/>
              </w:rPr>
              <w:t>z toho města a obce v modelu samostatného provozování</w:t>
            </w:r>
          </w:p>
        </w:tc>
        <w:tc>
          <w:tcPr>
            <w:tcW w:w="2880" w:type="dxa"/>
          </w:tcPr>
          <w:p w14:paraId="43A6C727" w14:textId="77777777" w:rsidR="00975413" w:rsidRPr="007D669C" w:rsidRDefault="00975413" w:rsidP="00366C52">
            <w:pPr>
              <w:contextualSpacing/>
              <w:jc w:val="center"/>
              <w:rPr>
                <w:rFonts w:eastAsia="Times New Roman" w:cs="Arial"/>
                <w:sz w:val="18"/>
                <w:szCs w:val="18"/>
              </w:rPr>
            </w:pPr>
            <w:r w:rsidRPr="007D669C">
              <w:rPr>
                <w:rFonts w:eastAsia="Times New Roman" w:cs="Arial"/>
                <w:sz w:val="18"/>
                <w:szCs w:val="18"/>
              </w:rPr>
              <w:t>16</w:t>
            </w:r>
          </w:p>
        </w:tc>
      </w:tr>
      <w:tr w:rsidR="00975413" w:rsidRPr="007D669C" w14:paraId="2E7F7083" w14:textId="77777777" w:rsidTr="00366C52">
        <w:trPr>
          <w:trHeight w:val="20"/>
        </w:trPr>
        <w:tc>
          <w:tcPr>
            <w:tcW w:w="6748" w:type="dxa"/>
          </w:tcPr>
          <w:p w14:paraId="6CAE6397" w14:textId="77777777" w:rsidR="00975413" w:rsidRPr="007D669C" w:rsidRDefault="00975413" w:rsidP="00366C52">
            <w:pPr>
              <w:contextualSpacing/>
              <w:rPr>
                <w:rFonts w:eastAsia="Times New Roman" w:cs="Arial"/>
                <w:b/>
                <w:iCs/>
                <w:sz w:val="18"/>
                <w:szCs w:val="18"/>
              </w:rPr>
            </w:pPr>
            <w:r w:rsidRPr="007D669C">
              <w:rPr>
                <w:rFonts w:eastAsia="Times New Roman" w:cs="Arial"/>
                <w:b/>
                <w:bCs/>
                <w:iCs/>
                <w:sz w:val="18"/>
                <w:szCs w:val="18"/>
              </w:rPr>
              <w:t xml:space="preserve">Provozovatelé </w:t>
            </w:r>
            <w:r w:rsidRPr="007D669C">
              <w:rPr>
                <w:rFonts w:cs="Arial"/>
                <w:b/>
                <w:bCs/>
                <w:iCs/>
                <w:sz w:val="18"/>
                <w:szCs w:val="18"/>
              </w:rPr>
              <w:t>vodovodů a kanalizací</w:t>
            </w:r>
          </w:p>
        </w:tc>
        <w:tc>
          <w:tcPr>
            <w:tcW w:w="2880" w:type="dxa"/>
          </w:tcPr>
          <w:p w14:paraId="792F8147" w14:textId="77777777" w:rsidR="00975413" w:rsidRPr="007D669C" w:rsidRDefault="00975413" w:rsidP="00366C52">
            <w:pPr>
              <w:contextualSpacing/>
              <w:jc w:val="center"/>
              <w:rPr>
                <w:rFonts w:eastAsia="Times New Roman" w:cs="Arial"/>
                <w:b/>
                <w:bCs/>
                <w:sz w:val="18"/>
                <w:szCs w:val="18"/>
              </w:rPr>
            </w:pPr>
            <w:r w:rsidRPr="007D669C">
              <w:rPr>
                <w:rFonts w:eastAsia="Times New Roman" w:cs="Arial"/>
                <w:b/>
                <w:bCs/>
                <w:sz w:val="18"/>
                <w:szCs w:val="18"/>
              </w:rPr>
              <w:t>7</w:t>
            </w:r>
          </w:p>
        </w:tc>
      </w:tr>
      <w:tr w:rsidR="00975413" w:rsidRPr="007D669C" w14:paraId="3A5075DD" w14:textId="77777777" w:rsidTr="00366C52">
        <w:trPr>
          <w:trHeight w:val="20"/>
        </w:trPr>
        <w:tc>
          <w:tcPr>
            <w:tcW w:w="6748" w:type="dxa"/>
          </w:tcPr>
          <w:p w14:paraId="6A0C24D5" w14:textId="77777777" w:rsidR="00975413" w:rsidRPr="007D669C" w:rsidRDefault="00975413" w:rsidP="00366C52">
            <w:pPr>
              <w:pStyle w:val="Odstavecseseznamem"/>
              <w:numPr>
                <w:ilvl w:val="0"/>
                <w:numId w:val="2"/>
              </w:numPr>
              <w:ind w:left="240" w:hanging="228"/>
              <w:jc w:val="left"/>
              <w:rPr>
                <w:rFonts w:ascii="Arial" w:hAnsi="Arial" w:cs="Arial"/>
                <w:b/>
                <w:sz w:val="18"/>
                <w:szCs w:val="18"/>
              </w:rPr>
            </w:pPr>
            <w:r w:rsidRPr="007D669C">
              <w:rPr>
                <w:rFonts w:ascii="Arial" w:hAnsi="Arial" w:cs="Arial"/>
                <w:bCs/>
                <w:sz w:val="18"/>
                <w:szCs w:val="18"/>
              </w:rPr>
              <w:t>z toho provozovatelé v modelu vlastnického provozování</w:t>
            </w:r>
          </w:p>
        </w:tc>
        <w:tc>
          <w:tcPr>
            <w:tcW w:w="2880" w:type="dxa"/>
          </w:tcPr>
          <w:p w14:paraId="6EEDF803" w14:textId="77777777" w:rsidR="00975413" w:rsidRPr="007D669C" w:rsidRDefault="00975413" w:rsidP="00366C52">
            <w:pPr>
              <w:contextualSpacing/>
              <w:jc w:val="center"/>
              <w:rPr>
                <w:rFonts w:eastAsia="Times New Roman" w:cs="Arial"/>
                <w:sz w:val="18"/>
                <w:szCs w:val="18"/>
              </w:rPr>
            </w:pPr>
            <w:r w:rsidRPr="007D669C">
              <w:rPr>
                <w:rFonts w:eastAsia="Times New Roman" w:cs="Arial"/>
                <w:sz w:val="18"/>
                <w:szCs w:val="18"/>
              </w:rPr>
              <w:t>5</w:t>
            </w:r>
          </w:p>
        </w:tc>
      </w:tr>
      <w:tr w:rsidR="00975413" w:rsidRPr="007D669C" w14:paraId="78685BF6" w14:textId="77777777" w:rsidTr="00366C52">
        <w:trPr>
          <w:trHeight w:val="20"/>
        </w:trPr>
        <w:tc>
          <w:tcPr>
            <w:tcW w:w="6748" w:type="dxa"/>
            <w:shd w:val="clear" w:color="auto" w:fill="AEAAAA"/>
          </w:tcPr>
          <w:p w14:paraId="3BC672FB" w14:textId="77777777" w:rsidR="00975413" w:rsidRPr="007D669C" w:rsidRDefault="00975413" w:rsidP="00366C52">
            <w:pPr>
              <w:contextualSpacing/>
              <w:rPr>
                <w:rFonts w:eastAsia="Times New Roman" w:cs="Arial"/>
                <w:b/>
                <w:sz w:val="18"/>
                <w:szCs w:val="18"/>
              </w:rPr>
            </w:pPr>
            <w:r w:rsidRPr="007D669C">
              <w:rPr>
                <w:rFonts w:eastAsia="Times New Roman" w:cs="Arial"/>
                <w:b/>
                <w:sz w:val="18"/>
                <w:szCs w:val="18"/>
              </w:rPr>
              <w:t>Provedené kontroly celkem</w:t>
            </w:r>
          </w:p>
        </w:tc>
        <w:tc>
          <w:tcPr>
            <w:tcW w:w="2880" w:type="dxa"/>
            <w:shd w:val="clear" w:color="auto" w:fill="AEAAAA"/>
          </w:tcPr>
          <w:p w14:paraId="4735DCE7" w14:textId="77777777" w:rsidR="00975413" w:rsidRPr="007D669C" w:rsidRDefault="00975413" w:rsidP="00366C52">
            <w:pPr>
              <w:contextualSpacing/>
              <w:jc w:val="center"/>
              <w:rPr>
                <w:rFonts w:eastAsia="Times New Roman" w:cs="Arial"/>
                <w:b/>
                <w:sz w:val="18"/>
                <w:szCs w:val="18"/>
              </w:rPr>
            </w:pPr>
            <w:r w:rsidRPr="007D669C">
              <w:rPr>
                <w:rFonts w:eastAsia="Times New Roman" w:cs="Arial"/>
                <w:b/>
                <w:sz w:val="18"/>
                <w:szCs w:val="18"/>
              </w:rPr>
              <w:t>35</w:t>
            </w:r>
          </w:p>
        </w:tc>
      </w:tr>
    </w:tbl>
    <w:p w14:paraId="569CE899" w14:textId="77777777" w:rsidR="00975413" w:rsidRPr="007D669C" w:rsidRDefault="00975413" w:rsidP="00975413">
      <w:pPr>
        <w:contextualSpacing/>
        <w:rPr>
          <w:rFonts w:cs="Arial"/>
          <w:i/>
          <w:sz w:val="20"/>
          <w:szCs w:val="20"/>
        </w:rPr>
      </w:pPr>
      <w:r w:rsidRPr="007D669C">
        <w:rPr>
          <w:rFonts w:cs="Arial"/>
          <w:i/>
          <w:sz w:val="20"/>
          <w:szCs w:val="20"/>
        </w:rPr>
        <w:t xml:space="preserve">Pramen: MZe </w:t>
      </w:r>
    </w:p>
    <w:p w14:paraId="7D9EBFE6" w14:textId="77777777" w:rsidR="001D2382" w:rsidRPr="007D669C" w:rsidRDefault="001D2382" w:rsidP="001D2382">
      <w:pPr>
        <w:rPr>
          <w:rFonts w:cs="Arial"/>
        </w:rPr>
      </w:pPr>
    </w:p>
    <w:p w14:paraId="7B06245A" w14:textId="77777777" w:rsidR="00031F12" w:rsidRPr="007D669C" w:rsidRDefault="00031F12" w:rsidP="00031F12">
      <w:pPr>
        <w:rPr>
          <w:rFonts w:cs="Arial"/>
        </w:rPr>
      </w:pPr>
      <w:r w:rsidRPr="007D669C">
        <w:rPr>
          <w:rFonts w:cs="Arial"/>
        </w:rPr>
        <w:t>Mezi kontrolovan</w:t>
      </w:r>
      <w:r w:rsidRPr="007D669C">
        <w:rPr>
          <w:rFonts w:cs="Arial" w:hint="eastAsia"/>
        </w:rPr>
        <w:t>ý</w:t>
      </w:r>
      <w:r w:rsidRPr="007D669C">
        <w:rPr>
          <w:rFonts w:cs="Arial"/>
        </w:rPr>
        <w:t>mi subjekty Ministerstvo zemědělství zjišťuje v</w:t>
      </w:r>
      <w:r w:rsidRPr="007D669C">
        <w:rPr>
          <w:rFonts w:cs="Arial" w:hint="eastAsia"/>
        </w:rPr>
        <w:t>ý</w:t>
      </w:r>
      <w:r w:rsidRPr="007D669C">
        <w:rPr>
          <w:rFonts w:cs="Arial"/>
        </w:rPr>
        <w:t>znamn</w:t>
      </w:r>
      <w:r w:rsidRPr="007D669C">
        <w:rPr>
          <w:rFonts w:cs="Arial" w:hint="eastAsia"/>
        </w:rPr>
        <w:t>é</w:t>
      </w:r>
      <w:r w:rsidRPr="007D669C">
        <w:rPr>
          <w:rFonts w:cs="Arial"/>
        </w:rPr>
        <w:t xml:space="preserve"> rozd</w:t>
      </w:r>
      <w:r w:rsidRPr="007D669C">
        <w:rPr>
          <w:rFonts w:cs="Arial" w:hint="eastAsia"/>
        </w:rPr>
        <w:t>í</w:t>
      </w:r>
      <w:r w:rsidRPr="007D669C">
        <w:rPr>
          <w:rFonts w:cs="Arial"/>
        </w:rPr>
        <w:t xml:space="preserve">ly. Průběžně se potvrzuje, že některé obce v pozici vlastníků </w:t>
      </w:r>
      <w:proofErr w:type="spellStart"/>
      <w:r w:rsidRPr="007D669C">
        <w:rPr>
          <w:rFonts w:cs="Arial"/>
        </w:rPr>
        <w:t>VaK</w:t>
      </w:r>
      <w:proofErr w:type="spellEnd"/>
      <w:r w:rsidRPr="007D669C">
        <w:rPr>
          <w:rFonts w:cs="Arial"/>
        </w:rPr>
        <w:t xml:space="preserve"> širokou problematiku oboru podceňují, a to bez ohledu na skutečnost, zda infrastrukturu pronajaly nebo ji provozují vlastním jménem a na vlastní odpovědnost. To se v některých případech projevuje např. v nastavení výše cen pro vodné a stočné ve vztahu k problematice plánů financování obnovy </w:t>
      </w:r>
      <w:proofErr w:type="spellStart"/>
      <w:r w:rsidRPr="007D669C">
        <w:rPr>
          <w:rFonts w:cs="Arial"/>
        </w:rPr>
        <w:t>VaK</w:t>
      </w:r>
      <w:proofErr w:type="spellEnd"/>
      <w:r w:rsidRPr="007D669C">
        <w:rPr>
          <w:rFonts w:cs="Arial"/>
        </w:rPr>
        <w:t>. Ministerstvo zemědělství kontrolovaným subjekt</w:t>
      </w:r>
      <w:r w:rsidRPr="007D669C">
        <w:rPr>
          <w:rFonts w:cs="Arial" w:hint="eastAsia"/>
        </w:rPr>
        <w:t>ů</w:t>
      </w:r>
      <w:r w:rsidRPr="007D669C">
        <w:rPr>
          <w:rFonts w:cs="Arial"/>
        </w:rPr>
        <w:t>m poskytuje v rámci výkonu kontroly i metodickou pomoc, pokud o ni tyto subjekty projeví zájem. Na základě uvedených zkušeností Ministerstvo zemědělství shroma</w:t>
      </w:r>
      <w:r w:rsidRPr="007D669C">
        <w:rPr>
          <w:rFonts w:cs="Arial" w:hint="eastAsia"/>
        </w:rPr>
        <w:t>žď</w:t>
      </w:r>
      <w:r w:rsidRPr="007D669C">
        <w:rPr>
          <w:rFonts w:cs="Arial"/>
        </w:rPr>
        <w:t>uje a vyhodnocuje podklady pro p</w:t>
      </w:r>
      <w:r w:rsidRPr="007D669C">
        <w:rPr>
          <w:rFonts w:cs="Arial" w:hint="eastAsia"/>
        </w:rPr>
        <w:t>ří</w:t>
      </w:r>
      <w:r w:rsidRPr="007D669C">
        <w:rPr>
          <w:rFonts w:cs="Arial"/>
        </w:rPr>
        <w:t>padn</w:t>
      </w:r>
      <w:r w:rsidRPr="007D669C">
        <w:rPr>
          <w:rFonts w:cs="Arial" w:hint="eastAsia"/>
        </w:rPr>
        <w:t>é</w:t>
      </w:r>
      <w:r w:rsidRPr="007D669C">
        <w:rPr>
          <w:rFonts w:cs="Arial"/>
        </w:rPr>
        <w:t xml:space="preserve"> n</w:t>
      </w:r>
      <w:r w:rsidRPr="007D669C">
        <w:rPr>
          <w:rFonts w:cs="Arial" w:hint="eastAsia"/>
        </w:rPr>
        <w:t>á</w:t>
      </w:r>
      <w:r w:rsidRPr="007D669C">
        <w:rPr>
          <w:rFonts w:cs="Arial"/>
        </w:rPr>
        <w:t>vrhy na zp</w:t>
      </w:r>
      <w:r w:rsidRPr="007D669C">
        <w:rPr>
          <w:rFonts w:cs="Arial" w:hint="eastAsia"/>
        </w:rPr>
        <w:t>ř</w:t>
      </w:r>
      <w:r w:rsidRPr="007D669C">
        <w:rPr>
          <w:rFonts w:cs="Arial"/>
        </w:rPr>
        <w:t>es</w:t>
      </w:r>
      <w:r w:rsidRPr="007D669C">
        <w:rPr>
          <w:rFonts w:cs="Arial" w:hint="eastAsia"/>
        </w:rPr>
        <w:t>ň</w:t>
      </w:r>
      <w:r w:rsidRPr="007D669C">
        <w:rPr>
          <w:rFonts w:cs="Arial"/>
        </w:rPr>
        <w:t>ov</w:t>
      </w:r>
      <w:r w:rsidRPr="007D669C">
        <w:rPr>
          <w:rFonts w:cs="Arial" w:hint="eastAsia"/>
        </w:rPr>
        <w:t>á</w:t>
      </w:r>
      <w:r w:rsidRPr="007D669C">
        <w:rPr>
          <w:rFonts w:cs="Arial"/>
        </w:rPr>
        <w:t>n</w:t>
      </w:r>
      <w:r w:rsidRPr="007D669C">
        <w:rPr>
          <w:rFonts w:cs="Arial" w:hint="eastAsia"/>
        </w:rPr>
        <w:t>í</w:t>
      </w:r>
      <w:r w:rsidRPr="007D669C">
        <w:rPr>
          <w:rFonts w:cs="Arial"/>
        </w:rPr>
        <w:t xml:space="preserve"> platn</w:t>
      </w:r>
      <w:r w:rsidRPr="007D669C">
        <w:rPr>
          <w:rFonts w:cs="Arial" w:hint="eastAsia"/>
        </w:rPr>
        <w:t>é</w:t>
      </w:r>
      <w:r w:rsidRPr="007D669C">
        <w:rPr>
          <w:rFonts w:cs="Arial"/>
        </w:rPr>
        <w:t xml:space="preserve"> legislativní </w:t>
      </w:r>
      <w:r w:rsidRPr="007D669C">
        <w:rPr>
          <w:rFonts w:cs="Arial" w:hint="eastAsia"/>
        </w:rPr>
        <w:t>ú</w:t>
      </w:r>
      <w:r w:rsidRPr="007D669C">
        <w:rPr>
          <w:rFonts w:cs="Arial"/>
        </w:rPr>
        <w:t xml:space="preserve">pravy. </w:t>
      </w:r>
    </w:p>
    <w:p w14:paraId="55EE2156" w14:textId="77777777" w:rsidR="00A45C0F" w:rsidRPr="007D669C" w:rsidRDefault="00A45C0F" w:rsidP="001D2382">
      <w:pPr>
        <w:rPr>
          <w:rFonts w:cs="Arial"/>
        </w:rPr>
      </w:pPr>
    </w:p>
    <w:p w14:paraId="75B70D2C" w14:textId="00A19F8B" w:rsidR="007A6015" w:rsidRPr="00FF629E" w:rsidRDefault="001954B3" w:rsidP="007A6015">
      <w:r w:rsidRPr="001954B3">
        <w:t xml:space="preserve">Odbor regulace oboru vodovodů a kanalizací se dále zabývá sběrem dat z oboru a analytickou činností. Hlavním úkolem je získaná data validovat, vyhodnocovat a poskytovat relevantní informace o stavu sektoru </w:t>
      </w:r>
      <w:proofErr w:type="spellStart"/>
      <w:r w:rsidRPr="001954B3">
        <w:t>VaK</w:t>
      </w:r>
      <w:proofErr w:type="spellEnd"/>
      <w:r w:rsidRPr="001954B3">
        <w:t xml:space="preserve"> nezbytné pro navrhování a přijímání adekvátních regulačních opatření. Od roku 2016 jsou v pravidelných ročních intervalech realizovány dva samostatné analytické projekty – Benchmarking vlastnických subjektů a Benchmarking provozovatelských subjektů, jejichž nejdůležitější výstupem je Zpráva z benchmarkingu za příslušný rok (dále jen „Zpráva“). V rámci těchto projektů dochází k </w:t>
      </w:r>
      <w:r w:rsidR="00853218" w:rsidRPr="00FF629E">
        <w:t>podrobné kontrole a</w:t>
      </w:r>
      <w:r w:rsidR="00853218" w:rsidRPr="001954B3">
        <w:t xml:space="preserve"> </w:t>
      </w:r>
      <w:r w:rsidRPr="001954B3">
        <w:t xml:space="preserve">propojení dat z VÚME, VÚPE a z Porovnání všech položek kalkulace cen pro vodné a cen pro stočné za kalendářní rok </w:t>
      </w:r>
      <w:proofErr w:type="spellStart"/>
      <w:r w:rsidRPr="001954B3">
        <w:t>xxxx</w:t>
      </w:r>
      <w:proofErr w:type="spellEnd"/>
      <w:r w:rsidRPr="001954B3">
        <w:t xml:space="preserve"> (t) a dosažené skutečnosti v témže roce (dále jen „Porovnání“). </w:t>
      </w:r>
      <w:r w:rsidR="007A6015" w:rsidRPr="00FF629E">
        <w:t>Vzhledem k vysokému počtu hlášení, termínu jejich zasílání (do 30. 4. následujícího kalendářního roku) a nutnosti zařadit do analýzy co nejvyšší počet validních dat, jsou výsledky a Zpráva z benchmarkingu k dispozici cca 1,5 roku po skončení rozhodného kalendářního roku.</w:t>
      </w:r>
    </w:p>
    <w:p w14:paraId="48FE4506" w14:textId="77777777" w:rsidR="001954B3" w:rsidRPr="001954B3" w:rsidRDefault="001954B3" w:rsidP="001954B3">
      <w:pPr>
        <w:rPr>
          <w:rFonts w:cs="Arial"/>
        </w:rPr>
      </w:pPr>
    </w:p>
    <w:p w14:paraId="5DAAD4C3" w14:textId="77777777" w:rsidR="001954B3" w:rsidRPr="001954B3" w:rsidRDefault="001954B3" w:rsidP="001954B3">
      <w:pPr>
        <w:rPr>
          <w:rFonts w:cs="Arial"/>
        </w:rPr>
      </w:pPr>
      <w:r w:rsidRPr="001954B3">
        <w:rPr>
          <w:rFonts w:cs="Arial"/>
        </w:rPr>
        <w:t>Do obou projektů se za rok 2024 podařilo zařadit data, která představují 98% podíl trhu s pitnou vodou a 97% podíl trhu s vodou odpadní. Tento podíl je stanovován podle objemu fakturované vody uváděné na Porovnání a je rozhodujícím hlediskem pro posuzování významnosti identifikovaných nedostatků.</w:t>
      </w:r>
    </w:p>
    <w:p w14:paraId="7DB13805" w14:textId="77777777" w:rsidR="001954B3" w:rsidRPr="001954B3" w:rsidRDefault="001954B3" w:rsidP="001954B3">
      <w:pPr>
        <w:rPr>
          <w:noProof/>
        </w:rPr>
      </w:pPr>
    </w:p>
    <w:p w14:paraId="476930FD" w14:textId="77777777" w:rsidR="00A9432B" w:rsidRPr="00FF629E" w:rsidRDefault="001954B3" w:rsidP="00A9432B">
      <w:pPr>
        <w:rPr>
          <w:rFonts w:cs="Arial"/>
        </w:rPr>
      </w:pPr>
      <w:r w:rsidRPr="001954B3">
        <w:rPr>
          <w:rFonts w:cs="Arial"/>
        </w:rPr>
        <w:t xml:space="preserve">Benchmarking vlastnických subjektů se zabývá především dosahovaným stupněm stupně samofinancovatelnosti vodohospodářské infrastruktury a s tím úzce související tvorbou prostředků na obnovu vodohospodářského infrastrukturního majetku z vodného a stočného. Od roku 2016 do roku 2024 byl podle platné metodiky vyčíslen deficit teoretické tvorby prostředků na obnovu infrastrukturního majetku </w:t>
      </w:r>
      <w:proofErr w:type="spellStart"/>
      <w:r w:rsidRPr="001954B3">
        <w:rPr>
          <w:rFonts w:cs="Arial"/>
        </w:rPr>
        <w:t>VaK</w:t>
      </w:r>
      <w:proofErr w:type="spellEnd"/>
      <w:r w:rsidRPr="001954B3">
        <w:rPr>
          <w:rFonts w:cs="Arial"/>
        </w:rPr>
        <w:t xml:space="preserve"> v celkové výši 18,6 mld. Kč, viz níže uvedená tabulka. O tom, do jaké míry je tento deficit kompenzován dotacemi z veřejných, popř. i soukromých zdrojů, nemá MZe dostatečné informace. </w:t>
      </w:r>
      <w:r w:rsidR="00A9432B">
        <w:rPr>
          <w:rFonts w:cs="Arial"/>
        </w:rPr>
        <w:t>Dle vykázaných údajů na hlášeních, u kterých byla v roce 2024 identifikována nedostatečná tvorba prostředků na obnovu z vodného a stočného, činila tvorba peněžních zdrojů na obnovu z jiných zdrojů 1 308,37 mil. Kč.</w:t>
      </w:r>
    </w:p>
    <w:p w14:paraId="12BF0956" w14:textId="2989328D" w:rsidR="001954B3" w:rsidRPr="001954B3" w:rsidRDefault="001954B3" w:rsidP="001954B3">
      <w:pPr>
        <w:rPr>
          <w:rFonts w:cs="Arial"/>
        </w:rPr>
      </w:pPr>
    </w:p>
    <w:p w14:paraId="45D5E2E9" w14:textId="77777777" w:rsidR="001954B3" w:rsidRPr="001954B3" w:rsidRDefault="001954B3" w:rsidP="001954B3">
      <w:pPr>
        <w:rPr>
          <w:rFonts w:cs="Arial"/>
        </w:rPr>
      </w:pPr>
    </w:p>
    <w:p w14:paraId="5D96CFFF" w14:textId="77777777" w:rsidR="00330E8F" w:rsidRDefault="00330E8F" w:rsidP="001954B3">
      <w:pPr>
        <w:contextualSpacing/>
        <w:rPr>
          <w:b/>
          <w:i/>
        </w:rPr>
      </w:pPr>
    </w:p>
    <w:p w14:paraId="5921391F" w14:textId="77777777" w:rsidR="00330E8F" w:rsidRDefault="00330E8F" w:rsidP="001954B3">
      <w:pPr>
        <w:contextualSpacing/>
        <w:rPr>
          <w:b/>
          <w:i/>
        </w:rPr>
      </w:pPr>
    </w:p>
    <w:p w14:paraId="15CEF453" w14:textId="77777777" w:rsidR="00330E8F" w:rsidRDefault="00330E8F" w:rsidP="001954B3">
      <w:pPr>
        <w:contextualSpacing/>
        <w:rPr>
          <w:b/>
          <w:i/>
        </w:rPr>
      </w:pPr>
    </w:p>
    <w:p w14:paraId="396EE71A" w14:textId="6A994A94" w:rsidR="001954B3" w:rsidRPr="001954B3" w:rsidRDefault="001954B3" w:rsidP="001954B3">
      <w:pPr>
        <w:contextualSpacing/>
        <w:rPr>
          <w:b/>
          <w:i/>
        </w:rPr>
      </w:pPr>
      <w:r w:rsidRPr="001954B3">
        <w:rPr>
          <w:b/>
          <w:i/>
        </w:rPr>
        <w:t xml:space="preserve">Tabulka 9.4.2 </w:t>
      </w:r>
    </w:p>
    <w:p w14:paraId="6EA49DD8" w14:textId="77777777" w:rsidR="001954B3" w:rsidRPr="001954B3" w:rsidRDefault="001954B3" w:rsidP="001954B3">
      <w:pPr>
        <w:contextualSpacing/>
        <w:rPr>
          <w:b/>
          <w:i/>
        </w:rPr>
      </w:pPr>
      <w:r w:rsidRPr="001954B3">
        <w:rPr>
          <w:b/>
          <w:i/>
        </w:rPr>
        <w:t>Chybějící prostředky obnovy celkem v letech 2016–2024</w:t>
      </w:r>
    </w:p>
    <w:tbl>
      <w:tblPr>
        <w:tblW w:w="9913" w:type="dxa"/>
        <w:tblCellMar>
          <w:left w:w="70" w:type="dxa"/>
          <w:right w:w="70" w:type="dxa"/>
        </w:tblCellMar>
        <w:tblLook w:val="04A0" w:firstRow="1" w:lastRow="0" w:firstColumn="1" w:lastColumn="0" w:noHBand="0" w:noVBand="1"/>
      </w:tblPr>
      <w:tblGrid>
        <w:gridCol w:w="1071"/>
        <w:gridCol w:w="967"/>
        <w:gridCol w:w="850"/>
        <w:gridCol w:w="850"/>
        <w:gridCol w:w="850"/>
        <w:gridCol w:w="850"/>
        <w:gridCol w:w="850"/>
        <w:gridCol w:w="850"/>
        <w:gridCol w:w="922"/>
        <w:gridCol w:w="861"/>
        <w:gridCol w:w="992"/>
      </w:tblGrid>
      <w:tr w:rsidR="001954B3" w:rsidRPr="001954B3" w14:paraId="56E7C3F5" w14:textId="77777777" w:rsidTr="00BF3770">
        <w:trPr>
          <w:trHeight w:val="1126"/>
        </w:trPr>
        <w:tc>
          <w:tcPr>
            <w:tcW w:w="1071"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3C4859A9" w14:textId="77777777" w:rsidR="001954B3" w:rsidRPr="00F04C61" w:rsidRDefault="001954B3" w:rsidP="00366C52">
            <w:pPr>
              <w:rPr>
                <w:rFonts w:eastAsia="Times New Roman" w:cs="Arial"/>
                <w:b/>
                <w:bCs/>
                <w:color w:val="000000"/>
                <w:sz w:val="18"/>
                <w:szCs w:val="18"/>
                <w:lang w:eastAsia="cs-CZ"/>
              </w:rPr>
            </w:pPr>
            <w:r w:rsidRPr="00F04C61">
              <w:rPr>
                <w:rFonts w:eastAsia="Times New Roman" w:cs="Arial"/>
                <w:b/>
                <w:bCs/>
                <w:color w:val="000000"/>
                <w:sz w:val="18"/>
                <w:szCs w:val="18"/>
                <w:lang w:eastAsia="cs-CZ"/>
              </w:rPr>
              <w:t>Chybějící prostředky obnovy</w:t>
            </w:r>
          </w:p>
        </w:tc>
        <w:tc>
          <w:tcPr>
            <w:tcW w:w="967" w:type="dxa"/>
            <w:tcBorders>
              <w:top w:val="single" w:sz="8" w:space="0" w:color="auto"/>
              <w:left w:val="nil"/>
              <w:bottom w:val="single" w:sz="8" w:space="0" w:color="auto"/>
              <w:right w:val="single" w:sz="8" w:space="0" w:color="auto"/>
            </w:tcBorders>
            <w:shd w:val="clear" w:color="000000" w:fill="BFBFBF"/>
            <w:vAlign w:val="center"/>
            <w:hideMark/>
          </w:tcPr>
          <w:p w14:paraId="3EA47B57" w14:textId="77777777" w:rsidR="001954B3" w:rsidRPr="00F04C61" w:rsidRDefault="001954B3" w:rsidP="00366C52">
            <w:pPr>
              <w:jc w:val="center"/>
              <w:rPr>
                <w:rFonts w:eastAsia="Times New Roman" w:cs="Arial"/>
                <w:b/>
                <w:bCs/>
                <w:color w:val="000000"/>
                <w:sz w:val="18"/>
                <w:szCs w:val="18"/>
                <w:lang w:eastAsia="cs-CZ"/>
              </w:rPr>
            </w:pPr>
            <w:r w:rsidRPr="00F04C61">
              <w:rPr>
                <w:rFonts w:eastAsia="Times New Roman" w:cs="Arial"/>
                <w:b/>
                <w:bCs/>
                <w:color w:val="000000"/>
                <w:sz w:val="18"/>
                <w:szCs w:val="18"/>
                <w:lang w:eastAsia="cs-CZ"/>
              </w:rPr>
              <w:t>2016</w:t>
            </w:r>
          </w:p>
        </w:tc>
        <w:tc>
          <w:tcPr>
            <w:tcW w:w="850" w:type="dxa"/>
            <w:tcBorders>
              <w:top w:val="single" w:sz="8" w:space="0" w:color="auto"/>
              <w:left w:val="nil"/>
              <w:bottom w:val="single" w:sz="8" w:space="0" w:color="auto"/>
              <w:right w:val="single" w:sz="8" w:space="0" w:color="auto"/>
            </w:tcBorders>
            <w:shd w:val="clear" w:color="000000" w:fill="BFBFBF"/>
            <w:vAlign w:val="center"/>
            <w:hideMark/>
          </w:tcPr>
          <w:p w14:paraId="471C955E" w14:textId="77777777" w:rsidR="001954B3" w:rsidRPr="00F04C61" w:rsidRDefault="001954B3" w:rsidP="00366C52">
            <w:pPr>
              <w:jc w:val="center"/>
              <w:rPr>
                <w:rFonts w:eastAsia="Times New Roman" w:cs="Arial"/>
                <w:b/>
                <w:bCs/>
                <w:color w:val="000000"/>
                <w:sz w:val="18"/>
                <w:szCs w:val="18"/>
                <w:lang w:eastAsia="cs-CZ"/>
              </w:rPr>
            </w:pPr>
            <w:r w:rsidRPr="00F04C61">
              <w:rPr>
                <w:rFonts w:eastAsia="Times New Roman" w:cs="Arial"/>
                <w:b/>
                <w:bCs/>
                <w:color w:val="000000"/>
                <w:sz w:val="18"/>
                <w:szCs w:val="18"/>
                <w:lang w:eastAsia="cs-CZ"/>
              </w:rPr>
              <w:t>2017</w:t>
            </w:r>
          </w:p>
        </w:tc>
        <w:tc>
          <w:tcPr>
            <w:tcW w:w="850" w:type="dxa"/>
            <w:tcBorders>
              <w:top w:val="single" w:sz="8" w:space="0" w:color="auto"/>
              <w:left w:val="nil"/>
              <w:bottom w:val="single" w:sz="8" w:space="0" w:color="auto"/>
              <w:right w:val="single" w:sz="8" w:space="0" w:color="auto"/>
            </w:tcBorders>
            <w:shd w:val="clear" w:color="000000" w:fill="BFBFBF"/>
            <w:vAlign w:val="center"/>
            <w:hideMark/>
          </w:tcPr>
          <w:p w14:paraId="2E9B0C0B" w14:textId="77777777" w:rsidR="001954B3" w:rsidRPr="00F04C61" w:rsidRDefault="001954B3" w:rsidP="00366C52">
            <w:pPr>
              <w:jc w:val="center"/>
              <w:rPr>
                <w:rFonts w:eastAsia="Times New Roman" w:cs="Arial"/>
                <w:b/>
                <w:bCs/>
                <w:color w:val="000000"/>
                <w:sz w:val="18"/>
                <w:szCs w:val="18"/>
                <w:lang w:eastAsia="cs-CZ"/>
              </w:rPr>
            </w:pPr>
            <w:r w:rsidRPr="00F04C61">
              <w:rPr>
                <w:rFonts w:eastAsia="Times New Roman" w:cs="Arial"/>
                <w:b/>
                <w:bCs/>
                <w:color w:val="000000"/>
                <w:sz w:val="18"/>
                <w:szCs w:val="18"/>
                <w:lang w:eastAsia="cs-CZ"/>
              </w:rPr>
              <w:t>2018</w:t>
            </w:r>
          </w:p>
        </w:tc>
        <w:tc>
          <w:tcPr>
            <w:tcW w:w="850" w:type="dxa"/>
            <w:tcBorders>
              <w:top w:val="single" w:sz="8" w:space="0" w:color="auto"/>
              <w:left w:val="nil"/>
              <w:bottom w:val="single" w:sz="8" w:space="0" w:color="auto"/>
              <w:right w:val="single" w:sz="8" w:space="0" w:color="auto"/>
            </w:tcBorders>
            <w:shd w:val="clear" w:color="000000" w:fill="BFBFBF"/>
            <w:vAlign w:val="center"/>
            <w:hideMark/>
          </w:tcPr>
          <w:p w14:paraId="0D29D41F" w14:textId="77777777" w:rsidR="001954B3" w:rsidRPr="00F04C61" w:rsidRDefault="001954B3" w:rsidP="00366C52">
            <w:pPr>
              <w:jc w:val="center"/>
              <w:rPr>
                <w:rFonts w:eastAsia="Times New Roman" w:cs="Arial"/>
                <w:b/>
                <w:bCs/>
                <w:color w:val="000000"/>
                <w:sz w:val="18"/>
                <w:szCs w:val="18"/>
                <w:lang w:eastAsia="cs-CZ"/>
              </w:rPr>
            </w:pPr>
            <w:r w:rsidRPr="00F04C61">
              <w:rPr>
                <w:rFonts w:eastAsia="Times New Roman" w:cs="Arial"/>
                <w:b/>
                <w:bCs/>
                <w:color w:val="000000"/>
                <w:sz w:val="18"/>
                <w:szCs w:val="18"/>
                <w:lang w:eastAsia="cs-CZ"/>
              </w:rPr>
              <w:t>2019</w:t>
            </w:r>
          </w:p>
        </w:tc>
        <w:tc>
          <w:tcPr>
            <w:tcW w:w="850" w:type="dxa"/>
            <w:tcBorders>
              <w:top w:val="single" w:sz="8" w:space="0" w:color="auto"/>
              <w:left w:val="nil"/>
              <w:bottom w:val="single" w:sz="8" w:space="0" w:color="auto"/>
              <w:right w:val="single" w:sz="8" w:space="0" w:color="auto"/>
            </w:tcBorders>
            <w:shd w:val="clear" w:color="000000" w:fill="BFBFBF"/>
            <w:vAlign w:val="center"/>
            <w:hideMark/>
          </w:tcPr>
          <w:p w14:paraId="18BB5FBD" w14:textId="77777777" w:rsidR="001954B3" w:rsidRPr="00F04C61" w:rsidRDefault="001954B3" w:rsidP="00366C52">
            <w:pPr>
              <w:jc w:val="center"/>
              <w:rPr>
                <w:rFonts w:eastAsia="Times New Roman" w:cs="Arial"/>
                <w:b/>
                <w:bCs/>
                <w:color w:val="000000"/>
                <w:sz w:val="18"/>
                <w:szCs w:val="18"/>
                <w:lang w:eastAsia="cs-CZ"/>
              </w:rPr>
            </w:pPr>
            <w:r w:rsidRPr="00F04C61">
              <w:rPr>
                <w:rFonts w:eastAsia="Times New Roman" w:cs="Arial"/>
                <w:b/>
                <w:bCs/>
                <w:color w:val="000000"/>
                <w:sz w:val="18"/>
                <w:szCs w:val="18"/>
                <w:lang w:eastAsia="cs-CZ"/>
              </w:rPr>
              <w:t>2020</w:t>
            </w:r>
          </w:p>
        </w:tc>
        <w:tc>
          <w:tcPr>
            <w:tcW w:w="850" w:type="dxa"/>
            <w:tcBorders>
              <w:top w:val="single" w:sz="8" w:space="0" w:color="auto"/>
              <w:left w:val="nil"/>
              <w:bottom w:val="single" w:sz="8" w:space="0" w:color="auto"/>
              <w:right w:val="single" w:sz="8" w:space="0" w:color="auto"/>
            </w:tcBorders>
            <w:shd w:val="clear" w:color="000000" w:fill="BFBFBF"/>
            <w:vAlign w:val="center"/>
            <w:hideMark/>
          </w:tcPr>
          <w:p w14:paraId="67548B28" w14:textId="77777777" w:rsidR="001954B3" w:rsidRPr="00F04C61" w:rsidRDefault="001954B3" w:rsidP="00366C52">
            <w:pPr>
              <w:jc w:val="center"/>
              <w:rPr>
                <w:rFonts w:eastAsia="Times New Roman" w:cs="Arial"/>
                <w:b/>
                <w:bCs/>
                <w:color w:val="000000"/>
                <w:sz w:val="18"/>
                <w:szCs w:val="18"/>
                <w:lang w:eastAsia="cs-CZ"/>
              </w:rPr>
            </w:pPr>
            <w:r w:rsidRPr="00F04C61">
              <w:rPr>
                <w:rFonts w:eastAsia="Times New Roman" w:cs="Arial"/>
                <w:b/>
                <w:bCs/>
                <w:color w:val="000000"/>
                <w:sz w:val="18"/>
                <w:szCs w:val="18"/>
                <w:lang w:eastAsia="cs-CZ"/>
              </w:rPr>
              <w:t>2021</w:t>
            </w:r>
          </w:p>
        </w:tc>
        <w:tc>
          <w:tcPr>
            <w:tcW w:w="850" w:type="dxa"/>
            <w:tcBorders>
              <w:top w:val="single" w:sz="8" w:space="0" w:color="auto"/>
              <w:left w:val="nil"/>
              <w:bottom w:val="single" w:sz="8" w:space="0" w:color="auto"/>
              <w:right w:val="single" w:sz="8" w:space="0" w:color="auto"/>
            </w:tcBorders>
            <w:shd w:val="clear" w:color="000000" w:fill="BFBFBF"/>
            <w:vAlign w:val="center"/>
            <w:hideMark/>
          </w:tcPr>
          <w:p w14:paraId="316B71E5" w14:textId="77777777" w:rsidR="001954B3" w:rsidRPr="00F04C61" w:rsidRDefault="001954B3" w:rsidP="00366C52">
            <w:pPr>
              <w:jc w:val="center"/>
              <w:rPr>
                <w:rFonts w:eastAsia="Times New Roman" w:cs="Arial"/>
                <w:b/>
                <w:bCs/>
                <w:color w:val="000000"/>
                <w:sz w:val="18"/>
                <w:szCs w:val="18"/>
                <w:lang w:eastAsia="cs-CZ"/>
              </w:rPr>
            </w:pPr>
            <w:r w:rsidRPr="00F04C61">
              <w:rPr>
                <w:rFonts w:eastAsia="Times New Roman" w:cs="Arial"/>
                <w:b/>
                <w:bCs/>
                <w:color w:val="000000"/>
                <w:sz w:val="18"/>
                <w:szCs w:val="18"/>
                <w:lang w:eastAsia="cs-CZ"/>
              </w:rPr>
              <w:t>2022</w:t>
            </w:r>
          </w:p>
        </w:tc>
        <w:tc>
          <w:tcPr>
            <w:tcW w:w="922" w:type="dxa"/>
            <w:tcBorders>
              <w:top w:val="single" w:sz="8" w:space="0" w:color="auto"/>
              <w:left w:val="nil"/>
              <w:bottom w:val="single" w:sz="8" w:space="0" w:color="auto"/>
              <w:right w:val="single" w:sz="8" w:space="0" w:color="auto"/>
            </w:tcBorders>
            <w:shd w:val="clear" w:color="000000" w:fill="BFBFBF"/>
            <w:vAlign w:val="center"/>
            <w:hideMark/>
          </w:tcPr>
          <w:p w14:paraId="01FD3B68" w14:textId="77777777" w:rsidR="001954B3" w:rsidRPr="00F04C61" w:rsidRDefault="001954B3" w:rsidP="00366C52">
            <w:pPr>
              <w:jc w:val="center"/>
              <w:rPr>
                <w:rFonts w:eastAsia="Times New Roman" w:cs="Arial"/>
                <w:b/>
                <w:bCs/>
                <w:color w:val="000000"/>
                <w:sz w:val="18"/>
                <w:szCs w:val="18"/>
                <w:lang w:eastAsia="cs-CZ"/>
              </w:rPr>
            </w:pPr>
            <w:r w:rsidRPr="00F04C61">
              <w:rPr>
                <w:rFonts w:eastAsia="Times New Roman" w:cs="Arial"/>
                <w:b/>
                <w:bCs/>
                <w:color w:val="000000"/>
                <w:sz w:val="18"/>
                <w:szCs w:val="18"/>
                <w:lang w:eastAsia="cs-CZ"/>
              </w:rPr>
              <w:t>2023</w:t>
            </w:r>
          </w:p>
        </w:tc>
        <w:tc>
          <w:tcPr>
            <w:tcW w:w="861" w:type="dxa"/>
            <w:tcBorders>
              <w:top w:val="single" w:sz="8" w:space="0" w:color="auto"/>
              <w:left w:val="nil"/>
              <w:bottom w:val="single" w:sz="8" w:space="0" w:color="auto"/>
              <w:right w:val="single" w:sz="8" w:space="0" w:color="auto"/>
            </w:tcBorders>
            <w:shd w:val="clear" w:color="000000" w:fill="BFBFBF"/>
            <w:vAlign w:val="center"/>
            <w:hideMark/>
          </w:tcPr>
          <w:p w14:paraId="6ADCB6C2" w14:textId="77777777" w:rsidR="001954B3" w:rsidRPr="00F04C61" w:rsidRDefault="001954B3" w:rsidP="00366C52">
            <w:pPr>
              <w:jc w:val="center"/>
              <w:rPr>
                <w:rFonts w:eastAsia="Times New Roman" w:cs="Arial"/>
                <w:b/>
                <w:bCs/>
                <w:color w:val="000000"/>
                <w:sz w:val="18"/>
                <w:szCs w:val="18"/>
                <w:lang w:eastAsia="cs-CZ"/>
              </w:rPr>
            </w:pPr>
            <w:r w:rsidRPr="00F04C61">
              <w:rPr>
                <w:rFonts w:eastAsia="Times New Roman" w:cs="Arial"/>
                <w:b/>
                <w:bCs/>
                <w:color w:val="000000"/>
                <w:sz w:val="18"/>
                <w:szCs w:val="18"/>
                <w:lang w:eastAsia="cs-CZ"/>
              </w:rPr>
              <w:t>2024</w:t>
            </w:r>
          </w:p>
        </w:tc>
        <w:tc>
          <w:tcPr>
            <w:tcW w:w="992" w:type="dxa"/>
            <w:tcBorders>
              <w:top w:val="single" w:sz="8" w:space="0" w:color="auto"/>
              <w:left w:val="nil"/>
              <w:bottom w:val="single" w:sz="8" w:space="0" w:color="auto"/>
              <w:right w:val="single" w:sz="8" w:space="0" w:color="auto"/>
            </w:tcBorders>
            <w:shd w:val="clear" w:color="000000" w:fill="BFBFBF"/>
            <w:vAlign w:val="center"/>
            <w:hideMark/>
          </w:tcPr>
          <w:p w14:paraId="305C103D" w14:textId="77777777" w:rsidR="001954B3" w:rsidRPr="00F04C61" w:rsidRDefault="001954B3" w:rsidP="00366C52">
            <w:pPr>
              <w:jc w:val="center"/>
              <w:rPr>
                <w:rFonts w:eastAsia="Times New Roman" w:cs="Arial"/>
                <w:b/>
                <w:bCs/>
                <w:color w:val="000000"/>
                <w:sz w:val="18"/>
                <w:szCs w:val="18"/>
                <w:lang w:eastAsia="cs-CZ"/>
              </w:rPr>
            </w:pPr>
            <w:r w:rsidRPr="00F04C61">
              <w:rPr>
                <w:rFonts w:eastAsia="Times New Roman" w:cs="Arial"/>
                <w:b/>
                <w:bCs/>
                <w:color w:val="000000"/>
                <w:sz w:val="18"/>
                <w:szCs w:val="18"/>
                <w:lang w:eastAsia="cs-CZ"/>
              </w:rPr>
              <w:t>Celkem</w:t>
            </w:r>
            <w:r w:rsidRPr="00F04C61">
              <w:rPr>
                <w:rFonts w:eastAsia="Times New Roman" w:cs="Arial"/>
                <w:color w:val="000000"/>
                <w:sz w:val="18"/>
                <w:szCs w:val="18"/>
                <w:lang w:eastAsia="cs-CZ"/>
              </w:rPr>
              <w:t> </w:t>
            </w:r>
          </w:p>
        </w:tc>
      </w:tr>
      <w:tr w:rsidR="001954B3" w:rsidRPr="001954B3" w14:paraId="31B2466E" w14:textId="77777777" w:rsidTr="00BF3770">
        <w:trPr>
          <w:trHeight w:val="368"/>
        </w:trPr>
        <w:tc>
          <w:tcPr>
            <w:tcW w:w="1071" w:type="dxa"/>
            <w:vMerge/>
            <w:tcBorders>
              <w:top w:val="single" w:sz="8" w:space="0" w:color="auto"/>
              <w:left w:val="single" w:sz="8" w:space="0" w:color="auto"/>
              <w:bottom w:val="single" w:sz="8" w:space="0" w:color="000000"/>
              <w:right w:val="single" w:sz="8" w:space="0" w:color="auto"/>
            </w:tcBorders>
            <w:vAlign w:val="center"/>
            <w:hideMark/>
          </w:tcPr>
          <w:p w14:paraId="14557901" w14:textId="77777777" w:rsidR="001954B3" w:rsidRPr="00C97E20" w:rsidRDefault="001954B3" w:rsidP="00366C52">
            <w:pPr>
              <w:jc w:val="left"/>
              <w:rPr>
                <w:rFonts w:eastAsia="Times New Roman" w:cs="Arial"/>
                <w:b/>
                <w:bCs/>
                <w:color w:val="000000"/>
                <w:sz w:val="18"/>
                <w:szCs w:val="18"/>
                <w:lang w:eastAsia="cs-CZ"/>
              </w:rPr>
            </w:pPr>
          </w:p>
        </w:tc>
        <w:tc>
          <w:tcPr>
            <w:tcW w:w="8842" w:type="dxa"/>
            <w:gridSpan w:val="10"/>
            <w:tcBorders>
              <w:top w:val="single" w:sz="8" w:space="0" w:color="auto"/>
              <w:left w:val="nil"/>
              <w:bottom w:val="single" w:sz="8" w:space="0" w:color="auto"/>
              <w:right w:val="single" w:sz="8" w:space="0" w:color="000000"/>
            </w:tcBorders>
            <w:shd w:val="clear" w:color="000000" w:fill="BFBFBF"/>
            <w:vAlign w:val="center"/>
            <w:hideMark/>
          </w:tcPr>
          <w:p w14:paraId="2E0FDD87" w14:textId="77777777" w:rsidR="001954B3" w:rsidRPr="00C97E20" w:rsidRDefault="001954B3" w:rsidP="00366C52">
            <w:pPr>
              <w:jc w:val="center"/>
              <w:rPr>
                <w:rFonts w:eastAsia="Times New Roman" w:cs="Arial"/>
                <w:b/>
                <w:bCs/>
                <w:color w:val="000000"/>
                <w:sz w:val="18"/>
                <w:szCs w:val="18"/>
                <w:lang w:eastAsia="cs-CZ"/>
              </w:rPr>
            </w:pPr>
            <w:r w:rsidRPr="00C97E20">
              <w:rPr>
                <w:rFonts w:eastAsia="Times New Roman" w:cs="Arial"/>
                <w:b/>
                <w:bCs/>
                <w:color w:val="000000"/>
                <w:sz w:val="18"/>
                <w:szCs w:val="18"/>
                <w:lang w:eastAsia="cs-CZ"/>
              </w:rPr>
              <w:t>mil. Kč/rok</w:t>
            </w:r>
          </w:p>
        </w:tc>
      </w:tr>
      <w:tr w:rsidR="001954B3" w:rsidRPr="001954B3" w14:paraId="4FD33A44" w14:textId="77777777" w:rsidTr="00BF3770">
        <w:trPr>
          <w:trHeight w:val="368"/>
        </w:trPr>
        <w:tc>
          <w:tcPr>
            <w:tcW w:w="1071" w:type="dxa"/>
            <w:tcBorders>
              <w:top w:val="nil"/>
              <w:left w:val="single" w:sz="8" w:space="0" w:color="auto"/>
              <w:bottom w:val="single" w:sz="8" w:space="0" w:color="auto"/>
              <w:right w:val="single" w:sz="8" w:space="0" w:color="auto"/>
            </w:tcBorders>
            <w:vAlign w:val="center"/>
            <w:hideMark/>
          </w:tcPr>
          <w:p w14:paraId="1F44C141" w14:textId="77777777" w:rsidR="001954B3" w:rsidRPr="00F04C61" w:rsidRDefault="001954B3" w:rsidP="00366C52">
            <w:pPr>
              <w:rPr>
                <w:rFonts w:eastAsia="Times New Roman" w:cs="Arial"/>
                <w:color w:val="000000"/>
                <w:sz w:val="18"/>
                <w:szCs w:val="18"/>
                <w:lang w:eastAsia="cs-CZ"/>
              </w:rPr>
            </w:pPr>
            <w:r w:rsidRPr="00F04C61">
              <w:rPr>
                <w:rFonts w:eastAsia="Times New Roman" w:cs="Arial"/>
                <w:color w:val="000000"/>
                <w:sz w:val="18"/>
                <w:szCs w:val="18"/>
                <w:lang w:eastAsia="cs-CZ"/>
              </w:rPr>
              <w:t>Pitná voda</w:t>
            </w:r>
          </w:p>
        </w:tc>
        <w:tc>
          <w:tcPr>
            <w:tcW w:w="967" w:type="dxa"/>
            <w:tcBorders>
              <w:top w:val="nil"/>
              <w:left w:val="nil"/>
              <w:bottom w:val="single" w:sz="8" w:space="0" w:color="auto"/>
              <w:right w:val="single" w:sz="8" w:space="0" w:color="auto"/>
            </w:tcBorders>
            <w:noWrap/>
            <w:vAlign w:val="center"/>
            <w:hideMark/>
          </w:tcPr>
          <w:p w14:paraId="2BB6A58B"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456,46</w:t>
            </w:r>
          </w:p>
        </w:tc>
        <w:tc>
          <w:tcPr>
            <w:tcW w:w="850" w:type="dxa"/>
            <w:tcBorders>
              <w:top w:val="nil"/>
              <w:left w:val="nil"/>
              <w:bottom w:val="single" w:sz="8" w:space="0" w:color="auto"/>
              <w:right w:val="single" w:sz="8" w:space="0" w:color="auto"/>
            </w:tcBorders>
            <w:noWrap/>
            <w:vAlign w:val="center"/>
            <w:hideMark/>
          </w:tcPr>
          <w:p w14:paraId="18F9918D"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460,21</w:t>
            </w:r>
          </w:p>
        </w:tc>
        <w:tc>
          <w:tcPr>
            <w:tcW w:w="850" w:type="dxa"/>
            <w:tcBorders>
              <w:top w:val="nil"/>
              <w:left w:val="nil"/>
              <w:bottom w:val="single" w:sz="8" w:space="0" w:color="auto"/>
              <w:right w:val="single" w:sz="8" w:space="0" w:color="auto"/>
            </w:tcBorders>
            <w:noWrap/>
            <w:vAlign w:val="center"/>
            <w:hideMark/>
          </w:tcPr>
          <w:p w14:paraId="39518FB6"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532,36</w:t>
            </w:r>
          </w:p>
        </w:tc>
        <w:tc>
          <w:tcPr>
            <w:tcW w:w="850" w:type="dxa"/>
            <w:tcBorders>
              <w:top w:val="nil"/>
              <w:left w:val="nil"/>
              <w:bottom w:val="single" w:sz="8" w:space="0" w:color="auto"/>
              <w:right w:val="single" w:sz="8" w:space="0" w:color="auto"/>
            </w:tcBorders>
            <w:noWrap/>
            <w:vAlign w:val="center"/>
            <w:hideMark/>
          </w:tcPr>
          <w:p w14:paraId="09030985"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507,84</w:t>
            </w:r>
          </w:p>
        </w:tc>
        <w:tc>
          <w:tcPr>
            <w:tcW w:w="850" w:type="dxa"/>
            <w:tcBorders>
              <w:top w:val="nil"/>
              <w:left w:val="nil"/>
              <w:bottom w:val="single" w:sz="8" w:space="0" w:color="auto"/>
              <w:right w:val="single" w:sz="8" w:space="0" w:color="auto"/>
            </w:tcBorders>
            <w:noWrap/>
            <w:vAlign w:val="center"/>
            <w:hideMark/>
          </w:tcPr>
          <w:p w14:paraId="5490E2F8"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817,07</w:t>
            </w:r>
          </w:p>
        </w:tc>
        <w:tc>
          <w:tcPr>
            <w:tcW w:w="850" w:type="dxa"/>
            <w:tcBorders>
              <w:top w:val="nil"/>
              <w:left w:val="nil"/>
              <w:bottom w:val="single" w:sz="8" w:space="0" w:color="auto"/>
              <w:right w:val="single" w:sz="8" w:space="0" w:color="auto"/>
            </w:tcBorders>
            <w:noWrap/>
            <w:vAlign w:val="center"/>
            <w:hideMark/>
          </w:tcPr>
          <w:p w14:paraId="55603203"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862,38</w:t>
            </w:r>
          </w:p>
        </w:tc>
        <w:tc>
          <w:tcPr>
            <w:tcW w:w="850" w:type="dxa"/>
            <w:tcBorders>
              <w:top w:val="nil"/>
              <w:left w:val="nil"/>
              <w:bottom w:val="single" w:sz="8" w:space="0" w:color="auto"/>
              <w:right w:val="single" w:sz="8" w:space="0" w:color="auto"/>
            </w:tcBorders>
            <w:noWrap/>
            <w:vAlign w:val="center"/>
            <w:hideMark/>
          </w:tcPr>
          <w:p w14:paraId="666B88D6"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929,59</w:t>
            </w:r>
          </w:p>
        </w:tc>
        <w:tc>
          <w:tcPr>
            <w:tcW w:w="922" w:type="dxa"/>
            <w:tcBorders>
              <w:top w:val="nil"/>
              <w:left w:val="nil"/>
              <w:bottom w:val="single" w:sz="8" w:space="0" w:color="auto"/>
              <w:right w:val="single" w:sz="8" w:space="0" w:color="auto"/>
            </w:tcBorders>
            <w:vAlign w:val="center"/>
            <w:hideMark/>
          </w:tcPr>
          <w:p w14:paraId="466D5B39"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1 097,34</w:t>
            </w:r>
          </w:p>
        </w:tc>
        <w:tc>
          <w:tcPr>
            <w:tcW w:w="861" w:type="dxa"/>
            <w:tcBorders>
              <w:top w:val="nil"/>
              <w:left w:val="nil"/>
              <w:bottom w:val="single" w:sz="8" w:space="0" w:color="auto"/>
              <w:right w:val="single" w:sz="8" w:space="0" w:color="auto"/>
            </w:tcBorders>
            <w:noWrap/>
            <w:vAlign w:val="center"/>
            <w:hideMark/>
          </w:tcPr>
          <w:p w14:paraId="6C517F9B"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967,77</w:t>
            </w:r>
          </w:p>
        </w:tc>
        <w:tc>
          <w:tcPr>
            <w:tcW w:w="992" w:type="dxa"/>
            <w:tcBorders>
              <w:top w:val="nil"/>
              <w:left w:val="nil"/>
              <w:bottom w:val="single" w:sz="8" w:space="0" w:color="auto"/>
              <w:right w:val="single" w:sz="8" w:space="0" w:color="auto"/>
            </w:tcBorders>
            <w:noWrap/>
            <w:vAlign w:val="center"/>
            <w:hideMark/>
          </w:tcPr>
          <w:p w14:paraId="0D995EB7"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6 631,41</w:t>
            </w:r>
          </w:p>
        </w:tc>
      </w:tr>
      <w:tr w:rsidR="001954B3" w:rsidRPr="001954B3" w14:paraId="33CA8444" w14:textId="77777777" w:rsidTr="00BF3770">
        <w:trPr>
          <w:trHeight w:val="580"/>
        </w:trPr>
        <w:tc>
          <w:tcPr>
            <w:tcW w:w="1071" w:type="dxa"/>
            <w:tcBorders>
              <w:top w:val="nil"/>
              <w:left w:val="single" w:sz="8" w:space="0" w:color="auto"/>
              <w:bottom w:val="single" w:sz="8" w:space="0" w:color="auto"/>
              <w:right w:val="single" w:sz="8" w:space="0" w:color="auto"/>
            </w:tcBorders>
            <w:vAlign w:val="center"/>
            <w:hideMark/>
          </w:tcPr>
          <w:p w14:paraId="756F2DD9" w14:textId="77777777" w:rsidR="001954B3" w:rsidRPr="00F04C61" w:rsidRDefault="001954B3" w:rsidP="00366C52">
            <w:pPr>
              <w:rPr>
                <w:rFonts w:eastAsia="Times New Roman" w:cs="Arial"/>
                <w:color w:val="000000"/>
                <w:sz w:val="18"/>
                <w:szCs w:val="18"/>
                <w:lang w:eastAsia="cs-CZ"/>
              </w:rPr>
            </w:pPr>
            <w:r w:rsidRPr="00F04C61">
              <w:rPr>
                <w:rFonts w:eastAsia="Times New Roman" w:cs="Arial"/>
                <w:color w:val="000000"/>
                <w:sz w:val="18"/>
                <w:szCs w:val="18"/>
                <w:lang w:eastAsia="cs-CZ"/>
              </w:rPr>
              <w:t>Odpadní voda</w:t>
            </w:r>
          </w:p>
        </w:tc>
        <w:tc>
          <w:tcPr>
            <w:tcW w:w="967" w:type="dxa"/>
            <w:tcBorders>
              <w:top w:val="nil"/>
              <w:left w:val="nil"/>
              <w:bottom w:val="single" w:sz="8" w:space="0" w:color="auto"/>
              <w:right w:val="single" w:sz="8" w:space="0" w:color="auto"/>
            </w:tcBorders>
            <w:noWrap/>
            <w:vAlign w:val="center"/>
            <w:hideMark/>
          </w:tcPr>
          <w:p w14:paraId="453ED44B"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758,85</w:t>
            </w:r>
          </w:p>
        </w:tc>
        <w:tc>
          <w:tcPr>
            <w:tcW w:w="850" w:type="dxa"/>
            <w:tcBorders>
              <w:top w:val="nil"/>
              <w:left w:val="nil"/>
              <w:bottom w:val="single" w:sz="8" w:space="0" w:color="auto"/>
              <w:right w:val="single" w:sz="8" w:space="0" w:color="auto"/>
            </w:tcBorders>
            <w:noWrap/>
            <w:vAlign w:val="center"/>
            <w:hideMark/>
          </w:tcPr>
          <w:p w14:paraId="166321D5"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808,21</w:t>
            </w:r>
          </w:p>
        </w:tc>
        <w:tc>
          <w:tcPr>
            <w:tcW w:w="850" w:type="dxa"/>
            <w:tcBorders>
              <w:top w:val="nil"/>
              <w:left w:val="nil"/>
              <w:bottom w:val="single" w:sz="8" w:space="0" w:color="auto"/>
              <w:right w:val="single" w:sz="8" w:space="0" w:color="auto"/>
            </w:tcBorders>
            <w:noWrap/>
            <w:vAlign w:val="center"/>
            <w:hideMark/>
          </w:tcPr>
          <w:p w14:paraId="7415A106"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1 045,56</w:t>
            </w:r>
          </w:p>
        </w:tc>
        <w:tc>
          <w:tcPr>
            <w:tcW w:w="850" w:type="dxa"/>
            <w:tcBorders>
              <w:top w:val="nil"/>
              <w:left w:val="nil"/>
              <w:bottom w:val="single" w:sz="8" w:space="0" w:color="auto"/>
              <w:right w:val="single" w:sz="8" w:space="0" w:color="auto"/>
            </w:tcBorders>
            <w:noWrap/>
            <w:vAlign w:val="center"/>
            <w:hideMark/>
          </w:tcPr>
          <w:p w14:paraId="7CCF494E"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1 033,58</w:t>
            </w:r>
          </w:p>
        </w:tc>
        <w:tc>
          <w:tcPr>
            <w:tcW w:w="850" w:type="dxa"/>
            <w:tcBorders>
              <w:top w:val="nil"/>
              <w:left w:val="nil"/>
              <w:bottom w:val="single" w:sz="8" w:space="0" w:color="auto"/>
              <w:right w:val="single" w:sz="8" w:space="0" w:color="auto"/>
            </w:tcBorders>
            <w:noWrap/>
            <w:vAlign w:val="center"/>
            <w:hideMark/>
          </w:tcPr>
          <w:p w14:paraId="373C255B"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1 534,21</w:t>
            </w:r>
          </w:p>
        </w:tc>
        <w:tc>
          <w:tcPr>
            <w:tcW w:w="850" w:type="dxa"/>
            <w:tcBorders>
              <w:top w:val="nil"/>
              <w:left w:val="nil"/>
              <w:bottom w:val="single" w:sz="8" w:space="0" w:color="auto"/>
              <w:right w:val="single" w:sz="8" w:space="0" w:color="auto"/>
            </w:tcBorders>
            <w:noWrap/>
            <w:vAlign w:val="center"/>
            <w:hideMark/>
          </w:tcPr>
          <w:p w14:paraId="1971DCD1"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1 681,71</w:t>
            </w:r>
          </w:p>
        </w:tc>
        <w:tc>
          <w:tcPr>
            <w:tcW w:w="850" w:type="dxa"/>
            <w:tcBorders>
              <w:top w:val="nil"/>
              <w:left w:val="nil"/>
              <w:bottom w:val="single" w:sz="8" w:space="0" w:color="auto"/>
              <w:right w:val="single" w:sz="8" w:space="0" w:color="auto"/>
            </w:tcBorders>
            <w:noWrap/>
            <w:vAlign w:val="center"/>
            <w:hideMark/>
          </w:tcPr>
          <w:p w14:paraId="4030FFB7"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1 836,36</w:t>
            </w:r>
          </w:p>
        </w:tc>
        <w:tc>
          <w:tcPr>
            <w:tcW w:w="922" w:type="dxa"/>
            <w:tcBorders>
              <w:top w:val="nil"/>
              <w:left w:val="nil"/>
              <w:bottom w:val="single" w:sz="8" w:space="0" w:color="auto"/>
              <w:right w:val="single" w:sz="8" w:space="0" w:color="auto"/>
            </w:tcBorders>
            <w:vAlign w:val="center"/>
            <w:hideMark/>
          </w:tcPr>
          <w:p w14:paraId="32CED564"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1 718,28</w:t>
            </w:r>
          </w:p>
        </w:tc>
        <w:tc>
          <w:tcPr>
            <w:tcW w:w="861" w:type="dxa"/>
            <w:tcBorders>
              <w:top w:val="nil"/>
              <w:left w:val="nil"/>
              <w:bottom w:val="single" w:sz="8" w:space="0" w:color="auto"/>
              <w:right w:val="single" w:sz="8" w:space="0" w:color="auto"/>
            </w:tcBorders>
            <w:noWrap/>
            <w:vAlign w:val="center"/>
            <w:hideMark/>
          </w:tcPr>
          <w:p w14:paraId="43DD22DD"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1 573,97</w:t>
            </w:r>
          </w:p>
        </w:tc>
        <w:tc>
          <w:tcPr>
            <w:tcW w:w="992" w:type="dxa"/>
            <w:tcBorders>
              <w:top w:val="nil"/>
              <w:left w:val="nil"/>
              <w:bottom w:val="single" w:sz="8" w:space="0" w:color="auto"/>
              <w:right w:val="single" w:sz="8" w:space="0" w:color="auto"/>
            </w:tcBorders>
            <w:noWrap/>
            <w:vAlign w:val="center"/>
            <w:hideMark/>
          </w:tcPr>
          <w:p w14:paraId="158F4158"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12 000,72</w:t>
            </w:r>
          </w:p>
        </w:tc>
      </w:tr>
      <w:tr w:rsidR="001954B3" w:rsidRPr="001954B3" w14:paraId="76215A9C" w14:textId="77777777" w:rsidTr="00BF3770">
        <w:trPr>
          <w:trHeight w:val="368"/>
        </w:trPr>
        <w:tc>
          <w:tcPr>
            <w:tcW w:w="1071" w:type="dxa"/>
            <w:tcBorders>
              <w:top w:val="nil"/>
              <w:left w:val="single" w:sz="8" w:space="0" w:color="auto"/>
              <w:bottom w:val="single" w:sz="8" w:space="0" w:color="auto"/>
              <w:right w:val="single" w:sz="8" w:space="0" w:color="auto"/>
            </w:tcBorders>
            <w:shd w:val="clear" w:color="000000" w:fill="D0D0D0"/>
            <w:vAlign w:val="center"/>
            <w:hideMark/>
          </w:tcPr>
          <w:p w14:paraId="7B41007D" w14:textId="77777777" w:rsidR="001954B3" w:rsidRPr="00F04C61" w:rsidRDefault="001954B3" w:rsidP="00366C52">
            <w:pPr>
              <w:jc w:val="left"/>
              <w:rPr>
                <w:rFonts w:eastAsia="Times New Roman" w:cs="Arial"/>
                <w:b/>
                <w:bCs/>
                <w:color w:val="000000"/>
                <w:sz w:val="18"/>
                <w:szCs w:val="18"/>
                <w:lang w:eastAsia="cs-CZ"/>
              </w:rPr>
            </w:pPr>
            <w:r w:rsidRPr="00F04C61">
              <w:rPr>
                <w:rFonts w:eastAsia="Times New Roman" w:cs="Arial"/>
                <w:b/>
                <w:bCs/>
                <w:color w:val="000000"/>
                <w:sz w:val="18"/>
                <w:szCs w:val="18"/>
                <w:lang w:eastAsia="cs-CZ"/>
              </w:rPr>
              <w:t>Celkem</w:t>
            </w:r>
          </w:p>
        </w:tc>
        <w:tc>
          <w:tcPr>
            <w:tcW w:w="967" w:type="dxa"/>
            <w:tcBorders>
              <w:top w:val="nil"/>
              <w:left w:val="nil"/>
              <w:bottom w:val="single" w:sz="8" w:space="0" w:color="auto"/>
              <w:right w:val="single" w:sz="8" w:space="0" w:color="auto"/>
            </w:tcBorders>
            <w:shd w:val="clear" w:color="000000" w:fill="D0D0D0"/>
            <w:noWrap/>
            <w:vAlign w:val="center"/>
            <w:hideMark/>
          </w:tcPr>
          <w:p w14:paraId="07BCA8CF"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1 215,31</w:t>
            </w:r>
          </w:p>
        </w:tc>
        <w:tc>
          <w:tcPr>
            <w:tcW w:w="850" w:type="dxa"/>
            <w:tcBorders>
              <w:top w:val="nil"/>
              <w:left w:val="nil"/>
              <w:bottom w:val="single" w:sz="8" w:space="0" w:color="auto"/>
              <w:right w:val="single" w:sz="8" w:space="0" w:color="auto"/>
            </w:tcBorders>
            <w:shd w:val="clear" w:color="000000" w:fill="D0D0D0"/>
            <w:noWrap/>
            <w:vAlign w:val="center"/>
            <w:hideMark/>
          </w:tcPr>
          <w:p w14:paraId="6BA4C82A"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1 268,42</w:t>
            </w:r>
          </w:p>
        </w:tc>
        <w:tc>
          <w:tcPr>
            <w:tcW w:w="850" w:type="dxa"/>
            <w:tcBorders>
              <w:top w:val="nil"/>
              <w:left w:val="nil"/>
              <w:bottom w:val="single" w:sz="8" w:space="0" w:color="auto"/>
              <w:right w:val="single" w:sz="8" w:space="0" w:color="auto"/>
            </w:tcBorders>
            <w:shd w:val="clear" w:color="000000" w:fill="D0D0D0"/>
            <w:noWrap/>
            <w:vAlign w:val="center"/>
            <w:hideMark/>
          </w:tcPr>
          <w:p w14:paraId="2B9FF197"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1 577,92</w:t>
            </w:r>
          </w:p>
        </w:tc>
        <w:tc>
          <w:tcPr>
            <w:tcW w:w="850" w:type="dxa"/>
            <w:tcBorders>
              <w:top w:val="nil"/>
              <w:left w:val="nil"/>
              <w:bottom w:val="single" w:sz="8" w:space="0" w:color="auto"/>
              <w:right w:val="single" w:sz="8" w:space="0" w:color="auto"/>
            </w:tcBorders>
            <w:shd w:val="clear" w:color="000000" w:fill="D0D0D0"/>
            <w:noWrap/>
            <w:vAlign w:val="center"/>
            <w:hideMark/>
          </w:tcPr>
          <w:p w14:paraId="3203EAEC"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1 541,42</w:t>
            </w:r>
          </w:p>
        </w:tc>
        <w:tc>
          <w:tcPr>
            <w:tcW w:w="850" w:type="dxa"/>
            <w:tcBorders>
              <w:top w:val="nil"/>
              <w:left w:val="nil"/>
              <w:bottom w:val="single" w:sz="8" w:space="0" w:color="auto"/>
              <w:right w:val="single" w:sz="8" w:space="0" w:color="auto"/>
            </w:tcBorders>
            <w:shd w:val="clear" w:color="000000" w:fill="D0D0D0"/>
            <w:noWrap/>
            <w:vAlign w:val="center"/>
            <w:hideMark/>
          </w:tcPr>
          <w:p w14:paraId="5B583AFF"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2 351,28</w:t>
            </w:r>
          </w:p>
        </w:tc>
        <w:tc>
          <w:tcPr>
            <w:tcW w:w="850" w:type="dxa"/>
            <w:tcBorders>
              <w:top w:val="nil"/>
              <w:left w:val="nil"/>
              <w:bottom w:val="single" w:sz="8" w:space="0" w:color="auto"/>
              <w:right w:val="single" w:sz="8" w:space="0" w:color="auto"/>
            </w:tcBorders>
            <w:shd w:val="clear" w:color="000000" w:fill="D0D0D0"/>
            <w:noWrap/>
            <w:vAlign w:val="center"/>
            <w:hideMark/>
          </w:tcPr>
          <w:p w14:paraId="62DC2B9D"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2 544,09</w:t>
            </w:r>
          </w:p>
        </w:tc>
        <w:tc>
          <w:tcPr>
            <w:tcW w:w="850" w:type="dxa"/>
            <w:tcBorders>
              <w:top w:val="nil"/>
              <w:left w:val="nil"/>
              <w:bottom w:val="single" w:sz="8" w:space="0" w:color="auto"/>
              <w:right w:val="single" w:sz="8" w:space="0" w:color="auto"/>
            </w:tcBorders>
            <w:shd w:val="clear" w:color="000000" w:fill="D0D0D0"/>
            <w:noWrap/>
            <w:vAlign w:val="center"/>
            <w:hideMark/>
          </w:tcPr>
          <w:p w14:paraId="33822437"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2 765,95</w:t>
            </w:r>
          </w:p>
        </w:tc>
        <w:tc>
          <w:tcPr>
            <w:tcW w:w="922" w:type="dxa"/>
            <w:tcBorders>
              <w:top w:val="nil"/>
              <w:left w:val="nil"/>
              <w:bottom w:val="single" w:sz="8" w:space="0" w:color="auto"/>
              <w:right w:val="single" w:sz="8" w:space="0" w:color="auto"/>
            </w:tcBorders>
            <w:shd w:val="clear" w:color="000000" w:fill="D0D0D0"/>
            <w:vAlign w:val="center"/>
            <w:hideMark/>
          </w:tcPr>
          <w:p w14:paraId="22B42753"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2 815,62</w:t>
            </w:r>
          </w:p>
        </w:tc>
        <w:tc>
          <w:tcPr>
            <w:tcW w:w="861" w:type="dxa"/>
            <w:tcBorders>
              <w:top w:val="nil"/>
              <w:left w:val="nil"/>
              <w:bottom w:val="single" w:sz="8" w:space="0" w:color="auto"/>
              <w:right w:val="single" w:sz="8" w:space="0" w:color="auto"/>
            </w:tcBorders>
            <w:shd w:val="clear" w:color="000000" w:fill="D0D0D0"/>
            <w:noWrap/>
            <w:vAlign w:val="center"/>
            <w:hideMark/>
          </w:tcPr>
          <w:p w14:paraId="745570B8"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2 541,74</w:t>
            </w:r>
          </w:p>
        </w:tc>
        <w:tc>
          <w:tcPr>
            <w:tcW w:w="992" w:type="dxa"/>
            <w:tcBorders>
              <w:top w:val="nil"/>
              <w:left w:val="nil"/>
              <w:bottom w:val="single" w:sz="8" w:space="0" w:color="auto"/>
              <w:right w:val="single" w:sz="8" w:space="0" w:color="auto"/>
            </w:tcBorders>
            <w:shd w:val="clear" w:color="000000" w:fill="D0D0D0"/>
            <w:noWrap/>
            <w:vAlign w:val="center"/>
            <w:hideMark/>
          </w:tcPr>
          <w:p w14:paraId="0CD22D52" w14:textId="77777777" w:rsidR="001954B3" w:rsidRPr="00F04C61" w:rsidRDefault="001954B3" w:rsidP="00366C52">
            <w:pPr>
              <w:jc w:val="right"/>
              <w:rPr>
                <w:rFonts w:eastAsia="Times New Roman" w:cs="Arial"/>
                <w:color w:val="000000"/>
                <w:sz w:val="18"/>
                <w:szCs w:val="18"/>
                <w:lang w:eastAsia="cs-CZ"/>
              </w:rPr>
            </w:pPr>
            <w:r w:rsidRPr="00F04C61">
              <w:rPr>
                <w:rFonts w:eastAsia="Times New Roman" w:cs="Arial"/>
                <w:color w:val="000000"/>
                <w:sz w:val="18"/>
                <w:szCs w:val="18"/>
                <w:lang w:eastAsia="cs-CZ"/>
              </w:rPr>
              <w:t>18 632,13</w:t>
            </w:r>
          </w:p>
        </w:tc>
      </w:tr>
    </w:tbl>
    <w:p w14:paraId="789DF8DF" w14:textId="77777777" w:rsidR="001954B3" w:rsidRPr="001954B3" w:rsidRDefault="001954B3" w:rsidP="001954B3">
      <w:pPr>
        <w:contextualSpacing/>
        <w:rPr>
          <w:b/>
          <w:i/>
        </w:rPr>
      </w:pPr>
      <w:r w:rsidRPr="001954B3">
        <w:rPr>
          <w:i/>
          <w:sz w:val="20"/>
          <w:szCs w:val="20"/>
        </w:rPr>
        <w:t>Pramen: MZe</w:t>
      </w:r>
    </w:p>
    <w:p w14:paraId="5F6179EC" w14:textId="77777777" w:rsidR="001954B3" w:rsidRPr="001954B3" w:rsidRDefault="001954B3" w:rsidP="001954B3">
      <w:pPr>
        <w:contextualSpacing/>
        <w:rPr>
          <w:rFonts w:cs="Arial"/>
          <w:color w:val="FF0000"/>
        </w:rPr>
      </w:pPr>
    </w:p>
    <w:p w14:paraId="398F36C4" w14:textId="77777777" w:rsidR="001954B3" w:rsidRPr="001954B3" w:rsidRDefault="001954B3" w:rsidP="001954B3">
      <w:pPr>
        <w:rPr>
          <w:rFonts w:cs="Arial"/>
        </w:rPr>
      </w:pPr>
      <w:r w:rsidRPr="001954B3">
        <w:rPr>
          <w:rFonts w:cs="Arial"/>
        </w:rPr>
        <w:t>Předmětem analýz projektu Benchmarking provozovatelských subjektů je kvalita poskytovaných služeb, přístup k cenotvorbě a environmentální dopady. Důraz je kladen zejména na jakost dodávané pitné vody, sledování ztrát pitné vody, vývoj podílu nevyhovujících vzorků odebrané pitné i odpadní vody.</w:t>
      </w:r>
    </w:p>
    <w:p w14:paraId="4634C37C" w14:textId="77777777" w:rsidR="001954B3" w:rsidRPr="001954B3" w:rsidRDefault="001954B3" w:rsidP="001954B3">
      <w:pPr>
        <w:rPr>
          <w:rFonts w:cs="Arial"/>
        </w:rPr>
      </w:pPr>
    </w:p>
    <w:p w14:paraId="713C546B" w14:textId="77777777" w:rsidR="001954B3" w:rsidRPr="001954B3" w:rsidRDefault="001954B3" w:rsidP="001954B3">
      <w:pPr>
        <w:rPr>
          <w:rFonts w:cs="Arial"/>
        </w:rPr>
      </w:pPr>
      <w:r w:rsidRPr="001954B3">
        <w:rPr>
          <w:rFonts w:cs="Arial"/>
        </w:rPr>
        <w:t xml:space="preserve">Průměrná hodnota ztrát vody na vodě určené k realizaci se od roku 2019 pohybuje mezi 12 až 13,5 %. V roce 2024 byla průměrná hodnota ztrát vody na vodě určené k realizaci 13,43 %. Tyto hodnoty poukazují na stabilně vysokou úroveň péče o provozovaný majetek vodovodů a měření množství odebrané pitné vody a sledování výše ztrát pitné vody v síti. </w:t>
      </w:r>
    </w:p>
    <w:p w14:paraId="327F8E0C" w14:textId="77777777" w:rsidR="001954B3" w:rsidRPr="001954B3" w:rsidRDefault="001954B3" w:rsidP="001954B3">
      <w:pPr>
        <w:rPr>
          <w:rFonts w:cs="Arial"/>
        </w:rPr>
      </w:pPr>
    </w:p>
    <w:p w14:paraId="627941E4" w14:textId="67D9BA7E" w:rsidR="001954B3" w:rsidRDefault="001954B3" w:rsidP="001954B3">
      <w:pPr>
        <w:rPr>
          <w:iCs/>
        </w:rPr>
      </w:pPr>
    </w:p>
    <w:p w14:paraId="5908C57C" w14:textId="77777777" w:rsidR="00965DCB" w:rsidRDefault="00965DCB" w:rsidP="001954B3">
      <w:pPr>
        <w:rPr>
          <w:iCs/>
        </w:rPr>
      </w:pPr>
    </w:p>
    <w:p w14:paraId="45B54B0F" w14:textId="182551E0" w:rsidR="00965DCB" w:rsidRPr="00FF629E" w:rsidRDefault="00965DCB" w:rsidP="00965DCB">
      <w:pPr>
        <w:rPr>
          <w:iCs/>
        </w:rPr>
      </w:pPr>
      <w:r w:rsidRPr="00FF629E">
        <w:rPr>
          <w:rFonts w:cs="Arial"/>
        </w:rPr>
        <w:t xml:space="preserve">Kvalita dodávané pitné vody vykazuje v jednotlivých letech rovněž vysokou úroveň. V roce 2024 </w:t>
      </w:r>
      <w:r>
        <w:rPr>
          <w:rFonts w:cs="Arial"/>
        </w:rPr>
        <w:t>činil nedostatek Vysoký</w:t>
      </w:r>
      <w:r w:rsidRPr="00FF629E">
        <w:rPr>
          <w:rFonts w:cs="Arial"/>
        </w:rPr>
        <w:t xml:space="preserve"> podíl nevyhovujících mikrobiologických a biologických vzorků</w:t>
      </w:r>
      <w:r>
        <w:rPr>
          <w:rFonts w:cs="Arial"/>
        </w:rPr>
        <w:t xml:space="preserve"> (tj.</w:t>
      </w:r>
      <w:r w:rsidRPr="00FF629E">
        <w:rPr>
          <w:rFonts w:cs="Arial"/>
        </w:rPr>
        <w:t xml:space="preserve"> </w:t>
      </w:r>
      <w:r>
        <w:rPr>
          <w:rFonts w:cs="Arial"/>
        </w:rPr>
        <w:t xml:space="preserve">podíl </w:t>
      </w:r>
      <w:r w:rsidRPr="00FF629E">
        <w:rPr>
          <w:rFonts w:cs="Arial"/>
        </w:rPr>
        <w:t>vyšší než 20 % všech odebraných vzorků</w:t>
      </w:r>
      <w:r>
        <w:rPr>
          <w:rFonts w:cs="Arial"/>
        </w:rPr>
        <w:t>)</w:t>
      </w:r>
      <w:r w:rsidRPr="00FF629E">
        <w:rPr>
          <w:rFonts w:cs="Arial"/>
        </w:rPr>
        <w:t xml:space="preserve"> 4,22 % </w:t>
      </w:r>
      <w:r>
        <w:rPr>
          <w:rFonts w:cs="Arial"/>
        </w:rPr>
        <w:t xml:space="preserve">podíl </w:t>
      </w:r>
      <w:r w:rsidRPr="00FF629E">
        <w:rPr>
          <w:rFonts w:cs="Arial"/>
        </w:rPr>
        <w:t>analyzovaného trhu a u fyzikálně chemických vzorků 1,12 % analyzovaného trhu</w:t>
      </w:r>
      <w:r w:rsidRPr="00FF629E">
        <w:t xml:space="preserve">. </w:t>
      </w:r>
      <w:r>
        <w:t xml:space="preserve">Meziročně </w:t>
      </w:r>
      <w:r>
        <w:rPr>
          <w:rFonts w:cs="Arial"/>
        </w:rPr>
        <w:t>vzrostla významnost nedostatku</w:t>
      </w:r>
      <w:r w:rsidRPr="00FF629E">
        <w:rPr>
          <w:rFonts w:cs="Arial"/>
        </w:rPr>
        <w:t xml:space="preserve"> </w:t>
      </w:r>
      <w:r>
        <w:rPr>
          <w:rFonts w:cs="Arial"/>
        </w:rPr>
        <w:t>V</w:t>
      </w:r>
      <w:r w:rsidRPr="00FF629E">
        <w:rPr>
          <w:rFonts w:cs="Arial"/>
        </w:rPr>
        <w:t>ysoký podíl nevyhovujících biologických a mikrobiologických vzorků</w:t>
      </w:r>
      <w:r>
        <w:rPr>
          <w:rFonts w:cs="Arial"/>
        </w:rPr>
        <w:t xml:space="preserve"> měřená podílem na analyzovaném trhu</w:t>
      </w:r>
      <w:r w:rsidRPr="00FF629E">
        <w:rPr>
          <w:rFonts w:cs="Arial"/>
        </w:rPr>
        <w:t xml:space="preserve"> nárůst o 3,51procentního bodu.  Důvodem je zpřísnění hygienických požadavků na kvalitu pitné vody dle vyhlášky č. </w:t>
      </w:r>
      <w:r w:rsidRPr="00FF629E">
        <w:t xml:space="preserve">371/2023 Sb. Ministerstvo zemědělství bude nadále sledovat vývoj ukazatelů kvality pitné vody. Předpokládá, že provozovatelé přijmou technická a organizační opatření k zabezpečení </w:t>
      </w:r>
      <w:r w:rsidRPr="00FF629E">
        <w:rPr>
          <w:iCs/>
        </w:rPr>
        <w:t>požadované kvality služeb</w:t>
      </w:r>
      <w:r>
        <w:rPr>
          <w:iCs/>
        </w:rPr>
        <w:t>.</w:t>
      </w:r>
    </w:p>
    <w:p w14:paraId="7B362529" w14:textId="77777777" w:rsidR="00965DCB" w:rsidRPr="001954B3" w:rsidRDefault="00965DCB" w:rsidP="001954B3">
      <w:pPr>
        <w:rPr>
          <w:iCs/>
        </w:rPr>
      </w:pPr>
    </w:p>
    <w:p w14:paraId="60E1B85E" w14:textId="77777777" w:rsidR="001954B3" w:rsidRPr="001954B3" w:rsidRDefault="001954B3" w:rsidP="001954B3">
      <w:pPr>
        <w:rPr>
          <w:iCs/>
        </w:rPr>
      </w:pPr>
    </w:p>
    <w:p w14:paraId="4E6AE79B" w14:textId="77777777" w:rsidR="001954B3" w:rsidRPr="001954B3" w:rsidRDefault="001954B3" w:rsidP="001954B3">
      <w:pPr>
        <w:rPr>
          <w:iCs/>
        </w:rPr>
      </w:pPr>
      <w:r w:rsidRPr="001954B3">
        <w:rPr>
          <w:iCs/>
        </w:rPr>
        <w:t xml:space="preserve">Cenotvorba odpovídající záměru dosažení samofinancování sektoru je dlouhodobým problémem sektoru </w:t>
      </w:r>
      <w:proofErr w:type="spellStart"/>
      <w:r w:rsidRPr="001954B3">
        <w:rPr>
          <w:iCs/>
        </w:rPr>
        <w:t>VaK</w:t>
      </w:r>
      <w:proofErr w:type="spellEnd"/>
      <w:r w:rsidRPr="001954B3">
        <w:rPr>
          <w:iCs/>
        </w:rPr>
        <w:t xml:space="preserve">. Hodnoty souvisejících ukazatelů (operační koeficient, záporný kalkulační zisk a nedostatečná tvorba prostředků na obnovu) poukazují již od zavedení benchmarkingu na nedostatečnou úroveň samofinancovatelnosti sektoru </w:t>
      </w:r>
      <w:proofErr w:type="spellStart"/>
      <w:r w:rsidRPr="001954B3">
        <w:rPr>
          <w:iCs/>
        </w:rPr>
        <w:t>VaK</w:t>
      </w:r>
      <w:proofErr w:type="spellEnd"/>
      <w:r w:rsidRPr="001954B3">
        <w:rPr>
          <w:iCs/>
        </w:rPr>
        <w:t>. Významnost tohoto nedostatku měřená množstvím fakturované vody na Porovnáních, kde tržby nepokrývají vykázané náklady a minimální prostředky na obnovu infrastrukturního majetku se pohybuje dlouhodobě na úrovni 21-25 % analyzovaného trhu. Vyskytuje se zejména u menších provozovatelských subjektů, které fakturují nižší objemy pitné nebo odpadní vody.</w:t>
      </w:r>
    </w:p>
    <w:p w14:paraId="76441001" w14:textId="77777777" w:rsidR="001954B3" w:rsidRPr="001954B3" w:rsidRDefault="001954B3" w:rsidP="001954B3">
      <w:pPr>
        <w:rPr>
          <w:rFonts w:cs="Arial"/>
        </w:rPr>
      </w:pPr>
    </w:p>
    <w:p w14:paraId="2C26E961" w14:textId="77777777" w:rsidR="001954B3" w:rsidRPr="001954B3" w:rsidRDefault="001954B3" w:rsidP="001954B3">
      <w:pPr>
        <w:rPr>
          <w:rFonts w:cs="Arial"/>
          <w:iCs/>
        </w:rPr>
      </w:pPr>
      <w:r w:rsidRPr="001954B3">
        <w:rPr>
          <w:iCs/>
        </w:rPr>
        <w:t xml:space="preserve">Ve fázi validace dat za rok 2024 se MZE zaměřilo na dvě problematiky: vykazování způsobu likvidace kalů ve VÚPE ČOV a vykazování výrobních pracovníků (vlastních i externích) na Porovnání. V roce 2025 byli dotázání zpracovatelé provozní evidence 1 106 ČOV s nevykázaným množstvím likvidovaných čistírenských kalů. U třetiny z nich bylo nevykázání příslušných hodnot legitimní, protože množství kalů bylo nízké.  Zbylé dvě třetiny zpracovatelů byly vyzvány k doplnění chybějících údajů. Na základě šetření došlo i k úpravě možností vykazování. </w:t>
      </w:r>
      <w:r w:rsidRPr="001954B3">
        <w:rPr>
          <w:rFonts w:cs="Arial"/>
        </w:rPr>
        <w:t>Šetření týkající se vykazování výrobních pracovníků včetně externích na Porovnání ukázalo, že tuto oblast je nutné metodicky upřesnit. Část oslovených zpracovatelů hlášení doplnila.</w:t>
      </w:r>
    </w:p>
    <w:p w14:paraId="6BD4012E" w14:textId="77777777" w:rsidR="001954B3" w:rsidRPr="001954B3" w:rsidRDefault="001954B3" w:rsidP="001954B3">
      <w:pPr>
        <w:rPr>
          <w:rFonts w:cs="Arial"/>
        </w:rPr>
      </w:pPr>
    </w:p>
    <w:p w14:paraId="3F3E44D6" w14:textId="77777777" w:rsidR="001954B3" w:rsidRPr="00590684" w:rsidRDefault="001954B3" w:rsidP="001954B3">
      <w:pPr>
        <w:rPr>
          <w:rFonts w:cs="Arial"/>
        </w:rPr>
      </w:pPr>
      <w:r w:rsidRPr="001954B3">
        <w:rPr>
          <w:rFonts w:cs="Arial"/>
        </w:rPr>
        <w:t xml:space="preserve">Transparentnost informací o sektoru </w:t>
      </w:r>
      <w:proofErr w:type="spellStart"/>
      <w:r w:rsidRPr="001954B3">
        <w:rPr>
          <w:rFonts w:cs="Arial"/>
        </w:rPr>
        <w:t>VaK</w:t>
      </w:r>
      <w:proofErr w:type="spellEnd"/>
      <w:r w:rsidRPr="001954B3">
        <w:rPr>
          <w:rFonts w:cs="Arial"/>
        </w:rPr>
        <w:t xml:space="preserve"> je zabezpečena prostřednictvím zveřejnění Zprávy a prezentací analyzovaných dat, které jsou k dostupné na webových stránkách MZe v sekci Voda – Vodovody a kanalizace – Benchmarking </w:t>
      </w:r>
      <w:proofErr w:type="spellStart"/>
      <w:r w:rsidRPr="001954B3">
        <w:rPr>
          <w:rFonts w:cs="Arial"/>
        </w:rPr>
        <w:t>VaK</w:t>
      </w:r>
      <w:proofErr w:type="spellEnd"/>
      <w:r w:rsidRPr="001954B3">
        <w:rPr>
          <w:rFonts w:cs="Arial"/>
        </w:rPr>
        <w:t xml:space="preserve">. Detailnější informace o činnosti MZe v oblasti regulace oboru </w:t>
      </w:r>
      <w:proofErr w:type="spellStart"/>
      <w:r w:rsidRPr="001954B3">
        <w:rPr>
          <w:rFonts w:cs="Arial"/>
        </w:rPr>
        <w:t>VaK</w:t>
      </w:r>
      <w:proofErr w:type="spellEnd"/>
      <w:r w:rsidRPr="001954B3">
        <w:rPr>
          <w:rFonts w:cs="Arial"/>
        </w:rPr>
        <w:t xml:space="preserve"> jsou dostupné na webových stránkách MZe v části věnované </w:t>
      </w:r>
      <w:proofErr w:type="spellStart"/>
      <w:r w:rsidRPr="001954B3">
        <w:rPr>
          <w:rFonts w:cs="Arial"/>
        </w:rPr>
        <w:t>VaK</w:t>
      </w:r>
      <w:proofErr w:type="spellEnd"/>
      <w:r w:rsidRPr="001954B3">
        <w:rPr>
          <w:rFonts w:cs="Arial"/>
        </w:rPr>
        <w:t>.</w:t>
      </w:r>
    </w:p>
    <w:p w14:paraId="2A0F59A5" w14:textId="77777777" w:rsidR="001954B3" w:rsidRPr="00104F7D" w:rsidRDefault="001954B3" w:rsidP="001D2382">
      <w:pPr>
        <w:rPr>
          <w:rFonts w:cs="Arial"/>
          <w:highlight w:val="yellow"/>
        </w:rPr>
      </w:pPr>
    </w:p>
    <w:p w14:paraId="0B61E7EA" w14:textId="77777777" w:rsidR="00547C0E" w:rsidRPr="00071BD9" w:rsidRDefault="00661503">
      <w:pPr>
        <w:pStyle w:val="Nadpis1"/>
        <w:numPr>
          <w:ilvl w:val="0"/>
          <w:numId w:val="13"/>
        </w:numPr>
        <w:spacing w:before="0"/>
        <w:contextualSpacing/>
        <w:rPr>
          <w:color w:val="FF0000"/>
        </w:rPr>
      </w:pPr>
      <w:bookmarkStart w:id="161" w:name="_Toc10183430"/>
      <w:r w:rsidRPr="00104F7D">
        <w:rPr>
          <w:color w:val="FF0000"/>
          <w:highlight w:val="yellow"/>
        </w:rPr>
        <w:br w:type="page"/>
      </w:r>
      <w:bookmarkStart w:id="162" w:name="_Toc236991636"/>
      <w:r w:rsidR="00547C0E" w:rsidRPr="00071BD9">
        <w:t>RYBÁŘSTVÍ A RYBNÍKÁŘSTVÍ</w:t>
      </w:r>
      <w:bookmarkEnd w:id="161"/>
      <w:bookmarkEnd w:id="162"/>
    </w:p>
    <w:p w14:paraId="0BBE9236" w14:textId="28FBCD57" w:rsidR="0011043C" w:rsidRPr="00071BD9" w:rsidRDefault="0011043C" w:rsidP="007C4955">
      <w:pPr>
        <w:contextualSpacing/>
        <w:rPr>
          <w:rFonts w:eastAsia="Gill Sans MT" w:cs="Arial"/>
          <w:color w:val="FF0000"/>
          <w:lang w:eastAsia="cs-CZ"/>
        </w:rPr>
      </w:pPr>
    </w:p>
    <w:p w14:paraId="77739C67" w14:textId="663A84F7" w:rsidR="009B0293" w:rsidRPr="00071BD9" w:rsidRDefault="009B0293" w:rsidP="009B0293">
      <w:pPr>
        <w:spacing w:after="220" w:line="249" w:lineRule="auto"/>
        <w:ind w:left="-4" w:right="39" w:hanging="10"/>
        <w:rPr>
          <w:rFonts w:eastAsia="Gill Sans MT" w:cs="Arial"/>
          <w:b/>
          <w:lang w:eastAsia="cs-CZ"/>
        </w:rPr>
      </w:pPr>
      <w:r w:rsidRPr="00071BD9">
        <w:rPr>
          <w:rFonts w:eastAsia="Gill Sans MT" w:cs="Arial"/>
          <w:b/>
          <w:lang w:eastAsia="cs-CZ"/>
        </w:rPr>
        <w:t>Na našem území se v současné době nachází přibližně 24 tisíc rybníků a vodních nádrží o celkové ploše kolem 52 tis. ha. V roce 202</w:t>
      </w:r>
      <w:r w:rsidR="00071BD9" w:rsidRPr="00071BD9">
        <w:rPr>
          <w:rFonts w:eastAsia="Gill Sans MT" w:cs="Arial"/>
          <w:b/>
          <w:lang w:eastAsia="cs-CZ"/>
        </w:rPr>
        <w:t>5</w:t>
      </w:r>
      <w:r w:rsidRPr="00071BD9">
        <w:rPr>
          <w:rFonts w:eastAsia="Gill Sans MT" w:cs="Arial"/>
          <w:b/>
          <w:lang w:eastAsia="cs-CZ"/>
        </w:rPr>
        <w:t xml:space="preserve"> bylo v České republice vyloveno 1</w:t>
      </w:r>
      <w:r w:rsidR="00071BD9" w:rsidRPr="00071BD9">
        <w:rPr>
          <w:rFonts w:eastAsia="Gill Sans MT" w:cs="Arial"/>
          <w:b/>
          <w:lang w:eastAsia="cs-CZ"/>
        </w:rPr>
        <w:t>9</w:t>
      </w:r>
      <w:r w:rsidRPr="00071BD9">
        <w:rPr>
          <w:rFonts w:eastAsia="Gill Sans MT" w:cs="Arial"/>
          <w:b/>
          <w:lang w:eastAsia="cs-CZ"/>
        </w:rPr>
        <w:t xml:space="preserve"> tis. tun tržních ryb. </w:t>
      </w:r>
    </w:p>
    <w:p w14:paraId="6306951C" w14:textId="25FD783B" w:rsidR="009B0293" w:rsidRPr="00071BD9" w:rsidRDefault="009B0293" w:rsidP="009B0293">
      <w:pPr>
        <w:spacing w:after="220" w:line="249" w:lineRule="auto"/>
        <w:ind w:left="-4" w:right="39" w:hanging="10"/>
        <w:rPr>
          <w:rFonts w:eastAsia="Gill Sans MT" w:cs="Arial"/>
          <w:lang w:eastAsia="cs-CZ"/>
        </w:rPr>
      </w:pPr>
      <w:r w:rsidRPr="00071BD9">
        <w:rPr>
          <w:rFonts w:eastAsia="Gill Sans MT" w:cs="Arial"/>
          <w:lang w:eastAsia="cs-CZ"/>
        </w:rPr>
        <w:t xml:space="preserve">Rybářství v ČR se člení na produkční a sportovní rybářství, přičemž je řízeno zákonem </w:t>
      </w:r>
      <w:r w:rsidRPr="00071BD9">
        <w:rPr>
          <w:rFonts w:eastAsia="Gill Sans MT" w:cs="Arial"/>
          <w:lang w:eastAsia="cs-CZ"/>
        </w:rPr>
        <w:br/>
        <w:t>č. 99/2004 Sb., o rybníkářství, výkonu rybářského práva, rybářské stráži, ochraně mořských rybolovných zdrojů a o změně některých zákonů (zákon o rybářství)</w:t>
      </w:r>
      <w:r w:rsidR="00B50A74" w:rsidRPr="00071BD9">
        <w:rPr>
          <w:rFonts w:eastAsia="Gill Sans MT" w:cs="Arial"/>
          <w:lang w:eastAsia="cs-CZ"/>
        </w:rPr>
        <w:t>, ve znění pozdějších předpisů,</w:t>
      </w:r>
      <w:r w:rsidRPr="00071BD9">
        <w:rPr>
          <w:rFonts w:eastAsia="Gill Sans MT" w:cs="Arial"/>
          <w:lang w:eastAsia="cs-CZ"/>
        </w:rPr>
        <w:t xml:space="preserve"> a jeho prováděcí vyhláškou č. 197/2004 Sb. Produkční rybářství je tradiční součástí zemědělské výroby.</w:t>
      </w:r>
    </w:p>
    <w:p w14:paraId="0E93393A" w14:textId="31F958F0" w:rsidR="009B0293" w:rsidRPr="00071BD9" w:rsidRDefault="009B0293" w:rsidP="009B0293">
      <w:pPr>
        <w:spacing w:after="219" w:line="252" w:lineRule="auto"/>
        <w:ind w:left="7" w:right="5" w:hanging="9"/>
        <w:rPr>
          <w:rFonts w:eastAsia="Gill Sans MT" w:cs="Arial"/>
          <w:lang w:eastAsia="cs-CZ"/>
        </w:rPr>
      </w:pPr>
      <w:r w:rsidRPr="00071BD9">
        <w:rPr>
          <w:rFonts w:eastAsia="Gill Sans MT" w:cs="Arial"/>
          <w:lang w:eastAsia="cs-CZ"/>
        </w:rPr>
        <w:t xml:space="preserve">Vlastní chov ryb se uskutečňuje na </w:t>
      </w:r>
      <w:r w:rsidR="00651906" w:rsidRPr="00071BD9">
        <w:rPr>
          <w:rFonts w:eastAsia="Gill Sans MT" w:cs="Arial"/>
          <w:lang w:eastAsia="cs-CZ"/>
        </w:rPr>
        <w:t>téměř 40</w:t>
      </w:r>
      <w:r w:rsidRPr="00071BD9">
        <w:rPr>
          <w:rFonts w:eastAsia="Gill Sans MT" w:cs="Arial"/>
          <w:lang w:eastAsia="cs-CZ"/>
        </w:rPr>
        <w:t xml:space="preserve"> tis. ha rybníků a vodních nádrží. V ČR existuje více než 180 významnějších producentů ryb (tj. s produkcí nad 5 tun ryb ročně) a několik set drobných chovatelů. Rozhodující producenty s chovem ryb a vodní drůbeže, zpracovatele ryb, instituce rybářského výzkumu a školství a rybářské svazy sdružuje Rybářské sdružení ČR se sídlem v Českých Budějovicích.</w:t>
      </w:r>
    </w:p>
    <w:p w14:paraId="410728AF" w14:textId="00F7B641" w:rsidR="009B0293" w:rsidRPr="00071BD9" w:rsidRDefault="009B0293" w:rsidP="009B0293">
      <w:pPr>
        <w:spacing w:after="219" w:line="252" w:lineRule="auto"/>
        <w:ind w:right="5" w:hanging="9"/>
        <w:rPr>
          <w:rFonts w:eastAsia="Gill Sans MT" w:cs="Arial"/>
          <w:lang w:eastAsia="cs-CZ"/>
        </w:rPr>
      </w:pPr>
      <w:r w:rsidRPr="00071BD9">
        <w:rPr>
          <w:rFonts w:eastAsia="Gill Sans MT" w:cs="Arial"/>
          <w:lang w:eastAsia="cs-CZ"/>
        </w:rPr>
        <w:t xml:space="preserve">V ČR je vyhlášeno </w:t>
      </w:r>
      <w:r w:rsidR="00B51193">
        <w:rPr>
          <w:rFonts w:eastAsia="Gill Sans MT" w:cs="Arial"/>
          <w:lang w:eastAsia="cs-CZ"/>
        </w:rPr>
        <w:t>okolo</w:t>
      </w:r>
      <w:r w:rsidRPr="00071BD9">
        <w:rPr>
          <w:rFonts w:eastAsia="Gill Sans MT" w:cs="Arial"/>
          <w:lang w:eastAsia="cs-CZ"/>
        </w:rPr>
        <w:t xml:space="preserve"> 2 tisíce rybářských revírů o výměře přibližně 42 tis. ha, přičemž je </w:t>
      </w:r>
      <w:r w:rsidRPr="00071BD9">
        <w:rPr>
          <w:rFonts w:eastAsia="Gill Sans MT" w:cs="Arial"/>
          <w:lang w:eastAsia="cs-CZ"/>
        </w:rPr>
        <w:br/>
        <w:t>v ČR evidováno přibližně 350 tisíc sportovních rybářů. Rybářské revíry jsou rozděleny na </w:t>
      </w:r>
      <w:proofErr w:type="spellStart"/>
      <w:r w:rsidRPr="00071BD9">
        <w:rPr>
          <w:rFonts w:eastAsia="Gill Sans MT" w:cs="Arial"/>
          <w:lang w:eastAsia="cs-CZ"/>
        </w:rPr>
        <w:t>mimopstruhové</w:t>
      </w:r>
      <w:proofErr w:type="spellEnd"/>
      <w:r w:rsidRPr="00071BD9">
        <w:rPr>
          <w:rFonts w:eastAsia="Gill Sans MT" w:cs="Arial"/>
          <w:lang w:eastAsia="cs-CZ"/>
        </w:rPr>
        <w:t xml:space="preserve"> a pstruhové, jejich největšími uživateli jsou Český rybářský svaz, z. s., a Moravský rybářský svaz, z. s. Každoročně sportovní rybáři v rybářských revírech uloví cca 3–4 tisíc tun ryb, přičemž hlavní lovenou rybou je kapr obecný. </w:t>
      </w:r>
    </w:p>
    <w:p w14:paraId="2CCE0B77" w14:textId="77777777" w:rsidR="00ED0E95" w:rsidRPr="00071BD9" w:rsidRDefault="00ED0E95" w:rsidP="00ED0E95">
      <w:r w:rsidRPr="00071BD9">
        <w:t xml:space="preserve">České rybářství dlouhodobě čelí řadě negativních faktorů. Mezi nejvýznamnější patří probíhající změna klimatu, která ovlivňuje vodní režim, teplotní poměry a četnost extrémních meteorologických jevů. Tyto změny mají dopad jak na produkční rybníkářství, tak na stav populací ryb v rybářských revírech.  </w:t>
      </w:r>
    </w:p>
    <w:p w14:paraId="015B6AE1" w14:textId="77777777" w:rsidR="00ED0E95" w:rsidRPr="00071BD9" w:rsidRDefault="00ED0E95" w:rsidP="00ED0E95"/>
    <w:p w14:paraId="0053A59F" w14:textId="77777777" w:rsidR="007A0319" w:rsidRPr="00071BD9" w:rsidRDefault="00ED0E95" w:rsidP="00ED0E95">
      <w:r w:rsidRPr="00071BD9">
        <w:t xml:space="preserve">Dalším významným faktorem je působení rybožravých predátorů, zejména zvláště chráněné vydry říční a dále druhů, které nejsou zvláště chráněné, jako například kormorán velký či volavka popelavá. Škody způsobené vybranými zvláště chráněnými živočichy lze kompenzovat podle zákona č. 115/2000 Sb., o poskytování náhrad škod způsobených vybranými zvláště chráněnými živočichy. </w:t>
      </w:r>
    </w:p>
    <w:p w14:paraId="7E7E4960" w14:textId="77777777" w:rsidR="007A0319" w:rsidRPr="00071BD9" w:rsidRDefault="007A0319" w:rsidP="00ED0E95"/>
    <w:p w14:paraId="00F65E84" w14:textId="6DE8EE23" w:rsidR="00ED0E95" w:rsidRPr="00071BD9" w:rsidRDefault="00ED0E95" w:rsidP="007A0319">
      <w:r w:rsidRPr="00071BD9">
        <w:t>V roce 202</w:t>
      </w:r>
      <w:r w:rsidR="00C9470C">
        <w:t>5</w:t>
      </w:r>
      <w:r w:rsidRPr="00071BD9">
        <w:t xml:space="preserve"> byly ze státního rozpočtu poškozeným subjektům vyplaceny náhrady škod způsobených vydrou a kormoránem přesahující 100 mil. Kč. Problematická může být i přítomnost invazních nepůvodních druhů jako je norek americký, který </w:t>
      </w:r>
      <w:r w:rsidR="009D2632">
        <w:t>byl v roce 2025</w:t>
      </w:r>
      <w:r w:rsidRPr="00071BD9">
        <w:t xml:space="preserve"> zařazen na seznam invazních nepůvodních druhů s významným dopadem na EU podle nařízení Evropského parlamentu a Rady (EU) č. 1143/2014.</w:t>
      </w:r>
    </w:p>
    <w:p w14:paraId="461BFC26" w14:textId="77777777" w:rsidR="007A0319" w:rsidRPr="00071BD9" w:rsidRDefault="007A0319" w:rsidP="007A0319"/>
    <w:p w14:paraId="221A0841" w14:textId="735C23F7" w:rsidR="004454E1" w:rsidRPr="000A2E4B" w:rsidRDefault="00ED0E95" w:rsidP="000A2E4B">
      <w:pPr>
        <w:spacing w:after="219" w:line="252" w:lineRule="auto"/>
        <w:ind w:right="5" w:hanging="9"/>
        <w:rPr>
          <w:rFonts w:eastAsia="Gill Sans MT" w:cs="Arial"/>
          <w:lang w:eastAsia="cs-CZ"/>
        </w:rPr>
      </w:pPr>
      <w:r w:rsidRPr="00071BD9">
        <w:t>Zejména v chovu ryb je nezbytné hledat rovnováhu mezi hospodářským využitím rybníků a požadavky ochrany přírody. Cílem je omezit negativní dopady chovu ryb na kvalitu vody, ekologické funkce rybníků a biologickou rozmanitost, a zároveň zachovat konkurenceschopnou a dlouhodobě stabilní produkci ryb. Ta by měla být schopna přizpůsobit se klimatickým změnám a současně si uchovává své historické, krajinotvorné a ekologické hodnoty.</w:t>
      </w:r>
    </w:p>
    <w:p w14:paraId="13366F36" w14:textId="77777777" w:rsidR="000A2E4B" w:rsidRPr="000A2E4B" w:rsidRDefault="000A2E4B" w:rsidP="000A2E4B">
      <w:pPr>
        <w:rPr>
          <w:rFonts w:cs="Arial"/>
        </w:rPr>
      </w:pPr>
      <w:r w:rsidRPr="000A2E4B">
        <w:rPr>
          <w:rFonts w:eastAsia="Gill Sans MT" w:cs="Arial"/>
          <w:lang w:eastAsia="cs-CZ"/>
        </w:rPr>
        <w:t xml:space="preserve">Z celkové produkce roku 2025 bylo vyloveno </w:t>
      </w:r>
      <w:r w:rsidRPr="000A2E4B">
        <w:t>18,2</w:t>
      </w:r>
      <w:r w:rsidRPr="000A2E4B">
        <w:rPr>
          <w:rFonts w:eastAsia="Gill Sans MT" w:cs="Arial"/>
          <w:lang w:eastAsia="cs-CZ"/>
        </w:rPr>
        <w:t xml:space="preserve"> tis. tun ryb z rybníků, ze speciálních zařízení (převážně z průtočných systémů s chovem lososovitých ryb či recirkulačních akvakulturních systémů) 700 tun a 19 tun ryb bylo vyloveno z přehrad. </w:t>
      </w:r>
    </w:p>
    <w:p w14:paraId="59FB27E5" w14:textId="77777777" w:rsidR="000A2E4B" w:rsidRPr="00071BD9" w:rsidRDefault="000A2E4B" w:rsidP="0011043C">
      <w:pPr>
        <w:rPr>
          <w:rFonts w:cs="Arial"/>
          <w:b/>
          <w:i/>
        </w:rPr>
      </w:pPr>
    </w:p>
    <w:p w14:paraId="7939B161" w14:textId="77777777" w:rsidR="00EC6C47" w:rsidRPr="00104F7D" w:rsidRDefault="00EC6C47" w:rsidP="0011043C">
      <w:pPr>
        <w:rPr>
          <w:rFonts w:cs="Arial"/>
          <w:b/>
          <w:i/>
          <w:highlight w:val="yellow"/>
        </w:rPr>
      </w:pPr>
    </w:p>
    <w:p w14:paraId="5B7C8C1D" w14:textId="77777777" w:rsidR="00EC6C47" w:rsidRPr="00104F7D" w:rsidRDefault="00EC6C47" w:rsidP="0011043C">
      <w:pPr>
        <w:rPr>
          <w:rFonts w:cs="Arial"/>
          <w:b/>
          <w:i/>
          <w:highlight w:val="yellow"/>
        </w:rPr>
      </w:pPr>
    </w:p>
    <w:p w14:paraId="3DE8BCA3" w14:textId="77777777" w:rsidR="00EC6C47" w:rsidRPr="00104F7D" w:rsidRDefault="00EC6C47" w:rsidP="0011043C">
      <w:pPr>
        <w:rPr>
          <w:rFonts w:cs="Arial"/>
          <w:b/>
          <w:i/>
          <w:highlight w:val="yellow"/>
        </w:rPr>
      </w:pPr>
    </w:p>
    <w:p w14:paraId="31D3BB75" w14:textId="77777777" w:rsidR="00EC6C47" w:rsidRPr="00104F7D" w:rsidRDefault="00EC6C47" w:rsidP="0011043C">
      <w:pPr>
        <w:rPr>
          <w:rFonts w:cs="Arial"/>
          <w:b/>
          <w:i/>
          <w:highlight w:val="yellow"/>
        </w:rPr>
      </w:pPr>
    </w:p>
    <w:p w14:paraId="6D3E8BAA" w14:textId="77777777" w:rsidR="00EC6C47" w:rsidRPr="00104F7D" w:rsidRDefault="00EC6C47" w:rsidP="0011043C">
      <w:pPr>
        <w:rPr>
          <w:rFonts w:cs="Arial"/>
          <w:b/>
          <w:i/>
          <w:highlight w:val="yellow"/>
        </w:rPr>
      </w:pPr>
    </w:p>
    <w:p w14:paraId="5315C6FB" w14:textId="77777777" w:rsidR="00EC6C47" w:rsidRPr="00104F7D" w:rsidRDefault="00EC6C47" w:rsidP="0011043C">
      <w:pPr>
        <w:rPr>
          <w:rFonts w:cs="Arial"/>
          <w:b/>
          <w:i/>
          <w:highlight w:val="yellow"/>
        </w:rPr>
      </w:pPr>
    </w:p>
    <w:p w14:paraId="27E0073B" w14:textId="3810CE10" w:rsidR="0011043C" w:rsidRPr="00067687" w:rsidRDefault="0011043C" w:rsidP="0011043C">
      <w:pPr>
        <w:rPr>
          <w:rFonts w:cs="Arial"/>
          <w:b/>
          <w:i/>
        </w:rPr>
      </w:pPr>
      <w:r w:rsidRPr="00067687">
        <w:rPr>
          <w:rFonts w:cs="Arial"/>
          <w:b/>
          <w:i/>
        </w:rPr>
        <w:t xml:space="preserve">Tabulka </w:t>
      </w:r>
      <w:r w:rsidR="004454E1" w:rsidRPr="00067687">
        <w:rPr>
          <w:rFonts w:cs="Arial"/>
          <w:b/>
          <w:i/>
        </w:rPr>
        <w:t>10</w:t>
      </w:r>
      <w:r w:rsidRPr="00067687">
        <w:rPr>
          <w:rFonts w:cs="Arial"/>
          <w:b/>
          <w:i/>
        </w:rPr>
        <w:t>.1.</w:t>
      </w:r>
    </w:p>
    <w:p w14:paraId="588239F3" w14:textId="3825E1D2" w:rsidR="0011043C" w:rsidRPr="00067687" w:rsidRDefault="0011043C" w:rsidP="0011043C">
      <w:pPr>
        <w:rPr>
          <w:rFonts w:cs="Arial"/>
          <w:b/>
          <w:i/>
        </w:rPr>
      </w:pPr>
      <w:r w:rsidRPr="00067687">
        <w:rPr>
          <w:rFonts w:cs="Arial"/>
          <w:b/>
          <w:i/>
        </w:rPr>
        <w:t>Tržní produkce chovaných ryb v České republice v letech 2013–202</w:t>
      </w:r>
      <w:r w:rsidR="00067687" w:rsidRPr="00067687">
        <w:rPr>
          <w:rFonts w:cs="Arial"/>
          <w:b/>
          <w:i/>
        </w:rPr>
        <w:t>5</w:t>
      </w:r>
    </w:p>
    <w:tbl>
      <w:tblPr>
        <w:tblW w:w="5184" w:type="pct"/>
        <w:tblInd w:w="-147" w:type="dxa"/>
        <w:tblCellMar>
          <w:left w:w="70" w:type="dxa"/>
          <w:right w:w="70" w:type="dxa"/>
        </w:tblCellMar>
        <w:tblLook w:val="04A0" w:firstRow="1" w:lastRow="0" w:firstColumn="1" w:lastColumn="0" w:noHBand="0" w:noVBand="1"/>
      </w:tblPr>
      <w:tblGrid>
        <w:gridCol w:w="931"/>
        <w:gridCol w:w="662"/>
        <w:gridCol w:w="667"/>
        <w:gridCol w:w="667"/>
        <w:gridCol w:w="667"/>
        <w:gridCol w:w="649"/>
        <w:gridCol w:w="717"/>
        <w:gridCol w:w="655"/>
        <w:gridCol w:w="693"/>
        <w:gridCol w:w="707"/>
        <w:gridCol w:w="711"/>
        <w:gridCol w:w="709"/>
        <w:gridCol w:w="703"/>
        <w:gridCol w:w="844"/>
      </w:tblGrid>
      <w:tr w:rsidR="00067687" w:rsidRPr="00067687" w14:paraId="32190A89" w14:textId="3AC12DA5" w:rsidTr="00D55FEF">
        <w:trPr>
          <w:trHeight w:val="244"/>
        </w:trPr>
        <w:tc>
          <w:tcPr>
            <w:tcW w:w="467" w:type="pct"/>
            <w:vMerge w:val="restart"/>
            <w:tcBorders>
              <w:top w:val="single" w:sz="4" w:space="0" w:color="auto"/>
              <w:left w:val="single" w:sz="4" w:space="0" w:color="auto"/>
              <w:right w:val="single" w:sz="4" w:space="0" w:color="auto"/>
            </w:tcBorders>
            <w:shd w:val="clear" w:color="auto" w:fill="BFBFBF"/>
            <w:noWrap/>
            <w:vAlign w:val="center"/>
            <w:hideMark/>
          </w:tcPr>
          <w:p w14:paraId="16F5FF1D" w14:textId="77777777" w:rsidR="00067687" w:rsidRPr="00067687" w:rsidRDefault="00067687" w:rsidP="00EC1043">
            <w:pPr>
              <w:rPr>
                <w:rFonts w:cs="Arial"/>
                <w:b/>
                <w:bCs/>
                <w:sz w:val="18"/>
                <w:szCs w:val="18"/>
              </w:rPr>
            </w:pPr>
            <w:r w:rsidRPr="00067687">
              <w:rPr>
                <w:rFonts w:cs="Arial"/>
                <w:b/>
                <w:bCs/>
                <w:sz w:val="18"/>
                <w:szCs w:val="18"/>
              </w:rPr>
              <w:t>Druh</w:t>
            </w:r>
          </w:p>
        </w:tc>
        <w:tc>
          <w:tcPr>
            <w:tcW w:w="332" w:type="pct"/>
            <w:tcBorders>
              <w:top w:val="single" w:sz="4" w:space="0" w:color="auto"/>
              <w:left w:val="nil"/>
              <w:bottom w:val="single" w:sz="4" w:space="0" w:color="auto"/>
              <w:right w:val="single" w:sz="4" w:space="0" w:color="auto"/>
            </w:tcBorders>
            <w:shd w:val="clear" w:color="auto" w:fill="BFBFBF"/>
            <w:vAlign w:val="center"/>
          </w:tcPr>
          <w:p w14:paraId="7648BB39" w14:textId="77777777" w:rsidR="00067687" w:rsidRPr="00067687" w:rsidRDefault="00067687" w:rsidP="00EC1043">
            <w:pPr>
              <w:rPr>
                <w:rFonts w:cs="Arial"/>
                <w:b/>
                <w:bCs/>
                <w:sz w:val="18"/>
                <w:szCs w:val="18"/>
              </w:rPr>
            </w:pPr>
            <w:r w:rsidRPr="00067687">
              <w:rPr>
                <w:rFonts w:cs="Arial"/>
                <w:b/>
                <w:bCs/>
                <w:sz w:val="18"/>
                <w:szCs w:val="18"/>
              </w:rPr>
              <w:t>2013</w:t>
            </w:r>
          </w:p>
        </w:tc>
        <w:tc>
          <w:tcPr>
            <w:tcW w:w="334" w:type="pct"/>
            <w:tcBorders>
              <w:top w:val="single" w:sz="4" w:space="0" w:color="auto"/>
              <w:left w:val="nil"/>
              <w:bottom w:val="single" w:sz="4" w:space="0" w:color="auto"/>
              <w:right w:val="single" w:sz="4" w:space="0" w:color="auto"/>
            </w:tcBorders>
            <w:shd w:val="clear" w:color="auto" w:fill="BFBFBF"/>
            <w:vAlign w:val="center"/>
          </w:tcPr>
          <w:p w14:paraId="5F4362AE" w14:textId="77777777" w:rsidR="00067687" w:rsidRPr="00067687" w:rsidRDefault="00067687" w:rsidP="00EC1043">
            <w:pPr>
              <w:rPr>
                <w:rFonts w:cs="Arial"/>
                <w:b/>
                <w:bCs/>
                <w:sz w:val="18"/>
                <w:szCs w:val="18"/>
              </w:rPr>
            </w:pPr>
            <w:r w:rsidRPr="00067687">
              <w:rPr>
                <w:rFonts w:cs="Arial"/>
                <w:b/>
                <w:bCs/>
                <w:sz w:val="18"/>
                <w:szCs w:val="18"/>
              </w:rPr>
              <w:t>2014</w:t>
            </w:r>
          </w:p>
        </w:tc>
        <w:tc>
          <w:tcPr>
            <w:tcW w:w="334" w:type="pct"/>
            <w:tcBorders>
              <w:top w:val="single" w:sz="4" w:space="0" w:color="auto"/>
              <w:left w:val="nil"/>
              <w:bottom w:val="single" w:sz="4" w:space="0" w:color="auto"/>
              <w:right w:val="single" w:sz="4" w:space="0" w:color="auto"/>
            </w:tcBorders>
            <w:shd w:val="clear" w:color="auto" w:fill="BFBFBF"/>
            <w:vAlign w:val="center"/>
          </w:tcPr>
          <w:p w14:paraId="372D997C" w14:textId="77777777" w:rsidR="00067687" w:rsidRPr="00067687" w:rsidRDefault="00067687" w:rsidP="00EC1043">
            <w:pPr>
              <w:rPr>
                <w:rFonts w:cs="Arial"/>
                <w:b/>
                <w:bCs/>
                <w:sz w:val="18"/>
                <w:szCs w:val="18"/>
              </w:rPr>
            </w:pPr>
            <w:r w:rsidRPr="00067687">
              <w:rPr>
                <w:rFonts w:cs="Arial"/>
                <w:b/>
                <w:bCs/>
                <w:sz w:val="18"/>
                <w:szCs w:val="18"/>
              </w:rPr>
              <w:t>2015</w:t>
            </w:r>
          </w:p>
        </w:tc>
        <w:tc>
          <w:tcPr>
            <w:tcW w:w="334" w:type="pct"/>
            <w:tcBorders>
              <w:top w:val="single" w:sz="4" w:space="0" w:color="auto"/>
              <w:left w:val="nil"/>
              <w:bottom w:val="single" w:sz="4" w:space="0" w:color="auto"/>
              <w:right w:val="single" w:sz="4" w:space="0" w:color="auto"/>
            </w:tcBorders>
            <w:shd w:val="clear" w:color="auto" w:fill="BFBFBF"/>
            <w:vAlign w:val="center"/>
          </w:tcPr>
          <w:p w14:paraId="6B65EF94" w14:textId="77777777" w:rsidR="00067687" w:rsidRPr="00067687" w:rsidRDefault="00067687" w:rsidP="00EC1043">
            <w:pPr>
              <w:jc w:val="center"/>
              <w:rPr>
                <w:rFonts w:cs="Arial"/>
                <w:b/>
                <w:bCs/>
                <w:sz w:val="18"/>
                <w:szCs w:val="18"/>
              </w:rPr>
            </w:pPr>
            <w:r w:rsidRPr="00067687">
              <w:rPr>
                <w:rFonts w:cs="Arial"/>
                <w:b/>
                <w:bCs/>
                <w:sz w:val="18"/>
                <w:szCs w:val="18"/>
              </w:rPr>
              <w:t>2016</w:t>
            </w:r>
          </w:p>
        </w:tc>
        <w:tc>
          <w:tcPr>
            <w:tcW w:w="325" w:type="pct"/>
            <w:tcBorders>
              <w:top w:val="single" w:sz="4" w:space="0" w:color="auto"/>
              <w:left w:val="nil"/>
              <w:bottom w:val="single" w:sz="4" w:space="0" w:color="auto"/>
              <w:right w:val="single" w:sz="4" w:space="0" w:color="auto"/>
            </w:tcBorders>
            <w:shd w:val="clear" w:color="auto" w:fill="BFBFBF"/>
            <w:vAlign w:val="center"/>
          </w:tcPr>
          <w:p w14:paraId="40A4F02F" w14:textId="77777777" w:rsidR="00067687" w:rsidRPr="00067687" w:rsidRDefault="00067687" w:rsidP="00EC1043">
            <w:pPr>
              <w:jc w:val="center"/>
              <w:rPr>
                <w:rFonts w:cs="Arial"/>
                <w:b/>
                <w:bCs/>
                <w:sz w:val="18"/>
                <w:szCs w:val="18"/>
              </w:rPr>
            </w:pPr>
            <w:r w:rsidRPr="00067687">
              <w:rPr>
                <w:rFonts w:cs="Arial"/>
                <w:b/>
                <w:bCs/>
                <w:sz w:val="18"/>
                <w:szCs w:val="18"/>
              </w:rPr>
              <w:t>2017</w:t>
            </w:r>
          </w:p>
        </w:tc>
        <w:tc>
          <w:tcPr>
            <w:tcW w:w="359" w:type="pct"/>
            <w:tcBorders>
              <w:top w:val="single" w:sz="4" w:space="0" w:color="auto"/>
              <w:left w:val="nil"/>
              <w:bottom w:val="single" w:sz="4" w:space="0" w:color="auto"/>
              <w:right w:val="single" w:sz="4" w:space="0" w:color="auto"/>
            </w:tcBorders>
            <w:shd w:val="clear" w:color="auto" w:fill="BFBFBF"/>
            <w:vAlign w:val="center"/>
          </w:tcPr>
          <w:p w14:paraId="129F18D0" w14:textId="77777777" w:rsidR="00067687" w:rsidRPr="00067687" w:rsidRDefault="00067687" w:rsidP="00EC1043">
            <w:pPr>
              <w:jc w:val="center"/>
              <w:rPr>
                <w:rFonts w:cs="Arial"/>
                <w:b/>
                <w:bCs/>
                <w:sz w:val="18"/>
                <w:szCs w:val="18"/>
              </w:rPr>
            </w:pPr>
            <w:r w:rsidRPr="00067687">
              <w:rPr>
                <w:rFonts w:cs="Arial"/>
                <w:b/>
                <w:bCs/>
                <w:sz w:val="18"/>
                <w:szCs w:val="18"/>
              </w:rPr>
              <w:t>2018</w:t>
            </w:r>
          </w:p>
        </w:tc>
        <w:tc>
          <w:tcPr>
            <w:tcW w:w="328" w:type="pct"/>
            <w:tcBorders>
              <w:top w:val="single" w:sz="4" w:space="0" w:color="auto"/>
              <w:left w:val="nil"/>
              <w:bottom w:val="single" w:sz="4" w:space="0" w:color="auto"/>
              <w:right w:val="single" w:sz="4" w:space="0" w:color="auto"/>
            </w:tcBorders>
            <w:shd w:val="clear" w:color="auto" w:fill="BFBFBF"/>
            <w:vAlign w:val="center"/>
          </w:tcPr>
          <w:p w14:paraId="7C879FF4" w14:textId="77777777" w:rsidR="00067687" w:rsidRPr="00067687" w:rsidRDefault="00067687" w:rsidP="00EC1043">
            <w:pPr>
              <w:jc w:val="center"/>
              <w:rPr>
                <w:rFonts w:cs="Arial"/>
                <w:b/>
                <w:bCs/>
                <w:sz w:val="18"/>
                <w:szCs w:val="18"/>
              </w:rPr>
            </w:pPr>
            <w:r w:rsidRPr="00067687">
              <w:rPr>
                <w:rFonts w:cs="Arial"/>
                <w:b/>
                <w:bCs/>
                <w:sz w:val="18"/>
                <w:szCs w:val="18"/>
              </w:rPr>
              <w:t>2019</w:t>
            </w:r>
          </w:p>
        </w:tc>
        <w:tc>
          <w:tcPr>
            <w:tcW w:w="347" w:type="pct"/>
            <w:tcBorders>
              <w:top w:val="single" w:sz="4" w:space="0" w:color="auto"/>
              <w:left w:val="single" w:sz="4" w:space="0" w:color="auto"/>
              <w:bottom w:val="single" w:sz="4" w:space="0" w:color="auto"/>
              <w:right w:val="single" w:sz="4" w:space="0" w:color="auto"/>
            </w:tcBorders>
            <w:shd w:val="clear" w:color="auto" w:fill="BFBFBF"/>
            <w:vAlign w:val="center"/>
          </w:tcPr>
          <w:p w14:paraId="7A103CE9" w14:textId="77777777" w:rsidR="00067687" w:rsidRPr="00067687" w:rsidRDefault="00067687" w:rsidP="00EC1043">
            <w:pPr>
              <w:jc w:val="center"/>
              <w:rPr>
                <w:rFonts w:cs="Arial"/>
                <w:b/>
                <w:bCs/>
                <w:sz w:val="18"/>
                <w:szCs w:val="18"/>
              </w:rPr>
            </w:pPr>
            <w:r w:rsidRPr="00067687">
              <w:rPr>
                <w:rFonts w:cs="Arial"/>
                <w:b/>
                <w:bCs/>
                <w:sz w:val="18"/>
                <w:szCs w:val="18"/>
              </w:rPr>
              <w:t>2020</w:t>
            </w:r>
          </w:p>
        </w:tc>
        <w:tc>
          <w:tcPr>
            <w:tcW w:w="354" w:type="pct"/>
            <w:tcBorders>
              <w:top w:val="single" w:sz="4" w:space="0" w:color="auto"/>
              <w:left w:val="single" w:sz="4" w:space="0" w:color="auto"/>
              <w:bottom w:val="single" w:sz="4" w:space="0" w:color="auto"/>
              <w:right w:val="single" w:sz="4" w:space="0" w:color="auto"/>
            </w:tcBorders>
            <w:shd w:val="clear" w:color="auto" w:fill="BFBFBF"/>
            <w:vAlign w:val="center"/>
          </w:tcPr>
          <w:p w14:paraId="5BFDBECA" w14:textId="77777777" w:rsidR="00067687" w:rsidRPr="00067687" w:rsidRDefault="00067687" w:rsidP="00EC1043">
            <w:pPr>
              <w:jc w:val="center"/>
              <w:rPr>
                <w:rFonts w:cs="Arial"/>
                <w:b/>
                <w:bCs/>
                <w:sz w:val="18"/>
                <w:szCs w:val="18"/>
              </w:rPr>
            </w:pPr>
            <w:r w:rsidRPr="00067687">
              <w:rPr>
                <w:rFonts w:cs="Arial"/>
                <w:b/>
                <w:bCs/>
                <w:sz w:val="18"/>
                <w:szCs w:val="18"/>
              </w:rPr>
              <w:t>2021</w:t>
            </w:r>
          </w:p>
        </w:tc>
        <w:tc>
          <w:tcPr>
            <w:tcW w:w="356" w:type="pct"/>
            <w:tcBorders>
              <w:top w:val="single" w:sz="4" w:space="0" w:color="auto"/>
              <w:left w:val="single" w:sz="4" w:space="0" w:color="auto"/>
              <w:bottom w:val="single" w:sz="4" w:space="0" w:color="auto"/>
              <w:right w:val="single" w:sz="4" w:space="0" w:color="auto"/>
            </w:tcBorders>
            <w:shd w:val="clear" w:color="auto" w:fill="BFBFBF"/>
            <w:vAlign w:val="center"/>
          </w:tcPr>
          <w:p w14:paraId="308D26DF" w14:textId="77777777" w:rsidR="00067687" w:rsidRPr="00067687" w:rsidRDefault="00067687" w:rsidP="00EC1043">
            <w:pPr>
              <w:jc w:val="center"/>
              <w:rPr>
                <w:rFonts w:cs="Arial"/>
                <w:b/>
                <w:bCs/>
                <w:sz w:val="18"/>
                <w:szCs w:val="18"/>
              </w:rPr>
            </w:pPr>
            <w:r w:rsidRPr="00067687">
              <w:rPr>
                <w:rFonts w:cs="Arial"/>
                <w:b/>
                <w:bCs/>
                <w:sz w:val="18"/>
                <w:szCs w:val="18"/>
              </w:rPr>
              <w:t>2022</w:t>
            </w:r>
          </w:p>
        </w:tc>
        <w:tc>
          <w:tcPr>
            <w:tcW w:w="355" w:type="pct"/>
            <w:tcBorders>
              <w:top w:val="single" w:sz="4" w:space="0" w:color="auto"/>
              <w:left w:val="single" w:sz="4" w:space="0" w:color="auto"/>
              <w:bottom w:val="single" w:sz="4" w:space="0" w:color="auto"/>
              <w:right w:val="single" w:sz="4" w:space="0" w:color="auto"/>
            </w:tcBorders>
            <w:shd w:val="clear" w:color="auto" w:fill="BFBFBF"/>
            <w:vAlign w:val="center"/>
          </w:tcPr>
          <w:p w14:paraId="5E290D09" w14:textId="5E9CB8B0" w:rsidR="00067687" w:rsidRPr="00067687" w:rsidRDefault="00067687" w:rsidP="00EC1043">
            <w:pPr>
              <w:jc w:val="center"/>
              <w:rPr>
                <w:rFonts w:cs="Arial"/>
                <w:b/>
                <w:bCs/>
                <w:sz w:val="18"/>
                <w:szCs w:val="18"/>
              </w:rPr>
            </w:pPr>
            <w:r w:rsidRPr="00067687">
              <w:rPr>
                <w:rFonts w:cs="Arial"/>
                <w:b/>
                <w:bCs/>
                <w:sz w:val="18"/>
                <w:szCs w:val="18"/>
              </w:rPr>
              <w:t>2023</w:t>
            </w:r>
          </w:p>
        </w:tc>
        <w:tc>
          <w:tcPr>
            <w:tcW w:w="352" w:type="pct"/>
            <w:tcBorders>
              <w:top w:val="single" w:sz="4" w:space="0" w:color="auto"/>
              <w:left w:val="single" w:sz="4" w:space="0" w:color="auto"/>
              <w:bottom w:val="single" w:sz="4" w:space="0" w:color="auto"/>
              <w:right w:val="single" w:sz="4" w:space="0" w:color="auto"/>
            </w:tcBorders>
            <w:shd w:val="clear" w:color="auto" w:fill="BFBFBF"/>
          </w:tcPr>
          <w:p w14:paraId="286B2802" w14:textId="7F97E320" w:rsidR="00067687" w:rsidRPr="00067687" w:rsidRDefault="00067687" w:rsidP="00EC1043">
            <w:pPr>
              <w:jc w:val="center"/>
              <w:rPr>
                <w:rFonts w:cs="Arial"/>
                <w:b/>
                <w:bCs/>
                <w:sz w:val="18"/>
                <w:szCs w:val="18"/>
              </w:rPr>
            </w:pPr>
            <w:r w:rsidRPr="00067687">
              <w:rPr>
                <w:rFonts w:cs="Arial"/>
                <w:b/>
                <w:bCs/>
                <w:sz w:val="18"/>
                <w:szCs w:val="18"/>
              </w:rPr>
              <w:t>2024</w:t>
            </w:r>
          </w:p>
        </w:tc>
        <w:tc>
          <w:tcPr>
            <w:tcW w:w="421" w:type="pct"/>
            <w:tcBorders>
              <w:top w:val="single" w:sz="4" w:space="0" w:color="auto"/>
              <w:left w:val="single" w:sz="4" w:space="0" w:color="auto"/>
              <w:bottom w:val="single" w:sz="4" w:space="0" w:color="auto"/>
              <w:right w:val="single" w:sz="4" w:space="0" w:color="auto"/>
            </w:tcBorders>
            <w:shd w:val="clear" w:color="auto" w:fill="BFBFBF"/>
          </w:tcPr>
          <w:p w14:paraId="2000E032" w14:textId="651C0ACA" w:rsidR="00067687" w:rsidRPr="00067687" w:rsidRDefault="00067687" w:rsidP="00EC1043">
            <w:pPr>
              <w:jc w:val="center"/>
              <w:rPr>
                <w:rFonts w:cs="Arial"/>
                <w:b/>
                <w:bCs/>
                <w:sz w:val="18"/>
                <w:szCs w:val="18"/>
              </w:rPr>
            </w:pPr>
            <w:r w:rsidRPr="00067687">
              <w:rPr>
                <w:rFonts w:cs="Arial"/>
                <w:b/>
                <w:bCs/>
                <w:sz w:val="18"/>
                <w:szCs w:val="18"/>
              </w:rPr>
              <w:t>2025</w:t>
            </w:r>
          </w:p>
        </w:tc>
      </w:tr>
      <w:tr w:rsidR="00067687" w:rsidRPr="00067687" w14:paraId="75E506B7" w14:textId="0DF17972" w:rsidTr="00D55FEF">
        <w:trPr>
          <w:trHeight w:val="244"/>
        </w:trPr>
        <w:tc>
          <w:tcPr>
            <w:tcW w:w="467" w:type="pct"/>
            <w:vMerge/>
            <w:tcBorders>
              <w:left w:val="single" w:sz="4" w:space="0" w:color="auto"/>
              <w:bottom w:val="single" w:sz="4" w:space="0" w:color="auto"/>
              <w:right w:val="single" w:sz="4" w:space="0" w:color="auto"/>
            </w:tcBorders>
            <w:shd w:val="clear" w:color="auto" w:fill="BFBFBF"/>
            <w:noWrap/>
            <w:vAlign w:val="center"/>
          </w:tcPr>
          <w:p w14:paraId="05B5F53A" w14:textId="77777777" w:rsidR="00067687" w:rsidRPr="00067687" w:rsidRDefault="00067687" w:rsidP="00EC1043">
            <w:pPr>
              <w:rPr>
                <w:rFonts w:cs="Arial"/>
                <w:b/>
                <w:bCs/>
                <w:sz w:val="18"/>
                <w:szCs w:val="18"/>
              </w:rPr>
            </w:pPr>
          </w:p>
        </w:tc>
        <w:tc>
          <w:tcPr>
            <w:tcW w:w="4533" w:type="pct"/>
            <w:gridSpan w:val="13"/>
            <w:tcBorders>
              <w:top w:val="single" w:sz="4" w:space="0" w:color="auto"/>
              <w:left w:val="nil"/>
              <w:bottom w:val="single" w:sz="4" w:space="0" w:color="auto"/>
              <w:right w:val="single" w:sz="4" w:space="0" w:color="auto"/>
            </w:tcBorders>
            <w:shd w:val="clear" w:color="auto" w:fill="BFBFBF"/>
            <w:vAlign w:val="center"/>
          </w:tcPr>
          <w:p w14:paraId="03CCBFFE" w14:textId="26E10678" w:rsidR="00067687" w:rsidRPr="00067687" w:rsidRDefault="00067687" w:rsidP="00EC1043">
            <w:pPr>
              <w:jc w:val="center"/>
              <w:rPr>
                <w:rFonts w:cs="Arial"/>
                <w:b/>
                <w:bCs/>
                <w:sz w:val="18"/>
                <w:szCs w:val="18"/>
              </w:rPr>
            </w:pPr>
            <w:r w:rsidRPr="00067687">
              <w:rPr>
                <w:rFonts w:cs="Arial"/>
                <w:b/>
                <w:bCs/>
                <w:sz w:val="18"/>
                <w:szCs w:val="18"/>
              </w:rPr>
              <w:t>Tuny</w:t>
            </w:r>
          </w:p>
        </w:tc>
      </w:tr>
      <w:tr w:rsidR="00067687" w:rsidRPr="00067687" w14:paraId="7D750668" w14:textId="6CCBD6BA" w:rsidTr="00D55FEF">
        <w:trPr>
          <w:trHeight w:val="244"/>
        </w:trPr>
        <w:tc>
          <w:tcPr>
            <w:tcW w:w="467" w:type="pct"/>
            <w:tcBorders>
              <w:top w:val="nil"/>
              <w:left w:val="single" w:sz="4" w:space="0" w:color="auto"/>
              <w:bottom w:val="single" w:sz="4" w:space="0" w:color="auto"/>
              <w:right w:val="single" w:sz="4" w:space="0" w:color="auto"/>
            </w:tcBorders>
            <w:noWrap/>
            <w:vAlign w:val="center"/>
            <w:hideMark/>
          </w:tcPr>
          <w:p w14:paraId="6E3F7E35" w14:textId="77777777" w:rsidR="00067687" w:rsidRPr="00067687" w:rsidRDefault="00067687" w:rsidP="00067687">
            <w:pPr>
              <w:rPr>
                <w:rFonts w:cs="Arial"/>
                <w:b/>
                <w:bCs/>
                <w:sz w:val="18"/>
                <w:szCs w:val="18"/>
              </w:rPr>
            </w:pPr>
            <w:r w:rsidRPr="00067687">
              <w:rPr>
                <w:rFonts w:cs="Arial"/>
                <w:b/>
                <w:bCs/>
                <w:sz w:val="18"/>
                <w:szCs w:val="18"/>
              </w:rPr>
              <w:t>Kapr</w:t>
            </w:r>
          </w:p>
        </w:tc>
        <w:tc>
          <w:tcPr>
            <w:tcW w:w="332" w:type="pct"/>
            <w:tcBorders>
              <w:top w:val="nil"/>
              <w:left w:val="nil"/>
              <w:bottom w:val="single" w:sz="4" w:space="0" w:color="auto"/>
              <w:right w:val="single" w:sz="4" w:space="0" w:color="auto"/>
            </w:tcBorders>
            <w:vAlign w:val="center"/>
          </w:tcPr>
          <w:p w14:paraId="14D9AE78" w14:textId="77777777" w:rsidR="00067687" w:rsidRPr="00067687" w:rsidRDefault="00067687" w:rsidP="00067687">
            <w:pPr>
              <w:jc w:val="right"/>
              <w:rPr>
                <w:rFonts w:cs="Arial"/>
                <w:sz w:val="18"/>
                <w:szCs w:val="18"/>
              </w:rPr>
            </w:pPr>
            <w:r w:rsidRPr="00067687">
              <w:rPr>
                <w:rFonts w:cs="Arial"/>
                <w:sz w:val="18"/>
                <w:szCs w:val="18"/>
              </w:rPr>
              <w:t>16 809</w:t>
            </w:r>
          </w:p>
        </w:tc>
        <w:tc>
          <w:tcPr>
            <w:tcW w:w="334" w:type="pct"/>
            <w:tcBorders>
              <w:top w:val="nil"/>
              <w:left w:val="nil"/>
              <w:bottom w:val="single" w:sz="4" w:space="0" w:color="auto"/>
              <w:right w:val="single" w:sz="4" w:space="0" w:color="auto"/>
            </w:tcBorders>
            <w:vAlign w:val="center"/>
          </w:tcPr>
          <w:p w14:paraId="7E06E4C4" w14:textId="77777777" w:rsidR="00067687" w:rsidRPr="00067687" w:rsidRDefault="00067687" w:rsidP="00067687">
            <w:pPr>
              <w:jc w:val="right"/>
              <w:rPr>
                <w:rFonts w:cs="Arial"/>
                <w:sz w:val="18"/>
                <w:szCs w:val="18"/>
              </w:rPr>
            </w:pPr>
            <w:r w:rsidRPr="00067687">
              <w:rPr>
                <w:rFonts w:cs="Arial"/>
                <w:sz w:val="18"/>
                <w:szCs w:val="18"/>
              </w:rPr>
              <w:t>17 833</w:t>
            </w:r>
          </w:p>
        </w:tc>
        <w:tc>
          <w:tcPr>
            <w:tcW w:w="334" w:type="pct"/>
            <w:tcBorders>
              <w:top w:val="nil"/>
              <w:left w:val="nil"/>
              <w:bottom w:val="single" w:sz="4" w:space="0" w:color="auto"/>
              <w:right w:val="single" w:sz="4" w:space="0" w:color="auto"/>
            </w:tcBorders>
            <w:vAlign w:val="center"/>
          </w:tcPr>
          <w:p w14:paraId="698335BA" w14:textId="77777777" w:rsidR="00067687" w:rsidRPr="00067687" w:rsidRDefault="00067687" w:rsidP="00067687">
            <w:pPr>
              <w:jc w:val="right"/>
              <w:rPr>
                <w:rFonts w:cs="Arial"/>
                <w:sz w:val="18"/>
                <w:szCs w:val="18"/>
              </w:rPr>
            </w:pPr>
            <w:r w:rsidRPr="00067687">
              <w:rPr>
                <w:rFonts w:cs="Arial"/>
                <w:sz w:val="18"/>
                <w:szCs w:val="18"/>
              </w:rPr>
              <w:t>17 860</w:t>
            </w:r>
          </w:p>
        </w:tc>
        <w:tc>
          <w:tcPr>
            <w:tcW w:w="334" w:type="pct"/>
            <w:tcBorders>
              <w:top w:val="nil"/>
              <w:left w:val="nil"/>
              <w:bottom w:val="single" w:sz="4" w:space="0" w:color="auto"/>
              <w:right w:val="single" w:sz="4" w:space="0" w:color="auto"/>
            </w:tcBorders>
            <w:vAlign w:val="center"/>
          </w:tcPr>
          <w:p w14:paraId="69B10A97" w14:textId="77777777" w:rsidR="00067687" w:rsidRPr="00067687" w:rsidRDefault="00067687" w:rsidP="00067687">
            <w:pPr>
              <w:jc w:val="right"/>
              <w:rPr>
                <w:rFonts w:cs="Arial"/>
                <w:sz w:val="18"/>
                <w:szCs w:val="18"/>
              </w:rPr>
            </w:pPr>
            <w:r w:rsidRPr="00067687">
              <w:rPr>
                <w:rFonts w:cs="Arial"/>
                <w:sz w:val="18"/>
                <w:szCs w:val="18"/>
              </w:rPr>
              <w:t>18 354</w:t>
            </w:r>
          </w:p>
        </w:tc>
        <w:tc>
          <w:tcPr>
            <w:tcW w:w="325" w:type="pct"/>
            <w:tcBorders>
              <w:top w:val="nil"/>
              <w:left w:val="nil"/>
              <w:bottom w:val="single" w:sz="4" w:space="0" w:color="auto"/>
              <w:right w:val="single" w:sz="4" w:space="0" w:color="auto"/>
            </w:tcBorders>
            <w:vAlign w:val="center"/>
          </w:tcPr>
          <w:p w14:paraId="47F043E2" w14:textId="77777777" w:rsidR="00067687" w:rsidRPr="00067687" w:rsidRDefault="00067687" w:rsidP="00067687">
            <w:pPr>
              <w:jc w:val="right"/>
              <w:rPr>
                <w:rFonts w:cs="Arial"/>
                <w:sz w:val="18"/>
                <w:szCs w:val="18"/>
              </w:rPr>
            </w:pPr>
            <w:r w:rsidRPr="00067687">
              <w:rPr>
                <w:rFonts w:cs="Arial"/>
                <w:sz w:val="18"/>
                <w:szCs w:val="18"/>
              </w:rPr>
              <w:t>18 460</w:t>
            </w:r>
          </w:p>
        </w:tc>
        <w:tc>
          <w:tcPr>
            <w:tcW w:w="359" w:type="pct"/>
            <w:tcBorders>
              <w:top w:val="nil"/>
              <w:left w:val="nil"/>
              <w:bottom w:val="single" w:sz="4" w:space="0" w:color="auto"/>
              <w:right w:val="single" w:sz="4" w:space="0" w:color="auto"/>
            </w:tcBorders>
            <w:vAlign w:val="center"/>
          </w:tcPr>
          <w:p w14:paraId="676906B2" w14:textId="77777777" w:rsidR="00067687" w:rsidRPr="00067687" w:rsidRDefault="00067687" w:rsidP="00067687">
            <w:pPr>
              <w:jc w:val="center"/>
              <w:rPr>
                <w:rFonts w:cs="Arial"/>
                <w:sz w:val="18"/>
                <w:szCs w:val="18"/>
              </w:rPr>
            </w:pPr>
            <w:r w:rsidRPr="00067687">
              <w:rPr>
                <w:rFonts w:cs="Arial"/>
                <w:sz w:val="18"/>
                <w:szCs w:val="18"/>
              </w:rPr>
              <w:t>18 430</w:t>
            </w:r>
          </w:p>
        </w:tc>
        <w:tc>
          <w:tcPr>
            <w:tcW w:w="328" w:type="pct"/>
            <w:tcBorders>
              <w:top w:val="nil"/>
              <w:left w:val="nil"/>
              <w:bottom w:val="single" w:sz="4" w:space="0" w:color="auto"/>
              <w:right w:val="single" w:sz="4" w:space="0" w:color="auto"/>
            </w:tcBorders>
            <w:vAlign w:val="center"/>
          </w:tcPr>
          <w:p w14:paraId="4332D373" w14:textId="77777777" w:rsidR="00067687" w:rsidRPr="00067687" w:rsidRDefault="00067687" w:rsidP="00067687">
            <w:pPr>
              <w:jc w:val="right"/>
              <w:rPr>
                <w:rFonts w:cs="Arial"/>
                <w:sz w:val="18"/>
                <w:szCs w:val="18"/>
              </w:rPr>
            </w:pPr>
            <w:r w:rsidRPr="00067687">
              <w:rPr>
                <w:rFonts w:cs="Arial"/>
                <w:sz w:val="18"/>
                <w:szCs w:val="18"/>
              </w:rPr>
              <w:t>17 945</w:t>
            </w:r>
          </w:p>
        </w:tc>
        <w:tc>
          <w:tcPr>
            <w:tcW w:w="347" w:type="pct"/>
            <w:tcBorders>
              <w:top w:val="nil"/>
              <w:left w:val="single" w:sz="4" w:space="0" w:color="auto"/>
              <w:bottom w:val="single" w:sz="4" w:space="0" w:color="auto"/>
              <w:right w:val="single" w:sz="4" w:space="0" w:color="auto"/>
            </w:tcBorders>
            <w:vAlign w:val="center"/>
          </w:tcPr>
          <w:p w14:paraId="0FE6B520" w14:textId="77777777" w:rsidR="00067687" w:rsidRPr="00067687" w:rsidRDefault="00067687" w:rsidP="00067687">
            <w:pPr>
              <w:jc w:val="center"/>
              <w:rPr>
                <w:rFonts w:cs="Arial"/>
                <w:sz w:val="18"/>
                <w:szCs w:val="18"/>
              </w:rPr>
            </w:pPr>
            <w:r w:rsidRPr="00067687">
              <w:rPr>
                <w:rFonts w:cs="Arial"/>
                <w:sz w:val="18"/>
                <w:szCs w:val="18"/>
              </w:rPr>
              <w:t>17 370</w:t>
            </w:r>
          </w:p>
        </w:tc>
        <w:tc>
          <w:tcPr>
            <w:tcW w:w="354" w:type="pct"/>
            <w:tcBorders>
              <w:top w:val="nil"/>
              <w:left w:val="single" w:sz="4" w:space="0" w:color="auto"/>
              <w:bottom w:val="single" w:sz="4" w:space="0" w:color="auto"/>
              <w:right w:val="single" w:sz="4" w:space="0" w:color="auto"/>
            </w:tcBorders>
            <w:vAlign w:val="center"/>
          </w:tcPr>
          <w:p w14:paraId="20BF5801" w14:textId="77777777" w:rsidR="00067687" w:rsidRPr="00067687" w:rsidRDefault="00067687" w:rsidP="00067687">
            <w:pPr>
              <w:jc w:val="center"/>
              <w:rPr>
                <w:rFonts w:cs="Arial"/>
                <w:sz w:val="18"/>
                <w:szCs w:val="18"/>
              </w:rPr>
            </w:pPr>
            <w:r w:rsidRPr="00067687">
              <w:rPr>
                <w:rFonts w:cs="Arial"/>
                <w:sz w:val="18"/>
                <w:szCs w:val="18"/>
              </w:rPr>
              <w:t>17 616</w:t>
            </w:r>
          </w:p>
        </w:tc>
        <w:tc>
          <w:tcPr>
            <w:tcW w:w="356" w:type="pct"/>
            <w:tcBorders>
              <w:top w:val="nil"/>
              <w:left w:val="single" w:sz="4" w:space="0" w:color="auto"/>
              <w:bottom w:val="single" w:sz="4" w:space="0" w:color="auto"/>
              <w:right w:val="single" w:sz="4" w:space="0" w:color="auto"/>
            </w:tcBorders>
            <w:vAlign w:val="center"/>
          </w:tcPr>
          <w:p w14:paraId="679FEDDC" w14:textId="3B44EB61" w:rsidR="00067687" w:rsidRPr="00067687" w:rsidRDefault="00067687" w:rsidP="00067687">
            <w:pPr>
              <w:jc w:val="center"/>
              <w:rPr>
                <w:rFonts w:cs="Arial"/>
                <w:sz w:val="18"/>
                <w:szCs w:val="18"/>
              </w:rPr>
            </w:pPr>
            <w:r w:rsidRPr="00067687">
              <w:rPr>
                <w:rFonts w:cs="Arial"/>
                <w:sz w:val="18"/>
                <w:szCs w:val="18"/>
              </w:rPr>
              <w:t>16 437</w:t>
            </w:r>
          </w:p>
        </w:tc>
        <w:tc>
          <w:tcPr>
            <w:tcW w:w="355" w:type="pct"/>
            <w:tcBorders>
              <w:top w:val="nil"/>
              <w:left w:val="single" w:sz="4" w:space="0" w:color="auto"/>
              <w:bottom w:val="single" w:sz="4" w:space="0" w:color="auto"/>
              <w:right w:val="single" w:sz="4" w:space="0" w:color="auto"/>
            </w:tcBorders>
            <w:vAlign w:val="center"/>
          </w:tcPr>
          <w:p w14:paraId="3DB46DAE" w14:textId="28A64AB1" w:rsidR="00067687" w:rsidRPr="00067687" w:rsidRDefault="00067687" w:rsidP="00067687">
            <w:pPr>
              <w:jc w:val="center"/>
              <w:rPr>
                <w:rFonts w:cs="Arial"/>
                <w:sz w:val="18"/>
                <w:szCs w:val="18"/>
              </w:rPr>
            </w:pPr>
            <w:r w:rsidRPr="00067687">
              <w:rPr>
                <w:rFonts w:cs="Arial"/>
                <w:sz w:val="18"/>
                <w:szCs w:val="18"/>
              </w:rPr>
              <w:t>15 903</w:t>
            </w:r>
          </w:p>
        </w:tc>
        <w:tc>
          <w:tcPr>
            <w:tcW w:w="352" w:type="pct"/>
            <w:tcBorders>
              <w:top w:val="nil"/>
              <w:left w:val="single" w:sz="4" w:space="0" w:color="auto"/>
              <w:bottom w:val="single" w:sz="4" w:space="0" w:color="auto"/>
              <w:right w:val="single" w:sz="4" w:space="0" w:color="auto"/>
            </w:tcBorders>
          </w:tcPr>
          <w:p w14:paraId="65AB547D" w14:textId="77FB6428" w:rsidR="00067687" w:rsidRPr="00067687" w:rsidRDefault="00067687" w:rsidP="00067687">
            <w:pPr>
              <w:jc w:val="center"/>
              <w:rPr>
                <w:rFonts w:cs="Arial"/>
                <w:sz w:val="18"/>
                <w:szCs w:val="18"/>
              </w:rPr>
            </w:pPr>
            <w:r w:rsidRPr="00067687">
              <w:rPr>
                <w:rFonts w:cs="Arial"/>
                <w:sz w:val="18"/>
                <w:szCs w:val="18"/>
              </w:rPr>
              <w:t>16 046</w:t>
            </w:r>
          </w:p>
        </w:tc>
        <w:tc>
          <w:tcPr>
            <w:tcW w:w="421" w:type="pct"/>
            <w:tcBorders>
              <w:top w:val="nil"/>
              <w:left w:val="single" w:sz="4" w:space="0" w:color="auto"/>
              <w:bottom w:val="single" w:sz="4" w:space="0" w:color="auto"/>
              <w:right w:val="single" w:sz="4" w:space="0" w:color="auto"/>
            </w:tcBorders>
          </w:tcPr>
          <w:p w14:paraId="62F9A02B" w14:textId="3D119005" w:rsidR="00067687" w:rsidRPr="00067687" w:rsidRDefault="00067687" w:rsidP="00067687">
            <w:pPr>
              <w:jc w:val="center"/>
              <w:rPr>
                <w:rFonts w:cs="Arial"/>
                <w:sz w:val="18"/>
                <w:szCs w:val="18"/>
              </w:rPr>
            </w:pPr>
            <w:r w:rsidRPr="00067687">
              <w:rPr>
                <w:rFonts w:cs="Arial"/>
                <w:sz w:val="18"/>
                <w:szCs w:val="18"/>
              </w:rPr>
              <w:t>16 100</w:t>
            </w:r>
          </w:p>
        </w:tc>
      </w:tr>
      <w:tr w:rsidR="00067687" w:rsidRPr="00067687" w14:paraId="0026F553" w14:textId="725270D8" w:rsidTr="00D55FEF">
        <w:trPr>
          <w:trHeight w:val="244"/>
        </w:trPr>
        <w:tc>
          <w:tcPr>
            <w:tcW w:w="467" w:type="pct"/>
            <w:tcBorders>
              <w:top w:val="nil"/>
              <w:left w:val="single" w:sz="4" w:space="0" w:color="auto"/>
              <w:bottom w:val="single" w:sz="4" w:space="0" w:color="auto"/>
              <w:right w:val="single" w:sz="4" w:space="0" w:color="auto"/>
            </w:tcBorders>
            <w:shd w:val="clear" w:color="auto" w:fill="BFBFBF"/>
            <w:noWrap/>
            <w:vAlign w:val="center"/>
            <w:hideMark/>
          </w:tcPr>
          <w:p w14:paraId="0D83BCCB" w14:textId="77777777" w:rsidR="00067687" w:rsidRPr="00067687" w:rsidRDefault="00067687" w:rsidP="00067687">
            <w:pPr>
              <w:rPr>
                <w:rFonts w:cs="Arial"/>
                <w:b/>
                <w:bCs/>
                <w:sz w:val="18"/>
                <w:szCs w:val="18"/>
              </w:rPr>
            </w:pPr>
            <w:r w:rsidRPr="00067687">
              <w:rPr>
                <w:rFonts w:cs="Arial"/>
                <w:b/>
                <w:bCs/>
                <w:sz w:val="18"/>
                <w:szCs w:val="18"/>
              </w:rPr>
              <w:t>Celkem</w:t>
            </w:r>
          </w:p>
        </w:tc>
        <w:tc>
          <w:tcPr>
            <w:tcW w:w="332" w:type="pct"/>
            <w:tcBorders>
              <w:top w:val="nil"/>
              <w:left w:val="nil"/>
              <w:bottom w:val="single" w:sz="4" w:space="0" w:color="auto"/>
              <w:right w:val="single" w:sz="4" w:space="0" w:color="auto"/>
            </w:tcBorders>
            <w:shd w:val="clear" w:color="auto" w:fill="BFBFBF"/>
            <w:vAlign w:val="center"/>
          </w:tcPr>
          <w:p w14:paraId="11EE78B6" w14:textId="77777777" w:rsidR="00067687" w:rsidRPr="00067687" w:rsidRDefault="00067687" w:rsidP="00067687">
            <w:pPr>
              <w:jc w:val="right"/>
              <w:rPr>
                <w:rFonts w:cs="Arial"/>
                <w:b/>
                <w:sz w:val="18"/>
                <w:szCs w:val="18"/>
              </w:rPr>
            </w:pPr>
            <w:r w:rsidRPr="00067687">
              <w:rPr>
                <w:rFonts w:cs="Arial"/>
                <w:b/>
                <w:sz w:val="18"/>
                <w:szCs w:val="18"/>
              </w:rPr>
              <w:t>19 358</w:t>
            </w:r>
          </w:p>
        </w:tc>
        <w:tc>
          <w:tcPr>
            <w:tcW w:w="334" w:type="pct"/>
            <w:tcBorders>
              <w:top w:val="nil"/>
              <w:left w:val="nil"/>
              <w:bottom w:val="single" w:sz="4" w:space="0" w:color="auto"/>
              <w:right w:val="single" w:sz="4" w:space="0" w:color="auto"/>
            </w:tcBorders>
            <w:shd w:val="clear" w:color="auto" w:fill="BFBFBF"/>
            <w:vAlign w:val="center"/>
          </w:tcPr>
          <w:p w14:paraId="0499A41B" w14:textId="77777777" w:rsidR="00067687" w:rsidRPr="00067687" w:rsidRDefault="00067687" w:rsidP="00067687">
            <w:pPr>
              <w:jc w:val="right"/>
              <w:rPr>
                <w:rFonts w:cs="Arial"/>
                <w:b/>
                <w:sz w:val="18"/>
                <w:szCs w:val="18"/>
              </w:rPr>
            </w:pPr>
            <w:r w:rsidRPr="00067687">
              <w:rPr>
                <w:rFonts w:cs="Arial"/>
                <w:b/>
                <w:sz w:val="18"/>
                <w:szCs w:val="18"/>
              </w:rPr>
              <w:t>20 135</w:t>
            </w:r>
          </w:p>
        </w:tc>
        <w:tc>
          <w:tcPr>
            <w:tcW w:w="334" w:type="pct"/>
            <w:tcBorders>
              <w:top w:val="nil"/>
              <w:left w:val="nil"/>
              <w:bottom w:val="single" w:sz="4" w:space="0" w:color="auto"/>
              <w:right w:val="single" w:sz="4" w:space="0" w:color="auto"/>
            </w:tcBorders>
            <w:shd w:val="clear" w:color="auto" w:fill="BFBFBF"/>
            <w:vAlign w:val="center"/>
          </w:tcPr>
          <w:p w14:paraId="153945F3" w14:textId="77777777" w:rsidR="00067687" w:rsidRPr="00067687" w:rsidRDefault="00067687" w:rsidP="00067687">
            <w:pPr>
              <w:jc w:val="right"/>
              <w:rPr>
                <w:rFonts w:cs="Arial"/>
                <w:b/>
                <w:sz w:val="18"/>
                <w:szCs w:val="18"/>
              </w:rPr>
            </w:pPr>
            <w:r w:rsidRPr="00067687">
              <w:rPr>
                <w:rFonts w:cs="Arial"/>
                <w:b/>
                <w:sz w:val="18"/>
                <w:szCs w:val="18"/>
              </w:rPr>
              <w:t>20 200</w:t>
            </w:r>
          </w:p>
        </w:tc>
        <w:tc>
          <w:tcPr>
            <w:tcW w:w="334" w:type="pct"/>
            <w:tcBorders>
              <w:top w:val="nil"/>
              <w:left w:val="nil"/>
              <w:bottom w:val="single" w:sz="4" w:space="0" w:color="auto"/>
              <w:right w:val="single" w:sz="4" w:space="0" w:color="auto"/>
            </w:tcBorders>
            <w:shd w:val="clear" w:color="auto" w:fill="BFBFBF"/>
            <w:vAlign w:val="center"/>
          </w:tcPr>
          <w:p w14:paraId="513D4036" w14:textId="77777777" w:rsidR="00067687" w:rsidRPr="00067687" w:rsidRDefault="00067687" w:rsidP="00067687">
            <w:pPr>
              <w:jc w:val="right"/>
              <w:rPr>
                <w:rFonts w:cs="Arial"/>
                <w:b/>
                <w:sz w:val="18"/>
                <w:szCs w:val="18"/>
              </w:rPr>
            </w:pPr>
            <w:r w:rsidRPr="00067687">
              <w:rPr>
                <w:rFonts w:cs="Arial"/>
                <w:b/>
                <w:sz w:val="18"/>
                <w:szCs w:val="18"/>
              </w:rPr>
              <w:t>20 952</w:t>
            </w:r>
          </w:p>
        </w:tc>
        <w:tc>
          <w:tcPr>
            <w:tcW w:w="325" w:type="pct"/>
            <w:tcBorders>
              <w:top w:val="nil"/>
              <w:left w:val="nil"/>
              <w:bottom w:val="single" w:sz="4" w:space="0" w:color="auto"/>
              <w:right w:val="single" w:sz="4" w:space="0" w:color="auto"/>
            </w:tcBorders>
            <w:shd w:val="clear" w:color="auto" w:fill="BFBFBF"/>
            <w:vAlign w:val="center"/>
          </w:tcPr>
          <w:p w14:paraId="35D535A7" w14:textId="77777777" w:rsidR="00067687" w:rsidRPr="00067687" w:rsidRDefault="00067687" w:rsidP="00067687">
            <w:pPr>
              <w:jc w:val="right"/>
              <w:rPr>
                <w:rFonts w:cs="Arial"/>
                <w:b/>
                <w:sz w:val="18"/>
                <w:szCs w:val="18"/>
              </w:rPr>
            </w:pPr>
            <w:r w:rsidRPr="00067687">
              <w:rPr>
                <w:rFonts w:cs="Arial"/>
                <w:b/>
                <w:sz w:val="18"/>
                <w:szCs w:val="18"/>
              </w:rPr>
              <w:t>21 685</w:t>
            </w:r>
          </w:p>
        </w:tc>
        <w:tc>
          <w:tcPr>
            <w:tcW w:w="359" w:type="pct"/>
            <w:tcBorders>
              <w:top w:val="nil"/>
              <w:left w:val="nil"/>
              <w:bottom w:val="single" w:sz="4" w:space="0" w:color="auto"/>
              <w:right w:val="single" w:sz="4" w:space="0" w:color="auto"/>
            </w:tcBorders>
            <w:shd w:val="clear" w:color="auto" w:fill="BFBFBF"/>
            <w:vAlign w:val="center"/>
          </w:tcPr>
          <w:p w14:paraId="4F781FEF" w14:textId="77777777" w:rsidR="00067687" w:rsidRPr="00067687" w:rsidRDefault="00067687" w:rsidP="00067687">
            <w:pPr>
              <w:jc w:val="center"/>
              <w:rPr>
                <w:rFonts w:cs="Arial"/>
                <w:b/>
                <w:sz w:val="18"/>
                <w:szCs w:val="18"/>
              </w:rPr>
            </w:pPr>
            <w:r w:rsidRPr="00067687">
              <w:rPr>
                <w:rFonts w:cs="Arial"/>
                <w:b/>
                <w:sz w:val="18"/>
                <w:szCs w:val="18"/>
              </w:rPr>
              <w:t>21 751</w:t>
            </w:r>
          </w:p>
        </w:tc>
        <w:tc>
          <w:tcPr>
            <w:tcW w:w="328" w:type="pct"/>
            <w:tcBorders>
              <w:top w:val="nil"/>
              <w:left w:val="nil"/>
              <w:bottom w:val="single" w:sz="4" w:space="0" w:color="auto"/>
              <w:right w:val="single" w:sz="4" w:space="0" w:color="auto"/>
            </w:tcBorders>
            <w:shd w:val="clear" w:color="auto" w:fill="BFBFBF"/>
            <w:vAlign w:val="center"/>
          </w:tcPr>
          <w:p w14:paraId="4E6DEC9D" w14:textId="77777777" w:rsidR="00067687" w:rsidRPr="00067687" w:rsidRDefault="00067687" w:rsidP="00067687">
            <w:pPr>
              <w:jc w:val="right"/>
              <w:rPr>
                <w:rFonts w:cs="Arial"/>
                <w:b/>
                <w:sz w:val="18"/>
                <w:szCs w:val="18"/>
              </w:rPr>
            </w:pPr>
            <w:r w:rsidRPr="00067687">
              <w:rPr>
                <w:rFonts w:cs="Arial"/>
                <w:b/>
                <w:sz w:val="18"/>
                <w:szCs w:val="18"/>
              </w:rPr>
              <w:t>20 986</w:t>
            </w:r>
          </w:p>
        </w:tc>
        <w:tc>
          <w:tcPr>
            <w:tcW w:w="347" w:type="pct"/>
            <w:tcBorders>
              <w:top w:val="nil"/>
              <w:left w:val="single" w:sz="4" w:space="0" w:color="auto"/>
              <w:bottom w:val="single" w:sz="4" w:space="0" w:color="auto"/>
              <w:right w:val="single" w:sz="4" w:space="0" w:color="auto"/>
            </w:tcBorders>
            <w:shd w:val="clear" w:color="auto" w:fill="BFBFBF"/>
            <w:vAlign w:val="center"/>
          </w:tcPr>
          <w:p w14:paraId="6A1B263D" w14:textId="77777777" w:rsidR="00067687" w:rsidRPr="00067687" w:rsidRDefault="00067687" w:rsidP="00067687">
            <w:pPr>
              <w:jc w:val="center"/>
              <w:rPr>
                <w:rFonts w:cs="Arial"/>
                <w:b/>
                <w:sz w:val="18"/>
                <w:szCs w:val="18"/>
              </w:rPr>
            </w:pPr>
            <w:r w:rsidRPr="00067687">
              <w:rPr>
                <w:rFonts w:cs="Arial"/>
                <w:b/>
                <w:sz w:val="18"/>
                <w:szCs w:val="18"/>
              </w:rPr>
              <w:t>20 401</w:t>
            </w:r>
          </w:p>
        </w:tc>
        <w:tc>
          <w:tcPr>
            <w:tcW w:w="354" w:type="pct"/>
            <w:tcBorders>
              <w:top w:val="nil"/>
              <w:left w:val="single" w:sz="4" w:space="0" w:color="auto"/>
              <w:bottom w:val="single" w:sz="4" w:space="0" w:color="auto"/>
              <w:right w:val="single" w:sz="4" w:space="0" w:color="auto"/>
            </w:tcBorders>
            <w:shd w:val="clear" w:color="auto" w:fill="BFBFBF"/>
            <w:vAlign w:val="center"/>
          </w:tcPr>
          <w:p w14:paraId="2E96DEE2" w14:textId="77777777" w:rsidR="00067687" w:rsidRPr="00067687" w:rsidRDefault="00067687" w:rsidP="00067687">
            <w:pPr>
              <w:jc w:val="center"/>
              <w:rPr>
                <w:rFonts w:cs="Arial"/>
                <w:b/>
                <w:sz w:val="18"/>
                <w:szCs w:val="18"/>
              </w:rPr>
            </w:pPr>
            <w:r w:rsidRPr="00067687">
              <w:rPr>
                <w:rFonts w:cs="Arial"/>
                <w:b/>
                <w:sz w:val="18"/>
                <w:szCs w:val="18"/>
              </w:rPr>
              <w:t>20 991</w:t>
            </w:r>
          </w:p>
        </w:tc>
        <w:tc>
          <w:tcPr>
            <w:tcW w:w="356" w:type="pct"/>
            <w:tcBorders>
              <w:top w:val="nil"/>
              <w:left w:val="single" w:sz="4" w:space="0" w:color="auto"/>
              <w:bottom w:val="single" w:sz="4" w:space="0" w:color="auto"/>
              <w:right w:val="single" w:sz="4" w:space="0" w:color="auto"/>
            </w:tcBorders>
            <w:shd w:val="clear" w:color="auto" w:fill="BFBFBF" w:themeFill="background1" w:themeFillShade="BF"/>
            <w:vAlign w:val="center"/>
          </w:tcPr>
          <w:p w14:paraId="6CF14D14" w14:textId="35588E10" w:rsidR="00067687" w:rsidRPr="00067687" w:rsidRDefault="00067687" w:rsidP="00067687">
            <w:pPr>
              <w:jc w:val="center"/>
              <w:rPr>
                <w:rFonts w:cs="Arial"/>
                <w:b/>
                <w:sz w:val="18"/>
                <w:szCs w:val="18"/>
              </w:rPr>
            </w:pPr>
            <w:r w:rsidRPr="00067687">
              <w:rPr>
                <w:rFonts w:cs="Arial"/>
                <w:b/>
                <w:sz w:val="18"/>
                <w:szCs w:val="18"/>
              </w:rPr>
              <w:t>19 259</w:t>
            </w:r>
          </w:p>
        </w:tc>
        <w:tc>
          <w:tcPr>
            <w:tcW w:w="355" w:type="pct"/>
            <w:tcBorders>
              <w:top w:val="nil"/>
              <w:left w:val="single" w:sz="4" w:space="0" w:color="auto"/>
              <w:bottom w:val="single" w:sz="4" w:space="0" w:color="auto"/>
              <w:right w:val="single" w:sz="4" w:space="0" w:color="auto"/>
            </w:tcBorders>
            <w:shd w:val="clear" w:color="auto" w:fill="BFBFBF" w:themeFill="background1" w:themeFillShade="BF"/>
            <w:vAlign w:val="center"/>
          </w:tcPr>
          <w:p w14:paraId="3727CD8E" w14:textId="0E8C3B8D" w:rsidR="00067687" w:rsidRPr="00067687" w:rsidRDefault="00067687" w:rsidP="00067687">
            <w:pPr>
              <w:jc w:val="center"/>
              <w:rPr>
                <w:rFonts w:cs="Arial"/>
                <w:b/>
                <w:sz w:val="18"/>
                <w:szCs w:val="18"/>
              </w:rPr>
            </w:pPr>
            <w:r w:rsidRPr="00067687">
              <w:rPr>
                <w:rFonts w:cs="Arial"/>
                <w:b/>
                <w:sz w:val="18"/>
                <w:szCs w:val="18"/>
              </w:rPr>
              <w:t>18 613</w:t>
            </w:r>
          </w:p>
        </w:tc>
        <w:tc>
          <w:tcPr>
            <w:tcW w:w="352" w:type="pct"/>
            <w:tcBorders>
              <w:top w:val="nil"/>
              <w:left w:val="single" w:sz="4" w:space="0" w:color="auto"/>
              <w:bottom w:val="single" w:sz="4" w:space="0" w:color="auto"/>
              <w:right w:val="single" w:sz="4" w:space="0" w:color="auto"/>
            </w:tcBorders>
            <w:shd w:val="clear" w:color="auto" w:fill="BFBFBF" w:themeFill="background1" w:themeFillShade="BF"/>
          </w:tcPr>
          <w:p w14:paraId="53DD8593" w14:textId="316411F9" w:rsidR="00067687" w:rsidRPr="00067687" w:rsidRDefault="00067687" w:rsidP="00067687">
            <w:pPr>
              <w:jc w:val="center"/>
              <w:rPr>
                <w:rFonts w:cs="Arial"/>
                <w:b/>
                <w:sz w:val="18"/>
                <w:szCs w:val="18"/>
              </w:rPr>
            </w:pPr>
            <w:r w:rsidRPr="00067687">
              <w:rPr>
                <w:rFonts w:cs="Arial"/>
                <w:b/>
                <w:sz w:val="18"/>
                <w:szCs w:val="18"/>
              </w:rPr>
              <w:t>18 685</w:t>
            </w:r>
          </w:p>
        </w:tc>
        <w:tc>
          <w:tcPr>
            <w:tcW w:w="421" w:type="pct"/>
            <w:tcBorders>
              <w:top w:val="nil"/>
              <w:left w:val="single" w:sz="4" w:space="0" w:color="auto"/>
              <w:bottom w:val="single" w:sz="4" w:space="0" w:color="auto"/>
              <w:right w:val="single" w:sz="4" w:space="0" w:color="auto"/>
            </w:tcBorders>
            <w:shd w:val="clear" w:color="auto" w:fill="BFBFBF" w:themeFill="background1" w:themeFillShade="BF"/>
          </w:tcPr>
          <w:p w14:paraId="5FC0035B" w14:textId="65CEED53" w:rsidR="00067687" w:rsidRPr="00067687" w:rsidRDefault="00067687" w:rsidP="00067687">
            <w:pPr>
              <w:jc w:val="center"/>
              <w:rPr>
                <w:rFonts w:cs="Arial"/>
                <w:b/>
                <w:sz w:val="18"/>
                <w:szCs w:val="18"/>
              </w:rPr>
            </w:pPr>
            <w:r w:rsidRPr="00067687">
              <w:rPr>
                <w:rFonts w:cs="Arial"/>
                <w:b/>
                <w:sz w:val="18"/>
                <w:szCs w:val="18"/>
              </w:rPr>
              <w:t>19 000</w:t>
            </w:r>
          </w:p>
        </w:tc>
      </w:tr>
    </w:tbl>
    <w:p w14:paraId="719E2AC5" w14:textId="77777777" w:rsidR="0011043C" w:rsidRPr="00067687" w:rsidRDefault="0011043C" w:rsidP="0011043C">
      <w:pPr>
        <w:rPr>
          <w:rFonts w:cs="Arial"/>
          <w:bCs/>
          <w:i/>
          <w:sz w:val="20"/>
          <w:szCs w:val="20"/>
        </w:rPr>
      </w:pPr>
      <w:r w:rsidRPr="00067687">
        <w:rPr>
          <w:rFonts w:cs="Arial"/>
          <w:bCs/>
          <w:i/>
          <w:sz w:val="20"/>
          <w:szCs w:val="20"/>
        </w:rPr>
        <w:t>Pramen: MZe a Rybářské sdružení ČR</w:t>
      </w:r>
    </w:p>
    <w:p w14:paraId="5BDBBB8E" w14:textId="77777777" w:rsidR="0011043C" w:rsidRPr="00104F7D" w:rsidRDefault="0011043C" w:rsidP="0011043C">
      <w:pPr>
        <w:rPr>
          <w:rFonts w:cs="Arial"/>
          <w:i/>
          <w:sz w:val="18"/>
          <w:szCs w:val="18"/>
          <w:highlight w:val="yellow"/>
        </w:rPr>
      </w:pPr>
    </w:p>
    <w:p w14:paraId="0DBC7461" w14:textId="5AA2ECE3" w:rsidR="004276A0" w:rsidRPr="00AD0ADF" w:rsidRDefault="004276A0" w:rsidP="004276A0">
      <w:pPr>
        <w:spacing w:after="219" w:line="252" w:lineRule="auto"/>
        <w:ind w:left="7" w:right="5" w:hanging="9"/>
        <w:rPr>
          <w:rFonts w:eastAsia="Gill Sans MT" w:cs="Arial"/>
          <w:lang w:eastAsia="cs-CZ"/>
        </w:rPr>
      </w:pPr>
      <w:r w:rsidRPr="00AD0ADF">
        <w:rPr>
          <w:rFonts w:eastAsia="Gill Sans MT" w:cs="Arial"/>
          <w:lang w:eastAsia="cs-CZ"/>
        </w:rPr>
        <w:t xml:space="preserve">Na tuzemský trh bylo dodáno </w:t>
      </w:r>
      <w:r w:rsidRPr="00AD0ADF">
        <w:t>5</w:t>
      </w:r>
      <w:r w:rsidR="008119B1">
        <w:t>,</w:t>
      </w:r>
      <w:r w:rsidRPr="00AD0ADF">
        <w:t>7</w:t>
      </w:r>
      <w:r w:rsidR="009979BA">
        <w:t xml:space="preserve"> tis.</w:t>
      </w:r>
      <w:r w:rsidRPr="00AD0ADF">
        <w:rPr>
          <w:rFonts w:eastAsia="Gill Sans MT" w:cs="Arial"/>
          <w:lang w:eastAsia="cs-CZ"/>
        </w:rPr>
        <w:t xml:space="preserve"> tun živých ryb, čímž došlo k meziročnímu snížení o </w:t>
      </w:r>
      <w:r w:rsidRPr="00AD0ADF">
        <w:t>552</w:t>
      </w:r>
      <w:r w:rsidRPr="00AD0ADF">
        <w:rPr>
          <w:rFonts w:eastAsia="Gill Sans MT" w:cs="Arial"/>
          <w:lang w:eastAsia="cs-CZ"/>
        </w:rPr>
        <w:t xml:space="preserve"> tun. Vývoz živých ryb dosáhl </w:t>
      </w:r>
      <w:r w:rsidRPr="00AD0ADF">
        <w:rPr>
          <w:bCs/>
        </w:rPr>
        <w:t>11</w:t>
      </w:r>
      <w:r w:rsidR="009979BA">
        <w:rPr>
          <w:bCs/>
        </w:rPr>
        <w:t>,</w:t>
      </w:r>
      <w:r w:rsidRPr="00AD0ADF">
        <w:rPr>
          <w:bCs/>
        </w:rPr>
        <w:t>730</w:t>
      </w:r>
      <w:r w:rsidR="009979BA">
        <w:rPr>
          <w:bCs/>
        </w:rPr>
        <w:t xml:space="preserve"> tis.</w:t>
      </w:r>
      <w:r w:rsidRPr="00AD0ADF">
        <w:rPr>
          <w:rFonts w:eastAsia="Gill Sans MT" w:cs="Arial"/>
          <w:lang w:eastAsia="cs-CZ"/>
        </w:rPr>
        <w:t xml:space="preserve"> tun, což představovalo nárust o </w:t>
      </w:r>
      <w:r w:rsidRPr="00AD0ADF">
        <w:t>3</w:t>
      </w:r>
      <w:r w:rsidR="009979BA">
        <w:t>,</w:t>
      </w:r>
      <w:r w:rsidRPr="00AD0ADF">
        <w:t>881</w:t>
      </w:r>
      <w:r w:rsidR="009979BA">
        <w:t xml:space="preserve"> tis.</w:t>
      </w:r>
      <w:r w:rsidRPr="00AD0ADF">
        <w:t xml:space="preserve"> </w:t>
      </w:r>
      <w:r w:rsidRPr="00AD0ADF">
        <w:rPr>
          <w:rFonts w:eastAsia="Gill Sans MT" w:cs="Arial"/>
          <w:lang w:eastAsia="cs-CZ"/>
        </w:rPr>
        <w:t xml:space="preserve">tun. V roce 2025 bylo zpracováno </w:t>
      </w:r>
      <w:r w:rsidRPr="00AD0ADF">
        <w:t>2,8</w:t>
      </w:r>
      <w:r w:rsidRPr="00AD0ADF">
        <w:rPr>
          <w:rFonts w:eastAsia="Gill Sans MT" w:cs="Arial"/>
          <w:lang w:eastAsia="cs-CZ"/>
        </w:rPr>
        <w:t xml:space="preserve"> tis. tun ryb v živé hmotnosti, tedy </w:t>
      </w:r>
      <w:r w:rsidRPr="00AD0ADF">
        <w:t>14,6</w:t>
      </w:r>
      <w:r w:rsidRPr="00AD0ADF">
        <w:rPr>
          <w:rFonts w:eastAsia="Gill Sans MT" w:cs="Arial"/>
          <w:lang w:eastAsia="cs-CZ"/>
        </w:rPr>
        <w:t xml:space="preserve"> % z objemu vylovených tržních ryb.</w:t>
      </w:r>
    </w:p>
    <w:p w14:paraId="52BDC6D6" w14:textId="296823FC" w:rsidR="0011043C" w:rsidRPr="00D2011C" w:rsidRDefault="0011043C" w:rsidP="0011043C">
      <w:pPr>
        <w:contextualSpacing/>
        <w:rPr>
          <w:rFonts w:cs="Arial"/>
          <w:i/>
          <w:color w:val="FF0000"/>
          <w:sz w:val="20"/>
          <w:szCs w:val="20"/>
        </w:rPr>
      </w:pPr>
      <w:r w:rsidRPr="00D2011C">
        <w:rPr>
          <w:b/>
          <w:i/>
        </w:rPr>
        <w:t xml:space="preserve">Tabulka </w:t>
      </w:r>
      <w:r w:rsidR="004454E1" w:rsidRPr="00D2011C">
        <w:rPr>
          <w:b/>
          <w:i/>
        </w:rPr>
        <w:t>10</w:t>
      </w:r>
      <w:r w:rsidRPr="00D2011C">
        <w:rPr>
          <w:b/>
          <w:i/>
        </w:rPr>
        <w:t>.2</w:t>
      </w:r>
    </w:p>
    <w:p w14:paraId="5581E08C" w14:textId="043E78C7" w:rsidR="0011043C" w:rsidRPr="00D2011C" w:rsidRDefault="0011043C" w:rsidP="0011043C">
      <w:pPr>
        <w:ind w:left="11" w:right="6" w:hanging="11"/>
        <w:rPr>
          <w:rFonts w:eastAsia="Gill Sans MT" w:cs="Arial"/>
          <w:b/>
          <w:i/>
          <w:color w:val="1C1C1B"/>
          <w:lang w:eastAsia="cs-CZ"/>
        </w:rPr>
      </w:pPr>
      <w:r w:rsidRPr="00D2011C">
        <w:rPr>
          <w:rFonts w:eastAsia="Gill Sans MT" w:cs="Arial"/>
          <w:b/>
          <w:i/>
          <w:color w:val="1C1C1B"/>
          <w:lang w:eastAsia="cs-CZ"/>
        </w:rPr>
        <w:t>Užití tržních ryb vyprodukovaných chovem v České republice v letech 2013–202</w:t>
      </w:r>
      <w:r w:rsidR="00D2011C" w:rsidRPr="00D2011C">
        <w:rPr>
          <w:rFonts w:eastAsia="Gill Sans MT" w:cs="Arial"/>
          <w:b/>
          <w:i/>
          <w:color w:val="1C1C1B"/>
          <w:lang w:eastAsia="cs-CZ"/>
        </w:rPr>
        <w:t>5</w:t>
      </w:r>
    </w:p>
    <w:tbl>
      <w:tblPr>
        <w:tblW w:w="9087" w:type="dxa"/>
        <w:tblInd w:w="55" w:type="dxa"/>
        <w:tblCellMar>
          <w:left w:w="70" w:type="dxa"/>
          <w:right w:w="70" w:type="dxa"/>
        </w:tblCellMar>
        <w:tblLook w:val="04A0" w:firstRow="1" w:lastRow="0" w:firstColumn="1" w:lastColumn="0" w:noHBand="0" w:noVBand="1"/>
      </w:tblPr>
      <w:tblGrid>
        <w:gridCol w:w="992"/>
        <w:gridCol w:w="10"/>
        <w:gridCol w:w="1565"/>
        <w:gridCol w:w="2268"/>
        <w:gridCol w:w="2126"/>
        <w:gridCol w:w="2126"/>
      </w:tblGrid>
      <w:tr w:rsidR="0011043C" w:rsidRPr="00D2011C" w14:paraId="4454F22D" w14:textId="77777777" w:rsidTr="00EC1043">
        <w:trPr>
          <w:trHeight w:val="20"/>
        </w:trPr>
        <w:tc>
          <w:tcPr>
            <w:tcW w:w="992" w:type="dxa"/>
            <w:vMerge w:val="restart"/>
            <w:tcBorders>
              <w:top w:val="single" w:sz="4" w:space="0" w:color="auto"/>
              <w:left w:val="single" w:sz="4" w:space="0" w:color="auto"/>
              <w:right w:val="single" w:sz="4" w:space="0" w:color="auto"/>
            </w:tcBorders>
            <w:shd w:val="clear" w:color="auto" w:fill="BFBFBF"/>
            <w:noWrap/>
            <w:vAlign w:val="center"/>
            <w:hideMark/>
          </w:tcPr>
          <w:p w14:paraId="72904EC5" w14:textId="77777777" w:rsidR="0011043C" w:rsidRPr="00D2011C" w:rsidRDefault="0011043C" w:rsidP="00EC1043">
            <w:pPr>
              <w:rPr>
                <w:rFonts w:cs="Arial"/>
                <w:b/>
                <w:bCs/>
                <w:sz w:val="18"/>
                <w:szCs w:val="18"/>
              </w:rPr>
            </w:pPr>
            <w:r w:rsidRPr="00D2011C">
              <w:rPr>
                <w:rFonts w:cs="Arial"/>
                <w:b/>
                <w:bCs/>
                <w:sz w:val="18"/>
                <w:szCs w:val="18"/>
              </w:rPr>
              <w:t>Rok</w:t>
            </w:r>
          </w:p>
        </w:tc>
        <w:tc>
          <w:tcPr>
            <w:tcW w:w="1575" w:type="dxa"/>
            <w:gridSpan w:val="2"/>
            <w:vMerge w:val="restart"/>
            <w:tcBorders>
              <w:top w:val="single" w:sz="4" w:space="0" w:color="auto"/>
              <w:left w:val="nil"/>
              <w:right w:val="single" w:sz="4" w:space="0" w:color="auto"/>
            </w:tcBorders>
            <w:shd w:val="clear" w:color="auto" w:fill="BFBFBF"/>
            <w:noWrap/>
            <w:vAlign w:val="center"/>
            <w:hideMark/>
          </w:tcPr>
          <w:p w14:paraId="252ADBB2" w14:textId="77777777" w:rsidR="0011043C" w:rsidRPr="00D2011C" w:rsidRDefault="0011043C" w:rsidP="00EC1043">
            <w:pPr>
              <w:jc w:val="center"/>
              <w:rPr>
                <w:rFonts w:cs="Arial"/>
                <w:b/>
                <w:bCs/>
                <w:sz w:val="18"/>
                <w:szCs w:val="18"/>
              </w:rPr>
            </w:pPr>
            <w:r w:rsidRPr="00D2011C">
              <w:rPr>
                <w:rFonts w:cs="Arial"/>
                <w:b/>
                <w:bCs/>
                <w:sz w:val="18"/>
                <w:szCs w:val="18"/>
              </w:rPr>
              <w:t>Produkce</w:t>
            </w:r>
          </w:p>
          <w:p w14:paraId="783B0684" w14:textId="77777777" w:rsidR="0011043C" w:rsidRPr="00D2011C" w:rsidRDefault="0011043C" w:rsidP="00EC1043">
            <w:pPr>
              <w:jc w:val="center"/>
              <w:rPr>
                <w:rFonts w:cs="Arial"/>
                <w:b/>
                <w:bCs/>
                <w:sz w:val="18"/>
                <w:szCs w:val="18"/>
              </w:rPr>
            </w:pPr>
            <w:r w:rsidRPr="00D2011C">
              <w:rPr>
                <w:rFonts w:cs="Arial"/>
                <w:b/>
                <w:bCs/>
                <w:sz w:val="18"/>
                <w:szCs w:val="18"/>
              </w:rPr>
              <w:t>celkem</w:t>
            </w:r>
          </w:p>
        </w:tc>
        <w:tc>
          <w:tcPr>
            <w:tcW w:w="6520" w:type="dxa"/>
            <w:gridSpan w:val="3"/>
            <w:tcBorders>
              <w:top w:val="single" w:sz="4" w:space="0" w:color="auto"/>
              <w:left w:val="nil"/>
              <w:bottom w:val="single" w:sz="4" w:space="0" w:color="auto"/>
              <w:right w:val="single" w:sz="4" w:space="0" w:color="000000"/>
            </w:tcBorders>
            <w:shd w:val="clear" w:color="auto" w:fill="BFBFBF"/>
            <w:noWrap/>
            <w:vAlign w:val="center"/>
            <w:hideMark/>
          </w:tcPr>
          <w:p w14:paraId="0B75E167" w14:textId="0DB4646C" w:rsidR="0011043C" w:rsidRPr="00D2011C" w:rsidRDefault="0011043C" w:rsidP="00EC1043">
            <w:pPr>
              <w:jc w:val="center"/>
              <w:rPr>
                <w:rFonts w:cs="Arial"/>
                <w:b/>
                <w:bCs/>
                <w:sz w:val="18"/>
                <w:szCs w:val="18"/>
              </w:rPr>
            </w:pPr>
            <w:r w:rsidRPr="00D2011C">
              <w:rPr>
                <w:rFonts w:cs="Arial"/>
                <w:b/>
                <w:bCs/>
                <w:sz w:val="18"/>
                <w:szCs w:val="18"/>
              </w:rPr>
              <w:t xml:space="preserve">Z </w:t>
            </w:r>
            <w:r w:rsidR="00991C9C" w:rsidRPr="00D2011C">
              <w:rPr>
                <w:rFonts w:cs="Arial"/>
                <w:b/>
                <w:bCs/>
                <w:sz w:val="18"/>
                <w:szCs w:val="18"/>
              </w:rPr>
              <w:t>toho *</w:t>
            </w:r>
            <w:r w:rsidRPr="00D2011C">
              <w:rPr>
                <w:rFonts w:cs="Arial"/>
                <w:b/>
                <w:bCs/>
                <w:sz w:val="18"/>
                <w:szCs w:val="18"/>
                <w:vertAlign w:val="superscript"/>
              </w:rPr>
              <w:t>)</w:t>
            </w:r>
          </w:p>
        </w:tc>
      </w:tr>
      <w:tr w:rsidR="0011043C" w:rsidRPr="00D2011C" w14:paraId="2595837F" w14:textId="77777777" w:rsidTr="00EC1043">
        <w:trPr>
          <w:trHeight w:val="20"/>
        </w:trPr>
        <w:tc>
          <w:tcPr>
            <w:tcW w:w="992" w:type="dxa"/>
            <w:vMerge/>
            <w:tcBorders>
              <w:left w:val="single" w:sz="4" w:space="0" w:color="auto"/>
              <w:right w:val="single" w:sz="4" w:space="0" w:color="auto"/>
            </w:tcBorders>
            <w:shd w:val="clear" w:color="auto" w:fill="BFBFBF"/>
            <w:noWrap/>
            <w:vAlign w:val="bottom"/>
            <w:hideMark/>
          </w:tcPr>
          <w:p w14:paraId="09DB8650" w14:textId="77777777" w:rsidR="0011043C" w:rsidRPr="00D2011C" w:rsidRDefault="0011043C" w:rsidP="00EC1043">
            <w:pPr>
              <w:rPr>
                <w:rFonts w:cs="Arial"/>
                <w:b/>
                <w:bCs/>
                <w:sz w:val="18"/>
                <w:szCs w:val="18"/>
              </w:rPr>
            </w:pPr>
          </w:p>
        </w:tc>
        <w:tc>
          <w:tcPr>
            <w:tcW w:w="1575" w:type="dxa"/>
            <w:gridSpan w:val="2"/>
            <w:vMerge/>
            <w:tcBorders>
              <w:left w:val="nil"/>
              <w:bottom w:val="single" w:sz="4" w:space="0" w:color="auto"/>
              <w:right w:val="single" w:sz="4" w:space="0" w:color="auto"/>
            </w:tcBorders>
            <w:shd w:val="clear" w:color="auto" w:fill="BFBFBF"/>
            <w:noWrap/>
            <w:vAlign w:val="bottom"/>
            <w:hideMark/>
          </w:tcPr>
          <w:p w14:paraId="45BC55FF" w14:textId="77777777" w:rsidR="0011043C" w:rsidRPr="00D2011C" w:rsidRDefault="0011043C" w:rsidP="00EC1043">
            <w:pPr>
              <w:jc w:val="center"/>
              <w:rPr>
                <w:rFonts w:cs="Arial"/>
                <w:b/>
                <w:bCs/>
                <w:sz w:val="18"/>
                <w:szCs w:val="18"/>
              </w:rPr>
            </w:pPr>
          </w:p>
        </w:tc>
        <w:tc>
          <w:tcPr>
            <w:tcW w:w="2268" w:type="dxa"/>
            <w:tcBorders>
              <w:top w:val="nil"/>
              <w:left w:val="nil"/>
              <w:bottom w:val="single" w:sz="4" w:space="0" w:color="auto"/>
              <w:right w:val="single" w:sz="4" w:space="0" w:color="auto"/>
            </w:tcBorders>
            <w:shd w:val="clear" w:color="auto" w:fill="BFBFBF"/>
            <w:noWrap/>
            <w:vAlign w:val="bottom"/>
            <w:hideMark/>
          </w:tcPr>
          <w:p w14:paraId="653BF48C" w14:textId="77777777" w:rsidR="0011043C" w:rsidRPr="00D2011C" w:rsidRDefault="0011043C" w:rsidP="00EC1043">
            <w:pPr>
              <w:jc w:val="center"/>
              <w:rPr>
                <w:rFonts w:cs="Arial"/>
                <w:b/>
                <w:bCs/>
                <w:sz w:val="18"/>
                <w:szCs w:val="18"/>
              </w:rPr>
            </w:pPr>
            <w:r w:rsidRPr="00D2011C">
              <w:rPr>
                <w:rFonts w:cs="Arial"/>
                <w:b/>
                <w:bCs/>
                <w:sz w:val="18"/>
                <w:szCs w:val="18"/>
              </w:rPr>
              <w:t>prodej živých ryb</w:t>
            </w:r>
          </w:p>
          <w:p w14:paraId="482181B1" w14:textId="77777777" w:rsidR="0011043C" w:rsidRPr="00D2011C" w:rsidRDefault="0011043C" w:rsidP="00EC1043">
            <w:pPr>
              <w:jc w:val="center"/>
              <w:rPr>
                <w:rFonts w:cs="Arial"/>
                <w:b/>
                <w:bCs/>
                <w:sz w:val="18"/>
                <w:szCs w:val="18"/>
              </w:rPr>
            </w:pPr>
            <w:r w:rsidRPr="00D2011C">
              <w:rPr>
                <w:rFonts w:cs="Arial"/>
                <w:b/>
                <w:bCs/>
                <w:sz w:val="18"/>
                <w:szCs w:val="18"/>
              </w:rPr>
              <w:t>v tuzemsku</w:t>
            </w:r>
          </w:p>
        </w:tc>
        <w:tc>
          <w:tcPr>
            <w:tcW w:w="2126" w:type="dxa"/>
            <w:tcBorders>
              <w:top w:val="nil"/>
              <w:left w:val="nil"/>
              <w:bottom w:val="single" w:sz="4" w:space="0" w:color="auto"/>
              <w:right w:val="nil"/>
            </w:tcBorders>
            <w:shd w:val="clear" w:color="auto" w:fill="BFBFBF"/>
            <w:noWrap/>
            <w:vAlign w:val="bottom"/>
            <w:hideMark/>
          </w:tcPr>
          <w:p w14:paraId="48792D2E" w14:textId="77777777" w:rsidR="0011043C" w:rsidRPr="00D2011C" w:rsidRDefault="0011043C" w:rsidP="00EC1043">
            <w:pPr>
              <w:jc w:val="center"/>
              <w:rPr>
                <w:rFonts w:cs="Arial"/>
                <w:b/>
                <w:bCs/>
                <w:sz w:val="18"/>
                <w:szCs w:val="18"/>
              </w:rPr>
            </w:pPr>
            <w:r w:rsidRPr="00D2011C">
              <w:rPr>
                <w:rFonts w:cs="Arial"/>
                <w:b/>
                <w:bCs/>
                <w:sz w:val="18"/>
                <w:szCs w:val="18"/>
              </w:rPr>
              <w:t>zpracované ryby</w:t>
            </w:r>
          </w:p>
          <w:p w14:paraId="6BC71B4B" w14:textId="77777777" w:rsidR="0011043C" w:rsidRPr="00D2011C" w:rsidRDefault="0011043C" w:rsidP="00EC1043">
            <w:pPr>
              <w:jc w:val="center"/>
              <w:rPr>
                <w:rFonts w:cs="Arial"/>
                <w:b/>
                <w:bCs/>
                <w:sz w:val="18"/>
                <w:szCs w:val="18"/>
              </w:rPr>
            </w:pPr>
            <w:r w:rsidRPr="00D2011C">
              <w:rPr>
                <w:rFonts w:cs="Arial"/>
                <w:b/>
                <w:bCs/>
                <w:sz w:val="18"/>
                <w:szCs w:val="18"/>
              </w:rPr>
              <w:t>(živá hmotnost)</w:t>
            </w:r>
          </w:p>
        </w:tc>
        <w:tc>
          <w:tcPr>
            <w:tcW w:w="2126" w:type="dxa"/>
            <w:tcBorders>
              <w:top w:val="nil"/>
              <w:left w:val="single" w:sz="4" w:space="0" w:color="auto"/>
              <w:bottom w:val="single" w:sz="4" w:space="0" w:color="auto"/>
              <w:right w:val="single" w:sz="4" w:space="0" w:color="auto"/>
            </w:tcBorders>
            <w:shd w:val="clear" w:color="auto" w:fill="BFBFBF"/>
            <w:noWrap/>
            <w:vAlign w:val="bottom"/>
            <w:hideMark/>
          </w:tcPr>
          <w:p w14:paraId="506F076D" w14:textId="77777777" w:rsidR="0011043C" w:rsidRPr="00D2011C" w:rsidRDefault="0011043C" w:rsidP="00EC1043">
            <w:pPr>
              <w:jc w:val="center"/>
              <w:rPr>
                <w:rFonts w:cs="Arial"/>
                <w:b/>
                <w:bCs/>
                <w:sz w:val="18"/>
                <w:szCs w:val="18"/>
              </w:rPr>
            </w:pPr>
            <w:r w:rsidRPr="00D2011C">
              <w:rPr>
                <w:rFonts w:cs="Arial"/>
                <w:b/>
                <w:bCs/>
                <w:sz w:val="18"/>
                <w:szCs w:val="18"/>
              </w:rPr>
              <w:t>vývoz</w:t>
            </w:r>
          </w:p>
          <w:p w14:paraId="4E7CD21D" w14:textId="77777777" w:rsidR="0011043C" w:rsidRPr="00D2011C" w:rsidRDefault="0011043C" w:rsidP="00EC1043">
            <w:pPr>
              <w:jc w:val="center"/>
              <w:rPr>
                <w:rFonts w:cs="Arial"/>
                <w:b/>
                <w:bCs/>
                <w:sz w:val="18"/>
                <w:szCs w:val="18"/>
              </w:rPr>
            </w:pPr>
            <w:r w:rsidRPr="00D2011C">
              <w:rPr>
                <w:rFonts w:cs="Arial"/>
                <w:b/>
                <w:bCs/>
                <w:sz w:val="18"/>
                <w:szCs w:val="18"/>
              </w:rPr>
              <w:t>živých ryb</w:t>
            </w:r>
          </w:p>
        </w:tc>
      </w:tr>
      <w:tr w:rsidR="0011043C" w:rsidRPr="00D2011C" w14:paraId="17B56CBE" w14:textId="77777777" w:rsidTr="00EC1043">
        <w:trPr>
          <w:trHeight w:val="20"/>
        </w:trPr>
        <w:tc>
          <w:tcPr>
            <w:tcW w:w="992" w:type="dxa"/>
            <w:vMerge/>
            <w:tcBorders>
              <w:left w:val="single" w:sz="4" w:space="0" w:color="auto"/>
              <w:bottom w:val="single" w:sz="4" w:space="0" w:color="auto"/>
              <w:right w:val="single" w:sz="4" w:space="0" w:color="auto"/>
            </w:tcBorders>
            <w:shd w:val="clear" w:color="auto" w:fill="BFBFBF"/>
            <w:noWrap/>
            <w:vAlign w:val="bottom"/>
          </w:tcPr>
          <w:p w14:paraId="73E25442" w14:textId="77777777" w:rsidR="0011043C" w:rsidRPr="00D2011C" w:rsidRDefault="0011043C" w:rsidP="00EC1043">
            <w:pPr>
              <w:rPr>
                <w:rFonts w:cs="Arial"/>
                <w:b/>
                <w:bCs/>
                <w:sz w:val="18"/>
                <w:szCs w:val="18"/>
              </w:rPr>
            </w:pPr>
          </w:p>
        </w:tc>
        <w:tc>
          <w:tcPr>
            <w:tcW w:w="8095" w:type="dxa"/>
            <w:gridSpan w:val="5"/>
            <w:tcBorders>
              <w:top w:val="nil"/>
              <w:left w:val="nil"/>
              <w:bottom w:val="single" w:sz="4" w:space="0" w:color="auto"/>
              <w:right w:val="single" w:sz="4" w:space="0" w:color="auto"/>
            </w:tcBorders>
            <w:shd w:val="clear" w:color="auto" w:fill="BFBFBF"/>
            <w:noWrap/>
            <w:vAlign w:val="center"/>
          </w:tcPr>
          <w:p w14:paraId="4CC75FDD" w14:textId="77777777" w:rsidR="0011043C" w:rsidRPr="00D2011C" w:rsidRDefault="0011043C" w:rsidP="00EC1043">
            <w:pPr>
              <w:tabs>
                <w:tab w:val="left" w:pos="764"/>
                <w:tab w:val="center" w:pos="906"/>
              </w:tabs>
              <w:ind w:right="638"/>
              <w:jc w:val="center"/>
              <w:rPr>
                <w:rFonts w:cs="Arial"/>
                <w:b/>
                <w:sz w:val="18"/>
                <w:szCs w:val="18"/>
              </w:rPr>
            </w:pPr>
            <w:r w:rsidRPr="00D2011C">
              <w:rPr>
                <w:rFonts w:cs="Arial"/>
                <w:b/>
                <w:sz w:val="18"/>
                <w:szCs w:val="18"/>
              </w:rPr>
              <w:t>tis. tun</w:t>
            </w:r>
          </w:p>
        </w:tc>
      </w:tr>
      <w:tr w:rsidR="0011043C" w:rsidRPr="00D2011C" w14:paraId="18A5F0DE" w14:textId="77777777" w:rsidTr="00EC1043">
        <w:trPr>
          <w:trHeight w:val="20"/>
        </w:trPr>
        <w:tc>
          <w:tcPr>
            <w:tcW w:w="992" w:type="dxa"/>
            <w:tcBorders>
              <w:top w:val="single" w:sz="4" w:space="0" w:color="auto"/>
              <w:left w:val="single" w:sz="4" w:space="0" w:color="auto"/>
              <w:bottom w:val="single" w:sz="4" w:space="0" w:color="auto"/>
              <w:right w:val="single" w:sz="4" w:space="0" w:color="auto"/>
            </w:tcBorders>
            <w:shd w:val="clear" w:color="auto" w:fill="BFBFBF"/>
            <w:noWrap/>
            <w:vAlign w:val="bottom"/>
          </w:tcPr>
          <w:p w14:paraId="26196521" w14:textId="77777777" w:rsidR="0011043C" w:rsidRPr="00D2011C" w:rsidRDefault="0011043C" w:rsidP="00EC1043">
            <w:pPr>
              <w:rPr>
                <w:rFonts w:cs="Arial"/>
                <w:b/>
                <w:bCs/>
                <w:sz w:val="18"/>
                <w:szCs w:val="18"/>
              </w:rPr>
            </w:pPr>
            <w:r w:rsidRPr="00D2011C">
              <w:rPr>
                <w:rFonts w:cs="Arial"/>
                <w:b/>
                <w:bCs/>
                <w:sz w:val="18"/>
                <w:szCs w:val="18"/>
              </w:rPr>
              <w:t>2013</w:t>
            </w:r>
          </w:p>
        </w:tc>
        <w:tc>
          <w:tcPr>
            <w:tcW w:w="1575" w:type="dxa"/>
            <w:gridSpan w:val="2"/>
            <w:tcBorders>
              <w:top w:val="single" w:sz="4" w:space="0" w:color="auto"/>
              <w:left w:val="nil"/>
              <w:bottom w:val="single" w:sz="4" w:space="0" w:color="auto"/>
              <w:right w:val="single" w:sz="4" w:space="0" w:color="auto"/>
            </w:tcBorders>
            <w:noWrap/>
            <w:vAlign w:val="bottom"/>
          </w:tcPr>
          <w:p w14:paraId="37496DFE" w14:textId="77777777" w:rsidR="0011043C" w:rsidRPr="00D2011C" w:rsidRDefault="0011043C" w:rsidP="00EC1043">
            <w:pPr>
              <w:jc w:val="center"/>
              <w:rPr>
                <w:rFonts w:cs="Arial"/>
                <w:sz w:val="18"/>
                <w:szCs w:val="18"/>
              </w:rPr>
            </w:pPr>
            <w:r w:rsidRPr="00D2011C">
              <w:rPr>
                <w:rFonts w:cs="Arial"/>
                <w:sz w:val="18"/>
                <w:szCs w:val="18"/>
              </w:rPr>
              <w:t>19,4</w:t>
            </w:r>
          </w:p>
        </w:tc>
        <w:tc>
          <w:tcPr>
            <w:tcW w:w="2268" w:type="dxa"/>
            <w:tcBorders>
              <w:top w:val="single" w:sz="4" w:space="0" w:color="auto"/>
              <w:left w:val="nil"/>
              <w:bottom w:val="single" w:sz="4" w:space="0" w:color="auto"/>
              <w:right w:val="single" w:sz="4" w:space="0" w:color="auto"/>
            </w:tcBorders>
            <w:noWrap/>
            <w:vAlign w:val="bottom"/>
          </w:tcPr>
          <w:p w14:paraId="170D7C4C" w14:textId="77777777" w:rsidR="0011043C" w:rsidRPr="00D2011C" w:rsidRDefault="0011043C" w:rsidP="00EC1043">
            <w:pPr>
              <w:jc w:val="center"/>
              <w:rPr>
                <w:rFonts w:cs="Arial"/>
                <w:sz w:val="18"/>
                <w:szCs w:val="18"/>
              </w:rPr>
            </w:pPr>
            <w:r w:rsidRPr="00D2011C">
              <w:rPr>
                <w:rFonts w:cs="Arial"/>
                <w:sz w:val="18"/>
                <w:szCs w:val="18"/>
              </w:rPr>
              <w:t>9,0</w:t>
            </w:r>
          </w:p>
        </w:tc>
        <w:tc>
          <w:tcPr>
            <w:tcW w:w="2126" w:type="dxa"/>
            <w:tcBorders>
              <w:top w:val="single" w:sz="4" w:space="0" w:color="auto"/>
              <w:left w:val="nil"/>
              <w:bottom w:val="single" w:sz="4" w:space="0" w:color="auto"/>
              <w:right w:val="single" w:sz="4" w:space="0" w:color="auto"/>
            </w:tcBorders>
            <w:noWrap/>
            <w:vAlign w:val="bottom"/>
          </w:tcPr>
          <w:p w14:paraId="7B662CF9" w14:textId="77777777" w:rsidR="0011043C" w:rsidRPr="00D2011C" w:rsidRDefault="0011043C" w:rsidP="00EC1043">
            <w:pPr>
              <w:jc w:val="center"/>
              <w:rPr>
                <w:rFonts w:cs="Arial"/>
                <w:sz w:val="18"/>
                <w:szCs w:val="18"/>
              </w:rPr>
            </w:pPr>
            <w:r w:rsidRPr="00D2011C">
              <w:rPr>
                <w:rFonts w:cs="Arial"/>
                <w:sz w:val="18"/>
                <w:szCs w:val="18"/>
              </w:rPr>
              <w:t>2,4</w:t>
            </w:r>
          </w:p>
        </w:tc>
        <w:tc>
          <w:tcPr>
            <w:tcW w:w="2126" w:type="dxa"/>
            <w:tcBorders>
              <w:top w:val="single" w:sz="4" w:space="0" w:color="auto"/>
              <w:left w:val="nil"/>
              <w:bottom w:val="single" w:sz="4" w:space="0" w:color="auto"/>
              <w:right w:val="single" w:sz="4" w:space="0" w:color="auto"/>
            </w:tcBorders>
            <w:noWrap/>
            <w:vAlign w:val="bottom"/>
          </w:tcPr>
          <w:p w14:paraId="19D84398" w14:textId="77777777" w:rsidR="0011043C" w:rsidRPr="00D2011C" w:rsidRDefault="0011043C" w:rsidP="00EC1043">
            <w:pPr>
              <w:tabs>
                <w:tab w:val="left" w:pos="0"/>
              </w:tabs>
              <w:jc w:val="center"/>
              <w:rPr>
                <w:rFonts w:cs="Arial"/>
                <w:sz w:val="18"/>
                <w:szCs w:val="18"/>
              </w:rPr>
            </w:pPr>
            <w:r w:rsidRPr="00D2011C">
              <w:rPr>
                <w:rFonts w:cs="Arial"/>
                <w:sz w:val="18"/>
                <w:szCs w:val="18"/>
              </w:rPr>
              <w:t>8,4</w:t>
            </w:r>
          </w:p>
        </w:tc>
      </w:tr>
      <w:tr w:rsidR="0011043C" w:rsidRPr="00D2011C" w14:paraId="19976309" w14:textId="77777777" w:rsidTr="00EC1043">
        <w:trPr>
          <w:trHeight w:val="20"/>
        </w:trPr>
        <w:tc>
          <w:tcPr>
            <w:tcW w:w="992" w:type="dxa"/>
            <w:tcBorders>
              <w:top w:val="single" w:sz="4" w:space="0" w:color="auto"/>
              <w:left w:val="single" w:sz="4" w:space="0" w:color="auto"/>
              <w:bottom w:val="single" w:sz="4" w:space="0" w:color="auto"/>
              <w:right w:val="single" w:sz="4" w:space="0" w:color="auto"/>
            </w:tcBorders>
            <w:shd w:val="clear" w:color="auto" w:fill="BFBFBF"/>
            <w:noWrap/>
            <w:vAlign w:val="bottom"/>
          </w:tcPr>
          <w:p w14:paraId="3116358A" w14:textId="77777777" w:rsidR="0011043C" w:rsidRPr="00D2011C" w:rsidRDefault="0011043C" w:rsidP="00EC1043">
            <w:pPr>
              <w:rPr>
                <w:rFonts w:cs="Arial"/>
                <w:b/>
                <w:bCs/>
                <w:sz w:val="18"/>
                <w:szCs w:val="18"/>
              </w:rPr>
            </w:pPr>
            <w:r w:rsidRPr="00D2011C">
              <w:rPr>
                <w:rFonts w:cs="Arial"/>
                <w:b/>
                <w:bCs/>
                <w:sz w:val="18"/>
                <w:szCs w:val="18"/>
              </w:rPr>
              <w:t>2014</w:t>
            </w:r>
          </w:p>
        </w:tc>
        <w:tc>
          <w:tcPr>
            <w:tcW w:w="1575" w:type="dxa"/>
            <w:gridSpan w:val="2"/>
            <w:tcBorders>
              <w:top w:val="single" w:sz="4" w:space="0" w:color="auto"/>
              <w:left w:val="nil"/>
              <w:bottom w:val="single" w:sz="4" w:space="0" w:color="auto"/>
              <w:right w:val="single" w:sz="4" w:space="0" w:color="auto"/>
            </w:tcBorders>
            <w:noWrap/>
            <w:vAlign w:val="bottom"/>
          </w:tcPr>
          <w:p w14:paraId="3C10AE26" w14:textId="77777777" w:rsidR="0011043C" w:rsidRPr="00D2011C" w:rsidRDefault="0011043C" w:rsidP="00EC1043">
            <w:pPr>
              <w:jc w:val="center"/>
              <w:rPr>
                <w:rFonts w:cs="Arial"/>
                <w:sz w:val="18"/>
                <w:szCs w:val="18"/>
              </w:rPr>
            </w:pPr>
            <w:r w:rsidRPr="00D2011C">
              <w:rPr>
                <w:rFonts w:cs="Arial"/>
                <w:sz w:val="18"/>
                <w:szCs w:val="18"/>
              </w:rPr>
              <w:t>20,1</w:t>
            </w:r>
          </w:p>
        </w:tc>
        <w:tc>
          <w:tcPr>
            <w:tcW w:w="2268" w:type="dxa"/>
            <w:tcBorders>
              <w:top w:val="single" w:sz="4" w:space="0" w:color="auto"/>
              <w:left w:val="nil"/>
              <w:bottom w:val="single" w:sz="4" w:space="0" w:color="auto"/>
              <w:right w:val="single" w:sz="4" w:space="0" w:color="auto"/>
            </w:tcBorders>
            <w:noWrap/>
            <w:vAlign w:val="bottom"/>
          </w:tcPr>
          <w:p w14:paraId="66F5B86D" w14:textId="77777777" w:rsidR="0011043C" w:rsidRPr="00D2011C" w:rsidRDefault="0011043C" w:rsidP="00EC1043">
            <w:pPr>
              <w:jc w:val="center"/>
              <w:rPr>
                <w:rFonts w:cs="Arial"/>
                <w:sz w:val="18"/>
                <w:szCs w:val="18"/>
              </w:rPr>
            </w:pPr>
            <w:r w:rsidRPr="00D2011C">
              <w:rPr>
                <w:rFonts w:cs="Arial"/>
                <w:sz w:val="18"/>
                <w:szCs w:val="18"/>
              </w:rPr>
              <w:t>8,5</w:t>
            </w:r>
          </w:p>
        </w:tc>
        <w:tc>
          <w:tcPr>
            <w:tcW w:w="2126" w:type="dxa"/>
            <w:tcBorders>
              <w:top w:val="single" w:sz="4" w:space="0" w:color="auto"/>
              <w:left w:val="nil"/>
              <w:bottom w:val="single" w:sz="4" w:space="0" w:color="auto"/>
              <w:right w:val="single" w:sz="4" w:space="0" w:color="auto"/>
            </w:tcBorders>
            <w:noWrap/>
            <w:vAlign w:val="bottom"/>
          </w:tcPr>
          <w:p w14:paraId="7BB11884" w14:textId="77777777" w:rsidR="0011043C" w:rsidRPr="00D2011C" w:rsidRDefault="0011043C" w:rsidP="00EC1043">
            <w:pPr>
              <w:jc w:val="center"/>
              <w:rPr>
                <w:rFonts w:cs="Arial"/>
                <w:sz w:val="18"/>
                <w:szCs w:val="18"/>
              </w:rPr>
            </w:pPr>
            <w:r w:rsidRPr="00D2011C">
              <w:rPr>
                <w:rFonts w:cs="Arial"/>
                <w:sz w:val="18"/>
                <w:szCs w:val="18"/>
              </w:rPr>
              <w:t>2,1</w:t>
            </w:r>
          </w:p>
        </w:tc>
        <w:tc>
          <w:tcPr>
            <w:tcW w:w="2126" w:type="dxa"/>
            <w:tcBorders>
              <w:top w:val="single" w:sz="4" w:space="0" w:color="auto"/>
              <w:left w:val="nil"/>
              <w:bottom w:val="single" w:sz="4" w:space="0" w:color="auto"/>
              <w:right w:val="single" w:sz="4" w:space="0" w:color="auto"/>
            </w:tcBorders>
            <w:noWrap/>
            <w:vAlign w:val="bottom"/>
          </w:tcPr>
          <w:p w14:paraId="540687DF" w14:textId="77777777" w:rsidR="0011043C" w:rsidRPr="00D2011C" w:rsidRDefault="0011043C" w:rsidP="00EC1043">
            <w:pPr>
              <w:tabs>
                <w:tab w:val="left" w:pos="0"/>
              </w:tabs>
              <w:jc w:val="center"/>
              <w:rPr>
                <w:rFonts w:cs="Arial"/>
                <w:sz w:val="18"/>
                <w:szCs w:val="18"/>
              </w:rPr>
            </w:pPr>
            <w:r w:rsidRPr="00D2011C">
              <w:rPr>
                <w:rFonts w:cs="Arial"/>
                <w:sz w:val="18"/>
                <w:szCs w:val="18"/>
              </w:rPr>
              <w:t>8,4</w:t>
            </w:r>
          </w:p>
        </w:tc>
      </w:tr>
      <w:tr w:rsidR="0011043C" w:rsidRPr="00D2011C" w14:paraId="657D1C13" w14:textId="77777777" w:rsidTr="00EC1043">
        <w:trPr>
          <w:trHeight w:val="20"/>
        </w:trPr>
        <w:tc>
          <w:tcPr>
            <w:tcW w:w="992"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5FBF0EC2" w14:textId="77777777" w:rsidR="0011043C" w:rsidRPr="00D2011C" w:rsidRDefault="0011043C" w:rsidP="00EC1043">
            <w:pPr>
              <w:rPr>
                <w:rFonts w:cs="Arial"/>
                <w:b/>
                <w:bCs/>
                <w:sz w:val="18"/>
                <w:szCs w:val="18"/>
              </w:rPr>
            </w:pPr>
            <w:r w:rsidRPr="00D2011C">
              <w:rPr>
                <w:rFonts w:cs="Arial"/>
                <w:b/>
                <w:bCs/>
                <w:sz w:val="18"/>
                <w:szCs w:val="18"/>
              </w:rPr>
              <w:t>2015</w:t>
            </w:r>
          </w:p>
        </w:tc>
        <w:tc>
          <w:tcPr>
            <w:tcW w:w="1575" w:type="dxa"/>
            <w:gridSpan w:val="2"/>
            <w:tcBorders>
              <w:top w:val="single" w:sz="4" w:space="0" w:color="auto"/>
              <w:left w:val="nil"/>
              <w:bottom w:val="single" w:sz="4" w:space="0" w:color="auto"/>
              <w:right w:val="single" w:sz="4" w:space="0" w:color="auto"/>
            </w:tcBorders>
            <w:noWrap/>
            <w:vAlign w:val="center"/>
          </w:tcPr>
          <w:p w14:paraId="3FA6150C" w14:textId="77777777" w:rsidR="0011043C" w:rsidRPr="00D2011C" w:rsidRDefault="0011043C" w:rsidP="00EC1043">
            <w:pPr>
              <w:jc w:val="center"/>
              <w:rPr>
                <w:rFonts w:cs="Arial"/>
                <w:sz w:val="18"/>
                <w:szCs w:val="18"/>
              </w:rPr>
            </w:pPr>
            <w:r w:rsidRPr="00D2011C">
              <w:rPr>
                <w:rFonts w:cs="Arial"/>
                <w:sz w:val="18"/>
                <w:szCs w:val="18"/>
              </w:rPr>
              <w:t>20,2</w:t>
            </w:r>
          </w:p>
        </w:tc>
        <w:tc>
          <w:tcPr>
            <w:tcW w:w="2268" w:type="dxa"/>
            <w:tcBorders>
              <w:top w:val="single" w:sz="4" w:space="0" w:color="auto"/>
              <w:left w:val="nil"/>
              <w:bottom w:val="single" w:sz="4" w:space="0" w:color="auto"/>
              <w:right w:val="single" w:sz="4" w:space="0" w:color="auto"/>
            </w:tcBorders>
            <w:noWrap/>
            <w:vAlign w:val="center"/>
          </w:tcPr>
          <w:p w14:paraId="61824EC4" w14:textId="77777777" w:rsidR="0011043C" w:rsidRPr="00D2011C" w:rsidRDefault="0011043C" w:rsidP="00EC1043">
            <w:pPr>
              <w:jc w:val="center"/>
              <w:rPr>
                <w:rFonts w:cs="Arial"/>
                <w:sz w:val="18"/>
                <w:szCs w:val="18"/>
              </w:rPr>
            </w:pPr>
            <w:r w:rsidRPr="00D2011C">
              <w:rPr>
                <w:rFonts w:cs="Arial"/>
                <w:sz w:val="18"/>
                <w:szCs w:val="18"/>
              </w:rPr>
              <w:t>9,2</w:t>
            </w:r>
          </w:p>
        </w:tc>
        <w:tc>
          <w:tcPr>
            <w:tcW w:w="2126" w:type="dxa"/>
            <w:tcBorders>
              <w:top w:val="single" w:sz="4" w:space="0" w:color="auto"/>
              <w:left w:val="nil"/>
              <w:bottom w:val="single" w:sz="4" w:space="0" w:color="auto"/>
              <w:right w:val="single" w:sz="4" w:space="0" w:color="auto"/>
            </w:tcBorders>
            <w:noWrap/>
            <w:vAlign w:val="center"/>
          </w:tcPr>
          <w:p w14:paraId="5F149423" w14:textId="77777777" w:rsidR="0011043C" w:rsidRPr="00D2011C" w:rsidRDefault="0011043C" w:rsidP="00EC1043">
            <w:pPr>
              <w:jc w:val="center"/>
              <w:rPr>
                <w:rFonts w:cs="Arial"/>
                <w:sz w:val="18"/>
                <w:szCs w:val="18"/>
              </w:rPr>
            </w:pPr>
            <w:r w:rsidRPr="00D2011C">
              <w:rPr>
                <w:rFonts w:cs="Arial"/>
                <w:sz w:val="18"/>
                <w:szCs w:val="18"/>
              </w:rPr>
              <w:t>1,9</w:t>
            </w:r>
          </w:p>
        </w:tc>
        <w:tc>
          <w:tcPr>
            <w:tcW w:w="2126" w:type="dxa"/>
            <w:tcBorders>
              <w:top w:val="single" w:sz="4" w:space="0" w:color="auto"/>
              <w:left w:val="nil"/>
              <w:bottom w:val="single" w:sz="4" w:space="0" w:color="auto"/>
              <w:right w:val="single" w:sz="4" w:space="0" w:color="auto"/>
            </w:tcBorders>
            <w:noWrap/>
            <w:vAlign w:val="center"/>
          </w:tcPr>
          <w:p w14:paraId="3383E1E0" w14:textId="77777777" w:rsidR="0011043C" w:rsidRPr="00D2011C" w:rsidRDefault="0011043C" w:rsidP="00EC1043">
            <w:pPr>
              <w:tabs>
                <w:tab w:val="left" w:pos="0"/>
              </w:tabs>
              <w:jc w:val="center"/>
              <w:rPr>
                <w:rFonts w:cs="Arial"/>
                <w:sz w:val="18"/>
                <w:szCs w:val="18"/>
              </w:rPr>
            </w:pPr>
            <w:r w:rsidRPr="00D2011C">
              <w:rPr>
                <w:rFonts w:cs="Arial"/>
                <w:sz w:val="18"/>
                <w:szCs w:val="18"/>
              </w:rPr>
              <w:t>9,9</w:t>
            </w:r>
          </w:p>
        </w:tc>
      </w:tr>
      <w:tr w:rsidR="0011043C" w:rsidRPr="00D2011C" w14:paraId="1B2A0C99" w14:textId="77777777" w:rsidTr="00EC1043">
        <w:trPr>
          <w:trHeight w:val="20"/>
        </w:trPr>
        <w:tc>
          <w:tcPr>
            <w:tcW w:w="992"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0BAAEC9B" w14:textId="77777777" w:rsidR="0011043C" w:rsidRPr="00D2011C" w:rsidRDefault="0011043C" w:rsidP="00EC1043">
            <w:pPr>
              <w:rPr>
                <w:rFonts w:cs="Arial"/>
                <w:b/>
                <w:bCs/>
                <w:sz w:val="18"/>
                <w:szCs w:val="18"/>
              </w:rPr>
            </w:pPr>
            <w:r w:rsidRPr="00D2011C">
              <w:rPr>
                <w:rFonts w:cs="Arial"/>
                <w:b/>
                <w:bCs/>
                <w:sz w:val="18"/>
                <w:szCs w:val="18"/>
              </w:rPr>
              <w:t>2016</w:t>
            </w:r>
          </w:p>
        </w:tc>
        <w:tc>
          <w:tcPr>
            <w:tcW w:w="1575" w:type="dxa"/>
            <w:gridSpan w:val="2"/>
            <w:tcBorders>
              <w:top w:val="single" w:sz="4" w:space="0" w:color="auto"/>
              <w:left w:val="nil"/>
              <w:bottom w:val="single" w:sz="4" w:space="0" w:color="auto"/>
              <w:right w:val="single" w:sz="4" w:space="0" w:color="auto"/>
            </w:tcBorders>
            <w:noWrap/>
          </w:tcPr>
          <w:p w14:paraId="3743B8C5" w14:textId="77777777" w:rsidR="0011043C" w:rsidRPr="00D2011C" w:rsidRDefault="0011043C" w:rsidP="00EC1043">
            <w:pPr>
              <w:jc w:val="center"/>
              <w:rPr>
                <w:sz w:val="18"/>
                <w:szCs w:val="18"/>
              </w:rPr>
            </w:pPr>
            <w:r w:rsidRPr="00D2011C">
              <w:rPr>
                <w:sz w:val="18"/>
                <w:szCs w:val="18"/>
              </w:rPr>
              <w:t>21,0</w:t>
            </w:r>
          </w:p>
        </w:tc>
        <w:tc>
          <w:tcPr>
            <w:tcW w:w="2268" w:type="dxa"/>
            <w:tcBorders>
              <w:top w:val="single" w:sz="4" w:space="0" w:color="auto"/>
              <w:left w:val="nil"/>
              <w:bottom w:val="single" w:sz="4" w:space="0" w:color="auto"/>
              <w:right w:val="single" w:sz="4" w:space="0" w:color="auto"/>
            </w:tcBorders>
            <w:noWrap/>
          </w:tcPr>
          <w:p w14:paraId="3C143BD4" w14:textId="77777777" w:rsidR="0011043C" w:rsidRPr="00D2011C" w:rsidRDefault="0011043C" w:rsidP="00EC1043">
            <w:pPr>
              <w:jc w:val="center"/>
              <w:rPr>
                <w:sz w:val="18"/>
                <w:szCs w:val="18"/>
              </w:rPr>
            </w:pPr>
            <w:r w:rsidRPr="00D2011C">
              <w:rPr>
                <w:sz w:val="18"/>
                <w:szCs w:val="18"/>
              </w:rPr>
              <w:t>8,3</w:t>
            </w:r>
          </w:p>
        </w:tc>
        <w:tc>
          <w:tcPr>
            <w:tcW w:w="2126" w:type="dxa"/>
            <w:tcBorders>
              <w:top w:val="single" w:sz="4" w:space="0" w:color="auto"/>
              <w:left w:val="nil"/>
              <w:bottom w:val="single" w:sz="4" w:space="0" w:color="auto"/>
              <w:right w:val="single" w:sz="4" w:space="0" w:color="auto"/>
            </w:tcBorders>
            <w:noWrap/>
          </w:tcPr>
          <w:p w14:paraId="6F47FAD2" w14:textId="77777777" w:rsidR="0011043C" w:rsidRPr="00D2011C" w:rsidRDefault="0011043C" w:rsidP="00EC1043">
            <w:pPr>
              <w:jc w:val="center"/>
              <w:rPr>
                <w:sz w:val="18"/>
                <w:szCs w:val="18"/>
              </w:rPr>
            </w:pPr>
            <w:r w:rsidRPr="00D2011C">
              <w:rPr>
                <w:sz w:val="18"/>
                <w:szCs w:val="18"/>
              </w:rPr>
              <w:t>2,5</w:t>
            </w:r>
          </w:p>
        </w:tc>
        <w:tc>
          <w:tcPr>
            <w:tcW w:w="2126" w:type="dxa"/>
            <w:tcBorders>
              <w:top w:val="single" w:sz="4" w:space="0" w:color="auto"/>
              <w:left w:val="nil"/>
              <w:bottom w:val="single" w:sz="4" w:space="0" w:color="auto"/>
              <w:right w:val="single" w:sz="4" w:space="0" w:color="auto"/>
            </w:tcBorders>
            <w:noWrap/>
          </w:tcPr>
          <w:p w14:paraId="376E3D14" w14:textId="77777777" w:rsidR="0011043C" w:rsidRPr="00D2011C" w:rsidRDefault="0011043C" w:rsidP="00EC1043">
            <w:pPr>
              <w:jc w:val="center"/>
              <w:rPr>
                <w:sz w:val="18"/>
                <w:szCs w:val="18"/>
              </w:rPr>
            </w:pPr>
            <w:r w:rsidRPr="00D2011C">
              <w:rPr>
                <w:sz w:val="18"/>
                <w:szCs w:val="18"/>
              </w:rPr>
              <w:t>11,0</w:t>
            </w:r>
          </w:p>
        </w:tc>
      </w:tr>
      <w:tr w:rsidR="0011043C" w:rsidRPr="00D2011C" w14:paraId="60062260" w14:textId="77777777" w:rsidTr="00EC1043">
        <w:trPr>
          <w:trHeight w:val="20"/>
        </w:trPr>
        <w:tc>
          <w:tcPr>
            <w:tcW w:w="992"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37320560" w14:textId="77777777" w:rsidR="0011043C" w:rsidRPr="00D2011C" w:rsidRDefault="0011043C" w:rsidP="00EC1043">
            <w:pPr>
              <w:rPr>
                <w:rFonts w:cs="Arial"/>
                <w:b/>
                <w:bCs/>
                <w:sz w:val="18"/>
                <w:szCs w:val="18"/>
              </w:rPr>
            </w:pPr>
            <w:r w:rsidRPr="00D2011C">
              <w:rPr>
                <w:rFonts w:cs="Arial"/>
                <w:b/>
                <w:bCs/>
                <w:sz w:val="18"/>
                <w:szCs w:val="18"/>
              </w:rPr>
              <w:t>2017</w:t>
            </w:r>
          </w:p>
        </w:tc>
        <w:tc>
          <w:tcPr>
            <w:tcW w:w="1575" w:type="dxa"/>
            <w:gridSpan w:val="2"/>
            <w:tcBorders>
              <w:top w:val="single" w:sz="4" w:space="0" w:color="auto"/>
              <w:left w:val="nil"/>
              <w:bottom w:val="single" w:sz="4" w:space="0" w:color="auto"/>
              <w:right w:val="single" w:sz="4" w:space="0" w:color="auto"/>
            </w:tcBorders>
            <w:noWrap/>
          </w:tcPr>
          <w:p w14:paraId="15050BC5" w14:textId="77777777" w:rsidR="0011043C" w:rsidRPr="00D2011C" w:rsidRDefault="0011043C" w:rsidP="00EC1043">
            <w:pPr>
              <w:jc w:val="center"/>
              <w:rPr>
                <w:sz w:val="18"/>
                <w:szCs w:val="18"/>
              </w:rPr>
            </w:pPr>
            <w:r w:rsidRPr="00D2011C">
              <w:rPr>
                <w:sz w:val="18"/>
                <w:szCs w:val="18"/>
              </w:rPr>
              <w:t>21,7</w:t>
            </w:r>
          </w:p>
        </w:tc>
        <w:tc>
          <w:tcPr>
            <w:tcW w:w="2268" w:type="dxa"/>
            <w:tcBorders>
              <w:top w:val="single" w:sz="4" w:space="0" w:color="auto"/>
              <w:left w:val="nil"/>
              <w:bottom w:val="single" w:sz="4" w:space="0" w:color="auto"/>
              <w:right w:val="single" w:sz="4" w:space="0" w:color="auto"/>
            </w:tcBorders>
            <w:noWrap/>
          </w:tcPr>
          <w:p w14:paraId="7DA13A83" w14:textId="77777777" w:rsidR="0011043C" w:rsidRPr="00D2011C" w:rsidRDefault="0011043C" w:rsidP="00EC1043">
            <w:pPr>
              <w:jc w:val="center"/>
              <w:rPr>
                <w:sz w:val="18"/>
                <w:szCs w:val="18"/>
              </w:rPr>
            </w:pPr>
            <w:r w:rsidRPr="00D2011C">
              <w:rPr>
                <w:sz w:val="18"/>
                <w:szCs w:val="18"/>
              </w:rPr>
              <w:t>8,2</w:t>
            </w:r>
          </w:p>
        </w:tc>
        <w:tc>
          <w:tcPr>
            <w:tcW w:w="2126" w:type="dxa"/>
            <w:tcBorders>
              <w:top w:val="single" w:sz="4" w:space="0" w:color="auto"/>
              <w:left w:val="nil"/>
              <w:bottom w:val="single" w:sz="4" w:space="0" w:color="auto"/>
              <w:right w:val="single" w:sz="4" w:space="0" w:color="auto"/>
            </w:tcBorders>
            <w:noWrap/>
          </w:tcPr>
          <w:p w14:paraId="2D4EAB67" w14:textId="77777777" w:rsidR="0011043C" w:rsidRPr="00D2011C" w:rsidRDefault="0011043C" w:rsidP="00EC1043">
            <w:pPr>
              <w:jc w:val="center"/>
              <w:rPr>
                <w:sz w:val="18"/>
                <w:szCs w:val="18"/>
              </w:rPr>
            </w:pPr>
            <w:r w:rsidRPr="00D2011C">
              <w:rPr>
                <w:sz w:val="18"/>
                <w:szCs w:val="18"/>
              </w:rPr>
              <w:t>2,4</w:t>
            </w:r>
          </w:p>
        </w:tc>
        <w:tc>
          <w:tcPr>
            <w:tcW w:w="2126" w:type="dxa"/>
            <w:tcBorders>
              <w:top w:val="single" w:sz="4" w:space="0" w:color="auto"/>
              <w:left w:val="nil"/>
              <w:bottom w:val="single" w:sz="4" w:space="0" w:color="auto"/>
              <w:right w:val="single" w:sz="4" w:space="0" w:color="auto"/>
            </w:tcBorders>
            <w:noWrap/>
          </w:tcPr>
          <w:p w14:paraId="3E1252FA" w14:textId="77777777" w:rsidR="0011043C" w:rsidRPr="00D2011C" w:rsidRDefault="0011043C" w:rsidP="00EC1043">
            <w:pPr>
              <w:jc w:val="center"/>
              <w:rPr>
                <w:sz w:val="18"/>
                <w:szCs w:val="18"/>
              </w:rPr>
            </w:pPr>
            <w:r w:rsidRPr="00D2011C">
              <w:rPr>
                <w:sz w:val="18"/>
                <w:szCs w:val="18"/>
              </w:rPr>
              <w:t>11,1</w:t>
            </w:r>
          </w:p>
        </w:tc>
      </w:tr>
      <w:tr w:rsidR="0011043C" w:rsidRPr="00D2011C" w14:paraId="0D3B42A9" w14:textId="77777777" w:rsidTr="00EC1043">
        <w:trPr>
          <w:trHeight w:val="20"/>
        </w:trPr>
        <w:tc>
          <w:tcPr>
            <w:tcW w:w="992" w:type="dxa"/>
            <w:tcBorders>
              <w:top w:val="single" w:sz="4" w:space="0" w:color="auto"/>
              <w:left w:val="single" w:sz="4" w:space="0" w:color="auto"/>
              <w:bottom w:val="single" w:sz="4" w:space="0" w:color="auto"/>
              <w:right w:val="single" w:sz="4" w:space="0" w:color="auto"/>
            </w:tcBorders>
            <w:shd w:val="clear" w:color="auto" w:fill="BFBFBF"/>
            <w:noWrap/>
          </w:tcPr>
          <w:p w14:paraId="6661A9BE" w14:textId="77777777" w:rsidR="0011043C" w:rsidRPr="00D2011C" w:rsidRDefault="0011043C" w:rsidP="00EC1043">
            <w:pPr>
              <w:ind w:left="15"/>
              <w:rPr>
                <w:rFonts w:cs="Arial"/>
                <w:b/>
                <w:sz w:val="18"/>
                <w:szCs w:val="18"/>
              </w:rPr>
            </w:pPr>
            <w:r w:rsidRPr="00D2011C">
              <w:rPr>
                <w:rFonts w:cs="Arial"/>
                <w:b/>
                <w:sz w:val="18"/>
                <w:szCs w:val="18"/>
              </w:rPr>
              <w:t>2018</w:t>
            </w:r>
          </w:p>
        </w:tc>
        <w:tc>
          <w:tcPr>
            <w:tcW w:w="1575" w:type="dxa"/>
            <w:gridSpan w:val="2"/>
            <w:tcBorders>
              <w:top w:val="single" w:sz="4" w:space="0" w:color="auto"/>
              <w:left w:val="nil"/>
              <w:bottom w:val="single" w:sz="4" w:space="0" w:color="auto"/>
              <w:right w:val="single" w:sz="4" w:space="0" w:color="auto"/>
            </w:tcBorders>
            <w:noWrap/>
          </w:tcPr>
          <w:p w14:paraId="4BB9DB4E" w14:textId="77777777" w:rsidR="0011043C" w:rsidRPr="00D2011C" w:rsidRDefault="0011043C" w:rsidP="00EC1043">
            <w:pPr>
              <w:jc w:val="center"/>
              <w:rPr>
                <w:rFonts w:cs="Arial"/>
                <w:sz w:val="18"/>
                <w:szCs w:val="18"/>
              </w:rPr>
            </w:pPr>
            <w:r w:rsidRPr="00D2011C">
              <w:rPr>
                <w:rFonts w:cs="Arial"/>
                <w:sz w:val="18"/>
                <w:szCs w:val="18"/>
              </w:rPr>
              <w:t>21,8</w:t>
            </w:r>
          </w:p>
        </w:tc>
        <w:tc>
          <w:tcPr>
            <w:tcW w:w="2268" w:type="dxa"/>
            <w:tcBorders>
              <w:top w:val="single" w:sz="4" w:space="0" w:color="auto"/>
              <w:left w:val="nil"/>
              <w:bottom w:val="single" w:sz="4" w:space="0" w:color="auto"/>
              <w:right w:val="single" w:sz="4" w:space="0" w:color="auto"/>
            </w:tcBorders>
            <w:noWrap/>
          </w:tcPr>
          <w:p w14:paraId="341F0DC9" w14:textId="77777777" w:rsidR="0011043C" w:rsidRPr="00D2011C" w:rsidRDefault="0011043C" w:rsidP="00EC1043">
            <w:pPr>
              <w:jc w:val="center"/>
              <w:rPr>
                <w:rFonts w:cs="Arial"/>
                <w:sz w:val="18"/>
                <w:szCs w:val="18"/>
              </w:rPr>
            </w:pPr>
            <w:r w:rsidRPr="00D2011C">
              <w:rPr>
                <w:rFonts w:cs="Arial"/>
                <w:sz w:val="18"/>
                <w:szCs w:val="18"/>
              </w:rPr>
              <w:t>8,4</w:t>
            </w:r>
          </w:p>
        </w:tc>
        <w:tc>
          <w:tcPr>
            <w:tcW w:w="2126" w:type="dxa"/>
            <w:tcBorders>
              <w:top w:val="single" w:sz="4" w:space="0" w:color="auto"/>
              <w:left w:val="nil"/>
              <w:bottom w:val="single" w:sz="4" w:space="0" w:color="auto"/>
              <w:right w:val="single" w:sz="4" w:space="0" w:color="auto"/>
            </w:tcBorders>
            <w:noWrap/>
          </w:tcPr>
          <w:p w14:paraId="2660B8AE" w14:textId="77777777" w:rsidR="0011043C" w:rsidRPr="00D2011C" w:rsidRDefault="0011043C" w:rsidP="00EC1043">
            <w:pPr>
              <w:jc w:val="center"/>
              <w:rPr>
                <w:rFonts w:cs="Arial"/>
                <w:sz w:val="18"/>
                <w:szCs w:val="18"/>
              </w:rPr>
            </w:pPr>
            <w:r w:rsidRPr="00D2011C">
              <w:rPr>
                <w:rFonts w:cs="Arial"/>
                <w:sz w:val="18"/>
                <w:szCs w:val="18"/>
              </w:rPr>
              <w:t>2,2</w:t>
            </w:r>
          </w:p>
        </w:tc>
        <w:tc>
          <w:tcPr>
            <w:tcW w:w="2126" w:type="dxa"/>
            <w:tcBorders>
              <w:top w:val="single" w:sz="4" w:space="0" w:color="auto"/>
              <w:left w:val="nil"/>
              <w:bottom w:val="single" w:sz="4" w:space="0" w:color="auto"/>
              <w:right w:val="single" w:sz="4" w:space="0" w:color="auto"/>
            </w:tcBorders>
            <w:noWrap/>
          </w:tcPr>
          <w:p w14:paraId="6799AAD3" w14:textId="77777777" w:rsidR="0011043C" w:rsidRPr="00D2011C" w:rsidRDefault="0011043C" w:rsidP="00EC1043">
            <w:pPr>
              <w:jc w:val="center"/>
              <w:rPr>
                <w:rFonts w:cs="Arial"/>
                <w:sz w:val="18"/>
                <w:szCs w:val="18"/>
              </w:rPr>
            </w:pPr>
            <w:r w:rsidRPr="00D2011C">
              <w:rPr>
                <w:rFonts w:cs="Arial"/>
                <w:sz w:val="18"/>
                <w:szCs w:val="18"/>
              </w:rPr>
              <w:t>10,3</w:t>
            </w:r>
          </w:p>
        </w:tc>
      </w:tr>
      <w:tr w:rsidR="0011043C" w:rsidRPr="00D2011C" w14:paraId="4B25BB99" w14:textId="77777777" w:rsidTr="00EC10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
        </w:trPr>
        <w:tc>
          <w:tcPr>
            <w:tcW w:w="1002" w:type="dxa"/>
            <w:gridSpan w:val="2"/>
            <w:shd w:val="clear" w:color="auto" w:fill="BFBFBF"/>
          </w:tcPr>
          <w:p w14:paraId="3579175A" w14:textId="77777777" w:rsidR="0011043C" w:rsidRPr="00D2011C" w:rsidRDefault="0011043C" w:rsidP="00EC1043">
            <w:pPr>
              <w:ind w:left="15"/>
              <w:rPr>
                <w:rFonts w:cs="Arial"/>
                <w:b/>
                <w:sz w:val="18"/>
                <w:szCs w:val="18"/>
              </w:rPr>
            </w:pPr>
            <w:r w:rsidRPr="00D2011C">
              <w:rPr>
                <w:rFonts w:cs="Arial"/>
                <w:b/>
                <w:sz w:val="18"/>
                <w:szCs w:val="18"/>
              </w:rPr>
              <w:t>2019</w:t>
            </w:r>
          </w:p>
        </w:tc>
        <w:tc>
          <w:tcPr>
            <w:tcW w:w="1565" w:type="dxa"/>
          </w:tcPr>
          <w:p w14:paraId="018195E4" w14:textId="77777777" w:rsidR="0011043C" w:rsidRPr="00D2011C" w:rsidRDefault="0011043C" w:rsidP="00EC1043">
            <w:pPr>
              <w:jc w:val="center"/>
              <w:rPr>
                <w:rFonts w:cs="Arial"/>
                <w:sz w:val="18"/>
                <w:szCs w:val="18"/>
              </w:rPr>
            </w:pPr>
            <w:r w:rsidRPr="00D2011C">
              <w:rPr>
                <w:rFonts w:cs="Arial"/>
                <w:sz w:val="18"/>
                <w:szCs w:val="18"/>
              </w:rPr>
              <w:t>21,0</w:t>
            </w:r>
          </w:p>
        </w:tc>
        <w:tc>
          <w:tcPr>
            <w:tcW w:w="2268" w:type="dxa"/>
          </w:tcPr>
          <w:p w14:paraId="635FF629" w14:textId="77777777" w:rsidR="0011043C" w:rsidRPr="00D2011C" w:rsidRDefault="0011043C" w:rsidP="00EC1043">
            <w:pPr>
              <w:jc w:val="center"/>
              <w:rPr>
                <w:rFonts w:cs="Arial"/>
                <w:sz w:val="18"/>
                <w:szCs w:val="18"/>
              </w:rPr>
            </w:pPr>
            <w:r w:rsidRPr="00D2011C">
              <w:rPr>
                <w:rFonts w:cs="Arial"/>
                <w:sz w:val="18"/>
                <w:szCs w:val="18"/>
              </w:rPr>
              <w:t>8,5</w:t>
            </w:r>
          </w:p>
        </w:tc>
        <w:tc>
          <w:tcPr>
            <w:tcW w:w="2126" w:type="dxa"/>
          </w:tcPr>
          <w:p w14:paraId="737374C9" w14:textId="77777777" w:rsidR="0011043C" w:rsidRPr="00D2011C" w:rsidRDefault="0011043C" w:rsidP="00EC1043">
            <w:pPr>
              <w:jc w:val="center"/>
              <w:rPr>
                <w:rFonts w:cs="Arial"/>
                <w:sz w:val="18"/>
                <w:szCs w:val="18"/>
              </w:rPr>
            </w:pPr>
            <w:r w:rsidRPr="00D2011C">
              <w:rPr>
                <w:rFonts w:cs="Arial"/>
                <w:sz w:val="18"/>
                <w:szCs w:val="18"/>
              </w:rPr>
              <w:t>2,4</w:t>
            </w:r>
          </w:p>
        </w:tc>
        <w:tc>
          <w:tcPr>
            <w:tcW w:w="2126" w:type="dxa"/>
          </w:tcPr>
          <w:p w14:paraId="2F542BEC" w14:textId="77777777" w:rsidR="0011043C" w:rsidRPr="00D2011C" w:rsidRDefault="0011043C" w:rsidP="00EC1043">
            <w:pPr>
              <w:jc w:val="center"/>
              <w:rPr>
                <w:rFonts w:cs="Arial"/>
                <w:sz w:val="18"/>
                <w:szCs w:val="18"/>
              </w:rPr>
            </w:pPr>
            <w:r w:rsidRPr="00D2011C">
              <w:rPr>
                <w:rFonts w:cs="Arial"/>
                <w:sz w:val="18"/>
                <w:szCs w:val="18"/>
              </w:rPr>
              <w:t>10,3</w:t>
            </w:r>
          </w:p>
        </w:tc>
      </w:tr>
      <w:tr w:rsidR="0011043C" w:rsidRPr="00D2011C" w14:paraId="694A0304" w14:textId="77777777" w:rsidTr="00EC10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
        </w:trPr>
        <w:tc>
          <w:tcPr>
            <w:tcW w:w="1002" w:type="dxa"/>
            <w:gridSpan w:val="2"/>
            <w:shd w:val="clear" w:color="auto" w:fill="BFBFBF"/>
          </w:tcPr>
          <w:p w14:paraId="019AC5A3" w14:textId="77777777" w:rsidR="0011043C" w:rsidRPr="00D2011C" w:rsidRDefault="0011043C" w:rsidP="00EC1043">
            <w:pPr>
              <w:ind w:left="15"/>
              <w:rPr>
                <w:rFonts w:cs="Arial"/>
                <w:b/>
                <w:sz w:val="18"/>
                <w:szCs w:val="18"/>
              </w:rPr>
            </w:pPr>
            <w:r w:rsidRPr="00D2011C">
              <w:rPr>
                <w:rFonts w:cs="Arial"/>
                <w:b/>
                <w:sz w:val="18"/>
                <w:szCs w:val="18"/>
              </w:rPr>
              <w:t>2020</w:t>
            </w:r>
          </w:p>
        </w:tc>
        <w:tc>
          <w:tcPr>
            <w:tcW w:w="1565" w:type="dxa"/>
          </w:tcPr>
          <w:p w14:paraId="299CA4A8" w14:textId="77777777" w:rsidR="0011043C" w:rsidRPr="00D2011C" w:rsidRDefault="0011043C" w:rsidP="00EC1043">
            <w:pPr>
              <w:jc w:val="center"/>
              <w:rPr>
                <w:rFonts w:cs="Arial"/>
                <w:sz w:val="18"/>
                <w:szCs w:val="18"/>
              </w:rPr>
            </w:pPr>
            <w:r w:rsidRPr="00D2011C">
              <w:rPr>
                <w:rFonts w:cs="Arial"/>
                <w:sz w:val="18"/>
                <w:szCs w:val="18"/>
              </w:rPr>
              <w:t>20,4</w:t>
            </w:r>
          </w:p>
        </w:tc>
        <w:tc>
          <w:tcPr>
            <w:tcW w:w="2268" w:type="dxa"/>
          </w:tcPr>
          <w:p w14:paraId="79657B79" w14:textId="77777777" w:rsidR="0011043C" w:rsidRPr="00D2011C" w:rsidRDefault="0011043C" w:rsidP="00EC1043">
            <w:pPr>
              <w:jc w:val="center"/>
              <w:rPr>
                <w:rFonts w:cs="Arial"/>
                <w:sz w:val="18"/>
                <w:szCs w:val="18"/>
              </w:rPr>
            </w:pPr>
            <w:r w:rsidRPr="00D2011C">
              <w:rPr>
                <w:rFonts w:cs="Arial"/>
                <w:sz w:val="18"/>
                <w:szCs w:val="18"/>
              </w:rPr>
              <w:t>7,6</w:t>
            </w:r>
          </w:p>
        </w:tc>
        <w:tc>
          <w:tcPr>
            <w:tcW w:w="2126" w:type="dxa"/>
            <w:vAlign w:val="center"/>
          </w:tcPr>
          <w:p w14:paraId="453ED05F" w14:textId="77777777" w:rsidR="0011043C" w:rsidRPr="00D2011C" w:rsidRDefault="0011043C" w:rsidP="00EC1043">
            <w:pPr>
              <w:jc w:val="center"/>
              <w:rPr>
                <w:rFonts w:cs="Arial"/>
                <w:sz w:val="18"/>
                <w:szCs w:val="18"/>
              </w:rPr>
            </w:pPr>
            <w:r w:rsidRPr="00D2011C">
              <w:rPr>
                <w:rFonts w:cs="Arial"/>
                <w:sz w:val="18"/>
                <w:szCs w:val="18"/>
              </w:rPr>
              <w:t>2,4</w:t>
            </w:r>
          </w:p>
        </w:tc>
        <w:tc>
          <w:tcPr>
            <w:tcW w:w="2126" w:type="dxa"/>
          </w:tcPr>
          <w:p w14:paraId="15CCB50A" w14:textId="77777777" w:rsidR="0011043C" w:rsidRPr="00D2011C" w:rsidRDefault="0011043C" w:rsidP="00EC1043">
            <w:pPr>
              <w:jc w:val="center"/>
              <w:rPr>
                <w:rFonts w:cs="Arial"/>
                <w:sz w:val="18"/>
                <w:szCs w:val="18"/>
              </w:rPr>
            </w:pPr>
            <w:r w:rsidRPr="00D2011C">
              <w:rPr>
                <w:rFonts w:cs="Arial"/>
                <w:sz w:val="18"/>
                <w:szCs w:val="18"/>
              </w:rPr>
              <w:t>9,2</w:t>
            </w:r>
          </w:p>
        </w:tc>
      </w:tr>
      <w:tr w:rsidR="0011043C" w:rsidRPr="00D2011C" w14:paraId="4856679B" w14:textId="77777777" w:rsidTr="00EC10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
        </w:trPr>
        <w:tc>
          <w:tcPr>
            <w:tcW w:w="1002" w:type="dxa"/>
            <w:gridSpan w:val="2"/>
            <w:shd w:val="clear" w:color="auto" w:fill="BFBFBF"/>
          </w:tcPr>
          <w:p w14:paraId="5762AE1B" w14:textId="77777777" w:rsidR="0011043C" w:rsidRPr="00D2011C" w:rsidRDefault="0011043C" w:rsidP="00EC1043">
            <w:pPr>
              <w:ind w:left="15"/>
              <w:rPr>
                <w:rFonts w:cs="Arial"/>
                <w:b/>
                <w:sz w:val="18"/>
                <w:szCs w:val="18"/>
              </w:rPr>
            </w:pPr>
            <w:r w:rsidRPr="00D2011C">
              <w:rPr>
                <w:rFonts w:cs="Arial"/>
                <w:b/>
                <w:sz w:val="18"/>
                <w:szCs w:val="18"/>
              </w:rPr>
              <w:t>2021</w:t>
            </w:r>
          </w:p>
        </w:tc>
        <w:tc>
          <w:tcPr>
            <w:tcW w:w="1565" w:type="dxa"/>
          </w:tcPr>
          <w:p w14:paraId="7FBE3319" w14:textId="77777777" w:rsidR="0011043C" w:rsidRPr="00D2011C" w:rsidRDefault="0011043C" w:rsidP="00EC1043">
            <w:pPr>
              <w:jc w:val="center"/>
              <w:rPr>
                <w:rFonts w:cs="Arial"/>
                <w:sz w:val="18"/>
                <w:szCs w:val="18"/>
              </w:rPr>
            </w:pPr>
            <w:r w:rsidRPr="00D2011C">
              <w:rPr>
                <w:rFonts w:cs="Arial"/>
                <w:sz w:val="18"/>
                <w:szCs w:val="18"/>
              </w:rPr>
              <w:t>21,0</w:t>
            </w:r>
          </w:p>
        </w:tc>
        <w:tc>
          <w:tcPr>
            <w:tcW w:w="2268" w:type="dxa"/>
          </w:tcPr>
          <w:p w14:paraId="3EBB387F" w14:textId="77777777" w:rsidR="0011043C" w:rsidRPr="00D2011C" w:rsidRDefault="0011043C" w:rsidP="00EC1043">
            <w:pPr>
              <w:jc w:val="center"/>
              <w:rPr>
                <w:rFonts w:cs="Arial"/>
                <w:sz w:val="18"/>
                <w:szCs w:val="18"/>
              </w:rPr>
            </w:pPr>
            <w:r w:rsidRPr="00D2011C">
              <w:rPr>
                <w:rFonts w:cs="Arial"/>
                <w:sz w:val="18"/>
                <w:szCs w:val="18"/>
              </w:rPr>
              <w:t>7,6</w:t>
            </w:r>
          </w:p>
        </w:tc>
        <w:tc>
          <w:tcPr>
            <w:tcW w:w="2126" w:type="dxa"/>
            <w:vAlign w:val="center"/>
          </w:tcPr>
          <w:p w14:paraId="2F734810" w14:textId="77777777" w:rsidR="0011043C" w:rsidRPr="00D2011C" w:rsidRDefault="0011043C" w:rsidP="00EC1043">
            <w:pPr>
              <w:jc w:val="center"/>
              <w:rPr>
                <w:rFonts w:cs="Arial"/>
                <w:sz w:val="18"/>
                <w:szCs w:val="18"/>
              </w:rPr>
            </w:pPr>
            <w:r w:rsidRPr="00D2011C">
              <w:rPr>
                <w:rFonts w:cs="Arial"/>
                <w:sz w:val="18"/>
                <w:szCs w:val="18"/>
              </w:rPr>
              <w:t>2,4</w:t>
            </w:r>
          </w:p>
        </w:tc>
        <w:tc>
          <w:tcPr>
            <w:tcW w:w="2126" w:type="dxa"/>
          </w:tcPr>
          <w:p w14:paraId="74A0652D" w14:textId="77777777" w:rsidR="0011043C" w:rsidRPr="00D2011C" w:rsidRDefault="0011043C" w:rsidP="00EC1043">
            <w:pPr>
              <w:jc w:val="center"/>
              <w:rPr>
                <w:rFonts w:cs="Arial"/>
                <w:sz w:val="18"/>
                <w:szCs w:val="18"/>
              </w:rPr>
            </w:pPr>
            <w:r w:rsidRPr="00D2011C">
              <w:rPr>
                <w:rFonts w:cs="Arial"/>
                <w:sz w:val="18"/>
                <w:szCs w:val="18"/>
              </w:rPr>
              <w:t>9,7</w:t>
            </w:r>
          </w:p>
        </w:tc>
      </w:tr>
      <w:tr w:rsidR="0011043C" w:rsidRPr="00D2011C" w14:paraId="18F62F8D" w14:textId="77777777" w:rsidTr="00EC10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
        </w:trPr>
        <w:tc>
          <w:tcPr>
            <w:tcW w:w="1002" w:type="dxa"/>
            <w:gridSpan w:val="2"/>
            <w:shd w:val="clear" w:color="auto" w:fill="BFBFBF"/>
          </w:tcPr>
          <w:p w14:paraId="35D193AE" w14:textId="77777777" w:rsidR="0011043C" w:rsidRPr="00D2011C" w:rsidRDefault="0011043C" w:rsidP="00EC1043">
            <w:pPr>
              <w:ind w:left="15"/>
              <w:rPr>
                <w:rFonts w:cs="Arial"/>
                <w:b/>
                <w:sz w:val="18"/>
                <w:szCs w:val="18"/>
              </w:rPr>
            </w:pPr>
            <w:r w:rsidRPr="00D2011C">
              <w:rPr>
                <w:rFonts w:cs="Arial"/>
                <w:b/>
                <w:sz w:val="18"/>
                <w:szCs w:val="18"/>
              </w:rPr>
              <w:t>2022</w:t>
            </w:r>
          </w:p>
        </w:tc>
        <w:tc>
          <w:tcPr>
            <w:tcW w:w="1565" w:type="dxa"/>
          </w:tcPr>
          <w:p w14:paraId="441B430B" w14:textId="7AD9A74F" w:rsidR="0011043C" w:rsidRPr="00D2011C" w:rsidRDefault="007F2963" w:rsidP="00EC1043">
            <w:pPr>
              <w:jc w:val="center"/>
              <w:rPr>
                <w:rFonts w:cs="Arial"/>
                <w:sz w:val="18"/>
                <w:szCs w:val="18"/>
              </w:rPr>
            </w:pPr>
            <w:r w:rsidRPr="00D2011C">
              <w:rPr>
                <w:rFonts w:cs="Arial"/>
                <w:sz w:val="18"/>
                <w:szCs w:val="18"/>
              </w:rPr>
              <w:t>19,3</w:t>
            </w:r>
          </w:p>
        </w:tc>
        <w:tc>
          <w:tcPr>
            <w:tcW w:w="2268" w:type="dxa"/>
          </w:tcPr>
          <w:p w14:paraId="64E7C5C0" w14:textId="68D6C65E" w:rsidR="0011043C" w:rsidRPr="00D2011C" w:rsidRDefault="007F2963" w:rsidP="00EC1043">
            <w:pPr>
              <w:jc w:val="center"/>
              <w:rPr>
                <w:rFonts w:cs="Arial"/>
                <w:sz w:val="18"/>
                <w:szCs w:val="18"/>
              </w:rPr>
            </w:pPr>
            <w:r w:rsidRPr="00D2011C">
              <w:rPr>
                <w:rFonts w:cs="Arial"/>
                <w:sz w:val="18"/>
                <w:szCs w:val="18"/>
              </w:rPr>
              <w:t>6,4</w:t>
            </w:r>
          </w:p>
        </w:tc>
        <w:tc>
          <w:tcPr>
            <w:tcW w:w="2126" w:type="dxa"/>
            <w:vAlign w:val="center"/>
          </w:tcPr>
          <w:p w14:paraId="2A9A3EE7" w14:textId="6D6855BD" w:rsidR="0011043C" w:rsidRPr="00D2011C" w:rsidRDefault="007F2963" w:rsidP="00EC1043">
            <w:pPr>
              <w:jc w:val="center"/>
              <w:rPr>
                <w:rFonts w:cs="Arial"/>
                <w:sz w:val="18"/>
                <w:szCs w:val="18"/>
              </w:rPr>
            </w:pPr>
            <w:r w:rsidRPr="00D2011C">
              <w:rPr>
                <w:rFonts w:cs="Arial"/>
                <w:sz w:val="18"/>
                <w:szCs w:val="18"/>
              </w:rPr>
              <w:t>2,4</w:t>
            </w:r>
          </w:p>
        </w:tc>
        <w:tc>
          <w:tcPr>
            <w:tcW w:w="2126" w:type="dxa"/>
          </w:tcPr>
          <w:p w14:paraId="7A6BE9D3" w14:textId="5BC128B2" w:rsidR="0011043C" w:rsidRPr="00D2011C" w:rsidRDefault="007F2963" w:rsidP="00EC1043">
            <w:pPr>
              <w:jc w:val="center"/>
              <w:rPr>
                <w:rFonts w:cs="Arial"/>
                <w:sz w:val="18"/>
                <w:szCs w:val="18"/>
              </w:rPr>
            </w:pPr>
            <w:r w:rsidRPr="00D2011C">
              <w:rPr>
                <w:rFonts w:cs="Arial"/>
                <w:sz w:val="18"/>
                <w:szCs w:val="18"/>
              </w:rPr>
              <w:t>9,4</w:t>
            </w:r>
          </w:p>
        </w:tc>
      </w:tr>
      <w:tr w:rsidR="009B0293" w:rsidRPr="00D2011C" w14:paraId="24C7005B" w14:textId="77777777" w:rsidTr="00EC10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
        </w:trPr>
        <w:tc>
          <w:tcPr>
            <w:tcW w:w="1002" w:type="dxa"/>
            <w:gridSpan w:val="2"/>
            <w:shd w:val="clear" w:color="auto" w:fill="BFBFBF"/>
          </w:tcPr>
          <w:p w14:paraId="34ECE534" w14:textId="40D753B2" w:rsidR="009B0293" w:rsidRPr="00D2011C" w:rsidRDefault="009B0293" w:rsidP="009B0293">
            <w:pPr>
              <w:ind w:left="15"/>
              <w:rPr>
                <w:rFonts w:cs="Arial"/>
                <w:b/>
                <w:sz w:val="18"/>
                <w:szCs w:val="18"/>
              </w:rPr>
            </w:pPr>
            <w:r w:rsidRPr="00D2011C">
              <w:rPr>
                <w:rFonts w:cs="Arial"/>
                <w:b/>
                <w:sz w:val="18"/>
                <w:szCs w:val="18"/>
              </w:rPr>
              <w:t>2023</w:t>
            </w:r>
          </w:p>
        </w:tc>
        <w:tc>
          <w:tcPr>
            <w:tcW w:w="1565" w:type="dxa"/>
          </w:tcPr>
          <w:p w14:paraId="7F21C039" w14:textId="1FB2A214" w:rsidR="009B0293" w:rsidRPr="00D2011C" w:rsidRDefault="009B0293" w:rsidP="009B0293">
            <w:pPr>
              <w:jc w:val="center"/>
              <w:rPr>
                <w:rFonts w:cs="Arial"/>
                <w:sz w:val="18"/>
                <w:szCs w:val="18"/>
              </w:rPr>
            </w:pPr>
            <w:r w:rsidRPr="00D2011C">
              <w:rPr>
                <w:rFonts w:cs="Arial"/>
                <w:sz w:val="18"/>
                <w:szCs w:val="18"/>
              </w:rPr>
              <w:t>18,6</w:t>
            </w:r>
          </w:p>
        </w:tc>
        <w:tc>
          <w:tcPr>
            <w:tcW w:w="2268" w:type="dxa"/>
          </w:tcPr>
          <w:p w14:paraId="4CD83DB9" w14:textId="2300A34C" w:rsidR="009B0293" w:rsidRPr="00D2011C" w:rsidRDefault="009B0293" w:rsidP="009B0293">
            <w:pPr>
              <w:jc w:val="center"/>
              <w:rPr>
                <w:rFonts w:cs="Arial"/>
                <w:sz w:val="18"/>
                <w:szCs w:val="18"/>
              </w:rPr>
            </w:pPr>
            <w:r w:rsidRPr="00D2011C">
              <w:rPr>
                <w:rFonts w:cs="Arial"/>
                <w:sz w:val="18"/>
                <w:szCs w:val="18"/>
              </w:rPr>
              <w:t>6,3</w:t>
            </w:r>
          </w:p>
        </w:tc>
        <w:tc>
          <w:tcPr>
            <w:tcW w:w="2126" w:type="dxa"/>
            <w:vAlign w:val="center"/>
          </w:tcPr>
          <w:p w14:paraId="1EC4B528" w14:textId="6A855FC4" w:rsidR="009B0293" w:rsidRPr="00D2011C" w:rsidRDefault="009B0293" w:rsidP="009B0293">
            <w:pPr>
              <w:jc w:val="center"/>
              <w:rPr>
                <w:rFonts w:cs="Arial"/>
                <w:sz w:val="18"/>
                <w:szCs w:val="18"/>
              </w:rPr>
            </w:pPr>
            <w:r w:rsidRPr="00D2011C">
              <w:rPr>
                <w:rFonts w:cs="Arial"/>
                <w:sz w:val="18"/>
                <w:szCs w:val="18"/>
              </w:rPr>
              <w:t>2,2</w:t>
            </w:r>
          </w:p>
        </w:tc>
        <w:tc>
          <w:tcPr>
            <w:tcW w:w="2126" w:type="dxa"/>
          </w:tcPr>
          <w:p w14:paraId="7B6675ED" w14:textId="19B7D525" w:rsidR="009B0293" w:rsidRPr="00D2011C" w:rsidRDefault="009B0293" w:rsidP="009B0293">
            <w:pPr>
              <w:jc w:val="center"/>
              <w:rPr>
                <w:rFonts w:cs="Arial"/>
                <w:sz w:val="18"/>
                <w:szCs w:val="18"/>
              </w:rPr>
            </w:pPr>
            <w:r w:rsidRPr="00D2011C">
              <w:rPr>
                <w:rFonts w:cs="Arial"/>
                <w:sz w:val="18"/>
                <w:szCs w:val="18"/>
              </w:rPr>
              <w:t>8,4</w:t>
            </w:r>
          </w:p>
        </w:tc>
      </w:tr>
      <w:tr w:rsidR="00FE2F10" w:rsidRPr="00D2011C" w14:paraId="0C130883" w14:textId="77777777" w:rsidTr="00EC10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
        </w:trPr>
        <w:tc>
          <w:tcPr>
            <w:tcW w:w="1002" w:type="dxa"/>
            <w:gridSpan w:val="2"/>
            <w:shd w:val="clear" w:color="auto" w:fill="BFBFBF"/>
          </w:tcPr>
          <w:p w14:paraId="04D899A7" w14:textId="4AE73837" w:rsidR="00FE2F10" w:rsidRPr="00D2011C" w:rsidRDefault="00FE2F10" w:rsidP="009B0293">
            <w:pPr>
              <w:ind w:left="15"/>
              <w:rPr>
                <w:rFonts w:cs="Arial"/>
                <w:b/>
                <w:sz w:val="18"/>
                <w:szCs w:val="18"/>
              </w:rPr>
            </w:pPr>
            <w:r w:rsidRPr="00D2011C">
              <w:rPr>
                <w:rFonts w:cs="Arial"/>
                <w:b/>
                <w:sz w:val="18"/>
                <w:szCs w:val="18"/>
              </w:rPr>
              <w:t>2024</w:t>
            </w:r>
          </w:p>
        </w:tc>
        <w:tc>
          <w:tcPr>
            <w:tcW w:w="1565" w:type="dxa"/>
          </w:tcPr>
          <w:p w14:paraId="048B5597" w14:textId="5BE3A7ED" w:rsidR="00FE2F10" w:rsidRPr="00D2011C" w:rsidRDefault="00C06245" w:rsidP="009B0293">
            <w:pPr>
              <w:jc w:val="center"/>
              <w:rPr>
                <w:rFonts w:cs="Arial"/>
                <w:sz w:val="18"/>
                <w:szCs w:val="18"/>
              </w:rPr>
            </w:pPr>
            <w:r w:rsidRPr="00D2011C">
              <w:rPr>
                <w:rFonts w:cs="Arial"/>
                <w:sz w:val="18"/>
                <w:szCs w:val="18"/>
              </w:rPr>
              <w:t>18,7</w:t>
            </w:r>
          </w:p>
        </w:tc>
        <w:tc>
          <w:tcPr>
            <w:tcW w:w="2268" w:type="dxa"/>
          </w:tcPr>
          <w:p w14:paraId="705F44FD" w14:textId="5CF9D05E" w:rsidR="00FE2F10" w:rsidRPr="00D2011C" w:rsidRDefault="00C06245" w:rsidP="009B0293">
            <w:pPr>
              <w:jc w:val="center"/>
              <w:rPr>
                <w:rFonts w:cs="Arial"/>
                <w:sz w:val="18"/>
                <w:szCs w:val="18"/>
              </w:rPr>
            </w:pPr>
            <w:r w:rsidRPr="00D2011C">
              <w:rPr>
                <w:rFonts w:cs="Arial"/>
                <w:sz w:val="18"/>
                <w:szCs w:val="18"/>
              </w:rPr>
              <w:t>6,3</w:t>
            </w:r>
          </w:p>
        </w:tc>
        <w:tc>
          <w:tcPr>
            <w:tcW w:w="2126" w:type="dxa"/>
            <w:vAlign w:val="center"/>
          </w:tcPr>
          <w:p w14:paraId="11E69486" w14:textId="143671DE" w:rsidR="00FE2F10" w:rsidRPr="00D2011C" w:rsidRDefault="00C06245" w:rsidP="009B0293">
            <w:pPr>
              <w:jc w:val="center"/>
              <w:rPr>
                <w:rFonts w:cs="Arial"/>
                <w:sz w:val="18"/>
                <w:szCs w:val="18"/>
              </w:rPr>
            </w:pPr>
            <w:r w:rsidRPr="00D2011C">
              <w:rPr>
                <w:rFonts w:cs="Arial"/>
                <w:sz w:val="18"/>
                <w:szCs w:val="18"/>
              </w:rPr>
              <w:t>2,4</w:t>
            </w:r>
          </w:p>
        </w:tc>
        <w:tc>
          <w:tcPr>
            <w:tcW w:w="2126" w:type="dxa"/>
          </w:tcPr>
          <w:p w14:paraId="55DCA0D6" w14:textId="7AC38C8D" w:rsidR="00FE2F10" w:rsidRPr="00D2011C" w:rsidRDefault="00C06245" w:rsidP="009B0293">
            <w:pPr>
              <w:jc w:val="center"/>
              <w:rPr>
                <w:rFonts w:cs="Arial"/>
                <w:sz w:val="18"/>
                <w:szCs w:val="18"/>
              </w:rPr>
            </w:pPr>
            <w:r w:rsidRPr="00D2011C">
              <w:rPr>
                <w:rFonts w:cs="Arial"/>
                <w:sz w:val="18"/>
                <w:szCs w:val="18"/>
              </w:rPr>
              <w:t>7,8</w:t>
            </w:r>
          </w:p>
        </w:tc>
      </w:tr>
      <w:tr w:rsidR="00B76347" w:rsidRPr="00D2011C" w14:paraId="69795D0A" w14:textId="77777777" w:rsidTr="00EC10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
        </w:trPr>
        <w:tc>
          <w:tcPr>
            <w:tcW w:w="1002" w:type="dxa"/>
            <w:gridSpan w:val="2"/>
            <w:shd w:val="clear" w:color="auto" w:fill="BFBFBF"/>
          </w:tcPr>
          <w:p w14:paraId="590282B1" w14:textId="6C640756" w:rsidR="00B76347" w:rsidRPr="00D2011C" w:rsidRDefault="00B76347" w:rsidP="00B76347">
            <w:pPr>
              <w:ind w:left="15"/>
              <w:rPr>
                <w:rFonts w:cs="Arial"/>
                <w:b/>
                <w:sz w:val="18"/>
                <w:szCs w:val="18"/>
              </w:rPr>
            </w:pPr>
            <w:r w:rsidRPr="00D2011C">
              <w:rPr>
                <w:rFonts w:cs="Arial"/>
                <w:b/>
                <w:sz w:val="18"/>
                <w:szCs w:val="18"/>
              </w:rPr>
              <w:t>2025</w:t>
            </w:r>
          </w:p>
        </w:tc>
        <w:tc>
          <w:tcPr>
            <w:tcW w:w="1565" w:type="dxa"/>
          </w:tcPr>
          <w:p w14:paraId="505C9ABD" w14:textId="547A5CD6" w:rsidR="00B76347" w:rsidRPr="00D2011C" w:rsidRDefault="00B76347" w:rsidP="00B76347">
            <w:pPr>
              <w:jc w:val="center"/>
              <w:rPr>
                <w:rFonts w:cs="Arial"/>
                <w:sz w:val="18"/>
                <w:szCs w:val="18"/>
              </w:rPr>
            </w:pPr>
            <w:r w:rsidRPr="00D2011C">
              <w:rPr>
                <w:rFonts w:cs="Arial"/>
                <w:sz w:val="18"/>
                <w:szCs w:val="18"/>
              </w:rPr>
              <w:t>19,0</w:t>
            </w:r>
          </w:p>
        </w:tc>
        <w:tc>
          <w:tcPr>
            <w:tcW w:w="2268" w:type="dxa"/>
          </w:tcPr>
          <w:p w14:paraId="0BA927B8" w14:textId="75485B79" w:rsidR="00B76347" w:rsidRPr="00D2011C" w:rsidRDefault="00B76347" w:rsidP="00B76347">
            <w:pPr>
              <w:jc w:val="center"/>
              <w:rPr>
                <w:rFonts w:cs="Arial"/>
                <w:sz w:val="18"/>
                <w:szCs w:val="18"/>
              </w:rPr>
            </w:pPr>
            <w:r w:rsidRPr="00D2011C">
              <w:rPr>
                <w:rFonts w:cs="Arial"/>
                <w:sz w:val="18"/>
                <w:szCs w:val="18"/>
              </w:rPr>
              <w:t>5,7</w:t>
            </w:r>
          </w:p>
        </w:tc>
        <w:tc>
          <w:tcPr>
            <w:tcW w:w="2126" w:type="dxa"/>
            <w:vAlign w:val="center"/>
          </w:tcPr>
          <w:p w14:paraId="73657643" w14:textId="73EA3A13" w:rsidR="00B76347" w:rsidRPr="00D2011C" w:rsidRDefault="00B76347" w:rsidP="00B76347">
            <w:pPr>
              <w:jc w:val="center"/>
              <w:rPr>
                <w:rFonts w:cs="Arial"/>
                <w:sz w:val="18"/>
                <w:szCs w:val="18"/>
              </w:rPr>
            </w:pPr>
            <w:r w:rsidRPr="00D2011C">
              <w:rPr>
                <w:rFonts w:cs="Arial"/>
                <w:sz w:val="18"/>
                <w:szCs w:val="18"/>
              </w:rPr>
              <w:t>2,8</w:t>
            </w:r>
          </w:p>
        </w:tc>
        <w:tc>
          <w:tcPr>
            <w:tcW w:w="2126" w:type="dxa"/>
          </w:tcPr>
          <w:p w14:paraId="1676DFEE" w14:textId="7BC2D453" w:rsidR="00B76347" w:rsidRPr="00D2011C" w:rsidRDefault="00B76347" w:rsidP="00B76347">
            <w:pPr>
              <w:jc w:val="center"/>
              <w:rPr>
                <w:rFonts w:cs="Arial"/>
                <w:sz w:val="18"/>
                <w:szCs w:val="18"/>
              </w:rPr>
            </w:pPr>
            <w:r w:rsidRPr="00D2011C">
              <w:rPr>
                <w:rFonts w:cs="Arial"/>
                <w:sz w:val="18"/>
                <w:szCs w:val="18"/>
              </w:rPr>
              <w:t>11,7</w:t>
            </w:r>
          </w:p>
        </w:tc>
      </w:tr>
    </w:tbl>
    <w:p w14:paraId="378AFD47" w14:textId="77777777" w:rsidR="0011043C" w:rsidRPr="00D2011C" w:rsidRDefault="0011043C" w:rsidP="0011043C">
      <w:pPr>
        <w:ind w:left="15"/>
        <w:rPr>
          <w:rFonts w:cs="Arial"/>
          <w:bCs/>
          <w:i/>
          <w:sz w:val="20"/>
          <w:szCs w:val="20"/>
        </w:rPr>
      </w:pPr>
      <w:r w:rsidRPr="00D2011C">
        <w:rPr>
          <w:rFonts w:cs="Arial"/>
          <w:bCs/>
          <w:i/>
          <w:sz w:val="20"/>
          <w:szCs w:val="20"/>
        </w:rPr>
        <w:t>Pramen: MZe a Rybářské sdružení ČR</w:t>
      </w:r>
    </w:p>
    <w:p w14:paraId="6A236A73" w14:textId="77777777" w:rsidR="0011043C" w:rsidRPr="00D2011C" w:rsidRDefault="0011043C" w:rsidP="0011043C">
      <w:pPr>
        <w:rPr>
          <w:rFonts w:cs="Arial"/>
          <w:i/>
          <w:sz w:val="20"/>
          <w:szCs w:val="20"/>
        </w:rPr>
      </w:pPr>
      <w:r w:rsidRPr="00D2011C">
        <w:rPr>
          <w:rFonts w:cs="Arial"/>
          <w:i/>
          <w:sz w:val="20"/>
          <w:szCs w:val="20"/>
        </w:rPr>
        <w:t xml:space="preserve">Pozn.: </w:t>
      </w:r>
      <w:r w:rsidRPr="00D2011C">
        <w:rPr>
          <w:rFonts w:cs="Arial"/>
          <w:i/>
          <w:sz w:val="20"/>
          <w:szCs w:val="20"/>
          <w:vertAlign w:val="superscript"/>
        </w:rPr>
        <w:t>*)</w:t>
      </w:r>
      <w:r w:rsidRPr="00D2011C">
        <w:rPr>
          <w:rFonts w:cs="Arial"/>
          <w:i/>
          <w:sz w:val="20"/>
          <w:szCs w:val="20"/>
        </w:rPr>
        <w:t xml:space="preserve"> Zahrnuty zásoby na počátku a konci roku, ztráty a dovoz živých sladkovodních ryb.</w:t>
      </w:r>
    </w:p>
    <w:p w14:paraId="6BB7BFED" w14:textId="77777777" w:rsidR="0011043C" w:rsidRPr="00104F7D" w:rsidRDefault="0011043C" w:rsidP="0011043C">
      <w:pPr>
        <w:rPr>
          <w:rFonts w:cs="Arial"/>
          <w:i/>
          <w:sz w:val="18"/>
          <w:szCs w:val="18"/>
          <w:highlight w:val="yellow"/>
        </w:rPr>
      </w:pPr>
    </w:p>
    <w:p w14:paraId="2D380041" w14:textId="77777777" w:rsidR="00174A47" w:rsidRPr="00387180" w:rsidRDefault="00174A47" w:rsidP="00174A47">
      <w:pPr>
        <w:spacing w:after="219" w:line="252" w:lineRule="auto"/>
        <w:ind w:left="7" w:right="5" w:hanging="9"/>
        <w:rPr>
          <w:rFonts w:eastAsia="Gill Sans MT" w:cs="Arial"/>
          <w:lang w:eastAsia="cs-CZ"/>
        </w:rPr>
      </w:pPr>
      <w:r w:rsidRPr="00387180">
        <w:rPr>
          <w:rFonts w:eastAsia="Gill Sans MT" w:cs="Arial"/>
          <w:lang w:eastAsia="cs-CZ"/>
        </w:rPr>
        <w:t xml:space="preserve">Druhové zastoupení tržních ryb je relativně stabilní a výrazněji se oproti předchozím rokům nezměnilo. Kapr se podílel na celkovém objemu lovených ryb </w:t>
      </w:r>
      <w:r w:rsidRPr="00387180">
        <w:rPr>
          <w:rFonts w:cs="Arial"/>
        </w:rPr>
        <w:t>84,9</w:t>
      </w:r>
      <w:r w:rsidRPr="00387180">
        <w:rPr>
          <w:rFonts w:eastAsia="Gill Sans MT" w:cs="Arial"/>
          <w:lang w:eastAsia="cs-CZ"/>
        </w:rPr>
        <w:t xml:space="preserve"> %, lososovité ryby zaujímaly </w:t>
      </w:r>
      <w:r w:rsidRPr="00387180">
        <w:rPr>
          <w:rFonts w:eastAsia="Gill Sans MT" w:cs="Arial"/>
          <w:lang w:eastAsia="cs-CZ"/>
        </w:rPr>
        <w:br/>
      </w:r>
      <w:r w:rsidRPr="00387180">
        <w:rPr>
          <w:rFonts w:cs="Arial"/>
        </w:rPr>
        <w:t>3,4</w:t>
      </w:r>
      <w:r w:rsidRPr="00387180">
        <w:rPr>
          <w:rFonts w:eastAsia="Gill Sans MT" w:cs="Arial"/>
          <w:lang w:eastAsia="cs-CZ"/>
        </w:rPr>
        <w:t xml:space="preserve"> %, býložravé ryby </w:t>
      </w:r>
      <w:r w:rsidRPr="00387180">
        <w:rPr>
          <w:rFonts w:cs="Arial"/>
        </w:rPr>
        <w:t>5,9</w:t>
      </w:r>
      <w:r w:rsidRPr="00387180">
        <w:rPr>
          <w:rFonts w:eastAsia="Gill Sans MT" w:cs="Arial"/>
          <w:lang w:eastAsia="cs-CZ"/>
        </w:rPr>
        <w:t xml:space="preserve"> %, výlov lína činil </w:t>
      </w:r>
      <w:r w:rsidRPr="00387180">
        <w:rPr>
          <w:rFonts w:cs="Arial"/>
        </w:rPr>
        <w:t>0,6</w:t>
      </w:r>
      <w:r w:rsidRPr="00387180">
        <w:rPr>
          <w:rFonts w:eastAsia="Gill Sans MT" w:cs="Arial"/>
          <w:lang w:eastAsia="cs-CZ"/>
        </w:rPr>
        <w:t xml:space="preserve"> % a dravé ryby představovaly </w:t>
      </w:r>
      <w:r w:rsidRPr="00387180">
        <w:rPr>
          <w:rFonts w:cs="Arial"/>
        </w:rPr>
        <w:t>1,5</w:t>
      </w:r>
      <w:r w:rsidRPr="00387180">
        <w:rPr>
          <w:rFonts w:eastAsia="Gill Sans MT" w:cs="Arial"/>
          <w:lang w:eastAsia="cs-CZ"/>
        </w:rPr>
        <w:t xml:space="preserve"> % z celkového výlovu.</w:t>
      </w:r>
    </w:p>
    <w:p w14:paraId="586E9175" w14:textId="77777777" w:rsidR="00174A47" w:rsidRPr="00387180" w:rsidRDefault="00174A47" w:rsidP="00174A47">
      <w:pPr>
        <w:spacing w:after="219"/>
        <w:ind w:left="7" w:right="5" w:hanging="9"/>
        <w:rPr>
          <w:rFonts w:eastAsia="Gill Sans MT" w:cs="Arial"/>
          <w:lang w:eastAsia="cs-CZ"/>
        </w:rPr>
      </w:pPr>
      <w:r w:rsidRPr="00387180">
        <w:rPr>
          <w:rFonts w:eastAsia="Gill Sans MT" w:cs="Arial"/>
          <w:lang w:eastAsia="cs-CZ"/>
        </w:rPr>
        <w:t xml:space="preserve">Domácí trh nadále preferoval dodávky ve formě živých ryb, které v posledních třech letech představovaly </w:t>
      </w:r>
      <w:r w:rsidRPr="00387180">
        <w:rPr>
          <w:rFonts w:cs="Arial"/>
        </w:rPr>
        <w:t>33–34</w:t>
      </w:r>
      <w:r w:rsidRPr="00387180">
        <w:rPr>
          <w:rFonts w:eastAsia="Gill Sans MT" w:cs="Arial"/>
          <w:lang w:eastAsia="cs-CZ"/>
        </w:rPr>
        <w:t xml:space="preserve"> % produkce získané chovem. Vývoz živých ryb během tří předešlých let odpovídal </w:t>
      </w:r>
      <w:r w:rsidRPr="00387180">
        <w:rPr>
          <w:rFonts w:cs="Arial"/>
        </w:rPr>
        <w:t>42–49</w:t>
      </w:r>
      <w:r w:rsidRPr="00387180">
        <w:rPr>
          <w:rFonts w:cs="Arial"/>
          <w:sz w:val="18"/>
          <w:szCs w:val="18"/>
        </w:rPr>
        <w:t xml:space="preserve"> </w:t>
      </w:r>
      <w:r w:rsidRPr="00387180">
        <w:rPr>
          <w:rFonts w:eastAsia="Gill Sans MT" w:cs="Arial"/>
          <w:lang w:eastAsia="cs-CZ"/>
        </w:rPr>
        <w:t xml:space="preserve">% z celkového výlovu a dokladoval stabilní zájem o ryby produkované převážně členskými subjekty profesního sdružení. V rybích zpracovnách bylo zpracováno na výrobky </w:t>
      </w:r>
      <w:r w:rsidRPr="00387180">
        <w:rPr>
          <w:rFonts w:cs="Arial"/>
        </w:rPr>
        <w:t>14,6</w:t>
      </w:r>
      <w:r w:rsidRPr="00387180">
        <w:rPr>
          <w:rFonts w:eastAsia="Gill Sans MT" w:cs="Arial"/>
          <w:lang w:eastAsia="cs-CZ"/>
        </w:rPr>
        <w:t xml:space="preserve"> % vyprodukovaných sladkovodních tržních ryb. </w:t>
      </w:r>
    </w:p>
    <w:p w14:paraId="6BB232F4" w14:textId="03AFD5C7" w:rsidR="009B0293" w:rsidRPr="0021328A" w:rsidRDefault="00174A47" w:rsidP="009B0293">
      <w:pPr>
        <w:ind w:left="11" w:right="6" w:hanging="11"/>
        <w:rPr>
          <w:rFonts w:eastAsia="Gill Sans MT" w:cs="Arial"/>
          <w:lang w:eastAsia="cs-CZ"/>
        </w:rPr>
      </w:pPr>
      <w:r w:rsidRPr="00387180">
        <w:rPr>
          <w:rFonts w:eastAsia="Gill Sans MT" w:cs="Arial"/>
          <w:lang w:eastAsia="cs-CZ"/>
        </w:rPr>
        <w:t xml:space="preserve">Spotřeba sladkovodních ryb v ČR získaných chovem dosáhla </w:t>
      </w:r>
      <w:r w:rsidRPr="00387180">
        <w:rPr>
          <w:rFonts w:cs="Arial"/>
        </w:rPr>
        <w:t xml:space="preserve">1,1 </w:t>
      </w:r>
      <w:r w:rsidRPr="00387180">
        <w:rPr>
          <w:rFonts w:eastAsia="Gill Sans MT" w:cs="Arial"/>
          <w:lang w:eastAsia="cs-CZ"/>
        </w:rPr>
        <w:t xml:space="preserve">kg/osobu/rok. Pro výpočet celkové spotřeby sladkovodních ryb za rok 2025 na 1 obyvatele bylo uvažováno s počtem obyvatel k 31. 12. 2025 ve výši 10 909 500. </w:t>
      </w:r>
    </w:p>
    <w:p w14:paraId="6FFC5C36" w14:textId="77777777" w:rsidR="0011043C" w:rsidRPr="00104F7D" w:rsidRDefault="0011043C" w:rsidP="0011043C">
      <w:pPr>
        <w:ind w:left="11" w:right="6" w:hanging="11"/>
        <w:rPr>
          <w:rFonts w:eastAsia="Gill Sans MT" w:cs="Arial"/>
          <w:highlight w:val="yellow"/>
          <w:lang w:eastAsia="cs-CZ"/>
        </w:rPr>
      </w:pPr>
    </w:p>
    <w:p w14:paraId="3F6A6E3E" w14:textId="7912D86A" w:rsidR="0011043C" w:rsidRPr="005A4DB1" w:rsidRDefault="0011043C" w:rsidP="0011043C">
      <w:pPr>
        <w:ind w:left="11" w:right="6" w:hanging="11"/>
        <w:rPr>
          <w:rFonts w:eastAsia="Gill Sans MT" w:cs="Arial"/>
          <w:b/>
          <w:i/>
          <w:color w:val="1C1C1B"/>
          <w:lang w:eastAsia="cs-CZ"/>
        </w:rPr>
      </w:pPr>
      <w:r w:rsidRPr="005A4DB1">
        <w:rPr>
          <w:rFonts w:eastAsia="Gill Sans MT" w:cs="Arial"/>
          <w:b/>
          <w:i/>
          <w:lang w:eastAsia="cs-CZ"/>
        </w:rPr>
        <w:t>Tabu</w:t>
      </w:r>
      <w:r w:rsidRPr="005A4DB1">
        <w:rPr>
          <w:rFonts w:eastAsia="Gill Sans MT" w:cs="Arial"/>
          <w:b/>
          <w:i/>
          <w:color w:val="1C1C1B"/>
          <w:lang w:eastAsia="cs-CZ"/>
        </w:rPr>
        <w:t xml:space="preserve">lka </w:t>
      </w:r>
      <w:r w:rsidR="004454E1" w:rsidRPr="005A4DB1">
        <w:rPr>
          <w:rFonts w:eastAsia="Gill Sans MT" w:cs="Arial"/>
          <w:b/>
          <w:i/>
          <w:color w:val="1C1C1B"/>
          <w:lang w:eastAsia="cs-CZ"/>
        </w:rPr>
        <w:t>10</w:t>
      </w:r>
      <w:r w:rsidRPr="005A4DB1">
        <w:rPr>
          <w:rFonts w:eastAsia="Gill Sans MT" w:cs="Arial"/>
          <w:b/>
          <w:i/>
          <w:color w:val="1C1C1B"/>
          <w:lang w:eastAsia="cs-CZ"/>
        </w:rPr>
        <w:t xml:space="preserve">.3 </w:t>
      </w:r>
    </w:p>
    <w:p w14:paraId="71140647" w14:textId="2EA527B4" w:rsidR="0011043C" w:rsidRPr="005A4DB1" w:rsidRDefault="0011043C" w:rsidP="0011043C">
      <w:pPr>
        <w:ind w:left="11" w:right="6" w:hanging="11"/>
        <w:rPr>
          <w:rFonts w:eastAsia="Gill Sans MT" w:cs="Arial"/>
          <w:b/>
          <w:i/>
          <w:color w:val="1C1C1B"/>
          <w:lang w:eastAsia="cs-CZ"/>
        </w:rPr>
      </w:pPr>
      <w:r w:rsidRPr="005A4DB1">
        <w:rPr>
          <w:rFonts w:eastAsia="Gill Sans MT" w:cs="Arial"/>
          <w:b/>
          <w:i/>
          <w:color w:val="1C1C1B"/>
          <w:lang w:eastAsia="cs-CZ"/>
        </w:rPr>
        <w:t>Spotřeba ryb v České republice 2013–202</w:t>
      </w:r>
      <w:r w:rsidR="005A4DB1">
        <w:rPr>
          <w:rFonts w:eastAsia="Gill Sans MT" w:cs="Arial"/>
          <w:b/>
          <w:i/>
          <w:color w:val="1C1C1B"/>
          <w:lang w:eastAsia="cs-CZ"/>
        </w:rPr>
        <w:t>5</w:t>
      </w:r>
    </w:p>
    <w:tbl>
      <w:tblPr>
        <w:tblW w:w="5000" w:type="pct"/>
        <w:jc w:val="center"/>
        <w:tblLayout w:type="fixed"/>
        <w:tblCellMar>
          <w:left w:w="70" w:type="dxa"/>
          <w:right w:w="70" w:type="dxa"/>
        </w:tblCellMar>
        <w:tblLook w:val="04A0" w:firstRow="1" w:lastRow="0" w:firstColumn="1" w:lastColumn="0" w:noHBand="0" w:noVBand="1"/>
      </w:tblPr>
      <w:tblGrid>
        <w:gridCol w:w="1930"/>
        <w:gridCol w:w="642"/>
        <w:gridCol w:w="640"/>
        <w:gridCol w:w="512"/>
        <w:gridCol w:w="639"/>
        <w:gridCol w:w="512"/>
        <w:gridCol w:w="514"/>
        <w:gridCol w:w="639"/>
        <w:gridCol w:w="512"/>
        <w:gridCol w:w="639"/>
        <w:gridCol w:w="512"/>
        <w:gridCol w:w="643"/>
        <w:gridCol w:w="639"/>
        <w:gridCol w:w="647"/>
        <w:gridCol w:w="8"/>
      </w:tblGrid>
      <w:tr w:rsidR="0021328A" w:rsidRPr="00BB63D1" w14:paraId="52216DE7" w14:textId="730B4482" w:rsidTr="00D55FEF">
        <w:trPr>
          <w:gridAfter w:val="1"/>
          <w:wAfter w:w="4" w:type="pct"/>
          <w:trHeight w:val="185"/>
          <w:jc w:val="center"/>
        </w:trPr>
        <w:tc>
          <w:tcPr>
            <w:tcW w:w="1002" w:type="pct"/>
            <w:vMerge w:val="restart"/>
            <w:tcBorders>
              <w:top w:val="single" w:sz="4" w:space="0" w:color="auto"/>
              <w:left w:val="single" w:sz="4" w:space="0" w:color="auto"/>
              <w:right w:val="single" w:sz="4" w:space="0" w:color="auto"/>
            </w:tcBorders>
            <w:shd w:val="clear" w:color="auto" w:fill="BFBFBF"/>
            <w:noWrap/>
            <w:vAlign w:val="center"/>
            <w:hideMark/>
          </w:tcPr>
          <w:p w14:paraId="2841D61E" w14:textId="77777777" w:rsidR="0021328A" w:rsidRPr="00BB63D1" w:rsidRDefault="0021328A" w:rsidP="00EC1043">
            <w:pPr>
              <w:rPr>
                <w:rFonts w:cs="Arial"/>
                <w:b/>
                <w:bCs/>
                <w:sz w:val="18"/>
                <w:szCs w:val="18"/>
              </w:rPr>
            </w:pPr>
            <w:r w:rsidRPr="00BB63D1">
              <w:rPr>
                <w:rFonts w:cs="Arial"/>
                <w:b/>
                <w:bCs/>
                <w:sz w:val="18"/>
                <w:szCs w:val="18"/>
              </w:rPr>
              <w:t>Druh</w:t>
            </w:r>
          </w:p>
        </w:tc>
        <w:tc>
          <w:tcPr>
            <w:tcW w:w="333" w:type="pct"/>
            <w:tcBorders>
              <w:top w:val="single" w:sz="4" w:space="0" w:color="auto"/>
              <w:left w:val="nil"/>
              <w:bottom w:val="single" w:sz="4" w:space="0" w:color="auto"/>
              <w:right w:val="single" w:sz="4" w:space="0" w:color="auto"/>
            </w:tcBorders>
            <w:shd w:val="clear" w:color="auto" w:fill="BFBFBF"/>
            <w:vAlign w:val="center"/>
          </w:tcPr>
          <w:p w14:paraId="00C00E5A" w14:textId="77777777" w:rsidR="0021328A" w:rsidRPr="00BB63D1" w:rsidRDefault="0021328A" w:rsidP="00EC1043">
            <w:pPr>
              <w:rPr>
                <w:rFonts w:cs="Arial"/>
                <w:b/>
                <w:bCs/>
                <w:sz w:val="18"/>
                <w:szCs w:val="18"/>
              </w:rPr>
            </w:pPr>
            <w:r w:rsidRPr="00BB63D1">
              <w:rPr>
                <w:rFonts w:cs="Arial"/>
                <w:b/>
                <w:bCs/>
                <w:sz w:val="18"/>
                <w:szCs w:val="18"/>
              </w:rPr>
              <w:t>2013</w:t>
            </w:r>
          </w:p>
        </w:tc>
        <w:tc>
          <w:tcPr>
            <w:tcW w:w="332" w:type="pct"/>
            <w:tcBorders>
              <w:top w:val="single" w:sz="4" w:space="0" w:color="auto"/>
              <w:left w:val="nil"/>
              <w:bottom w:val="single" w:sz="4" w:space="0" w:color="auto"/>
              <w:right w:val="single" w:sz="4" w:space="0" w:color="auto"/>
            </w:tcBorders>
            <w:shd w:val="clear" w:color="auto" w:fill="BFBFBF"/>
            <w:vAlign w:val="center"/>
          </w:tcPr>
          <w:p w14:paraId="62F330D1" w14:textId="77777777" w:rsidR="0021328A" w:rsidRPr="00BB63D1" w:rsidRDefault="0021328A" w:rsidP="00EC1043">
            <w:pPr>
              <w:rPr>
                <w:rFonts w:cs="Arial"/>
                <w:b/>
                <w:bCs/>
                <w:sz w:val="18"/>
                <w:szCs w:val="18"/>
              </w:rPr>
            </w:pPr>
            <w:r w:rsidRPr="00BB63D1">
              <w:rPr>
                <w:rFonts w:cs="Arial"/>
                <w:b/>
                <w:bCs/>
                <w:sz w:val="18"/>
                <w:szCs w:val="18"/>
              </w:rPr>
              <w:t>2014</w:t>
            </w:r>
          </w:p>
        </w:tc>
        <w:tc>
          <w:tcPr>
            <w:tcW w:w="266" w:type="pct"/>
            <w:tcBorders>
              <w:top w:val="single" w:sz="4" w:space="0" w:color="auto"/>
              <w:left w:val="nil"/>
              <w:bottom w:val="single" w:sz="4" w:space="0" w:color="auto"/>
              <w:right w:val="single" w:sz="4" w:space="0" w:color="auto"/>
            </w:tcBorders>
            <w:shd w:val="clear" w:color="auto" w:fill="BFBFBF"/>
            <w:vAlign w:val="center"/>
          </w:tcPr>
          <w:p w14:paraId="26A49C84" w14:textId="77777777" w:rsidR="0021328A" w:rsidRPr="00BB63D1" w:rsidRDefault="0021328A" w:rsidP="00EC1043">
            <w:pPr>
              <w:rPr>
                <w:rFonts w:cs="Arial"/>
                <w:b/>
                <w:bCs/>
                <w:sz w:val="18"/>
                <w:szCs w:val="18"/>
              </w:rPr>
            </w:pPr>
            <w:r w:rsidRPr="00BB63D1">
              <w:rPr>
                <w:rFonts w:cs="Arial"/>
                <w:b/>
                <w:bCs/>
                <w:color w:val="000000"/>
                <w:sz w:val="18"/>
                <w:szCs w:val="18"/>
              </w:rPr>
              <w:t>2015</w:t>
            </w:r>
          </w:p>
        </w:tc>
        <w:tc>
          <w:tcPr>
            <w:tcW w:w="332" w:type="pct"/>
            <w:tcBorders>
              <w:top w:val="single" w:sz="4" w:space="0" w:color="auto"/>
              <w:left w:val="nil"/>
              <w:bottom w:val="single" w:sz="4" w:space="0" w:color="auto"/>
              <w:right w:val="single" w:sz="4" w:space="0" w:color="auto"/>
            </w:tcBorders>
            <w:shd w:val="clear" w:color="auto" w:fill="BFBFBF"/>
            <w:vAlign w:val="center"/>
          </w:tcPr>
          <w:p w14:paraId="14154A0C" w14:textId="77777777" w:rsidR="0021328A" w:rsidRPr="00BB63D1" w:rsidRDefault="0021328A" w:rsidP="00EC1043">
            <w:pPr>
              <w:jc w:val="center"/>
              <w:rPr>
                <w:rFonts w:cs="Arial"/>
                <w:b/>
                <w:bCs/>
                <w:color w:val="000000"/>
                <w:sz w:val="18"/>
                <w:szCs w:val="18"/>
              </w:rPr>
            </w:pPr>
            <w:r w:rsidRPr="00BB63D1">
              <w:rPr>
                <w:rFonts w:cs="Arial"/>
                <w:b/>
                <w:bCs/>
                <w:color w:val="000000"/>
                <w:sz w:val="18"/>
                <w:szCs w:val="18"/>
              </w:rPr>
              <w:t>2016</w:t>
            </w:r>
          </w:p>
        </w:tc>
        <w:tc>
          <w:tcPr>
            <w:tcW w:w="266" w:type="pct"/>
            <w:tcBorders>
              <w:top w:val="single" w:sz="4" w:space="0" w:color="auto"/>
              <w:left w:val="nil"/>
              <w:bottom w:val="single" w:sz="4" w:space="0" w:color="auto"/>
              <w:right w:val="single" w:sz="4" w:space="0" w:color="auto"/>
            </w:tcBorders>
            <w:shd w:val="clear" w:color="auto" w:fill="BFBFBF"/>
            <w:vAlign w:val="center"/>
          </w:tcPr>
          <w:p w14:paraId="0FC67CE3" w14:textId="77777777" w:rsidR="0021328A" w:rsidRPr="00BB63D1" w:rsidRDefault="0021328A" w:rsidP="00EC1043">
            <w:pPr>
              <w:jc w:val="center"/>
              <w:rPr>
                <w:rFonts w:cs="Arial"/>
                <w:b/>
                <w:sz w:val="18"/>
                <w:szCs w:val="18"/>
              </w:rPr>
            </w:pPr>
            <w:r w:rsidRPr="00BB63D1">
              <w:rPr>
                <w:rFonts w:cs="Arial"/>
                <w:b/>
                <w:sz w:val="18"/>
                <w:szCs w:val="18"/>
              </w:rPr>
              <w:t>2017</w:t>
            </w:r>
          </w:p>
        </w:tc>
        <w:tc>
          <w:tcPr>
            <w:tcW w:w="267" w:type="pct"/>
            <w:tcBorders>
              <w:top w:val="single" w:sz="4" w:space="0" w:color="auto"/>
              <w:bottom w:val="single" w:sz="4" w:space="0" w:color="auto"/>
              <w:right w:val="single" w:sz="4" w:space="0" w:color="auto"/>
            </w:tcBorders>
            <w:shd w:val="clear" w:color="auto" w:fill="BFBFBF"/>
            <w:vAlign w:val="center"/>
          </w:tcPr>
          <w:p w14:paraId="4CB1D1BA" w14:textId="77777777" w:rsidR="0021328A" w:rsidRPr="00BB63D1" w:rsidRDefault="0021328A" w:rsidP="00EC1043">
            <w:pPr>
              <w:jc w:val="center"/>
              <w:rPr>
                <w:rFonts w:cs="Arial"/>
                <w:b/>
                <w:sz w:val="18"/>
                <w:szCs w:val="18"/>
              </w:rPr>
            </w:pPr>
            <w:r w:rsidRPr="00BB63D1">
              <w:rPr>
                <w:rFonts w:cs="Arial"/>
                <w:b/>
                <w:sz w:val="18"/>
                <w:szCs w:val="18"/>
              </w:rPr>
              <w:t>2018</w:t>
            </w:r>
          </w:p>
        </w:tc>
        <w:tc>
          <w:tcPr>
            <w:tcW w:w="332" w:type="pct"/>
            <w:tcBorders>
              <w:top w:val="single" w:sz="4" w:space="0" w:color="auto"/>
              <w:bottom w:val="single" w:sz="4" w:space="0" w:color="auto"/>
              <w:right w:val="single" w:sz="4" w:space="0" w:color="auto"/>
            </w:tcBorders>
            <w:shd w:val="clear" w:color="auto" w:fill="BFBFBF"/>
            <w:vAlign w:val="center"/>
          </w:tcPr>
          <w:p w14:paraId="5CC7AE6D" w14:textId="77777777" w:rsidR="0021328A" w:rsidRPr="00BB63D1" w:rsidRDefault="0021328A" w:rsidP="00EC1043">
            <w:pPr>
              <w:jc w:val="center"/>
              <w:rPr>
                <w:rFonts w:cs="Arial"/>
                <w:b/>
                <w:sz w:val="18"/>
                <w:szCs w:val="18"/>
              </w:rPr>
            </w:pPr>
            <w:r w:rsidRPr="00BB63D1">
              <w:rPr>
                <w:rFonts w:cs="Arial"/>
                <w:b/>
                <w:sz w:val="18"/>
                <w:szCs w:val="18"/>
              </w:rPr>
              <w:t>2019</w:t>
            </w:r>
          </w:p>
        </w:tc>
        <w:tc>
          <w:tcPr>
            <w:tcW w:w="266" w:type="pct"/>
            <w:tcBorders>
              <w:top w:val="single" w:sz="4" w:space="0" w:color="auto"/>
              <w:left w:val="single" w:sz="4" w:space="0" w:color="auto"/>
              <w:bottom w:val="single" w:sz="4" w:space="0" w:color="auto"/>
              <w:right w:val="single" w:sz="4" w:space="0" w:color="auto"/>
            </w:tcBorders>
            <w:shd w:val="clear" w:color="auto" w:fill="BFBFBF"/>
          </w:tcPr>
          <w:p w14:paraId="737B6DFA" w14:textId="77777777" w:rsidR="0021328A" w:rsidRPr="00BB63D1" w:rsidRDefault="0021328A" w:rsidP="00EC1043">
            <w:pPr>
              <w:jc w:val="center"/>
              <w:rPr>
                <w:rFonts w:cs="Arial"/>
                <w:b/>
                <w:sz w:val="18"/>
                <w:szCs w:val="18"/>
              </w:rPr>
            </w:pPr>
            <w:r w:rsidRPr="00BB63D1">
              <w:rPr>
                <w:rFonts w:cs="Arial"/>
                <w:b/>
                <w:sz w:val="18"/>
                <w:szCs w:val="18"/>
              </w:rPr>
              <w:t>2020</w:t>
            </w:r>
          </w:p>
        </w:tc>
        <w:tc>
          <w:tcPr>
            <w:tcW w:w="332" w:type="pct"/>
            <w:tcBorders>
              <w:top w:val="single" w:sz="4" w:space="0" w:color="auto"/>
              <w:left w:val="single" w:sz="4" w:space="0" w:color="auto"/>
              <w:bottom w:val="single" w:sz="4" w:space="0" w:color="auto"/>
              <w:right w:val="single" w:sz="4" w:space="0" w:color="auto"/>
            </w:tcBorders>
            <w:shd w:val="clear" w:color="auto" w:fill="BFBFBF"/>
          </w:tcPr>
          <w:p w14:paraId="6136FC9D" w14:textId="77777777" w:rsidR="0021328A" w:rsidRPr="00BB63D1" w:rsidRDefault="0021328A" w:rsidP="00EC1043">
            <w:pPr>
              <w:jc w:val="center"/>
              <w:rPr>
                <w:rFonts w:cs="Arial"/>
                <w:b/>
                <w:sz w:val="18"/>
                <w:szCs w:val="18"/>
              </w:rPr>
            </w:pPr>
            <w:r w:rsidRPr="00BB63D1">
              <w:rPr>
                <w:rFonts w:cs="Arial"/>
                <w:b/>
                <w:sz w:val="18"/>
                <w:szCs w:val="18"/>
              </w:rPr>
              <w:t>2021</w:t>
            </w:r>
          </w:p>
        </w:tc>
        <w:tc>
          <w:tcPr>
            <w:tcW w:w="266" w:type="pct"/>
            <w:tcBorders>
              <w:top w:val="single" w:sz="4" w:space="0" w:color="auto"/>
              <w:left w:val="single" w:sz="4" w:space="0" w:color="auto"/>
              <w:bottom w:val="single" w:sz="4" w:space="0" w:color="auto"/>
              <w:right w:val="single" w:sz="4" w:space="0" w:color="auto"/>
            </w:tcBorders>
            <w:shd w:val="clear" w:color="auto" w:fill="BFBFBF"/>
          </w:tcPr>
          <w:p w14:paraId="1586095A" w14:textId="77777777" w:rsidR="0021328A" w:rsidRPr="00BB63D1" w:rsidRDefault="0021328A" w:rsidP="00EC1043">
            <w:pPr>
              <w:jc w:val="center"/>
              <w:rPr>
                <w:rFonts w:cs="Arial"/>
                <w:b/>
                <w:sz w:val="18"/>
                <w:szCs w:val="18"/>
              </w:rPr>
            </w:pPr>
            <w:r w:rsidRPr="00BB63D1">
              <w:rPr>
                <w:rFonts w:cs="Arial"/>
                <w:b/>
                <w:sz w:val="18"/>
                <w:szCs w:val="18"/>
              </w:rPr>
              <w:t>2022</w:t>
            </w:r>
          </w:p>
        </w:tc>
        <w:tc>
          <w:tcPr>
            <w:tcW w:w="334" w:type="pct"/>
            <w:tcBorders>
              <w:top w:val="single" w:sz="4" w:space="0" w:color="auto"/>
              <w:left w:val="single" w:sz="4" w:space="0" w:color="auto"/>
              <w:bottom w:val="single" w:sz="4" w:space="0" w:color="auto"/>
              <w:right w:val="single" w:sz="4" w:space="0" w:color="auto"/>
            </w:tcBorders>
            <w:shd w:val="clear" w:color="auto" w:fill="BFBFBF"/>
          </w:tcPr>
          <w:p w14:paraId="0CB30445" w14:textId="1E1A5F00" w:rsidR="0021328A" w:rsidRPr="00BB63D1" w:rsidRDefault="0021328A" w:rsidP="00EC1043">
            <w:pPr>
              <w:jc w:val="center"/>
              <w:rPr>
                <w:rFonts w:cs="Arial"/>
                <w:b/>
                <w:sz w:val="18"/>
                <w:szCs w:val="18"/>
              </w:rPr>
            </w:pPr>
            <w:r w:rsidRPr="00BB63D1">
              <w:rPr>
                <w:rFonts w:cs="Arial"/>
                <w:b/>
                <w:sz w:val="18"/>
                <w:szCs w:val="18"/>
              </w:rPr>
              <w:t>2023</w:t>
            </w:r>
          </w:p>
        </w:tc>
        <w:tc>
          <w:tcPr>
            <w:tcW w:w="332" w:type="pct"/>
            <w:tcBorders>
              <w:top w:val="single" w:sz="4" w:space="0" w:color="auto"/>
              <w:left w:val="single" w:sz="4" w:space="0" w:color="auto"/>
              <w:bottom w:val="single" w:sz="4" w:space="0" w:color="auto"/>
              <w:right w:val="single" w:sz="4" w:space="0" w:color="auto"/>
            </w:tcBorders>
            <w:shd w:val="clear" w:color="auto" w:fill="BFBFBF"/>
          </w:tcPr>
          <w:p w14:paraId="3325B5B5" w14:textId="19A9F2A1" w:rsidR="0021328A" w:rsidRPr="00BB63D1" w:rsidRDefault="0021328A" w:rsidP="00EC1043">
            <w:pPr>
              <w:jc w:val="center"/>
              <w:rPr>
                <w:rFonts w:cs="Arial"/>
                <w:b/>
                <w:sz w:val="18"/>
                <w:szCs w:val="18"/>
              </w:rPr>
            </w:pPr>
            <w:r w:rsidRPr="00BB63D1">
              <w:rPr>
                <w:rFonts w:cs="Arial"/>
                <w:b/>
                <w:sz w:val="18"/>
                <w:szCs w:val="18"/>
              </w:rPr>
              <w:t>2024</w:t>
            </w:r>
          </w:p>
        </w:tc>
        <w:tc>
          <w:tcPr>
            <w:tcW w:w="336" w:type="pct"/>
            <w:tcBorders>
              <w:top w:val="single" w:sz="4" w:space="0" w:color="auto"/>
              <w:left w:val="single" w:sz="4" w:space="0" w:color="auto"/>
              <w:bottom w:val="single" w:sz="4" w:space="0" w:color="auto"/>
              <w:right w:val="single" w:sz="4" w:space="0" w:color="auto"/>
            </w:tcBorders>
            <w:shd w:val="clear" w:color="auto" w:fill="BFBFBF"/>
          </w:tcPr>
          <w:p w14:paraId="12502398" w14:textId="66E0E95E" w:rsidR="0021328A" w:rsidRPr="00BB63D1" w:rsidRDefault="0021328A" w:rsidP="00EC1043">
            <w:pPr>
              <w:jc w:val="center"/>
              <w:rPr>
                <w:rFonts w:cs="Arial"/>
                <w:b/>
                <w:sz w:val="18"/>
                <w:szCs w:val="18"/>
              </w:rPr>
            </w:pPr>
            <w:r w:rsidRPr="00BB63D1">
              <w:rPr>
                <w:rFonts w:cs="Arial"/>
                <w:b/>
                <w:sz w:val="18"/>
                <w:szCs w:val="18"/>
              </w:rPr>
              <w:t>2025</w:t>
            </w:r>
          </w:p>
        </w:tc>
      </w:tr>
      <w:tr w:rsidR="0021328A" w:rsidRPr="00BB63D1" w14:paraId="7C5810D3" w14:textId="7BA30299" w:rsidTr="00D55FEF">
        <w:trPr>
          <w:trHeight w:val="185"/>
          <w:jc w:val="center"/>
        </w:trPr>
        <w:tc>
          <w:tcPr>
            <w:tcW w:w="1002" w:type="pct"/>
            <w:vMerge/>
            <w:tcBorders>
              <w:left w:val="single" w:sz="4" w:space="0" w:color="auto"/>
              <w:bottom w:val="single" w:sz="4" w:space="0" w:color="auto"/>
              <w:right w:val="single" w:sz="4" w:space="0" w:color="auto"/>
            </w:tcBorders>
            <w:shd w:val="clear" w:color="auto" w:fill="BFBFBF"/>
            <w:noWrap/>
            <w:vAlign w:val="center"/>
          </w:tcPr>
          <w:p w14:paraId="67821733" w14:textId="77777777" w:rsidR="0021328A" w:rsidRPr="00BB63D1" w:rsidRDefault="0021328A" w:rsidP="00EC1043">
            <w:pPr>
              <w:rPr>
                <w:rFonts w:cs="Arial"/>
                <w:b/>
                <w:bCs/>
                <w:sz w:val="18"/>
                <w:szCs w:val="18"/>
              </w:rPr>
            </w:pPr>
          </w:p>
        </w:tc>
        <w:tc>
          <w:tcPr>
            <w:tcW w:w="3998" w:type="pct"/>
            <w:gridSpan w:val="14"/>
            <w:tcBorders>
              <w:top w:val="single" w:sz="4" w:space="0" w:color="auto"/>
              <w:left w:val="nil"/>
              <w:bottom w:val="single" w:sz="4" w:space="0" w:color="auto"/>
              <w:right w:val="single" w:sz="4" w:space="0" w:color="auto"/>
            </w:tcBorders>
            <w:shd w:val="clear" w:color="auto" w:fill="BFBFBF"/>
            <w:vAlign w:val="center"/>
          </w:tcPr>
          <w:p w14:paraId="37A7AD68" w14:textId="5C659CDE" w:rsidR="0021328A" w:rsidRPr="00BB63D1" w:rsidRDefault="0021328A" w:rsidP="00EC1043">
            <w:pPr>
              <w:jc w:val="center"/>
              <w:rPr>
                <w:rFonts w:cs="Arial"/>
                <w:b/>
                <w:bCs/>
                <w:color w:val="000000"/>
                <w:sz w:val="18"/>
                <w:szCs w:val="18"/>
              </w:rPr>
            </w:pPr>
            <w:r w:rsidRPr="00BB63D1">
              <w:rPr>
                <w:rFonts w:cs="Arial"/>
                <w:b/>
                <w:bCs/>
                <w:color w:val="000000"/>
                <w:sz w:val="18"/>
                <w:szCs w:val="18"/>
              </w:rPr>
              <w:t>kg/osobu/rok</w:t>
            </w:r>
          </w:p>
        </w:tc>
      </w:tr>
      <w:tr w:rsidR="0021328A" w:rsidRPr="00BB63D1" w14:paraId="7613820D" w14:textId="721BDD83" w:rsidTr="00D55FEF">
        <w:trPr>
          <w:gridAfter w:val="1"/>
          <w:wAfter w:w="4" w:type="pct"/>
          <w:trHeight w:val="185"/>
          <w:jc w:val="center"/>
        </w:trPr>
        <w:tc>
          <w:tcPr>
            <w:tcW w:w="1002" w:type="pct"/>
            <w:tcBorders>
              <w:top w:val="nil"/>
              <w:left w:val="single" w:sz="4" w:space="0" w:color="auto"/>
              <w:bottom w:val="single" w:sz="4" w:space="0" w:color="auto"/>
              <w:right w:val="single" w:sz="4" w:space="0" w:color="auto"/>
            </w:tcBorders>
            <w:shd w:val="clear" w:color="auto" w:fill="BFBFBF"/>
            <w:noWrap/>
            <w:vAlign w:val="center"/>
            <w:hideMark/>
          </w:tcPr>
          <w:p w14:paraId="598A64F6" w14:textId="77777777" w:rsidR="0021328A" w:rsidRPr="00BB63D1" w:rsidRDefault="0021328A" w:rsidP="00EC1043">
            <w:pPr>
              <w:rPr>
                <w:rFonts w:cs="Arial"/>
                <w:b/>
                <w:bCs/>
                <w:sz w:val="18"/>
                <w:szCs w:val="18"/>
              </w:rPr>
            </w:pPr>
            <w:r w:rsidRPr="00BB63D1">
              <w:rPr>
                <w:rFonts w:cs="Arial"/>
                <w:b/>
                <w:bCs/>
                <w:sz w:val="18"/>
                <w:szCs w:val="18"/>
              </w:rPr>
              <w:t>Ryby celkem</w:t>
            </w:r>
          </w:p>
        </w:tc>
        <w:tc>
          <w:tcPr>
            <w:tcW w:w="333" w:type="pct"/>
            <w:tcBorders>
              <w:top w:val="nil"/>
              <w:left w:val="nil"/>
              <w:bottom w:val="single" w:sz="4" w:space="0" w:color="auto"/>
              <w:right w:val="single" w:sz="4" w:space="0" w:color="auto"/>
            </w:tcBorders>
          </w:tcPr>
          <w:p w14:paraId="2D502A61" w14:textId="77777777" w:rsidR="0021328A" w:rsidRPr="00BB63D1" w:rsidRDefault="0021328A" w:rsidP="00EC1043">
            <w:pPr>
              <w:jc w:val="center"/>
              <w:rPr>
                <w:rFonts w:cs="Arial"/>
                <w:sz w:val="18"/>
                <w:szCs w:val="18"/>
              </w:rPr>
            </w:pPr>
            <w:r w:rsidRPr="00BB63D1">
              <w:rPr>
                <w:sz w:val="18"/>
                <w:szCs w:val="18"/>
              </w:rPr>
              <w:t>5,3</w:t>
            </w:r>
          </w:p>
        </w:tc>
        <w:tc>
          <w:tcPr>
            <w:tcW w:w="332" w:type="pct"/>
            <w:tcBorders>
              <w:top w:val="nil"/>
              <w:left w:val="nil"/>
              <w:bottom w:val="single" w:sz="4" w:space="0" w:color="auto"/>
              <w:right w:val="single" w:sz="4" w:space="0" w:color="auto"/>
            </w:tcBorders>
          </w:tcPr>
          <w:p w14:paraId="77768C20" w14:textId="77777777" w:rsidR="0021328A" w:rsidRPr="00BB63D1" w:rsidRDefault="0021328A" w:rsidP="00EC1043">
            <w:pPr>
              <w:jc w:val="center"/>
              <w:rPr>
                <w:rFonts w:cs="Arial"/>
                <w:sz w:val="18"/>
                <w:szCs w:val="18"/>
              </w:rPr>
            </w:pPr>
            <w:r w:rsidRPr="00BB63D1">
              <w:rPr>
                <w:sz w:val="18"/>
                <w:szCs w:val="18"/>
              </w:rPr>
              <w:t>5,4</w:t>
            </w:r>
          </w:p>
        </w:tc>
        <w:tc>
          <w:tcPr>
            <w:tcW w:w="266" w:type="pct"/>
            <w:tcBorders>
              <w:top w:val="nil"/>
              <w:left w:val="nil"/>
              <w:bottom w:val="single" w:sz="4" w:space="0" w:color="auto"/>
              <w:right w:val="single" w:sz="4" w:space="0" w:color="auto"/>
            </w:tcBorders>
          </w:tcPr>
          <w:p w14:paraId="19EA8D01" w14:textId="77777777" w:rsidR="0021328A" w:rsidRPr="00BB63D1" w:rsidRDefault="0021328A" w:rsidP="00EC1043">
            <w:pPr>
              <w:jc w:val="center"/>
              <w:rPr>
                <w:rFonts w:cs="Arial"/>
                <w:sz w:val="18"/>
                <w:szCs w:val="18"/>
              </w:rPr>
            </w:pPr>
            <w:r w:rsidRPr="00BB63D1">
              <w:rPr>
                <w:sz w:val="18"/>
                <w:szCs w:val="18"/>
              </w:rPr>
              <w:t>5,5</w:t>
            </w:r>
          </w:p>
        </w:tc>
        <w:tc>
          <w:tcPr>
            <w:tcW w:w="332" w:type="pct"/>
            <w:tcBorders>
              <w:top w:val="single" w:sz="4" w:space="0" w:color="auto"/>
              <w:left w:val="nil"/>
              <w:bottom w:val="single" w:sz="4" w:space="0" w:color="auto"/>
              <w:right w:val="single" w:sz="4" w:space="0" w:color="auto"/>
            </w:tcBorders>
          </w:tcPr>
          <w:p w14:paraId="5630300F" w14:textId="77777777" w:rsidR="0021328A" w:rsidRPr="00BB63D1" w:rsidRDefault="0021328A" w:rsidP="00EC1043">
            <w:pPr>
              <w:jc w:val="center"/>
              <w:rPr>
                <w:rFonts w:cs="Arial"/>
                <w:sz w:val="18"/>
                <w:szCs w:val="18"/>
              </w:rPr>
            </w:pPr>
            <w:r w:rsidRPr="00BB63D1">
              <w:rPr>
                <w:sz w:val="18"/>
                <w:szCs w:val="18"/>
              </w:rPr>
              <w:t>5,1</w:t>
            </w:r>
          </w:p>
        </w:tc>
        <w:tc>
          <w:tcPr>
            <w:tcW w:w="266" w:type="pct"/>
            <w:tcBorders>
              <w:top w:val="single" w:sz="4" w:space="0" w:color="auto"/>
              <w:left w:val="nil"/>
              <w:bottom w:val="single" w:sz="4" w:space="0" w:color="auto"/>
              <w:right w:val="single" w:sz="4" w:space="0" w:color="auto"/>
            </w:tcBorders>
          </w:tcPr>
          <w:p w14:paraId="11B0A158" w14:textId="77777777" w:rsidR="0021328A" w:rsidRPr="00BB63D1" w:rsidRDefault="0021328A" w:rsidP="00EC1043">
            <w:pPr>
              <w:jc w:val="center"/>
              <w:rPr>
                <w:rFonts w:cs="Arial"/>
                <w:sz w:val="18"/>
                <w:szCs w:val="18"/>
              </w:rPr>
            </w:pPr>
            <w:r w:rsidRPr="00BB63D1">
              <w:rPr>
                <w:sz w:val="18"/>
                <w:szCs w:val="18"/>
              </w:rPr>
              <w:t>5,4</w:t>
            </w:r>
          </w:p>
        </w:tc>
        <w:tc>
          <w:tcPr>
            <w:tcW w:w="267" w:type="pct"/>
            <w:tcBorders>
              <w:top w:val="single" w:sz="4" w:space="0" w:color="auto"/>
              <w:bottom w:val="single" w:sz="4" w:space="0" w:color="auto"/>
              <w:right w:val="single" w:sz="4" w:space="0" w:color="auto"/>
            </w:tcBorders>
            <w:vAlign w:val="center"/>
          </w:tcPr>
          <w:p w14:paraId="402A640B" w14:textId="77777777" w:rsidR="0021328A" w:rsidRPr="00BB63D1" w:rsidRDefault="0021328A" w:rsidP="00EC1043">
            <w:pPr>
              <w:jc w:val="center"/>
              <w:rPr>
                <w:rFonts w:cs="Arial"/>
                <w:sz w:val="18"/>
                <w:szCs w:val="18"/>
              </w:rPr>
            </w:pPr>
            <w:r w:rsidRPr="00BB63D1">
              <w:rPr>
                <w:rFonts w:cs="Arial"/>
                <w:sz w:val="18"/>
                <w:szCs w:val="18"/>
              </w:rPr>
              <w:t>5,6</w:t>
            </w:r>
          </w:p>
        </w:tc>
        <w:tc>
          <w:tcPr>
            <w:tcW w:w="332" w:type="pct"/>
            <w:tcBorders>
              <w:top w:val="single" w:sz="4" w:space="0" w:color="auto"/>
              <w:bottom w:val="single" w:sz="4" w:space="0" w:color="auto"/>
              <w:right w:val="single" w:sz="4" w:space="0" w:color="auto"/>
            </w:tcBorders>
            <w:vAlign w:val="center"/>
          </w:tcPr>
          <w:p w14:paraId="354CC0E1" w14:textId="77777777" w:rsidR="0021328A" w:rsidRPr="00BB63D1" w:rsidRDefault="0021328A" w:rsidP="00EC1043">
            <w:pPr>
              <w:jc w:val="center"/>
              <w:rPr>
                <w:rFonts w:cs="Arial"/>
                <w:sz w:val="18"/>
                <w:szCs w:val="18"/>
                <w:vertAlign w:val="superscript"/>
              </w:rPr>
            </w:pPr>
            <w:r w:rsidRPr="00BB63D1">
              <w:rPr>
                <w:rFonts w:cs="Arial"/>
                <w:sz w:val="18"/>
                <w:szCs w:val="18"/>
              </w:rPr>
              <w:t>6,0</w:t>
            </w:r>
          </w:p>
        </w:tc>
        <w:tc>
          <w:tcPr>
            <w:tcW w:w="266" w:type="pct"/>
            <w:tcBorders>
              <w:top w:val="single" w:sz="4" w:space="0" w:color="auto"/>
              <w:left w:val="single" w:sz="4" w:space="0" w:color="auto"/>
              <w:bottom w:val="single" w:sz="4" w:space="0" w:color="auto"/>
              <w:right w:val="single" w:sz="4" w:space="0" w:color="auto"/>
            </w:tcBorders>
          </w:tcPr>
          <w:p w14:paraId="5C904B22" w14:textId="77777777" w:rsidR="0021328A" w:rsidRPr="00BB63D1" w:rsidRDefault="0021328A" w:rsidP="00EC1043">
            <w:pPr>
              <w:jc w:val="center"/>
              <w:rPr>
                <w:rFonts w:cs="Arial"/>
                <w:sz w:val="18"/>
                <w:szCs w:val="18"/>
              </w:rPr>
            </w:pPr>
            <w:r w:rsidRPr="00BB63D1">
              <w:rPr>
                <w:rFonts w:cs="Arial"/>
                <w:sz w:val="18"/>
                <w:szCs w:val="18"/>
              </w:rPr>
              <w:t>5,7</w:t>
            </w:r>
          </w:p>
        </w:tc>
        <w:tc>
          <w:tcPr>
            <w:tcW w:w="332" w:type="pct"/>
            <w:tcBorders>
              <w:top w:val="single" w:sz="4" w:space="0" w:color="auto"/>
              <w:left w:val="single" w:sz="4" w:space="0" w:color="auto"/>
              <w:bottom w:val="single" w:sz="4" w:space="0" w:color="auto"/>
              <w:right w:val="single" w:sz="4" w:space="0" w:color="auto"/>
            </w:tcBorders>
          </w:tcPr>
          <w:p w14:paraId="269F3790" w14:textId="77777777" w:rsidR="0021328A" w:rsidRPr="00BB63D1" w:rsidRDefault="0021328A" w:rsidP="00EC1043">
            <w:pPr>
              <w:jc w:val="center"/>
              <w:rPr>
                <w:rFonts w:cs="Arial"/>
                <w:sz w:val="18"/>
                <w:szCs w:val="18"/>
              </w:rPr>
            </w:pPr>
            <w:r w:rsidRPr="00BB63D1">
              <w:rPr>
                <w:rFonts w:cs="Arial"/>
                <w:sz w:val="18"/>
                <w:szCs w:val="18"/>
              </w:rPr>
              <w:t>5,6</w:t>
            </w:r>
          </w:p>
        </w:tc>
        <w:tc>
          <w:tcPr>
            <w:tcW w:w="266" w:type="pct"/>
            <w:tcBorders>
              <w:top w:val="single" w:sz="4" w:space="0" w:color="auto"/>
              <w:left w:val="single" w:sz="4" w:space="0" w:color="auto"/>
              <w:bottom w:val="single" w:sz="4" w:space="0" w:color="auto"/>
              <w:right w:val="single" w:sz="4" w:space="0" w:color="auto"/>
            </w:tcBorders>
          </w:tcPr>
          <w:p w14:paraId="45234B7B" w14:textId="6C3C5522" w:rsidR="0021328A" w:rsidRPr="00BB63D1" w:rsidRDefault="0021328A" w:rsidP="00EC1043">
            <w:pPr>
              <w:jc w:val="center"/>
              <w:rPr>
                <w:rFonts w:cs="Arial"/>
                <w:sz w:val="18"/>
                <w:szCs w:val="18"/>
              </w:rPr>
            </w:pPr>
            <w:r w:rsidRPr="00BB63D1">
              <w:rPr>
                <w:rFonts w:cs="Arial"/>
                <w:sz w:val="18"/>
                <w:szCs w:val="18"/>
              </w:rPr>
              <w:t>5,1</w:t>
            </w:r>
          </w:p>
        </w:tc>
        <w:tc>
          <w:tcPr>
            <w:tcW w:w="334" w:type="pct"/>
            <w:tcBorders>
              <w:top w:val="single" w:sz="4" w:space="0" w:color="auto"/>
              <w:left w:val="single" w:sz="4" w:space="0" w:color="auto"/>
              <w:bottom w:val="single" w:sz="4" w:space="0" w:color="auto"/>
              <w:right w:val="single" w:sz="4" w:space="0" w:color="auto"/>
            </w:tcBorders>
          </w:tcPr>
          <w:p w14:paraId="3D3E5138" w14:textId="49AF86C5" w:rsidR="0021328A" w:rsidRPr="00BB63D1" w:rsidRDefault="0021328A" w:rsidP="00ED5105">
            <w:pPr>
              <w:rPr>
                <w:rFonts w:cs="Arial"/>
                <w:sz w:val="18"/>
                <w:szCs w:val="18"/>
              </w:rPr>
            </w:pPr>
            <w:r w:rsidRPr="00BB63D1">
              <w:rPr>
                <w:rFonts w:cs="Arial"/>
                <w:sz w:val="18"/>
                <w:szCs w:val="18"/>
              </w:rPr>
              <w:t>5,6</w:t>
            </w:r>
          </w:p>
        </w:tc>
        <w:tc>
          <w:tcPr>
            <w:tcW w:w="332" w:type="pct"/>
            <w:tcBorders>
              <w:top w:val="single" w:sz="4" w:space="0" w:color="auto"/>
              <w:left w:val="single" w:sz="4" w:space="0" w:color="auto"/>
              <w:bottom w:val="single" w:sz="4" w:space="0" w:color="auto"/>
              <w:right w:val="single" w:sz="4" w:space="0" w:color="auto"/>
            </w:tcBorders>
          </w:tcPr>
          <w:p w14:paraId="69EDC6EA" w14:textId="5800EF00" w:rsidR="0021328A" w:rsidRPr="00BB63D1" w:rsidRDefault="00631E72" w:rsidP="00EC1043">
            <w:pPr>
              <w:jc w:val="center"/>
              <w:rPr>
                <w:rFonts w:cs="Arial"/>
                <w:sz w:val="18"/>
                <w:szCs w:val="18"/>
              </w:rPr>
            </w:pPr>
            <w:r w:rsidRPr="00BB63D1">
              <w:rPr>
                <w:rFonts w:cs="Arial"/>
                <w:sz w:val="18"/>
                <w:szCs w:val="18"/>
              </w:rPr>
              <w:t>5,7</w:t>
            </w:r>
          </w:p>
        </w:tc>
        <w:tc>
          <w:tcPr>
            <w:tcW w:w="336" w:type="pct"/>
            <w:tcBorders>
              <w:top w:val="single" w:sz="4" w:space="0" w:color="auto"/>
              <w:left w:val="single" w:sz="4" w:space="0" w:color="auto"/>
              <w:bottom w:val="single" w:sz="4" w:space="0" w:color="auto"/>
              <w:right w:val="single" w:sz="4" w:space="0" w:color="auto"/>
            </w:tcBorders>
          </w:tcPr>
          <w:p w14:paraId="320DE1E0" w14:textId="704E0783" w:rsidR="0021328A" w:rsidRPr="00BB63D1" w:rsidRDefault="00631E72" w:rsidP="00EC1043">
            <w:pPr>
              <w:jc w:val="center"/>
              <w:rPr>
                <w:rFonts w:cs="Arial"/>
                <w:i/>
                <w:iCs/>
                <w:sz w:val="18"/>
                <w:szCs w:val="18"/>
                <w:vertAlign w:val="superscript"/>
              </w:rPr>
            </w:pPr>
            <w:r w:rsidRPr="00BB63D1">
              <w:rPr>
                <w:rFonts w:cs="Arial"/>
                <w:i/>
                <w:iCs/>
                <w:sz w:val="20"/>
                <w:szCs w:val="20"/>
                <w:vertAlign w:val="superscript"/>
              </w:rPr>
              <w:t>x)</w:t>
            </w:r>
          </w:p>
        </w:tc>
      </w:tr>
      <w:tr w:rsidR="0021328A" w:rsidRPr="00BB63D1" w14:paraId="4827328B" w14:textId="30B92170" w:rsidTr="00D55FEF">
        <w:trPr>
          <w:gridAfter w:val="1"/>
          <w:wAfter w:w="4" w:type="pct"/>
          <w:trHeight w:val="185"/>
          <w:jc w:val="center"/>
        </w:trPr>
        <w:tc>
          <w:tcPr>
            <w:tcW w:w="1002" w:type="pct"/>
            <w:tcBorders>
              <w:top w:val="nil"/>
              <w:left w:val="single" w:sz="4" w:space="0" w:color="auto"/>
              <w:bottom w:val="single" w:sz="4" w:space="0" w:color="auto"/>
              <w:right w:val="single" w:sz="4" w:space="0" w:color="auto"/>
            </w:tcBorders>
            <w:shd w:val="clear" w:color="auto" w:fill="BFBFBF"/>
            <w:noWrap/>
            <w:vAlign w:val="center"/>
            <w:hideMark/>
          </w:tcPr>
          <w:p w14:paraId="65711ACA" w14:textId="77777777" w:rsidR="0021328A" w:rsidRPr="00BB63D1" w:rsidRDefault="0021328A" w:rsidP="00EC1043">
            <w:pPr>
              <w:rPr>
                <w:rFonts w:cs="Arial"/>
                <w:b/>
                <w:bCs/>
                <w:sz w:val="18"/>
                <w:szCs w:val="18"/>
              </w:rPr>
            </w:pPr>
            <w:r w:rsidRPr="00BB63D1">
              <w:rPr>
                <w:rFonts w:cs="Arial"/>
                <w:b/>
                <w:bCs/>
                <w:sz w:val="18"/>
                <w:szCs w:val="18"/>
              </w:rPr>
              <w:t xml:space="preserve">z toho sladkovodní </w:t>
            </w:r>
          </w:p>
          <w:p w14:paraId="3F1DB124" w14:textId="77777777" w:rsidR="0021328A" w:rsidRPr="00BB63D1" w:rsidRDefault="0021328A" w:rsidP="00EC1043">
            <w:pPr>
              <w:rPr>
                <w:rFonts w:cs="Arial"/>
                <w:b/>
                <w:bCs/>
                <w:sz w:val="18"/>
                <w:szCs w:val="18"/>
              </w:rPr>
            </w:pPr>
            <w:r w:rsidRPr="00BB63D1">
              <w:rPr>
                <w:rFonts w:cs="Arial"/>
                <w:b/>
                <w:bCs/>
                <w:sz w:val="18"/>
                <w:szCs w:val="18"/>
              </w:rPr>
              <w:t>vyprodukované a ulovené v ČR</w:t>
            </w:r>
          </w:p>
        </w:tc>
        <w:tc>
          <w:tcPr>
            <w:tcW w:w="333" w:type="pct"/>
            <w:tcBorders>
              <w:top w:val="nil"/>
              <w:left w:val="nil"/>
              <w:bottom w:val="single" w:sz="4" w:space="0" w:color="auto"/>
              <w:right w:val="single" w:sz="4" w:space="0" w:color="auto"/>
            </w:tcBorders>
            <w:vAlign w:val="center"/>
          </w:tcPr>
          <w:p w14:paraId="71219249" w14:textId="77777777" w:rsidR="0021328A" w:rsidRPr="00BB63D1" w:rsidRDefault="0021328A" w:rsidP="00EC1043">
            <w:pPr>
              <w:jc w:val="center"/>
              <w:rPr>
                <w:rFonts w:cs="Arial"/>
                <w:sz w:val="18"/>
                <w:szCs w:val="18"/>
              </w:rPr>
            </w:pPr>
            <w:r w:rsidRPr="00BB63D1">
              <w:rPr>
                <w:rFonts w:cs="Arial"/>
                <w:sz w:val="18"/>
                <w:szCs w:val="18"/>
              </w:rPr>
              <w:t>1,4</w:t>
            </w:r>
          </w:p>
        </w:tc>
        <w:tc>
          <w:tcPr>
            <w:tcW w:w="332" w:type="pct"/>
            <w:tcBorders>
              <w:top w:val="nil"/>
              <w:left w:val="nil"/>
              <w:bottom w:val="single" w:sz="4" w:space="0" w:color="auto"/>
              <w:right w:val="single" w:sz="4" w:space="0" w:color="auto"/>
            </w:tcBorders>
            <w:vAlign w:val="center"/>
          </w:tcPr>
          <w:p w14:paraId="2FF5DD0D" w14:textId="77777777" w:rsidR="0021328A" w:rsidRPr="00BB63D1" w:rsidRDefault="0021328A" w:rsidP="00EC1043">
            <w:pPr>
              <w:jc w:val="center"/>
              <w:rPr>
                <w:rFonts w:cs="Arial"/>
                <w:sz w:val="18"/>
                <w:szCs w:val="18"/>
              </w:rPr>
            </w:pPr>
            <w:r w:rsidRPr="00BB63D1">
              <w:rPr>
                <w:rFonts w:cs="Arial"/>
                <w:sz w:val="18"/>
                <w:szCs w:val="18"/>
              </w:rPr>
              <w:t>1,3</w:t>
            </w:r>
          </w:p>
        </w:tc>
        <w:tc>
          <w:tcPr>
            <w:tcW w:w="266" w:type="pct"/>
            <w:tcBorders>
              <w:top w:val="nil"/>
              <w:left w:val="nil"/>
              <w:bottom w:val="single" w:sz="4" w:space="0" w:color="auto"/>
              <w:right w:val="single" w:sz="4" w:space="0" w:color="auto"/>
            </w:tcBorders>
            <w:vAlign w:val="center"/>
          </w:tcPr>
          <w:p w14:paraId="062E102C" w14:textId="77777777" w:rsidR="0021328A" w:rsidRPr="00BB63D1" w:rsidRDefault="0021328A" w:rsidP="00EC1043">
            <w:pPr>
              <w:jc w:val="center"/>
              <w:rPr>
                <w:rFonts w:cs="Arial"/>
                <w:sz w:val="18"/>
                <w:szCs w:val="18"/>
              </w:rPr>
            </w:pPr>
            <w:r w:rsidRPr="00BB63D1">
              <w:rPr>
                <w:rFonts w:cs="Arial"/>
                <w:color w:val="000000"/>
                <w:sz w:val="18"/>
                <w:szCs w:val="18"/>
              </w:rPr>
              <w:t>1,4</w:t>
            </w:r>
          </w:p>
        </w:tc>
        <w:tc>
          <w:tcPr>
            <w:tcW w:w="332" w:type="pct"/>
            <w:tcBorders>
              <w:top w:val="single" w:sz="4" w:space="0" w:color="auto"/>
              <w:left w:val="nil"/>
              <w:bottom w:val="single" w:sz="4" w:space="0" w:color="auto"/>
              <w:right w:val="single" w:sz="4" w:space="0" w:color="auto"/>
            </w:tcBorders>
            <w:vAlign w:val="center"/>
          </w:tcPr>
          <w:p w14:paraId="302F104C" w14:textId="77777777" w:rsidR="0021328A" w:rsidRPr="00BB63D1" w:rsidRDefault="0021328A" w:rsidP="00EC1043">
            <w:pPr>
              <w:jc w:val="center"/>
              <w:rPr>
                <w:rFonts w:cs="Arial"/>
                <w:sz w:val="18"/>
                <w:szCs w:val="18"/>
              </w:rPr>
            </w:pPr>
            <w:r w:rsidRPr="00BB63D1">
              <w:rPr>
                <w:rFonts w:cs="Arial"/>
                <w:sz w:val="18"/>
                <w:szCs w:val="18"/>
              </w:rPr>
              <w:t>1,3</w:t>
            </w:r>
          </w:p>
        </w:tc>
        <w:tc>
          <w:tcPr>
            <w:tcW w:w="266" w:type="pct"/>
            <w:tcBorders>
              <w:top w:val="single" w:sz="4" w:space="0" w:color="auto"/>
              <w:left w:val="nil"/>
              <w:bottom w:val="single" w:sz="4" w:space="0" w:color="auto"/>
              <w:right w:val="single" w:sz="4" w:space="0" w:color="auto"/>
            </w:tcBorders>
            <w:vAlign w:val="center"/>
          </w:tcPr>
          <w:p w14:paraId="189102D0" w14:textId="77777777" w:rsidR="0021328A" w:rsidRPr="00BB63D1" w:rsidRDefault="0021328A" w:rsidP="00EC1043">
            <w:pPr>
              <w:jc w:val="center"/>
              <w:rPr>
                <w:rFonts w:cs="Arial"/>
                <w:sz w:val="18"/>
                <w:szCs w:val="18"/>
              </w:rPr>
            </w:pPr>
            <w:r w:rsidRPr="00BB63D1">
              <w:rPr>
                <w:rFonts w:cs="Arial"/>
                <w:sz w:val="18"/>
                <w:szCs w:val="18"/>
              </w:rPr>
              <w:t>1,3</w:t>
            </w:r>
          </w:p>
        </w:tc>
        <w:tc>
          <w:tcPr>
            <w:tcW w:w="267" w:type="pct"/>
            <w:tcBorders>
              <w:top w:val="single" w:sz="4" w:space="0" w:color="auto"/>
              <w:bottom w:val="single" w:sz="4" w:space="0" w:color="auto"/>
              <w:right w:val="single" w:sz="4" w:space="0" w:color="auto"/>
            </w:tcBorders>
            <w:vAlign w:val="center"/>
          </w:tcPr>
          <w:p w14:paraId="0E2598D1" w14:textId="77777777" w:rsidR="0021328A" w:rsidRPr="00BB63D1" w:rsidRDefault="0021328A" w:rsidP="00EC1043">
            <w:pPr>
              <w:jc w:val="center"/>
              <w:rPr>
                <w:rFonts w:cs="Arial"/>
                <w:sz w:val="18"/>
                <w:szCs w:val="18"/>
              </w:rPr>
            </w:pPr>
            <w:r w:rsidRPr="00BB63D1">
              <w:rPr>
                <w:rFonts w:cs="Arial"/>
                <w:sz w:val="18"/>
                <w:szCs w:val="18"/>
              </w:rPr>
              <w:t>1,3</w:t>
            </w:r>
          </w:p>
        </w:tc>
        <w:tc>
          <w:tcPr>
            <w:tcW w:w="332" w:type="pct"/>
            <w:tcBorders>
              <w:top w:val="single" w:sz="4" w:space="0" w:color="auto"/>
              <w:bottom w:val="single" w:sz="4" w:space="0" w:color="auto"/>
              <w:right w:val="single" w:sz="4" w:space="0" w:color="auto"/>
            </w:tcBorders>
            <w:vAlign w:val="center"/>
          </w:tcPr>
          <w:p w14:paraId="536446B1" w14:textId="77777777" w:rsidR="0021328A" w:rsidRPr="00BB63D1" w:rsidRDefault="0021328A" w:rsidP="00EC1043">
            <w:pPr>
              <w:jc w:val="center"/>
              <w:rPr>
                <w:rFonts w:cs="Arial"/>
                <w:sz w:val="18"/>
                <w:szCs w:val="18"/>
              </w:rPr>
            </w:pPr>
            <w:r w:rsidRPr="00BB63D1">
              <w:rPr>
                <w:rFonts w:cs="Arial"/>
                <w:sz w:val="18"/>
                <w:szCs w:val="18"/>
              </w:rPr>
              <w:t>1,3</w:t>
            </w:r>
          </w:p>
        </w:tc>
        <w:tc>
          <w:tcPr>
            <w:tcW w:w="266" w:type="pct"/>
            <w:tcBorders>
              <w:top w:val="single" w:sz="4" w:space="0" w:color="auto"/>
              <w:left w:val="single" w:sz="4" w:space="0" w:color="auto"/>
              <w:bottom w:val="single" w:sz="4" w:space="0" w:color="auto"/>
              <w:right w:val="single" w:sz="4" w:space="0" w:color="auto"/>
            </w:tcBorders>
            <w:vAlign w:val="center"/>
          </w:tcPr>
          <w:p w14:paraId="48F8DA0E" w14:textId="77777777" w:rsidR="0021328A" w:rsidRPr="00BB63D1" w:rsidRDefault="0021328A" w:rsidP="00EC1043">
            <w:pPr>
              <w:jc w:val="center"/>
              <w:rPr>
                <w:rFonts w:cs="Arial"/>
                <w:sz w:val="18"/>
                <w:szCs w:val="18"/>
              </w:rPr>
            </w:pPr>
            <w:r w:rsidRPr="00BB63D1">
              <w:rPr>
                <w:rFonts w:cs="Arial"/>
                <w:sz w:val="18"/>
                <w:szCs w:val="18"/>
              </w:rPr>
              <w:t>1,3</w:t>
            </w:r>
          </w:p>
        </w:tc>
        <w:tc>
          <w:tcPr>
            <w:tcW w:w="332" w:type="pct"/>
            <w:tcBorders>
              <w:top w:val="single" w:sz="4" w:space="0" w:color="auto"/>
              <w:left w:val="single" w:sz="4" w:space="0" w:color="auto"/>
              <w:bottom w:val="single" w:sz="4" w:space="0" w:color="auto"/>
              <w:right w:val="single" w:sz="4" w:space="0" w:color="auto"/>
            </w:tcBorders>
            <w:vAlign w:val="center"/>
          </w:tcPr>
          <w:p w14:paraId="0DD21831" w14:textId="77777777" w:rsidR="0021328A" w:rsidRPr="00BB63D1" w:rsidRDefault="0021328A" w:rsidP="00EC1043">
            <w:pPr>
              <w:jc w:val="center"/>
              <w:rPr>
                <w:rFonts w:cs="Arial"/>
                <w:sz w:val="18"/>
                <w:szCs w:val="18"/>
              </w:rPr>
            </w:pPr>
            <w:r w:rsidRPr="00BB63D1">
              <w:rPr>
                <w:rFonts w:cs="Arial"/>
                <w:sz w:val="18"/>
                <w:szCs w:val="18"/>
              </w:rPr>
              <w:t>1,2</w:t>
            </w:r>
          </w:p>
        </w:tc>
        <w:tc>
          <w:tcPr>
            <w:tcW w:w="266" w:type="pct"/>
            <w:tcBorders>
              <w:top w:val="single" w:sz="4" w:space="0" w:color="auto"/>
              <w:left w:val="single" w:sz="4" w:space="0" w:color="auto"/>
              <w:bottom w:val="single" w:sz="4" w:space="0" w:color="auto"/>
              <w:right w:val="single" w:sz="4" w:space="0" w:color="auto"/>
            </w:tcBorders>
            <w:vAlign w:val="center"/>
          </w:tcPr>
          <w:p w14:paraId="4FF6BFC1" w14:textId="7B4586E2" w:rsidR="0021328A" w:rsidRPr="00BB63D1" w:rsidRDefault="0021328A" w:rsidP="00EC1043">
            <w:pPr>
              <w:jc w:val="center"/>
              <w:rPr>
                <w:rFonts w:cs="Arial"/>
                <w:sz w:val="18"/>
                <w:szCs w:val="18"/>
              </w:rPr>
            </w:pPr>
            <w:r w:rsidRPr="00BB63D1">
              <w:rPr>
                <w:rFonts w:cs="Arial"/>
                <w:sz w:val="18"/>
                <w:szCs w:val="18"/>
              </w:rPr>
              <w:t>1,1</w:t>
            </w:r>
          </w:p>
        </w:tc>
        <w:tc>
          <w:tcPr>
            <w:tcW w:w="334" w:type="pct"/>
            <w:tcBorders>
              <w:top w:val="single" w:sz="4" w:space="0" w:color="auto"/>
              <w:left w:val="single" w:sz="4" w:space="0" w:color="auto"/>
              <w:bottom w:val="single" w:sz="4" w:space="0" w:color="auto"/>
              <w:right w:val="single" w:sz="4" w:space="0" w:color="auto"/>
            </w:tcBorders>
            <w:vAlign w:val="center"/>
          </w:tcPr>
          <w:p w14:paraId="2063941E" w14:textId="5055E0C2" w:rsidR="0021328A" w:rsidRPr="00BB63D1" w:rsidRDefault="0021328A" w:rsidP="00EC1043">
            <w:pPr>
              <w:jc w:val="center"/>
              <w:rPr>
                <w:rFonts w:cs="Arial"/>
                <w:sz w:val="18"/>
                <w:szCs w:val="18"/>
              </w:rPr>
            </w:pPr>
            <w:r w:rsidRPr="00BB63D1">
              <w:rPr>
                <w:rFonts w:cs="Arial"/>
                <w:sz w:val="18"/>
                <w:szCs w:val="18"/>
              </w:rPr>
              <w:t>1,3</w:t>
            </w:r>
          </w:p>
        </w:tc>
        <w:tc>
          <w:tcPr>
            <w:tcW w:w="332" w:type="pct"/>
            <w:tcBorders>
              <w:top w:val="single" w:sz="4" w:space="0" w:color="auto"/>
              <w:left w:val="single" w:sz="4" w:space="0" w:color="auto"/>
              <w:bottom w:val="single" w:sz="4" w:space="0" w:color="auto"/>
              <w:right w:val="single" w:sz="4" w:space="0" w:color="auto"/>
            </w:tcBorders>
            <w:vAlign w:val="center"/>
          </w:tcPr>
          <w:p w14:paraId="578CED47" w14:textId="6C82BB49" w:rsidR="0021328A" w:rsidRPr="00BB63D1" w:rsidRDefault="0021328A" w:rsidP="00EC1043">
            <w:pPr>
              <w:jc w:val="center"/>
              <w:rPr>
                <w:rFonts w:cs="Arial"/>
                <w:sz w:val="18"/>
                <w:szCs w:val="18"/>
              </w:rPr>
            </w:pPr>
            <w:r w:rsidRPr="00BB63D1">
              <w:rPr>
                <w:rFonts w:cs="Arial"/>
                <w:sz w:val="18"/>
                <w:szCs w:val="18"/>
              </w:rPr>
              <w:t>1,1</w:t>
            </w:r>
          </w:p>
        </w:tc>
        <w:tc>
          <w:tcPr>
            <w:tcW w:w="336" w:type="pct"/>
            <w:tcBorders>
              <w:top w:val="single" w:sz="4" w:space="0" w:color="auto"/>
              <w:left w:val="single" w:sz="4" w:space="0" w:color="auto"/>
              <w:bottom w:val="single" w:sz="4" w:space="0" w:color="auto"/>
              <w:right w:val="single" w:sz="4" w:space="0" w:color="auto"/>
            </w:tcBorders>
            <w:vAlign w:val="center"/>
          </w:tcPr>
          <w:p w14:paraId="49448E84" w14:textId="10F53FA3" w:rsidR="0021328A" w:rsidRPr="00BB63D1" w:rsidRDefault="007E718E" w:rsidP="00EC1043">
            <w:pPr>
              <w:jc w:val="center"/>
              <w:rPr>
                <w:rFonts w:cs="Arial"/>
                <w:sz w:val="18"/>
                <w:szCs w:val="18"/>
              </w:rPr>
            </w:pPr>
            <w:r w:rsidRPr="00BB63D1">
              <w:rPr>
                <w:rFonts w:cs="Arial"/>
                <w:sz w:val="18"/>
                <w:szCs w:val="18"/>
              </w:rPr>
              <w:t>1,1</w:t>
            </w:r>
          </w:p>
        </w:tc>
      </w:tr>
    </w:tbl>
    <w:p w14:paraId="22CAD9C3" w14:textId="77777777" w:rsidR="0011043C" w:rsidRPr="00BB63D1" w:rsidRDefault="0011043C" w:rsidP="0011043C">
      <w:pPr>
        <w:rPr>
          <w:rFonts w:cs="Arial"/>
          <w:bCs/>
          <w:i/>
          <w:sz w:val="20"/>
          <w:szCs w:val="20"/>
        </w:rPr>
      </w:pPr>
      <w:r w:rsidRPr="00BB63D1">
        <w:rPr>
          <w:rFonts w:cs="Arial"/>
          <w:bCs/>
          <w:i/>
          <w:sz w:val="20"/>
          <w:szCs w:val="20"/>
        </w:rPr>
        <w:t>Pramen: ČSÚ a Rybářské sdružení ČR</w:t>
      </w:r>
    </w:p>
    <w:p w14:paraId="2E33C252" w14:textId="47DEBF6E" w:rsidR="0011043C" w:rsidRPr="00BB63D1" w:rsidRDefault="004036F0" w:rsidP="0011043C">
      <w:pPr>
        <w:rPr>
          <w:rFonts w:cs="Arial"/>
          <w:i/>
          <w:iCs/>
          <w:sz w:val="20"/>
          <w:szCs w:val="20"/>
        </w:rPr>
      </w:pPr>
      <w:r w:rsidRPr="00BB63D1">
        <w:rPr>
          <w:rFonts w:cs="Arial"/>
          <w:i/>
          <w:iCs/>
          <w:sz w:val="20"/>
          <w:szCs w:val="20"/>
          <w:vertAlign w:val="superscript"/>
        </w:rPr>
        <w:t>x)</w:t>
      </w:r>
      <w:r w:rsidRPr="00BB63D1">
        <w:rPr>
          <w:rFonts w:cs="Arial"/>
          <w:i/>
          <w:iCs/>
          <w:sz w:val="20"/>
          <w:szCs w:val="20"/>
        </w:rPr>
        <w:t xml:space="preserve"> hodnoty nejsou nyní známy</w:t>
      </w:r>
    </w:p>
    <w:p w14:paraId="47624993" w14:textId="72958E56" w:rsidR="00547C0E" w:rsidRPr="005668C1" w:rsidRDefault="002B78ED" w:rsidP="005668C1">
      <w:pPr>
        <w:pStyle w:val="Nadpis1"/>
        <w:rPr>
          <w:highlight w:val="yellow"/>
        </w:rPr>
      </w:pPr>
      <w:r w:rsidRPr="00BB63D1">
        <w:rPr>
          <w:color w:val="FF0000"/>
        </w:rPr>
        <w:br w:type="page"/>
      </w:r>
      <w:bookmarkStart w:id="163" w:name="_Toc10183431"/>
      <w:bookmarkStart w:id="164" w:name="_Toc236991637"/>
      <w:r w:rsidR="00E5021C" w:rsidRPr="005668C1">
        <w:t xml:space="preserve">11. </w:t>
      </w:r>
      <w:r w:rsidR="00547C0E" w:rsidRPr="005668C1">
        <w:t>FINANČNÍ PODPOR</w:t>
      </w:r>
      <w:r w:rsidR="00AC79B2" w:rsidRPr="005668C1">
        <w:t>Y</w:t>
      </w:r>
      <w:r w:rsidR="00547C0E" w:rsidRPr="005668C1">
        <w:t xml:space="preserve"> VODNÍHO HOSPODÁŘSTVÍ</w:t>
      </w:r>
      <w:bookmarkEnd w:id="163"/>
      <w:bookmarkEnd w:id="164"/>
      <w:r w:rsidR="00DB6F29" w:rsidRPr="005668C1">
        <w:t xml:space="preserve"> </w:t>
      </w:r>
    </w:p>
    <w:p w14:paraId="20AD6F29" w14:textId="77777777" w:rsidR="004F3115" w:rsidRPr="00104F7D" w:rsidRDefault="004F3115" w:rsidP="004F3115">
      <w:pPr>
        <w:rPr>
          <w:highlight w:val="yellow"/>
        </w:rPr>
      </w:pPr>
    </w:p>
    <w:p w14:paraId="388E3ACE" w14:textId="08FBDB54" w:rsidR="00547C0E" w:rsidRPr="0035508A" w:rsidRDefault="00400C66" w:rsidP="00400C66">
      <w:pPr>
        <w:pStyle w:val="Nadpis2"/>
        <w:spacing w:before="0"/>
        <w:contextualSpacing/>
      </w:pPr>
      <w:bookmarkStart w:id="165" w:name="_Toc10183432"/>
      <w:bookmarkStart w:id="166" w:name="_Toc236991638"/>
      <w:bookmarkStart w:id="167" w:name="_Hlk135402990"/>
      <w:r>
        <w:t xml:space="preserve">11.1 </w:t>
      </w:r>
      <w:r w:rsidR="00C757F6" w:rsidRPr="0035508A">
        <w:t>F</w:t>
      </w:r>
      <w:r w:rsidR="00547C0E" w:rsidRPr="0035508A">
        <w:t>inanční podpor</w:t>
      </w:r>
      <w:bookmarkEnd w:id="165"/>
      <w:r w:rsidR="004C505E" w:rsidRPr="0035508A">
        <w:t>y</w:t>
      </w:r>
      <w:r w:rsidR="001A3B6F" w:rsidRPr="0035508A">
        <w:t xml:space="preserve"> z národních a nadnárodních programů</w:t>
      </w:r>
      <w:bookmarkEnd w:id="166"/>
    </w:p>
    <w:p w14:paraId="4372D28B" w14:textId="77777777" w:rsidR="00D74C2A" w:rsidRPr="00104F7D" w:rsidRDefault="00D74C2A" w:rsidP="007C4955">
      <w:pPr>
        <w:contextualSpacing/>
        <w:rPr>
          <w:color w:val="FF0000"/>
          <w:highlight w:val="yellow"/>
        </w:rPr>
      </w:pPr>
    </w:p>
    <w:p w14:paraId="2703F2F1" w14:textId="1446A25A" w:rsidR="00D74C2A" w:rsidRPr="0035508A" w:rsidRDefault="00D74C2A" w:rsidP="007C4955">
      <w:pPr>
        <w:contextualSpacing/>
        <w:rPr>
          <w:rFonts w:cs="Arial"/>
          <w:b/>
          <w:noProof/>
          <w:color w:val="FF0000"/>
        </w:rPr>
      </w:pPr>
      <w:bookmarkStart w:id="168" w:name="_Hlk174446892"/>
      <w:r w:rsidRPr="0035508A">
        <w:rPr>
          <w:rFonts w:cs="Arial"/>
          <w:b/>
          <w:noProof/>
        </w:rPr>
        <w:t xml:space="preserve">Finanční podpora vodního hospodářství zahrnuje vybrané národní i nadnárodní dotační programy s vazbou na vodní hospodářství. V roce </w:t>
      </w:r>
      <w:r w:rsidR="001850FE" w:rsidRPr="0035508A">
        <w:rPr>
          <w:rFonts w:cs="Arial"/>
          <w:b/>
          <w:noProof/>
        </w:rPr>
        <w:t>202</w:t>
      </w:r>
      <w:r w:rsidR="00F27C37">
        <w:rPr>
          <w:rFonts w:cs="Arial"/>
          <w:b/>
          <w:noProof/>
        </w:rPr>
        <w:t>5</w:t>
      </w:r>
      <w:r w:rsidR="001850FE" w:rsidRPr="0035508A">
        <w:rPr>
          <w:rFonts w:cs="Arial"/>
          <w:b/>
          <w:noProof/>
        </w:rPr>
        <w:t xml:space="preserve"> </w:t>
      </w:r>
      <w:r w:rsidRPr="0035508A">
        <w:rPr>
          <w:rFonts w:cs="Arial"/>
          <w:b/>
          <w:noProof/>
        </w:rPr>
        <w:t xml:space="preserve">představovala </w:t>
      </w:r>
      <w:r w:rsidR="00C757F6" w:rsidRPr="0035508A">
        <w:rPr>
          <w:rFonts w:cs="Arial"/>
          <w:b/>
          <w:noProof/>
        </w:rPr>
        <w:t xml:space="preserve">tato </w:t>
      </w:r>
      <w:r w:rsidRPr="0035508A">
        <w:rPr>
          <w:rFonts w:cs="Arial"/>
          <w:b/>
          <w:noProof/>
        </w:rPr>
        <w:t>podpora finanční prostředk</w:t>
      </w:r>
      <w:r w:rsidR="00C757F6" w:rsidRPr="0035508A">
        <w:rPr>
          <w:rFonts w:cs="Arial"/>
          <w:b/>
          <w:noProof/>
        </w:rPr>
        <w:t>y</w:t>
      </w:r>
      <w:r w:rsidRPr="0035508A">
        <w:rPr>
          <w:rFonts w:cs="Arial"/>
          <w:b/>
          <w:noProof/>
        </w:rPr>
        <w:t xml:space="preserve"> ve výši </w:t>
      </w:r>
      <w:r w:rsidR="00A15702">
        <w:rPr>
          <w:rFonts w:cs="Arial"/>
          <w:b/>
          <w:noProof/>
        </w:rPr>
        <w:t>12 839</w:t>
      </w:r>
      <w:r w:rsidR="00910B0C">
        <w:rPr>
          <w:rFonts w:cs="Arial"/>
          <w:b/>
          <w:noProof/>
        </w:rPr>
        <w:t xml:space="preserve"> </w:t>
      </w:r>
      <w:r w:rsidRPr="0035508A">
        <w:rPr>
          <w:rFonts w:cs="Arial"/>
          <w:b/>
          <w:noProof/>
        </w:rPr>
        <w:t>m</w:t>
      </w:r>
      <w:r w:rsidR="00412F50" w:rsidRPr="0035508A">
        <w:rPr>
          <w:rFonts w:cs="Arial"/>
          <w:b/>
          <w:noProof/>
        </w:rPr>
        <w:t>il</w:t>
      </w:r>
      <w:r w:rsidRPr="0035508A">
        <w:rPr>
          <w:rFonts w:cs="Arial"/>
          <w:b/>
          <w:noProof/>
        </w:rPr>
        <w:t>. Kč.</w:t>
      </w:r>
      <w:bookmarkEnd w:id="168"/>
      <w:r w:rsidRPr="0035508A">
        <w:rPr>
          <w:rFonts w:cs="Arial"/>
          <w:b/>
          <w:noProof/>
        </w:rPr>
        <w:t xml:space="preserve"> Na </w:t>
      </w:r>
      <w:r w:rsidR="005A06B7" w:rsidRPr="0035508A">
        <w:rPr>
          <w:rFonts w:cs="Arial"/>
          <w:b/>
          <w:noProof/>
        </w:rPr>
        <w:t xml:space="preserve">uvedené </w:t>
      </w:r>
      <w:r w:rsidRPr="0035508A">
        <w:rPr>
          <w:rFonts w:cs="Arial"/>
          <w:b/>
          <w:noProof/>
        </w:rPr>
        <w:t>částce se podílelo Ministerstvo zemědělství</w:t>
      </w:r>
      <w:r w:rsidR="00CD1CB1" w:rsidRPr="0035508A">
        <w:rPr>
          <w:rFonts w:cs="Arial"/>
          <w:b/>
          <w:noProof/>
        </w:rPr>
        <w:t> </w:t>
      </w:r>
      <w:r w:rsidR="005605C3">
        <w:rPr>
          <w:rFonts w:cs="Arial"/>
          <w:b/>
          <w:noProof/>
        </w:rPr>
        <w:t>34</w:t>
      </w:r>
      <w:r w:rsidR="00793673" w:rsidRPr="0035508A">
        <w:rPr>
          <w:rFonts w:cs="Arial"/>
          <w:b/>
          <w:noProof/>
        </w:rPr>
        <w:t> </w:t>
      </w:r>
      <w:r w:rsidRPr="0035508A">
        <w:rPr>
          <w:rFonts w:cs="Arial"/>
          <w:b/>
          <w:noProof/>
        </w:rPr>
        <w:t xml:space="preserve">% (poskytnuté finanční prostředky </w:t>
      </w:r>
      <w:r w:rsidR="005605C3">
        <w:rPr>
          <w:rFonts w:cs="Arial"/>
          <w:b/>
          <w:noProof/>
        </w:rPr>
        <w:t>4 38</w:t>
      </w:r>
      <w:r w:rsidR="00884BB2">
        <w:rPr>
          <w:rFonts w:cs="Arial"/>
          <w:b/>
          <w:noProof/>
        </w:rPr>
        <w:t>7</w:t>
      </w:r>
      <w:r w:rsidR="007F3D41" w:rsidRPr="0035508A">
        <w:rPr>
          <w:rFonts w:cs="Arial"/>
          <w:b/>
          <w:noProof/>
        </w:rPr>
        <w:t xml:space="preserve"> </w:t>
      </w:r>
      <w:r w:rsidRPr="0035508A">
        <w:rPr>
          <w:rFonts w:cs="Arial"/>
          <w:b/>
          <w:noProof/>
        </w:rPr>
        <w:t>m</w:t>
      </w:r>
      <w:r w:rsidR="00412F50" w:rsidRPr="0035508A">
        <w:rPr>
          <w:rFonts w:cs="Arial"/>
          <w:b/>
          <w:noProof/>
        </w:rPr>
        <w:t>i</w:t>
      </w:r>
      <w:r w:rsidRPr="0035508A">
        <w:rPr>
          <w:rFonts w:cs="Arial"/>
          <w:b/>
          <w:noProof/>
        </w:rPr>
        <w:t xml:space="preserve">l. Kč), Ministerstvo životního prostředí </w:t>
      </w:r>
      <w:r w:rsidR="00702DC9">
        <w:rPr>
          <w:rFonts w:cs="Arial"/>
          <w:b/>
          <w:noProof/>
        </w:rPr>
        <w:t>6</w:t>
      </w:r>
      <w:r w:rsidR="005605C3">
        <w:rPr>
          <w:rFonts w:cs="Arial"/>
          <w:b/>
          <w:noProof/>
        </w:rPr>
        <w:t>0</w:t>
      </w:r>
      <w:r w:rsidR="007F3D41" w:rsidRPr="0035508A">
        <w:rPr>
          <w:rFonts w:cs="Arial"/>
          <w:b/>
          <w:noProof/>
        </w:rPr>
        <w:t xml:space="preserve"> </w:t>
      </w:r>
      <w:r w:rsidR="00E66F1F" w:rsidRPr="0035508A">
        <w:rPr>
          <w:rFonts w:cs="Arial"/>
          <w:b/>
          <w:noProof/>
        </w:rPr>
        <w:t>%</w:t>
      </w:r>
      <w:r w:rsidRPr="0035508A">
        <w:rPr>
          <w:rFonts w:cs="Arial"/>
          <w:b/>
          <w:noProof/>
        </w:rPr>
        <w:t xml:space="preserve"> (profinancováno </w:t>
      </w:r>
      <w:r w:rsidR="00E82402">
        <w:rPr>
          <w:rFonts w:cs="Arial"/>
          <w:b/>
          <w:noProof/>
        </w:rPr>
        <w:t>7 662</w:t>
      </w:r>
      <w:r w:rsidR="006B2687" w:rsidRPr="0035508A">
        <w:rPr>
          <w:rFonts w:cs="Arial"/>
          <w:b/>
          <w:noProof/>
        </w:rPr>
        <w:t xml:space="preserve"> </w:t>
      </w:r>
      <w:r w:rsidRPr="0035508A">
        <w:rPr>
          <w:rFonts w:cs="Arial"/>
          <w:b/>
          <w:noProof/>
        </w:rPr>
        <w:t>m</w:t>
      </w:r>
      <w:r w:rsidR="00412F50" w:rsidRPr="0035508A">
        <w:rPr>
          <w:rFonts w:cs="Arial"/>
          <w:b/>
          <w:noProof/>
        </w:rPr>
        <w:t>i</w:t>
      </w:r>
      <w:r w:rsidRPr="0035508A">
        <w:rPr>
          <w:rFonts w:cs="Arial"/>
          <w:b/>
          <w:noProof/>
        </w:rPr>
        <w:t>l. Kč</w:t>
      </w:r>
      <w:r w:rsidR="00660042" w:rsidRPr="0035508A">
        <w:rPr>
          <w:rFonts w:cs="Arial"/>
          <w:b/>
          <w:noProof/>
        </w:rPr>
        <w:t xml:space="preserve">) a </w:t>
      </w:r>
      <w:r w:rsidRPr="0035508A">
        <w:rPr>
          <w:rFonts w:cs="Arial"/>
          <w:b/>
          <w:noProof/>
        </w:rPr>
        <w:t xml:space="preserve">Ministerstvo dopravy </w:t>
      </w:r>
      <w:r w:rsidR="004B7552">
        <w:rPr>
          <w:rFonts w:cs="Arial"/>
          <w:b/>
          <w:noProof/>
        </w:rPr>
        <w:t>6</w:t>
      </w:r>
      <w:r w:rsidR="00793673" w:rsidRPr="0035508A">
        <w:rPr>
          <w:rFonts w:cs="Arial"/>
          <w:b/>
          <w:noProof/>
        </w:rPr>
        <w:t xml:space="preserve"> </w:t>
      </w:r>
      <w:r w:rsidR="00E66F1F" w:rsidRPr="0035508A">
        <w:rPr>
          <w:rFonts w:cs="Arial"/>
          <w:b/>
          <w:noProof/>
        </w:rPr>
        <w:t>%</w:t>
      </w:r>
      <w:r w:rsidRPr="0035508A">
        <w:rPr>
          <w:rFonts w:cs="Arial"/>
          <w:b/>
          <w:noProof/>
        </w:rPr>
        <w:t xml:space="preserve"> (</w:t>
      </w:r>
      <w:r w:rsidR="00E82402">
        <w:rPr>
          <w:rFonts w:cs="Arial"/>
          <w:b/>
          <w:noProof/>
        </w:rPr>
        <w:t>790</w:t>
      </w:r>
      <w:r w:rsidR="007F3D41" w:rsidRPr="0035508A">
        <w:rPr>
          <w:rFonts w:cs="Arial"/>
          <w:b/>
          <w:noProof/>
        </w:rPr>
        <w:t xml:space="preserve"> </w:t>
      </w:r>
      <w:r w:rsidRPr="0035508A">
        <w:rPr>
          <w:rFonts w:cs="Arial"/>
          <w:b/>
          <w:noProof/>
        </w:rPr>
        <w:t>m</w:t>
      </w:r>
      <w:r w:rsidR="00412F50" w:rsidRPr="0035508A">
        <w:rPr>
          <w:rFonts w:cs="Arial"/>
          <w:b/>
          <w:noProof/>
        </w:rPr>
        <w:t>il</w:t>
      </w:r>
      <w:r w:rsidRPr="0035508A">
        <w:rPr>
          <w:rFonts w:cs="Arial"/>
          <w:b/>
          <w:noProof/>
        </w:rPr>
        <w:t xml:space="preserve">. Kč).   </w:t>
      </w:r>
    </w:p>
    <w:p w14:paraId="5D8BD639" w14:textId="77777777" w:rsidR="00D74C2A" w:rsidRPr="00104F7D" w:rsidRDefault="00D74C2A" w:rsidP="007C4955">
      <w:pPr>
        <w:contextualSpacing/>
        <w:rPr>
          <w:noProof/>
          <w:color w:val="FF0000"/>
          <w:highlight w:val="yellow"/>
        </w:rPr>
      </w:pPr>
    </w:p>
    <w:p w14:paraId="58A63E45" w14:textId="541D67E9" w:rsidR="00D74C2A" w:rsidRPr="0035508A" w:rsidRDefault="00D74C2A" w:rsidP="007C4955">
      <w:pPr>
        <w:contextualSpacing/>
        <w:rPr>
          <w:rFonts w:cs="Arial"/>
          <w:b/>
          <w:i/>
          <w:noProof/>
        </w:rPr>
      </w:pPr>
      <w:r w:rsidRPr="0035508A">
        <w:rPr>
          <w:rFonts w:cs="Arial"/>
          <w:b/>
          <w:i/>
          <w:noProof/>
        </w:rPr>
        <w:t xml:space="preserve">Graf </w:t>
      </w:r>
      <w:r w:rsidR="004571C5" w:rsidRPr="0035508A">
        <w:rPr>
          <w:rFonts w:cs="Arial"/>
          <w:b/>
          <w:i/>
          <w:noProof/>
        </w:rPr>
        <w:t>11</w:t>
      </w:r>
      <w:r w:rsidRPr="0035508A">
        <w:rPr>
          <w:rFonts w:cs="Arial"/>
          <w:b/>
          <w:i/>
          <w:noProof/>
        </w:rPr>
        <w:t>.1.1</w:t>
      </w:r>
    </w:p>
    <w:p w14:paraId="7CAFB6AD" w14:textId="08790C8F" w:rsidR="002D4B09" w:rsidRDefault="00D74C2A" w:rsidP="007C4955">
      <w:pPr>
        <w:contextualSpacing/>
        <w:rPr>
          <w:rFonts w:cs="Arial"/>
          <w:b/>
          <w:i/>
          <w:noProof/>
        </w:rPr>
      </w:pPr>
      <w:r w:rsidRPr="0035508A">
        <w:rPr>
          <w:rFonts w:cs="Arial"/>
          <w:b/>
          <w:i/>
          <w:noProof/>
        </w:rPr>
        <w:t xml:space="preserve">Finanční podpora vodního hospodářství dle jednotlivých </w:t>
      </w:r>
      <w:r w:rsidR="00780C55" w:rsidRPr="0035508A">
        <w:rPr>
          <w:rFonts w:cs="Arial"/>
          <w:b/>
          <w:i/>
          <w:noProof/>
        </w:rPr>
        <w:t>resort</w:t>
      </w:r>
      <w:r w:rsidRPr="0035508A">
        <w:rPr>
          <w:rFonts w:cs="Arial"/>
          <w:b/>
          <w:i/>
          <w:noProof/>
        </w:rPr>
        <w:t xml:space="preserve">ů v roce </w:t>
      </w:r>
      <w:r w:rsidR="007C0C62" w:rsidRPr="0035508A">
        <w:rPr>
          <w:rFonts w:cs="Arial"/>
          <w:b/>
          <w:i/>
          <w:noProof/>
        </w:rPr>
        <w:t>20</w:t>
      </w:r>
      <w:r w:rsidR="005A06B7" w:rsidRPr="0035508A">
        <w:rPr>
          <w:rFonts w:cs="Arial"/>
          <w:b/>
          <w:i/>
          <w:noProof/>
        </w:rPr>
        <w:t>2</w:t>
      </w:r>
      <w:r w:rsidR="0035508A">
        <w:rPr>
          <w:rFonts w:cs="Arial"/>
          <w:b/>
          <w:i/>
          <w:noProof/>
        </w:rPr>
        <w:t>5</w:t>
      </w:r>
    </w:p>
    <w:p w14:paraId="447369FD" w14:textId="1DA2C159" w:rsidR="00B9016C" w:rsidRPr="0035508A" w:rsidRDefault="00B9016C" w:rsidP="007C4955">
      <w:pPr>
        <w:contextualSpacing/>
        <w:rPr>
          <w:rFonts w:cs="Arial"/>
          <w:b/>
          <w:i/>
          <w:noProof/>
        </w:rPr>
      </w:pPr>
      <w:r>
        <w:rPr>
          <w:noProof/>
        </w:rPr>
        <w:drawing>
          <wp:inline distT="0" distB="0" distL="0" distR="0" wp14:anchorId="07E03B7E" wp14:editId="275C0C20">
            <wp:extent cx="4533900" cy="2622550"/>
            <wp:effectExtent l="0" t="0" r="0" b="6350"/>
            <wp:docPr id="931740527" name="Graf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2A19336F" w14:textId="77777777" w:rsidR="00D74C2A" w:rsidRPr="00F902C4" w:rsidRDefault="00D74C2A" w:rsidP="007C4955">
      <w:pPr>
        <w:contextualSpacing/>
        <w:rPr>
          <w:rFonts w:cs="Arial"/>
          <w:i/>
          <w:noProof/>
          <w:sz w:val="20"/>
          <w:szCs w:val="20"/>
        </w:rPr>
      </w:pPr>
      <w:r w:rsidRPr="00F902C4">
        <w:rPr>
          <w:rFonts w:cs="Arial"/>
          <w:i/>
          <w:noProof/>
          <w:sz w:val="20"/>
          <w:szCs w:val="20"/>
        </w:rPr>
        <w:t>Pramen: MZe ze zdrojů MŽP</w:t>
      </w:r>
      <w:r w:rsidR="00E2179D" w:rsidRPr="00F902C4">
        <w:rPr>
          <w:rFonts w:cs="Arial"/>
          <w:i/>
          <w:noProof/>
          <w:sz w:val="20"/>
          <w:szCs w:val="20"/>
        </w:rPr>
        <w:t xml:space="preserve"> a</w:t>
      </w:r>
      <w:r w:rsidRPr="00F902C4">
        <w:rPr>
          <w:rFonts w:cs="Arial"/>
          <w:i/>
          <w:noProof/>
          <w:sz w:val="20"/>
          <w:szCs w:val="20"/>
        </w:rPr>
        <w:t xml:space="preserve"> </w:t>
      </w:r>
      <w:r w:rsidR="00731A1F" w:rsidRPr="00F902C4">
        <w:rPr>
          <w:rFonts w:cs="Arial"/>
          <w:i/>
          <w:noProof/>
          <w:sz w:val="20"/>
          <w:szCs w:val="20"/>
        </w:rPr>
        <w:t>Ministerstva dopravy</w:t>
      </w:r>
    </w:p>
    <w:p w14:paraId="23D6FD79" w14:textId="77777777" w:rsidR="00D74C2A" w:rsidRPr="00F902C4" w:rsidRDefault="00D74C2A" w:rsidP="007C4955">
      <w:pPr>
        <w:contextualSpacing/>
        <w:rPr>
          <w:rFonts w:cs="Arial"/>
          <w:b/>
          <w:i/>
          <w:noProof/>
          <w:color w:val="FF0000"/>
        </w:rPr>
      </w:pPr>
    </w:p>
    <w:p w14:paraId="09C6BDC3" w14:textId="49526B0B" w:rsidR="00D74C2A" w:rsidRPr="00F902C4" w:rsidRDefault="00D74C2A" w:rsidP="007C4955">
      <w:pPr>
        <w:contextualSpacing/>
        <w:rPr>
          <w:rFonts w:cs="Arial"/>
          <w:b/>
          <w:i/>
          <w:noProof/>
        </w:rPr>
      </w:pPr>
      <w:r w:rsidRPr="00F902C4">
        <w:rPr>
          <w:rFonts w:cs="Arial"/>
          <w:b/>
          <w:i/>
          <w:noProof/>
        </w:rPr>
        <w:t xml:space="preserve">Tabulka </w:t>
      </w:r>
      <w:r w:rsidR="004571C5" w:rsidRPr="00F902C4">
        <w:rPr>
          <w:rFonts w:cs="Arial"/>
          <w:b/>
          <w:i/>
          <w:noProof/>
        </w:rPr>
        <w:t>11</w:t>
      </w:r>
      <w:r w:rsidRPr="00F902C4">
        <w:rPr>
          <w:rFonts w:cs="Arial"/>
          <w:b/>
          <w:i/>
          <w:noProof/>
        </w:rPr>
        <w:t>.1.1</w:t>
      </w:r>
    </w:p>
    <w:p w14:paraId="286A9B29" w14:textId="7BE5807C" w:rsidR="00D74C2A" w:rsidRPr="00F902C4" w:rsidRDefault="00D74C2A" w:rsidP="007C4955">
      <w:pPr>
        <w:contextualSpacing/>
        <w:rPr>
          <w:rFonts w:cs="Arial"/>
          <w:b/>
          <w:i/>
          <w:noProof/>
        </w:rPr>
      </w:pPr>
      <w:r w:rsidRPr="00F902C4">
        <w:rPr>
          <w:rFonts w:cs="Arial"/>
          <w:b/>
          <w:i/>
          <w:noProof/>
        </w:rPr>
        <w:t xml:space="preserve">Stěžejní </w:t>
      </w:r>
      <w:r w:rsidR="005177DB" w:rsidRPr="00F902C4">
        <w:rPr>
          <w:rFonts w:cs="Arial"/>
          <w:b/>
          <w:i/>
          <w:noProof/>
        </w:rPr>
        <w:t xml:space="preserve">státní </w:t>
      </w:r>
      <w:r w:rsidRPr="00F902C4">
        <w:rPr>
          <w:rFonts w:cs="Arial"/>
          <w:b/>
          <w:i/>
          <w:noProof/>
        </w:rPr>
        <w:t>finanční podpory ve vodním hospodářství v roce 20</w:t>
      </w:r>
      <w:r w:rsidR="005A06B7" w:rsidRPr="00F902C4">
        <w:rPr>
          <w:rFonts w:cs="Arial"/>
          <w:b/>
          <w:i/>
          <w:noProof/>
        </w:rPr>
        <w:t>2</w:t>
      </w:r>
      <w:r w:rsidR="0034081A">
        <w:rPr>
          <w:rFonts w:cs="Arial"/>
          <w:b/>
          <w:i/>
          <w:noProof/>
        </w:rPr>
        <w:t>5</w:t>
      </w:r>
    </w:p>
    <w:tbl>
      <w:tblPr>
        <w:tblW w:w="738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42"/>
        <w:gridCol w:w="4240"/>
      </w:tblGrid>
      <w:tr w:rsidR="004571C5" w:rsidRPr="00F902C4" w14:paraId="710D6B9B" w14:textId="77777777" w:rsidTr="00726E49">
        <w:trPr>
          <w:trHeight w:val="227"/>
        </w:trPr>
        <w:tc>
          <w:tcPr>
            <w:tcW w:w="3142" w:type="dxa"/>
            <w:shd w:val="clear" w:color="auto" w:fill="A6A6A6"/>
            <w:noWrap/>
            <w:vAlign w:val="center"/>
          </w:tcPr>
          <w:p w14:paraId="1CCF4C03" w14:textId="59D7C9ED" w:rsidR="00D74C2A" w:rsidRPr="00E91F93" w:rsidRDefault="00780C55" w:rsidP="007C4955">
            <w:pPr>
              <w:contextualSpacing/>
              <w:rPr>
                <w:rFonts w:eastAsia="Times New Roman" w:cs="Arial"/>
                <w:b/>
                <w:sz w:val="18"/>
                <w:szCs w:val="18"/>
              </w:rPr>
            </w:pPr>
            <w:r w:rsidRPr="00E91F93">
              <w:rPr>
                <w:rFonts w:eastAsia="Times New Roman" w:cs="Arial"/>
                <w:b/>
                <w:sz w:val="18"/>
                <w:szCs w:val="18"/>
              </w:rPr>
              <w:t>Resort</w:t>
            </w:r>
          </w:p>
        </w:tc>
        <w:tc>
          <w:tcPr>
            <w:tcW w:w="4240" w:type="dxa"/>
            <w:shd w:val="clear" w:color="auto" w:fill="A6A6A6"/>
            <w:noWrap/>
            <w:vAlign w:val="bottom"/>
          </w:tcPr>
          <w:p w14:paraId="57A3D9F1" w14:textId="77777777" w:rsidR="00D74C2A" w:rsidRPr="00E91F93" w:rsidRDefault="00D74C2A" w:rsidP="007C4955">
            <w:pPr>
              <w:contextualSpacing/>
              <w:jc w:val="center"/>
              <w:rPr>
                <w:rFonts w:eastAsia="Times New Roman" w:cs="Arial"/>
                <w:b/>
                <w:sz w:val="18"/>
                <w:szCs w:val="18"/>
              </w:rPr>
            </w:pPr>
            <w:r w:rsidRPr="00E91F93">
              <w:rPr>
                <w:rFonts w:eastAsia="Times New Roman" w:cs="Arial"/>
                <w:b/>
                <w:sz w:val="18"/>
                <w:szCs w:val="18"/>
              </w:rPr>
              <w:t>Celkové vynaložené finanční prostředky</w:t>
            </w:r>
          </w:p>
          <w:p w14:paraId="43ECDDFF" w14:textId="77777777" w:rsidR="00D74C2A" w:rsidRPr="00E91F93" w:rsidRDefault="00D74C2A" w:rsidP="007C4955">
            <w:pPr>
              <w:contextualSpacing/>
              <w:jc w:val="center"/>
              <w:rPr>
                <w:rFonts w:eastAsia="Times New Roman" w:cs="Arial"/>
                <w:b/>
                <w:sz w:val="18"/>
                <w:szCs w:val="18"/>
              </w:rPr>
            </w:pPr>
            <w:r w:rsidRPr="00E91F93">
              <w:rPr>
                <w:rFonts w:eastAsia="Times New Roman" w:cs="Arial"/>
                <w:b/>
                <w:sz w:val="18"/>
                <w:szCs w:val="18"/>
              </w:rPr>
              <w:t>mil. Kč</w:t>
            </w:r>
          </w:p>
        </w:tc>
      </w:tr>
      <w:tr w:rsidR="00AF1388" w:rsidRPr="00104F7D" w14:paraId="0F091C0E" w14:textId="77777777" w:rsidTr="00EC64D7">
        <w:trPr>
          <w:trHeight w:val="227"/>
        </w:trPr>
        <w:tc>
          <w:tcPr>
            <w:tcW w:w="3142" w:type="dxa"/>
            <w:noWrap/>
            <w:vAlign w:val="bottom"/>
            <w:hideMark/>
          </w:tcPr>
          <w:p w14:paraId="2AE60FB2" w14:textId="77777777" w:rsidR="00AF1388" w:rsidRPr="00E91F93" w:rsidRDefault="00AF1388" w:rsidP="00AF1388">
            <w:pPr>
              <w:contextualSpacing/>
              <w:rPr>
                <w:rFonts w:eastAsia="Times New Roman" w:cs="Arial"/>
                <w:sz w:val="18"/>
                <w:szCs w:val="18"/>
              </w:rPr>
            </w:pPr>
            <w:r w:rsidRPr="00E91F93">
              <w:rPr>
                <w:rFonts w:eastAsia="Times New Roman" w:cs="Arial"/>
                <w:sz w:val="18"/>
                <w:szCs w:val="18"/>
              </w:rPr>
              <w:t>Ministerstvo zemědělství</w:t>
            </w:r>
          </w:p>
        </w:tc>
        <w:tc>
          <w:tcPr>
            <w:tcW w:w="4240" w:type="dxa"/>
            <w:noWrap/>
            <w:vAlign w:val="center"/>
          </w:tcPr>
          <w:p w14:paraId="56F4F934" w14:textId="521D6792" w:rsidR="00AF1388" w:rsidRPr="00E91F93" w:rsidRDefault="005605C3" w:rsidP="00AF1388">
            <w:pPr>
              <w:ind w:right="1768"/>
              <w:contextualSpacing/>
              <w:jc w:val="right"/>
              <w:rPr>
                <w:rFonts w:eastAsia="Times New Roman" w:cs="Arial"/>
                <w:sz w:val="18"/>
                <w:szCs w:val="18"/>
              </w:rPr>
            </w:pPr>
            <w:r>
              <w:rPr>
                <w:rFonts w:cs="Arial"/>
                <w:color w:val="000000"/>
                <w:sz w:val="18"/>
                <w:szCs w:val="18"/>
              </w:rPr>
              <w:t>4 38</w:t>
            </w:r>
            <w:r w:rsidR="0079602A">
              <w:rPr>
                <w:rFonts w:cs="Arial"/>
                <w:color w:val="000000"/>
                <w:sz w:val="18"/>
                <w:szCs w:val="18"/>
              </w:rPr>
              <w:t>7</w:t>
            </w:r>
          </w:p>
        </w:tc>
      </w:tr>
      <w:tr w:rsidR="00AF1388" w:rsidRPr="00104F7D" w14:paraId="1CD38A8A" w14:textId="77777777" w:rsidTr="00EC64D7">
        <w:trPr>
          <w:trHeight w:val="227"/>
        </w:trPr>
        <w:tc>
          <w:tcPr>
            <w:tcW w:w="3142" w:type="dxa"/>
            <w:noWrap/>
            <w:vAlign w:val="bottom"/>
            <w:hideMark/>
          </w:tcPr>
          <w:p w14:paraId="6B860898" w14:textId="77777777" w:rsidR="00AF1388" w:rsidRPr="00E91F93" w:rsidRDefault="00AF1388" w:rsidP="00AF1388">
            <w:pPr>
              <w:contextualSpacing/>
              <w:rPr>
                <w:rFonts w:eastAsia="Times New Roman" w:cs="Arial"/>
                <w:sz w:val="18"/>
                <w:szCs w:val="18"/>
                <w:highlight w:val="yellow"/>
              </w:rPr>
            </w:pPr>
            <w:r w:rsidRPr="00E91F93">
              <w:rPr>
                <w:rFonts w:eastAsia="Times New Roman" w:cs="Arial"/>
                <w:sz w:val="18"/>
                <w:szCs w:val="18"/>
              </w:rPr>
              <w:t>Ministerstvo životního prostředí</w:t>
            </w:r>
          </w:p>
        </w:tc>
        <w:tc>
          <w:tcPr>
            <w:tcW w:w="4240" w:type="dxa"/>
            <w:noWrap/>
            <w:vAlign w:val="center"/>
          </w:tcPr>
          <w:p w14:paraId="1004A250" w14:textId="5203508A" w:rsidR="00AF1388" w:rsidRPr="00E91F93" w:rsidRDefault="00AF1388" w:rsidP="00AF1388">
            <w:pPr>
              <w:ind w:right="1768"/>
              <w:contextualSpacing/>
              <w:jc w:val="right"/>
              <w:rPr>
                <w:rFonts w:eastAsia="Times New Roman" w:cs="Arial"/>
                <w:sz w:val="18"/>
                <w:szCs w:val="18"/>
                <w:highlight w:val="yellow"/>
              </w:rPr>
            </w:pPr>
            <w:r w:rsidRPr="00E91F93">
              <w:rPr>
                <w:rFonts w:cs="Arial"/>
                <w:color w:val="000000"/>
                <w:sz w:val="18"/>
                <w:szCs w:val="18"/>
              </w:rPr>
              <w:t>7 662</w:t>
            </w:r>
          </w:p>
        </w:tc>
      </w:tr>
      <w:tr w:rsidR="00AF1388" w:rsidRPr="00104F7D" w14:paraId="5248C05F" w14:textId="77777777" w:rsidTr="00EC64D7">
        <w:trPr>
          <w:trHeight w:val="227"/>
        </w:trPr>
        <w:tc>
          <w:tcPr>
            <w:tcW w:w="3142" w:type="dxa"/>
            <w:noWrap/>
            <w:vAlign w:val="bottom"/>
            <w:hideMark/>
          </w:tcPr>
          <w:p w14:paraId="7A76A1CD" w14:textId="77777777" w:rsidR="00AF1388" w:rsidRPr="00E91F93" w:rsidRDefault="00AF1388" w:rsidP="00AF1388">
            <w:pPr>
              <w:contextualSpacing/>
              <w:rPr>
                <w:rFonts w:eastAsia="Times New Roman" w:cs="Arial"/>
                <w:sz w:val="18"/>
                <w:szCs w:val="18"/>
              </w:rPr>
            </w:pPr>
            <w:r w:rsidRPr="00E91F93">
              <w:rPr>
                <w:rFonts w:eastAsia="Times New Roman" w:cs="Arial"/>
                <w:sz w:val="18"/>
                <w:szCs w:val="18"/>
              </w:rPr>
              <w:t>Ministerstvo dopravy</w:t>
            </w:r>
          </w:p>
        </w:tc>
        <w:tc>
          <w:tcPr>
            <w:tcW w:w="4240" w:type="dxa"/>
            <w:noWrap/>
            <w:vAlign w:val="center"/>
          </w:tcPr>
          <w:p w14:paraId="342A353A" w14:textId="75C68C21" w:rsidR="00AF1388" w:rsidRPr="00E91F93" w:rsidRDefault="00AF1388" w:rsidP="00AF1388">
            <w:pPr>
              <w:ind w:right="1768"/>
              <w:contextualSpacing/>
              <w:jc w:val="right"/>
              <w:rPr>
                <w:rFonts w:eastAsia="Times New Roman" w:cs="Arial"/>
                <w:sz w:val="18"/>
                <w:szCs w:val="18"/>
              </w:rPr>
            </w:pPr>
            <w:r w:rsidRPr="00E91F93">
              <w:rPr>
                <w:rFonts w:cs="Arial"/>
                <w:color w:val="000000"/>
                <w:sz w:val="18"/>
                <w:szCs w:val="18"/>
              </w:rPr>
              <w:t>790</w:t>
            </w:r>
          </w:p>
        </w:tc>
      </w:tr>
      <w:tr w:rsidR="00AF1388" w:rsidRPr="00104F7D" w14:paraId="5209FFED" w14:textId="77777777" w:rsidTr="00705B60">
        <w:trPr>
          <w:trHeight w:val="227"/>
        </w:trPr>
        <w:tc>
          <w:tcPr>
            <w:tcW w:w="3142" w:type="dxa"/>
            <w:shd w:val="clear" w:color="auto" w:fill="A6A6A6"/>
            <w:noWrap/>
            <w:vAlign w:val="bottom"/>
            <w:hideMark/>
          </w:tcPr>
          <w:p w14:paraId="4C08CF3B" w14:textId="77777777" w:rsidR="00AF1388" w:rsidRPr="00E91F93" w:rsidRDefault="00AF1388" w:rsidP="00AF1388">
            <w:pPr>
              <w:contextualSpacing/>
              <w:rPr>
                <w:rFonts w:eastAsia="Times New Roman" w:cs="Arial"/>
                <w:b/>
                <w:sz w:val="18"/>
                <w:szCs w:val="18"/>
                <w:highlight w:val="yellow"/>
              </w:rPr>
            </w:pPr>
            <w:r w:rsidRPr="00E91F93">
              <w:rPr>
                <w:rFonts w:eastAsia="Times New Roman" w:cs="Arial"/>
                <w:b/>
                <w:sz w:val="18"/>
                <w:szCs w:val="18"/>
              </w:rPr>
              <w:t>Celkem</w:t>
            </w:r>
          </w:p>
        </w:tc>
        <w:tc>
          <w:tcPr>
            <w:tcW w:w="4240" w:type="dxa"/>
            <w:shd w:val="clear" w:color="auto" w:fill="A6A6A6"/>
            <w:noWrap/>
            <w:vAlign w:val="bottom"/>
          </w:tcPr>
          <w:p w14:paraId="0902F8A8" w14:textId="56EC782B" w:rsidR="00AF1388" w:rsidRPr="00E91F93" w:rsidRDefault="005605C3" w:rsidP="00AF1388">
            <w:pPr>
              <w:ind w:right="1768"/>
              <w:contextualSpacing/>
              <w:jc w:val="right"/>
              <w:rPr>
                <w:rFonts w:eastAsia="Times New Roman" w:cs="Arial"/>
                <w:b/>
                <w:sz w:val="18"/>
                <w:szCs w:val="18"/>
                <w:highlight w:val="yellow"/>
              </w:rPr>
            </w:pPr>
            <w:r>
              <w:rPr>
                <w:rFonts w:cs="Arial"/>
                <w:b/>
                <w:bCs/>
                <w:color w:val="000000"/>
                <w:sz w:val="18"/>
                <w:szCs w:val="18"/>
              </w:rPr>
              <w:t>12 839</w:t>
            </w:r>
          </w:p>
        </w:tc>
      </w:tr>
    </w:tbl>
    <w:p w14:paraId="64ABF818" w14:textId="77777777" w:rsidR="00D74C2A" w:rsidRPr="00F902C4" w:rsidRDefault="00D74C2A" w:rsidP="007C4955">
      <w:pPr>
        <w:contextualSpacing/>
        <w:rPr>
          <w:rFonts w:cs="Arial"/>
          <w:i/>
          <w:noProof/>
          <w:sz w:val="20"/>
          <w:szCs w:val="20"/>
        </w:rPr>
      </w:pPr>
      <w:r w:rsidRPr="00F902C4">
        <w:rPr>
          <w:rFonts w:cs="Arial"/>
          <w:i/>
          <w:noProof/>
          <w:sz w:val="20"/>
          <w:szCs w:val="20"/>
        </w:rPr>
        <w:t xml:space="preserve">Pramen: MZe ze zdrojů MŽP a </w:t>
      </w:r>
      <w:r w:rsidR="00731A1F" w:rsidRPr="00F902C4">
        <w:rPr>
          <w:rFonts w:cs="Arial"/>
          <w:i/>
          <w:noProof/>
          <w:sz w:val="20"/>
          <w:szCs w:val="20"/>
        </w:rPr>
        <w:t>Ministerstva dopravy</w:t>
      </w:r>
    </w:p>
    <w:p w14:paraId="3459981F" w14:textId="77777777" w:rsidR="004B712F" w:rsidRPr="00104F7D" w:rsidRDefault="004B712F" w:rsidP="007C4955">
      <w:pPr>
        <w:contextualSpacing/>
        <w:rPr>
          <w:rFonts w:cs="Arial"/>
          <w:b/>
          <w:i/>
          <w:noProof/>
          <w:color w:val="FF0000"/>
          <w:sz w:val="18"/>
          <w:szCs w:val="18"/>
          <w:highlight w:val="yellow"/>
        </w:rPr>
      </w:pPr>
    </w:p>
    <w:p w14:paraId="37FFAAD1" w14:textId="77777777" w:rsidR="00767D2D" w:rsidRPr="00104F7D" w:rsidRDefault="00767D2D" w:rsidP="007C4955">
      <w:pPr>
        <w:contextualSpacing/>
        <w:rPr>
          <w:b/>
          <w:color w:val="000000" w:themeColor="text1"/>
          <w:highlight w:val="yellow"/>
        </w:rPr>
      </w:pPr>
    </w:p>
    <w:p w14:paraId="6C2DAA36" w14:textId="0576C211" w:rsidR="00D74C2A" w:rsidRPr="00375A58" w:rsidRDefault="004454E1" w:rsidP="007C4955">
      <w:pPr>
        <w:contextualSpacing/>
        <w:rPr>
          <w:b/>
          <w:color w:val="000000" w:themeColor="text1"/>
        </w:rPr>
      </w:pPr>
      <w:r w:rsidRPr="00375A58">
        <w:rPr>
          <w:b/>
          <w:color w:val="000000" w:themeColor="text1"/>
        </w:rPr>
        <w:t>11</w:t>
      </w:r>
      <w:r w:rsidR="00D74C2A" w:rsidRPr="00375A58">
        <w:rPr>
          <w:b/>
          <w:color w:val="000000" w:themeColor="text1"/>
        </w:rPr>
        <w:t>.1.1 Finanční podpory Ministerstva zemědělství</w:t>
      </w:r>
    </w:p>
    <w:p w14:paraId="2EE7C85D" w14:textId="77777777" w:rsidR="00D74C2A" w:rsidRPr="00375A58" w:rsidRDefault="00D74C2A" w:rsidP="007C4955">
      <w:pPr>
        <w:contextualSpacing/>
        <w:rPr>
          <w:color w:val="FF0000"/>
        </w:rPr>
      </w:pPr>
    </w:p>
    <w:p w14:paraId="0CFE5D3F" w14:textId="5397ED12" w:rsidR="00D74C2A" w:rsidRPr="00375A58" w:rsidRDefault="00D74C2A" w:rsidP="007C4955">
      <w:pPr>
        <w:contextualSpacing/>
        <w:rPr>
          <w:b/>
        </w:rPr>
      </w:pPr>
      <w:r w:rsidRPr="00375A58">
        <w:rPr>
          <w:b/>
        </w:rPr>
        <w:t xml:space="preserve">Ministerstvo zemědělství v roce </w:t>
      </w:r>
      <w:r w:rsidR="00820372" w:rsidRPr="00375A58">
        <w:rPr>
          <w:b/>
        </w:rPr>
        <w:t>20</w:t>
      </w:r>
      <w:r w:rsidR="00EB2491" w:rsidRPr="00375A58">
        <w:rPr>
          <w:b/>
        </w:rPr>
        <w:t>2</w:t>
      </w:r>
      <w:r w:rsidR="00375A58">
        <w:rPr>
          <w:b/>
        </w:rPr>
        <w:t>5</w:t>
      </w:r>
      <w:r w:rsidR="00820372" w:rsidRPr="00375A58">
        <w:rPr>
          <w:b/>
        </w:rPr>
        <w:t xml:space="preserve"> </w:t>
      </w:r>
      <w:r w:rsidRPr="00375A58">
        <w:rPr>
          <w:b/>
        </w:rPr>
        <w:t xml:space="preserve">administrovalo </w:t>
      </w:r>
      <w:r w:rsidR="007C1AEB" w:rsidRPr="00BE1899">
        <w:rPr>
          <w:b/>
        </w:rPr>
        <w:t>1</w:t>
      </w:r>
      <w:r w:rsidR="00017206" w:rsidRPr="00BE1899">
        <w:rPr>
          <w:b/>
        </w:rPr>
        <w:t>5</w:t>
      </w:r>
      <w:r w:rsidR="007C1AEB" w:rsidRPr="00BE1899">
        <w:rPr>
          <w:b/>
        </w:rPr>
        <w:t xml:space="preserve"> </w:t>
      </w:r>
      <w:r w:rsidRPr="00BE1899">
        <w:rPr>
          <w:b/>
        </w:rPr>
        <w:t>dotačních programů zaměřených na vodní hospodářství</w:t>
      </w:r>
      <w:r w:rsidR="00412F50" w:rsidRPr="00BE1899">
        <w:rPr>
          <w:b/>
        </w:rPr>
        <w:t>, z toho</w:t>
      </w:r>
      <w:r w:rsidRPr="00BE1899">
        <w:rPr>
          <w:b/>
        </w:rPr>
        <w:t xml:space="preserve"> </w:t>
      </w:r>
      <w:r w:rsidR="00907420" w:rsidRPr="00BE1899">
        <w:rPr>
          <w:b/>
        </w:rPr>
        <w:t>1</w:t>
      </w:r>
      <w:r w:rsidR="00BA27B1" w:rsidRPr="00BE1899">
        <w:rPr>
          <w:b/>
        </w:rPr>
        <w:t>3</w:t>
      </w:r>
      <w:r w:rsidR="00907420" w:rsidRPr="00BE1899">
        <w:rPr>
          <w:b/>
        </w:rPr>
        <w:t xml:space="preserve"> </w:t>
      </w:r>
      <w:r w:rsidRPr="00BE1899">
        <w:rPr>
          <w:b/>
        </w:rPr>
        <w:t xml:space="preserve">národních a </w:t>
      </w:r>
      <w:r w:rsidR="00017206" w:rsidRPr="00BE1899">
        <w:rPr>
          <w:b/>
        </w:rPr>
        <w:t>dva</w:t>
      </w:r>
      <w:r w:rsidRPr="00BE1899">
        <w:rPr>
          <w:b/>
        </w:rPr>
        <w:t xml:space="preserve"> financovan</w:t>
      </w:r>
      <w:r w:rsidR="003B2624" w:rsidRPr="00BE1899">
        <w:rPr>
          <w:b/>
        </w:rPr>
        <w:t>é</w:t>
      </w:r>
      <w:r w:rsidRPr="00BE1899">
        <w:rPr>
          <w:b/>
        </w:rPr>
        <w:t xml:space="preserve"> </w:t>
      </w:r>
      <w:r w:rsidR="00B95512">
        <w:rPr>
          <w:b/>
        </w:rPr>
        <w:t>z fondů EU</w:t>
      </w:r>
      <w:r w:rsidRPr="00375A58">
        <w:rPr>
          <w:b/>
        </w:rPr>
        <w:t xml:space="preserve">. </w:t>
      </w:r>
      <w:r w:rsidR="00A903AB" w:rsidRPr="00375A58">
        <w:rPr>
          <w:b/>
        </w:rPr>
        <w:t>B</w:t>
      </w:r>
      <w:r w:rsidRPr="00375A58">
        <w:rPr>
          <w:b/>
        </w:rPr>
        <w:t>yly čerpány finanční prostředky v celkové výši</w:t>
      </w:r>
      <w:r w:rsidR="005605C3">
        <w:rPr>
          <w:b/>
        </w:rPr>
        <w:t xml:space="preserve"> 4 </w:t>
      </w:r>
      <w:proofErr w:type="gramStart"/>
      <w:r w:rsidR="005605C3">
        <w:rPr>
          <w:b/>
        </w:rPr>
        <w:t>38</w:t>
      </w:r>
      <w:r w:rsidR="0079602A">
        <w:rPr>
          <w:b/>
        </w:rPr>
        <w:t>7</w:t>
      </w:r>
      <w:r w:rsidR="00725CE5" w:rsidRPr="00375A58">
        <w:rPr>
          <w:b/>
        </w:rPr>
        <w:t xml:space="preserve"> </w:t>
      </w:r>
      <w:r w:rsidR="00907420" w:rsidRPr="00375A58">
        <w:rPr>
          <w:b/>
        </w:rPr>
        <w:t xml:space="preserve"> </w:t>
      </w:r>
      <w:r w:rsidRPr="00375A58">
        <w:rPr>
          <w:b/>
        </w:rPr>
        <w:t>m</w:t>
      </w:r>
      <w:r w:rsidR="00412F50" w:rsidRPr="00375A58">
        <w:rPr>
          <w:b/>
        </w:rPr>
        <w:t>il.</w:t>
      </w:r>
      <w:proofErr w:type="gramEnd"/>
      <w:r w:rsidR="00412F50" w:rsidRPr="00375A58">
        <w:rPr>
          <w:b/>
        </w:rPr>
        <w:t xml:space="preserve"> K</w:t>
      </w:r>
      <w:r w:rsidRPr="00375A58">
        <w:rPr>
          <w:b/>
        </w:rPr>
        <w:t xml:space="preserve">č. </w:t>
      </w:r>
    </w:p>
    <w:p w14:paraId="59FFC098" w14:textId="4BE8AEC5" w:rsidR="002C12E9" w:rsidRPr="00104F7D" w:rsidRDefault="002C12E9" w:rsidP="007C4955">
      <w:pPr>
        <w:contextualSpacing/>
        <w:rPr>
          <w:rFonts w:cs="Arial"/>
          <w:b/>
          <w:i/>
          <w:color w:val="FF0000"/>
          <w:highlight w:val="yellow"/>
        </w:rPr>
      </w:pPr>
    </w:p>
    <w:p w14:paraId="7EE3A96D" w14:textId="77777777" w:rsidR="00CF006F" w:rsidRPr="00104F7D" w:rsidRDefault="00CF006F" w:rsidP="007C4955">
      <w:pPr>
        <w:contextualSpacing/>
        <w:rPr>
          <w:rFonts w:cs="Arial"/>
          <w:b/>
          <w:i/>
          <w:highlight w:val="yellow"/>
        </w:rPr>
      </w:pPr>
    </w:p>
    <w:p w14:paraId="1C660BAB" w14:textId="77777777" w:rsidR="00CF006F" w:rsidRPr="00104F7D" w:rsidRDefault="00CF006F" w:rsidP="007C4955">
      <w:pPr>
        <w:contextualSpacing/>
        <w:rPr>
          <w:rFonts w:cs="Arial"/>
          <w:b/>
          <w:i/>
          <w:highlight w:val="yellow"/>
        </w:rPr>
      </w:pPr>
    </w:p>
    <w:p w14:paraId="020C6D53" w14:textId="77777777" w:rsidR="00CF006F" w:rsidRPr="00104F7D" w:rsidRDefault="00CF006F" w:rsidP="007C4955">
      <w:pPr>
        <w:contextualSpacing/>
        <w:rPr>
          <w:rFonts w:cs="Arial"/>
          <w:b/>
          <w:i/>
          <w:highlight w:val="yellow"/>
        </w:rPr>
      </w:pPr>
    </w:p>
    <w:p w14:paraId="48770C63" w14:textId="77777777" w:rsidR="00CF006F" w:rsidRPr="00104F7D" w:rsidRDefault="00CF006F" w:rsidP="007C4955">
      <w:pPr>
        <w:contextualSpacing/>
        <w:rPr>
          <w:rFonts w:cs="Arial"/>
          <w:b/>
          <w:i/>
          <w:highlight w:val="yellow"/>
        </w:rPr>
      </w:pPr>
    </w:p>
    <w:p w14:paraId="4FDBB4BD" w14:textId="77777777" w:rsidR="00CF006F" w:rsidRPr="00104F7D" w:rsidRDefault="00CF006F" w:rsidP="007C4955">
      <w:pPr>
        <w:contextualSpacing/>
        <w:rPr>
          <w:rFonts w:cs="Arial"/>
          <w:b/>
          <w:i/>
          <w:highlight w:val="yellow"/>
        </w:rPr>
      </w:pPr>
    </w:p>
    <w:p w14:paraId="47944099" w14:textId="77777777" w:rsidR="00CF006F" w:rsidRPr="00104F7D" w:rsidRDefault="00CF006F" w:rsidP="007C4955">
      <w:pPr>
        <w:contextualSpacing/>
        <w:rPr>
          <w:rFonts w:cs="Arial"/>
          <w:b/>
          <w:i/>
          <w:highlight w:val="yellow"/>
        </w:rPr>
      </w:pPr>
    </w:p>
    <w:p w14:paraId="2B2D445A" w14:textId="77777777" w:rsidR="00CF006F" w:rsidRPr="00104F7D" w:rsidRDefault="00CF006F" w:rsidP="007C4955">
      <w:pPr>
        <w:contextualSpacing/>
        <w:rPr>
          <w:rFonts w:cs="Arial"/>
          <w:b/>
          <w:i/>
          <w:highlight w:val="yellow"/>
        </w:rPr>
      </w:pPr>
    </w:p>
    <w:p w14:paraId="66218A62" w14:textId="77777777" w:rsidR="00CF006F" w:rsidRPr="00104F7D" w:rsidRDefault="00CF006F" w:rsidP="007C4955">
      <w:pPr>
        <w:contextualSpacing/>
        <w:rPr>
          <w:rFonts w:cs="Arial"/>
          <w:b/>
          <w:i/>
          <w:highlight w:val="yellow"/>
        </w:rPr>
      </w:pPr>
    </w:p>
    <w:p w14:paraId="009E1B9C" w14:textId="77777777" w:rsidR="00375A58" w:rsidRDefault="00375A58" w:rsidP="007C4955">
      <w:pPr>
        <w:contextualSpacing/>
        <w:rPr>
          <w:rFonts w:cs="Arial"/>
          <w:b/>
          <w:i/>
        </w:rPr>
      </w:pPr>
    </w:p>
    <w:p w14:paraId="775D0BB0" w14:textId="77777777" w:rsidR="00BF7598" w:rsidRDefault="00BF7598" w:rsidP="007C4955">
      <w:pPr>
        <w:contextualSpacing/>
        <w:rPr>
          <w:rFonts w:cs="Arial"/>
          <w:b/>
          <w:i/>
        </w:rPr>
      </w:pPr>
    </w:p>
    <w:p w14:paraId="4CABE9A9" w14:textId="1C0E9B00" w:rsidR="00D74C2A" w:rsidRPr="00375A58" w:rsidRDefault="00D74C2A" w:rsidP="007C4955">
      <w:pPr>
        <w:contextualSpacing/>
        <w:rPr>
          <w:rFonts w:cs="Arial"/>
          <w:b/>
          <w:i/>
        </w:rPr>
      </w:pPr>
      <w:r w:rsidRPr="00375A58">
        <w:rPr>
          <w:rFonts w:cs="Arial"/>
          <w:b/>
          <w:i/>
        </w:rPr>
        <w:t xml:space="preserve">Graf </w:t>
      </w:r>
      <w:r w:rsidR="008F5302" w:rsidRPr="00375A58">
        <w:rPr>
          <w:rFonts w:cs="Arial"/>
          <w:b/>
          <w:i/>
        </w:rPr>
        <w:t>11</w:t>
      </w:r>
      <w:r w:rsidRPr="00375A58">
        <w:rPr>
          <w:rFonts w:cs="Arial"/>
          <w:b/>
          <w:i/>
        </w:rPr>
        <w:t xml:space="preserve">.1.1.1 </w:t>
      </w:r>
    </w:p>
    <w:p w14:paraId="7A2FCB0A" w14:textId="09124538" w:rsidR="00D74C2A" w:rsidRDefault="00D74C2A" w:rsidP="007C4955">
      <w:pPr>
        <w:contextualSpacing/>
        <w:rPr>
          <w:rFonts w:cs="Arial"/>
          <w:b/>
          <w:i/>
        </w:rPr>
      </w:pPr>
      <w:r w:rsidRPr="00375A58">
        <w:rPr>
          <w:rFonts w:cs="Arial"/>
          <w:b/>
          <w:i/>
        </w:rPr>
        <w:t xml:space="preserve">Čerpání finančních prostředků v rámci </w:t>
      </w:r>
      <w:r w:rsidR="00F06C1D" w:rsidRPr="00375A58">
        <w:rPr>
          <w:rFonts w:cs="Arial"/>
          <w:b/>
          <w:i/>
        </w:rPr>
        <w:t xml:space="preserve">resortu </w:t>
      </w:r>
      <w:r w:rsidRPr="00375A58">
        <w:rPr>
          <w:rFonts w:cs="Arial"/>
          <w:b/>
          <w:i/>
        </w:rPr>
        <w:t xml:space="preserve">Ministerstva zemědělství v roce </w:t>
      </w:r>
      <w:r w:rsidR="00AE25E7" w:rsidRPr="00375A58">
        <w:rPr>
          <w:rFonts w:cs="Arial"/>
          <w:b/>
          <w:i/>
        </w:rPr>
        <w:t>20</w:t>
      </w:r>
      <w:r w:rsidR="00EB2491" w:rsidRPr="00375A58">
        <w:rPr>
          <w:rFonts w:cs="Arial"/>
          <w:b/>
          <w:i/>
        </w:rPr>
        <w:t>2</w:t>
      </w:r>
      <w:r w:rsidR="00375A58">
        <w:rPr>
          <w:rFonts w:cs="Arial"/>
          <w:b/>
          <w:i/>
        </w:rPr>
        <w:t>5</w:t>
      </w:r>
    </w:p>
    <w:p w14:paraId="48862F1E" w14:textId="2A4CFCC6" w:rsidR="001D6F52" w:rsidRDefault="007B2A35" w:rsidP="007C4955">
      <w:pPr>
        <w:contextualSpacing/>
        <w:rPr>
          <w:rFonts w:cs="Arial"/>
          <w:b/>
          <w:i/>
        </w:rPr>
      </w:pPr>
      <w:r>
        <w:rPr>
          <w:noProof/>
        </w:rPr>
        <w:drawing>
          <wp:inline distT="0" distB="0" distL="0" distR="0" wp14:anchorId="668A09D3" wp14:editId="2A678C7C">
            <wp:extent cx="4829175" cy="2105025"/>
            <wp:effectExtent l="0" t="0" r="9525" b="9525"/>
            <wp:docPr id="332600422" name="Graf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7DC6B8B2" w14:textId="77777777" w:rsidR="005605C3" w:rsidRPr="00375A58" w:rsidRDefault="005605C3" w:rsidP="007C4955">
      <w:pPr>
        <w:contextualSpacing/>
        <w:rPr>
          <w:rFonts w:cs="Arial"/>
          <w:b/>
          <w:i/>
        </w:rPr>
      </w:pPr>
    </w:p>
    <w:p w14:paraId="5E5F5F3C" w14:textId="7D745795" w:rsidR="005605C3" w:rsidRDefault="005605C3" w:rsidP="007C4955">
      <w:pPr>
        <w:contextualSpacing/>
        <w:rPr>
          <w:rFonts w:cs="Arial"/>
          <w:b/>
          <w:i/>
        </w:rPr>
      </w:pPr>
    </w:p>
    <w:p w14:paraId="3FF334A1" w14:textId="21D75EDF" w:rsidR="00D74C2A" w:rsidRPr="00375A58" w:rsidRDefault="007C766A" w:rsidP="007C4955">
      <w:pPr>
        <w:contextualSpacing/>
        <w:rPr>
          <w:rFonts w:cs="Arial"/>
          <w:i/>
          <w:sz w:val="20"/>
          <w:szCs w:val="20"/>
        </w:rPr>
      </w:pPr>
      <w:r w:rsidRPr="00375A58">
        <w:rPr>
          <w:i/>
          <w:noProof/>
          <w:sz w:val="20"/>
          <w:szCs w:val="20"/>
          <w:lang w:eastAsia="cs-CZ"/>
        </w:rPr>
        <w:t>P</w:t>
      </w:r>
      <w:r w:rsidR="00D74C2A" w:rsidRPr="00375A58">
        <w:rPr>
          <w:rFonts w:cs="Arial"/>
          <w:i/>
          <w:sz w:val="20"/>
          <w:szCs w:val="20"/>
        </w:rPr>
        <w:t>ramen: MZe</w:t>
      </w:r>
    </w:p>
    <w:p w14:paraId="3942CD64" w14:textId="77777777" w:rsidR="008D523A" w:rsidRPr="00104F7D" w:rsidRDefault="008D523A" w:rsidP="007C4955">
      <w:pPr>
        <w:contextualSpacing/>
        <w:rPr>
          <w:rFonts w:cs="Arial"/>
          <w:b/>
          <w:i/>
          <w:highlight w:val="yellow"/>
        </w:rPr>
      </w:pPr>
      <w:bookmarkStart w:id="169" w:name="_Hlk135641010"/>
    </w:p>
    <w:p w14:paraId="04B1260B" w14:textId="5825B2A2" w:rsidR="00D74C2A" w:rsidRPr="00C9248D" w:rsidRDefault="00D74C2A" w:rsidP="007C4955">
      <w:pPr>
        <w:contextualSpacing/>
        <w:rPr>
          <w:rFonts w:cs="Arial"/>
          <w:b/>
          <w:i/>
        </w:rPr>
      </w:pPr>
      <w:bookmarkStart w:id="170" w:name="_Hlk138158461"/>
      <w:bookmarkStart w:id="171" w:name="_Hlk168910672"/>
      <w:bookmarkStart w:id="172" w:name="_Hlk167880597"/>
      <w:r w:rsidRPr="00C9248D">
        <w:rPr>
          <w:rFonts w:cs="Arial"/>
          <w:b/>
          <w:i/>
        </w:rPr>
        <w:t xml:space="preserve">Tabulka </w:t>
      </w:r>
      <w:r w:rsidR="008F5302" w:rsidRPr="00C9248D">
        <w:rPr>
          <w:rFonts w:cs="Arial"/>
          <w:b/>
          <w:i/>
        </w:rPr>
        <w:t>11</w:t>
      </w:r>
      <w:r w:rsidRPr="00C9248D">
        <w:rPr>
          <w:rFonts w:cs="Arial"/>
          <w:b/>
          <w:i/>
        </w:rPr>
        <w:t xml:space="preserve">.1.1.1 </w:t>
      </w:r>
    </w:p>
    <w:p w14:paraId="1B0D3004" w14:textId="28346EC4" w:rsidR="00D74C2A" w:rsidRPr="00C9248D" w:rsidRDefault="00813570" w:rsidP="007C4955">
      <w:pPr>
        <w:contextualSpacing/>
        <w:rPr>
          <w:rFonts w:cs="Arial"/>
          <w:b/>
          <w:i/>
        </w:rPr>
      </w:pPr>
      <w:r w:rsidRPr="00C9248D">
        <w:rPr>
          <w:rFonts w:cs="Arial"/>
          <w:b/>
          <w:i/>
        </w:rPr>
        <w:t>F</w:t>
      </w:r>
      <w:r w:rsidR="00D74C2A" w:rsidRPr="00C9248D">
        <w:rPr>
          <w:rFonts w:cs="Arial"/>
          <w:b/>
          <w:i/>
        </w:rPr>
        <w:t xml:space="preserve">inanční prostředky poskytnuté </w:t>
      </w:r>
      <w:r w:rsidR="00F06C1D" w:rsidRPr="00C9248D">
        <w:rPr>
          <w:rFonts w:cs="Arial"/>
          <w:b/>
          <w:i/>
        </w:rPr>
        <w:t xml:space="preserve">v oblasti vodního hospodářství </w:t>
      </w:r>
      <w:r w:rsidR="0058372D" w:rsidRPr="00C9248D">
        <w:rPr>
          <w:rFonts w:cs="Arial"/>
          <w:b/>
          <w:i/>
        </w:rPr>
        <w:t>resortem</w:t>
      </w:r>
      <w:r w:rsidR="00F06C1D" w:rsidRPr="00C9248D">
        <w:rPr>
          <w:rFonts w:cs="Arial"/>
          <w:b/>
          <w:i/>
        </w:rPr>
        <w:t xml:space="preserve"> </w:t>
      </w:r>
      <w:r w:rsidR="00D74C2A" w:rsidRPr="00C9248D">
        <w:rPr>
          <w:rFonts w:cs="Arial"/>
          <w:b/>
          <w:i/>
        </w:rPr>
        <w:t>Ministerstv</w:t>
      </w:r>
      <w:r w:rsidR="00F06C1D" w:rsidRPr="00C9248D">
        <w:rPr>
          <w:rFonts w:cs="Arial"/>
          <w:b/>
          <w:i/>
        </w:rPr>
        <w:t>a</w:t>
      </w:r>
      <w:r w:rsidR="00D74C2A" w:rsidRPr="00C9248D">
        <w:rPr>
          <w:rFonts w:cs="Arial"/>
          <w:b/>
          <w:i/>
        </w:rPr>
        <w:t xml:space="preserve"> zemědělství </w:t>
      </w:r>
      <w:r w:rsidRPr="00C9248D">
        <w:rPr>
          <w:rFonts w:cs="Arial"/>
          <w:b/>
          <w:i/>
        </w:rPr>
        <w:t>v roce 20</w:t>
      </w:r>
      <w:r w:rsidR="00EB2491" w:rsidRPr="00C9248D">
        <w:rPr>
          <w:rFonts w:cs="Arial"/>
          <w:b/>
          <w:i/>
        </w:rPr>
        <w:t>2</w:t>
      </w:r>
      <w:r w:rsidR="00C9248D">
        <w:rPr>
          <w:rFonts w:cs="Arial"/>
          <w:b/>
          <w:i/>
        </w:rPr>
        <w:t>5</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4"/>
        <w:gridCol w:w="5964"/>
        <w:gridCol w:w="1984"/>
      </w:tblGrid>
      <w:tr w:rsidR="00CE715B" w:rsidRPr="00104F7D" w14:paraId="5C4E275B" w14:textId="77777777" w:rsidTr="00726E49">
        <w:trPr>
          <w:trHeight w:val="20"/>
        </w:trPr>
        <w:tc>
          <w:tcPr>
            <w:tcW w:w="1124" w:type="dxa"/>
            <w:shd w:val="clear" w:color="auto" w:fill="BFBFBF"/>
            <w:vAlign w:val="center"/>
          </w:tcPr>
          <w:p w14:paraId="63F7CFE2" w14:textId="77777777" w:rsidR="00D74C2A" w:rsidRPr="00540E1A" w:rsidRDefault="00D74C2A" w:rsidP="007C4955">
            <w:pPr>
              <w:contextualSpacing/>
              <w:rPr>
                <w:rFonts w:cs="Arial"/>
                <w:b/>
                <w:sz w:val="18"/>
                <w:szCs w:val="18"/>
              </w:rPr>
            </w:pPr>
            <w:r w:rsidRPr="00540E1A">
              <w:rPr>
                <w:rFonts w:cs="Arial"/>
                <w:b/>
                <w:sz w:val="18"/>
                <w:szCs w:val="18"/>
              </w:rPr>
              <w:t>Evidenční číslo programu</w:t>
            </w:r>
          </w:p>
        </w:tc>
        <w:tc>
          <w:tcPr>
            <w:tcW w:w="5964" w:type="dxa"/>
            <w:shd w:val="clear" w:color="auto" w:fill="BFBFBF"/>
            <w:vAlign w:val="center"/>
          </w:tcPr>
          <w:p w14:paraId="34EF076A" w14:textId="77777777" w:rsidR="00D74C2A" w:rsidRPr="00540E1A" w:rsidRDefault="00D74C2A" w:rsidP="007C4955">
            <w:pPr>
              <w:contextualSpacing/>
              <w:rPr>
                <w:rFonts w:cs="Arial"/>
                <w:sz w:val="18"/>
                <w:szCs w:val="18"/>
              </w:rPr>
            </w:pPr>
            <w:r w:rsidRPr="00540E1A">
              <w:rPr>
                <w:rFonts w:cs="Arial"/>
                <w:b/>
                <w:sz w:val="18"/>
                <w:szCs w:val="18"/>
              </w:rPr>
              <w:t>Název programu</w:t>
            </w:r>
          </w:p>
        </w:tc>
        <w:tc>
          <w:tcPr>
            <w:tcW w:w="1984" w:type="dxa"/>
            <w:shd w:val="clear" w:color="auto" w:fill="BFBFBF"/>
            <w:vAlign w:val="center"/>
          </w:tcPr>
          <w:p w14:paraId="50FC4014" w14:textId="77777777" w:rsidR="00D74C2A" w:rsidRPr="00540E1A" w:rsidRDefault="00D74C2A" w:rsidP="007C4955">
            <w:pPr>
              <w:contextualSpacing/>
              <w:jc w:val="center"/>
              <w:rPr>
                <w:rFonts w:cs="Arial"/>
                <w:b/>
                <w:sz w:val="18"/>
                <w:szCs w:val="18"/>
              </w:rPr>
            </w:pPr>
            <w:r w:rsidRPr="00540E1A">
              <w:rPr>
                <w:rFonts w:cs="Arial"/>
                <w:b/>
                <w:sz w:val="18"/>
                <w:szCs w:val="18"/>
              </w:rPr>
              <w:t>Výdaje na financování programů</w:t>
            </w:r>
          </w:p>
          <w:p w14:paraId="78331F8C" w14:textId="0E790BB6" w:rsidR="00D74C2A" w:rsidRPr="00540E1A" w:rsidRDefault="00D74C2A" w:rsidP="007C4955">
            <w:pPr>
              <w:contextualSpacing/>
              <w:jc w:val="center"/>
              <w:rPr>
                <w:rFonts w:cs="Arial"/>
                <w:b/>
                <w:sz w:val="18"/>
                <w:szCs w:val="18"/>
              </w:rPr>
            </w:pPr>
            <w:r w:rsidRPr="00540E1A">
              <w:rPr>
                <w:rFonts w:cs="Arial"/>
                <w:b/>
                <w:sz w:val="18"/>
                <w:szCs w:val="18"/>
              </w:rPr>
              <w:t>mil. Kč</w:t>
            </w:r>
          </w:p>
        </w:tc>
      </w:tr>
      <w:tr w:rsidR="007954F7" w:rsidRPr="00104F7D" w14:paraId="3AF4A467" w14:textId="77777777" w:rsidTr="00B52706">
        <w:trPr>
          <w:trHeight w:val="20"/>
        </w:trPr>
        <w:tc>
          <w:tcPr>
            <w:tcW w:w="1124" w:type="dxa"/>
            <w:shd w:val="clear" w:color="auto" w:fill="BFBFBF"/>
            <w:vAlign w:val="center"/>
          </w:tcPr>
          <w:p w14:paraId="10382E62" w14:textId="0880BE2F" w:rsidR="007954F7" w:rsidRPr="00DA5720" w:rsidRDefault="007954F7" w:rsidP="006E4EB9">
            <w:pPr>
              <w:contextualSpacing/>
              <w:rPr>
                <w:rFonts w:cs="Arial"/>
                <w:sz w:val="18"/>
                <w:szCs w:val="18"/>
              </w:rPr>
            </w:pPr>
            <w:r w:rsidRPr="00DA5720">
              <w:rPr>
                <w:rFonts w:cs="Arial"/>
                <w:sz w:val="18"/>
                <w:szCs w:val="18"/>
              </w:rPr>
              <w:t xml:space="preserve">129 320 </w:t>
            </w:r>
          </w:p>
        </w:tc>
        <w:tc>
          <w:tcPr>
            <w:tcW w:w="5964" w:type="dxa"/>
            <w:vAlign w:val="center"/>
          </w:tcPr>
          <w:p w14:paraId="5658328D" w14:textId="620D6892" w:rsidR="007954F7" w:rsidRPr="00DA5720" w:rsidRDefault="00486561" w:rsidP="006E4EB9">
            <w:pPr>
              <w:contextualSpacing/>
              <w:rPr>
                <w:rFonts w:cs="Arial"/>
                <w:sz w:val="18"/>
                <w:szCs w:val="18"/>
              </w:rPr>
            </w:pPr>
            <w:r w:rsidRPr="00DA5720">
              <w:rPr>
                <w:rFonts w:cs="Arial"/>
                <w:sz w:val="18"/>
                <w:szCs w:val="18"/>
              </w:rPr>
              <w:t>Podpora odstraňování povodňových škod na infrastruktuře vodovodů a kanalizací II</w:t>
            </w:r>
          </w:p>
        </w:tc>
        <w:tc>
          <w:tcPr>
            <w:tcW w:w="1984" w:type="dxa"/>
            <w:vAlign w:val="center"/>
          </w:tcPr>
          <w:p w14:paraId="109839F8" w14:textId="31D84C5B" w:rsidR="007954F7" w:rsidRPr="00DA5720" w:rsidRDefault="00486561" w:rsidP="006E4EB9">
            <w:pPr>
              <w:tabs>
                <w:tab w:val="decimal" w:pos="554"/>
              </w:tabs>
              <w:ind w:right="497"/>
              <w:contextualSpacing/>
              <w:jc w:val="right"/>
              <w:rPr>
                <w:rFonts w:cs="Arial"/>
                <w:b/>
                <w:sz w:val="18"/>
                <w:szCs w:val="18"/>
              </w:rPr>
            </w:pPr>
            <w:r w:rsidRPr="00DA5720">
              <w:rPr>
                <w:rFonts w:cs="Arial"/>
                <w:b/>
                <w:sz w:val="18"/>
                <w:szCs w:val="18"/>
              </w:rPr>
              <w:t>0,00</w:t>
            </w:r>
          </w:p>
        </w:tc>
      </w:tr>
      <w:tr w:rsidR="006E4EB9" w:rsidRPr="00104F7D" w14:paraId="2D394FBF" w14:textId="77777777" w:rsidTr="00B52706">
        <w:trPr>
          <w:trHeight w:val="20"/>
        </w:trPr>
        <w:tc>
          <w:tcPr>
            <w:tcW w:w="1124" w:type="dxa"/>
            <w:shd w:val="clear" w:color="auto" w:fill="BFBFBF"/>
            <w:vAlign w:val="center"/>
          </w:tcPr>
          <w:p w14:paraId="5535F92A" w14:textId="25973630" w:rsidR="006E4EB9" w:rsidRPr="00DA5720" w:rsidRDefault="006E4EB9" w:rsidP="006E4EB9">
            <w:pPr>
              <w:contextualSpacing/>
              <w:rPr>
                <w:rFonts w:cs="Arial"/>
                <w:sz w:val="18"/>
                <w:szCs w:val="18"/>
              </w:rPr>
            </w:pPr>
            <w:r w:rsidRPr="00DA5720">
              <w:rPr>
                <w:rFonts w:cs="Arial"/>
                <w:sz w:val="18"/>
                <w:szCs w:val="18"/>
              </w:rPr>
              <w:t>129 400</w:t>
            </w:r>
          </w:p>
        </w:tc>
        <w:tc>
          <w:tcPr>
            <w:tcW w:w="5964" w:type="dxa"/>
            <w:vAlign w:val="center"/>
          </w:tcPr>
          <w:p w14:paraId="12A4A903" w14:textId="35069340" w:rsidR="006E4EB9" w:rsidRPr="00DA5720" w:rsidRDefault="006E4EB9" w:rsidP="006E4EB9">
            <w:pPr>
              <w:contextualSpacing/>
              <w:rPr>
                <w:rFonts w:cs="Arial"/>
                <w:sz w:val="18"/>
                <w:szCs w:val="18"/>
              </w:rPr>
            </w:pPr>
            <w:r w:rsidRPr="00DA5720">
              <w:rPr>
                <w:rFonts w:cs="Arial"/>
                <w:sz w:val="18"/>
                <w:szCs w:val="18"/>
              </w:rPr>
              <w:t>Podpora opatření pro zmírnění negativních dopadů sucha a nedostatku vody</w:t>
            </w:r>
          </w:p>
        </w:tc>
        <w:tc>
          <w:tcPr>
            <w:tcW w:w="1984" w:type="dxa"/>
            <w:vAlign w:val="center"/>
          </w:tcPr>
          <w:p w14:paraId="51F48904" w14:textId="477ACC65" w:rsidR="006E4EB9" w:rsidRPr="00DA5720" w:rsidRDefault="004C3CDE" w:rsidP="006E4EB9">
            <w:pPr>
              <w:tabs>
                <w:tab w:val="decimal" w:pos="554"/>
              </w:tabs>
              <w:ind w:right="497"/>
              <w:contextualSpacing/>
              <w:jc w:val="right"/>
              <w:rPr>
                <w:rFonts w:cs="Arial"/>
                <w:b/>
                <w:sz w:val="18"/>
                <w:szCs w:val="18"/>
              </w:rPr>
            </w:pPr>
            <w:r w:rsidRPr="00DA5720">
              <w:rPr>
                <w:rFonts w:cs="Arial"/>
                <w:b/>
                <w:sz w:val="18"/>
                <w:szCs w:val="18"/>
              </w:rPr>
              <w:t>463,03</w:t>
            </w:r>
          </w:p>
        </w:tc>
      </w:tr>
      <w:tr w:rsidR="008A27DF" w:rsidRPr="00104F7D" w14:paraId="6338C36C" w14:textId="77777777" w:rsidTr="00B52706">
        <w:trPr>
          <w:trHeight w:val="20"/>
        </w:trPr>
        <w:tc>
          <w:tcPr>
            <w:tcW w:w="1124" w:type="dxa"/>
            <w:shd w:val="clear" w:color="auto" w:fill="BFBFBF"/>
            <w:vAlign w:val="center"/>
          </w:tcPr>
          <w:p w14:paraId="0AB51E71" w14:textId="6D2444C3" w:rsidR="008A27DF" w:rsidRPr="00DA5720" w:rsidRDefault="008A27DF" w:rsidP="008A27DF">
            <w:pPr>
              <w:contextualSpacing/>
              <w:rPr>
                <w:rFonts w:cs="Arial"/>
                <w:sz w:val="18"/>
                <w:szCs w:val="18"/>
              </w:rPr>
            </w:pPr>
            <w:r w:rsidRPr="00DA5720">
              <w:rPr>
                <w:rFonts w:cs="Arial"/>
                <w:sz w:val="18"/>
                <w:szCs w:val="18"/>
              </w:rPr>
              <w:t xml:space="preserve">129 410 </w:t>
            </w:r>
          </w:p>
        </w:tc>
        <w:tc>
          <w:tcPr>
            <w:tcW w:w="5964" w:type="dxa"/>
            <w:vAlign w:val="center"/>
          </w:tcPr>
          <w:p w14:paraId="615D9689" w14:textId="236EE660" w:rsidR="008A27DF" w:rsidRPr="00DA5720" w:rsidRDefault="008A27DF" w:rsidP="008A27DF">
            <w:pPr>
              <w:contextualSpacing/>
              <w:rPr>
                <w:rFonts w:cs="Arial"/>
                <w:sz w:val="18"/>
                <w:szCs w:val="18"/>
              </w:rPr>
            </w:pPr>
            <w:r w:rsidRPr="00DA5720">
              <w:rPr>
                <w:rFonts w:cs="Arial"/>
                <w:sz w:val="18"/>
                <w:szCs w:val="18"/>
              </w:rPr>
              <w:t>Podpora výstavby a technického zhodnocení infrastruktury vodovodů a kanalizací III</w:t>
            </w:r>
          </w:p>
        </w:tc>
        <w:tc>
          <w:tcPr>
            <w:tcW w:w="1984" w:type="dxa"/>
            <w:vAlign w:val="center"/>
          </w:tcPr>
          <w:p w14:paraId="5E64FC88" w14:textId="42305075" w:rsidR="008A27DF" w:rsidRPr="00DA5720" w:rsidRDefault="008A27DF" w:rsidP="008A27DF">
            <w:pPr>
              <w:tabs>
                <w:tab w:val="decimal" w:pos="554"/>
              </w:tabs>
              <w:ind w:right="497"/>
              <w:contextualSpacing/>
              <w:jc w:val="right"/>
              <w:rPr>
                <w:rFonts w:cs="Arial"/>
                <w:b/>
                <w:sz w:val="18"/>
                <w:szCs w:val="18"/>
                <w:highlight w:val="yellow"/>
              </w:rPr>
            </w:pPr>
            <w:r w:rsidRPr="00D4742A">
              <w:rPr>
                <w:rFonts w:cs="Arial"/>
                <w:b/>
                <w:sz w:val="18"/>
                <w:szCs w:val="18"/>
              </w:rPr>
              <w:t>1 037,19</w:t>
            </w:r>
          </w:p>
        </w:tc>
      </w:tr>
      <w:tr w:rsidR="008A27DF" w:rsidRPr="00104F7D" w14:paraId="172E6A51" w14:textId="77777777" w:rsidTr="00B52706">
        <w:trPr>
          <w:trHeight w:val="20"/>
        </w:trPr>
        <w:tc>
          <w:tcPr>
            <w:tcW w:w="1124" w:type="dxa"/>
            <w:shd w:val="clear" w:color="auto" w:fill="BFBFBF"/>
            <w:vAlign w:val="center"/>
          </w:tcPr>
          <w:p w14:paraId="13ADF428" w14:textId="48ADB8FC" w:rsidR="008A27DF" w:rsidRPr="00DA5720" w:rsidRDefault="008A27DF" w:rsidP="008A27DF">
            <w:pPr>
              <w:contextualSpacing/>
              <w:rPr>
                <w:rFonts w:cs="Arial"/>
                <w:sz w:val="18"/>
                <w:szCs w:val="18"/>
              </w:rPr>
            </w:pPr>
            <w:r w:rsidRPr="00DA5720">
              <w:rPr>
                <w:rFonts w:cs="Arial"/>
                <w:sz w:val="18"/>
                <w:szCs w:val="18"/>
              </w:rPr>
              <w:t>129 420</w:t>
            </w:r>
          </w:p>
        </w:tc>
        <w:tc>
          <w:tcPr>
            <w:tcW w:w="5964" w:type="dxa"/>
            <w:vAlign w:val="center"/>
          </w:tcPr>
          <w:p w14:paraId="137C67EB" w14:textId="4B9E66B3" w:rsidR="008A27DF" w:rsidRPr="00DA5720" w:rsidRDefault="008A27DF" w:rsidP="008A27DF">
            <w:pPr>
              <w:contextualSpacing/>
              <w:rPr>
                <w:rFonts w:cs="Arial"/>
                <w:sz w:val="18"/>
                <w:szCs w:val="18"/>
              </w:rPr>
            </w:pPr>
            <w:r w:rsidRPr="00DA5720">
              <w:rPr>
                <w:rFonts w:cs="Arial"/>
                <w:sz w:val="18"/>
                <w:szCs w:val="18"/>
              </w:rPr>
              <w:t>Podpora odkupu a scelování infrastruktury vodovodů a kanalizací a podpora výkupu nemovitého majetku pod budoucími vodními díly</w:t>
            </w:r>
          </w:p>
        </w:tc>
        <w:tc>
          <w:tcPr>
            <w:tcW w:w="1984" w:type="dxa"/>
            <w:vAlign w:val="center"/>
          </w:tcPr>
          <w:p w14:paraId="26AB5D7E" w14:textId="3F16AC5D" w:rsidR="008A27DF" w:rsidRPr="00DA5720" w:rsidRDefault="005E2FB0" w:rsidP="008A27DF">
            <w:pPr>
              <w:tabs>
                <w:tab w:val="decimal" w:pos="554"/>
              </w:tabs>
              <w:ind w:right="497"/>
              <w:contextualSpacing/>
              <w:jc w:val="right"/>
              <w:rPr>
                <w:rFonts w:cs="Arial"/>
                <w:b/>
                <w:sz w:val="18"/>
                <w:szCs w:val="18"/>
              </w:rPr>
            </w:pPr>
            <w:r w:rsidRPr="00DA5720">
              <w:rPr>
                <w:rFonts w:cs="Arial"/>
                <w:b/>
                <w:sz w:val="18"/>
                <w:szCs w:val="18"/>
              </w:rPr>
              <w:t>65,2</w:t>
            </w:r>
            <w:r w:rsidR="00CB1B0B">
              <w:rPr>
                <w:rFonts w:cs="Arial"/>
                <w:b/>
                <w:sz w:val="18"/>
                <w:szCs w:val="18"/>
              </w:rPr>
              <w:t>3</w:t>
            </w:r>
          </w:p>
        </w:tc>
      </w:tr>
      <w:tr w:rsidR="005E2FB0" w:rsidRPr="00104F7D" w14:paraId="6A3E0A35" w14:textId="77777777" w:rsidTr="00B52706">
        <w:trPr>
          <w:trHeight w:val="20"/>
        </w:trPr>
        <w:tc>
          <w:tcPr>
            <w:tcW w:w="1124" w:type="dxa"/>
            <w:shd w:val="clear" w:color="auto" w:fill="BFBFBF"/>
            <w:vAlign w:val="center"/>
          </w:tcPr>
          <w:p w14:paraId="7A6C7CB8" w14:textId="3FC7BF58" w:rsidR="005E2FB0" w:rsidRPr="00DA5720" w:rsidRDefault="005E2FB0" w:rsidP="008A27DF">
            <w:pPr>
              <w:contextualSpacing/>
              <w:rPr>
                <w:rFonts w:cs="Arial"/>
                <w:sz w:val="18"/>
                <w:szCs w:val="18"/>
              </w:rPr>
            </w:pPr>
            <w:r w:rsidRPr="00DA5720">
              <w:rPr>
                <w:rFonts w:cs="Arial"/>
                <w:sz w:val="18"/>
                <w:szCs w:val="18"/>
              </w:rPr>
              <w:t>129 430</w:t>
            </w:r>
          </w:p>
        </w:tc>
        <w:tc>
          <w:tcPr>
            <w:tcW w:w="5964" w:type="dxa"/>
            <w:vAlign w:val="center"/>
          </w:tcPr>
          <w:p w14:paraId="2EF99CE0" w14:textId="2BB629FC" w:rsidR="005E2FB0" w:rsidRPr="00DA5720" w:rsidRDefault="00FC3570" w:rsidP="008A27DF">
            <w:pPr>
              <w:contextualSpacing/>
              <w:rPr>
                <w:rFonts w:cs="Arial"/>
                <w:sz w:val="18"/>
                <w:szCs w:val="18"/>
              </w:rPr>
            </w:pPr>
            <w:r w:rsidRPr="00DA5720">
              <w:rPr>
                <w:rFonts w:cs="Arial"/>
                <w:sz w:val="18"/>
                <w:szCs w:val="18"/>
              </w:rPr>
              <w:t xml:space="preserve">Podpora opatření pro zmírnění dopadů sucha – </w:t>
            </w:r>
            <w:r w:rsidR="001D71D1" w:rsidRPr="00DA5720">
              <w:rPr>
                <w:rFonts w:cs="Arial"/>
                <w:sz w:val="18"/>
                <w:szCs w:val="18"/>
              </w:rPr>
              <w:t>projektová</w:t>
            </w:r>
            <w:r w:rsidRPr="00DA5720">
              <w:rPr>
                <w:rFonts w:cs="Arial"/>
                <w:sz w:val="18"/>
                <w:szCs w:val="18"/>
              </w:rPr>
              <w:t xml:space="preserve"> příprava </w:t>
            </w:r>
            <w:r w:rsidR="001D71D1" w:rsidRPr="00DA5720">
              <w:rPr>
                <w:rFonts w:cs="Arial"/>
                <w:sz w:val="18"/>
                <w:szCs w:val="18"/>
              </w:rPr>
              <w:t>a realizace nezbytných investic</w:t>
            </w:r>
          </w:p>
        </w:tc>
        <w:tc>
          <w:tcPr>
            <w:tcW w:w="1984" w:type="dxa"/>
            <w:vAlign w:val="center"/>
          </w:tcPr>
          <w:p w14:paraId="390404EF" w14:textId="18123A48" w:rsidR="005E2FB0" w:rsidRPr="00DA5720" w:rsidRDefault="001D71D1" w:rsidP="008A27DF">
            <w:pPr>
              <w:tabs>
                <w:tab w:val="decimal" w:pos="554"/>
              </w:tabs>
              <w:ind w:right="497"/>
              <w:contextualSpacing/>
              <w:jc w:val="right"/>
              <w:rPr>
                <w:rFonts w:cs="Arial"/>
                <w:b/>
                <w:sz w:val="18"/>
                <w:szCs w:val="18"/>
              </w:rPr>
            </w:pPr>
            <w:r w:rsidRPr="00DA5720">
              <w:rPr>
                <w:rFonts w:cs="Arial"/>
                <w:b/>
                <w:sz w:val="18"/>
                <w:szCs w:val="18"/>
              </w:rPr>
              <w:t>34,81</w:t>
            </w:r>
          </w:p>
        </w:tc>
      </w:tr>
      <w:tr w:rsidR="008A27DF" w:rsidRPr="00104F7D" w14:paraId="050B6BBB" w14:textId="77777777" w:rsidTr="00B52706">
        <w:trPr>
          <w:trHeight w:val="20"/>
        </w:trPr>
        <w:tc>
          <w:tcPr>
            <w:tcW w:w="1124" w:type="dxa"/>
            <w:shd w:val="clear" w:color="auto" w:fill="BFBFBF"/>
            <w:vAlign w:val="center"/>
          </w:tcPr>
          <w:p w14:paraId="4A5DD9B0" w14:textId="3B421C12" w:rsidR="008A27DF" w:rsidRPr="00DA5720" w:rsidRDefault="008A27DF" w:rsidP="008A27DF">
            <w:pPr>
              <w:contextualSpacing/>
              <w:rPr>
                <w:rFonts w:cs="Arial"/>
                <w:sz w:val="18"/>
                <w:szCs w:val="18"/>
              </w:rPr>
            </w:pPr>
            <w:r w:rsidRPr="00DA5720">
              <w:rPr>
                <w:rFonts w:cs="Arial"/>
                <w:sz w:val="18"/>
                <w:szCs w:val="18"/>
              </w:rPr>
              <w:t>129 310</w:t>
            </w:r>
          </w:p>
        </w:tc>
        <w:tc>
          <w:tcPr>
            <w:tcW w:w="5964" w:type="dxa"/>
            <w:vAlign w:val="center"/>
          </w:tcPr>
          <w:p w14:paraId="0D750C4F" w14:textId="723BB082" w:rsidR="008A27DF" w:rsidRPr="00DA5720" w:rsidRDefault="008A27DF" w:rsidP="008A27DF">
            <w:pPr>
              <w:tabs>
                <w:tab w:val="left" w:pos="3366"/>
              </w:tabs>
              <w:contextualSpacing/>
              <w:rPr>
                <w:rFonts w:cs="Arial"/>
                <w:sz w:val="18"/>
                <w:szCs w:val="18"/>
              </w:rPr>
            </w:pPr>
            <w:r w:rsidRPr="00DA5720">
              <w:rPr>
                <w:rFonts w:cs="Arial"/>
                <w:sz w:val="18"/>
                <w:szCs w:val="18"/>
              </w:rPr>
              <w:t>Podpora konkurenceschopnosti agropotravinářského komplexu – závlahy – II. etapa</w:t>
            </w:r>
          </w:p>
        </w:tc>
        <w:tc>
          <w:tcPr>
            <w:tcW w:w="1984" w:type="dxa"/>
            <w:vAlign w:val="center"/>
          </w:tcPr>
          <w:p w14:paraId="5E65DE3B" w14:textId="73A1B014" w:rsidR="008A27DF" w:rsidRPr="00DA5720" w:rsidRDefault="00BE09E1" w:rsidP="008A27DF">
            <w:pPr>
              <w:tabs>
                <w:tab w:val="decimal" w:pos="554"/>
              </w:tabs>
              <w:ind w:right="497"/>
              <w:contextualSpacing/>
              <w:jc w:val="right"/>
              <w:rPr>
                <w:rFonts w:cs="Arial"/>
                <w:b/>
                <w:sz w:val="18"/>
                <w:szCs w:val="18"/>
              </w:rPr>
            </w:pPr>
            <w:r w:rsidRPr="00DA5720">
              <w:rPr>
                <w:rFonts w:cs="Arial"/>
                <w:b/>
                <w:sz w:val="18"/>
                <w:szCs w:val="18"/>
              </w:rPr>
              <w:t>27,4</w:t>
            </w:r>
            <w:r w:rsidR="00B6181B">
              <w:rPr>
                <w:rFonts w:cs="Arial"/>
                <w:b/>
                <w:sz w:val="18"/>
                <w:szCs w:val="18"/>
              </w:rPr>
              <w:t>3</w:t>
            </w:r>
          </w:p>
        </w:tc>
      </w:tr>
      <w:tr w:rsidR="008A27DF" w:rsidRPr="00104F7D" w14:paraId="351C6A81" w14:textId="77777777" w:rsidTr="00B52706">
        <w:trPr>
          <w:trHeight w:val="20"/>
        </w:trPr>
        <w:tc>
          <w:tcPr>
            <w:tcW w:w="1124" w:type="dxa"/>
            <w:shd w:val="clear" w:color="auto" w:fill="BFBFBF"/>
            <w:vAlign w:val="center"/>
          </w:tcPr>
          <w:p w14:paraId="12DA256C" w14:textId="358BBDC2" w:rsidR="008A27DF" w:rsidRPr="00DA5720" w:rsidRDefault="008A27DF" w:rsidP="008A27DF">
            <w:pPr>
              <w:contextualSpacing/>
              <w:rPr>
                <w:rFonts w:cs="Arial"/>
                <w:sz w:val="18"/>
                <w:szCs w:val="18"/>
              </w:rPr>
            </w:pPr>
            <w:r w:rsidRPr="00DA5720">
              <w:rPr>
                <w:rFonts w:cs="Arial"/>
                <w:sz w:val="18"/>
                <w:szCs w:val="18"/>
              </w:rPr>
              <w:t>129 340</w:t>
            </w:r>
          </w:p>
        </w:tc>
        <w:tc>
          <w:tcPr>
            <w:tcW w:w="5964" w:type="dxa"/>
            <w:vAlign w:val="center"/>
          </w:tcPr>
          <w:p w14:paraId="55DA6DEF" w14:textId="4CFB9324" w:rsidR="008A27DF" w:rsidRPr="00DA5720" w:rsidRDefault="008A27DF" w:rsidP="008A27DF">
            <w:pPr>
              <w:tabs>
                <w:tab w:val="left" w:pos="3366"/>
              </w:tabs>
              <w:contextualSpacing/>
              <w:rPr>
                <w:rFonts w:cs="Arial"/>
                <w:sz w:val="18"/>
                <w:szCs w:val="18"/>
              </w:rPr>
            </w:pPr>
            <w:r w:rsidRPr="00DA5720">
              <w:rPr>
                <w:rFonts w:cs="Arial"/>
                <w:sz w:val="18"/>
                <w:szCs w:val="18"/>
              </w:rPr>
              <w:t>Vypořádání práv k nemovitým věcem dotčeným plánovanou realizací komplexního řešení sucha na Rakovnicku</w:t>
            </w:r>
          </w:p>
        </w:tc>
        <w:tc>
          <w:tcPr>
            <w:tcW w:w="1984" w:type="dxa"/>
            <w:vAlign w:val="center"/>
          </w:tcPr>
          <w:p w14:paraId="37B85187" w14:textId="254B1B70" w:rsidR="008A27DF" w:rsidRPr="00DA5720" w:rsidDel="002B1584" w:rsidRDefault="00BE09E1" w:rsidP="008A27DF">
            <w:pPr>
              <w:tabs>
                <w:tab w:val="left" w:pos="721"/>
                <w:tab w:val="center" w:pos="1121"/>
              </w:tabs>
              <w:ind w:right="497"/>
              <w:contextualSpacing/>
              <w:jc w:val="right"/>
              <w:rPr>
                <w:rFonts w:cs="Arial"/>
                <w:b/>
                <w:sz w:val="18"/>
                <w:szCs w:val="18"/>
              </w:rPr>
            </w:pPr>
            <w:r w:rsidRPr="00DA5720">
              <w:rPr>
                <w:rFonts w:cs="Arial"/>
                <w:b/>
                <w:sz w:val="18"/>
                <w:szCs w:val="18"/>
              </w:rPr>
              <w:t>19,5</w:t>
            </w:r>
            <w:r w:rsidR="00B6181B">
              <w:rPr>
                <w:rFonts w:cs="Arial"/>
                <w:b/>
                <w:sz w:val="18"/>
                <w:szCs w:val="18"/>
              </w:rPr>
              <w:t>3</w:t>
            </w:r>
          </w:p>
        </w:tc>
      </w:tr>
      <w:tr w:rsidR="008A27DF" w:rsidRPr="00104F7D" w14:paraId="73D290B5" w14:textId="77777777" w:rsidTr="00B52706">
        <w:trPr>
          <w:trHeight w:val="20"/>
        </w:trPr>
        <w:tc>
          <w:tcPr>
            <w:tcW w:w="1124" w:type="dxa"/>
            <w:shd w:val="clear" w:color="auto" w:fill="BFBFBF"/>
            <w:vAlign w:val="center"/>
          </w:tcPr>
          <w:p w14:paraId="0C7F9EE6" w14:textId="030E97A5" w:rsidR="008A27DF" w:rsidRPr="00DA5720" w:rsidRDefault="008A27DF" w:rsidP="008A27DF">
            <w:pPr>
              <w:contextualSpacing/>
              <w:rPr>
                <w:rFonts w:cs="Arial"/>
                <w:sz w:val="18"/>
                <w:szCs w:val="18"/>
              </w:rPr>
            </w:pPr>
            <w:r w:rsidRPr="00DA5720">
              <w:rPr>
                <w:rFonts w:cs="Arial"/>
                <w:sz w:val="18"/>
                <w:szCs w:val="18"/>
              </w:rPr>
              <w:t xml:space="preserve">129 360 </w:t>
            </w:r>
          </w:p>
        </w:tc>
        <w:tc>
          <w:tcPr>
            <w:tcW w:w="5964" w:type="dxa"/>
            <w:vAlign w:val="center"/>
          </w:tcPr>
          <w:p w14:paraId="16FF82F2" w14:textId="3041A8C6" w:rsidR="008A27DF" w:rsidRPr="00DA5720" w:rsidRDefault="008A27DF" w:rsidP="008A27DF">
            <w:pPr>
              <w:tabs>
                <w:tab w:val="left" w:pos="3366"/>
              </w:tabs>
              <w:contextualSpacing/>
              <w:rPr>
                <w:rFonts w:cs="Arial"/>
                <w:sz w:val="18"/>
                <w:szCs w:val="18"/>
              </w:rPr>
            </w:pPr>
            <w:r w:rsidRPr="00DA5720">
              <w:rPr>
                <w:rFonts w:cs="Arial"/>
                <w:sz w:val="18"/>
                <w:szCs w:val="18"/>
              </w:rPr>
              <w:t>Podpora prevence před povodněmi IV</w:t>
            </w:r>
          </w:p>
        </w:tc>
        <w:tc>
          <w:tcPr>
            <w:tcW w:w="1984" w:type="dxa"/>
            <w:vAlign w:val="center"/>
          </w:tcPr>
          <w:p w14:paraId="634F49E4" w14:textId="26D1F79E" w:rsidR="008A27DF" w:rsidRPr="00DA5720" w:rsidRDefault="00594C7A" w:rsidP="008A27DF">
            <w:pPr>
              <w:tabs>
                <w:tab w:val="left" w:pos="721"/>
                <w:tab w:val="center" w:pos="1121"/>
              </w:tabs>
              <w:ind w:right="497"/>
              <w:contextualSpacing/>
              <w:jc w:val="right"/>
              <w:rPr>
                <w:rFonts w:cs="Arial"/>
                <w:b/>
                <w:sz w:val="18"/>
                <w:szCs w:val="18"/>
              </w:rPr>
            </w:pPr>
            <w:r w:rsidRPr="00DA5720">
              <w:rPr>
                <w:rFonts w:cs="Arial"/>
                <w:b/>
                <w:sz w:val="18"/>
                <w:szCs w:val="18"/>
              </w:rPr>
              <w:t>414,9</w:t>
            </w:r>
            <w:r w:rsidR="00D85C34">
              <w:rPr>
                <w:rFonts w:cs="Arial"/>
                <w:b/>
                <w:sz w:val="18"/>
                <w:szCs w:val="18"/>
              </w:rPr>
              <w:t>3</w:t>
            </w:r>
          </w:p>
        </w:tc>
      </w:tr>
      <w:tr w:rsidR="00965225" w:rsidRPr="00104F7D" w14:paraId="10F81A77" w14:textId="77777777" w:rsidTr="00B52706">
        <w:trPr>
          <w:trHeight w:val="20"/>
        </w:trPr>
        <w:tc>
          <w:tcPr>
            <w:tcW w:w="1124" w:type="dxa"/>
            <w:shd w:val="clear" w:color="auto" w:fill="BFBFBF"/>
            <w:vAlign w:val="center"/>
          </w:tcPr>
          <w:p w14:paraId="57203D2A" w14:textId="46CB372D" w:rsidR="00965225" w:rsidRPr="00DA5720" w:rsidRDefault="00965225" w:rsidP="008A27DF">
            <w:pPr>
              <w:contextualSpacing/>
              <w:rPr>
                <w:rFonts w:cs="Arial"/>
                <w:sz w:val="18"/>
                <w:szCs w:val="18"/>
              </w:rPr>
            </w:pPr>
            <w:r w:rsidRPr="00DA5720">
              <w:rPr>
                <w:rFonts w:cs="Arial"/>
                <w:sz w:val="18"/>
                <w:szCs w:val="18"/>
              </w:rPr>
              <w:t>129 370</w:t>
            </w:r>
          </w:p>
        </w:tc>
        <w:tc>
          <w:tcPr>
            <w:tcW w:w="5964" w:type="dxa"/>
            <w:vAlign w:val="center"/>
          </w:tcPr>
          <w:p w14:paraId="0AD755AB" w14:textId="77806236" w:rsidR="00965225" w:rsidRPr="00DA5720" w:rsidRDefault="00965225" w:rsidP="008A27DF">
            <w:pPr>
              <w:tabs>
                <w:tab w:val="left" w:pos="3366"/>
              </w:tabs>
              <w:contextualSpacing/>
              <w:rPr>
                <w:rFonts w:cs="Arial"/>
                <w:sz w:val="18"/>
                <w:szCs w:val="18"/>
              </w:rPr>
            </w:pPr>
            <w:r w:rsidRPr="00DA5720">
              <w:rPr>
                <w:rFonts w:cs="Arial"/>
                <w:sz w:val="18"/>
                <w:szCs w:val="18"/>
              </w:rPr>
              <w:t>Odstranění následků povodní</w:t>
            </w:r>
            <w:r w:rsidR="00CA0DB2" w:rsidRPr="00DA5720">
              <w:rPr>
                <w:rFonts w:cs="Arial"/>
                <w:sz w:val="18"/>
                <w:szCs w:val="18"/>
              </w:rPr>
              <w:t xml:space="preserve"> na státním vodohospodářském majetku III</w:t>
            </w:r>
          </w:p>
        </w:tc>
        <w:tc>
          <w:tcPr>
            <w:tcW w:w="1984" w:type="dxa"/>
            <w:vAlign w:val="center"/>
          </w:tcPr>
          <w:p w14:paraId="01FE39B2" w14:textId="601536D9" w:rsidR="00965225" w:rsidRPr="00DA5720" w:rsidRDefault="00CA0DB2" w:rsidP="008A27DF">
            <w:pPr>
              <w:tabs>
                <w:tab w:val="left" w:pos="721"/>
                <w:tab w:val="center" w:pos="1121"/>
              </w:tabs>
              <w:ind w:right="497"/>
              <w:contextualSpacing/>
              <w:jc w:val="right"/>
              <w:rPr>
                <w:rFonts w:cs="Arial"/>
                <w:b/>
                <w:sz w:val="18"/>
                <w:szCs w:val="18"/>
              </w:rPr>
            </w:pPr>
            <w:r w:rsidRPr="00DA5720">
              <w:rPr>
                <w:rFonts w:cs="Arial"/>
                <w:b/>
                <w:sz w:val="18"/>
                <w:szCs w:val="18"/>
              </w:rPr>
              <w:t>237,41</w:t>
            </w:r>
          </w:p>
        </w:tc>
      </w:tr>
      <w:tr w:rsidR="002117E9" w:rsidRPr="00104F7D" w14:paraId="1DFAFFA1" w14:textId="77777777" w:rsidTr="00B52706">
        <w:trPr>
          <w:trHeight w:val="20"/>
        </w:trPr>
        <w:tc>
          <w:tcPr>
            <w:tcW w:w="1124" w:type="dxa"/>
            <w:shd w:val="clear" w:color="auto" w:fill="BFBFBF"/>
            <w:vAlign w:val="center"/>
          </w:tcPr>
          <w:p w14:paraId="5DFBB12E" w14:textId="7B1AC7A3" w:rsidR="002117E9" w:rsidRPr="00DA5720" w:rsidRDefault="002117E9" w:rsidP="008A27DF">
            <w:pPr>
              <w:contextualSpacing/>
              <w:rPr>
                <w:rFonts w:cs="Arial"/>
                <w:sz w:val="18"/>
                <w:szCs w:val="18"/>
              </w:rPr>
            </w:pPr>
            <w:r w:rsidRPr="00DA5720">
              <w:rPr>
                <w:rFonts w:cs="Arial"/>
                <w:sz w:val="18"/>
                <w:szCs w:val="18"/>
              </w:rPr>
              <w:t>129 380</w:t>
            </w:r>
          </w:p>
        </w:tc>
        <w:tc>
          <w:tcPr>
            <w:tcW w:w="5964" w:type="dxa"/>
            <w:vAlign w:val="center"/>
          </w:tcPr>
          <w:p w14:paraId="1BC929AC" w14:textId="15C01B2E" w:rsidR="002117E9" w:rsidRPr="00DA5720" w:rsidRDefault="002117E9" w:rsidP="008A27DF">
            <w:pPr>
              <w:tabs>
                <w:tab w:val="left" w:pos="3366"/>
              </w:tabs>
              <w:contextualSpacing/>
              <w:rPr>
                <w:rFonts w:cs="Arial"/>
                <w:sz w:val="18"/>
                <w:szCs w:val="18"/>
              </w:rPr>
            </w:pPr>
            <w:r w:rsidRPr="00DA5720">
              <w:rPr>
                <w:rFonts w:cs="Arial"/>
                <w:sz w:val="18"/>
                <w:szCs w:val="18"/>
              </w:rPr>
              <w:t>Podpora retence vody v krajině – rybníky a vodní nádrže</w:t>
            </w:r>
            <w:r w:rsidR="00185591" w:rsidRPr="00DA5720">
              <w:rPr>
                <w:rFonts w:cs="Arial"/>
                <w:sz w:val="18"/>
                <w:szCs w:val="18"/>
              </w:rPr>
              <w:t xml:space="preserve"> – 2. etapa</w:t>
            </w:r>
          </w:p>
        </w:tc>
        <w:tc>
          <w:tcPr>
            <w:tcW w:w="1984" w:type="dxa"/>
            <w:vAlign w:val="center"/>
          </w:tcPr>
          <w:p w14:paraId="0F507DE9" w14:textId="17DC7833" w:rsidR="002117E9" w:rsidRPr="00DA5720" w:rsidRDefault="00185591" w:rsidP="008A27DF">
            <w:pPr>
              <w:tabs>
                <w:tab w:val="left" w:pos="721"/>
                <w:tab w:val="center" w:pos="1121"/>
              </w:tabs>
              <w:ind w:right="497"/>
              <w:contextualSpacing/>
              <w:jc w:val="right"/>
              <w:rPr>
                <w:rFonts w:cs="Arial"/>
                <w:b/>
                <w:sz w:val="18"/>
                <w:szCs w:val="18"/>
              </w:rPr>
            </w:pPr>
            <w:r w:rsidRPr="00DA5720">
              <w:rPr>
                <w:rFonts w:cs="Arial"/>
                <w:b/>
                <w:sz w:val="18"/>
                <w:szCs w:val="18"/>
              </w:rPr>
              <w:t>0,6</w:t>
            </w:r>
            <w:r w:rsidR="00D85C34">
              <w:rPr>
                <w:rFonts w:cs="Arial"/>
                <w:b/>
                <w:sz w:val="18"/>
                <w:szCs w:val="18"/>
              </w:rPr>
              <w:t>3</w:t>
            </w:r>
          </w:p>
        </w:tc>
      </w:tr>
      <w:tr w:rsidR="007160A5" w:rsidRPr="00104F7D" w14:paraId="19510EA0" w14:textId="77777777" w:rsidTr="00B52706">
        <w:trPr>
          <w:trHeight w:val="20"/>
        </w:trPr>
        <w:tc>
          <w:tcPr>
            <w:tcW w:w="1124" w:type="dxa"/>
            <w:shd w:val="clear" w:color="auto" w:fill="BFBFBF"/>
            <w:vAlign w:val="center"/>
          </w:tcPr>
          <w:p w14:paraId="33107220" w14:textId="3E652FB6" w:rsidR="007160A5" w:rsidRPr="00DA5720" w:rsidRDefault="007160A5" w:rsidP="007160A5">
            <w:pPr>
              <w:contextualSpacing/>
              <w:rPr>
                <w:rFonts w:cs="Arial"/>
                <w:sz w:val="18"/>
                <w:szCs w:val="18"/>
              </w:rPr>
            </w:pPr>
            <w:r w:rsidRPr="00DA5720">
              <w:rPr>
                <w:rFonts w:cs="Arial"/>
                <w:sz w:val="18"/>
                <w:szCs w:val="18"/>
              </w:rPr>
              <w:t xml:space="preserve">129 490 </w:t>
            </w:r>
          </w:p>
        </w:tc>
        <w:tc>
          <w:tcPr>
            <w:tcW w:w="5964" w:type="dxa"/>
            <w:vAlign w:val="center"/>
          </w:tcPr>
          <w:p w14:paraId="18F7135D" w14:textId="4AE420F9" w:rsidR="007160A5" w:rsidRPr="00DA5720" w:rsidRDefault="007160A5" w:rsidP="007160A5">
            <w:pPr>
              <w:tabs>
                <w:tab w:val="left" w:pos="3366"/>
              </w:tabs>
              <w:contextualSpacing/>
              <w:rPr>
                <w:rFonts w:cs="Arial"/>
                <w:sz w:val="18"/>
                <w:szCs w:val="18"/>
              </w:rPr>
            </w:pPr>
            <w:r w:rsidRPr="00DA5720">
              <w:rPr>
                <w:rFonts w:cs="Arial"/>
                <w:sz w:val="18"/>
                <w:szCs w:val="18"/>
              </w:rPr>
              <w:t>Podpora opatření na malých vodních nádržích a drobných vodních tocích - 3. etapa</w:t>
            </w:r>
          </w:p>
        </w:tc>
        <w:tc>
          <w:tcPr>
            <w:tcW w:w="1984" w:type="dxa"/>
            <w:vAlign w:val="center"/>
          </w:tcPr>
          <w:p w14:paraId="59AE932D" w14:textId="786AC5FA" w:rsidR="007160A5" w:rsidRPr="00DA5720" w:rsidRDefault="00540E1A" w:rsidP="007160A5">
            <w:pPr>
              <w:tabs>
                <w:tab w:val="left" w:pos="721"/>
                <w:tab w:val="center" w:pos="1121"/>
              </w:tabs>
              <w:ind w:right="497"/>
              <w:contextualSpacing/>
              <w:jc w:val="right"/>
              <w:rPr>
                <w:rFonts w:cs="Arial"/>
                <w:b/>
                <w:sz w:val="18"/>
                <w:szCs w:val="18"/>
              </w:rPr>
            </w:pPr>
            <w:r w:rsidRPr="00DA5720">
              <w:rPr>
                <w:rFonts w:cs="Arial"/>
                <w:b/>
                <w:sz w:val="18"/>
                <w:szCs w:val="18"/>
              </w:rPr>
              <w:t>162,55</w:t>
            </w:r>
          </w:p>
        </w:tc>
      </w:tr>
      <w:tr w:rsidR="007160A5" w:rsidRPr="00104F7D" w14:paraId="5CFAD5B2" w14:textId="77777777" w:rsidTr="00B52706">
        <w:trPr>
          <w:trHeight w:val="20"/>
        </w:trPr>
        <w:tc>
          <w:tcPr>
            <w:tcW w:w="1124" w:type="dxa"/>
            <w:shd w:val="clear" w:color="auto" w:fill="BFBFBF"/>
            <w:vAlign w:val="center"/>
          </w:tcPr>
          <w:p w14:paraId="3183247B" w14:textId="08672A7B" w:rsidR="007160A5" w:rsidRPr="00DA5720" w:rsidRDefault="007160A5" w:rsidP="007160A5">
            <w:pPr>
              <w:contextualSpacing/>
              <w:rPr>
                <w:rFonts w:cs="Arial"/>
                <w:sz w:val="18"/>
                <w:szCs w:val="18"/>
              </w:rPr>
            </w:pPr>
            <w:r w:rsidRPr="00DA5720">
              <w:rPr>
                <w:rFonts w:cs="Arial"/>
                <w:sz w:val="18"/>
                <w:szCs w:val="18"/>
              </w:rPr>
              <w:t xml:space="preserve">129 500 </w:t>
            </w:r>
          </w:p>
        </w:tc>
        <w:tc>
          <w:tcPr>
            <w:tcW w:w="5964" w:type="dxa"/>
            <w:vAlign w:val="center"/>
          </w:tcPr>
          <w:p w14:paraId="0F1B42C0" w14:textId="78D571B8" w:rsidR="007160A5" w:rsidRPr="00DA5720" w:rsidRDefault="007160A5" w:rsidP="007160A5">
            <w:pPr>
              <w:tabs>
                <w:tab w:val="left" w:pos="3366"/>
              </w:tabs>
              <w:contextualSpacing/>
              <w:rPr>
                <w:rFonts w:cs="Arial"/>
                <w:sz w:val="18"/>
                <w:szCs w:val="18"/>
              </w:rPr>
            </w:pPr>
            <w:r w:rsidRPr="00DA5720">
              <w:rPr>
                <w:rFonts w:cs="Arial"/>
                <w:sz w:val="18"/>
                <w:szCs w:val="18"/>
              </w:rPr>
              <w:t>Podpora prevence před povodněmi V</w:t>
            </w:r>
          </w:p>
        </w:tc>
        <w:tc>
          <w:tcPr>
            <w:tcW w:w="1984" w:type="dxa"/>
            <w:vAlign w:val="center"/>
          </w:tcPr>
          <w:p w14:paraId="23DC7ED7" w14:textId="379D53BF" w:rsidR="007160A5" w:rsidRPr="00DA5720" w:rsidRDefault="00540E1A" w:rsidP="007160A5">
            <w:pPr>
              <w:tabs>
                <w:tab w:val="left" w:pos="721"/>
                <w:tab w:val="center" w:pos="1121"/>
              </w:tabs>
              <w:ind w:right="497"/>
              <w:contextualSpacing/>
              <w:jc w:val="right"/>
              <w:rPr>
                <w:rFonts w:cs="Arial"/>
                <w:b/>
                <w:sz w:val="18"/>
                <w:szCs w:val="18"/>
              </w:rPr>
            </w:pPr>
            <w:r w:rsidRPr="00DA5720">
              <w:rPr>
                <w:rFonts w:cs="Arial"/>
                <w:b/>
                <w:sz w:val="18"/>
                <w:szCs w:val="18"/>
              </w:rPr>
              <w:t>425,4</w:t>
            </w:r>
            <w:r w:rsidR="00757909">
              <w:rPr>
                <w:rFonts w:cs="Arial"/>
                <w:b/>
                <w:sz w:val="18"/>
                <w:szCs w:val="18"/>
              </w:rPr>
              <w:t>7</w:t>
            </w:r>
          </w:p>
        </w:tc>
      </w:tr>
      <w:tr w:rsidR="007160A5" w:rsidRPr="00104F7D" w14:paraId="3E15CB15" w14:textId="77777777" w:rsidTr="0096060A">
        <w:trPr>
          <w:trHeight w:val="20"/>
        </w:trPr>
        <w:tc>
          <w:tcPr>
            <w:tcW w:w="1124" w:type="dxa"/>
            <w:shd w:val="clear" w:color="auto" w:fill="BFBFBF" w:themeFill="background1" w:themeFillShade="BF"/>
            <w:vAlign w:val="center"/>
          </w:tcPr>
          <w:p w14:paraId="1E2EB520" w14:textId="1D5591C2" w:rsidR="007160A5" w:rsidRPr="00F92155" w:rsidRDefault="007160A5" w:rsidP="007160A5">
            <w:pPr>
              <w:contextualSpacing/>
              <w:rPr>
                <w:rFonts w:cs="Arial"/>
                <w:sz w:val="18"/>
                <w:szCs w:val="18"/>
              </w:rPr>
            </w:pPr>
            <w:r w:rsidRPr="00F92155">
              <w:rPr>
                <w:rFonts w:cs="Arial"/>
                <w:sz w:val="18"/>
                <w:szCs w:val="18"/>
              </w:rPr>
              <w:t>17</w:t>
            </w:r>
          </w:p>
        </w:tc>
        <w:tc>
          <w:tcPr>
            <w:tcW w:w="5964" w:type="dxa"/>
            <w:vAlign w:val="center"/>
          </w:tcPr>
          <w:p w14:paraId="00E75370" w14:textId="76C593C5" w:rsidR="007160A5" w:rsidRPr="00F92155" w:rsidRDefault="007160A5" w:rsidP="007160A5">
            <w:pPr>
              <w:tabs>
                <w:tab w:val="left" w:pos="3366"/>
              </w:tabs>
              <w:contextualSpacing/>
              <w:rPr>
                <w:rFonts w:cs="Arial"/>
                <w:sz w:val="18"/>
                <w:szCs w:val="18"/>
              </w:rPr>
            </w:pPr>
            <w:r w:rsidRPr="00F92155">
              <w:rPr>
                <w:rFonts w:cs="Arial"/>
                <w:sz w:val="18"/>
                <w:szCs w:val="18"/>
              </w:rPr>
              <w:t>Podpora mimoprodukčních funkcí rybářských revírů</w:t>
            </w:r>
          </w:p>
        </w:tc>
        <w:tc>
          <w:tcPr>
            <w:tcW w:w="1984" w:type="dxa"/>
            <w:vAlign w:val="center"/>
          </w:tcPr>
          <w:p w14:paraId="457895C0" w14:textId="29A2852E" w:rsidR="007160A5" w:rsidRPr="00F92155" w:rsidRDefault="007160A5" w:rsidP="007160A5">
            <w:pPr>
              <w:tabs>
                <w:tab w:val="left" w:pos="721"/>
                <w:tab w:val="center" w:pos="1121"/>
              </w:tabs>
              <w:ind w:right="497"/>
              <w:contextualSpacing/>
              <w:jc w:val="right"/>
              <w:rPr>
                <w:rFonts w:cs="Arial"/>
                <w:b/>
                <w:color w:val="FF0000"/>
                <w:sz w:val="18"/>
                <w:szCs w:val="18"/>
              </w:rPr>
            </w:pPr>
            <w:r w:rsidRPr="00F92155">
              <w:rPr>
                <w:rFonts w:cs="Arial"/>
                <w:b/>
                <w:sz w:val="18"/>
                <w:szCs w:val="18"/>
              </w:rPr>
              <w:t>1</w:t>
            </w:r>
            <w:r w:rsidR="00DA5720">
              <w:rPr>
                <w:rFonts w:cs="Arial"/>
                <w:b/>
                <w:sz w:val="18"/>
                <w:szCs w:val="18"/>
              </w:rPr>
              <w:t>9,9</w:t>
            </w:r>
            <w:r w:rsidR="00757909">
              <w:rPr>
                <w:rFonts w:cs="Arial"/>
                <w:b/>
                <w:sz w:val="18"/>
                <w:szCs w:val="18"/>
              </w:rPr>
              <w:t>7</w:t>
            </w:r>
          </w:p>
        </w:tc>
      </w:tr>
      <w:tr w:rsidR="007160A5" w:rsidRPr="00104F7D" w14:paraId="11561C36" w14:textId="77777777" w:rsidTr="00E80D96">
        <w:trPr>
          <w:trHeight w:val="20"/>
        </w:trPr>
        <w:tc>
          <w:tcPr>
            <w:tcW w:w="7088" w:type="dxa"/>
            <w:gridSpan w:val="2"/>
            <w:shd w:val="clear" w:color="auto" w:fill="BFBFBF"/>
            <w:vAlign w:val="center"/>
          </w:tcPr>
          <w:p w14:paraId="651CABE2" w14:textId="113F1E91" w:rsidR="007160A5" w:rsidRPr="00DA5720" w:rsidRDefault="007160A5" w:rsidP="007160A5">
            <w:pPr>
              <w:tabs>
                <w:tab w:val="left" w:pos="3366"/>
              </w:tabs>
              <w:contextualSpacing/>
              <w:rPr>
                <w:rFonts w:cs="Arial"/>
                <w:b/>
                <w:sz w:val="18"/>
                <w:szCs w:val="18"/>
              </w:rPr>
            </w:pPr>
            <w:r w:rsidRPr="00DA5720">
              <w:rPr>
                <w:rFonts w:cs="Arial"/>
                <w:b/>
                <w:sz w:val="18"/>
                <w:szCs w:val="18"/>
              </w:rPr>
              <w:t>Národní programy celkem</w:t>
            </w:r>
          </w:p>
        </w:tc>
        <w:tc>
          <w:tcPr>
            <w:tcW w:w="1984" w:type="dxa"/>
            <w:shd w:val="clear" w:color="auto" w:fill="BFBFBF"/>
            <w:vAlign w:val="center"/>
          </w:tcPr>
          <w:p w14:paraId="17FAF357" w14:textId="5ADBF16D" w:rsidR="00A9557F" w:rsidRPr="00DA5720" w:rsidRDefault="00BA025C" w:rsidP="007160A5">
            <w:pPr>
              <w:tabs>
                <w:tab w:val="left" w:pos="721"/>
                <w:tab w:val="center" w:pos="1121"/>
              </w:tabs>
              <w:ind w:right="497"/>
              <w:contextualSpacing/>
              <w:jc w:val="right"/>
              <w:rPr>
                <w:rFonts w:cs="Arial"/>
                <w:b/>
                <w:sz w:val="18"/>
                <w:szCs w:val="18"/>
              </w:rPr>
            </w:pPr>
            <w:r>
              <w:rPr>
                <w:rFonts w:cs="Arial"/>
                <w:b/>
                <w:sz w:val="18"/>
                <w:szCs w:val="18"/>
              </w:rPr>
              <w:t>2 908,1</w:t>
            </w:r>
            <w:r w:rsidR="00757909">
              <w:rPr>
                <w:rFonts w:cs="Arial"/>
                <w:b/>
                <w:sz w:val="18"/>
                <w:szCs w:val="18"/>
              </w:rPr>
              <w:t>8</w:t>
            </w:r>
          </w:p>
        </w:tc>
      </w:tr>
      <w:tr w:rsidR="007160A5" w:rsidRPr="00104F7D" w14:paraId="0E3F118F" w14:textId="77777777" w:rsidTr="00726E49">
        <w:trPr>
          <w:trHeight w:val="20"/>
        </w:trPr>
        <w:tc>
          <w:tcPr>
            <w:tcW w:w="1124" w:type="dxa"/>
            <w:shd w:val="clear" w:color="auto" w:fill="BFBFBF"/>
            <w:vAlign w:val="center"/>
          </w:tcPr>
          <w:p w14:paraId="128E9946" w14:textId="77777777" w:rsidR="007160A5" w:rsidRPr="00DA5720" w:rsidRDefault="007160A5" w:rsidP="007160A5">
            <w:pPr>
              <w:contextualSpacing/>
              <w:rPr>
                <w:rFonts w:cs="Arial"/>
                <w:sz w:val="18"/>
                <w:szCs w:val="18"/>
              </w:rPr>
            </w:pPr>
          </w:p>
        </w:tc>
        <w:tc>
          <w:tcPr>
            <w:tcW w:w="5964" w:type="dxa"/>
            <w:vAlign w:val="center"/>
          </w:tcPr>
          <w:p w14:paraId="039ADC2A" w14:textId="70C645B9" w:rsidR="007160A5" w:rsidRPr="00DA5720" w:rsidRDefault="007160A5" w:rsidP="007160A5">
            <w:pPr>
              <w:tabs>
                <w:tab w:val="left" w:pos="3366"/>
              </w:tabs>
              <w:contextualSpacing/>
              <w:rPr>
                <w:rFonts w:cs="Arial"/>
                <w:sz w:val="18"/>
                <w:szCs w:val="18"/>
              </w:rPr>
            </w:pPr>
            <w:r w:rsidRPr="00DA5720">
              <w:rPr>
                <w:rFonts w:cs="Arial"/>
                <w:sz w:val="18"/>
                <w:szCs w:val="18"/>
              </w:rPr>
              <w:t>Operační program Rybářství 2021–2027</w:t>
            </w:r>
          </w:p>
        </w:tc>
        <w:tc>
          <w:tcPr>
            <w:tcW w:w="1984" w:type="dxa"/>
            <w:vAlign w:val="center"/>
          </w:tcPr>
          <w:p w14:paraId="66FCE08B" w14:textId="56C48064" w:rsidR="007160A5" w:rsidRPr="00DA5720" w:rsidRDefault="009D099F" w:rsidP="007160A5">
            <w:pPr>
              <w:tabs>
                <w:tab w:val="left" w:pos="721"/>
                <w:tab w:val="center" w:pos="1121"/>
              </w:tabs>
              <w:ind w:right="497"/>
              <w:contextualSpacing/>
              <w:jc w:val="right"/>
              <w:rPr>
                <w:rFonts w:cs="Arial"/>
                <w:b/>
                <w:sz w:val="18"/>
                <w:szCs w:val="18"/>
              </w:rPr>
            </w:pPr>
            <w:r>
              <w:rPr>
                <w:rFonts w:cs="Arial"/>
                <w:b/>
                <w:sz w:val="18"/>
                <w:szCs w:val="18"/>
              </w:rPr>
              <w:t>137,6</w:t>
            </w:r>
            <w:r w:rsidR="008616CF">
              <w:rPr>
                <w:rFonts w:cs="Arial"/>
                <w:b/>
                <w:sz w:val="18"/>
                <w:szCs w:val="18"/>
              </w:rPr>
              <w:t>0</w:t>
            </w:r>
          </w:p>
        </w:tc>
      </w:tr>
      <w:tr w:rsidR="007160A5" w:rsidRPr="00104F7D" w14:paraId="776E5B7A" w14:textId="77777777" w:rsidTr="00726E49">
        <w:trPr>
          <w:trHeight w:val="20"/>
        </w:trPr>
        <w:tc>
          <w:tcPr>
            <w:tcW w:w="1124" w:type="dxa"/>
            <w:shd w:val="clear" w:color="auto" w:fill="BFBFBF"/>
            <w:vAlign w:val="center"/>
          </w:tcPr>
          <w:p w14:paraId="0FB92E66" w14:textId="77777777" w:rsidR="007160A5" w:rsidRPr="00DA5720" w:rsidRDefault="007160A5" w:rsidP="007160A5">
            <w:pPr>
              <w:contextualSpacing/>
              <w:rPr>
                <w:rFonts w:cs="Arial"/>
                <w:sz w:val="18"/>
                <w:szCs w:val="18"/>
              </w:rPr>
            </w:pPr>
          </w:p>
        </w:tc>
        <w:tc>
          <w:tcPr>
            <w:tcW w:w="5964" w:type="dxa"/>
            <w:vAlign w:val="center"/>
          </w:tcPr>
          <w:p w14:paraId="4E35A665" w14:textId="78ECB122" w:rsidR="007160A5" w:rsidRPr="004E0412" w:rsidRDefault="008616CF" w:rsidP="007160A5">
            <w:pPr>
              <w:tabs>
                <w:tab w:val="left" w:pos="3366"/>
              </w:tabs>
              <w:contextualSpacing/>
              <w:rPr>
                <w:rFonts w:cs="Arial"/>
                <w:sz w:val="18"/>
                <w:szCs w:val="18"/>
              </w:rPr>
            </w:pPr>
            <w:r>
              <w:rPr>
                <w:rFonts w:cs="Arial"/>
                <w:sz w:val="18"/>
                <w:szCs w:val="18"/>
              </w:rPr>
              <w:t xml:space="preserve">Program rozvoje venkova </w:t>
            </w:r>
            <w:r w:rsidR="00AC5251" w:rsidRPr="00AC5251">
              <w:rPr>
                <w:rFonts w:cs="Arial"/>
                <w:sz w:val="18"/>
                <w:szCs w:val="18"/>
              </w:rPr>
              <w:t>2014–2022</w:t>
            </w:r>
          </w:p>
        </w:tc>
        <w:tc>
          <w:tcPr>
            <w:tcW w:w="1984" w:type="dxa"/>
            <w:vAlign w:val="center"/>
          </w:tcPr>
          <w:p w14:paraId="7B3D3D87" w14:textId="7FC1371A" w:rsidR="007160A5" w:rsidRPr="009D099F" w:rsidRDefault="004E0412" w:rsidP="007160A5">
            <w:pPr>
              <w:tabs>
                <w:tab w:val="left" w:pos="721"/>
                <w:tab w:val="center" w:pos="1121"/>
              </w:tabs>
              <w:ind w:right="497"/>
              <w:contextualSpacing/>
              <w:jc w:val="right"/>
              <w:rPr>
                <w:rFonts w:cs="Arial"/>
                <w:b/>
                <w:sz w:val="18"/>
                <w:szCs w:val="18"/>
                <w:highlight w:val="yellow"/>
              </w:rPr>
            </w:pPr>
            <w:r w:rsidRPr="004E0412">
              <w:rPr>
                <w:rFonts w:cs="Arial"/>
                <w:b/>
                <w:sz w:val="18"/>
                <w:szCs w:val="18"/>
              </w:rPr>
              <w:t>1 341</w:t>
            </w:r>
            <w:r w:rsidR="007160A5" w:rsidRPr="004E0412">
              <w:rPr>
                <w:rFonts w:cs="Arial"/>
                <w:b/>
                <w:sz w:val="18"/>
                <w:szCs w:val="18"/>
              </w:rPr>
              <w:t>,00</w:t>
            </w:r>
          </w:p>
        </w:tc>
      </w:tr>
      <w:tr w:rsidR="007160A5" w:rsidRPr="00104F7D" w14:paraId="7E928A4A" w14:textId="77777777" w:rsidTr="00EC1043">
        <w:trPr>
          <w:trHeight w:val="20"/>
        </w:trPr>
        <w:tc>
          <w:tcPr>
            <w:tcW w:w="7088" w:type="dxa"/>
            <w:gridSpan w:val="2"/>
            <w:shd w:val="clear" w:color="auto" w:fill="A6A6A6"/>
            <w:vAlign w:val="center"/>
          </w:tcPr>
          <w:p w14:paraId="3965AE36" w14:textId="1B0434ED" w:rsidR="007160A5" w:rsidRPr="00DA5720" w:rsidRDefault="007160A5" w:rsidP="007160A5">
            <w:pPr>
              <w:contextualSpacing/>
              <w:rPr>
                <w:rFonts w:cs="Arial"/>
                <w:b/>
                <w:sz w:val="18"/>
                <w:szCs w:val="18"/>
              </w:rPr>
            </w:pPr>
            <w:r w:rsidRPr="00DA5720">
              <w:rPr>
                <w:rFonts w:cs="Arial"/>
                <w:b/>
                <w:sz w:val="18"/>
                <w:szCs w:val="18"/>
              </w:rPr>
              <w:t>Celkem</w:t>
            </w:r>
          </w:p>
        </w:tc>
        <w:tc>
          <w:tcPr>
            <w:tcW w:w="1984" w:type="dxa"/>
            <w:shd w:val="clear" w:color="auto" w:fill="A6A6A6"/>
            <w:vAlign w:val="center"/>
          </w:tcPr>
          <w:p w14:paraId="0CD911F5" w14:textId="0671E73B" w:rsidR="007160A5" w:rsidRPr="00DA5720" w:rsidRDefault="00AA0DB0" w:rsidP="007160A5">
            <w:pPr>
              <w:tabs>
                <w:tab w:val="left" w:pos="721"/>
                <w:tab w:val="center" w:pos="1121"/>
              </w:tabs>
              <w:ind w:right="497"/>
              <w:contextualSpacing/>
              <w:jc w:val="right"/>
              <w:rPr>
                <w:rFonts w:cs="Arial"/>
                <w:b/>
                <w:sz w:val="18"/>
                <w:szCs w:val="18"/>
              </w:rPr>
            </w:pPr>
            <w:r>
              <w:rPr>
                <w:rFonts w:cs="Arial"/>
                <w:b/>
                <w:sz w:val="18"/>
                <w:szCs w:val="18"/>
              </w:rPr>
              <w:t>4 386,78</w:t>
            </w:r>
          </w:p>
        </w:tc>
      </w:tr>
    </w:tbl>
    <w:p w14:paraId="56D0321E" w14:textId="77777777" w:rsidR="00D74C2A" w:rsidRPr="00C9248D" w:rsidRDefault="00D74C2A" w:rsidP="007C4955">
      <w:pPr>
        <w:contextualSpacing/>
        <w:rPr>
          <w:rFonts w:cs="Arial"/>
          <w:i/>
          <w:sz w:val="20"/>
          <w:szCs w:val="20"/>
        </w:rPr>
      </w:pPr>
      <w:r w:rsidRPr="00C9248D">
        <w:rPr>
          <w:rFonts w:cs="Arial"/>
          <w:i/>
          <w:sz w:val="20"/>
          <w:szCs w:val="20"/>
        </w:rPr>
        <w:t>Pramen: MZe</w:t>
      </w:r>
    </w:p>
    <w:bookmarkEnd w:id="169"/>
    <w:bookmarkEnd w:id="170"/>
    <w:bookmarkEnd w:id="171"/>
    <w:bookmarkEnd w:id="172"/>
    <w:p w14:paraId="026A2A45" w14:textId="77777777" w:rsidR="001616FD" w:rsidRPr="000A69CC" w:rsidRDefault="001616FD" w:rsidP="00DD1A29">
      <w:pPr>
        <w:pStyle w:val="Zkladntextodsazen"/>
        <w:spacing w:after="0"/>
        <w:ind w:left="0"/>
        <w:contextualSpacing/>
        <w:rPr>
          <w:b/>
          <w:bCs/>
          <w:i/>
          <w:iCs/>
          <w:highlight w:val="yellow"/>
        </w:rPr>
      </w:pPr>
    </w:p>
    <w:p w14:paraId="152D3976" w14:textId="4EEA0261" w:rsidR="00DD1A29" w:rsidRPr="006F383A" w:rsidRDefault="00DD1A29" w:rsidP="00DD1A29">
      <w:pPr>
        <w:pStyle w:val="Zkladntextodsazen"/>
        <w:spacing w:after="0"/>
        <w:ind w:left="0"/>
        <w:contextualSpacing/>
        <w:rPr>
          <w:b/>
          <w:bCs/>
          <w:i/>
          <w:iCs/>
        </w:rPr>
      </w:pPr>
      <w:r w:rsidRPr="006F383A">
        <w:rPr>
          <w:b/>
          <w:bCs/>
          <w:i/>
          <w:iCs/>
        </w:rPr>
        <w:t>Oblast zajištění kvality zdrojů povrchových vod</w:t>
      </w:r>
    </w:p>
    <w:p w14:paraId="03021506" w14:textId="77777777" w:rsidR="00DD1A29" w:rsidRPr="006F383A" w:rsidRDefault="00DD1A29" w:rsidP="00DD1A29">
      <w:pPr>
        <w:rPr>
          <w:rFonts w:ascii="Aptos" w:hAnsi="Aptos"/>
        </w:rPr>
      </w:pPr>
    </w:p>
    <w:p w14:paraId="7A15DAD7" w14:textId="7223C149" w:rsidR="00D03D1A" w:rsidRPr="00BE1899" w:rsidRDefault="00DD1A29" w:rsidP="00BA3998">
      <w:pPr>
        <w:rPr>
          <w:rFonts w:cs="Arial"/>
        </w:rPr>
      </w:pPr>
      <w:r w:rsidRPr="006F383A">
        <w:rPr>
          <w:rFonts w:cs="Arial"/>
        </w:rPr>
        <w:t xml:space="preserve">Podpora omezení používání pesticidů v OPVZ na orné půdě byla schválena jako součást Strategického plánu SZP </w:t>
      </w:r>
      <w:r w:rsidR="00AE1428" w:rsidRPr="006F383A">
        <w:rPr>
          <w:rFonts w:cs="Arial"/>
        </w:rPr>
        <w:t>České republiky na o</w:t>
      </w:r>
      <w:r w:rsidR="00F34FA3" w:rsidRPr="006F383A">
        <w:rPr>
          <w:rFonts w:cs="Arial"/>
        </w:rPr>
        <w:t xml:space="preserve">bdobí 2023–2027 (dále </w:t>
      </w:r>
      <w:r w:rsidR="00531702" w:rsidRPr="006F383A">
        <w:rPr>
          <w:rFonts w:cs="Arial"/>
        </w:rPr>
        <w:t xml:space="preserve">„Strategický plán SZP“) </w:t>
      </w:r>
      <w:r w:rsidRPr="006F383A">
        <w:rPr>
          <w:rFonts w:cs="Arial"/>
        </w:rPr>
        <w:t>a týká se 4 vodárenských nádrží (Švihov, Římov, Vrchlice a Opatovice). Příjem žádostí b</w:t>
      </w:r>
      <w:r w:rsidR="00E0721C" w:rsidRPr="006F383A">
        <w:rPr>
          <w:rFonts w:cs="Arial"/>
        </w:rPr>
        <w:t>yl</w:t>
      </w:r>
      <w:r w:rsidRPr="006F383A">
        <w:rPr>
          <w:rFonts w:cs="Arial"/>
        </w:rPr>
        <w:t xml:space="preserve"> poprvé spuštěn od roku 2024.</w:t>
      </w:r>
    </w:p>
    <w:p w14:paraId="02288BB2" w14:textId="77777777" w:rsidR="00251E27" w:rsidRPr="00104F7D" w:rsidRDefault="00251E27" w:rsidP="00BA3998">
      <w:pPr>
        <w:rPr>
          <w:rFonts w:cs="Arial"/>
          <w:b/>
          <w:i/>
          <w:highlight w:val="yellow"/>
        </w:rPr>
      </w:pPr>
    </w:p>
    <w:p w14:paraId="762F19E8" w14:textId="2574853F" w:rsidR="0037484F" w:rsidRPr="00E7387E" w:rsidRDefault="0037484F" w:rsidP="00BA3998">
      <w:pPr>
        <w:rPr>
          <w:rFonts w:cs="Arial"/>
        </w:rPr>
      </w:pPr>
      <w:r w:rsidRPr="00E7387E">
        <w:rPr>
          <w:rFonts w:cs="Arial"/>
          <w:b/>
          <w:i/>
        </w:rPr>
        <w:t>Oblast vodovodů a kanalizací</w:t>
      </w:r>
    </w:p>
    <w:p w14:paraId="59005799" w14:textId="77777777" w:rsidR="006318DF" w:rsidRPr="00104F7D" w:rsidRDefault="006318DF" w:rsidP="00C30BD6">
      <w:pPr>
        <w:pStyle w:val="Zkladntextodsazen"/>
        <w:tabs>
          <w:tab w:val="left" w:pos="4678"/>
        </w:tabs>
        <w:spacing w:after="0"/>
        <w:ind w:left="0"/>
        <w:contextualSpacing/>
        <w:rPr>
          <w:rFonts w:cs="Arial"/>
          <w:b/>
          <w:highlight w:val="yellow"/>
        </w:rPr>
      </w:pPr>
    </w:p>
    <w:p w14:paraId="3C6B82FA" w14:textId="77777777" w:rsidR="00E7387E" w:rsidRDefault="00E7387E" w:rsidP="00E7387E">
      <w:pPr>
        <w:pStyle w:val="Zkladntextodsazen"/>
        <w:tabs>
          <w:tab w:val="left" w:pos="4678"/>
        </w:tabs>
        <w:spacing w:after="0"/>
        <w:ind w:left="0"/>
        <w:contextualSpacing/>
        <w:rPr>
          <w:rFonts w:cs="Arial"/>
          <w:b/>
        </w:rPr>
      </w:pPr>
      <w:r w:rsidRPr="004A14CA">
        <w:rPr>
          <w:rFonts w:cs="Arial"/>
          <w:b/>
        </w:rPr>
        <w:t>V roce 20</w:t>
      </w:r>
      <w:r>
        <w:rPr>
          <w:rFonts w:cs="Arial"/>
          <w:b/>
        </w:rPr>
        <w:t>25</w:t>
      </w:r>
      <w:r w:rsidRPr="004A14CA">
        <w:rPr>
          <w:rFonts w:cs="Arial"/>
          <w:b/>
        </w:rPr>
        <w:t xml:space="preserve"> byla investorům poskytnuta podpora </w:t>
      </w:r>
      <w:r>
        <w:rPr>
          <w:rFonts w:cs="Arial"/>
          <w:b/>
        </w:rPr>
        <w:t>v</w:t>
      </w:r>
      <w:r w:rsidRPr="004A14CA">
        <w:rPr>
          <w:rFonts w:cs="Arial"/>
          <w:b/>
        </w:rPr>
        <w:t>e formě dotací</w:t>
      </w:r>
      <w:r>
        <w:rPr>
          <w:rFonts w:cs="Arial"/>
          <w:b/>
        </w:rPr>
        <w:t xml:space="preserve"> v celkové výši cca 1 500 mil. Kč. Jednalo se o programy </w:t>
      </w:r>
      <w:r w:rsidRPr="004A14CA">
        <w:rPr>
          <w:rFonts w:cs="Arial"/>
          <w:b/>
        </w:rPr>
        <w:t>Ministerstva zemědělství 129 </w:t>
      </w:r>
      <w:r>
        <w:rPr>
          <w:rFonts w:cs="Arial"/>
          <w:b/>
        </w:rPr>
        <w:t>41</w:t>
      </w:r>
      <w:r w:rsidRPr="004A14CA">
        <w:rPr>
          <w:rFonts w:cs="Arial"/>
          <w:b/>
        </w:rPr>
        <w:t>0</w:t>
      </w:r>
      <w:r w:rsidRPr="004A14CA">
        <w:rPr>
          <w:rFonts w:cs="Arial"/>
          <w:b/>
          <w:bCs/>
        </w:rPr>
        <w:t xml:space="preserve"> „Podpora výstavby a</w:t>
      </w:r>
      <w:r w:rsidRPr="004A14CA">
        <w:rPr>
          <w:rFonts w:cs="Arial"/>
          <w:b/>
        </w:rPr>
        <w:t> </w:t>
      </w:r>
      <w:r w:rsidRPr="004A14CA">
        <w:rPr>
          <w:rFonts w:cs="Arial"/>
          <w:b/>
          <w:bCs/>
        </w:rPr>
        <w:t>technického zhodnocení infrastruktury vodovodů a</w:t>
      </w:r>
      <w:r w:rsidRPr="004A14CA">
        <w:rPr>
          <w:rFonts w:cs="Arial"/>
          <w:b/>
        </w:rPr>
        <w:t> </w:t>
      </w:r>
      <w:r w:rsidRPr="004A14CA">
        <w:rPr>
          <w:rFonts w:cs="Arial"/>
          <w:b/>
          <w:bCs/>
        </w:rPr>
        <w:t>kanalizací I</w:t>
      </w:r>
      <w:r>
        <w:rPr>
          <w:rFonts w:cs="Arial"/>
          <w:b/>
          <w:bCs/>
        </w:rPr>
        <w:t>I</w:t>
      </w:r>
      <w:r w:rsidRPr="004A14CA">
        <w:rPr>
          <w:rFonts w:cs="Arial"/>
          <w:b/>
          <w:bCs/>
        </w:rPr>
        <w:t>I“</w:t>
      </w:r>
      <w:r>
        <w:rPr>
          <w:rFonts w:cs="Arial"/>
          <w:b/>
          <w:bCs/>
        </w:rPr>
        <w:t xml:space="preserve"> a </w:t>
      </w:r>
      <w:r>
        <w:rPr>
          <w:rFonts w:cs="Arial"/>
          <w:b/>
        </w:rPr>
        <w:t>129 400 „</w:t>
      </w:r>
      <w:r w:rsidRPr="00846374">
        <w:rPr>
          <w:rFonts w:cs="Arial"/>
          <w:b/>
        </w:rPr>
        <w:t>Podpora opatření pro zmír</w:t>
      </w:r>
      <w:r>
        <w:rPr>
          <w:rFonts w:cs="Arial"/>
          <w:b/>
        </w:rPr>
        <w:t>nění negativních dopadů sucha a </w:t>
      </w:r>
      <w:r w:rsidRPr="00846374">
        <w:rPr>
          <w:rFonts w:cs="Arial"/>
          <w:b/>
        </w:rPr>
        <w:t>nedostatku vody“</w:t>
      </w:r>
      <w:r>
        <w:rPr>
          <w:rFonts w:cs="Arial"/>
          <w:b/>
        </w:rPr>
        <w:t>.</w:t>
      </w:r>
    </w:p>
    <w:p w14:paraId="038C84BE" w14:textId="77777777" w:rsidR="00E7387E" w:rsidRDefault="00E7387E" w:rsidP="00E7387E">
      <w:pPr>
        <w:pStyle w:val="Zkladntextodsazen"/>
        <w:tabs>
          <w:tab w:val="left" w:pos="4678"/>
        </w:tabs>
        <w:spacing w:after="0"/>
        <w:ind w:left="0"/>
        <w:contextualSpacing/>
        <w:rPr>
          <w:rFonts w:cs="Arial"/>
          <w:b/>
        </w:rPr>
      </w:pPr>
    </w:p>
    <w:p w14:paraId="40CD3149" w14:textId="23C61501" w:rsidR="00E7387E" w:rsidRPr="0095264F" w:rsidRDefault="00E7387E" w:rsidP="00E7387E">
      <w:pPr>
        <w:pStyle w:val="Zkladntextodsazen"/>
        <w:tabs>
          <w:tab w:val="left" w:pos="4678"/>
        </w:tabs>
        <w:spacing w:after="0"/>
        <w:ind w:left="0"/>
        <w:contextualSpacing/>
        <w:rPr>
          <w:rFonts w:cs="Arial"/>
        </w:rPr>
      </w:pPr>
      <w:r w:rsidRPr="00225A8D">
        <w:rPr>
          <w:rFonts w:cs="Arial"/>
        </w:rPr>
        <w:t xml:space="preserve">Dotační program </w:t>
      </w:r>
      <w:r w:rsidRPr="00225A8D">
        <w:rPr>
          <w:rFonts w:cs="Arial"/>
          <w:bCs/>
        </w:rPr>
        <w:t>129 </w:t>
      </w:r>
      <w:r>
        <w:rPr>
          <w:rFonts w:cs="Arial"/>
          <w:bCs/>
        </w:rPr>
        <w:t>41</w:t>
      </w:r>
      <w:r w:rsidRPr="00225A8D">
        <w:rPr>
          <w:rFonts w:cs="Arial"/>
          <w:bCs/>
        </w:rPr>
        <w:t xml:space="preserve">0 </w:t>
      </w:r>
      <w:r>
        <w:rPr>
          <w:rFonts w:cs="Arial"/>
          <w:bCs/>
        </w:rPr>
        <w:t>byl</w:t>
      </w:r>
      <w:r w:rsidRPr="00225A8D">
        <w:rPr>
          <w:rFonts w:cs="Arial"/>
          <w:bCs/>
        </w:rPr>
        <w:t xml:space="preserve"> schválen na období 2021</w:t>
      </w:r>
      <w:r w:rsidRPr="00225A8D">
        <w:rPr>
          <w:rFonts w:cs="Arial"/>
        </w:rPr>
        <w:t>–</w:t>
      </w:r>
      <w:r w:rsidRPr="00225A8D">
        <w:rPr>
          <w:rFonts w:cs="Arial"/>
          <w:bCs/>
        </w:rPr>
        <w:t>2025</w:t>
      </w:r>
      <w:r>
        <w:rPr>
          <w:rFonts w:cs="Arial"/>
          <w:bCs/>
        </w:rPr>
        <w:t>, které bylo v roce 2025 prodlouženo do konce roku 2027</w:t>
      </w:r>
      <w:r w:rsidRPr="00225A8D">
        <w:rPr>
          <w:rFonts w:cs="Arial"/>
          <w:bCs/>
        </w:rPr>
        <w:t>.</w:t>
      </w:r>
      <w:r w:rsidRPr="00225A8D">
        <w:rPr>
          <w:rFonts w:cs="Arial"/>
        </w:rPr>
        <w:t xml:space="preserve"> </w:t>
      </w:r>
      <w:r>
        <w:rPr>
          <w:rFonts w:cs="Arial"/>
        </w:rPr>
        <w:t xml:space="preserve">Program je zaměřen </w:t>
      </w:r>
      <w:r w:rsidRPr="00225A8D">
        <w:rPr>
          <w:rFonts w:cs="Arial"/>
        </w:rPr>
        <w:t>na realizaci opatření k naplňování směrnic Evropské unie v oblasti vodovodů a kanalizací a na vlastní rozvoj oboru vodovodů a kanalizací</w:t>
      </w:r>
      <w:r>
        <w:rPr>
          <w:rFonts w:cs="Arial"/>
        </w:rPr>
        <w:t>.</w:t>
      </w:r>
      <w:r w:rsidRPr="004604F7">
        <w:t xml:space="preserve"> </w:t>
      </w:r>
      <w:r w:rsidRPr="004604F7">
        <w:rPr>
          <w:rFonts w:cs="Arial"/>
        </w:rPr>
        <w:t xml:space="preserve">V rámci </w:t>
      </w:r>
      <w:r>
        <w:rPr>
          <w:rFonts w:cs="Arial"/>
        </w:rPr>
        <w:t xml:space="preserve">tohoto </w:t>
      </w:r>
      <w:r w:rsidR="008A2BFB" w:rsidRPr="004604F7">
        <w:rPr>
          <w:rFonts w:cs="Arial"/>
        </w:rPr>
        <w:t>programu byla</w:t>
      </w:r>
      <w:r w:rsidRPr="004604F7">
        <w:rPr>
          <w:rFonts w:cs="Arial"/>
        </w:rPr>
        <w:t xml:space="preserve"> poskytnuta podpora </w:t>
      </w:r>
      <w:r>
        <w:rPr>
          <w:rFonts w:cs="Arial"/>
        </w:rPr>
        <w:t>100</w:t>
      </w:r>
      <w:r w:rsidRPr="004604F7">
        <w:rPr>
          <w:rFonts w:cs="Arial"/>
        </w:rPr>
        <w:t xml:space="preserve"> akcím v celkové výši </w:t>
      </w:r>
      <w:r w:rsidR="00CE3EF2" w:rsidRPr="004604F7">
        <w:rPr>
          <w:rFonts w:cs="Arial"/>
        </w:rPr>
        <w:t>cca 1</w:t>
      </w:r>
      <w:r>
        <w:rPr>
          <w:rFonts w:cs="Arial"/>
        </w:rPr>
        <w:t> 037</w:t>
      </w:r>
      <w:r w:rsidRPr="004604F7">
        <w:rPr>
          <w:rFonts w:cs="Arial"/>
        </w:rPr>
        <w:t xml:space="preserve"> mil. Kč</w:t>
      </w:r>
      <w:r>
        <w:rPr>
          <w:rFonts w:cs="Arial"/>
        </w:rPr>
        <w:t>.</w:t>
      </w:r>
    </w:p>
    <w:p w14:paraId="1AE88335" w14:textId="77777777" w:rsidR="00E7387E" w:rsidRPr="00225A8D" w:rsidRDefault="00E7387E" w:rsidP="00E7387E">
      <w:pPr>
        <w:pStyle w:val="Zkladntextodsazen"/>
        <w:tabs>
          <w:tab w:val="left" w:pos="4678"/>
        </w:tabs>
        <w:spacing w:after="0"/>
        <w:ind w:left="0"/>
        <w:contextualSpacing/>
        <w:rPr>
          <w:rFonts w:cs="Arial"/>
        </w:rPr>
      </w:pPr>
    </w:p>
    <w:p w14:paraId="64FE38E1" w14:textId="77777777" w:rsidR="00E7387E" w:rsidRDefault="00E7387E" w:rsidP="00E7387E">
      <w:pPr>
        <w:pStyle w:val="Zkladntextodsazen"/>
        <w:spacing w:after="0"/>
        <w:ind w:left="0"/>
        <w:contextualSpacing/>
        <w:rPr>
          <w:rFonts w:cs="Arial"/>
        </w:rPr>
      </w:pPr>
      <w:r w:rsidRPr="00A36A09">
        <w:rPr>
          <w:rFonts w:cs="Arial"/>
        </w:rPr>
        <w:t>V roce 202</w:t>
      </w:r>
      <w:r>
        <w:rPr>
          <w:rFonts w:cs="Arial"/>
        </w:rPr>
        <w:t>5</w:t>
      </w:r>
      <w:r w:rsidRPr="00A36A09">
        <w:rPr>
          <w:rFonts w:cs="Arial"/>
        </w:rPr>
        <w:t xml:space="preserve"> bylo formou dotací ze státního rozpočtu podpořeno celkem </w:t>
      </w:r>
      <w:r>
        <w:rPr>
          <w:rFonts w:cs="Arial"/>
        </w:rPr>
        <w:t>29</w:t>
      </w:r>
      <w:r w:rsidRPr="00A36A09">
        <w:rPr>
          <w:rFonts w:cs="Arial"/>
        </w:rPr>
        <w:t xml:space="preserve"> akcí v celkové výši cca </w:t>
      </w:r>
      <w:r>
        <w:rPr>
          <w:rFonts w:cs="Arial"/>
        </w:rPr>
        <w:t>177</w:t>
      </w:r>
      <w:r w:rsidRPr="00A36A09">
        <w:rPr>
          <w:rFonts w:cs="Arial"/>
          <w:b/>
        </w:rPr>
        <w:t> </w:t>
      </w:r>
      <w:r w:rsidRPr="00A36A09">
        <w:rPr>
          <w:rFonts w:cs="Arial"/>
        </w:rPr>
        <w:t>mil. Kč v rámci podprogram</w:t>
      </w:r>
      <w:r>
        <w:rPr>
          <w:rFonts w:cs="Arial"/>
        </w:rPr>
        <w:t>u</w:t>
      </w:r>
      <w:r w:rsidRPr="00A36A09">
        <w:rPr>
          <w:rFonts w:cs="Arial"/>
        </w:rPr>
        <w:t xml:space="preserve"> 129 412 (opatření zaměřená na vodovody) a celkem </w:t>
      </w:r>
      <w:r>
        <w:rPr>
          <w:rFonts w:cs="Arial"/>
        </w:rPr>
        <w:t>71</w:t>
      </w:r>
      <w:r w:rsidRPr="00A36A09">
        <w:rPr>
          <w:rFonts w:cs="Arial"/>
        </w:rPr>
        <w:t xml:space="preserve"> akcí v celkové výši cca </w:t>
      </w:r>
      <w:r>
        <w:rPr>
          <w:rFonts w:cs="Arial"/>
        </w:rPr>
        <w:t>860</w:t>
      </w:r>
      <w:r w:rsidRPr="00A36A09">
        <w:rPr>
          <w:rFonts w:cs="Arial"/>
        </w:rPr>
        <w:t> mil. Kč v rámci podprogram</w:t>
      </w:r>
      <w:r>
        <w:rPr>
          <w:rFonts w:cs="Arial"/>
        </w:rPr>
        <w:t>u</w:t>
      </w:r>
      <w:r w:rsidRPr="00A36A09">
        <w:rPr>
          <w:rFonts w:cs="Arial"/>
        </w:rPr>
        <w:t xml:space="preserve"> 129 413 (opatření zaměřená na kanalizace). </w:t>
      </w:r>
    </w:p>
    <w:p w14:paraId="07D90B86" w14:textId="77777777" w:rsidR="00E7387E" w:rsidRPr="00A36A09" w:rsidRDefault="00E7387E" w:rsidP="00E7387E">
      <w:pPr>
        <w:pStyle w:val="Zkladntextodsazen"/>
        <w:spacing w:after="0"/>
        <w:ind w:left="0"/>
        <w:contextualSpacing/>
        <w:rPr>
          <w:rFonts w:cs="Arial"/>
        </w:rPr>
      </w:pPr>
    </w:p>
    <w:p w14:paraId="2C9BC9DB" w14:textId="6A6A751C" w:rsidR="00E7387E" w:rsidRPr="00F12CB3" w:rsidRDefault="00E7387E" w:rsidP="00E7387E">
      <w:pPr>
        <w:pStyle w:val="Zkladntextodsazen"/>
        <w:tabs>
          <w:tab w:val="left" w:pos="4678"/>
        </w:tabs>
        <w:spacing w:after="0"/>
        <w:ind w:left="0"/>
        <w:contextualSpacing/>
        <w:rPr>
          <w:rFonts w:cs="Arial"/>
          <w:bCs/>
        </w:rPr>
      </w:pPr>
      <w:r w:rsidRPr="003E6196">
        <w:rPr>
          <w:rFonts w:cs="Arial"/>
          <w:bCs/>
        </w:rPr>
        <w:t xml:space="preserve">Pokračovalo se také v realizaci programu 129 400 jehož realizace </w:t>
      </w:r>
      <w:r>
        <w:rPr>
          <w:rFonts w:cs="Arial"/>
          <w:bCs/>
        </w:rPr>
        <w:t>je</w:t>
      </w:r>
      <w:r w:rsidRPr="003E6196">
        <w:rPr>
          <w:rFonts w:cs="Arial"/>
          <w:bCs/>
        </w:rPr>
        <w:t xml:space="preserve"> také prodloužena do</w:t>
      </w:r>
      <w:r>
        <w:rPr>
          <w:rFonts w:cs="Arial"/>
          <w:bCs/>
        </w:rPr>
        <w:t xml:space="preserve"> konce</w:t>
      </w:r>
      <w:r w:rsidRPr="003E6196">
        <w:rPr>
          <w:rFonts w:cs="Arial"/>
          <w:bCs/>
        </w:rPr>
        <w:t xml:space="preserve"> roku 2027</w:t>
      </w:r>
      <w:r w:rsidRPr="00F12CB3">
        <w:rPr>
          <w:rFonts w:cs="Arial"/>
          <w:bCs/>
        </w:rPr>
        <w:t xml:space="preserve">, </w:t>
      </w:r>
      <w:r w:rsidR="004B57A1">
        <w:rPr>
          <w:rFonts w:cs="Arial"/>
          <w:bCs/>
        </w:rPr>
        <w:t xml:space="preserve">a </w:t>
      </w:r>
      <w:r w:rsidRPr="00F12CB3">
        <w:rPr>
          <w:rFonts w:cs="Arial"/>
          <w:bCs/>
        </w:rPr>
        <w:t>který je určen</w:t>
      </w:r>
      <w:r w:rsidRPr="00F12CB3">
        <w:rPr>
          <w:bCs/>
        </w:rPr>
        <w:t xml:space="preserve"> </w:t>
      </w:r>
      <w:r w:rsidRPr="00F12CB3">
        <w:rPr>
          <w:rFonts w:cs="Arial"/>
          <w:bCs/>
        </w:rPr>
        <w:t>pro zajištění a zvýšení dostupnosti pitné vody z vodovodů pro veřejnou potřebu zejména v oblastech s nedostatkem vody a v oblastech zasažených suchem</w:t>
      </w:r>
      <w:r>
        <w:rPr>
          <w:rFonts w:cs="Arial"/>
          <w:bCs/>
        </w:rPr>
        <w:t>.</w:t>
      </w:r>
      <w:r w:rsidRPr="00F12CB3">
        <w:rPr>
          <w:rFonts w:cs="Arial"/>
          <w:bCs/>
        </w:rPr>
        <w:t xml:space="preserve"> </w:t>
      </w:r>
      <w:r>
        <w:rPr>
          <w:rFonts w:cs="Arial"/>
          <w:bCs/>
        </w:rPr>
        <w:t>V</w:t>
      </w:r>
      <w:r w:rsidRPr="00F12CB3">
        <w:rPr>
          <w:rFonts w:cs="Arial"/>
          <w:bCs/>
        </w:rPr>
        <w:t> roce 202</w:t>
      </w:r>
      <w:r>
        <w:rPr>
          <w:rFonts w:cs="Arial"/>
          <w:bCs/>
        </w:rPr>
        <w:t>5</w:t>
      </w:r>
      <w:r w:rsidRPr="00F12CB3">
        <w:rPr>
          <w:rFonts w:cs="Arial"/>
          <w:bCs/>
        </w:rPr>
        <w:t xml:space="preserve"> </w:t>
      </w:r>
      <w:r w:rsidR="00BE2496">
        <w:rPr>
          <w:rFonts w:cs="Arial"/>
          <w:bCs/>
        </w:rPr>
        <w:t xml:space="preserve">byla </w:t>
      </w:r>
      <w:r w:rsidRPr="00F12CB3">
        <w:rPr>
          <w:rFonts w:cs="Arial"/>
          <w:bCs/>
        </w:rPr>
        <w:t xml:space="preserve">poskytnuta </w:t>
      </w:r>
      <w:r>
        <w:rPr>
          <w:rFonts w:cs="Arial"/>
          <w:bCs/>
        </w:rPr>
        <w:t xml:space="preserve">v tomto programu </w:t>
      </w:r>
      <w:r w:rsidRPr="00F12CB3">
        <w:rPr>
          <w:rFonts w:cs="Arial"/>
          <w:bCs/>
        </w:rPr>
        <w:t xml:space="preserve">podpora </w:t>
      </w:r>
      <w:r>
        <w:rPr>
          <w:rFonts w:cs="Arial"/>
          <w:bCs/>
        </w:rPr>
        <w:t>36</w:t>
      </w:r>
      <w:r w:rsidRPr="00F12CB3">
        <w:rPr>
          <w:rFonts w:cs="Arial"/>
          <w:bCs/>
        </w:rPr>
        <w:t xml:space="preserve"> akcím ve výši cca </w:t>
      </w:r>
      <w:r>
        <w:rPr>
          <w:rFonts w:cs="Arial"/>
          <w:bCs/>
        </w:rPr>
        <w:t>463</w:t>
      </w:r>
      <w:r w:rsidRPr="00F12CB3">
        <w:rPr>
          <w:rFonts w:cs="Arial"/>
          <w:bCs/>
        </w:rPr>
        <w:t xml:space="preserve"> mil. Kč. </w:t>
      </w:r>
    </w:p>
    <w:p w14:paraId="6F9B968B" w14:textId="77777777" w:rsidR="00E7387E" w:rsidRPr="00F12CB3" w:rsidRDefault="00E7387E" w:rsidP="00E7387E">
      <w:pPr>
        <w:pStyle w:val="Zkladntextodsazen"/>
        <w:tabs>
          <w:tab w:val="left" w:pos="4678"/>
        </w:tabs>
        <w:spacing w:after="0"/>
        <w:ind w:left="0"/>
        <w:contextualSpacing/>
        <w:rPr>
          <w:rFonts w:cs="Arial"/>
          <w:bCs/>
        </w:rPr>
      </w:pPr>
    </w:p>
    <w:p w14:paraId="3EEB5758" w14:textId="77777777" w:rsidR="00E7387E" w:rsidRPr="00F12CB3" w:rsidRDefault="00E7387E" w:rsidP="00E7387E">
      <w:pPr>
        <w:pStyle w:val="Zkladntextodsazen"/>
        <w:tabs>
          <w:tab w:val="left" w:pos="4678"/>
        </w:tabs>
        <w:spacing w:after="0"/>
        <w:ind w:left="0"/>
        <w:contextualSpacing/>
        <w:rPr>
          <w:rFonts w:cs="Arial"/>
          <w:bCs/>
        </w:rPr>
      </w:pPr>
      <w:r w:rsidRPr="00F12CB3">
        <w:rPr>
          <w:rFonts w:cs="Arial"/>
          <w:bCs/>
        </w:rPr>
        <w:t>V programu 129</w:t>
      </w:r>
      <w:r>
        <w:rPr>
          <w:rFonts w:cs="Arial"/>
          <w:bCs/>
        </w:rPr>
        <w:t> </w:t>
      </w:r>
      <w:r w:rsidRPr="00F12CB3">
        <w:rPr>
          <w:rFonts w:cs="Arial"/>
          <w:bCs/>
        </w:rPr>
        <w:t>420</w:t>
      </w:r>
      <w:r>
        <w:rPr>
          <w:rFonts w:cs="Arial"/>
          <w:bCs/>
        </w:rPr>
        <w:t xml:space="preserve">, v rámci podprogramu 129 422 který byl určen k podpoře scelování </w:t>
      </w:r>
      <w:r w:rsidRPr="00F12CB3">
        <w:rPr>
          <w:rFonts w:cs="Arial"/>
          <w:bCs/>
        </w:rPr>
        <w:t>majetku a převedení vlastnických práv pod kontrolu měst a</w:t>
      </w:r>
      <w:r>
        <w:rPr>
          <w:rFonts w:cs="Arial"/>
          <w:bCs/>
        </w:rPr>
        <w:t> </w:t>
      </w:r>
      <w:r w:rsidRPr="00F12CB3">
        <w:rPr>
          <w:rFonts w:cs="Arial"/>
          <w:bCs/>
        </w:rPr>
        <w:t>obcí ČR</w:t>
      </w:r>
      <w:r>
        <w:rPr>
          <w:rFonts w:cs="Arial"/>
          <w:bCs/>
        </w:rPr>
        <w:t>,</w:t>
      </w:r>
      <w:r w:rsidRPr="00F12CB3">
        <w:rPr>
          <w:rFonts w:cs="Arial"/>
          <w:bCs/>
        </w:rPr>
        <w:t xml:space="preserve"> nebyl</w:t>
      </w:r>
      <w:r>
        <w:rPr>
          <w:rFonts w:cs="Arial"/>
          <w:bCs/>
        </w:rPr>
        <w:t>a</w:t>
      </w:r>
      <w:r w:rsidRPr="00F12CB3">
        <w:rPr>
          <w:rFonts w:cs="Arial"/>
          <w:bCs/>
        </w:rPr>
        <w:t xml:space="preserve"> podána žádná nová žádost, </w:t>
      </w:r>
      <w:r>
        <w:rPr>
          <w:rFonts w:cs="Arial"/>
          <w:bCs/>
        </w:rPr>
        <w:t>pod</w:t>
      </w:r>
      <w:r w:rsidRPr="00F12CB3">
        <w:rPr>
          <w:rFonts w:cs="Arial"/>
          <w:bCs/>
        </w:rPr>
        <w:t xml:space="preserve">program </w:t>
      </w:r>
      <w:r>
        <w:rPr>
          <w:rFonts w:cs="Arial"/>
          <w:bCs/>
        </w:rPr>
        <w:t>byl ukončen ke</w:t>
      </w:r>
      <w:r w:rsidRPr="00F12CB3">
        <w:rPr>
          <w:rFonts w:cs="Arial"/>
          <w:bCs/>
        </w:rPr>
        <w:t xml:space="preserve"> konc</w:t>
      </w:r>
      <w:r>
        <w:rPr>
          <w:rFonts w:cs="Arial"/>
          <w:bCs/>
        </w:rPr>
        <w:t>i</w:t>
      </w:r>
      <w:r w:rsidRPr="00F12CB3">
        <w:rPr>
          <w:rFonts w:cs="Arial"/>
          <w:bCs/>
        </w:rPr>
        <w:t xml:space="preserve"> roku 2025. </w:t>
      </w:r>
    </w:p>
    <w:p w14:paraId="6582A6C1" w14:textId="77777777" w:rsidR="00E7387E" w:rsidRDefault="00E7387E" w:rsidP="00E7387E">
      <w:pPr>
        <w:pStyle w:val="Zkladntextodsazen"/>
        <w:ind w:left="0"/>
        <w:contextualSpacing/>
        <w:rPr>
          <w:rFonts w:cs="Arial"/>
        </w:rPr>
      </w:pPr>
    </w:p>
    <w:p w14:paraId="60442782" w14:textId="77777777" w:rsidR="00E7387E" w:rsidRDefault="00E7387E" w:rsidP="00E7387E">
      <w:pPr>
        <w:pStyle w:val="Zkladntextodsazen"/>
        <w:ind w:left="0"/>
        <w:contextualSpacing/>
        <w:rPr>
          <w:rFonts w:cs="Arial"/>
        </w:rPr>
      </w:pPr>
      <w:r>
        <w:rPr>
          <w:rFonts w:cs="Arial"/>
        </w:rPr>
        <w:t>V</w:t>
      </w:r>
      <w:r w:rsidRPr="00FD0CAC">
        <w:rPr>
          <w:rFonts w:cs="Arial"/>
        </w:rPr>
        <w:t xml:space="preserve"> roce 2025 byl spuštěn nový program 129 320 „Podpora odstraňování povodňových škod na infrastruktuře vodovodů a kanalizací II“, který navázal na již ukončený program 129</w:t>
      </w:r>
      <w:r>
        <w:rPr>
          <w:rFonts w:cs="Arial"/>
        </w:rPr>
        <w:t> </w:t>
      </w:r>
      <w:r w:rsidRPr="00FD0CAC">
        <w:rPr>
          <w:rFonts w:cs="Arial"/>
        </w:rPr>
        <w:t>140</w:t>
      </w:r>
      <w:r>
        <w:rPr>
          <w:rFonts w:cs="Arial"/>
        </w:rPr>
        <w:t xml:space="preserve"> viz kapitola 2.2</w:t>
      </w:r>
      <w:r w:rsidRPr="00FD0CAC">
        <w:rPr>
          <w:rFonts w:cs="Arial"/>
        </w:rPr>
        <w:t xml:space="preserve">. </w:t>
      </w:r>
      <w:r>
        <w:rPr>
          <w:rFonts w:cs="Arial"/>
        </w:rPr>
        <w:t>První čerpání finančních prostředků se v souladu s harmonogramem čerpání předpokládá v roce 2026</w:t>
      </w:r>
      <w:r w:rsidRPr="00FD0CAC">
        <w:rPr>
          <w:rFonts w:cs="Arial"/>
        </w:rPr>
        <w:t>.</w:t>
      </w:r>
    </w:p>
    <w:p w14:paraId="47073378" w14:textId="77777777" w:rsidR="00F50153" w:rsidRPr="00104F7D" w:rsidRDefault="00F50153" w:rsidP="00F50153">
      <w:pPr>
        <w:pStyle w:val="Zkladntextodsazen"/>
        <w:tabs>
          <w:tab w:val="left" w:pos="4678"/>
        </w:tabs>
        <w:contextualSpacing/>
        <w:rPr>
          <w:rFonts w:cs="Arial"/>
          <w:bCs/>
          <w:highlight w:val="yellow"/>
        </w:rPr>
      </w:pPr>
    </w:p>
    <w:p w14:paraId="419D1E86" w14:textId="5D0E2A0E" w:rsidR="00AF2B22" w:rsidRPr="008A2BFB" w:rsidRDefault="00AF2B22" w:rsidP="007C4955">
      <w:pPr>
        <w:pStyle w:val="Zkladntext"/>
        <w:spacing w:line="240" w:lineRule="auto"/>
        <w:ind w:firstLine="0"/>
        <w:contextualSpacing/>
        <w:rPr>
          <w:rFonts w:ascii="Arial" w:hAnsi="Arial" w:cs="Arial"/>
          <w:b/>
          <w:i/>
          <w:sz w:val="22"/>
          <w:szCs w:val="22"/>
        </w:rPr>
      </w:pPr>
      <w:bookmarkStart w:id="173" w:name="_Hlk138419091"/>
      <w:r w:rsidRPr="008A2BFB">
        <w:rPr>
          <w:rFonts w:ascii="Arial" w:hAnsi="Arial" w:cs="Arial"/>
          <w:b/>
          <w:i/>
          <w:sz w:val="22"/>
          <w:szCs w:val="22"/>
        </w:rPr>
        <w:t xml:space="preserve">Tabulka </w:t>
      </w:r>
      <w:r w:rsidR="008F5302" w:rsidRPr="008A2BFB">
        <w:rPr>
          <w:rFonts w:ascii="Arial" w:hAnsi="Arial" w:cs="Arial"/>
          <w:b/>
          <w:i/>
          <w:sz w:val="22"/>
          <w:szCs w:val="22"/>
        </w:rPr>
        <w:t>11</w:t>
      </w:r>
      <w:r w:rsidRPr="008A2BFB">
        <w:rPr>
          <w:rFonts w:ascii="Arial" w:hAnsi="Arial" w:cs="Arial"/>
          <w:b/>
          <w:i/>
          <w:sz w:val="22"/>
          <w:szCs w:val="22"/>
        </w:rPr>
        <w:t>.1.1.</w:t>
      </w:r>
      <w:r w:rsidR="009B4EBD">
        <w:rPr>
          <w:rFonts w:ascii="Arial" w:hAnsi="Arial" w:cs="Arial"/>
          <w:b/>
          <w:i/>
          <w:sz w:val="22"/>
          <w:szCs w:val="22"/>
        </w:rPr>
        <w:t>4</w:t>
      </w:r>
      <w:r w:rsidRPr="008A2BFB">
        <w:rPr>
          <w:rFonts w:ascii="Arial" w:hAnsi="Arial" w:cs="Arial"/>
          <w:b/>
          <w:i/>
          <w:sz w:val="22"/>
          <w:szCs w:val="22"/>
        </w:rPr>
        <w:t xml:space="preserve">  </w:t>
      </w:r>
    </w:p>
    <w:p w14:paraId="1CCF3033" w14:textId="196973C4" w:rsidR="006318DF" w:rsidRDefault="006318DF" w:rsidP="007C4955">
      <w:pPr>
        <w:pStyle w:val="Zkladntext"/>
        <w:spacing w:line="240" w:lineRule="auto"/>
        <w:ind w:firstLine="0"/>
        <w:contextualSpacing/>
        <w:rPr>
          <w:rFonts w:ascii="Arial" w:hAnsi="Arial" w:cs="Arial"/>
          <w:b/>
          <w:i/>
          <w:sz w:val="22"/>
          <w:szCs w:val="22"/>
        </w:rPr>
      </w:pPr>
      <w:r w:rsidRPr="008A2BFB">
        <w:rPr>
          <w:rFonts w:ascii="Arial" w:hAnsi="Arial" w:cs="Arial"/>
          <w:b/>
          <w:i/>
          <w:sz w:val="22"/>
          <w:szCs w:val="22"/>
        </w:rPr>
        <w:t>Finanční prostředky státního rozpočtu poskytnuté v rámci programů Ministerstva zemědělství</w:t>
      </w:r>
      <w:r w:rsidR="00991C9C" w:rsidRPr="008A2BFB">
        <w:rPr>
          <w:rFonts w:ascii="Arial" w:hAnsi="Arial" w:cs="Arial"/>
          <w:b/>
          <w:i/>
          <w:sz w:val="22"/>
          <w:szCs w:val="22"/>
        </w:rPr>
        <w:t xml:space="preserve"> </w:t>
      </w:r>
      <w:r w:rsidRPr="008A2BFB">
        <w:rPr>
          <w:rFonts w:ascii="Arial" w:hAnsi="Arial" w:cs="Arial"/>
          <w:b/>
          <w:i/>
          <w:sz w:val="22"/>
          <w:szCs w:val="22"/>
        </w:rPr>
        <w:t>129 400, 129 410 a 129 420 v roce 202</w:t>
      </w:r>
      <w:r w:rsidR="008A2BFB" w:rsidRPr="008A2BFB">
        <w:rPr>
          <w:rFonts w:ascii="Arial" w:hAnsi="Arial" w:cs="Arial"/>
          <w:b/>
          <w:i/>
          <w:sz w:val="22"/>
          <w:szCs w:val="22"/>
        </w:rPr>
        <w:t>5</w:t>
      </w:r>
    </w:p>
    <w:tbl>
      <w:tblPr>
        <w:tblW w:w="95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95"/>
        <w:gridCol w:w="1559"/>
        <w:gridCol w:w="1418"/>
        <w:gridCol w:w="1508"/>
        <w:gridCol w:w="1559"/>
      </w:tblGrid>
      <w:tr w:rsidR="0048539E" w:rsidRPr="009830CA" w14:paraId="409FD792" w14:textId="77777777" w:rsidTr="0072423A">
        <w:trPr>
          <w:trHeight w:val="650"/>
        </w:trPr>
        <w:tc>
          <w:tcPr>
            <w:tcW w:w="3495" w:type="dxa"/>
            <w:vMerge w:val="restart"/>
            <w:shd w:val="clear" w:color="auto" w:fill="BFBFBF"/>
            <w:vAlign w:val="center"/>
          </w:tcPr>
          <w:p w14:paraId="6BA309C9" w14:textId="77777777" w:rsidR="0048539E" w:rsidRPr="0005742C" w:rsidRDefault="0048539E" w:rsidP="0072423A">
            <w:pPr>
              <w:contextualSpacing/>
              <w:jc w:val="left"/>
              <w:rPr>
                <w:rFonts w:cs="Arial"/>
                <w:b/>
                <w:sz w:val="20"/>
                <w:szCs w:val="20"/>
              </w:rPr>
            </w:pPr>
            <w:r w:rsidRPr="0005742C">
              <w:rPr>
                <w:rFonts w:cs="Arial"/>
                <w:b/>
                <w:sz w:val="20"/>
                <w:szCs w:val="20"/>
              </w:rPr>
              <w:t>Forma podpory</w:t>
            </w:r>
          </w:p>
        </w:tc>
        <w:tc>
          <w:tcPr>
            <w:tcW w:w="1559" w:type="dxa"/>
            <w:shd w:val="clear" w:color="auto" w:fill="BFBFBF"/>
            <w:vAlign w:val="center"/>
          </w:tcPr>
          <w:p w14:paraId="68BB4BA5" w14:textId="77777777" w:rsidR="0048539E" w:rsidRPr="0005742C" w:rsidRDefault="0048539E" w:rsidP="0072423A">
            <w:pPr>
              <w:contextualSpacing/>
              <w:jc w:val="center"/>
              <w:rPr>
                <w:rFonts w:cs="Arial"/>
                <w:b/>
                <w:sz w:val="20"/>
                <w:szCs w:val="20"/>
              </w:rPr>
            </w:pPr>
            <w:r w:rsidRPr="0005742C">
              <w:rPr>
                <w:rFonts w:cs="Arial"/>
                <w:b/>
                <w:sz w:val="20"/>
                <w:szCs w:val="20"/>
              </w:rPr>
              <w:t>Vodovody</w:t>
            </w:r>
          </w:p>
          <w:p w14:paraId="7451DADF" w14:textId="77777777" w:rsidR="0048539E" w:rsidRPr="0005742C" w:rsidRDefault="0048539E" w:rsidP="0072423A">
            <w:pPr>
              <w:contextualSpacing/>
              <w:jc w:val="center"/>
              <w:rPr>
                <w:rFonts w:cs="Arial"/>
                <w:b/>
                <w:sz w:val="20"/>
                <w:szCs w:val="20"/>
              </w:rPr>
            </w:pPr>
            <w:r w:rsidRPr="0005742C">
              <w:rPr>
                <w:rFonts w:cs="Arial"/>
                <w:b/>
                <w:sz w:val="20"/>
                <w:szCs w:val="20"/>
              </w:rPr>
              <w:t>a úpravny</w:t>
            </w:r>
          </w:p>
          <w:p w14:paraId="0346865D" w14:textId="77777777" w:rsidR="0048539E" w:rsidRPr="0005742C" w:rsidRDefault="0048539E" w:rsidP="0072423A">
            <w:pPr>
              <w:contextualSpacing/>
              <w:jc w:val="center"/>
              <w:rPr>
                <w:rFonts w:cs="Arial"/>
                <w:b/>
                <w:sz w:val="20"/>
                <w:szCs w:val="20"/>
              </w:rPr>
            </w:pPr>
            <w:r w:rsidRPr="0005742C">
              <w:rPr>
                <w:rFonts w:cs="Arial"/>
                <w:b/>
                <w:sz w:val="20"/>
                <w:szCs w:val="20"/>
              </w:rPr>
              <w:t>vody</w:t>
            </w:r>
          </w:p>
        </w:tc>
        <w:tc>
          <w:tcPr>
            <w:tcW w:w="1418" w:type="dxa"/>
            <w:shd w:val="clear" w:color="auto" w:fill="BFBFBF"/>
            <w:vAlign w:val="center"/>
          </w:tcPr>
          <w:p w14:paraId="439D603F" w14:textId="77777777" w:rsidR="0048539E" w:rsidRPr="0005742C" w:rsidRDefault="0048539E" w:rsidP="0072423A">
            <w:pPr>
              <w:contextualSpacing/>
              <w:jc w:val="center"/>
              <w:rPr>
                <w:rFonts w:cs="Arial"/>
                <w:b/>
                <w:sz w:val="20"/>
                <w:szCs w:val="20"/>
              </w:rPr>
            </w:pPr>
            <w:r w:rsidRPr="0005742C">
              <w:rPr>
                <w:rFonts w:cs="Arial"/>
                <w:b/>
                <w:sz w:val="20"/>
                <w:szCs w:val="20"/>
              </w:rPr>
              <w:t>Kanalizace</w:t>
            </w:r>
          </w:p>
          <w:p w14:paraId="07822F27" w14:textId="77777777" w:rsidR="0048539E" w:rsidRPr="0005742C" w:rsidRDefault="0048539E" w:rsidP="0072423A">
            <w:pPr>
              <w:contextualSpacing/>
              <w:jc w:val="center"/>
              <w:rPr>
                <w:rFonts w:cs="Arial"/>
                <w:b/>
                <w:sz w:val="20"/>
                <w:szCs w:val="20"/>
              </w:rPr>
            </w:pPr>
            <w:r w:rsidRPr="0005742C">
              <w:rPr>
                <w:rFonts w:cs="Arial"/>
                <w:b/>
                <w:sz w:val="20"/>
                <w:szCs w:val="20"/>
              </w:rPr>
              <w:t>a čistírny</w:t>
            </w:r>
          </w:p>
          <w:p w14:paraId="2857A29E" w14:textId="77777777" w:rsidR="0048539E" w:rsidRPr="0005742C" w:rsidRDefault="0048539E" w:rsidP="0072423A">
            <w:pPr>
              <w:contextualSpacing/>
              <w:jc w:val="center"/>
              <w:rPr>
                <w:rFonts w:cs="Arial"/>
                <w:b/>
                <w:sz w:val="20"/>
                <w:szCs w:val="20"/>
              </w:rPr>
            </w:pPr>
            <w:r w:rsidRPr="0005742C">
              <w:rPr>
                <w:rFonts w:cs="Arial"/>
                <w:b/>
                <w:sz w:val="20"/>
                <w:szCs w:val="20"/>
              </w:rPr>
              <w:t>odpadních vod</w:t>
            </w:r>
          </w:p>
        </w:tc>
        <w:tc>
          <w:tcPr>
            <w:tcW w:w="1508" w:type="dxa"/>
            <w:shd w:val="clear" w:color="auto" w:fill="BFBFBF"/>
            <w:vAlign w:val="center"/>
          </w:tcPr>
          <w:p w14:paraId="45064AC2" w14:textId="77777777" w:rsidR="0048539E" w:rsidRPr="0005742C" w:rsidRDefault="0048539E" w:rsidP="0072423A">
            <w:pPr>
              <w:contextualSpacing/>
              <w:jc w:val="center"/>
              <w:rPr>
                <w:rFonts w:cs="Arial"/>
                <w:b/>
                <w:sz w:val="20"/>
                <w:szCs w:val="20"/>
              </w:rPr>
            </w:pPr>
            <w:r w:rsidRPr="0005742C">
              <w:rPr>
                <w:rFonts w:cs="Arial"/>
                <w:b/>
                <w:sz w:val="20"/>
                <w:szCs w:val="20"/>
              </w:rPr>
              <w:t xml:space="preserve">Obnova vodovodů </w:t>
            </w:r>
            <w:r w:rsidRPr="0005742C">
              <w:rPr>
                <w:rFonts w:cs="Arial"/>
                <w:b/>
                <w:sz w:val="20"/>
                <w:szCs w:val="20"/>
              </w:rPr>
              <w:br/>
              <w:t>a kanalizací po povodních</w:t>
            </w:r>
          </w:p>
        </w:tc>
        <w:tc>
          <w:tcPr>
            <w:tcW w:w="1559" w:type="dxa"/>
            <w:shd w:val="clear" w:color="auto" w:fill="BFBFBF"/>
            <w:vAlign w:val="center"/>
          </w:tcPr>
          <w:p w14:paraId="1D6ED9A2" w14:textId="77777777" w:rsidR="0048539E" w:rsidRPr="0005742C" w:rsidRDefault="0048539E" w:rsidP="0072423A">
            <w:pPr>
              <w:contextualSpacing/>
              <w:jc w:val="center"/>
              <w:rPr>
                <w:rFonts w:cs="Arial"/>
                <w:b/>
                <w:sz w:val="20"/>
                <w:szCs w:val="20"/>
              </w:rPr>
            </w:pPr>
            <w:r w:rsidRPr="0005742C">
              <w:rPr>
                <w:rFonts w:cs="Arial"/>
                <w:b/>
                <w:sz w:val="20"/>
                <w:szCs w:val="20"/>
              </w:rPr>
              <w:t>Celkem</w:t>
            </w:r>
          </w:p>
        </w:tc>
      </w:tr>
      <w:tr w:rsidR="0048539E" w:rsidRPr="009830CA" w14:paraId="304C5E8C" w14:textId="77777777" w:rsidTr="0072423A">
        <w:trPr>
          <w:trHeight w:val="302"/>
        </w:trPr>
        <w:tc>
          <w:tcPr>
            <w:tcW w:w="3495" w:type="dxa"/>
            <w:vMerge/>
            <w:shd w:val="clear" w:color="auto" w:fill="BFBFBF"/>
            <w:vAlign w:val="center"/>
          </w:tcPr>
          <w:p w14:paraId="4F1DCCF6" w14:textId="77777777" w:rsidR="0048539E" w:rsidRPr="0005742C" w:rsidRDefault="0048539E" w:rsidP="0072423A">
            <w:pPr>
              <w:contextualSpacing/>
              <w:jc w:val="left"/>
              <w:rPr>
                <w:rFonts w:cs="Arial"/>
                <w:b/>
                <w:sz w:val="20"/>
                <w:szCs w:val="20"/>
              </w:rPr>
            </w:pPr>
          </w:p>
        </w:tc>
        <w:tc>
          <w:tcPr>
            <w:tcW w:w="6044" w:type="dxa"/>
            <w:gridSpan w:val="4"/>
            <w:shd w:val="clear" w:color="auto" w:fill="BFBFBF"/>
            <w:vAlign w:val="center"/>
          </w:tcPr>
          <w:p w14:paraId="454CD9CD" w14:textId="77777777" w:rsidR="0048539E" w:rsidRPr="0005742C" w:rsidRDefault="0048539E" w:rsidP="0072423A">
            <w:pPr>
              <w:contextualSpacing/>
              <w:jc w:val="center"/>
              <w:rPr>
                <w:rFonts w:cs="Arial"/>
                <w:b/>
                <w:sz w:val="20"/>
                <w:szCs w:val="20"/>
              </w:rPr>
            </w:pPr>
            <w:r w:rsidRPr="0005742C">
              <w:rPr>
                <w:rFonts w:cs="Arial"/>
                <w:b/>
                <w:sz w:val="20"/>
                <w:szCs w:val="20"/>
              </w:rPr>
              <w:t>mil. Kč</w:t>
            </w:r>
          </w:p>
        </w:tc>
      </w:tr>
      <w:tr w:rsidR="0048539E" w:rsidRPr="009830CA" w14:paraId="234E4CFD" w14:textId="77777777" w:rsidTr="0072423A">
        <w:trPr>
          <w:trHeight w:val="261"/>
        </w:trPr>
        <w:tc>
          <w:tcPr>
            <w:tcW w:w="3495" w:type="dxa"/>
            <w:vAlign w:val="center"/>
          </w:tcPr>
          <w:p w14:paraId="7CD3E8DD" w14:textId="77777777" w:rsidR="0048539E" w:rsidRPr="0005742C" w:rsidRDefault="0048539E" w:rsidP="0072423A">
            <w:pPr>
              <w:contextualSpacing/>
              <w:jc w:val="left"/>
              <w:rPr>
                <w:rFonts w:cs="Arial"/>
                <w:sz w:val="20"/>
                <w:szCs w:val="20"/>
              </w:rPr>
            </w:pPr>
            <w:r w:rsidRPr="0005742C">
              <w:rPr>
                <w:rFonts w:cs="Arial"/>
                <w:sz w:val="20"/>
                <w:szCs w:val="20"/>
              </w:rPr>
              <w:t xml:space="preserve">Dotace na rozvoj a obnovu infrastruktury </w:t>
            </w:r>
            <w:proofErr w:type="spellStart"/>
            <w:r w:rsidRPr="0005742C">
              <w:rPr>
                <w:rFonts w:cs="Arial"/>
                <w:sz w:val="20"/>
                <w:szCs w:val="20"/>
              </w:rPr>
              <w:t>VaK</w:t>
            </w:r>
            <w:proofErr w:type="spellEnd"/>
          </w:p>
        </w:tc>
        <w:tc>
          <w:tcPr>
            <w:tcW w:w="1559" w:type="dxa"/>
            <w:vAlign w:val="center"/>
          </w:tcPr>
          <w:p w14:paraId="6899557A" w14:textId="77777777" w:rsidR="0048539E" w:rsidRPr="007807C8" w:rsidRDefault="0048539E" w:rsidP="0072423A">
            <w:pPr>
              <w:ind w:right="280"/>
              <w:contextualSpacing/>
              <w:jc w:val="right"/>
              <w:rPr>
                <w:rFonts w:cs="Arial"/>
                <w:color w:val="000000"/>
                <w:sz w:val="18"/>
                <w:szCs w:val="18"/>
              </w:rPr>
            </w:pPr>
            <w:r>
              <w:rPr>
                <w:rFonts w:cs="Arial"/>
                <w:color w:val="000000"/>
                <w:sz w:val="18"/>
                <w:szCs w:val="18"/>
              </w:rPr>
              <w:t>640,398</w:t>
            </w:r>
            <w:r w:rsidRPr="00452ED1">
              <w:rPr>
                <w:rFonts w:cs="Arial"/>
                <w:color w:val="000000"/>
                <w:sz w:val="18"/>
                <w:szCs w:val="18"/>
              </w:rPr>
              <w:t xml:space="preserve"> </w:t>
            </w:r>
          </w:p>
        </w:tc>
        <w:tc>
          <w:tcPr>
            <w:tcW w:w="1418" w:type="dxa"/>
            <w:vAlign w:val="center"/>
          </w:tcPr>
          <w:p w14:paraId="5D711870" w14:textId="77777777" w:rsidR="0048539E" w:rsidRPr="004A14CA" w:rsidRDefault="0048539E" w:rsidP="0072423A">
            <w:pPr>
              <w:ind w:right="280"/>
              <w:contextualSpacing/>
              <w:jc w:val="right"/>
              <w:rPr>
                <w:rFonts w:cs="Arial"/>
                <w:sz w:val="18"/>
                <w:szCs w:val="18"/>
              </w:rPr>
            </w:pPr>
            <w:r>
              <w:rPr>
                <w:rFonts w:cs="Arial"/>
                <w:color w:val="000000"/>
                <w:sz w:val="18"/>
                <w:szCs w:val="18"/>
              </w:rPr>
              <w:t>859,813</w:t>
            </w:r>
          </w:p>
        </w:tc>
        <w:tc>
          <w:tcPr>
            <w:tcW w:w="1508" w:type="dxa"/>
            <w:vAlign w:val="center"/>
          </w:tcPr>
          <w:p w14:paraId="56C368D6" w14:textId="77777777" w:rsidR="0048539E" w:rsidRPr="004A14CA" w:rsidRDefault="0048539E" w:rsidP="0072423A">
            <w:pPr>
              <w:ind w:right="280"/>
              <w:contextualSpacing/>
              <w:jc w:val="right"/>
              <w:rPr>
                <w:rFonts w:eastAsia="Arial Unicode MS" w:cs="Arial"/>
                <w:sz w:val="18"/>
                <w:szCs w:val="18"/>
                <w:highlight w:val="yellow"/>
              </w:rPr>
            </w:pPr>
            <w:r w:rsidRPr="004A14CA">
              <w:rPr>
                <w:rFonts w:cs="Arial"/>
                <w:sz w:val="18"/>
                <w:szCs w:val="18"/>
              </w:rPr>
              <w:t>0</w:t>
            </w:r>
          </w:p>
        </w:tc>
        <w:tc>
          <w:tcPr>
            <w:tcW w:w="1559" w:type="dxa"/>
            <w:vAlign w:val="center"/>
          </w:tcPr>
          <w:p w14:paraId="2199C604" w14:textId="77777777" w:rsidR="0048539E" w:rsidRPr="004A14CA" w:rsidRDefault="0048539E" w:rsidP="0072423A">
            <w:pPr>
              <w:ind w:right="280"/>
              <w:contextualSpacing/>
              <w:jc w:val="right"/>
              <w:rPr>
                <w:rFonts w:eastAsia="Arial Unicode MS" w:cs="Arial"/>
                <w:b/>
                <w:sz w:val="18"/>
                <w:szCs w:val="18"/>
              </w:rPr>
            </w:pPr>
            <w:r w:rsidRPr="003E6196">
              <w:rPr>
                <w:rFonts w:eastAsia="Arial Unicode MS" w:cs="Arial"/>
                <w:b/>
                <w:sz w:val="18"/>
                <w:szCs w:val="18"/>
              </w:rPr>
              <w:t>1</w:t>
            </w:r>
            <w:r>
              <w:rPr>
                <w:rFonts w:eastAsia="Arial Unicode MS" w:cs="Arial"/>
                <w:b/>
                <w:sz w:val="18"/>
                <w:szCs w:val="18"/>
              </w:rPr>
              <w:t> 500,211</w:t>
            </w:r>
          </w:p>
        </w:tc>
      </w:tr>
      <w:tr w:rsidR="0048539E" w:rsidRPr="009830CA" w14:paraId="52870EB6" w14:textId="77777777" w:rsidTr="0072423A">
        <w:trPr>
          <w:trHeight w:val="371"/>
        </w:trPr>
        <w:tc>
          <w:tcPr>
            <w:tcW w:w="3495" w:type="dxa"/>
            <w:vAlign w:val="center"/>
          </w:tcPr>
          <w:p w14:paraId="0DEC4EF8" w14:textId="77777777" w:rsidR="0048539E" w:rsidRPr="0005742C" w:rsidRDefault="0048539E" w:rsidP="0072423A">
            <w:pPr>
              <w:contextualSpacing/>
              <w:jc w:val="left"/>
              <w:rPr>
                <w:rFonts w:cs="Arial"/>
                <w:sz w:val="20"/>
                <w:szCs w:val="20"/>
              </w:rPr>
            </w:pPr>
            <w:r w:rsidRPr="0005742C">
              <w:rPr>
                <w:rFonts w:cs="Arial"/>
                <w:sz w:val="20"/>
                <w:szCs w:val="20"/>
              </w:rPr>
              <w:t>Dotace na</w:t>
            </w:r>
            <w:r w:rsidRPr="0005742C">
              <w:rPr>
                <w:sz w:val="20"/>
                <w:szCs w:val="20"/>
              </w:rPr>
              <w:t xml:space="preserve"> </w:t>
            </w:r>
            <w:r w:rsidRPr="0005742C">
              <w:rPr>
                <w:rFonts w:cs="Arial"/>
                <w:sz w:val="20"/>
                <w:szCs w:val="20"/>
              </w:rPr>
              <w:t xml:space="preserve">odkup a scelování infrastruktury </w:t>
            </w:r>
            <w:proofErr w:type="spellStart"/>
            <w:r w:rsidRPr="0005742C">
              <w:rPr>
                <w:rFonts w:cs="Arial"/>
                <w:sz w:val="20"/>
                <w:szCs w:val="20"/>
              </w:rPr>
              <w:t>VaK</w:t>
            </w:r>
            <w:proofErr w:type="spellEnd"/>
          </w:p>
        </w:tc>
        <w:tc>
          <w:tcPr>
            <w:tcW w:w="1559" w:type="dxa"/>
            <w:vAlign w:val="center"/>
          </w:tcPr>
          <w:p w14:paraId="3D9E3764" w14:textId="77777777" w:rsidR="0048539E" w:rsidRDefault="0048539E" w:rsidP="0072423A">
            <w:pPr>
              <w:ind w:right="280"/>
              <w:contextualSpacing/>
              <w:jc w:val="right"/>
              <w:rPr>
                <w:rFonts w:eastAsia="Arial Unicode MS" w:cs="Arial"/>
                <w:sz w:val="18"/>
                <w:szCs w:val="18"/>
              </w:rPr>
            </w:pPr>
            <w:r>
              <w:rPr>
                <w:rFonts w:eastAsia="Arial Unicode MS" w:cs="Arial"/>
                <w:sz w:val="18"/>
                <w:szCs w:val="18"/>
              </w:rPr>
              <w:t>0</w:t>
            </w:r>
          </w:p>
        </w:tc>
        <w:tc>
          <w:tcPr>
            <w:tcW w:w="1418" w:type="dxa"/>
            <w:vAlign w:val="center"/>
          </w:tcPr>
          <w:p w14:paraId="79BFD31D" w14:textId="77777777" w:rsidR="0048539E" w:rsidRDefault="0048539E" w:rsidP="0072423A">
            <w:pPr>
              <w:ind w:right="280"/>
              <w:contextualSpacing/>
              <w:jc w:val="right"/>
              <w:rPr>
                <w:rFonts w:cs="Arial"/>
                <w:sz w:val="18"/>
                <w:szCs w:val="18"/>
              </w:rPr>
            </w:pPr>
            <w:r>
              <w:rPr>
                <w:rFonts w:cs="Arial"/>
                <w:sz w:val="18"/>
                <w:szCs w:val="18"/>
              </w:rPr>
              <w:t>0</w:t>
            </w:r>
          </w:p>
        </w:tc>
        <w:tc>
          <w:tcPr>
            <w:tcW w:w="1508" w:type="dxa"/>
            <w:vAlign w:val="center"/>
          </w:tcPr>
          <w:p w14:paraId="4F12ECEE" w14:textId="77777777" w:rsidR="0048539E" w:rsidRPr="004A14CA" w:rsidRDefault="0048539E" w:rsidP="0072423A">
            <w:pPr>
              <w:ind w:right="280"/>
              <w:contextualSpacing/>
              <w:jc w:val="right"/>
              <w:rPr>
                <w:rFonts w:cs="Arial"/>
                <w:sz w:val="18"/>
                <w:szCs w:val="18"/>
              </w:rPr>
            </w:pPr>
            <w:r>
              <w:rPr>
                <w:rFonts w:cs="Arial"/>
                <w:sz w:val="18"/>
                <w:szCs w:val="18"/>
              </w:rPr>
              <w:t>0</w:t>
            </w:r>
          </w:p>
        </w:tc>
        <w:tc>
          <w:tcPr>
            <w:tcW w:w="1559" w:type="dxa"/>
            <w:vAlign w:val="center"/>
          </w:tcPr>
          <w:p w14:paraId="241847CB" w14:textId="77777777" w:rsidR="0048539E" w:rsidRDefault="0048539E" w:rsidP="0072423A">
            <w:pPr>
              <w:ind w:right="280"/>
              <w:contextualSpacing/>
              <w:jc w:val="right"/>
              <w:rPr>
                <w:rFonts w:cs="Arial"/>
                <w:b/>
                <w:sz w:val="18"/>
                <w:szCs w:val="18"/>
              </w:rPr>
            </w:pPr>
            <w:r>
              <w:rPr>
                <w:rFonts w:cs="Arial"/>
                <w:b/>
                <w:sz w:val="18"/>
                <w:szCs w:val="18"/>
              </w:rPr>
              <w:t>0,000</w:t>
            </w:r>
          </w:p>
        </w:tc>
      </w:tr>
      <w:tr w:rsidR="0048539E" w:rsidRPr="009830CA" w14:paraId="1964C309" w14:textId="77777777" w:rsidTr="0072423A">
        <w:trPr>
          <w:trHeight w:val="371"/>
        </w:trPr>
        <w:tc>
          <w:tcPr>
            <w:tcW w:w="3495" w:type="dxa"/>
            <w:vAlign w:val="center"/>
          </w:tcPr>
          <w:p w14:paraId="224C3F66" w14:textId="77777777" w:rsidR="0048539E" w:rsidRPr="0005742C" w:rsidRDefault="0048539E" w:rsidP="0072423A">
            <w:pPr>
              <w:contextualSpacing/>
              <w:jc w:val="left"/>
              <w:rPr>
                <w:rFonts w:cs="Arial"/>
                <w:sz w:val="20"/>
                <w:szCs w:val="20"/>
              </w:rPr>
            </w:pPr>
            <w:r w:rsidRPr="0005742C">
              <w:rPr>
                <w:rFonts w:cs="Arial"/>
                <w:sz w:val="20"/>
                <w:szCs w:val="20"/>
              </w:rPr>
              <w:t>Dotace na</w:t>
            </w:r>
            <w:r w:rsidRPr="0005742C">
              <w:rPr>
                <w:sz w:val="20"/>
                <w:szCs w:val="20"/>
              </w:rPr>
              <w:t xml:space="preserve"> </w:t>
            </w:r>
            <w:r w:rsidRPr="006B6F7D">
              <w:rPr>
                <w:rFonts w:cs="Arial"/>
                <w:sz w:val="20"/>
                <w:szCs w:val="20"/>
              </w:rPr>
              <w:t xml:space="preserve">odstraňování povodňových škod na infrastruktuře </w:t>
            </w:r>
            <w:proofErr w:type="spellStart"/>
            <w:r w:rsidRPr="0005742C">
              <w:rPr>
                <w:rFonts w:cs="Arial"/>
                <w:sz w:val="20"/>
                <w:szCs w:val="20"/>
              </w:rPr>
              <w:t>VaK</w:t>
            </w:r>
            <w:proofErr w:type="spellEnd"/>
          </w:p>
        </w:tc>
        <w:tc>
          <w:tcPr>
            <w:tcW w:w="1559" w:type="dxa"/>
            <w:vAlign w:val="center"/>
          </w:tcPr>
          <w:p w14:paraId="6228F961" w14:textId="77777777" w:rsidR="0048539E" w:rsidRDefault="0048539E" w:rsidP="0072423A">
            <w:pPr>
              <w:ind w:right="280"/>
              <w:contextualSpacing/>
              <w:jc w:val="right"/>
              <w:rPr>
                <w:rFonts w:eastAsia="Arial Unicode MS" w:cs="Arial"/>
                <w:sz w:val="18"/>
                <w:szCs w:val="18"/>
              </w:rPr>
            </w:pPr>
            <w:r>
              <w:rPr>
                <w:rFonts w:eastAsia="Arial Unicode MS" w:cs="Arial"/>
                <w:sz w:val="18"/>
                <w:szCs w:val="18"/>
              </w:rPr>
              <w:t>0</w:t>
            </w:r>
          </w:p>
        </w:tc>
        <w:tc>
          <w:tcPr>
            <w:tcW w:w="1418" w:type="dxa"/>
            <w:vAlign w:val="center"/>
          </w:tcPr>
          <w:p w14:paraId="58F3E976" w14:textId="77777777" w:rsidR="0048539E" w:rsidRDefault="0048539E" w:rsidP="0072423A">
            <w:pPr>
              <w:ind w:right="280"/>
              <w:contextualSpacing/>
              <w:jc w:val="right"/>
              <w:rPr>
                <w:rFonts w:cs="Arial"/>
                <w:sz w:val="18"/>
                <w:szCs w:val="18"/>
              </w:rPr>
            </w:pPr>
            <w:r>
              <w:rPr>
                <w:rFonts w:cs="Arial"/>
                <w:sz w:val="18"/>
                <w:szCs w:val="18"/>
              </w:rPr>
              <w:t>0</w:t>
            </w:r>
          </w:p>
        </w:tc>
        <w:tc>
          <w:tcPr>
            <w:tcW w:w="1508" w:type="dxa"/>
            <w:vAlign w:val="center"/>
          </w:tcPr>
          <w:p w14:paraId="20502AF0" w14:textId="77777777" w:rsidR="0048539E" w:rsidRDefault="0048539E" w:rsidP="0072423A">
            <w:pPr>
              <w:ind w:right="280"/>
              <w:contextualSpacing/>
              <w:jc w:val="right"/>
              <w:rPr>
                <w:rFonts w:cs="Arial"/>
                <w:sz w:val="18"/>
                <w:szCs w:val="18"/>
              </w:rPr>
            </w:pPr>
            <w:r>
              <w:rPr>
                <w:rFonts w:cs="Arial"/>
                <w:sz w:val="18"/>
                <w:szCs w:val="18"/>
              </w:rPr>
              <w:t>0</w:t>
            </w:r>
          </w:p>
        </w:tc>
        <w:tc>
          <w:tcPr>
            <w:tcW w:w="1559" w:type="dxa"/>
            <w:vAlign w:val="center"/>
          </w:tcPr>
          <w:p w14:paraId="3E8BEF36" w14:textId="77777777" w:rsidR="0048539E" w:rsidRDefault="0048539E" w:rsidP="0072423A">
            <w:pPr>
              <w:ind w:right="280"/>
              <w:contextualSpacing/>
              <w:jc w:val="right"/>
              <w:rPr>
                <w:rFonts w:cs="Arial"/>
                <w:b/>
                <w:sz w:val="18"/>
                <w:szCs w:val="18"/>
              </w:rPr>
            </w:pPr>
            <w:r>
              <w:rPr>
                <w:rFonts w:cs="Arial"/>
                <w:b/>
                <w:sz w:val="18"/>
                <w:szCs w:val="18"/>
              </w:rPr>
              <w:t>0,000</w:t>
            </w:r>
          </w:p>
        </w:tc>
      </w:tr>
      <w:tr w:rsidR="0048539E" w:rsidRPr="0005742C" w14:paraId="308804BD" w14:textId="77777777" w:rsidTr="0072423A">
        <w:trPr>
          <w:trHeight w:val="261"/>
        </w:trPr>
        <w:tc>
          <w:tcPr>
            <w:tcW w:w="3495" w:type="dxa"/>
            <w:shd w:val="clear" w:color="auto" w:fill="BFBFBF"/>
            <w:vAlign w:val="center"/>
          </w:tcPr>
          <w:p w14:paraId="499AF0A2" w14:textId="77777777" w:rsidR="0048539E" w:rsidRPr="0005742C" w:rsidRDefault="0048539E" w:rsidP="0072423A">
            <w:pPr>
              <w:contextualSpacing/>
              <w:jc w:val="left"/>
              <w:rPr>
                <w:rFonts w:cs="Arial"/>
                <w:b/>
                <w:sz w:val="20"/>
                <w:szCs w:val="20"/>
              </w:rPr>
            </w:pPr>
            <w:r w:rsidRPr="0005742C">
              <w:rPr>
                <w:rFonts w:cs="Arial"/>
                <w:b/>
                <w:sz w:val="20"/>
                <w:szCs w:val="20"/>
              </w:rPr>
              <w:t>Dotace celkem</w:t>
            </w:r>
          </w:p>
        </w:tc>
        <w:tc>
          <w:tcPr>
            <w:tcW w:w="1559" w:type="dxa"/>
            <w:shd w:val="clear" w:color="auto" w:fill="BFBFBF"/>
            <w:vAlign w:val="center"/>
          </w:tcPr>
          <w:p w14:paraId="580E51D0" w14:textId="77777777" w:rsidR="0048539E" w:rsidRPr="00D5347D" w:rsidRDefault="0048539E" w:rsidP="0072423A">
            <w:pPr>
              <w:ind w:right="280"/>
              <w:contextualSpacing/>
              <w:jc w:val="right"/>
              <w:rPr>
                <w:rFonts w:cs="Arial"/>
                <w:b/>
                <w:bCs/>
                <w:sz w:val="18"/>
                <w:szCs w:val="18"/>
              </w:rPr>
            </w:pPr>
            <w:r w:rsidRPr="00D7268D">
              <w:rPr>
                <w:rFonts w:cs="Arial"/>
                <w:b/>
                <w:bCs/>
                <w:color w:val="000000"/>
                <w:sz w:val="18"/>
                <w:szCs w:val="18"/>
              </w:rPr>
              <w:t>640,398</w:t>
            </w:r>
          </w:p>
        </w:tc>
        <w:tc>
          <w:tcPr>
            <w:tcW w:w="1418" w:type="dxa"/>
            <w:shd w:val="clear" w:color="auto" w:fill="BFBFBF"/>
            <w:vAlign w:val="center"/>
          </w:tcPr>
          <w:p w14:paraId="38658609" w14:textId="77777777" w:rsidR="0048539E" w:rsidRPr="00D5347D" w:rsidRDefault="0048539E" w:rsidP="0072423A">
            <w:pPr>
              <w:ind w:right="280"/>
              <w:contextualSpacing/>
              <w:jc w:val="right"/>
              <w:rPr>
                <w:rFonts w:cs="Arial"/>
                <w:b/>
                <w:bCs/>
                <w:sz w:val="18"/>
                <w:szCs w:val="18"/>
              </w:rPr>
            </w:pPr>
            <w:r w:rsidRPr="00D7268D">
              <w:rPr>
                <w:rFonts w:cs="Arial"/>
                <w:b/>
                <w:bCs/>
                <w:color w:val="000000"/>
                <w:sz w:val="18"/>
                <w:szCs w:val="18"/>
              </w:rPr>
              <w:t>859,813</w:t>
            </w:r>
          </w:p>
        </w:tc>
        <w:tc>
          <w:tcPr>
            <w:tcW w:w="1508" w:type="dxa"/>
            <w:shd w:val="clear" w:color="auto" w:fill="BFBFBF"/>
            <w:vAlign w:val="center"/>
          </w:tcPr>
          <w:p w14:paraId="29D3C935" w14:textId="77777777" w:rsidR="0048539E" w:rsidRPr="00D5347D" w:rsidRDefault="0048539E" w:rsidP="0072423A">
            <w:pPr>
              <w:ind w:right="280"/>
              <w:contextualSpacing/>
              <w:jc w:val="right"/>
              <w:rPr>
                <w:rFonts w:eastAsia="Arial Unicode MS" w:cs="Arial"/>
                <w:b/>
                <w:bCs/>
                <w:sz w:val="18"/>
                <w:szCs w:val="18"/>
              </w:rPr>
            </w:pPr>
            <w:r w:rsidRPr="00D7268D">
              <w:rPr>
                <w:rFonts w:cs="Arial"/>
                <w:b/>
                <w:bCs/>
                <w:sz w:val="18"/>
                <w:szCs w:val="18"/>
              </w:rPr>
              <w:t>0</w:t>
            </w:r>
          </w:p>
        </w:tc>
        <w:tc>
          <w:tcPr>
            <w:tcW w:w="1559" w:type="dxa"/>
            <w:shd w:val="clear" w:color="auto" w:fill="BFBFBF"/>
            <w:vAlign w:val="center"/>
          </w:tcPr>
          <w:p w14:paraId="3CDACA19" w14:textId="77777777" w:rsidR="0048539E" w:rsidRPr="00D5347D" w:rsidRDefault="0048539E" w:rsidP="0072423A">
            <w:pPr>
              <w:ind w:right="280"/>
              <w:contextualSpacing/>
              <w:jc w:val="right"/>
              <w:rPr>
                <w:rFonts w:cs="Arial"/>
                <w:b/>
                <w:bCs/>
                <w:sz w:val="18"/>
                <w:szCs w:val="18"/>
              </w:rPr>
            </w:pPr>
            <w:r w:rsidRPr="00D5347D">
              <w:rPr>
                <w:rFonts w:eastAsia="Arial Unicode MS" w:cs="Arial"/>
                <w:b/>
                <w:bCs/>
                <w:sz w:val="18"/>
                <w:szCs w:val="18"/>
              </w:rPr>
              <w:t>1 500,211</w:t>
            </w:r>
          </w:p>
        </w:tc>
      </w:tr>
      <w:tr w:rsidR="0048539E" w:rsidRPr="0005742C" w14:paraId="4D349D87" w14:textId="77777777" w:rsidTr="0072423A">
        <w:trPr>
          <w:trHeight w:val="185"/>
        </w:trPr>
        <w:tc>
          <w:tcPr>
            <w:tcW w:w="3495" w:type="dxa"/>
            <w:vAlign w:val="center"/>
          </w:tcPr>
          <w:p w14:paraId="6D2A9076" w14:textId="77777777" w:rsidR="0048539E" w:rsidRPr="0005742C" w:rsidRDefault="0048539E" w:rsidP="0072423A">
            <w:pPr>
              <w:contextualSpacing/>
              <w:jc w:val="left"/>
              <w:rPr>
                <w:rFonts w:cs="Arial"/>
                <w:sz w:val="20"/>
                <w:szCs w:val="20"/>
              </w:rPr>
            </w:pPr>
            <w:r w:rsidRPr="0005742C">
              <w:rPr>
                <w:rFonts w:cs="Arial"/>
                <w:sz w:val="20"/>
                <w:szCs w:val="20"/>
              </w:rPr>
              <w:t>Návratná finanční výpomoc</w:t>
            </w:r>
          </w:p>
        </w:tc>
        <w:tc>
          <w:tcPr>
            <w:tcW w:w="1559" w:type="dxa"/>
            <w:vAlign w:val="center"/>
          </w:tcPr>
          <w:p w14:paraId="14F4FBDA" w14:textId="77777777" w:rsidR="0048539E" w:rsidRPr="00A918C4" w:rsidRDefault="0048539E" w:rsidP="0072423A">
            <w:pPr>
              <w:ind w:right="280"/>
              <w:contextualSpacing/>
              <w:jc w:val="right"/>
              <w:rPr>
                <w:rFonts w:cs="Arial"/>
                <w:sz w:val="18"/>
                <w:szCs w:val="18"/>
              </w:rPr>
            </w:pPr>
            <w:r w:rsidRPr="00A918C4">
              <w:rPr>
                <w:rFonts w:cs="Arial"/>
                <w:sz w:val="18"/>
                <w:szCs w:val="18"/>
              </w:rPr>
              <w:t>0</w:t>
            </w:r>
          </w:p>
        </w:tc>
        <w:tc>
          <w:tcPr>
            <w:tcW w:w="1418" w:type="dxa"/>
            <w:vAlign w:val="center"/>
          </w:tcPr>
          <w:p w14:paraId="156E8CC6" w14:textId="77777777" w:rsidR="0048539E" w:rsidRPr="003E6196" w:rsidRDefault="0048539E" w:rsidP="0072423A">
            <w:pPr>
              <w:ind w:right="280"/>
              <w:contextualSpacing/>
              <w:jc w:val="right"/>
              <w:rPr>
                <w:rFonts w:cs="Arial"/>
                <w:b/>
                <w:bCs/>
                <w:sz w:val="18"/>
                <w:szCs w:val="18"/>
              </w:rPr>
            </w:pPr>
            <w:r w:rsidRPr="003E6196">
              <w:rPr>
                <w:rFonts w:cs="Arial"/>
                <w:b/>
                <w:bCs/>
                <w:sz w:val="18"/>
                <w:szCs w:val="18"/>
              </w:rPr>
              <w:t>0</w:t>
            </w:r>
          </w:p>
        </w:tc>
        <w:tc>
          <w:tcPr>
            <w:tcW w:w="1508" w:type="dxa"/>
            <w:vAlign w:val="center"/>
          </w:tcPr>
          <w:p w14:paraId="4D1B52B5" w14:textId="77777777" w:rsidR="0048539E" w:rsidRPr="00A918C4" w:rsidRDefault="0048539E" w:rsidP="0072423A">
            <w:pPr>
              <w:ind w:right="280"/>
              <w:contextualSpacing/>
              <w:jc w:val="right"/>
              <w:rPr>
                <w:rFonts w:eastAsia="Arial Unicode MS" w:cs="Arial"/>
                <w:sz w:val="18"/>
                <w:szCs w:val="18"/>
              </w:rPr>
            </w:pPr>
            <w:r w:rsidRPr="00A918C4">
              <w:rPr>
                <w:rFonts w:cs="Arial"/>
                <w:sz w:val="18"/>
                <w:szCs w:val="18"/>
              </w:rPr>
              <w:t>0</w:t>
            </w:r>
          </w:p>
        </w:tc>
        <w:tc>
          <w:tcPr>
            <w:tcW w:w="1559" w:type="dxa"/>
            <w:vAlign w:val="center"/>
          </w:tcPr>
          <w:p w14:paraId="2C40CE3C" w14:textId="77777777" w:rsidR="0048539E" w:rsidRPr="00A918C4" w:rsidRDefault="0048539E" w:rsidP="0072423A">
            <w:pPr>
              <w:ind w:right="280"/>
              <w:contextualSpacing/>
              <w:jc w:val="right"/>
              <w:rPr>
                <w:rFonts w:eastAsia="Arial Unicode MS" w:cs="Arial"/>
                <w:sz w:val="18"/>
                <w:szCs w:val="18"/>
              </w:rPr>
            </w:pPr>
            <w:r w:rsidRPr="00A918C4">
              <w:rPr>
                <w:rFonts w:cs="Arial"/>
                <w:sz w:val="18"/>
                <w:szCs w:val="18"/>
              </w:rPr>
              <w:t>0</w:t>
            </w:r>
          </w:p>
        </w:tc>
      </w:tr>
      <w:tr w:rsidR="0048539E" w:rsidRPr="0005742C" w14:paraId="332FF620" w14:textId="77777777" w:rsidTr="0072423A">
        <w:trPr>
          <w:trHeight w:val="261"/>
        </w:trPr>
        <w:tc>
          <w:tcPr>
            <w:tcW w:w="3495" w:type="dxa"/>
            <w:shd w:val="clear" w:color="auto" w:fill="BFBFBF"/>
            <w:vAlign w:val="center"/>
          </w:tcPr>
          <w:p w14:paraId="768C13B0" w14:textId="77777777" w:rsidR="0048539E" w:rsidRPr="0005742C" w:rsidRDefault="0048539E" w:rsidP="0072423A">
            <w:pPr>
              <w:contextualSpacing/>
              <w:jc w:val="left"/>
              <w:rPr>
                <w:rFonts w:cs="Arial"/>
                <w:b/>
                <w:sz w:val="20"/>
                <w:szCs w:val="20"/>
              </w:rPr>
            </w:pPr>
            <w:r w:rsidRPr="0005742C">
              <w:rPr>
                <w:rFonts w:cs="Arial"/>
                <w:b/>
                <w:sz w:val="20"/>
                <w:szCs w:val="20"/>
              </w:rPr>
              <w:t>Celkem</w:t>
            </w:r>
          </w:p>
        </w:tc>
        <w:tc>
          <w:tcPr>
            <w:tcW w:w="1559" w:type="dxa"/>
            <w:shd w:val="clear" w:color="auto" w:fill="BFBFBF"/>
            <w:vAlign w:val="center"/>
          </w:tcPr>
          <w:p w14:paraId="76DC4A5C" w14:textId="77777777" w:rsidR="0048539E" w:rsidRPr="00D5347D" w:rsidRDefault="0048539E" w:rsidP="0072423A">
            <w:pPr>
              <w:ind w:right="280"/>
              <w:contextualSpacing/>
              <w:jc w:val="right"/>
              <w:rPr>
                <w:rFonts w:cs="Arial"/>
                <w:b/>
                <w:bCs/>
                <w:sz w:val="18"/>
                <w:szCs w:val="18"/>
              </w:rPr>
            </w:pPr>
            <w:r w:rsidRPr="00D7268D">
              <w:rPr>
                <w:rFonts w:cs="Arial"/>
                <w:b/>
                <w:bCs/>
                <w:color w:val="000000"/>
                <w:sz w:val="18"/>
                <w:szCs w:val="18"/>
              </w:rPr>
              <w:t>640,398</w:t>
            </w:r>
          </w:p>
        </w:tc>
        <w:tc>
          <w:tcPr>
            <w:tcW w:w="1418" w:type="dxa"/>
            <w:shd w:val="clear" w:color="auto" w:fill="BFBFBF"/>
            <w:vAlign w:val="center"/>
          </w:tcPr>
          <w:p w14:paraId="7C1D9C56" w14:textId="77777777" w:rsidR="0048539E" w:rsidRPr="00D5347D" w:rsidRDefault="0048539E" w:rsidP="0072423A">
            <w:pPr>
              <w:ind w:right="280"/>
              <w:contextualSpacing/>
              <w:jc w:val="right"/>
              <w:rPr>
                <w:rFonts w:cs="Arial"/>
                <w:b/>
                <w:bCs/>
                <w:sz w:val="18"/>
                <w:szCs w:val="18"/>
              </w:rPr>
            </w:pPr>
            <w:r w:rsidRPr="00D7268D">
              <w:rPr>
                <w:rFonts w:cs="Arial"/>
                <w:b/>
                <w:bCs/>
                <w:color w:val="000000"/>
                <w:sz w:val="18"/>
                <w:szCs w:val="18"/>
              </w:rPr>
              <w:t>859,813</w:t>
            </w:r>
          </w:p>
        </w:tc>
        <w:tc>
          <w:tcPr>
            <w:tcW w:w="1508" w:type="dxa"/>
            <w:shd w:val="clear" w:color="auto" w:fill="BFBFBF"/>
            <w:vAlign w:val="center"/>
          </w:tcPr>
          <w:p w14:paraId="17038542" w14:textId="77777777" w:rsidR="0048539E" w:rsidRPr="00D5347D" w:rsidRDefault="0048539E" w:rsidP="0072423A">
            <w:pPr>
              <w:ind w:right="280"/>
              <w:contextualSpacing/>
              <w:jc w:val="right"/>
              <w:rPr>
                <w:rFonts w:eastAsia="Arial Unicode MS" w:cs="Arial"/>
                <w:b/>
                <w:bCs/>
                <w:sz w:val="18"/>
                <w:szCs w:val="18"/>
                <w:highlight w:val="yellow"/>
              </w:rPr>
            </w:pPr>
            <w:r w:rsidRPr="00D7268D">
              <w:rPr>
                <w:rFonts w:cs="Arial"/>
                <w:b/>
                <w:bCs/>
                <w:sz w:val="18"/>
                <w:szCs w:val="18"/>
              </w:rPr>
              <w:t>0</w:t>
            </w:r>
          </w:p>
        </w:tc>
        <w:tc>
          <w:tcPr>
            <w:tcW w:w="1559" w:type="dxa"/>
            <w:shd w:val="clear" w:color="auto" w:fill="BFBFBF"/>
            <w:vAlign w:val="center"/>
          </w:tcPr>
          <w:p w14:paraId="7D1BEBBF" w14:textId="77777777" w:rsidR="0048539E" w:rsidRPr="00D5347D" w:rsidRDefault="0048539E" w:rsidP="0072423A">
            <w:pPr>
              <w:ind w:right="280"/>
              <w:contextualSpacing/>
              <w:jc w:val="right"/>
              <w:rPr>
                <w:rFonts w:cs="Arial"/>
                <w:b/>
                <w:bCs/>
                <w:sz w:val="18"/>
                <w:szCs w:val="18"/>
              </w:rPr>
            </w:pPr>
            <w:r w:rsidRPr="00D5347D">
              <w:rPr>
                <w:rFonts w:eastAsia="Arial Unicode MS" w:cs="Arial"/>
                <w:b/>
                <w:bCs/>
                <w:sz w:val="18"/>
                <w:szCs w:val="18"/>
              </w:rPr>
              <w:t>1 500,211</w:t>
            </w:r>
          </w:p>
        </w:tc>
      </w:tr>
    </w:tbl>
    <w:p w14:paraId="014A3E2F" w14:textId="616DD382" w:rsidR="00AF2B22" w:rsidRPr="00C138D1" w:rsidRDefault="00AF2B22" w:rsidP="00372952">
      <w:pPr>
        <w:contextualSpacing/>
        <w:rPr>
          <w:rFonts w:cs="Arial"/>
          <w:i/>
          <w:sz w:val="20"/>
          <w:szCs w:val="20"/>
        </w:rPr>
      </w:pPr>
      <w:r w:rsidRPr="00C138D1">
        <w:rPr>
          <w:rFonts w:cs="Arial"/>
          <w:i/>
          <w:sz w:val="20"/>
          <w:szCs w:val="20"/>
        </w:rPr>
        <w:t>Pramen: MZe</w:t>
      </w:r>
      <w:bookmarkEnd w:id="173"/>
    </w:p>
    <w:p w14:paraId="1494BD84" w14:textId="77777777" w:rsidR="00952BD5" w:rsidRDefault="00952BD5" w:rsidP="007C4955">
      <w:pPr>
        <w:pStyle w:val="Zkladntext"/>
        <w:spacing w:line="240" w:lineRule="auto"/>
        <w:ind w:firstLine="0"/>
        <w:contextualSpacing/>
        <w:rPr>
          <w:rFonts w:ascii="Arial" w:hAnsi="Arial" w:cs="Arial"/>
          <w:b/>
          <w:i/>
          <w:sz w:val="22"/>
          <w:szCs w:val="22"/>
        </w:rPr>
      </w:pPr>
    </w:p>
    <w:p w14:paraId="22BB8CF1" w14:textId="77777777" w:rsidR="00330E8F" w:rsidRDefault="00330E8F" w:rsidP="007C4955">
      <w:pPr>
        <w:pStyle w:val="Zkladntext"/>
        <w:spacing w:line="240" w:lineRule="auto"/>
        <w:ind w:firstLine="0"/>
        <w:contextualSpacing/>
        <w:rPr>
          <w:rFonts w:ascii="Arial" w:hAnsi="Arial" w:cs="Arial"/>
          <w:b/>
          <w:i/>
          <w:sz w:val="22"/>
          <w:szCs w:val="22"/>
        </w:rPr>
      </w:pPr>
    </w:p>
    <w:p w14:paraId="6AF6B101" w14:textId="77777777" w:rsidR="00330E8F" w:rsidRDefault="00330E8F" w:rsidP="007C4955">
      <w:pPr>
        <w:pStyle w:val="Zkladntext"/>
        <w:spacing w:line="240" w:lineRule="auto"/>
        <w:ind w:firstLine="0"/>
        <w:contextualSpacing/>
        <w:rPr>
          <w:rFonts w:ascii="Arial" w:hAnsi="Arial" w:cs="Arial"/>
          <w:b/>
          <w:i/>
          <w:sz w:val="22"/>
          <w:szCs w:val="22"/>
        </w:rPr>
      </w:pPr>
    </w:p>
    <w:p w14:paraId="0CF41E8C" w14:textId="77777777" w:rsidR="00330E8F" w:rsidRDefault="00330E8F" w:rsidP="007C4955">
      <w:pPr>
        <w:pStyle w:val="Zkladntext"/>
        <w:spacing w:line="240" w:lineRule="auto"/>
        <w:ind w:firstLine="0"/>
        <w:contextualSpacing/>
        <w:rPr>
          <w:rFonts w:ascii="Arial" w:hAnsi="Arial" w:cs="Arial"/>
          <w:b/>
          <w:i/>
          <w:sz w:val="22"/>
          <w:szCs w:val="22"/>
        </w:rPr>
      </w:pPr>
    </w:p>
    <w:p w14:paraId="40543DE3" w14:textId="77777777" w:rsidR="00330E8F" w:rsidRDefault="00330E8F" w:rsidP="007C4955">
      <w:pPr>
        <w:pStyle w:val="Zkladntext"/>
        <w:spacing w:line="240" w:lineRule="auto"/>
        <w:ind w:firstLine="0"/>
        <w:contextualSpacing/>
        <w:rPr>
          <w:rFonts w:ascii="Arial" w:hAnsi="Arial" w:cs="Arial"/>
          <w:b/>
          <w:i/>
          <w:sz w:val="22"/>
          <w:szCs w:val="22"/>
        </w:rPr>
      </w:pPr>
    </w:p>
    <w:p w14:paraId="2396CBA9" w14:textId="77777777" w:rsidR="00330E8F" w:rsidRDefault="00330E8F" w:rsidP="007C4955">
      <w:pPr>
        <w:pStyle w:val="Zkladntext"/>
        <w:spacing w:line="240" w:lineRule="auto"/>
        <w:ind w:firstLine="0"/>
        <w:contextualSpacing/>
        <w:rPr>
          <w:rFonts w:ascii="Arial" w:hAnsi="Arial" w:cs="Arial"/>
          <w:b/>
          <w:i/>
          <w:sz w:val="22"/>
          <w:szCs w:val="22"/>
        </w:rPr>
      </w:pPr>
    </w:p>
    <w:p w14:paraId="59BBEFF0" w14:textId="77777777" w:rsidR="00330E8F" w:rsidRDefault="00330E8F" w:rsidP="007C4955">
      <w:pPr>
        <w:pStyle w:val="Zkladntext"/>
        <w:spacing w:line="240" w:lineRule="auto"/>
        <w:ind w:firstLine="0"/>
        <w:contextualSpacing/>
        <w:rPr>
          <w:rFonts w:ascii="Arial" w:hAnsi="Arial" w:cs="Arial"/>
          <w:b/>
          <w:i/>
          <w:sz w:val="22"/>
          <w:szCs w:val="22"/>
        </w:rPr>
      </w:pPr>
    </w:p>
    <w:p w14:paraId="416F5F98" w14:textId="77777777" w:rsidR="00330E8F" w:rsidRDefault="00330E8F" w:rsidP="007C4955">
      <w:pPr>
        <w:pStyle w:val="Zkladntext"/>
        <w:spacing w:line="240" w:lineRule="auto"/>
        <w:ind w:firstLine="0"/>
        <w:contextualSpacing/>
        <w:rPr>
          <w:rFonts w:ascii="Arial" w:hAnsi="Arial" w:cs="Arial"/>
          <w:b/>
          <w:i/>
          <w:sz w:val="22"/>
          <w:szCs w:val="22"/>
        </w:rPr>
      </w:pPr>
    </w:p>
    <w:p w14:paraId="18404D52" w14:textId="19F0AED2" w:rsidR="00AF2B22" w:rsidRPr="00F13797" w:rsidRDefault="00AF2B22" w:rsidP="007C4955">
      <w:pPr>
        <w:pStyle w:val="Zkladntext"/>
        <w:spacing w:line="240" w:lineRule="auto"/>
        <w:ind w:firstLine="0"/>
        <w:contextualSpacing/>
        <w:rPr>
          <w:rFonts w:ascii="Arial" w:hAnsi="Arial" w:cs="Arial"/>
          <w:b/>
          <w:i/>
          <w:sz w:val="22"/>
          <w:szCs w:val="22"/>
        </w:rPr>
      </w:pPr>
      <w:r w:rsidRPr="00F13797">
        <w:rPr>
          <w:rFonts w:ascii="Arial" w:hAnsi="Arial" w:cs="Arial"/>
          <w:b/>
          <w:i/>
          <w:sz w:val="22"/>
          <w:szCs w:val="22"/>
        </w:rPr>
        <w:t xml:space="preserve">Tabulka </w:t>
      </w:r>
      <w:r w:rsidR="008F5302" w:rsidRPr="00F13797">
        <w:rPr>
          <w:rFonts w:ascii="Arial" w:hAnsi="Arial" w:cs="Arial"/>
          <w:b/>
          <w:i/>
          <w:sz w:val="22"/>
          <w:szCs w:val="22"/>
        </w:rPr>
        <w:t>11</w:t>
      </w:r>
      <w:r w:rsidRPr="00F13797">
        <w:rPr>
          <w:rFonts w:ascii="Arial" w:hAnsi="Arial" w:cs="Arial"/>
          <w:b/>
          <w:i/>
          <w:sz w:val="22"/>
          <w:szCs w:val="22"/>
        </w:rPr>
        <w:t>.1.1.</w:t>
      </w:r>
      <w:r w:rsidR="009B4EBD">
        <w:rPr>
          <w:rFonts w:ascii="Arial" w:hAnsi="Arial" w:cs="Arial"/>
          <w:b/>
          <w:i/>
          <w:sz w:val="22"/>
          <w:szCs w:val="22"/>
        </w:rPr>
        <w:t>5</w:t>
      </w:r>
      <w:r w:rsidRPr="00F13797">
        <w:rPr>
          <w:rFonts w:ascii="Arial" w:hAnsi="Arial" w:cs="Arial"/>
          <w:b/>
          <w:i/>
          <w:sz w:val="22"/>
          <w:szCs w:val="22"/>
        </w:rPr>
        <w:t xml:space="preserve">  </w:t>
      </w:r>
    </w:p>
    <w:p w14:paraId="41693272" w14:textId="636A7AD4" w:rsidR="006318DF" w:rsidRPr="00F13797" w:rsidRDefault="006318DF" w:rsidP="007C4955">
      <w:pPr>
        <w:pStyle w:val="Zkladntext"/>
        <w:spacing w:line="240" w:lineRule="auto"/>
        <w:ind w:firstLine="0"/>
        <w:contextualSpacing/>
        <w:rPr>
          <w:rFonts w:ascii="Arial" w:hAnsi="Arial" w:cs="Arial"/>
          <w:b/>
          <w:i/>
          <w:sz w:val="22"/>
          <w:szCs w:val="22"/>
        </w:rPr>
      </w:pPr>
      <w:r w:rsidRPr="00F13797">
        <w:rPr>
          <w:rFonts w:ascii="Arial" w:hAnsi="Arial" w:cs="Arial"/>
          <w:b/>
          <w:i/>
          <w:sz w:val="22"/>
          <w:szCs w:val="22"/>
        </w:rPr>
        <w:t>Vývoj státní podpory výstavby vodovodů, úpraven vod, kanalizací a čistíren odpadních vod v rámci Ministerstva zemědělství v letech 201</w:t>
      </w:r>
      <w:r w:rsidR="0025583C" w:rsidRPr="00F13797">
        <w:rPr>
          <w:rFonts w:ascii="Arial" w:hAnsi="Arial" w:cs="Arial"/>
          <w:b/>
          <w:i/>
          <w:sz w:val="22"/>
          <w:szCs w:val="22"/>
        </w:rPr>
        <w:t>8</w:t>
      </w:r>
      <w:r w:rsidRPr="00F13797">
        <w:rPr>
          <w:rFonts w:ascii="Arial" w:hAnsi="Arial" w:cs="Arial"/>
          <w:b/>
          <w:i/>
          <w:sz w:val="22"/>
          <w:szCs w:val="22"/>
        </w:rPr>
        <w:t>–202</w:t>
      </w:r>
      <w:r w:rsidR="005074F1">
        <w:rPr>
          <w:rFonts w:ascii="Arial" w:hAnsi="Arial" w:cs="Arial"/>
          <w:b/>
          <w:i/>
          <w:sz w:val="22"/>
          <w:szCs w:val="22"/>
        </w:rPr>
        <w:t>5</w:t>
      </w:r>
    </w:p>
    <w:tbl>
      <w:tblPr>
        <w:tblW w:w="11170" w:type="dxa"/>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07"/>
        <w:gridCol w:w="851"/>
        <w:gridCol w:w="1134"/>
        <w:gridCol w:w="1134"/>
        <w:gridCol w:w="1134"/>
        <w:gridCol w:w="992"/>
        <w:gridCol w:w="1134"/>
        <w:gridCol w:w="992"/>
        <w:gridCol w:w="992"/>
      </w:tblGrid>
      <w:tr w:rsidR="00AF0627" w:rsidRPr="00F13797" w14:paraId="5234825E" w14:textId="26C489CA" w:rsidTr="00AF0627">
        <w:trPr>
          <w:trHeight w:val="218"/>
        </w:trPr>
        <w:tc>
          <w:tcPr>
            <w:tcW w:w="2807" w:type="dxa"/>
            <w:vMerge w:val="restart"/>
            <w:shd w:val="clear" w:color="auto" w:fill="BFBFBF"/>
            <w:vAlign w:val="center"/>
          </w:tcPr>
          <w:p w14:paraId="1F47E94B" w14:textId="77777777" w:rsidR="00AF0627" w:rsidRPr="00F13797" w:rsidRDefault="00AF0627" w:rsidP="007C4955">
            <w:pPr>
              <w:contextualSpacing/>
              <w:jc w:val="left"/>
              <w:rPr>
                <w:rFonts w:cs="Arial"/>
                <w:b/>
                <w:sz w:val="20"/>
                <w:szCs w:val="20"/>
              </w:rPr>
            </w:pPr>
            <w:r w:rsidRPr="00F13797">
              <w:rPr>
                <w:rFonts w:cs="Arial"/>
                <w:b/>
                <w:sz w:val="20"/>
                <w:szCs w:val="20"/>
              </w:rPr>
              <w:t>Finanční zdroj</w:t>
            </w:r>
          </w:p>
        </w:tc>
        <w:tc>
          <w:tcPr>
            <w:tcW w:w="851" w:type="dxa"/>
            <w:shd w:val="clear" w:color="auto" w:fill="BFBFBF"/>
            <w:vAlign w:val="center"/>
          </w:tcPr>
          <w:p w14:paraId="24CD9E44" w14:textId="12F9E9BF" w:rsidR="00AF0627" w:rsidRPr="00F13797" w:rsidRDefault="00AF0627" w:rsidP="007C4955">
            <w:pPr>
              <w:contextualSpacing/>
              <w:jc w:val="center"/>
              <w:rPr>
                <w:rFonts w:cs="Arial"/>
                <w:b/>
                <w:sz w:val="18"/>
                <w:szCs w:val="18"/>
              </w:rPr>
            </w:pPr>
            <w:r w:rsidRPr="00F13797">
              <w:rPr>
                <w:rFonts w:cs="Arial"/>
                <w:b/>
                <w:sz w:val="18"/>
                <w:szCs w:val="18"/>
              </w:rPr>
              <w:t>2018</w:t>
            </w:r>
          </w:p>
        </w:tc>
        <w:tc>
          <w:tcPr>
            <w:tcW w:w="1134" w:type="dxa"/>
            <w:shd w:val="clear" w:color="auto" w:fill="BFBFBF"/>
            <w:vAlign w:val="center"/>
          </w:tcPr>
          <w:p w14:paraId="7F3D5D22" w14:textId="58DBF37E" w:rsidR="00AF0627" w:rsidRPr="00F13797" w:rsidRDefault="00AF0627" w:rsidP="007C4955">
            <w:pPr>
              <w:contextualSpacing/>
              <w:jc w:val="center"/>
              <w:rPr>
                <w:rFonts w:cs="Arial"/>
                <w:b/>
                <w:sz w:val="18"/>
                <w:szCs w:val="18"/>
              </w:rPr>
            </w:pPr>
            <w:r w:rsidRPr="00F13797">
              <w:rPr>
                <w:rFonts w:cs="Arial"/>
                <w:b/>
                <w:sz w:val="18"/>
                <w:szCs w:val="18"/>
              </w:rPr>
              <w:t>2019</w:t>
            </w:r>
          </w:p>
        </w:tc>
        <w:tc>
          <w:tcPr>
            <w:tcW w:w="1134" w:type="dxa"/>
            <w:shd w:val="clear" w:color="auto" w:fill="BFBFBF"/>
            <w:vAlign w:val="center"/>
          </w:tcPr>
          <w:p w14:paraId="702AD7A9" w14:textId="150878C8" w:rsidR="00AF0627" w:rsidRPr="00F13797" w:rsidRDefault="00AF0627" w:rsidP="007C4955">
            <w:pPr>
              <w:contextualSpacing/>
              <w:jc w:val="center"/>
              <w:rPr>
                <w:rFonts w:cs="Arial"/>
                <w:b/>
                <w:sz w:val="18"/>
                <w:szCs w:val="18"/>
              </w:rPr>
            </w:pPr>
            <w:r w:rsidRPr="00F13797">
              <w:rPr>
                <w:rFonts w:cs="Arial"/>
                <w:b/>
                <w:sz w:val="18"/>
                <w:szCs w:val="18"/>
              </w:rPr>
              <w:t>2020</w:t>
            </w:r>
          </w:p>
        </w:tc>
        <w:tc>
          <w:tcPr>
            <w:tcW w:w="1134" w:type="dxa"/>
            <w:shd w:val="clear" w:color="auto" w:fill="BFBFBF"/>
            <w:vAlign w:val="center"/>
          </w:tcPr>
          <w:p w14:paraId="36A06768" w14:textId="1B1F209D" w:rsidR="00AF0627" w:rsidRPr="00F13797" w:rsidRDefault="00AF0627" w:rsidP="007C4955">
            <w:pPr>
              <w:contextualSpacing/>
              <w:jc w:val="center"/>
              <w:rPr>
                <w:rFonts w:cs="Arial"/>
                <w:b/>
                <w:sz w:val="18"/>
                <w:szCs w:val="18"/>
              </w:rPr>
            </w:pPr>
            <w:r w:rsidRPr="00F13797">
              <w:rPr>
                <w:rFonts w:cs="Arial"/>
                <w:b/>
                <w:sz w:val="18"/>
                <w:szCs w:val="18"/>
              </w:rPr>
              <w:t>2021</w:t>
            </w:r>
          </w:p>
        </w:tc>
        <w:tc>
          <w:tcPr>
            <w:tcW w:w="992" w:type="dxa"/>
            <w:shd w:val="clear" w:color="auto" w:fill="BFBFBF"/>
            <w:vAlign w:val="center"/>
          </w:tcPr>
          <w:p w14:paraId="42ABC1BF" w14:textId="7EBEE7B5" w:rsidR="00AF0627" w:rsidRPr="00F13797" w:rsidRDefault="00AF0627" w:rsidP="007C4955">
            <w:pPr>
              <w:contextualSpacing/>
              <w:jc w:val="center"/>
              <w:rPr>
                <w:rFonts w:cs="Arial"/>
                <w:b/>
                <w:sz w:val="18"/>
                <w:szCs w:val="18"/>
              </w:rPr>
            </w:pPr>
            <w:r w:rsidRPr="00F13797">
              <w:rPr>
                <w:rFonts w:cs="Arial"/>
                <w:b/>
                <w:sz w:val="18"/>
                <w:szCs w:val="18"/>
              </w:rPr>
              <w:t>2022</w:t>
            </w:r>
          </w:p>
        </w:tc>
        <w:tc>
          <w:tcPr>
            <w:tcW w:w="1134" w:type="dxa"/>
            <w:shd w:val="clear" w:color="auto" w:fill="BFBFBF"/>
          </w:tcPr>
          <w:p w14:paraId="3F8BABCE" w14:textId="345DC9D1" w:rsidR="00AF0627" w:rsidRPr="00F13797" w:rsidRDefault="00AF0627" w:rsidP="007C4955">
            <w:pPr>
              <w:contextualSpacing/>
              <w:jc w:val="center"/>
              <w:rPr>
                <w:rFonts w:cs="Arial"/>
                <w:b/>
                <w:sz w:val="18"/>
                <w:szCs w:val="18"/>
              </w:rPr>
            </w:pPr>
            <w:r w:rsidRPr="00F13797">
              <w:rPr>
                <w:rFonts w:cs="Arial"/>
                <w:b/>
                <w:sz w:val="18"/>
                <w:szCs w:val="18"/>
              </w:rPr>
              <w:t>2023</w:t>
            </w:r>
          </w:p>
        </w:tc>
        <w:tc>
          <w:tcPr>
            <w:tcW w:w="992" w:type="dxa"/>
            <w:shd w:val="clear" w:color="auto" w:fill="BFBFBF"/>
          </w:tcPr>
          <w:p w14:paraId="39C5A145" w14:textId="5D0E1D7C" w:rsidR="00AF0627" w:rsidRPr="00F13797" w:rsidRDefault="00AF0627" w:rsidP="007C4955">
            <w:pPr>
              <w:contextualSpacing/>
              <w:jc w:val="center"/>
              <w:rPr>
                <w:rFonts w:cs="Arial"/>
                <w:b/>
                <w:sz w:val="18"/>
                <w:szCs w:val="18"/>
              </w:rPr>
            </w:pPr>
            <w:r w:rsidRPr="00F13797">
              <w:rPr>
                <w:rFonts w:cs="Arial"/>
                <w:b/>
                <w:sz w:val="18"/>
                <w:szCs w:val="18"/>
              </w:rPr>
              <w:t>2024</w:t>
            </w:r>
          </w:p>
        </w:tc>
        <w:tc>
          <w:tcPr>
            <w:tcW w:w="992" w:type="dxa"/>
            <w:shd w:val="clear" w:color="auto" w:fill="BFBFBF"/>
          </w:tcPr>
          <w:p w14:paraId="5CE6CC65" w14:textId="70A0ED17" w:rsidR="00AF0627" w:rsidRPr="00F13797" w:rsidRDefault="00AF0627" w:rsidP="007C4955">
            <w:pPr>
              <w:contextualSpacing/>
              <w:jc w:val="center"/>
              <w:rPr>
                <w:rFonts w:cs="Arial"/>
                <w:b/>
                <w:sz w:val="18"/>
                <w:szCs w:val="18"/>
              </w:rPr>
            </w:pPr>
            <w:r w:rsidRPr="00F13797">
              <w:rPr>
                <w:rFonts w:cs="Arial"/>
                <w:b/>
                <w:sz w:val="18"/>
                <w:szCs w:val="18"/>
              </w:rPr>
              <w:t>2025</w:t>
            </w:r>
          </w:p>
        </w:tc>
      </w:tr>
      <w:tr w:rsidR="00AF0627" w:rsidRPr="00F13797" w14:paraId="26607500" w14:textId="759C94AA" w:rsidTr="007A16FA">
        <w:trPr>
          <w:trHeight w:val="218"/>
        </w:trPr>
        <w:tc>
          <w:tcPr>
            <w:tcW w:w="2807" w:type="dxa"/>
            <w:vMerge/>
            <w:shd w:val="clear" w:color="auto" w:fill="BFBFBF"/>
            <w:vAlign w:val="center"/>
          </w:tcPr>
          <w:p w14:paraId="437A4303" w14:textId="77777777" w:rsidR="00AF0627" w:rsidRPr="00F13797" w:rsidRDefault="00AF0627" w:rsidP="007C4955">
            <w:pPr>
              <w:contextualSpacing/>
              <w:jc w:val="left"/>
              <w:rPr>
                <w:rFonts w:cs="Arial"/>
                <w:b/>
                <w:sz w:val="20"/>
                <w:szCs w:val="20"/>
              </w:rPr>
            </w:pPr>
          </w:p>
        </w:tc>
        <w:tc>
          <w:tcPr>
            <w:tcW w:w="8363" w:type="dxa"/>
            <w:gridSpan w:val="8"/>
            <w:shd w:val="clear" w:color="auto" w:fill="BFBFBF"/>
            <w:vAlign w:val="center"/>
          </w:tcPr>
          <w:p w14:paraId="13003725" w14:textId="2F6BA586" w:rsidR="00AF0627" w:rsidRPr="00F13797" w:rsidRDefault="00AF0627" w:rsidP="007C4955">
            <w:pPr>
              <w:contextualSpacing/>
              <w:jc w:val="center"/>
              <w:rPr>
                <w:rFonts w:cs="Arial"/>
                <w:b/>
                <w:sz w:val="20"/>
                <w:szCs w:val="20"/>
              </w:rPr>
            </w:pPr>
            <w:r w:rsidRPr="00F13797">
              <w:rPr>
                <w:rFonts w:cs="Arial"/>
                <w:b/>
                <w:sz w:val="20"/>
                <w:szCs w:val="20"/>
              </w:rPr>
              <w:t>mil. Kč</w:t>
            </w:r>
          </w:p>
        </w:tc>
      </w:tr>
      <w:tr w:rsidR="00F13797" w:rsidRPr="00F13797" w14:paraId="1316D400" w14:textId="53381EF4" w:rsidTr="00DB4C77">
        <w:trPr>
          <w:trHeight w:val="218"/>
        </w:trPr>
        <w:tc>
          <w:tcPr>
            <w:tcW w:w="2807" w:type="dxa"/>
            <w:vAlign w:val="center"/>
          </w:tcPr>
          <w:p w14:paraId="5D755944" w14:textId="018E0288" w:rsidR="00F13797" w:rsidRPr="00F13797" w:rsidRDefault="00F13797" w:rsidP="00F13797">
            <w:pPr>
              <w:contextualSpacing/>
              <w:jc w:val="left"/>
              <w:rPr>
                <w:rFonts w:cs="Arial"/>
                <w:sz w:val="20"/>
                <w:szCs w:val="20"/>
              </w:rPr>
            </w:pPr>
            <w:r w:rsidRPr="00F13797">
              <w:rPr>
                <w:rFonts w:cs="Arial"/>
                <w:sz w:val="20"/>
                <w:szCs w:val="20"/>
              </w:rPr>
              <w:t>Návratná finanční výpomoc</w:t>
            </w:r>
          </w:p>
        </w:tc>
        <w:tc>
          <w:tcPr>
            <w:tcW w:w="851" w:type="dxa"/>
            <w:vAlign w:val="center"/>
          </w:tcPr>
          <w:p w14:paraId="79EE5E7D" w14:textId="595EC582" w:rsidR="00F13797" w:rsidRPr="00F13797" w:rsidRDefault="00F13797" w:rsidP="00F13797">
            <w:pPr>
              <w:contextualSpacing/>
              <w:jc w:val="center"/>
              <w:rPr>
                <w:rFonts w:eastAsia="Arial Unicode MS" w:cs="Arial"/>
                <w:sz w:val="18"/>
                <w:szCs w:val="18"/>
              </w:rPr>
            </w:pPr>
            <w:r w:rsidRPr="00F13797">
              <w:rPr>
                <w:rFonts w:cs="Arial"/>
                <w:sz w:val="18"/>
                <w:szCs w:val="18"/>
              </w:rPr>
              <w:t>0</w:t>
            </w:r>
          </w:p>
        </w:tc>
        <w:tc>
          <w:tcPr>
            <w:tcW w:w="1134" w:type="dxa"/>
            <w:vAlign w:val="center"/>
          </w:tcPr>
          <w:p w14:paraId="48ABEAFA" w14:textId="61EC78D6" w:rsidR="00F13797" w:rsidRPr="00F13797" w:rsidRDefault="00F13797" w:rsidP="00F13797">
            <w:pPr>
              <w:contextualSpacing/>
              <w:jc w:val="center"/>
              <w:rPr>
                <w:rFonts w:eastAsia="Arial Unicode MS" w:cs="Arial"/>
                <w:sz w:val="18"/>
                <w:szCs w:val="18"/>
              </w:rPr>
            </w:pPr>
            <w:r w:rsidRPr="00F13797">
              <w:rPr>
                <w:rFonts w:cs="Arial"/>
                <w:sz w:val="18"/>
                <w:szCs w:val="18"/>
              </w:rPr>
              <w:t>0</w:t>
            </w:r>
          </w:p>
        </w:tc>
        <w:tc>
          <w:tcPr>
            <w:tcW w:w="1134" w:type="dxa"/>
            <w:vAlign w:val="center"/>
          </w:tcPr>
          <w:p w14:paraId="0662658C" w14:textId="25BB0FBE" w:rsidR="00F13797" w:rsidRPr="00F13797" w:rsidRDefault="00F13797" w:rsidP="00F13797">
            <w:pPr>
              <w:contextualSpacing/>
              <w:jc w:val="center"/>
              <w:rPr>
                <w:rFonts w:cs="Arial"/>
                <w:sz w:val="18"/>
                <w:szCs w:val="18"/>
              </w:rPr>
            </w:pPr>
            <w:r w:rsidRPr="00F13797">
              <w:rPr>
                <w:rFonts w:cs="Arial"/>
                <w:sz w:val="18"/>
                <w:szCs w:val="18"/>
              </w:rPr>
              <w:t>0</w:t>
            </w:r>
          </w:p>
        </w:tc>
        <w:tc>
          <w:tcPr>
            <w:tcW w:w="1134" w:type="dxa"/>
            <w:vAlign w:val="center"/>
          </w:tcPr>
          <w:p w14:paraId="07DE4E7B" w14:textId="015AD9FE" w:rsidR="00F13797" w:rsidRPr="00F13797" w:rsidRDefault="00F13797" w:rsidP="00F13797">
            <w:pPr>
              <w:contextualSpacing/>
              <w:jc w:val="center"/>
              <w:rPr>
                <w:rFonts w:cs="Arial"/>
                <w:sz w:val="18"/>
                <w:szCs w:val="18"/>
              </w:rPr>
            </w:pPr>
            <w:r w:rsidRPr="00F13797">
              <w:rPr>
                <w:rFonts w:cs="Arial"/>
                <w:sz w:val="18"/>
                <w:szCs w:val="18"/>
              </w:rPr>
              <w:t>0</w:t>
            </w:r>
          </w:p>
        </w:tc>
        <w:tc>
          <w:tcPr>
            <w:tcW w:w="992" w:type="dxa"/>
            <w:vAlign w:val="center"/>
          </w:tcPr>
          <w:p w14:paraId="76757502" w14:textId="11299780" w:rsidR="00F13797" w:rsidRPr="00F13797" w:rsidRDefault="00F13797" w:rsidP="00F13797">
            <w:pPr>
              <w:contextualSpacing/>
              <w:jc w:val="center"/>
              <w:rPr>
                <w:rFonts w:cs="Arial"/>
                <w:sz w:val="18"/>
                <w:szCs w:val="18"/>
              </w:rPr>
            </w:pPr>
            <w:r w:rsidRPr="00F13797">
              <w:rPr>
                <w:rFonts w:cs="Arial"/>
                <w:sz w:val="18"/>
                <w:szCs w:val="18"/>
              </w:rPr>
              <w:t>0</w:t>
            </w:r>
          </w:p>
        </w:tc>
        <w:tc>
          <w:tcPr>
            <w:tcW w:w="1134" w:type="dxa"/>
            <w:vAlign w:val="center"/>
          </w:tcPr>
          <w:p w14:paraId="2EAB0010" w14:textId="053402DB" w:rsidR="00F13797" w:rsidRPr="00F13797" w:rsidRDefault="00F13797" w:rsidP="00F13797">
            <w:pPr>
              <w:contextualSpacing/>
              <w:jc w:val="center"/>
              <w:rPr>
                <w:rFonts w:cs="Arial"/>
                <w:sz w:val="18"/>
                <w:szCs w:val="18"/>
              </w:rPr>
            </w:pPr>
            <w:r w:rsidRPr="00F13797">
              <w:rPr>
                <w:rFonts w:cs="Arial"/>
                <w:sz w:val="18"/>
                <w:szCs w:val="18"/>
              </w:rPr>
              <w:t>0</w:t>
            </w:r>
          </w:p>
        </w:tc>
        <w:tc>
          <w:tcPr>
            <w:tcW w:w="992" w:type="dxa"/>
          </w:tcPr>
          <w:p w14:paraId="63F4CCF5" w14:textId="2F60346D" w:rsidR="00F13797" w:rsidRPr="00F13797" w:rsidRDefault="00F13797" w:rsidP="00F13797">
            <w:pPr>
              <w:contextualSpacing/>
              <w:jc w:val="center"/>
              <w:rPr>
                <w:rFonts w:cs="Arial"/>
                <w:sz w:val="18"/>
                <w:szCs w:val="18"/>
              </w:rPr>
            </w:pPr>
            <w:r w:rsidRPr="00F13797">
              <w:rPr>
                <w:rFonts w:cs="Arial"/>
                <w:sz w:val="18"/>
                <w:szCs w:val="18"/>
              </w:rPr>
              <w:t>0</w:t>
            </w:r>
          </w:p>
        </w:tc>
        <w:tc>
          <w:tcPr>
            <w:tcW w:w="992" w:type="dxa"/>
            <w:vAlign w:val="center"/>
          </w:tcPr>
          <w:p w14:paraId="2B084FF5" w14:textId="2F963735" w:rsidR="00F13797" w:rsidRPr="00F13797" w:rsidRDefault="00F13797" w:rsidP="00F13797">
            <w:pPr>
              <w:contextualSpacing/>
              <w:jc w:val="center"/>
              <w:rPr>
                <w:rFonts w:cs="Arial"/>
                <w:sz w:val="18"/>
                <w:szCs w:val="18"/>
              </w:rPr>
            </w:pPr>
            <w:r w:rsidRPr="00F13797">
              <w:rPr>
                <w:rFonts w:cs="Arial"/>
                <w:sz w:val="18"/>
                <w:szCs w:val="18"/>
              </w:rPr>
              <w:t>0</w:t>
            </w:r>
          </w:p>
        </w:tc>
      </w:tr>
      <w:tr w:rsidR="00F13797" w:rsidRPr="00F13797" w14:paraId="331FC8C3" w14:textId="2E81B4BC" w:rsidTr="00DB4C77">
        <w:trPr>
          <w:trHeight w:val="218"/>
        </w:trPr>
        <w:tc>
          <w:tcPr>
            <w:tcW w:w="2807" w:type="dxa"/>
            <w:vAlign w:val="center"/>
          </w:tcPr>
          <w:p w14:paraId="6DCFCAA8" w14:textId="77777777" w:rsidR="00F13797" w:rsidRPr="00F13797" w:rsidRDefault="00F13797" w:rsidP="00F13797">
            <w:pPr>
              <w:contextualSpacing/>
              <w:jc w:val="left"/>
              <w:rPr>
                <w:rFonts w:cs="Arial"/>
                <w:sz w:val="20"/>
                <w:szCs w:val="20"/>
              </w:rPr>
            </w:pPr>
            <w:r w:rsidRPr="00F13797">
              <w:rPr>
                <w:rFonts w:cs="Arial"/>
                <w:sz w:val="20"/>
                <w:szCs w:val="20"/>
              </w:rPr>
              <w:t xml:space="preserve"> Dotace státního rozpočtu</w:t>
            </w:r>
          </w:p>
        </w:tc>
        <w:tc>
          <w:tcPr>
            <w:tcW w:w="851" w:type="dxa"/>
            <w:vAlign w:val="center"/>
          </w:tcPr>
          <w:p w14:paraId="579E73E2" w14:textId="0AB26904" w:rsidR="00F13797" w:rsidRPr="00F13797" w:rsidRDefault="00F13797" w:rsidP="00F13797">
            <w:pPr>
              <w:contextualSpacing/>
              <w:jc w:val="center"/>
              <w:rPr>
                <w:rFonts w:cs="Arial"/>
                <w:sz w:val="18"/>
                <w:szCs w:val="18"/>
              </w:rPr>
            </w:pPr>
            <w:r w:rsidRPr="00F13797">
              <w:rPr>
                <w:rFonts w:cs="Arial"/>
                <w:b/>
                <w:sz w:val="18"/>
                <w:szCs w:val="18"/>
              </w:rPr>
              <w:t>597</w:t>
            </w:r>
          </w:p>
        </w:tc>
        <w:tc>
          <w:tcPr>
            <w:tcW w:w="1134" w:type="dxa"/>
            <w:vAlign w:val="center"/>
          </w:tcPr>
          <w:p w14:paraId="74D091D2" w14:textId="5AF3CF92" w:rsidR="00F13797" w:rsidRPr="00F13797" w:rsidRDefault="00F13797" w:rsidP="00F13797">
            <w:pPr>
              <w:contextualSpacing/>
              <w:jc w:val="center"/>
              <w:rPr>
                <w:rFonts w:cs="Arial"/>
                <w:sz w:val="18"/>
                <w:szCs w:val="18"/>
              </w:rPr>
            </w:pPr>
            <w:r w:rsidRPr="00F13797">
              <w:rPr>
                <w:rFonts w:cs="Arial"/>
                <w:b/>
                <w:sz w:val="18"/>
                <w:szCs w:val="18"/>
              </w:rPr>
              <w:t>974</w:t>
            </w:r>
          </w:p>
        </w:tc>
        <w:tc>
          <w:tcPr>
            <w:tcW w:w="1134" w:type="dxa"/>
            <w:vAlign w:val="center"/>
          </w:tcPr>
          <w:p w14:paraId="007714A3" w14:textId="796659DF" w:rsidR="00F13797" w:rsidRPr="00F13797" w:rsidRDefault="00F13797" w:rsidP="00F13797">
            <w:pPr>
              <w:contextualSpacing/>
              <w:jc w:val="center"/>
              <w:rPr>
                <w:rFonts w:cs="Arial"/>
                <w:sz w:val="18"/>
                <w:szCs w:val="18"/>
              </w:rPr>
            </w:pPr>
            <w:r w:rsidRPr="00F13797">
              <w:rPr>
                <w:rFonts w:cs="Arial"/>
                <w:b/>
                <w:sz w:val="18"/>
                <w:szCs w:val="18"/>
              </w:rPr>
              <w:t>1 087</w:t>
            </w:r>
          </w:p>
        </w:tc>
        <w:tc>
          <w:tcPr>
            <w:tcW w:w="1134" w:type="dxa"/>
            <w:vAlign w:val="center"/>
          </w:tcPr>
          <w:p w14:paraId="735F61B1" w14:textId="264F5674" w:rsidR="00F13797" w:rsidRPr="00F13797" w:rsidRDefault="00F13797" w:rsidP="00F13797">
            <w:pPr>
              <w:contextualSpacing/>
              <w:jc w:val="center"/>
              <w:rPr>
                <w:rFonts w:cs="Arial"/>
                <w:sz w:val="18"/>
                <w:szCs w:val="18"/>
              </w:rPr>
            </w:pPr>
            <w:r w:rsidRPr="00F13797">
              <w:rPr>
                <w:rFonts w:cs="Arial"/>
                <w:sz w:val="18"/>
                <w:szCs w:val="18"/>
              </w:rPr>
              <w:t>1 895</w:t>
            </w:r>
          </w:p>
        </w:tc>
        <w:tc>
          <w:tcPr>
            <w:tcW w:w="992" w:type="dxa"/>
            <w:vAlign w:val="center"/>
          </w:tcPr>
          <w:p w14:paraId="2D33B126" w14:textId="41511405" w:rsidR="00F13797" w:rsidRPr="00F13797" w:rsidRDefault="00F13797" w:rsidP="00F13797">
            <w:pPr>
              <w:contextualSpacing/>
              <w:jc w:val="center"/>
              <w:rPr>
                <w:rFonts w:cs="Arial"/>
                <w:sz w:val="18"/>
                <w:szCs w:val="18"/>
              </w:rPr>
            </w:pPr>
            <w:r w:rsidRPr="00F13797">
              <w:rPr>
                <w:rFonts w:cs="Arial"/>
                <w:sz w:val="18"/>
                <w:szCs w:val="18"/>
              </w:rPr>
              <w:t>1 998</w:t>
            </w:r>
          </w:p>
        </w:tc>
        <w:tc>
          <w:tcPr>
            <w:tcW w:w="1134" w:type="dxa"/>
            <w:vAlign w:val="center"/>
          </w:tcPr>
          <w:p w14:paraId="159A835C" w14:textId="375E4D6C" w:rsidR="00F13797" w:rsidRPr="00F13797" w:rsidRDefault="00F13797" w:rsidP="00F13797">
            <w:pPr>
              <w:contextualSpacing/>
              <w:jc w:val="center"/>
              <w:rPr>
                <w:rFonts w:cs="Arial"/>
                <w:sz w:val="18"/>
                <w:szCs w:val="18"/>
              </w:rPr>
            </w:pPr>
            <w:r w:rsidRPr="00F13797">
              <w:rPr>
                <w:rFonts w:cs="Arial"/>
                <w:sz w:val="18"/>
                <w:szCs w:val="18"/>
              </w:rPr>
              <w:t>2 048</w:t>
            </w:r>
          </w:p>
        </w:tc>
        <w:tc>
          <w:tcPr>
            <w:tcW w:w="992" w:type="dxa"/>
          </w:tcPr>
          <w:p w14:paraId="6406D571" w14:textId="764C9262" w:rsidR="00F13797" w:rsidRPr="00F13797" w:rsidRDefault="00F13797" w:rsidP="00F13797">
            <w:pPr>
              <w:contextualSpacing/>
              <w:jc w:val="center"/>
              <w:rPr>
                <w:rFonts w:cs="Arial"/>
                <w:sz w:val="18"/>
                <w:szCs w:val="18"/>
              </w:rPr>
            </w:pPr>
            <w:r w:rsidRPr="00F13797">
              <w:rPr>
                <w:rFonts w:cs="Arial"/>
                <w:sz w:val="18"/>
                <w:szCs w:val="18"/>
              </w:rPr>
              <w:t>1 296</w:t>
            </w:r>
          </w:p>
        </w:tc>
        <w:tc>
          <w:tcPr>
            <w:tcW w:w="992" w:type="dxa"/>
            <w:vAlign w:val="center"/>
          </w:tcPr>
          <w:p w14:paraId="40FF5C46" w14:textId="30D0B1F0" w:rsidR="00F13797" w:rsidRPr="00F13797" w:rsidRDefault="00F13797" w:rsidP="00F13797">
            <w:pPr>
              <w:contextualSpacing/>
              <w:jc w:val="center"/>
              <w:rPr>
                <w:rFonts w:cs="Arial"/>
                <w:sz w:val="18"/>
                <w:szCs w:val="18"/>
              </w:rPr>
            </w:pPr>
            <w:r w:rsidRPr="00F13797">
              <w:rPr>
                <w:rFonts w:cs="Arial"/>
                <w:sz w:val="18"/>
                <w:szCs w:val="18"/>
              </w:rPr>
              <w:t>1 500</w:t>
            </w:r>
          </w:p>
        </w:tc>
      </w:tr>
      <w:tr w:rsidR="00F13797" w:rsidRPr="00F13797" w14:paraId="75ECAA3D" w14:textId="62C8B0C5" w:rsidTr="00DB4C77">
        <w:trPr>
          <w:trHeight w:val="218"/>
        </w:trPr>
        <w:tc>
          <w:tcPr>
            <w:tcW w:w="2807" w:type="dxa"/>
            <w:shd w:val="clear" w:color="auto" w:fill="BFBFBF"/>
            <w:vAlign w:val="center"/>
          </w:tcPr>
          <w:p w14:paraId="65659F07" w14:textId="77777777" w:rsidR="00F13797" w:rsidRPr="00F13797" w:rsidRDefault="00F13797" w:rsidP="00F13797">
            <w:pPr>
              <w:contextualSpacing/>
              <w:jc w:val="left"/>
              <w:rPr>
                <w:rFonts w:cs="Arial"/>
                <w:b/>
                <w:sz w:val="20"/>
                <w:szCs w:val="20"/>
              </w:rPr>
            </w:pPr>
            <w:r w:rsidRPr="00F13797">
              <w:rPr>
                <w:rFonts w:cs="Arial"/>
                <w:sz w:val="20"/>
                <w:szCs w:val="20"/>
              </w:rPr>
              <w:t xml:space="preserve"> </w:t>
            </w:r>
            <w:r w:rsidRPr="00F13797">
              <w:rPr>
                <w:rFonts w:cs="Arial"/>
                <w:b/>
                <w:sz w:val="20"/>
                <w:szCs w:val="20"/>
              </w:rPr>
              <w:t>Podpora státního rozpočtu</w:t>
            </w:r>
          </w:p>
        </w:tc>
        <w:tc>
          <w:tcPr>
            <w:tcW w:w="851" w:type="dxa"/>
            <w:shd w:val="clear" w:color="auto" w:fill="BFBFBF"/>
            <w:vAlign w:val="center"/>
          </w:tcPr>
          <w:p w14:paraId="0692C69C" w14:textId="069D8C29" w:rsidR="00F13797" w:rsidRPr="00F13797" w:rsidRDefault="00F13797" w:rsidP="00F13797">
            <w:pPr>
              <w:contextualSpacing/>
              <w:jc w:val="center"/>
              <w:rPr>
                <w:rFonts w:eastAsia="Arial Unicode MS" w:cs="Arial"/>
                <w:b/>
                <w:sz w:val="18"/>
                <w:szCs w:val="18"/>
              </w:rPr>
            </w:pPr>
            <w:r w:rsidRPr="00F13797">
              <w:rPr>
                <w:rFonts w:cs="Arial"/>
                <w:b/>
                <w:sz w:val="18"/>
                <w:szCs w:val="18"/>
              </w:rPr>
              <w:t>597</w:t>
            </w:r>
          </w:p>
        </w:tc>
        <w:tc>
          <w:tcPr>
            <w:tcW w:w="1134" w:type="dxa"/>
            <w:shd w:val="clear" w:color="auto" w:fill="BFBFBF"/>
            <w:vAlign w:val="center"/>
          </w:tcPr>
          <w:p w14:paraId="47D9F3D6" w14:textId="33B08B12" w:rsidR="00F13797" w:rsidRPr="00F13797" w:rsidRDefault="00F13797" w:rsidP="00F13797">
            <w:pPr>
              <w:contextualSpacing/>
              <w:jc w:val="center"/>
              <w:rPr>
                <w:rFonts w:eastAsia="Arial Unicode MS" w:cs="Arial"/>
                <w:b/>
                <w:sz w:val="18"/>
                <w:szCs w:val="18"/>
              </w:rPr>
            </w:pPr>
            <w:r w:rsidRPr="00F13797">
              <w:rPr>
                <w:rFonts w:cs="Arial"/>
                <w:b/>
                <w:sz w:val="18"/>
                <w:szCs w:val="18"/>
              </w:rPr>
              <w:t>974</w:t>
            </w:r>
          </w:p>
        </w:tc>
        <w:tc>
          <w:tcPr>
            <w:tcW w:w="1134" w:type="dxa"/>
            <w:shd w:val="clear" w:color="auto" w:fill="BFBFBF"/>
            <w:vAlign w:val="center"/>
          </w:tcPr>
          <w:p w14:paraId="0F6C362E" w14:textId="603B349B" w:rsidR="00F13797" w:rsidRPr="00F13797" w:rsidRDefault="00F13797" w:rsidP="00F13797">
            <w:pPr>
              <w:contextualSpacing/>
              <w:jc w:val="center"/>
              <w:rPr>
                <w:rFonts w:eastAsia="Arial Unicode MS" w:cs="Arial"/>
                <w:b/>
                <w:sz w:val="18"/>
                <w:szCs w:val="18"/>
              </w:rPr>
            </w:pPr>
            <w:r w:rsidRPr="00F13797">
              <w:rPr>
                <w:rFonts w:cs="Arial"/>
                <w:b/>
                <w:sz w:val="18"/>
                <w:szCs w:val="18"/>
              </w:rPr>
              <w:t>1 087</w:t>
            </w:r>
          </w:p>
        </w:tc>
        <w:tc>
          <w:tcPr>
            <w:tcW w:w="1134" w:type="dxa"/>
            <w:shd w:val="clear" w:color="auto" w:fill="BFBFBF"/>
            <w:vAlign w:val="center"/>
          </w:tcPr>
          <w:p w14:paraId="45674998" w14:textId="656114CE" w:rsidR="00F13797" w:rsidRPr="00F13797" w:rsidRDefault="00F13797" w:rsidP="00F13797">
            <w:pPr>
              <w:contextualSpacing/>
              <w:jc w:val="center"/>
              <w:rPr>
                <w:rFonts w:eastAsia="Arial Unicode MS" w:cs="Arial"/>
                <w:b/>
                <w:sz w:val="18"/>
                <w:szCs w:val="18"/>
              </w:rPr>
            </w:pPr>
            <w:r w:rsidRPr="00F13797">
              <w:rPr>
                <w:rFonts w:eastAsia="Arial Unicode MS" w:cs="Arial"/>
                <w:b/>
                <w:sz w:val="18"/>
                <w:szCs w:val="18"/>
              </w:rPr>
              <w:t>1 895</w:t>
            </w:r>
          </w:p>
        </w:tc>
        <w:tc>
          <w:tcPr>
            <w:tcW w:w="992" w:type="dxa"/>
            <w:shd w:val="clear" w:color="auto" w:fill="BFBFBF"/>
            <w:vAlign w:val="center"/>
          </w:tcPr>
          <w:p w14:paraId="267F1F9E" w14:textId="2D5470F9" w:rsidR="00F13797" w:rsidRPr="00F13797" w:rsidRDefault="00F13797" w:rsidP="00F13797">
            <w:pPr>
              <w:contextualSpacing/>
              <w:jc w:val="center"/>
              <w:rPr>
                <w:rFonts w:eastAsia="Arial Unicode MS" w:cs="Arial"/>
                <w:b/>
                <w:sz w:val="18"/>
                <w:szCs w:val="18"/>
              </w:rPr>
            </w:pPr>
            <w:r w:rsidRPr="00F13797">
              <w:rPr>
                <w:rFonts w:eastAsia="Arial Unicode MS" w:cs="Arial"/>
                <w:b/>
                <w:sz w:val="18"/>
                <w:szCs w:val="18"/>
              </w:rPr>
              <w:t>1 998</w:t>
            </w:r>
          </w:p>
        </w:tc>
        <w:tc>
          <w:tcPr>
            <w:tcW w:w="1134" w:type="dxa"/>
            <w:shd w:val="clear" w:color="auto" w:fill="BFBFBF"/>
            <w:vAlign w:val="center"/>
          </w:tcPr>
          <w:p w14:paraId="2BF8854B" w14:textId="37CCF51D" w:rsidR="00F13797" w:rsidRPr="00F13797" w:rsidRDefault="00F13797" w:rsidP="00F13797">
            <w:pPr>
              <w:contextualSpacing/>
              <w:jc w:val="center"/>
              <w:rPr>
                <w:rFonts w:eastAsia="Arial Unicode MS" w:cs="Arial"/>
                <w:b/>
                <w:sz w:val="18"/>
                <w:szCs w:val="18"/>
              </w:rPr>
            </w:pPr>
            <w:r w:rsidRPr="00F13797">
              <w:rPr>
                <w:rFonts w:eastAsia="Arial Unicode MS" w:cs="Arial"/>
                <w:b/>
                <w:sz w:val="18"/>
                <w:szCs w:val="18"/>
              </w:rPr>
              <w:t>2 048</w:t>
            </w:r>
          </w:p>
        </w:tc>
        <w:tc>
          <w:tcPr>
            <w:tcW w:w="992" w:type="dxa"/>
            <w:shd w:val="clear" w:color="auto" w:fill="BFBFBF"/>
          </w:tcPr>
          <w:p w14:paraId="52D89323" w14:textId="6DB54678" w:rsidR="00F13797" w:rsidRPr="00F13797" w:rsidRDefault="00F13797" w:rsidP="00F13797">
            <w:pPr>
              <w:contextualSpacing/>
              <w:jc w:val="center"/>
              <w:rPr>
                <w:rFonts w:eastAsia="Arial Unicode MS" w:cs="Arial"/>
                <w:b/>
                <w:sz w:val="18"/>
                <w:szCs w:val="18"/>
              </w:rPr>
            </w:pPr>
            <w:r w:rsidRPr="00F13797">
              <w:rPr>
                <w:rFonts w:eastAsia="Arial Unicode MS" w:cs="Arial"/>
                <w:b/>
                <w:sz w:val="18"/>
                <w:szCs w:val="18"/>
              </w:rPr>
              <w:t>1 296</w:t>
            </w:r>
          </w:p>
        </w:tc>
        <w:tc>
          <w:tcPr>
            <w:tcW w:w="992" w:type="dxa"/>
            <w:shd w:val="clear" w:color="auto" w:fill="BFBFBF"/>
            <w:vAlign w:val="center"/>
          </w:tcPr>
          <w:p w14:paraId="48326702" w14:textId="51471B2E" w:rsidR="00F13797" w:rsidRPr="00F13797" w:rsidRDefault="00F13797" w:rsidP="00F13797">
            <w:pPr>
              <w:contextualSpacing/>
              <w:jc w:val="center"/>
              <w:rPr>
                <w:rFonts w:eastAsia="Arial Unicode MS" w:cs="Arial"/>
                <w:b/>
                <w:sz w:val="18"/>
                <w:szCs w:val="18"/>
              </w:rPr>
            </w:pPr>
            <w:r w:rsidRPr="00F13797">
              <w:rPr>
                <w:rFonts w:eastAsia="Arial Unicode MS" w:cs="Arial"/>
                <w:b/>
                <w:sz w:val="18"/>
                <w:szCs w:val="18"/>
              </w:rPr>
              <w:t>1 500</w:t>
            </w:r>
          </w:p>
        </w:tc>
      </w:tr>
      <w:tr w:rsidR="00F13797" w:rsidRPr="00F13797" w14:paraId="11866C27" w14:textId="6ED0B880" w:rsidTr="00DB4C77">
        <w:trPr>
          <w:trHeight w:val="218"/>
        </w:trPr>
        <w:tc>
          <w:tcPr>
            <w:tcW w:w="2807" w:type="dxa"/>
            <w:vAlign w:val="center"/>
          </w:tcPr>
          <w:p w14:paraId="134BEF0F" w14:textId="1A0CAE99" w:rsidR="00F13797" w:rsidRPr="00F13797" w:rsidRDefault="00F13797" w:rsidP="00F13797">
            <w:pPr>
              <w:contextualSpacing/>
              <w:jc w:val="left"/>
              <w:rPr>
                <w:rFonts w:cs="Arial"/>
                <w:b/>
                <w:sz w:val="20"/>
                <w:szCs w:val="20"/>
              </w:rPr>
            </w:pPr>
            <w:r w:rsidRPr="00F13797">
              <w:rPr>
                <w:rFonts w:cs="Arial"/>
                <w:b/>
                <w:sz w:val="20"/>
                <w:szCs w:val="20"/>
              </w:rPr>
              <w:t xml:space="preserve"> Zvýhodněný úvěr (EIB a CEB)</w:t>
            </w:r>
          </w:p>
        </w:tc>
        <w:tc>
          <w:tcPr>
            <w:tcW w:w="851" w:type="dxa"/>
            <w:vAlign w:val="center"/>
          </w:tcPr>
          <w:p w14:paraId="631EC087" w14:textId="67DABD35" w:rsidR="00F13797" w:rsidRPr="00F13797" w:rsidRDefault="00F13797" w:rsidP="00F13797">
            <w:pPr>
              <w:contextualSpacing/>
              <w:jc w:val="center"/>
              <w:rPr>
                <w:rFonts w:eastAsia="Arial Unicode MS" w:cs="Arial"/>
                <w:sz w:val="18"/>
                <w:szCs w:val="18"/>
              </w:rPr>
            </w:pPr>
            <w:r w:rsidRPr="00F13797">
              <w:rPr>
                <w:rFonts w:eastAsia="Arial Unicode MS" w:cs="Arial"/>
                <w:sz w:val="18"/>
                <w:szCs w:val="18"/>
              </w:rPr>
              <w:t>0</w:t>
            </w:r>
          </w:p>
        </w:tc>
        <w:tc>
          <w:tcPr>
            <w:tcW w:w="1134" w:type="dxa"/>
            <w:vAlign w:val="center"/>
          </w:tcPr>
          <w:p w14:paraId="2DCCF015" w14:textId="17883A89" w:rsidR="00F13797" w:rsidRPr="00F13797" w:rsidRDefault="00F13797" w:rsidP="00F13797">
            <w:pPr>
              <w:contextualSpacing/>
              <w:jc w:val="center"/>
              <w:rPr>
                <w:rFonts w:eastAsia="Arial Unicode MS" w:cs="Arial"/>
                <w:sz w:val="18"/>
                <w:szCs w:val="18"/>
              </w:rPr>
            </w:pPr>
            <w:r w:rsidRPr="00F13797">
              <w:rPr>
                <w:rFonts w:eastAsia="Arial Unicode MS" w:cs="Arial"/>
                <w:sz w:val="18"/>
                <w:szCs w:val="18"/>
              </w:rPr>
              <w:t>0</w:t>
            </w:r>
          </w:p>
        </w:tc>
        <w:tc>
          <w:tcPr>
            <w:tcW w:w="1134" w:type="dxa"/>
            <w:vAlign w:val="center"/>
          </w:tcPr>
          <w:p w14:paraId="2A2324D4" w14:textId="3730E161" w:rsidR="00F13797" w:rsidRPr="00F13797" w:rsidRDefault="00F13797" w:rsidP="00F13797">
            <w:pPr>
              <w:contextualSpacing/>
              <w:jc w:val="center"/>
              <w:rPr>
                <w:rFonts w:eastAsia="Arial Unicode MS" w:cs="Arial"/>
                <w:sz w:val="18"/>
                <w:szCs w:val="18"/>
              </w:rPr>
            </w:pPr>
            <w:r w:rsidRPr="00F13797">
              <w:rPr>
                <w:rFonts w:eastAsia="Arial Unicode MS" w:cs="Arial"/>
                <w:sz w:val="18"/>
                <w:szCs w:val="18"/>
              </w:rPr>
              <w:t>0</w:t>
            </w:r>
          </w:p>
        </w:tc>
        <w:tc>
          <w:tcPr>
            <w:tcW w:w="1134" w:type="dxa"/>
            <w:vAlign w:val="center"/>
          </w:tcPr>
          <w:p w14:paraId="2148B2A2" w14:textId="4E2CDCB5" w:rsidR="00F13797" w:rsidRPr="00F13797" w:rsidRDefault="00F13797" w:rsidP="00F13797">
            <w:pPr>
              <w:contextualSpacing/>
              <w:jc w:val="center"/>
              <w:rPr>
                <w:rFonts w:eastAsia="Arial Unicode MS" w:cs="Arial"/>
                <w:sz w:val="18"/>
                <w:szCs w:val="18"/>
              </w:rPr>
            </w:pPr>
            <w:r w:rsidRPr="00F13797">
              <w:rPr>
                <w:rFonts w:eastAsia="Arial Unicode MS" w:cs="Arial"/>
                <w:sz w:val="18"/>
                <w:szCs w:val="18"/>
              </w:rPr>
              <w:t>0</w:t>
            </w:r>
          </w:p>
        </w:tc>
        <w:tc>
          <w:tcPr>
            <w:tcW w:w="992" w:type="dxa"/>
            <w:vAlign w:val="center"/>
          </w:tcPr>
          <w:p w14:paraId="7CF9AD9D" w14:textId="09E7F98B" w:rsidR="00F13797" w:rsidRPr="00F13797" w:rsidRDefault="00F13797" w:rsidP="00F13797">
            <w:pPr>
              <w:contextualSpacing/>
              <w:jc w:val="center"/>
              <w:rPr>
                <w:rFonts w:eastAsia="Arial Unicode MS" w:cs="Arial"/>
                <w:sz w:val="18"/>
                <w:szCs w:val="18"/>
              </w:rPr>
            </w:pPr>
            <w:r w:rsidRPr="00F13797">
              <w:rPr>
                <w:rFonts w:eastAsia="Arial Unicode MS" w:cs="Arial"/>
                <w:sz w:val="18"/>
                <w:szCs w:val="18"/>
              </w:rPr>
              <w:t>0</w:t>
            </w:r>
          </w:p>
        </w:tc>
        <w:tc>
          <w:tcPr>
            <w:tcW w:w="1134" w:type="dxa"/>
            <w:vAlign w:val="center"/>
          </w:tcPr>
          <w:p w14:paraId="3DA95269" w14:textId="4CE41AF2" w:rsidR="00F13797" w:rsidRPr="00F13797" w:rsidRDefault="00F13797" w:rsidP="00F13797">
            <w:pPr>
              <w:contextualSpacing/>
              <w:jc w:val="center"/>
              <w:rPr>
                <w:rFonts w:eastAsia="Arial Unicode MS" w:cs="Arial"/>
                <w:sz w:val="18"/>
                <w:szCs w:val="18"/>
              </w:rPr>
            </w:pPr>
            <w:r w:rsidRPr="00F13797">
              <w:rPr>
                <w:rFonts w:eastAsia="Arial Unicode MS" w:cs="Arial"/>
                <w:sz w:val="18"/>
                <w:szCs w:val="18"/>
              </w:rPr>
              <w:t>0</w:t>
            </w:r>
          </w:p>
        </w:tc>
        <w:tc>
          <w:tcPr>
            <w:tcW w:w="992" w:type="dxa"/>
            <w:vAlign w:val="center"/>
          </w:tcPr>
          <w:p w14:paraId="3F3A3CCD" w14:textId="5E5D6E37" w:rsidR="00F13797" w:rsidRPr="00F13797" w:rsidRDefault="00F13797" w:rsidP="00F13797">
            <w:pPr>
              <w:contextualSpacing/>
              <w:jc w:val="center"/>
              <w:rPr>
                <w:rFonts w:eastAsia="Arial Unicode MS" w:cs="Arial"/>
                <w:sz w:val="18"/>
                <w:szCs w:val="18"/>
              </w:rPr>
            </w:pPr>
            <w:r w:rsidRPr="00F13797">
              <w:rPr>
                <w:rFonts w:eastAsia="Arial Unicode MS" w:cs="Arial"/>
                <w:sz w:val="18"/>
                <w:szCs w:val="18"/>
              </w:rPr>
              <w:t>0</w:t>
            </w:r>
          </w:p>
        </w:tc>
        <w:tc>
          <w:tcPr>
            <w:tcW w:w="992" w:type="dxa"/>
            <w:vAlign w:val="center"/>
          </w:tcPr>
          <w:p w14:paraId="5842FBD6" w14:textId="2FEA8921" w:rsidR="00F13797" w:rsidRPr="00F13797" w:rsidRDefault="00F13797" w:rsidP="00F13797">
            <w:pPr>
              <w:contextualSpacing/>
              <w:jc w:val="center"/>
              <w:rPr>
                <w:rFonts w:eastAsia="Arial Unicode MS" w:cs="Arial"/>
                <w:sz w:val="18"/>
                <w:szCs w:val="18"/>
              </w:rPr>
            </w:pPr>
            <w:r w:rsidRPr="00F13797">
              <w:rPr>
                <w:rFonts w:eastAsia="Arial Unicode MS" w:cs="Arial"/>
                <w:sz w:val="18"/>
                <w:szCs w:val="18"/>
              </w:rPr>
              <w:t>0</w:t>
            </w:r>
          </w:p>
        </w:tc>
      </w:tr>
      <w:tr w:rsidR="00F13797" w:rsidRPr="00F13797" w14:paraId="47509239" w14:textId="6168637F" w:rsidTr="00DB4C77">
        <w:trPr>
          <w:trHeight w:val="218"/>
        </w:trPr>
        <w:tc>
          <w:tcPr>
            <w:tcW w:w="2807" w:type="dxa"/>
            <w:shd w:val="clear" w:color="auto" w:fill="BFBFBF"/>
            <w:vAlign w:val="center"/>
          </w:tcPr>
          <w:p w14:paraId="6CEFE16B" w14:textId="77777777" w:rsidR="00F13797" w:rsidRPr="00F13797" w:rsidRDefault="00F13797" w:rsidP="00F13797">
            <w:pPr>
              <w:contextualSpacing/>
              <w:jc w:val="left"/>
              <w:rPr>
                <w:rFonts w:cs="Arial"/>
                <w:sz w:val="20"/>
                <w:szCs w:val="20"/>
              </w:rPr>
            </w:pPr>
            <w:r w:rsidRPr="00F13797">
              <w:rPr>
                <w:rFonts w:cs="Arial"/>
                <w:sz w:val="20"/>
                <w:szCs w:val="20"/>
              </w:rPr>
              <w:t xml:space="preserve"> </w:t>
            </w:r>
            <w:r w:rsidRPr="00F13797">
              <w:rPr>
                <w:rFonts w:cs="Arial"/>
                <w:b/>
                <w:sz w:val="20"/>
                <w:szCs w:val="20"/>
              </w:rPr>
              <w:t>Podpora celkem</w:t>
            </w:r>
          </w:p>
        </w:tc>
        <w:tc>
          <w:tcPr>
            <w:tcW w:w="851" w:type="dxa"/>
            <w:shd w:val="clear" w:color="auto" w:fill="BFBFBF"/>
            <w:vAlign w:val="center"/>
          </w:tcPr>
          <w:p w14:paraId="49A7AA20" w14:textId="414D8F09" w:rsidR="00F13797" w:rsidRPr="00F13797" w:rsidRDefault="00F13797" w:rsidP="00F13797">
            <w:pPr>
              <w:contextualSpacing/>
              <w:jc w:val="center"/>
              <w:rPr>
                <w:rFonts w:cs="Arial"/>
                <w:b/>
                <w:sz w:val="18"/>
                <w:szCs w:val="18"/>
              </w:rPr>
            </w:pPr>
            <w:r w:rsidRPr="00F13797">
              <w:rPr>
                <w:rFonts w:cs="Arial"/>
                <w:b/>
                <w:sz w:val="18"/>
                <w:szCs w:val="18"/>
              </w:rPr>
              <w:t>597</w:t>
            </w:r>
          </w:p>
        </w:tc>
        <w:tc>
          <w:tcPr>
            <w:tcW w:w="1134" w:type="dxa"/>
            <w:shd w:val="clear" w:color="auto" w:fill="BFBFBF"/>
            <w:vAlign w:val="center"/>
          </w:tcPr>
          <w:p w14:paraId="403668F7" w14:textId="42C5830B" w:rsidR="00F13797" w:rsidRPr="00F13797" w:rsidRDefault="00F13797" w:rsidP="00F13797">
            <w:pPr>
              <w:contextualSpacing/>
              <w:jc w:val="center"/>
              <w:rPr>
                <w:rFonts w:cs="Arial"/>
                <w:b/>
                <w:sz w:val="18"/>
                <w:szCs w:val="18"/>
              </w:rPr>
            </w:pPr>
            <w:r w:rsidRPr="00F13797">
              <w:rPr>
                <w:rFonts w:cs="Arial"/>
                <w:b/>
                <w:sz w:val="18"/>
                <w:szCs w:val="18"/>
              </w:rPr>
              <w:t>974</w:t>
            </w:r>
          </w:p>
        </w:tc>
        <w:tc>
          <w:tcPr>
            <w:tcW w:w="1134" w:type="dxa"/>
            <w:shd w:val="clear" w:color="auto" w:fill="BFBFBF"/>
            <w:vAlign w:val="center"/>
          </w:tcPr>
          <w:p w14:paraId="02658F52" w14:textId="13AB2F2F" w:rsidR="00F13797" w:rsidRPr="00F13797" w:rsidRDefault="00F13797" w:rsidP="00F13797">
            <w:pPr>
              <w:contextualSpacing/>
              <w:jc w:val="center"/>
              <w:rPr>
                <w:rFonts w:cs="Arial"/>
                <w:b/>
                <w:sz w:val="18"/>
                <w:szCs w:val="18"/>
              </w:rPr>
            </w:pPr>
            <w:r w:rsidRPr="00F13797">
              <w:rPr>
                <w:rFonts w:cs="Arial"/>
                <w:b/>
                <w:sz w:val="18"/>
                <w:szCs w:val="18"/>
              </w:rPr>
              <w:t>1 087</w:t>
            </w:r>
          </w:p>
        </w:tc>
        <w:tc>
          <w:tcPr>
            <w:tcW w:w="1134" w:type="dxa"/>
            <w:shd w:val="clear" w:color="auto" w:fill="BFBFBF"/>
            <w:vAlign w:val="center"/>
          </w:tcPr>
          <w:p w14:paraId="0D37EA20" w14:textId="42B40A5F" w:rsidR="00F13797" w:rsidRPr="00F13797" w:rsidRDefault="00F13797" w:rsidP="00F13797">
            <w:pPr>
              <w:contextualSpacing/>
              <w:jc w:val="center"/>
              <w:rPr>
                <w:rFonts w:cs="Arial"/>
                <w:b/>
                <w:sz w:val="18"/>
                <w:szCs w:val="18"/>
              </w:rPr>
            </w:pPr>
            <w:r w:rsidRPr="00F13797">
              <w:rPr>
                <w:rFonts w:cs="Arial"/>
                <w:b/>
                <w:sz w:val="18"/>
                <w:szCs w:val="18"/>
              </w:rPr>
              <w:t>1 895</w:t>
            </w:r>
          </w:p>
        </w:tc>
        <w:tc>
          <w:tcPr>
            <w:tcW w:w="992" w:type="dxa"/>
            <w:shd w:val="clear" w:color="auto" w:fill="BFBFBF"/>
            <w:vAlign w:val="center"/>
          </w:tcPr>
          <w:p w14:paraId="351D7CFC" w14:textId="382A1AEE" w:rsidR="00F13797" w:rsidRPr="00F13797" w:rsidRDefault="00F13797" w:rsidP="00F13797">
            <w:pPr>
              <w:contextualSpacing/>
              <w:jc w:val="center"/>
              <w:rPr>
                <w:rFonts w:cs="Arial"/>
                <w:b/>
                <w:sz w:val="18"/>
                <w:szCs w:val="18"/>
              </w:rPr>
            </w:pPr>
            <w:r w:rsidRPr="00F13797">
              <w:rPr>
                <w:rFonts w:cs="Arial"/>
                <w:b/>
                <w:sz w:val="18"/>
                <w:szCs w:val="18"/>
              </w:rPr>
              <w:t>1 998</w:t>
            </w:r>
          </w:p>
        </w:tc>
        <w:tc>
          <w:tcPr>
            <w:tcW w:w="1134" w:type="dxa"/>
            <w:shd w:val="clear" w:color="auto" w:fill="BFBFBF"/>
            <w:vAlign w:val="center"/>
          </w:tcPr>
          <w:p w14:paraId="4D140DDF" w14:textId="65EAA5B5" w:rsidR="00F13797" w:rsidRPr="00F13797" w:rsidRDefault="00F13797" w:rsidP="00F13797">
            <w:pPr>
              <w:contextualSpacing/>
              <w:jc w:val="center"/>
              <w:rPr>
                <w:rFonts w:cs="Arial"/>
                <w:b/>
                <w:sz w:val="18"/>
                <w:szCs w:val="18"/>
              </w:rPr>
            </w:pPr>
            <w:r w:rsidRPr="00F13797">
              <w:rPr>
                <w:rFonts w:cs="Arial"/>
                <w:b/>
                <w:sz w:val="18"/>
                <w:szCs w:val="18"/>
              </w:rPr>
              <w:t>2 048</w:t>
            </w:r>
          </w:p>
        </w:tc>
        <w:tc>
          <w:tcPr>
            <w:tcW w:w="992" w:type="dxa"/>
            <w:shd w:val="clear" w:color="auto" w:fill="BFBFBF"/>
          </w:tcPr>
          <w:p w14:paraId="707094D2" w14:textId="4503D115" w:rsidR="00F13797" w:rsidRPr="00F13797" w:rsidRDefault="00F13797" w:rsidP="00F13797">
            <w:pPr>
              <w:contextualSpacing/>
              <w:jc w:val="center"/>
              <w:rPr>
                <w:rFonts w:cs="Arial"/>
                <w:b/>
                <w:sz w:val="18"/>
                <w:szCs w:val="18"/>
              </w:rPr>
            </w:pPr>
            <w:r w:rsidRPr="00F13797">
              <w:rPr>
                <w:rFonts w:cs="Arial"/>
                <w:b/>
                <w:sz w:val="18"/>
                <w:szCs w:val="18"/>
              </w:rPr>
              <w:t>1 296</w:t>
            </w:r>
          </w:p>
        </w:tc>
        <w:tc>
          <w:tcPr>
            <w:tcW w:w="992" w:type="dxa"/>
            <w:shd w:val="clear" w:color="auto" w:fill="BFBFBF"/>
            <w:vAlign w:val="center"/>
          </w:tcPr>
          <w:p w14:paraId="7CBDD78C" w14:textId="539B9386" w:rsidR="00F13797" w:rsidRPr="00F13797" w:rsidRDefault="00F13797" w:rsidP="00F13797">
            <w:pPr>
              <w:contextualSpacing/>
              <w:jc w:val="center"/>
              <w:rPr>
                <w:rFonts w:cs="Arial"/>
                <w:b/>
                <w:sz w:val="18"/>
                <w:szCs w:val="18"/>
              </w:rPr>
            </w:pPr>
            <w:r w:rsidRPr="00F13797">
              <w:rPr>
                <w:rFonts w:cs="Arial"/>
                <w:b/>
                <w:sz w:val="18"/>
                <w:szCs w:val="18"/>
              </w:rPr>
              <w:t>1 500</w:t>
            </w:r>
          </w:p>
        </w:tc>
      </w:tr>
    </w:tbl>
    <w:p w14:paraId="7906789F" w14:textId="77777777" w:rsidR="00AF2B22" w:rsidRPr="00F13797" w:rsidRDefault="00AF2B22" w:rsidP="007C4955">
      <w:pPr>
        <w:pStyle w:val="Anglina"/>
        <w:spacing w:line="240" w:lineRule="auto"/>
        <w:ind w:firstLine="0"/>
        <w:contextualSpacing/>
        <w:rPr>
          <w:rFonts w:ascii="Arial" w:hAnsi="Arial" w:cs="Arial"/>
          <w:i/>
          <w:sz w:val="20"/>
          <w:lang w:val="cs-CZ"/>
        </w:rPr>
      </w:pPr>
      <w:r w:rsidRPr="00F13797">
        <w:rPr>
          <w:rFonts w:ascii="Arial" w:hAnsi="Arial" w:cs="Arial"/>
          <w:i/>
          <w:sz w:val="20"/>
          <w:lang w:val="cs-CZ"/>
        </w:rPr>
        <w:t>Pramen: MZe</w:t>
      </w:r>
    </w:p>
    <w:p w14:paraId="224C61E8" w14:textId="77777777" w:rsidR="00FA3885" w:rsidRPr="00104F7D" w:rsidRDefault="00FA3885" w:rsidP="007C4955">
      <w:pPr>
        <w:contextualSpacing/>
        <w:rPr>
          <w:rFonts w:cs="Arial"/>
          <w:b/>
          <w:i/>
          <w:highlight w:val="yellow"/>
        </w:rPr>
      </w:pPr>
    </w:p>
    <w:p w14:paraId="41EFE74E" w14:textId="10943F48" w:rsidR="00D74C2A" w:rsidRPr="009E3BA4" w:rsidRDefault="00D74C2A" w:rsidP="007C4955">
      <w:pPr>
        <w:contextualSpacing/>
        <w:rPr>
          <w:rFonts w:cs="Arial"/>
          <w:b/>
          <w:i/>
        </w:rPr>
      </w:pPr>
      <w:r w:rsidRPr="009E3BA4">
        <w:rPr>
          <w:rFonts w:cs="Arial"/>
          <w:b/>
          <w:i/>
        </w:rPr>
        <w:t>Oblast protipovodňové ochrany</w:t>
      </w:r>
    </w:p>
    <w:p w14:paraId="4752FE63" w14:textId="77777777" w:rsidR="00F000D0" w:rsidRPr="00104F7D" w:rsidRDefault="00F000D0" w:rsidP="00F000D0">
      <w:pPr>
        <w:contextualSpacing/>
        <w:rPr>
          <w:rFonts w:cs="Arial"/>
          <w:b/>
          <w:highlight w:val="yellow"/>
        </w:rPr>
      </w:pPr>
    </w:p>
    <w:p w14:paraId="5D2C8A22" w14:textId="332D3ABC" w:rsidR="009E3BA4" w:rsidRPr="00A8080E" w:rsidRDefault="009E3BA4" w:rsidP="009E3BA4">
      <w:pPr>
        <w:contextualSpacing/>
        <w:rPr>
          <w:rFonts w:cs="Arial"/>
          <w:b/>
        </w:rPr>
      </w:pPr>
      <w:r w:rsidRPr="00A8080E">
        <w:rPr>
          <w:rFonts w:cs="Arial"/>
          <w:b/>
        </w:rPr>
        <w:t>V roce 20</w:t>
      </w:r>
      <w:r>
        <w:rPr>
          <w:rFonts w:cs="Arial"/>
          <w:b/>
        </w:rPr>
        <w:t>25</w:t>
      </w:r>
      <w:r w:rsidRPr="00A8080E">
        <w:rPr>
          <w:rFonts w:cs="Arial"/>
          <w:b/>
        </w:rPr>
        <w:t xml:space="preserve"> realizovalo Ministerstvo zemědělství financování akcí zařazených do programu 129 360 „Podpora prevence před povodněmi IV“. Program navazuje na předchozí etapy, přičemž je opět kladen důraz na realizaci opatření s retenčním účinkem. Ve sledovaném roce byl</w:t>
      </w:r>
      <w:r>
        <w:rPr>
          <w:rFonts w:cs="Arial"/>
          <w:b/>
        </w:rPr>
        <w:t>y</w:t>
      </w:r>
      <w:r w:rsidRPr="00A8080E">
        <w:rPr>
          <w:rFonts w:cs="Arial"/>
          <w:b/>
        </w:rPr>
        <w:t xml:space="preserve"> v rámci tohoto programu financován</w:t>
      </w:r>
      <w:r>
        <w:rPr>
          <w:rFonts w:cs="Arial"/>
          <w:b/>
        </w:rPr>
        <w:t>y 3</w:t>
      </w:r>
      <w:r w:rsidRPr="00A8080E">
        <w:rPr>
          <w:rFonts w:cs="Arial"/>
          <w:b/>
        </w:rPr>
        <w:t xml:space="preserve"> akc</w:t>
      </w:r>
      <w:r w:rsidR="00403AFA">
        <w:rPr>
          <w:rFonts w:cs="Arial"/>
          <w:b/>
        </w:rPr>
        <w:t>e</w:t>
      </w:r>
      <w:r w:rsidRPr="00A8080E">
        <w:rPr>
          <w:rFonts w:cs="Arial"/>
          <w:b/>
        </w:rPr>
        <w:t xml:space="preserve"> s poskytnutou dotací ve výši </w:t>
      </w:r>
      <w:r>
        <w:rPr>
          <w:rFonts w:cs="Arial"/>
          <w:b/>
        </w:rPr>
        <w:t>téměř 415</w:t>
      </w:r>
      <w:r w:rsidRPr="00A8080E">
        <w:rPr>
          <w:rFonts w:cs="Arial"/>
          <w:b/>
        </w:rPr>
        <w:t xml:space="preserve"> mil. Kč.</w:t>
      </w:r>
    </w:p>
    <w:p w14:paraId="10BC16E4" w14:textId="77777777" w:rsidR="009E3BA4" w:rsidRDefault="009E3BA4" w:rsidP="009E3BA4">
      <w:pPr>
        <w:contextualSpacing/>
        <w:rPr>
          <w:rFonts w:cs="Arial"/>
        </w:rPr>
      </w:pPr>
    </w:p>
    <w:p w14:paraId="1AC6E8D2" w14:textId="77777777" w:rsidR="009E3BA4" w:rsidRPr="00D4558A" w:rsidRDefault="009E3BA4" w:rsidP="009E3BA4">
      <w:pPr>
        <w:contextualSpacing/>
        <w:rPr>
          <w:rFonts w:cs="Arial"/>
        </w:rPr>
      </w:pPr>
      <w:r w:rsidRPr="00A8080E">
        <w:rPr>
          <w:rFonts w:cs="Arial"/>
        </w:rPr>
        <w:t xml:space="preserve">Program je rozdělen do čtyř podprogramů tematicky zaměřených na podporu přípravných projektových prací pro významné stavby, podporu protipovodňových opatření s retencí, </w:t>
      </w:r>
      <w:r w:rsidRPr="00D4558A">
        <w:rPr>
          <w:rFonts w:cs="Arial"/>
        </w:rPr>
        <w:t>podporu protipovodňových opatření podél vodních toků a rovněž na přípravu a realizaci vybraných staveb souvisejících s výstavbou vodního díla Nové Heřminovy.</w:t>
      </w:r>
    </w:p>
    <w:p w14:paraId="5BDE7869" w14:textId="77777777" w:rsidR="009E3BA4" w:rsidRPr="00D4558A" w:rsidRDefault="009E3BA4" w:rsidP="009E3BA4">
      <w:pPr>
        <w:contextualSpacing/>
        <w:rPr>
          <w:rFonts w:cs="Arial"/>
        </w:rPr>
      </w:pPr>
    </w:p>
    <w:p w14:paraId="00BE2FDC" w14:textId="77777777" w:rsidR="009E3BA4" w:rsidRPr="00D4558A" w:rsidRDefault="009E3BA4" w:rsidP="009E3BA4">
      <w:pPr>
        <w:contextualSpacing/>
        <w:rPr>
          <w:rFonts w:cs="Arial"/>
        </w:rPr>
      </w:pPr>
      <w:r w:rsidRPr="00D4558A">
        <w:rPr>
          <w:rFonts w:cs="Arial"/>
        </w:rPr>
        <w:t>Podprogram 129 363 „Podpora projektových dokumentací“ je určen na podporu zajištění projektových dokumentací pro významné stavby protipovodňových opatření, které budou následně realizovány v rámci dalších podprogramů a předprojektovou přípravu akcí připravovaných na základě usnesení vlády č. 243 ze dne 18. 4. 2018 k přípravě realizace vodních nádrží v regionech postihovaných suchem jako účinné opatření k omezení nedostatku vody a návrhu jejich financování a dalších významných vodních děl.</w:t>
      </w:r>
    </w:p>
    <w:p w14:paraId="1B3ECAFD" w14:textId="77777777" w:rsidR="009E3BA4" w:rsidRPr="00D4558A" w:rsidRDefault="009E3BA4" w:rsidP="009E3BA4">
      <w:pPr>
        <w:contextualSpacing/>
        <w:rPr>
          <w:rFonts w:cs="Arial"/>
        </w:rPr>
      </w:pPr>
    </w:p>
    <w:p w14:paraId="52FE0B00" w14:textId="77777777" w:rsidR="009E3BA4" w:rsidRPr="00D4558A" w:rsidRDefault="009E3BA4" w:rsidP="009E3BA4">
      <w:pPr>
        <w:contextualSpacing/>
        <w:rPr>
          <w:rFonts w:cs="Arial"/>
        </w:rPr>
      </w:pPr>
      <w:r w:rsidRPr="00D4558A">
        <w:rPr>
          <w:rFonts w:cs="Arial"/>
        </w:rPr>
        <w:t>Předmětem podprogramu 129 364 „Podpora protipovodňových opatření s retencí“ je zřizování nových retenčních prostorů, úpravy na existujících vodních nádržích s retenčním účinkem pro zvýšení míry ochrany před povodněmi, opatření k rozlivům povodní a zřizování a rekonstrukce poldrů včetně dalších doprovodných opatření.</w:t>
      </w:r>
    </w:p>
    <w:p w14:paraId="76F8E217" w14:textId="77777777" w:rsidR="009E3BA4" w:rsidRPr="00D4558A" w:rsidRDefault="009E3BA4" w:rsidP="009E3BA4">
      <w:pPr>
        <w:contextualSpacing/>
        <w:rPr>
          <w:rFonts w:cs="Arial"/>
        </w:rPr>
      </w:pPr>
    </w:p>
    <w:p w14:paraId="450681D8" w14:textId="77777777" w:rsidR="009E3BA4" w:rsidRPr="00D4558A" w:rsidRDefault="009E3BA4" w:rsidP="009E3BA4">
      <w:pPr>
        <w:contextualSpacing/>
        <w:rPr>
          <w:rFonts w:cs="Arial"/>
        </w:rPr>
      </w:pPr>
      <w:r w:rsidRPr="00D4558A">
        <w:rPr>
          <w:rFonts w:cs="Arial"/>
        </w:rPr>
        <w:t>Cílem podprogramu 129 365 „Podpora protipovodňových opatření podél vodních toků“ je vybudování stavebních protipovodňových opatření podél vodních toků formou výstavby např. ochranných hrází a zvýšení kapacity a stabilizace koryt vodních toků (zejména v intravilánech).</w:t>
      </w:r>
    </w:p>
    <w:p w14:paraId="25B00E1E" w14:textId="77777777" w:rsidR="009E3BA4" w:rsidRPr="00D4558A" w:rsidRDefault="009E3BA4" w:rsidP="009E3BA4">
      <w:pPr>
        <w:contextualSpacing/>
        <w:rPr>
          <w:rFonts w:cs="Arial"/>
        </w:rPr>
      </w:pPr>
    </w:p>
    <w:p w14:paraId="6E1A55C9" w14:textId="77777777" w:rsidR="009E3BA4" w:rsidRPr="00D4558A" w:rsidRDefault="009E3BA4" w:rsidP="009E3BA4">
      <w:pPr>
        <w:contextualSpacing/>
        <w:rPr>
          <w:rFonts w:cs="Arial"/>
        </w:rPr>
      </w:pPr>
      <w:r w:rsidRPr="00D4558A">
        <w:rPr>
          <w:rFonts w:cs="Arial"/>
        </w:rPr>
        <w:t xml:space="preserve">V roce 2019 byl program rozšířen o nový podprogram 129 366 „Podpora přípravy a realizace vyvolaných investic a staveb souvisejících s výstavbou vodního díla Nové Heřminovy“, jehož cílem je úprava lokality pro plánovanou výstavbu vodního díla provedením přípravných prací a technických opatření. Podprogram naplňuje usnesení vlády České republiky ze dne 3. 6. 2019 č. 386 ke Zprávě o stavu přípravy a realizace opatření ke snížení povodňových rizik v povodí horního toku řeky Opavy, včetně návrhu na zabezpečení finančních prostředků na přípravu a realizaci vyvolaných investic a staveb záměrem „Opatření na horní Opavě“. </w:t>
      </w:r>
    </w:p>
    <w:p w14:paraId="0359E567" w14:textId="77777777" w:rsidR="009E3BA4" w:rsidRPr="00D4558A" w:rsidRDefault="009E3BA4" w:rsidP="009E3BA4">
      <w:pPr>
        <w:contextualSpacing/>
        <w:rPr>
          <w:rFonts w:cs="Arial"/>
        </w:rPr>
      </w:pPr>
    </w:p>
    <w:p w14:paraId="2AC24AC1" w14:textId="77777777" w:rsidR="009E3BA4" w:rsidRPr="00D4558A" w:rsidRDefault="009E3BA4" w:rsidP="009E3BA4">
      <w:pPr>
        <w:contextualSpacing/>
        <w:rPr>
          <w:rFonts w:cs="Arial"/>
        </w:rPr>
      </w:pPr>
      <w:r w:rsidRPr="00D4558A">
        <w:rPr>
          <w:rFonts w:cs="Arial"/>
        </w:rPr>
        <w:t>Realizaci opatření programu 129 360 stejně jako v předchozích letech zajišťují správci vodních toků (s. p. Povodí a LČR a správci drobných vodních toků určení MZe dle § 48 odst. 2 vodního zákona). Obce se aktivně účastní programu jako žadatelé o podporu při výstavbě opatření lokálního charakteru zaměřených na snižování rizika povodní z přívalových srážek na drobných vodních tocích.</w:t>
      </w:r>
    </w:p>
    <w:p w14:paraId="7ABA99A3" w14:textId="77777777" w:rsidR="009E3BA4" w:rsidRPr="00D4558A" w:rsidRDefault="009E3BA4" w:rsidP="009E3BA4">
      <w:pPr>
        <w:contextualSpacing/>
        <w:rPr>
          <w:rFonts w:cs="Arial"/>
        </w:rPr>
      </w:pPr>
    </w:p>
    <w:p w14:paraId="63A50603" w14:textId="77777777" w:rsidR="009E3BA4" w:rsidRPr="00186037" w:rsidRDefault="009E3BA4" w:rsidP="009E3BA4">
      <w:pPr>
        <w:contextualSpacing/>
        <w:rPr>
          <w:rFonts w:cs="Arial"/>
          <w:b/>
          <w:color w:val="FF0000"/>
          <w:highlight w:val="yellow"/>
        </w:rPr>
      </w:pPr>
      <w:r w:rsidRPr="00D4558A">
        <w:rPr>
          <w:rFonts w:cs="Arial"/>
        </w:rPr>
        <w:t>I tento program umožňuje zapojení obcí, sdružení obcí, měst a krajů do procesu navrhování protipovodňových opatření, a to prostřednictvím institutu tzv. navrhovatele, kdy realizaci jimi navržených opatření budou zajišťovat správci vodních toků.</w:t>
      </w:r>
    </w:p>
    <w:p w14:paraId="3CAF0E36" w14:textId="77777777" w:rsidR="00FA3885" w:rsidRPr="00104F7D" w:rsidRDefault="00FA3885" w:rsidP="007C4955">
      <w:pPr>
        <w:contextualSpacing/>
        <w:rPr>
          <w:rFonts w:cs="Arial"/>
          <w:b/>
          <w:i/>
          <w:highlight w:val="yellow"/>
        </w:rPr>
      </w:pPr>
    </w:p>
    <w:p w14:paraId="17E60C17" w14:textId="454A9329" w:rsidR="00156FC9" w:rsidRPr="00DF7152" w:rsidRDefault="00156FC9" w:rsidP="007C4955">
      <w:pPr>
        <w:contextualSpacing/>
        <w:rPr>
          <w:rFonts w:cs="Arial"/>
          <w:b/>
          <w:i/>
        </w:rPr>
      </w:pPr>
      <w:r w:rsidRPr="00DF7152">
        <w:rPr>
          <w:rFonts w:cs="Arial"/>
          <w:b/>
          <w:i/>
        </w:rPr>
        <w:t xml:space="preserve">Tabulka </w:t>
      </w:r>
      <w:r w:rsidR="00AB0673" w:rsidRPr="00DF7152">
        <w:rPr>
          <w:rFonts w:cs="Arial"/>
          <w:b/>
          <w:i/>
        </w:rPr>
        <w:t>11</w:t>
      </w:r>
      <w:r w:rsidRPr="00DF7152">
        <w:rPr>
          <w:rFonts w:cs="Arial"/>
          <w:b/>
          <w:i/>
        </w:rPr>
        <w:t>.1.1.</w:t>
      </w:r>
      <w:r w:rsidR="009B4EBD">
        <w:rPr>
          <w:rFonts w:cs="Arial"/>
          <w:b/>
          <w:i/>
        </w:rPr>
        <w:t>6</w:t>
      </w:r>
      <w:r w:rsidRPr="00DF7152">
        <w:rPr>
          <w:rFonts w:cs="Arial"/>
          <w:b/>
          <w:i/>
        </w:rPr>
        <w:t xml:space="preserve"> </w:t>
      </w:r>
    </w:p>
    <w:p w14:paraId="46FDD046" w14:textId="03439921" w:rsidR="002B1409" w:rsidRPr="00DF7152" w:rsidRDefault="002B1409" w:rsidP="002B1409">
      <w:pPr>
        <w:contextualSpacing/>
        <w:rPr>
          <w:rFonts w:cs="Arial"/>
          <w:b/>
          <w:i/>
        </w:rPr>
      </w:pPr>
      <w:r w:rsidRPr="00DF7152">
        <w:rPr>
          <w:rFonts w:cs="Arial"/>
          <w:b/>
          <w:i/>
        </w:rPr>
        <w:t>Čerpání finančních prostředků vybraných významných akcí programu Ministerstva zemědělství 129 360 v roce 202</w:t>
      </w:r>
      <w:r w:rsidR="00DF7152">
        <w:rPr>
          <w:rFonts w:cs="Arial"/>
          <w:b/>
          <w:i/>
        </w:rPr>
        <w:t>5</w:t>
      </w:r>
    </w:p>
    <w:tbl>
      <w:tblPr>
        <w:tblpPr w:leftFromText="141" w:rightFromText="141" w:vertAnchor="text" w:horzAnchor="margin" w:tblpX="70" w:tblpY="96"/>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64"/>
        <w:gridCol w:w="3985"/>
        <w:gridCol w:w="1456"/>
        <w:gridCol w:w="1038"/>
        <w:gridCol w:w="914"/>
      </w:tblGrid>
      <w:tr w:rsidR="002B1409" w:rsidRPr="00DF7152" w14:paraId="173E33A2" w14:textId="77777777" w:rsidTr="00EC1043">
        <w:trPr>
          <w:trHeight w:val="411"/>
        </w:trPr>
        <w:tc>
          <w:tcPr>
            <w:tcW w:w="1132" w:type="pct"/>
            <w:vMerge w:val="restart"/>
            <w:shd w:val="clear" w:color="auto" w:fill="BFBFBF"/>
            <w:noWrap/>
            <w:vAlign w:val="center"/>
          </w:tcPr>
          <w:p w14:paraId="3C517FAF" w14:textId="77777777" w:rsidR="002B1409" w:rsidRPr="00DF7152" w:rsidRDefault="002B1409" w:rsidP="00EC1043">
            <w:pPr>
              <w:contextualSpacing/>
              <w:jc w:val="center"/>
              <w:rPr>
                <w:rFonts w:cs="Arial"/>
                <w:b/>
                <w:sz w:val="18"/>
                <w:szCs w:val="18"/>
              </w:rPr>
            </w:pPr>
            <w:r w:rsidRPr="00DF7152">
              <w:rPr>
                <w:rFonts w:cs="Arial"/>
                <w:b/>
                <w:sz w:val="18"/>
                <w:szCs w:val="18"/>
              </w:rPr>
              <w:t>Správci vodních toků</w:t>
            </w:r>
          </w:p>
        </w:tc>
        <w:tc>
          <w:tcPr>
            <w:tcW w:w="2085" w:type="pct"/>
            <w:vMerge w:val="restart"/>
            <w:shd w:val="clear" w:color="auto" w:fill="BFBFBF"/>
            <w:noWrap/>
            <w:vAlign w:val="center"/>
          </w:tcPr>
          <w:p w14:paraId="1D9C2508" w14:textId="77777777" w:rsidR="002B1409" w:rsidRPr="00DF7152" w:rsidRDefault="002B1409" w:rsidP="00EC1043">
            <w:pPr>
              <w:contextualSpacing/>
              <w:jc w:val="center"/>
              <w:rPr>
                <w:rFonts w:cs="Arial"/>
                <w:b/>
                <w:sz w:val="18"/>
                <w:szCs w:val="18"/>
              </w:rPr>
            </w:pPr>
            <w:r w:rsidRPr="00DF7152">
              <w:rPr>
                <w:rFonts w:cs="Arial"/>
                <w:b/>
                <w:sz w:val="18"/>
                <w:szCs w:val="18"/>
              </w:rPr>
              <w:t>Název akce</w:t>
            </w:r>
          </w:p>
        </w:tc>
        <w:tc>
          <w:tcPr>
            <w:tcW w:w="762" w:type="pct"/>
            <w:vMerge w:val="restart"/>
            <w:shd w:val="clear" w:color="auto" w:fill="BFBFBF"/>
            <w:noWrap/>
            <w:vAlign w:val="center"/>
          </w:tcPr>
          <w:p w14:paraId="0A457030" w14:textId="77777777" w:rsidR="002B1409" w:rsidRPr="00DF7152" w:rsidRDefault="002B1409" w:rsidP="00EC1043">
            <w:pPr>
              <w:contextualSpacing/>
              <w:jc w:val="center"/>
              <w:rPr>
                <w:rFonts w:cs="Arial"/>
                <w:b/>
                <w:sz w:val="18"/>
                <w:szCs w:val="18"/>
              </w:rPr>
            </w:pPr>
            <w:r w:rsidRPr="00DF7152">
              <w:rPr>
                <w:rFonts w:cs="Arial"/>
                <w:b/>
                <w:sz w:val="18"/>
                <w:szCs w:val="18"/>
              </w:rPr>
              <w:t>Termín realizace</w:t>
            </w:r>
          </w:p>
        </w:tc>
        <w:tc>
          <w:tcPr>
            <w:tcW w:w="543" w:type="pct"/>
            <w:shd w:val="clear" w:color="auto" w:fill="BFBFBF"/>
            <w:noWrap/>
            <w:vAlign w:val="bottom"/>
          </w:tcPr>
          <w:p w14:paraId="24ED9178" w14:textId="77777777" w:rsidR="002B1409" w:rsidRPr="00DF7152" w:rsidRDefault="002B1409" w:rsidP="00EC1043">
            <w:pPr>
              <w:contextualSpacing/>
              <w:jc w:val="center"/>
              <w:rPr>
                <w:rFonts w:cs="Arial"/>
                <w:b/>
                <w:sz w:val="18"/>
                <w:szCs w:val="18"/>
              </w:rPr>
            </w:pPr>
            <w:r w:rsidRPr="00DF7152">
              <w:rPr>
                <w:rFonts w:cs="Arial"/>
                <w:b/>
                <w:sz w:val="18"/>
                <w:szCs w:val="18"/>
              </w:rPr>
              <w:t xml:space="preserve">Celkové náklady </w:t>
            </w:r>
          </w:p>
        </w:tc>
        <w:tc>
          <w:tcPr>
            <w:tcW w:w="478" w:type="pct"/>
            <w:shd w:val="clear" w:color="auto" w:fill="BFBFBF"/>
            <w:noWrap/>
            <w:vAlign w:val="bottom"/>
          </w:tcPr>
          <w:p w14:paraId="48F26CA1" w14:textId="48FBA9DC" w:rsidR="002B1409" w:rsidRPr="00DF7152" w:rsidRDefault="002B1409" w:rsidP="00EC1043">
            <w:pPr>
              <w:contextualSpacing/>
              <w:jc w:val="center"/>
              <w:rPr>
                <w:rFonts w:cs="Arial"/>
                <w:b/>
                <w:sz w:val="18"/>
                <w:szCs w:val="18"/>
              </w:rPr>
            </w:pPr>
            <w:r w:rsidRPr="00DF7152">
              <w:rPr>
                <w:rFonts w:cs="Arial"/>
                <w:b/>
                <w:sz w:val="18"/>
                <w:szCs w:val="18"/>
              </w:rPr>
              <w:t>Dotace v roce 202</w:t>
            </w:r>
            <w:r w:rsidR="00B17F03">
              <w:rPr>
                <w:rFonts w:cs="Arial"/>
                <w:b/>
                <w:sz w:val="18"/>
                <w:szCs w:val="18"/>
              </w:rPr>
              <w:t>5</w:t>
            </w:r>
          </w:p>
        </w:tc>
      </w:tr>
      <w:tr w:rsidR="002B1409" w:rsidRPr="00DF7152" w14:paraId="24908824" w14:textId="77777777" w:rsidTr="00EC1043">
        <w:trPr>
          <w:trHeight w:val="279"/>
        </w:trPr>
        <w:tc>
          <w:tcPr>
            <w:tcW w:w="1132" w:type="pct"/>
            <w:vMerge/>
            <w:shd w:val="clear" w:color="auto" w:fill="BFBFBF"/>
            <w:noWrap/>
            <w:vAlign w:val="center"/>
          </w:tcPr>
          <w:p w14:paraId="484F8AD8" w14:textId="77777777" w:rsidR="002B1409" w:rsidRPr="00DF7152" w:rsidRDefault="002B1409" w:rsidP="00EC1043">
            <w:pPr>
              <w:contextualSpacing/>
              <w:jc w:val="center"/>
              <w:rPr>
                <w:rFonts w:cs="Arial"/>
                <w:b/>
                <w:sz w:val="18"/>
                <w:szCs w:val="18"/>
              </w:rPr>
            </w:pPr>
          </w:p>
        </w:tc>
        <w:tc>
          <w:tcPr>
            <w:tcW w:w="2085" w:type="pct"/>
            <w:vMerge/>
            <w:shd w:val="clear" w:color="auto" w:fill="BFBFBF"/>
            <w:noWrap/>
            <w:vAlign w:val="center"/>
          </w:tcPr>
          <w:p w14:paraId="2E8E54C4" w14:textId="77777777" w:rsidR="002B1409" w:rsidRPr="00DF7152" w:rsidRDefault="002B1409" w:rsidP="00EC1043">
            <w:pPr>
              <w:contextualSpacing/>
              <w:jc w:val="center"/>
              <w:rPr>
                <w:rFonts w:cs="Arial"/>
                <w:b/>
                <w:sz w:val="18"/>
                <w:szCs w:val="18"/>
              </w:rPr>
            </w:pPr>
          </w:p>
        </w:tc>
        <w:tc>
          <w:tcPr>
            <w:tcW w:w="762" w:type="pct"/>
            <w:vMerge/>
            <w:shd w:val="clear" w:color="auto" w:fill="BFBFBF"/>
            <w:noWrap/>
            <w:vAlign w:val="bottom"/>
          </w:tcPr>
          <w:p w14:paraId="2556A3F1" w14:textId="77777777" w:rsidR="002B1409" w:rsidRPr="00DF7152" w:rsidRDefault="002B1409" w:rsidP="00EC1043">
            <w:pPr>
              <w:contextualSpacing/>
              <w:jc w:val="center"/>
              <w:rPr>
                <w:rFonts w:cs="Arial"/>
                <w:b/>
                <w:sz w:val="18"/>
                <w:szCs w:val="18"/>
              </w:rPr>
            </w:pPr>
          </w:p>
        </w:tc>
        <w:tc>
          <w:tcPr>
            <w:tcW w:w="1021" w:type="pct"/>
            <w:gridSpan w:val="2"/>
            <w:shd w:val="clear" w:color="auto" w:fill="BFBFBF"/>
            <w:noWrap/>
            <w:vAlign w:val="bottom"/>
          </w:tcPr>
          <w:p w14:paraId="07DC2BFF" w14:textId="77777777" w:rsidR="002B1409" w:rsidRPr="00DF7152" w:rsidRDefault="002B1409" w:rsidP="00EC1043">
            <w:pPr>
              <w:contextualSpacing/>
              <w:jc w:val="center"/>
              <w:rPr>
                <w:rFonts w:cs="Arial"/>
                <w:b/>
                <w:sz w:val="18"/>
                <w:szCs w:val="18"/>
              </w:rPr>
            </w:pPr>
            <w:r w:rsidRPr="00DF7152">
              <w:rPr>
                <w:rFonts w:cs="Arial"/>
                <w:b/>
                <w:sz w:val="18"/>
                <w:szCs w:val="18"/>
              </w:rPr>
              <w:t>mil. Kč</w:t>
            </w:r>
          </w:p>
        </w:tc>
      </w:tr>
      <w:tr w:rsidR="004B45A5" w:rsidRPr="00DF7152" w14:paraId="04A7D10B" w14:textId="77777777" w:rsidTr="00EC1043">
        <w:trPr>
          <w:trHeight w:val="532"/>
        </w:trPr>
        <w:tc>
          <w:tcPr>
            <w:tcW w:w="1132" w:type="pct"/>
            <w:shd w:val="clear" w:color="auto" w:fill="D0CECE"/>
            <w:noWrap/>
            <w:vAlign w:val="center"/>
          </w:tcPr>
          <w:p w14:paraId="57CF97C9" w14:textId="25277725" w:rsidR="004B45A5" w:rsidRPr="00DF7152" w:rsidRDefault="004B45A5" w:rsidP="004B45A5">
            <w:pPr>
              <w:contextualSpacing/>
              <w:rPr>
                <w:rFonts w:cs="Arial"/>
                <w:sz w:val="18"/>
                <w:szCs w:val="18"/>
              </w:rPr>
            </w:pPr>
            <w:r w:rsidRPr="00DF7152">
              <w:rPr>
                <w:rFonts w:cs="Arial"/>
                <w:sz w:val="18"/>
                <w:szCs w:val="18"/>
              </w:rPr>
              <w:t>Povodí Vltavy</w:t>
            </w:r>
          </w:p>
        </w:tc>
        <w:tc>
          <w:tcPr>
            <w:tcW w:w="2085" w:type="pct"/>
            <w:vAlign w:val="center"/>
          </w:tcPr>
          <w:p w14:paraId="51FECC4A" w14:textId="40F55A59" w:rsidR="004B45A5" w:rsidRPr="00DF7152" w:rsidRDefault="004B45A5" w:rsidP="004B45A5">
            <w:pPr>
              <w:contextualSpacing/>
              <w:rPr>
                <w:rFonts w:cs="Arial"/>
                <w:sz w:val="18"/>
                <w:szCs w:val="18"/>
              </w:rPr>
            </w:pPr>
            <w:r w:rsidRPr="00DF7152">
              <w:rPr>
                <w:rFonts w:cs="Arial"/>
                <w:sz w:val="18"/>
                <w:szCs w:val="18"/>
              </w:rPr>
              <w:t>VD Orlík – zabezpečení VD před účinky velkých vod</w:t>
            </w:r>
          </w:p>
        </w:tc>
        <w:tc>
          <w:tcPr>
            <w:tcW w:w="762" w:type="pct"/>
            <w:noWrap/>
            <w:vAlign w:val="center"/>
          </w:tcPr>
          <w:p w14:paraId="36F01DA8" w14:textId="22C66CE6" w:rsidR="004B45A5" w:rsidRPr="00DF7152" w:rsidRDefault="004B45A5" w:rsidP="004B45A5">
            <w:pPr>
              <w:contextualSpacing/>
              <w:jc w:val="center"/>
              <w:rPr>
                <w:rFonts w:cs="Arial"/>
                <w:sz w:val="18"/>
                <w:szCs w:val="18"/>
              </w:rPr>
            </w:pPr>
            <w:r w:rsidRPr="00DF7152">
              <w:rPr>
                <w:rFonts w:cs="Arial"/>
                <w:sz w:val="18"/>
                <w:szCs w:val="18"/>
              </w:rPr>
              <w:t>09/21–12/28</w:t>
            </w:r>
          </w:p>
        </w:tc>
        <w:tc>
          <w:tcPr>
            <w:tcW w:w="543" w:type="pct"/>
            <w:noWrap/>
            <w:vAlign w:val="center"/>
          </w:tcPr>
          <w:p w14:paraId="34AE89A7" w14:textId="5B922A25" w:rsidR="004B45A5" w:rsidRPr="00DF7152" w:rsidRDefault="004B45A5" w:rsidP="004B45A5">
            <w:pPr>
              <w:contextualSpacing/>
              <w:jc w:val="right"/>
              <w:rPr>
                <w:rFonts w:cs="Arial"/>
                <w:sz w:val="18"/>
                <w:szCs w:val="18"/>
              </w:rPr>
            </w:pPr>
            <w:r w:rsidRPr="00DF7152">
              <w:rPr>
                <w:rFonts w:cs="Arial"/>
                <w:sz w:val="18"/>
                <w:szCs w:val="18"/>
              </w:rPr>
              <w:t>2 102,864</w:t>
            </w:r>
          </w:p>
        </w:tc>
        <w:tc>
          <w:tcPr>
            <w:tcW w:w="478" w:type="pct"/>
            <w:noWrap/>
            <w:vAlign w:val="center"/>
          </w:tcPr>
          <w:p w14:paraId="26E39A6B" w14:textId="5346A746" w:rsidR="004B45A5" w:rsidRPr="00DF7152" w:rsidRDefault="004B45A5" w:rsidP="004B45A5">
            <w:pPr>
              <w:contextualSpacing/>
              <w:jc w:val="right"/>
              <w:rPr>
                <w:rFonts w:cs="Arial"/>
                <w:sz w:val="18"/>
                <w:szCs w:val="18"/>
              </w:rPr>
            </w:pPr>
            <w:r w:rsidRPr="00DF7152">
              <w:rPr>
                <w:rFonts w:cs="Arial"/>
                <w:sz w:val="18"/>
                <w:szCs w:val="18"/>
              </w:rPr>
              <w:t>343,869</w:t>
            </w:r>
          </w:p>
        </w:tc>
      </w:tr>
      <w:tr w:rsidR="004B45A5" w:rsidRPr="00DF7152" w14:paraId="789FE673" w14:textId="77777777" w:rsidTr="00EC1043">
        <w:trPr>
          <w:trHeight w:val="532"/>
        </w:trPr>
        <w:tc>
          <w:tcPr>
            <w:tcW w:w="1132" w:type="pct"/>
            <w:shd w:val="clear" w:color="auto" w:fill="D0CECE"/>
            <w:noWrap/>
            <w:vAlign w:val="center"/>
          </w:tcPr>
          <w:p w14:paraId="350B4221" w14:textId="0CF8317C" w:rsidR="004B45A5" w:rsidRPr="00DF7152" w:rsidRDefault="004B45A5" w:rsidP="004B45A5">
            <w:pPr>
              <w:contextualSpacing/>
              <w:rPr>
                <w:rFonts w:cs="Arial"/>
                <w:sz w:val="18"/>
                <w:szCs w:val="18"/>
              </w:rPr>
            </w:pPr>
            <w:r w:rsidRPr="00DF7152">
              <w:rPr>
                <w:rFonts w:cs="Arial"/>
                <w:sz w:val="18"/>
                <w:szCs w:val="18"/>
              </w:rPr>
              <w:t>Povodí Labe</w:t>
            </w:r>
          </w:p>
        </w:tc>
        <w:tc>
          <w:tcPr>
            <w:tcW w:w="2085" w:type="pct"/>
            <w:vAlign w:val="center"/>
          </w:tcPr>
          <w:p w14:paraId="0BF4A922" w14:textId="159277D6" w:rsidR="004B45A5" w:rsidRPr="00DF7152" w:rsidRDefault="004B45A5" w:rsidP="004B45A5">
            <w:pPr>
              <w:contextualSpacing/>
              <w:rPr>
                <w:rFonts w:cs="Arial"/>
                <w:sz w:val="18"/>
                <w:szCs w:val="18"/>
              </w:rPr>
            </w:pPr>
            <w:r w:rsidRPr="00DF7152">
              <w:rPr>
                <w:rFonts w:cs="Arial"/>
                <w:sz w:val="18"/>
                <w:szCs w:val="18"/>
              </w:rPr>
              <w:t xml:space="preserve">VD </w:t>
            </w:r>
            <w:proofErr w:type="spellStart"/>
            <w:r w:rsidRPr="00DF7152">
              <w:rPr>
                <w:rFonts w:cs="Arial"/>
                <w:sz w:val="18"/>
                <w:szCs w:val="18"/>
              </w:rPr>
              <w:t>Harcov</w:t>
            </w:r>
            <w:proofErr w:type="spellEnd"/>
            <w:r w:rsidRPr="00DF7152">
              <w:rPr>
                <w:rFonts w:cs="Arial"/>
                <w:sz w:val="18"/>
                <w:szCs w:val="18"/>
              </w:rPr>
              <w:t>, zajištění bezpečnosti za povodní</w:t>
            </w:r>
          </w:p>
        </w:tc>
        <w:tc>
          <w:tcPr>
            <w:tcW w:w="762" w:type="pct"/>
            <w:noWrap/>
            <w:vAlign w:val="center"/>
          </w:tcPr>
          <w:p w14:paraId="44093938" w14:textId="7B00EF8C" w:rsidR="004B45A5" w:rsidRPr="00DF7152" w:rsidRDefault="004B45A5" w:rsidP="004B45A5">
            <w:pPr>
              <w:contextualSpacing/>
              <w:jc w:val="center"/>
              <w:rPr>
                <w:rFonts w:cs="Arial"/>
                <w:sz w:val="18"/>
                <w:szCs w:val="18"/>
              </w:rPr>
            </w:pPr>
            <w:r w:rsidRPr="00DF7152">
              <w:rPr>
                <w:rFonts w:cs="Arial"/>
                <w:sz w:val="18"/>
                <w:szCs w:val="18"/>
              </w:rPr>
              <w:t>08/22–12/26</w:t>
            </w:r>
          </w:p>
        </w:tc>
        <w:tc>
          <w:tcPr>
            <w:tcW w:w="543" w:type="pct"/>
            <w:noWrap/>
            <w:vAlign w:val="center"/>
          </w:tcPr>
          <w:p w14:paraId="30E4F834" w14:textId="14A4A6E9" w:rsidR="004B45A5" w:rsidRPr="00DF7152" w:rsidRDefault="004B45A5" w:rsidP="004B45A5">
            <w:pPr>
              <w:contextualSpacing/>
              <w:jc w:val="right"/>
              <w:rPr>
                <w:rFonts w:cs="Arial"/>
                <w:sz w:val="18"/>
                <w:szCs w:val="18"/>
              </w:rPr>
            </w:pPr>
            <w:r w:rsidRPr="00DF7152">
              <w:rPr>
                <w:rFonts w:cs="Arial"/>
                <w:sz w:val="18"/>
                <w:szCs w:val="18"/>
              </w:rPr>
              <w:t>463,948</w:t>
            </w:r>
          </w:p>
        </w:tc>
        <w:tc>
          <w:tcPr>
            <w:tcW w:w="478" w:type="pct"/>
            <w:noWrap/>
            <w:vAlign w:val="center"/>
          </w:tcPr>
          <w:p w14:paraId="5B12BB14" w14:textId="2BF3A3EF" w:rsidR="004B45A5" w:rsidRPr="00DF7152" w:rsidRDefault="004B45A5" w:rsidP="004B45A5">
            <w:pPr>
              <w:contextualSpacing/>
              <w:jc w:val="right"/>
              <w:rPr>
                <w:rFonts w:cs="Arial"/>
                <w:sz w:val="18"/>
                <w:szCs w:val="18"/>
              </w:rPr>
            </w:pPr>
            <w:r w:rsidRPr="00DF7152">
              <w:rPr>
                <w:rFonts w:cs="Arial"/>
                <w:sz w:val="18"/>
                <w:szCs w:val="18"/>
              </w:rPr>
              <w:t>60,000</w:t>
            </w:r>
          </w:p>
        </w:tc>
      </w:tr>
      <w:tr w:rsidR="00DF7152" w:rsidRPr="00DF7152" w14:paraId="5C4C3186" w14:textId="77777777" w:rsidTr="00EC1043">
        <w:trPr>
          <w:trHeight w:val="280"/>
        </w:trPr>
        <w:tc>
          <w:tcPr>
            <w:tcW w:w="1132" w:type="pct"/>
            <w:shd w:val="clear" w:color="auto" w:fill="BFBFBF"/>
            <w:noWrap/>
            <w:vAlign w:val="center"/>
          </w:tcPr>
          <w:p w14:paraId="64C52B46" w14:textId="2E06FB32" w:rsidR="00DF7152" w:rsidRPr="00DF7152" w:rsidRDefault="00DF7152" w:rsidP="00DF7152">
            <w:pPr>
              <w:contextualSpacing/>
              <w:rPr>
                <w:rFonts w:cs="Arial"/>
                <w:sz w:val="18"/>
                <w:szCs w:val="18"/>
              </w:rPr>
            </w:pPr>
            <w:r w:rsidRPr="00DF7152">
              <w:rPr>
                <w:rFonts w:cs="Arial"/>
                <w:sz w:val="18"/>
                <w:szCs w:val="18"/>
              </w:rPr>
              <w:t>Lesy České republiky</w:t>
            </w:r>
          </w:p>
        </w:tc>
        <w:tc>
          <w:tcPr>
            <w:tcW w:w="2085" w:type="pct"/>
            <w:shd w:val="clear" w:color="auto" w:fill="FFFFFF"/>
            <w:vAlign w:val="center"/>
          </w:tcPr>
          <w:p w14:paraId="7B1A01F4" w14:textId="017CBA64" w:rsidR="00DF7152" w:rsidRPr="00DF7152" w:rsidRDefault="00DF7152" w:rsidP="00DF7152">
            <w:pPr>
              <w:contextualSpacing/>
              <w:rPr>
                <w:rFonts w:cs="Arial"/>
                <w:sz w:val="18"/>
                <w:szCs w:val="18"/>
              </w:rPr>
            </w:pPr>
            <w:r w:rsidRPr="00DF7152">
              <w:rPr>
                <w:rFonts w:cs="Arial"/>
                <w:sz w:val="18"/>
                <w:szCs w:val="18"/>
              </w:rPr>
              <w:t>Rusava v km 26,317-28,525</w:t>
            </w:r>
          </w:p>
        </w:tc>
        <w:tc>
          <w:tcPr>
            <w:tcW w:w="762" w:type="pct"/>
            <w:shd w:val="clear" w:color="auto" w:fill="FFFFFF"/>
            <w:noWrap/>
            <w:vAlign w:val="center"/>
          </w:tcPr>
          <w:p w14:paraId="2FC9F291" w14:textId="16408FD7" w:rsidR="00DF7152" w:rsidRPr="00DF7152" w:rsidRDefault="00DF7152" w:rsidP="00DF7152">
            <w:pPr>
              <w:contextualSpacing/>
              <w:jc w:val="center"/>
              <w:rPr>
                <w:rFonts w:cs="Arial"/>
                <w:sz w:val="18"/>
                <w:szCs w:val="18"/>
              </w:rPr>
            </w:pPr>
            <w:r w:rsidRPr="00DF7152">
              <w:rPr>
                <w:rFonts w:cs="Arial"/>
                <w:sz w:val="18"/>
                <w:szCs w:val="18"/>
              </w:rPr>
              <w:t>03/20–06/27</w:t>
            </w:r>
          </w:p>
        </w:tc>
        <w:tc>
          <w:tcPr>
            <w:tcW w:w="543" w:type="pct"/>
            <w:noWrap/>
            <w:vAlign w:val="center"/>
          </w:tcPr>
          <w:p w14:paraId="716B6124" w14:textId="79E00D1E" w:rsidR="00DF7152" w:rsidRPr="00DF7152" w:rsidRDefault="00DF7152" w:rsidP="00DF7152">
            <w:pPr>
              <w:contextualSpacing/>
              <w:jc w:val="right"/>
              <w:rPr>
                <w:rFonts w:cs="Arial"/>
                <w:sz w:val="18"/>
                <w:szCs w:val="18"/>
              </w:rPr>
            </w:pPr>
            <w:r w:rsidRPr="00DF7152">
              <w:rPr>
                <w:rFonts w:cs="Arial"/>
                <w:sz w:val="18"/>
                <w:szCs w:val="18"/>
              </w:rPr>
              <w:t>77,251</w:t>
            </w:r>
          </w:p>
        </w:tc>
        <w:tc>
          <w:tcPr>
            <w:tcW w:w="478" w:type="pct"/>
            <w:noWrap/>
            <w:vAlign w:val="center"/>
          </w:tcPr>
          <w:p w14:paraId="3F7A9252" w14:textId="587B1BBD" w:rsidR="00DF7152" w:rsidRPr="00DF7152" w:rsidDel="00D969C1" w:rsidRDefault="00DF7152" w:rsidP="00DF7152">
            <w:pPr>
              <w:contextualSpacing/>
              <w:jc w:val="right"/>
              <w:rPr>
                <w:rFonts w:cs="Arial"/>
                <w:sz w:val="18"/>
                <w:szCs w:val="18"/>
              </w:rPr>
            </w:pPr>
            <w:r w:rsidRPr="00DF7152">
              <w:rPr>
                <w:rFonts w:cs="Arial"/>
                <w:sz w:val="18"/>
                <w:szCs w:val="18"/>
              </w:rPr>
              <w:t>11,060</w:t>
            </w:r>
          </w:p>
        </w:tc>
      </w:tr>
    </w:tbl>
    <w:p w14:paraId="4D9491FC" w14:textId="3FB52E30" w:rsidR="002B1409" w:rsidRPr="00DF7152" w:rsidRDefault="002B1409" w:rsidP="002B1409">
      <w:pPr>
        <w:contextualSpacing/>
        <w:rPr>
          <w:rFonts w:cs="Arial"/>
          <w:i/>
          <w:sz w:val="20"/>
          <w:szCs w:val="20"/>
        </w:rPr>
      </w:pPr>
      <w:r w:rsidRPr="00DF7152">
        <w:rPr>
          <w:rFonts w:cs="Arial"/>
          <w:i/>
          <w:sz w:val="20"/>
          <w:szCs w:val="20"/>
        </w:rPr>
        <w:t>Pramen: MZe</w:t>
      </w:r>
      <w:r w:rsidR="00A903AB" w:rsidRPr="00DF7152">
        <w:rPr>
          <w:rFonts w:cs="Arial"/>
          <w:i/>
          <w:sz w:val="20"/>
          <w:szCs w:val="20"/>
        </w:rPr>
        <w:t xml:space="preserve"> k 0</w:t>
      </w:r>
      <w:r w:rsidR="004A12BA">
        <w:rPr>
          <w:rFonts w:cs="Arial"/>
          <w:i/>
          <w:sz w:val="20"/>
          <w:szCs w:val="20"/>
        </w:rPr>
        <w:t>2</w:t>
      </w:r>
      <w:r w:rsidR="00A903AB" w:rsidRPr="00DF7152">
        <w:rPr>
          <w:rFonts w:cs="Arial"/>
          <w:i/>
          <w:sz w:val="20"/>
          <w:szCs w:val="20"/>
        </w:rPr>
        <w:t>/202</w:t>
      </w:r>
      <w:r w:rsidR="00DF7152" w:rsidRPr="00DF7152">
        <w:rPr>
          <w:rFonts w:cs="Arial"/>
          <w:i/>
          <w:sz w:val="20"/>
          <w:szCs w:val="20"/>
        </w:rPr>
        <w:t>5</w:t>
      </w:r>
    </w:p>
    <w:p w14:paraId="7E14A500" w14:textId="77777777" w:rsidR="004B7D31" w:rsidRPr="00DF7152" w:rsidRDefault="004B7D31" w:rsidP="007C4955">
      <w:pPr>
        <w:contextualSpacing/>
        <w:rPr>
          <w:rFonts w:cs="Arial"/>
          <w:b/>
          <w:i/>
        </w:rPr>
      </w:pPr>
    </w:p>
    <w:p w14:paraId="609575E6" w14:textId="7423B3E6" w:rsidR="00156FC9" w:rsidRPr="004A12BA" w:rsidRDefault="00156FC9" w:rsidP="007C4955">
      <w:pPr>
        <w:contextualSpacing/>
        <w:rPr>
          <w:rFonts w:cs="Arial"/>
          <w:b/>
          <w:i/>
        </w:rPr>
      </w:pPr>
      <w:r w:rsidRPr="004A12BA">
        <w:rPr>
          <w:rFonts w:cs="Arial"/>
          <w:b/>
          <w:i/>
        </w:rPr>
        <w:t xml:space="preserve">Tabulka </w:t>
      </w:r>
      <w:r w:rsidR="00AB0673" w:rsidRPr="004A12BA">
        <w:rPr>
          <w:rFonts w:cs="Arial"/>
          <w:b/>
          <w:i/>
        </w:rPr>
        <w:t>11.</w:t>
      </w:r>
      <w:r w:rsidRPr="004A12BA">
        <w:rPr>
          <w:rFonts w:cs="Arial"/>
          <w:b/>
          <w:i/>
        </w:rPr>
        <w:t>1.1.</w:t>
      </w:r>
      <w:r w:rsidR="009B4EBD">
        <w:rPr>
          <w:rFonts w:cs="Arial"/>
          <w:b/>
          <w:i/>
        </w:rPr>
        <w:t>7</w:t>
      </w:r>
    </w:p>
    <w:p w14:paraId="0DD31B35" w14:textId="5AF529E2" w:rsidR="002B1409" w:rsidRPr="004A12BA" w:rsidRDefault="002B1409" w:rsidP="002B1409">
      <w:pPr>
        <w:contextualSpacing/>
        <w:rPr>
          <w:rFonts w:cs="Arial"/>
          <w:b/>
          <w:i/>
        </w:rPr>
      </w:pPr>
      <w:r w:rsidRPr="004A12BA">
        <w:rPr>
          <w:rFonts w:cs="Arial"/>
          <w:b/>
          <w:i/>
        </w:rPr>
        <w:t>Čerpání finančních prostředků státního rozpočtu v rámci programu Ministerstva zemědělství 129 360 podle jednotlivých správců vodních toků v roce 202</w:t>
      </w:r>
      <w:r w:rsidR="004A12BA" w:rsidRPr="004A12BA">
        <w:rPr>
          <w:rFonts w:cs="Arial"/>
          <w:b/>
          <w:i/>
        </w:rPr>
        <w:t>5</w:t>
      </w:r>
    </w:p>
    <w:tbl>
      <w:tblPr>
        <w:tblW w:w="694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26"/>
        <w:gridCol w:w="1444"/>
        <w:gridCol w:w="1276"/>
      </w:tblGrid>
      <w:tr w:rsidR="002B1409" w:rsidRPr="004A12BA" w14:paraId="5D2C324E" w14:textId="77777777" w:rsidTr="00EC1043">
        <w:trPr>
          <w:cantSplit/>
          <w:trHeight w:val="125"/>
        </w:trPr>
        <w:tc>
          <w:tcPr>
            <w:tcW w:w="4226" w:type="dxa"/>
            <w:vMerge w:val="restart"/>
            <w:shd w:val="clear" w:color="auto" w:fill="BFBFBF"/>
            <w:vAlign w:val="center"/>
          </w:tcPr>
          <w:p w14:paraId="76C7668A" w14:textId="77777777" w:rsidR="002B1409" w:rsidRPr="004A12BA" w:rsidRDefault="002B1409" w:rsidP="00EC1043">
            <w:pPr>
              <w:contextualSpacing/>
              <w:jc w:val="center"/>
              <w:rPr>
                <w:rFonts w:cs="Arial"/>
                <w:sz w:val="18"/>
                <w:szCs w:val="18"/>
              </w:rPr>
            </w:pPr>
            <w:r w:rsidRPr="004A12BA">
              <w:rPr>
                <w:rFonts w:cs="Arial"/>
                <w:b/>
                <w:sz w:val="18"/>
                <w:szCs w:val="18"/>
              </w:rPr>
              <w:t>Vlastníci a správci</w:t>
            </w:r>
          </w:p>
        </w:tc>
        <w:tc>
          <w:tcPr>
            <w:tcW w:w="1444" w:type="dxa"/>
            <w:shd w:val="clear" w:color="auto" w:fill="BFBFBF"/>
            <w:vAlign w:val="center"/>
          </w:tcPr>
          <w:p w14:paraId="5AB5B55E" w14:textId="77777777" w:rsidR="002B1409" w:rsidRPr="004A12BA" w:rsidRDefault="002B1409" w:rsidP="00EC1043">
            <w:pPr>
              <w:contextualSpacing/>
              <w:jc w:val="center"/>
              <w:rPr>
                <w:rFonts w:cs="Arial"/>
                <w:b/>
                <w:sz w:val="18"/>
                <w:szCs w:val="18"/>
              </w:rPr>
            </w:pPr>
            <w:r w:rsidRPr="004A12BA">
              <w:rPr>
                <w:rFonts w:cs="Arial"/>
                <w:b/>
                <w:sz w:val="18"/>
                <w:szCs w:val="18"/>
              </w:rPr>
              <w:t>Investice</w:t>
            </w:r>
          </w:p>
        </w:tc>
        <w:tc>
          <w:tcPr>
            <w:tcW w:w="1276" w:type="dxa"/>
            <w:shd w:val="clear" w:color="auto" w:fill="BFBFBF"/>
            <w:vAlign w:val="center"/>
          </w:tcPr>
          <w:p w14:paraId="07FBAD18" w14:textId="77777777" w:rsidR="002B1409" w:rsidRPr="004A12BA" w:rsidRDefault="002B1409" w:rsidP="00EC1043">
            <w:pPr>
              <w:contextualSpacing/>
              <w:jc w:val="center"/>
              <w:rPr>
                <w:rFonts w:cs="Arial"/>
                <w:b/>
                <w:sz w:val="18"/>
                <w:szCs w:val="18"/>
              </w:rPr>
            </w:pPr>
            <w:proofErr w:type="spellStart"/>
            <w:r w:rsidRPr="004A12BA">
              <w:rPr>
                <w:rFonts w:cs="Arial"/>
                <w:b/>
                <w:sz w:val="18"/>
                <w:szCs w:val="18"/>
              </w:rPr>
              <w:t>Neinvestice</w:t>
            </w:r>
            <w:proofErr w:type="spellEnd"/>
          </w:p>
        </w:tc>
      </w:tr>
      <w:tr w:rsidR="002B1409" w:rsidRPr="004A12BA" w14:paraId="6679D90F" w14:textId="77777777" w:rsidTr="00EC1043">
        <w:trPr>
          <w:trHeight w:val="209"/>
        </w:trPr>
        <w:tc>
          <w:tcPr>
            <w:tcW w:w="4226" w:type="dxa"/>
            <w:vMerge/>
            <w:shd w:val="clear" w:color="auto" w:fill="BFBFBF"/>
            <w:vAlign w:val="center"/>
          </w:tcPr>
          <w:p w14:paraId="0392CA35" w14:textId="77777777" w:rsidR="002B1409" w:rsidRPr="004A12BA" w:rsidRDefault="002B1409" w:rsidP="00EC1043">
            <w:pPr>
              <w:contextualSpacing/>
              <w:rPr>
                <w:rFonts w:cs="Arial"/>
                <w:sz w:val="18"/>
                <w:szCs w:val="18"/>
              </w:rPr>
            </w:pPr>
          </w:p>
        </w:tc>
        <w:tc>
          <w:tcPr>
            <w:tcW w:w="2720" w:type="dxa"/>
            <w:gridSpan w:val="2"/>
            <w:shd w:val="clear" w:color="auto" w:fill="BFBFBF"/>
            <w:vAlign w:val="center"/>
          </w:tcPr>
          <w:p w14:paraId="31640E00" w14:textId="77777777" w:rsidR="002B1409" w:rsidRPr="004A12BA" w:rsidRDefault="002B1409" w:rsidP="00EC1043">
            <w:pPr>
              <w:contextualSpacing/>
              <w:jc w:val="center"/>
              <w:rPr>
                <w:rFonts w:cs="Arial"/>
                <w:sz w:val="18"/>
                <w:szCs w:val="18"/>
              </w:rPr>
            </w:pPr>
            <w:r w:rsidRPr="004A12BA">
              <w:rPr>
                <w:rFonts w:cs="Arial"/>
                <w:b/>
                <w:sz w:val="18"/>
                <w:szCs w:val="18"/>
              </w:rPr>
              <w:t>mil. Kč</w:t>
            </w:r>
          </w:p>
        </w:tc>
      </w:tr>
      <w:tr w:rsidR="004A12BA" w:rsidRPr="004A12BA" w14:paraId="08C3BDED" w14:textId="77777777" w:rsidTr="00EC1043">
        <w:trPr>
          <w:trHeight w:val="283"/>
        </w:trPr>
        <w:tc>
          <w:tcPr>
            <w:tcW w:w="4226" w:type="dxa"/>
            <w:vAlign w:val="center"/>
          </w:tcPr>
          <w:p w14:paraId="6B890417" w14:textId="2F5B8A27" w:rsidR="004A12BA" w:rsidRPr="004A12BA" w:rsidRDefault="004A12BA" w:rsidP="004A12BA">
            <w:pPr>
              <w:contextualSpacing/>
              <w:rPr>
                <w:rFonts w:cs="Arial"/>
                <w:sz w:val="18"/>
                <w:szCs w:val="18"/>
              </w:rPr>
            </w:pPr>
            <w:r w:rsidRPr="004A12BA">
              <w:rPr>
                <w:rFonts w:cs="Arial"/>
                <w:sz w:val="18"/>
                <w:szCs w:val="18"/>
              </w:rPr>
              <w:t>Povodí Labe</w:t>
            </w:r>
          </w:p>
        </w:tc>
        <w:tc>
          <w:tcPr>
            <w:tcW w:w="1444" w:type="dxa"/>
            <w:vAlign w:val="center"/>
          </w:tcPr>
          <w:p w14:paraId="026ED8ED" w14:textId="6EDD3B3A" w:rsidR="004A12BA" w:rsidRPr="004A12BA" w:rsidRDefault="004A12BA" w:rsidP="004A12BA">
            <w:pPr>
              <w:tabs>
                <w:tab w:val="decimal" w:pos="524"/>
              </w:tabs>
              <w:ind w:right="213"/>
              <w:contextualSpacing/>
              <w:jc w:val="right"/>
              <w:rPr>
                <w:rFonts w:cs="Arial"/>
                <w:sz w:val="18"/>
                <w:szCs w:val="18"/>
              </w:rPr>
            </w:pPr>
            <w:r w:rsidRPr="004A12BA">
              <w:rPr>
                <w:rFonts w:cs="Arial"/>
                <w:sz w:val="18"/>
                <w:szCs w:val="18"/>
              </w:rPr>
              <w:t>60,000</w:t>
            </w:r>
          </w:p>
        </w:tc>
        <w:tc>
          <w:tcPr>
            <w:tcW w:w="1276" w:type="dxa"/>
            <w:vAlign w:val="center"/>
          </w:tcPr>
          <w:p w14:paraId="7184A53B" w14:textId="233DC7C5" w:rsidR="004A12BA" w:rsidRPr="004A12BA" w:rsidRDefault="004A12BA" w:rsidP="004A12BA">
            <w:pPr>
              <w:contextualSpacing/>
              <w:jc w:val="center"/>
              <w:rPr>
                <w:rFonts w:cs="Arial"/>
                <w:sz w:val="18"/>
                <w:szCs w:val="18"/>
              </w:rPr>
            </w:pPr>
            <w:r w:rsidRPr="004A12BA">
              <w:rPr>
                <w:rFonts w:cs="Arial"/>
                <w:sz w:val="18"/>
                <w:szCs w:val="18"/>
              </w:rPr>
              <w:t>0</w:t>
            </w:r>
          </w:p>
        </w:tc>
      </w:tr>
      <w:tr w:rsidR="004A12BA" w:rsidRPr="004A12BA" w14:paraId="7FBCE174" w14:textId="77777777" w:rsidTr="00EC1043">
        <w:trPr>
          <w:trHeight w:val="283"/>
        </w:trPr>
        <w:tc>
          <w:tcPr>
            <w:tcW w:w="4226" w:type="dxa"/>
            <w:vAlign w:val="center"/>
          </w:tcPr>
          <w:p w14:paraId="5859F075" w14:textId="0D47C8C9" w:rsidR="004A12BA" w:rsidRPr="004A12BA" w:rsidRDefault="004A12BA" w:rsidP="004A12BA">
            <w:pPr>
              <w:contextualSpacing/>
              <w:rPr>
                <w:rFonts w:cs="Arial"/>
                <w:sz w:val="18"/>
                <w:szCs w:val="18"/>
              </w:rPr>
            </w:pPr>
            <w:r w:rsidRPr="004A12BA">
              <w:rPr>
                <w:rFonts w:cs="Arial"/>
                <w:sz w:val="18"/>
                <w:szCs w:val="18"/>
              </w:rPr>
              <w:t>Povodí Vltavy</w:t>
            </w:r>
          </w:p>
        </w:tc>
        <w:tc>
          <w:tcPr>
            <w:tcW w:w="1444" w:type="dxa"/>
            <w:vAlign w:val="center"/>
          </w:tcPr>
          <w:p w14:paraId="0D6A9DA9" w14:textId="7B64EEB5" w:rsidR="004A12BA" w:rsidRPr="004A12BA" w:rsidRDefault="004A12BA" w:rsidP="004A12BA">
            <w:pPr>
              <w:tabs>
                <w:tab w:val="decimal" w:pos="524"/>
              </w:tabs>
              <w:ind w:right="213"/>
              <w:contextualSpacing/>
              <w:jc w:val="right"/>
              <w:rPr>
                <w:rFonts w:cs="Arial"/>
                <w:sz w:val="18"/>
                <w:szCs w:val="18"/>
              </w:rPr>
            </w:pPr>
            <w:r w:rsidRPr="004A12BA">
              <w:rPr>
                <w:rFonts w:cs="Arial"/>
                <w:sz w:val="18"/>
                <w:szCs w:val="18"/>
              </w:rPr>
              <w:t>343,869</w:t>
            </w:r>
          </w:p>
        </w:tc>
        <w:tc>
          <w:tcPr>
            <w:tcW w:w="1276" w:type="dxa"/>
            <w:vAlign w:val="center"/>
          </w:tcPr>
          <w:p w14:paraId="4E2F181D" w14:textId="1425955B" w:rsidR="004A12BA" w:rsidRPr="004A12BA" w:rsidRDefault="004A12BA" w:rsidP="004A12BA">
            <w:pPr>
              <w:contextualSpacing/>
              <w:jc w:val="center"/>
              <w:rPr>
                <w:rFonts w:cs="Arial"/>
                <w:sz w:val="18"/>
                <w:szCs w:val="18"/>
              </w:rPr>
            </w:pPr>
            <w:r w:rsidRPr="004A12BA">
              <w:rPr>
                <w:rFonts w:cs="Arial"/>
                <w:sz w:val="18"/>
                <w:szCs w:val="18"/>
              </w:rPr>
              <w:t>0</w:t>
            </w:r>
          </w:p>
        </w:tc>
      </w:tr>
      <w:tr w:rsidR="00DA1FF8" w:rsidRPr="004A12BA" w14:paraId="63AF54B9" w14:textId="77777777" w:rsidTr="00EC1043">
        <w:trPr>
          <w:trHeight w:val="283"/>
        </w:trPr>
        <w:tc>
          <w:tcPr>
            <w:tcW w:w="4226" w:type="dxa"/>
            <w:vAlign w:val="center"/>
          </w:tcPr>
          <w:p w14:paraId="6CF09A8F" w14:textId="102E0270" w:rsidR="00DA1FF8" w:rsidRPr="004A12BA" w:rsidRDefault="00DA1FF8" w:rsidP="00DA1FF8">
            <w:pPr>
              <w:contextualSpacing/>
              <w:rPr>
                <w:rFonts w:cs="Arial"/>
                <w:sz w:val="18"/>
                <w:szCs w:val="18"/>
              </w:rPr>
            </w:pPr>
            <w:r w:rsidRPr="0093120A">
              <w:rPr>
                <w:rFonts w:cs="Arial"/>
                <w:sz w:val="18"/>
                <w:szCs w:val="18"/>
              </w:rPr>
              <w:t>Lesy České republiky</w:t>
            </w:r>
          </w:p>
        </w:tc>
        <w:tc>
          <w:tcPr>
            <w:tcW w:w="1444" w:type="dxa"/>
            <w:vAlign w:val="center"/>
          </w:tcPr>
          <w:p w14:paraId="65664061" w14:textId="0120A009" w:rsidR="00DA1FF8" w:rsidRPr="004A12BA" w:rsidRDefault="00DA1FF8" w:rsidP="00DA1FF8">
            <w:pPr>
              <w:tabs>
                <w:tab w:val="decimal" w:pos="524"/>
              </w:tabs>
              <w:ind w:right="213"/>
              <w:contextualSpacing/>
              <w:jc w:val="right"/>
              <w:rPr>
                <w:rFonts w:cs="Arial"/>
                <w:sz w:val="18"/>
                <w:szCs w:val="18"/>
              </w:rPr>
            </w:pPr>
            <w:r>
              <w:rPr>
                <w:rFonts w:cs="Arial"/>
                <w:sz w:val="18"/>
                <w:szCs w:val="18"/>
              </w:rPr>
              <w:t>11,000</w:t>
            </w:r>
          </w:p>
        </w:tc>
        <w:tc>
          <w:tcPr>
            <w:tcW w:w="1276" w:type="dxa"/>
            <w:vAlign w:val="center"/>
          </w:tcPr>
          <w:p w14:paraId="1EC0C0C0" w14:textId="5BBE4498" w:rsidR="00DA1FF8" w:rsidRPr="004A12BA" w:rsidRDefault="00DA1FF8" w:rsidP="00DA1FF8">
            <w:pPr>
              <w:contextualSpacing/>
              <w:jc w:val="center"/>
              <w:rPr>
                <w:rFonts w:cs="Arial"/>
                <w:sz w:val="18"/>
                <w:szCs w:val="18"/>
              </w:rPr>
            </w:pPr>
            <w:r>
              <w:rPr>
                <w:rFonts w:cs="Arial"/>
                <w:sz w:val="18"/>
                <w:szCs w:val="18"/>
              </w:rPr>
              <w:t>0,060</w:t>
            </w:r>
          </w:p>
        </w:tc>
      </w:tr>
      <w:tr w:rsidR="00DA1FF8" w:rsidRPr="004A12BA" w14:paraId="4FDE21B4" w14:textId="77777777" w:rsidTr="00EC1043">
        <w:trPr>
          <w:trHeight w:val="283"/>
        </w:trPr>
        <w:tc>
          <w:tcPr>
            <w:tcW w:w="4226" w:type="dxa"/>
            <w:shd w:val="clear" w:color="auto" w:fill="BFBFBF"/>
            <w:vAlign w:val="center"/>
          </w:tcPr>
          <w:p w14:paraId="3EA0725D" w14:textId="024F1AA5" w:rsidR="00DA1FF8" w:rsidRPr="004A12BA" w:rsidRDefault="00DA1FF8" w:rsidP="00DA1FF8">
            <w:pPr>
              <w:contextualSpacing/>
              <w:rPr>
                <w:rFonts w:cs="Arial"/>
                <w:b/>
                <w:sz w:val="18"/>
                <w:szCs w:val="18"/>
              </w:rPr>
            </w:pPr>
            <w:r w:rsidRPr="0093120A">
              <w:rPr>
                <w:rFonts w:cs="Arial"/>
                <w:b/>
                <w:sz w:val="18"/>
                <w:szCs w:val="18"/>
              </w:rPr>
              <w:t>Celkem</w:t>
            </w:r>
          </w:p>
        </w:tc>
        <w:tc>
          <w:tcPr>
            <w:tcW w:w="1444" w:type="dxa"/>
            <w:shd w:val="clear" w:color="auto" w:fill="BFBFBF"/>
            <w:vAlign w:val="center"/>
          </w:tcPr>
          <w:p w14:paraId="2C503799" w14:textId="21A403E2" w:rsidR="00DA1FF8" w:rsidRPr="004A12BA" w:rsidRDefault="00DA1FF8" w:rsidP="00DA1FF8">
            <w:pPr>
              <w:tabs>
                <w:tab w:val="decimal" w:pos="524"/>
              </w:tabs>
              <w:ind w:right="213"/>
              <w:contextualSpacing/>
              <w:jc w:val="right"/>
              <w:rPr>
                <w:rFonts w:cs="Arial"/>
                <w:b/>
                <w:sz w:val="18"/>
                <w:szCs w:val="18"/>
              </w:rPr>
            </w:pPr>
            <w:r>
              <w:rPr>
                <w:rFonts w:cs="Arial"/>
                <w:b/>
                <w:sz w:val="18"/>
                <w:szCs w:val="18"/>
              </w:rPr>
              <w:t>414,869</w:t>
            </w:r>
          </w:p>
        </w:tc>
        <w:tc>
          <w:tcPr>
            <w:tcW w:w="1276" w:type="dxa"/>
            <w:shd w:val="clear" w:color="auto" w:fill="BFBFBF"/>
            <w:vAlign w:val="center"/>
          </w:tcPr>
          <w:p w14:paraId="1C71ABF2" w14:textId="26764F0E" w:rsidR="00DA1FF8" w:rsidRPr="004A12BA" w:rsidRDefault="00DA1FF8" w:rsidP="00DA1FF8">
            <w:pPr>
              <w:contextualSpacing/>
              <w:jc w:val="center"/>
              <w:rPr>
                <w:rFonts w:cs="Arial"/>
                <w:b/>
                <w:sz w:val="18"/>
                <w:szCs w:val="18"/>
              </w:rPr>
            </w:pPr>
            <w:r>
              <w:rPr>
                <w:rFonts w:cs="Arial"/>
                <w:sz w:val="18"/>
                <w:szCs w:val="18"/>
              </w:rPr>
              <w:t>0,060</w:t>
            </w:r>
          </w:p>
        </w:tc>
      </w:tr>
    </w:tbl>
    <w:p w14:paraId="17BFD879" w14:textId="77777777" w:rsidR="002B1409" w:rsidRPr="004A12BA" w:rsidRDefault="002B1409" w:rsidP="002B1409">
      <w:pPr>
        <w:contextualSpacing/>
        <w:rPr>
          <w:rFonts w:cs="Arial"/>
          <w:i/>
          <w:sz w:val="20"/>
          <w:szCs w:val="20"/>
        </w:rPr>
      </w:pPr>
      <w:r w:rsidRPr="004A12BA">
        <w:rPr>
          <w:rFonts w:cs="Arial"/>
          <w:i/>
          <w:sz w:val="20"/>
          <w:szCs w:val="20"/>
        </w:rPr>
        <w:t>Pramen: MZe</w:t>
      </w:r>
    </w:p>
    <w:p w14:paraId="0946B40F" w14:textId="77777777" w:rsidR="002B1409" w:rsidRPr="004A12BA" w:rsidRDefault="002B1409" w:rsidP="002B1409">
      <w:pPr>
        <w:contextualSpacing/>
        <w:rPr>
          <w:rFonts w:cs="Arial"/>
          <w:b/>
          <w:i/>
        </w:rPr>
      </w:pPr>
    </w:p>
    <w:p w14:paraId="2DA6606C" w14:textId="77777777" w:rsidR="006017D7" w:rsidRPr="00C36DF1" w:rsidRDefault="006017D7" w:rsidP="006017D7">
      <w:r w:rsidRPr="006F4A41">
        <w:rPr>
          <w:b/>
          <w:bCs/>
        </w:rPr>
        <w:t>V roce 2023 byla zahájena administrace programu 129 500 „Podpora prevence před povodněmi V“</w:t>
      </w:r>
      <w:r>
        <w:rPr>
          <w:b/>
          <w:bCs/>
        </w:rPr>
        <w:t xml:space="preserve"> </w:t>
      </w:r>
      <w:r>
        <w:t xml:space="preserve">roce 2025 bylo administrováno 42 akcí, z toho na 15 z nich byla v daném roce poskytnuta dotace ve výši téměř 425,5 mil. Kč. </w:t>
      </w:r>
    </w:p>
    <w:p w14:paraId="26DA3A74" w14:textId="77777777" w:rsidR="007A522D" w:rsidRDefault="007A522D" w:rsidP="006017D7">
      <w:pPr>
        <w:rPr>
          <w:rFonts w:cs="Arial"/>
          <w:b/>
          <w:bCs/>
        </w:rPr>
      </w:pPr>
    </w:p>
    <w:p w14:paraId="62CDE2ED" w14:textId="3C1C5AF5" w:rsidR="006017D7" w:rsidRDefault="006017D7" w:rsidP="006017D7">
      <w:r w:rsidRPr="006F4A41">
        <w:rPr>
          <w:rFonts w:cs="Arial"/>
          <w:b/>
          <w:bCs/>
        </w:rPr>
        <w:t>Program navazuje na předchozí etapy</w:t>
      </w:r>
      <w:r>
        <w:rPr>
          <w:rFonts w:cs="Arial"/>
          <w:b/>
          <w:bCs/>
        </w:rPr>
        <w:t xml:space="preserve"> s </w:t>
      </w:r>
      <w:r w:rsidRPr="006F4A41">
        <w:rPr>
          <w:rFonts w:cs="Arial"/>
          <w:b/>
          <w:bCs/>
        </w:rPr>
        <w:t>důraz</w:t>
      </w:r>
      <w:r>
        <w:rPr>
          <w:rFonts w:cs="Arial"/>
          <w:b/>
          <w:bCs/>
        </w:rPr>
        <w:t>em</w:t>
      </w:r>
      <w:r w:rsidRPr="006F4A41">
        <w:rPr>
          <w:rFonts w:cs="Arial"/>
          <w:b/>
          <w:bCs/>
        </w:rPr>
        <w:t xml:space="preserve"> na realizaci opatření s retenčním</w:t>
      </w:r>
      <w:r w:rsidRPr="00D4558A">
        <w:rPr>
          <w:rFonts w:cs="Arial"/>
          <w:b/>
        </w:rPr>
        <w:t xml:space="preserve"> účinkem</w:t>
      </w:r>
      <w:r>
        <w:rPr>
          <w:rFonts w:cs="Arial"/>
          <w:b/>
        </w:rPr>
        <w:t xml:space="preserve"> a systémová protipovodňová opatření.</w:t>
      </w:r>
    </w:p>
    <w:p w14:paraId="0F879A2F" w14:textId="77777777" w:rsidR="006017D7" w:rsidRDefault="006017D7" w:rsidP="006017D7"/>
    <w:p w14:paraId="6032A8C1" w14:textId="77777777" w:rsidR="006017D7" w:rsidRPr="00D4558A" w:rsidRDefault="006017D7" w:rsidP="006017D7">
      <w:pPr>
        <w:contextualSpacing/>
        <w:rPr>
          <w:rFonts w:cs="Arial"/>
        </w:rPr>
      </w:pPr>
      <w:r w:rsidRPr="00A8080E">
        <w:rPr>
          <w:rFonts w:cs="Arial"/>
        </w:rPr>
        <w:t xml:space="preserve">Program je </w:t>
      </w:r>
      <w:r>
        <w:rPr>
          <w:rFonts w:cs="Arial"/>
        </w:rPr>
        <w:t xml:space="preserve">opět </w:t>
      </w:r>
      <w:r w:rsidRPr="00A8080E">
        <w:rPr>
          <w:rFonts w:cs="Arial"/>
        </w:rPr>
        <w:t xml:space="preserve">rozdělen do čtyř podprogramů tematicky zaměřených na podporu přípravných projektových prací pro významné stavby, podporu protipovodňových opatření s retencí, </w:t>
      </w:r>
      <w:r w:rsidRPr="00D4558A">
        <w:rPr>
          <w:rFonts w:cs="Arial"/>
        </w:rPr>
        <w:t xml:space="preserve">podporu protipovodňových opatření podél vodních toků a rovněž na přípravu a realizaci </w:t>
      </w:r>
      <w:r>
        <w:rPr>
          <w:rFonts w:cs="Arial"/>
        </w:rPr>
        <w:t>vyvolaných investic</w:t>
      </w:r>
      <w:r w:rsidRPr="00D4558A">
        <w:rPr>
          <w:rFonts w:cs="Arial"/>
        </w:rPr>
        <w:t xml:space="preserve"> souvisejících s výstavbou </w:t>
      </w:r>
      <w:r>
        <w:rPr>
          <w:rFonts w:cs="Arial"/>
        </w:rPr>
        <w:t>VD</w:t>
      </w:r>
      <w:r w:rsidRPr="00D4558A">
        <w:rPr>
          <w:rFonts w:cs="Arial"/>
        </w:rPr>
        <w:t xml:space="preserve"> Nové Heřminovy.</w:t>
      </w:r>
    </w:p>
    <w:p w14:paraId="1280F059" w14:textId="77777777" w:rsidR="006017D7" w:rsidRPr="00D4558A" w:rsidRDefault="006017D7" w:rsidP="006017D7">
      <w:pPr>
        <w:contextualSpacing/>
        <w:rPr>
          <w:rFonts w:cs="Arial"/>
        </w:rPr>
      </w:pPr>
    </w:p>
    <w:p w14:paraId="77913FF3" w14:textId="77777777" w:rsidR="006017D7" w:rsidRPr="00D4558A" w:rsidRDefault="006017D7" w:rsidP="006017D7">
      <w:pPr>
        <w:contextualSpacing/>
        <w:rPr>
          <w:rFonts w:cs="Arial"/>
        </w:rPr>
      </w:pPr>
      <w:r w:rsidRPr="00D4558A">
        <w:rPr>
          <w:rFonts w:cs="Arial"/>
        </w:rPr>
        <w:t>Podprogram 129 </w:t>
      </w:r>
      <w:r>
        <w:rPr>
          <w:rFonts w:cs="Arial"/>
        </w:rPr>
        <w:t>502</w:t>
      </w:r>
      <w:r w:rsidRPr="00D4558A">
        <w:rPr>
          <w:rFonts w:cs="Arial"/>
        </w:rPr>
        <w:t xml:space="preserve"> „Podpora projektov</w:t>
      </w:r>
      <w:r>
        <w:rPr>
          <w:rFonts w:cs="Arial"/>
        </w:rPr>
        <w:t>é přípravy významných akcí PPO</w:t>
      </w:r>
      <w:r w:rsidRPr="00D4558A">
        <w:rPr>
          <w:rFonts w:cs="Arial"/>
        </w:rPr>
        <w:t xml:space="preserve">“ je určen na podporu zajištění </w:t>
      </w:r>
      <w:r>
        <w:rPr>
          <w:rFonts w:cs="Arial"/>
        </w:rPr>
        <w:t xml:space="preserve">předprojektové přípravy a </w:t>
      </w:r>
      <w:r w:rsidRPr="00D4558A">
        <w:rPr>
          <w:rFonts w:cs="Arial"/>
        </w:rPr>
        <w:t>projektových dokumentací pro významné stavby protipovodňových opatření, které budou následně realizovány v rámci dalších podprogramů</w:t>
      </w:r>
      <w:r>
        <w:rPr>
          <w:rFonts w:cs="Arial"/>
        </w:rPr>
        <w:t>.</w:t>
      </w:r>
    </w:p>
    <w:p w14:paraId="1A4F4145" w14:textId="77777777" w:rsidR="006017D7" w:rsidRPr="00D4558A" w:rsidRDefault="006017D7" w:rsidP="006017D7">
      <w:pPr>
        <w:contextualSpacing/>
        <w:rPr>
          <w:rFonts w:cs="Arial"/>
        </w:rPr>
      </w:pPr>
    </w:p>
    <w:p w14:paraId="6D87AE6F" w14:textId="77777777" w:rsidR="006017D7" w:rsidRPr="00D4558A" w:rsidRDefault="006017D7" w:rsidP="006017D7">
      <w:pPr>
        <w:contextualSpacing/>
        <w:rPr>
          <w:rFonts w:cs="Arial"/>
        </w:rPr>
      </w:pPr>
      <w:r w:rsidRPr="00D4558A">
        <w:rPr>
          <w:rFonts w:cs="Arial"/>
        </w:rPr>
        <w:t>Předmětem podprogramu 129 </w:t>
      </w:r>
      <w:r>
        <w:rPr>
          <w:rFonts w:cs="Arial"/>
        </w:rPr>
        <w:t>503</w:t>
      </w:r>
      <w:r w:rsidRPr="00D4558A">
        <w:rPr>
          <w:rFonts w:cs="Arial"/>
        </w:rPr>
        <w:t xml:space="preserve"> „Podpora protipovodňových opatření s retencí“ je zřizování nových retenčních prostorů, úpravy na existujících vodních nádržích s retenčním účinkem pro zvýšení míry ochrany před povodněmi, opatření k rozlivům povodní a zřizování a rekonstrukce poldrů včetně dalších doprovodných opatření.</w:t>
      </w:r>
    </w:p>
    <w:p w14:paraId="093BC546" w14:textId="77777777" w:rsidR="006017D7" w:rsidRPr="00D4558A" w:rsidRDefault="006017D7" w:rsidP="006017D7">
      <w:pPr>
        <w:contextualSpacing/>
        <w:rPr>
          <w:rFonts w:cs="Arial"/>
        </w:rPr>
      </w:pPr>
    </w:p>
    <w:p w14:paraId="550BC61A" w14:textId="77777777" w:rsidR="006017D7" w:rsidRDefault="006017D7" w:rsidP="006017D7">
      <w:pPr>
        <w:contextualSpacing/>
        <w:rPr>
          <w:rFonts w:cs="Arial"/>
        </w:rPr>
      </w:pPr>
      <w:r w:rsidRPr="00D4558A">
        <w:rPr>
          <w:rFonts w:cs="Arial"/>
        </w:rPr>
        <w:t>Cílem podprogramu 129 </w:t>
      </w:r>
      <w:r>
        <w:rPr>
          <w:rFonts w:cs="Arial"/>
        </w:rPr>
        <w:t>504</w:t>
      </w:r>
      <w:r w:rsidRPr="00D4558A">
        <w:rPr>
          <w:rFonts w:cs="Arial"/>
        </w:rPr>
        <w:t xml:space="preserve"> „Podpora protipovodňových opatření podél </w:t>
      </w:r>
      <w:r>
        <w:rPr>
          <w:rFonts w:cs="Arial"/>
        </w:rPr>
        <w:t xml:space="preserve">a na </w:t>
      </w:r>
      <w:r w:rsidRPr="00D4558A">
        <w:rPr>
          <w:rFonts w:cs="Arial"/>
        </w:rPr>
        <w:t>vodních to</w:t>
      </w:r>
      <w:r>
        <w:rPr>
          <w:rFonts w:cs="Arial"/>
        </w:rPr>
        <w:t>cích</w:t>
      </w:r>
      <w:r w:rsidRPr="00D4558A">
        <w:rPr>
          <w:rFonts w:cs="Arial"/>
        </w:rPr>
        <w:t>“ je vybudování stavebních protipovodňových opatření podél vodních toků formou výstavby např. ochranných hrází a zvýšení kapacity a stabilizace koryt vodních toků (zejména v intravilánech).</w:t>
      </w:r>
    </w:p>
    <w:p w14:paraId="3FBBABB6" w14:textId="77777777" w:rsidR="006017D7" w:rsidRPr="00D4558A" w:rsidRDefault="006017D7" w:rsidP="006017D7">
      <w:pPr>
        <w:contextualSpacing/>
        <w:rPr>
          <w:rFonts w:cs="Arial"/>
        </w:rPr>
      </w:pPr>
    </w:p>
    <w:p w14:paraId="1DB73DE9" w14:textId="77777777" w:rsidR="006017D7" w:rsidRDefault="006017D7" w:rsidP="006017D7">
      <w:pPr>
        <w:contextualSpacing/>
        <w:rPr>
          <w:rFonts w:cs="Arial"/>
        </w:rPr>
      </w:pPr>
      <w:r>
        <w:rPr>
          <w:rFonts w:cs="Arial"/>
        </w:rPr>
        <w:t>Podprogram 129 505 „Podpora realizace vyvolaných investic souvisejících s výstavbou VD Nové Heřminovy“ je zaměřen na přípravné práce a technická opatření, která je nutné realizovat ještě před samotnou výstavbou vodního díla.</w:t>
      </w:r>
    </w:p>
    <w:p w14:paraId="19CED07D" w14:textId="77777777" w:rsidR="006017D7" w:rsidRDefault="006017D7" w:rsidP="006017D7">
      <w:pPr>
        <w:contextualSpacing/>
        <w:rPr>
          <w:rFonts w:cs="Arial"/>
        </w:rPr>
      </w:pPr>
    </w:p>
    <w:p w14:paraId="2E2111C5" w14:textId="77777777" w:rsidR="006017D7" w:rsidRPr="00D4558A" w:rsidRDefault="006017D7" w:rsidP="006017D7">
      <w:pPr>
        <w:contextualSpacing/>
        <w:rPr>
          <w:rFonts w:cs="Arial"/>
        </w:rPr>
      </w:pPr>
      <w:r w:rsidRPr="00D4558A">
        <w:rPr>
          <w:rFonts w:cs="Arial"/>
        </w:rPr>
        <w:t>Realizaci opatření programu 129 </w:t>
      </w:r>
      <w:r>
        <w:rPr>
          <w:rFonts w:cs="Arial"/>
        </w:rPr>
        <w:t>50</w:t>
      </w:r>
      <w:r w:rsidRPr="00D4558A">
        <w:rPr>
          <w:rFonts w:cs="Arial"/>
        </w:rPr>
        <w:t>0 stejně jako v předchozích letech zajišťují správci vodních toků (s. p. Povodí a LČR a správci drobných vodních toků určení MZe dle § 48 odst. 2 vodního zákona). Obce se aktivně účastní programu jako žadatelé o podporu při výstavbě opatření lokálního charakteru zaměřených na snižování rizika povodní z přívalových srážek na drobných vodních tocích.</w:t>
      </w:r>
    </w:p>
    <w:p w14:paraId="45B37B8C" w14:textId="77777777" w:rsidR="006017D7" w:rsidRPr="00D4558A" w:rsidRDefault="006017D7" w:rsidP="006017D7">
      <w:pPr>
        <w:contextualSpacing/>
        <w:rPr>
          <w:rFonts w:cs="Arial"/>
        </w:rPr>
      </w:pPr>
    </w:p>
    <w:p w14:paraId="1197808E" w14:textId="77777777" w:rsidR="006017D7" w:rsidRPr="00186037" w:rsidRDefault="006017D7" w:rsidP="006017D7">
      <w:pPr>
        <w:contextualSpacing/>
        <w:rPr>
          <w:rFonts w:cs="Arial"/>
          <w:b/>
          <w:color w:val="FF0000"/>
          <w:highlight w:val="yellow"/>
        </w:rPr>
      </w:pPr>
      <w:r w:rsidRPr="00D4558A">
        <w:rPr>
          <w:rFonts w:cs="Arial"/>
        </w:rPr>
        <w:t xml:space="preserve">I tento program umožňuje zapojení obcí, sdružení obcí, měst a krajů do procesu navrhování protipovodňových opatření, a to prostřednictvím institutu tzv. navrhovatele, kdy realizaci jimi navržených opatření </w:t>
      </w:r>
      <w:r>
        <w:rPr>
          <w:rFonts w:cs="Arial"/>
        </w:rPr>
        <w:t xml:space="preserve">budou zajišťovat </w:t>
      </w:r>
      <w:r w:rsidRPr="00D4558A">
        <w:rPr>
          <w:rFonts w:cs="Arial"/>
        </w:rPr>
        <w:t>správci vodních toků.</w:t>
      </w:r>
    </w:p>
    <w:p w14:paraId="0C2943C8" w14:textId="77777777" w:rsidR="002B1409" w:rsidRPr="00104F7D" w:rsidRDefault="002B1409" w:rsidP="007C4955">
      <w:pPr>
        <w:contextualSpacing/>
        <w:rPr>
          <w:rFonts w:cs="Arial"/>
          <w:b/>
          <w:i/>
          <w:highlight w:val="yellow"/>
        </w:rPr>
      </w:pPr>
    </w:p>
    <w:p w14:paraId="4228AADB" w14:textId="42626845" w:rsidR="00F3471A" w:rsidRPr="009A3037" w:rsidRDefault="00F3471A" w:rsidP="00F3471A">
      <w:pPr>
        <w:contextualSpacing/>
        <w:rPr>
          <w:rFonts w:cs="Arial"/>
          <w:b/>
          <w:i/>
        </w:rPr>
      </w:pPr>
      <w:r w:rsidRPr="009A3037">
        <w:rPr>
          <w:rFonts w:cs="Arial"/>
          <w:b/>
          <w:i/>
        </w:rPr>
        <w:t>Tabulka 11.1.1.</w:t>
      </w:r>
      <w:r w:rsidR="009B4EBD">
        <w:rPr>
          <w:rFonts w:cs="Arial"/>
          <w:b/>
          <w:i/>
        </w:rPr>
        <w:t>8</w:t>
      </w:r>
    </w:p>
    <w:p w14:paraId="73EFD5C4" w14:textId="22EBB7D6" w:rsidR="00B44370" w:rsidRPr="009A3037" w:rsidRDefault="00B44370" w:rsidP="00B44370">
      <w:pPr>
        <w:contextualSpacing/>
        <w:rPr>
          <w:rFonts w:cs="Arial"/>
          <w:b/>
          <w:i/>
        </w:rPr>
      </w:pPr>
      <w:r w:rsidRPr="009A3037">
        <w:rPr>
          <w:rFonts w:cs="Arial"/>
          <w:b/>
          <w:i/>
        </w:rPr>
        <w:t>Čerpání finančních prostředků vybraných významných akcí programu Ministerstva zemědělství 129 500 v roce 202</w:t>
      </w:r>
      <w:r w:rsidR="006017D7" w:rsidRPr="009A3037">
        <w:rPr>
          <w:rFonts w:cs="Arial"/>
          <w:b/>
          <w:i/>
        </w:rPr>
        <w:t>5</w:t>
      </w:r>
    </w:p>
    <w:tbl>
      <w:tblPr>
        <w:tblpPr w:leftFromText="141" w:rightFromText="141" w:vertAnchor="text" w:horzAnchor="margin" w:tblpX="70" w:tblpY="96"/>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64"/>
        <w:gridCol w:w="3985"/>
        <w:gridCol w:w="1456"/>
        <w:gridCol w:w="1038"/>
        <w:gridCol w:w="914"/>
      </w:tblGrid>
      <w:tr w:rsidR="00B44370" w:rsidRPr="009A3037" w14:paraId="196AF912" w14:textId="77777777" w:rsidTr="00355BC7">
        <w:trPr>
          <w:trHeight w:val="411"/>
        </w:trPr>
        <w:tc>
          <w:tcPr>
            <w:tcW w:w="1132" w:type="pct"/>
            <w:vMerge w:val="restart"/>
            <w:shd w:val="clear" w:color="auto" w:fill="BFBFBF"/>
            <w:noWrap/>
            <w:vAlign w:val="center"/>
          </w:tcPr>
          <w:p w14:paraId="52E8AD26" w14:textId="77777777" w:rsidR="00B44370" w:rsidRPr="009A3037" w:rsidRDefault="00B44370" w:rsidP="00355BC7">
            <w:pPr>
              <w:contextualSpacing/>
              <w:jc w:val="center"/>
              <w:rPr>
                <w:rFonts w:cs="Arial"/>
                <w:b/>
                <w:sz w:val="18"/>
                <w:szCs w:val="18"/>
              </w:rPr>
            </w:pPr>
            <w:r w:rsidRPr="009A3037">
              <w:rPr>
                <w:rFonts w:cs="Arial"/>
                <w:b/>
                <w:sz w:val="18"/>
                <w:szCs w:val="18"/>
              </w:rPr>
              <w:t>Správci vodních toků</w:t>
            </w:r>
          </w:p>
        </w:tc>
        <w:tc>
          <w:tcPr>
            <w:tcW w:w="2085" w:type="pct"/>
            <w:vMerge w:val="restart"/>
            <w:shd w:val="clear" w:color="auto" w:fill="BFBFBF"/>
            <w:noWrap/>
            <w:vAlign w:val="center"/>
          </w:tcPr>
          <w:p w14:paraId="434768D7" w14:textId="77777777" w:rsidR="00B44370" w:rsidRPr="009A3037" w:rsidRDefault="00B44370" w:rsidP="00355BC7">
            <w:pPr>
              <w:contextualSpacing/>
              <w:jc w:val="center"/>
              <w:rPr>
                <w:rFonts w:cs="Arial"/>
                <w:b/>
                <w:sz w:val="18"/>
                <w:szCs w:val="18"/>
              </w:rPr>
            </w:pPr>
            <w:r w:rsidRPr="009A3037">
              <w:rPr>
                <w:rFonts w:cs="Arial"/>
                <w:b/>
                <w:sz w:val="18"/>
                <w:szCs w:val="18"/>
              </w:rPr>
              <w:t>Název akce</w:t>
            </w:r>
          </w:p>
        </w:tc>
        <w:tc>
          <w:tcPr>
            <w:tcW w:w="762" w:type="pct"/>
            <w:vMerge w:val="restart"/>
            <w:shd w:val="clear" w:color="auto" w:fill="BFBFBF"/>
            <w:noWrap/>
            <w:vAlign w:val="center"/>
          </w:tcPr>
          <w:p w14:paraId="258DD85F" w14:textId="77777777" w:rsidR="00B44370" w:rsidRPr="009A3037" w:rsidRDefault="00B44370" w:rsidP="00355BC7">
            <w:pPr>
              <w:contextualSpacing/>
              <w:jc w:val="center"/>
              <w:rPr>
                <w:rFonts w:cs="Arial"/>
                <w:b/>
                <w:sz w:val="18"/>
                <w:szCs w:val="18"/>
              </w:rPr>
            </w:pPr>
            <w:r w:rsidRPr="009A3037">
              <w:rPr>
                <w:rFonts w:cs="Arial"/>
                <w:b/>
                <w:sz w:val="18"/>
                <w:szCs w:val="18"/>
              </w:rPr>
              <w:t>Termín realizace</w:t>
            </w:r>
          </w:p>
        </w:tc>
        <w:tc>
          <w:tcPr>
            <w:tcW w:w="543" w:type="pct"/>
            <w:shd w:val="clear" w:color="auto" w:fill="BFBFBF"/>
            <w:noWrap/>
            <w:vAlign w:val="center"/>
          </w:tcPr>
          <w:p w14:paraId="4DB28D4D" w14:textId="77777777" w:rsidR="00B44370" w:rsidRPr="009A3037" w:rsidRDefault="00B44370" w:rsidP="00355BC7">
            <w:pPr>
              <w:contextualSpacing/>
              <w:jc w:val="center"/>
              <w:rPr>
                <w:rFonts w:cs="Arial"/>
                <w:b/>
                <w:sz w:val="18"/>
                <w:szCs w:val="18"/>
              </w:rPr>
            </w:pPr>
            <w:r w:rsidRPr="009A3037">
              <w:rPr>
                <w:rFonts w:cs="Arial"/>
                <w:b/>
                <w:sz w:val="18"/>
                <w:szCs w:val="18"/>
              </w:rPr>
              <w:t>Celkové náklady</w:t>
            </w:r>
          </w:p>
        </w:tc>
        <w:tc>
          <w:tcPr>
            <w:tcW w:w="478" w:type="pct"/>
            <w:shd w:val="clear" w:color="auto" w:fill="BFBFBF"/>
            <w:noWrap/>
            <w:vAlign w:val="center"/>
          </w:tcPr>
          <w:p w14:paraId="55E3A62D" w14:textId="7C5290B9" w:rsidR="00B44370" w:rsidRPr="009A3037" w:rsidRDefault="00B44370" w:rsidP="00355BC7">
            <w:pPr>
              <w:contextualSpacing/>
              <w:jc w:val="center"/>
              <w:rPr>
                <w:rFonts w:cs="Arial"/>
                <w:b/>
                <w:sz w:val="18"/>
                <w:szCs w:val="18"/>
              </w:rPr>
            </w:pPr>
            <w:r w:rsidRPr="009A3037">
              <w:rPr>
                <w:rFonts w:cs="Arial"/>
                <w:b/>
                <w:sz w:val="18"/>
                <w:szCs w:val="18"/>
              </w:rPr>
              <w:t>Dotace v roce 202</w:t>
            </w:r>
            <w:r w:rsidR="009A3037">
              <w:rPr>
                <w:rFonts w:cs="Arial"/>
                <w:b/>
                <w:sz w:val="18"/>
                <w:szCs w:val="18"/>
              </w:rPr>
              <w:t>5</w:t>
            </w:r>
          </w:p>
        </w:tc>
      </w:tr>
      <w:tr w:rsidR="00B44370" w:rsidRPr="009A3037" w14:paraId="4FA82BDD" w14:textId="77777777" w:rsidTr="00355BC7">
        <w:trPr>
          <w:trHeight w:val="279"/>
        </w:trPr>
        <w:tc>
          <w:tcPr>
            <w:tcW w:w="1132" w:type="pct"/>
            <w:vMerge/>
            <w:shd w:val="clear" w:color="auto" w:fill="BFBFBF"/>
            <w:noWrap/>
            <w:vAlign w:val="center"/>
          </w:tcPr>
          <w:p w14:paraId="37E1F085" w14:textId="77777777" w:rsidR="00B44370" w:rsidRPr="009A3037" w:rsidRDefault="00B44370" w:rsidP="00355BC7">
            <w:pPr>
              <w:contextualSpacing/>
              <w:jc w:val="center"/>
              <w:rPr>
                <w:rFonts w:cs="Arial"/>
                <w:b/>
                <w:sz w:val="18"/>
                <w:szCs w:val="18"/>
              </w:rPr>
            </w:pPr>
          </w:p>
        </w:tc>
        <w:tc>
          <w:tcPr>
            <w:tcW w:w="2085" w:type="pct"/>
            <w:vMerge/>
            <w:shd w:val="clear" w:color="auto" w:fill="BFBFBF"/>
            <w:noWrap/>
            <w:vAlign w:val="center"/>
          </w:tcPr>
          <w:p w14:paraId="71D4F501" w14:textId="77777777" w:rsidR="00B44370" w:rsidRPr="009A3037" w:rsidRDefault="00B44370" w:rsidP="00355BC7">
            <w:pPr>
              <w:contextualSpacing/>
              <w:jc w:val="center"/>
              <w:rPr>
                <w:rFonts w:cs="Arial"/>
                <w:b/>
                <w:sz w:val="18"/>
                <w:szCs w:val="18"/>
              </w:rPr>
            </w:pPr>
          </w:p>
        </w:tc>
        <w:tc>
          <w:tcPr>
            <w:tcW w:w="762" w:type="pct"/>
            <w:vMerge/>
            <w:shd w:val="clear" w:color="auto" w:fill="BFBFBF"/>
            <w:noWrap/>
            <w:vAlign w:val="bottom"/>
          </w:tcPr>
          <w:p w14:paraId="11C82DA3" w14:textId="77777777" w:rsidR="00B44370" w:rsidRPr="009A3037" w:rsidRDefault="00B44370" w:rsidP="00355BC7">
            <w:pPr>
              <w:contextualSpacing/>
              <w:jc w:val="center"/>
              <w:rPr>
                <w:rFonts w:cs="Arial"/>
                <w:b/>
                <w:sz w:val="18"/>
                <w:szCs w:val="18"/>
              </w:rPr>
            </w:pPr>
          </w:p>
        </w:tc>
        <w:tc>
          <w:tcPr>
            <w:tcW w:w="1021" w:type="pct"/>
            <w:gridSpan w:val="2"/>
            <w:shd w:val="clear" w:color="auto" w:fill="BFBFBF"/>
            <w:noWrap/>
            <w:vAlign w:val="center"/>
          </w:tcPr>
          <w:p w14:paraId="478B8CDF" w14:textId="77777777" w:rsidR="00B44370" w:rsidRPr="009A3037" w:rsidRDefault="00B44370" w:rsidP="00355BC7">
            <w:pPr>
              <w:contextualSpacing/>
              <w:jc w:val="center"/>
              <w:rPr>
                <w:rFonts w:cs="Arial"/>
                <w:b/>
                <w:sz w:val="18"/>
                <w:szCs w:val="18"/>
              </w:rPr>
            </w:pPr>
            <w:r w:rsidRPr="009A3037">
              <w:rPr>
                <w:rFonts w:cs="Arial"/>
                <w:b/>
                <w:sz w:val="18"/>
                <w:szCs w:val="18"/>
              </w:rPr>
              <w:t>mil. Kč</w:t>
            </w:r>
          </w:p>
        </w:tc>
      </w:tr>
      <w:tr w:rsidR="009A3037" w:rsidRPr="009A3037" w14:paraId="2355A265" w14:textId="77777777" w:rsidTr="00355BC7">
        <w:trPr>
          <w:trHeight w:val="532"/>
        </w:trPr>
        <w:tc>
          <w:tcPr>
            <w:tcW w:w="1132" w:type="pct"/>
            <w:shd w:val="clear" w:color="auto" w:fill="D0CECE"/>
            <w:noWrap/>
            <w:vAlign w:val="center"/>
          </w:tcPr>
          <w:p w14:paraId="01A7A9DC" w14:textId="77777777" w:rsidR="009A3037" w:rsidRPr="009A3037" w:rsidRDefault="009A3037" w:rsidP="009A3037">
            <w:pPr>
              <w:contextualSpacing/>
              <w:rPr>
                <w:rFonts w:cs="Arial"/>
                <w:sz w:val="18"/>
                <w:szCs w:val="18"/>
              </w:rPr>
            </w:pPr>
            <w:r w:rsidRPr="009A3037">
              <w:rPr>
                <w:rFonts w:cs="Arial"/>
                <w:sz w:val="18"/>
                <w:szCs w:val="18"/>
              </w:rPr>
              <w:t>Povodí Labe</w:t>
            </w:r>
          </w:p>
        </w:tc>
        <w:tc>
          <w:tcPr>
            <w:tcW w:w="2085" w:type="pct"/>
            <w:vAlign w:val="center"/>
          </w:tcPr>
          <w:p w14:paraId="182C17F8" w14:textId="57BC8FCA" w:rsidR="009A3037" w:rsidRPr="009A3037" w:rsidRDefault="009A3037" w:rsidP="009A3037">
            <w:pPr>
              <w:contextualSpacing/>
              <w:rPr>
                <w:rFonts w:cs="Arial"/>
                <w:sz w:val="18"/>
                <w:szCs w:val="18"/>
              </w:rPr>
            </w:pPr>
            <w:r w:rsidRPr="009A3037">
              <w:rPr>
                <w:rFonts w:cs="Arial"/>
                <w:sz w:val="18"/>
                <w:szCs w:val="18"/>
              </w:rPr>
              <w:t xml:space="preserve">Krounka, </w:t>
            </w:r>
            <w:proofErr w:type="spellStart"/>
            <w:r w:rsidRPr="009A3037">
              <w:rPr>
                <w:rFonts w:cs="Arial"/>
                <w:sz w:val="18"/>
                <w:szCs w:val="18"/>
              </w:rPr>
              <w:t>Kutřín</w:t>
            </w:r>
            <w:proofErr w:type="spellEnd"/>
            <w:r w:rsidRPr="009A3037">
              <w:rPr>
                <w:rFonts w:cs="Arial"/>
                <w:sz w:val="18"/>
                <w:szCs w:val="18"/>
              </w:rPr>
              <w:t>, výstavba poldru</w:t>
            </w:r>
          </w:p>
        </w:tc>
        <w:tc>
          <w:tcPr>
            <w:tcW w:w="762" w:type="pct"/>
            <w:noWrap/>
            <w:vAlign w:val="center"/>
          </w:tcPr>
          <w:p w14:paraId="6EA03DAA" w14:textId="2C34ECA5" w:rsidR="009A3037" w:rsidRPr="009A3037" w:rsidRDefault="009A3037" w:rsidP="009A3037">
            <w:pPr>
              <w:contextualSpacing/>
              <w:jc w:val="center"/>
              <w:rPr>
                <w:rFonts w:cs="Arial"/>
                <w:sz w:val="18"/>
                <w:szCs w:val="18"/>
              </w:rPr>
            </w:pPr>
            <w:r w:rsidRPr="009A3037">
              <w:rPr>
                <w:rFonts w:cs="Arial"/>
                <w:sz w:val="18"/>
                <w:szCs w:val="18"/>
              </w:rPr>
              <w:t>12/23–12/27</w:t>
            </w:r>
          </w:p>
        </w:tc>
        <w:tc>
          <w:tcPr>
            <w:tcW w:w="543" w:type="pct"/>
            <w:noWrap/>
            <w:vAlign w:val="center"/>
          </w:tcPr>
          <w:p w14:paraId="146A8D6C" w14:textId="653356EF" w:rsidR="009A3037" w:rsidRPr="009A3037" w:rsidRDefault="009A3037" w:rsidP="009A3037">
            <w:pPr>
              <w:contextualSpacing/>
              <w:jc w:val="right"/>
              <w:rPr>
                <w:rFonts w:cs="Arial"/>
                <w:sz w:val="18"/>
                <w:szCs w:val="18"/>
              </w:rPr>
            </w:pPr>
            <w:r w:rsidRPr="009A3037">
              <w:rPr>
                <w:rFonts w:cs="Arial"/>
                <w:sz w:val="18"/>
                <w:szCs w:val="18"/>
              </w:rPr>
              <w:t>583,165</w:t>
            </w:r>
          </w:p>
        </w:tc>
        <w:tc>
          <w:tcPr>
            <w:tcW w:w="478" w:type="pct"/>
            <w:noWrap/>
            <w:vAlign w:val="center"/>
          </w:tcPr>
          <w:p w14:paraId="56C01E42" w14:textId="3C58025C" w:rsidR="009A3037" w:rsidRPr="009A3037" w:rsidRDefault="009A3037" w:rsidP="009A3037">
            <w:pPr>
              <w:contextualSpacing/>
              <w:jc w:val="right"/>
              <w:rPr>
                <w:rFonts w:cs="Arial"/>
                <w:sz w:val="18"/>
                <w:szCs w:val="18"/>
              </w:rPr>
            </w:pPr>
            <w:r w:rsidRPr="009A3037">
              <w:rPr>
                <w:rFonts w:cs="Arial"/>
                <w:sz w:val="18"/>
                <w:szCs w:val="18"/>
              </w:rPr>
              <w:t>86,618</w:t>
            </w:r>
          </w:p>
        </w:tc>
      </w:tr>
      <w:tr w:rsidR="009A3037" w:rsidRPr="009A3037" w14:paraId="279B0A27" w14:textId="77777777" w:rsidTr="00355BC7">
        <w:trPr>
          <w:trHeight w:val="318"/>
        </w:trPr>
        <w:tc>
          <w:tcPr>
            <w:tcW w:w="1132" w:type="pct"/>
            <w:shd w:val="clear" w:color="auto" w:fill="BFBFBF"/>
            <w:noWrap/>
            <w:vAlign w:val="center"/>
          </w:tcPr>
          <w:p w14:paraId="2743BD0F" w14:textId="77777777" w:rsidR="009A3037" w:rsidRPr="009A3037" w:rsidRDefault="009A3037" w:rsidP="009A3037">
            <w:pPr>
              <w:contextualSpacing/>
              <w:rPr>
                <w:rFonts w:cs="Arial"/>
                <w:sz w:val="18"/>
                <w:szCs w:val="18"/>
              </w:rPr>
            </w:pPr>
            <w:r w:rsidRPr="009A3037">
              <w:rPr>
                <w:rFonts w:cs="Arial"/>
                <w:sz w:val="18"/>
                <w:szCs w:val="18"/>
              </w:rPr>
              <w:t>Povodí Odry</w:t>
            </w:r>
          </w:p>
        </w:tc>
        <w:tc>
          <w:tcPr>
            <w:tcW w:w="2085" w:type="pct"/>
            <w:shd w:val="clear" w:color="auto" w:fill="FFFFFF"/>
            <w:vAlign w:val="center"/>
          </w:tcPr>
          <w:p w14:paraId="6CB89D0C" w14:textId="3F75B16D" w:rsidR="009A3037" w:rsidRPr="009A3037" w:rsidRDefault="009A3037" w:rsidP="009A3037">
            <w:pPr>
              <w:contextualSpacing/>
              <w:rPr>
                <w:rFonts w:cs="Arial"/>
                <w:sz w:val="18"/>
                <w:szCs w:val="18"/>
              </w:rPr>
            </w:pPr>
            <w:r w:rsidRPr="009A3037">
              <w:rPr>
                <w:rFonts w:cs="Arial"/>
                <w:sz w:val="18"/>
                <w:szCs w:val="18"/>
              </w:rPr>
              <w:t>Ochranná hráz na Odře a Orlovské Stružce, Bohumín-</w:t>
            </w:r>
            <w:proofErr w:type="spellStart"/>
            <w:r w:rsidRPr="009A3037">
              <w:rPr>
                <w:rFonts w:cs="Arial"/>
                <w:sz w:val="18"/>
                <w:szCs w:val="18"/>
              </w:rPr>
              <w:t>Pudlov</w:t>
            </w:r>
            <w:proofErr w:type="spellEnd"/>
          </w:p>
        </w:tc>
        <w:tc>
          <w:tcPr>
            <w:tcW w:w="762" w:type="pct"/>
            <w:shd w:val="clear" w:color="auto" w:fill="FFFFFF"/>
            <w:noWrap/>
            <w:vAlign w:val="center"/>
          </w:tcPr>
          <w:p w14:paraId="016DC2D5" w14:textId="11815272" w:rsidR="009A3037" w:rsidRPr="009A3037" w:rsidRDefault="009A3037" w:rsidP="009A3037">
            <w:pPr>
              <w:contextualSpacing/>
              <w:jc w:val="center"/>
              <w:rPr>
                <w:rFonts w:cs="Arial"/>
                <w:sz w:val="18"/>
                <w:szCs w:val="18"/>
              </w:rPr>
            </w:pPr>
            <w:r w:rsidRPr="009A3037">
              <w:rPr>
                <w:rFonts w:cs="Arial"/>
                <w:sz w:val="18"/>
                <w:szCs w:val="18"/>
              </w:rPr>
              <w:t>10/22-03/27</w:t>
            </w:r>
          </w:p>
        </w:tc>
        <w:tc>
          <w:tcPr>
            <w:tcW w:w="543" w:type="pct"/>
            <w:noWrap/>
            <w:vAlign w:val="center"/>
          </w:tcPr>
          <w:p w14:paraId="6AD82763" w14:textId="49536903" w:rsidR="009A3037" w:rsidRPr="009A3037" w:rsidRDefault="009A3037" w:rsidP="009A3037">
            <w:pPr>
              <w:contextualSpacing/>
              <w:jc w:val="right"/>
              <w:rPr>
                <w:rFonts w:cs="Arial"/>
                <w:sz w:val="18"/>
                <w:szCs w:val="18"/>
              </w:rPr>
            </w:pPr>
            <w:r w:rsidRPr="009A3037">
              <w:rPr>
                <w:rFonts w:cs="Arial"/>
                <w:sz w:val="18"/>
                <w:szCs w:val="18"/>
              </w:rPr>
              <w:t>400,318</w:t>
            </w:r>
          </w:p>
        </w:tc>
        <w:tc>
          <w:tcPr>
            <w:tcW w:w="478" w:type="pct"/>
            <w:noWrap/>
            <w:vAlign w:val="center"/>
          </w:tcPr>
          <w:p w14:paraId="016C0226" w14:textId="6929A848" w:rsidR="009A3037" w:rsidRPr="009A3037" w:rsidRDefault="009A3037" w:rsidP="009A3037">
            <w:pPr>
              <w:contextualSpacing/>
              <w:jc w:val="right"/>
              <w:rPr>
                <w:rFonts w:cs="Arial"/>
                <w:sz w:val="18"/>
                <w:szCs w:val="18"/>
              </w:rPr>
            </w:pPr>
            <w:r w:rsidRPr="009A3037">
              <w:rPr>
                <w:rFonts w:cs="Arial"/>
                <w:sz w:val="18"/>
                <w:szCs w:val="18"/>
              </w:rPr>
              <w:t>95,300</w:t>
            </w:r>
          </w:p>
        </w:tc>
      </w:tr>
      <w:tr w:rsidR="009A3037" w:rsidRPr="009A3037" w14:paraId="1FAED55A" w14:textId="77777777" w:rsidTr="00355BC7">
        <w:trPr>
          <w:trHeight w:val="280"/>
        </w:trPr>
        <w:tc>
          <w:tcPr>
            <w:tcW w:w="1132" w:type="pct"/>
            <w:shd w:val="clear" w:color="auto" w:fill="BFBFBF"/>
            <w:noWrap/>
            <w:vAlign w:val="center"/>
          </w:tcPr>
          <w:p w14:paraId="01E1434E" w14:textId="77777777" w:rsidR="009A3037" w:rsidRPr="009A3037" w:rsidRDefault="009A3037" w:rsidP="009A3037">
            <w:pPr>
              <w:contextualSpacing/>
              <w:rPr>
                <w:rFonts w:cs="Arial"/>
                <w:sz w:val="18"/>
                <w:szCs w:val="18"/>
              </w:rPr>
            </w:pPr>
            <w:r w:rsidRPr="009A3037">
              <w:rPr>
                <w:rFonts w:cs="Arial"/>
                <w:sz w:val="18"/>
                <w:szCs w:val="18"/>
              </w:rPr>
              <w:t>Povodí Moravy</w:t>
            </w:r>
          </w:p>
        </w:tc>
        <w:tc>
          <w:tcPr>
            <w:tcW w:w="2085" w:type="pct"/>
            <w:shd w:val="clear" w:color="auto" w:fill="FFFFFF"/>
            <w:vAlign w:val="center"/>
          </w:tcPr>
          <w:p w14:paraId="39DFAABE" w14:textId="23C2F8C1" w:rsidR="009A3037" w:rsidRPr="009A3037" w:rsidRDefault="009A3037" w:rsidP="009A3037">
            <w:pPr>
              <w:contextualSpacing/>
              <w:rPr>
                <w:rFonts w:cs="Arial"/>
                <w:sz w:val="18"/>
                <w:szCs w:val="18"/>
              </w:rPr>
            </w:pPr>
            <w:r w:rsidRPr="009A3037">
              <w:rPr>
                <w:rFonts w:cs="Arial"/>
                <w:sz w:val="18"/>
                <w:szCs w:val="18"/>
              </w:rPr>
              <w:t>Rekonstrukce levobřežní části jezu Rajhrad</w:t>
            </w:r>
          </w:p>
        </w:tc>
        <w:tc>
          <w:tcPr>
            <w:tcW w:w="762" w:type="pct"/>
            <w:shd w:val="clear" w:color="auto" w:fill="FFFFFF"/>
            <w:noWrap/>
            <w:vAlign w:val="center"/>
          </w:tcPr>
          <w:p w14:paraId="54A5FAFA" w14:textId="35E05852" w:rsidR="009A3037" w:rsidRPr="009A3037" w:rsidRDefault="009A3037" w:rsidP="009A3037">
            <w:pPr>
              <w:contextualSpacing/>
              <w:jc w:val="center"/>
              <w:rPr>
                <w:rFonts w:cs="Arial"/>
                <w:sz w:val="18"/>
                <w:szCs w:val="18"/>
              </w:rPr>
            </w:pPr>
            <w:r w:rsidRPr="009A3037">
              <w:rPr>
                <w:rFonts w:cs="Arial"/>
                <w:sz w:val="18"/>
                <w:szCs w:val="18"/>
              </w:rPr>
              <w:t>12/24–10/26</w:t>
            </w:r>
          </w:p>
        </w:tc>
        <w:tc>
          <w:tcPr>
            <w:tcW w:w="543" w:type="pct"/>
            <w:noWrap/>
            <w:vAlign w:val="center"/>
          </w:tcPr>
          <w:p w14:paraId="7E9A279A" w14:textId="40F82ACE" w:rsidR="009A3037" w:rsidRPr="009A3037" w:rsidRDefault="009A3037" w:rsidP="009A3037">
            <w:pPr>
              <w:contextualSpacing/>
              <w:jc w:val="right"/>
              <w:rPr>
                <w:rFonts w:cs="Arial"/>
                <w:sz w:val="18"/>
                <w:szCs w:val="18"/>
              </w:rPr>
            </w:pPr>
            <w:r w:rsidRPr="009A3037">
              <w:rPr>
                <w:rFonts w:cs="Arial"/>
                <w:sz w:val="18"/>
                <w:szCs w:val="18"/>
              </w:rPr>
              <w:t>70,122</w:t>
            </w:r>
          </w:p>
        </w:tc>
        <w:tc>
          <w:tcPr>
            <w:tcW w:w="478" w:type="pct"/>
            <w:noWrap/>
            <w:vAlign w:val="center"/>
          </w:tcPr>
          <w:p w14:paraId="7AEE3687" w14:textId="04C6AC75" w:rsidR="009A3037" w:rsidRPr="009A3037" w:rsidDel="00D969C1" w:rsidRDefault="009A3037" w:rsidP="009A3037">
            <w:pPr>
              <w:contextualSpacing/>
              <w:jc w:val="right"/>
              <w:rPr>
                <w:rFonts w:cs="Arial"/>
                <w:sz w:val="18"/>
                <w:szCs w:val="18"/>
              </w:rPr>
            </w:pPr>
            <w:r w:rsidRPr="009A3037">
              <w:rPr>
                <w:rFonts w:cs="Arial"/>
                <w:sz w:val="18"/>
                <w:szCs w:val="18"/>
              </w:rPr>
              <w:t>59,373</w:t>
            </w:r>
          </w:p>
        </w:tc>
      </w:tr>
      <w:tr w:rsidR="009A3037" w:rsidRPr="009A3037" w14:paraId="2E53AA46" w14:textId="77777777" w:rsidTr="00355BC7">
        <w:trPr>
          <w:trHeight w:val="280"/>
        </w:trPr>
        <w:tc>
          <w:tcPr>
            <w:tcW w:w="1132" w:type="pct"/>
            <w:shd w:val="clear" w:color="auto" w:fill="BFBFBF"/>
            <w:noWrap/>
            <w:vAlign w:val="center"/>
          </w:tcPr>
          <w:p w14:paraId="113B9E5D" w14:textId="77777777" w:rsidR="009A3037" w:rsidRPr="009A3037" w:rsidRDefault="009A3037" w:rsidP="009A3037">
            <w:pPr>
              <w:contextualSpacing/>
              <w:rPr>
                <w:rFonts w:cs="Arial"/>
                <w:sz w:val="18"/>
                <w:szCs w:val="18"/>
              </w:rPr>
            </w:pPr>
            <w:r w:rsidRPr="009A3037">
              <w:rPr>
                <w:rFonts w:cs="Arial"/>
                <w:sz w:val="18"/>
                <w:szCs w:val="18"/>
              </w:rPr>
              <w:t>Lesy České republiky</w:t>
            </w:r>
          </w:p>
        </w:tc>
        <w:tc>
          <w:tcPr>
            <w:tcW w:w="2085" w:type="pct"/>
            <w:shd w:val="clear" w:color="auto" w:fill="FFFFFF"/>
            <w:vAlign w:val="center"/>
          </w:tcPr>
          <w:p w14:paraId="3736FFE5" w14:textId="34029D2F" w:rsidR="009A3037" w:rsidRPr="009A3037" w:rsidRDefault="009A3037" w:rsidP="009A3037">
            <w:pPr>
              <w:contextualSpacing/>
              <w:rPr>
                <w:rFonts w:cs="Arial"/>
                <w:sz w:val="18"/>
                <w:szCs w:val="18"/>
              </w:rPr>
            </w:pPr>
            <w:r w:rsidRPr="009A3037">
              <w:rPr>
                <w:rFonts w:cs="Arial"/>
                <w:sz w:val="18"/>
                <w:szCs w:val="18"/>
              </w:rPr>
              <w:t>Podolský potok IV.</w:t>
            </w:r>
          </w:p>
        </w:tc>
        <w:tc>
          <w:tcPr>
            <w:tcW w:w="762" w:type="pct"/>
            <w:shd w:val="clear" w:color="auto" w:fill="FFFFFF"/>
            <w:noWrap/>
            <w:vAlign w:val="center"/>
          </w:tcPr>
          <w:p w14:paraId="5403D12D" w14:textId="491E9F60" w:rsidR="009A3037" w:rsidRPr="009A3037" w:rsidRDefault="009A3037" w:rsidP="009A3037">
            <w:pPr>
              <w:contextualSpacing/>
              <w:jc w:val="center"/>
              <w:rPr>
                <w:rFonts w:cs="Arial"/>
                <w:sz w:val="18"/>
                <w:szCs w:val="18"/>
              </w:rPr>
            </w:pPr>
            <w:r w:rsidRPr="009A3037">
              <w:rPr>
                <w:rFonts w:cs="Arial"/>
                <w:sz w:val="18"/>
                <w:szCs w:val="18"/>
              </w:rPr>
              <w:t>09/24–05/26</w:t>
            </w:r>
          </w:p>
        </w:tc>
        <w:tc>
          <w:tcPr>
            <w:tcW w:w="543" w:type="pct"/>
            <w:noWrap/>
            <w:vAlign w:val="center"/>
          </w:tcPr>
          <w:p w14:paraId="317C9526" w14:textId="224C3936" w:rsidR="009A3037" w:rsidRPr="009A3037" w:rsidRDefault="009A3037" w:rsidP="009A3037">
            <w:pPr>
              <w:contextualSpacing/>
              <w:jc w:val="right"/>
              <w:rPr>
                <w:rFonts w:cs="Arial"/>
                <w:sz w:val="18"/>
                <w:szCs w:val="18"/>
              </w:rPr>
            </w:pPr>
            <w:r w:rsidRPr="009A3037">
              <w:rPr>
                <w:rFonts w:cs="Arial"/>
                <w:sz w:val="18"/>
                <w:szCs w:val="18"/>
              </w:rPr>
              <w:t>10,030</w:t>
            </w:r>
          </w:p>
        </w:tc>
        <w:tc>
          <w:tcPr>
            <w:tcW w:w="478" w:type="pct"/>
            <w:noWrap/>
            <w:vAlign w:val="center"/>
          </w:tcPr>
          <w:p w14:paraId="13729891" w14:textId="427FEC76" w:rsidR="009A3037" w:rsidRPr="009A3037" w:rsidRDefault="009A3037" w:rsidP="009A3037">
            <w:pPr>
              <w:contextualSpacing/>
              <w:jc w:val="right"/>
              <w:rPr>
                <w:rFonts w:cs="Arial"/>
                <w:sz w:val="18"/>
                <w:szCs w:val="18"/>
              </w:rPr>
            </w:pPr>
            <w:r w:rsidRPr="009A3037">
              <w:rPr>
                <w:rFonts w:cs="Arial"/>
                <w:sz w:val="18"/>
                <w:szCs w:val="18"/>
              </w:rPr>
              <w:t>6,525</w:t>
            </w:r>
          </w:p>
        </w:tc>
      </w:tr>
    </w:tbl>
    <w:p w14:paraId="5AB810BA" w14:textId="77777777" w:rsidR="00B44370" w:rsidRPr="009A3037" w:rsidRDefault="00B44370" w:rsidP="00B44370">
      <w:pPr>
        <w:contextualSpacing/>
        <w:rPr>
          <w:rFonts w:cs="Arial"/>
          <w:i/>
          <w:sz w:val="20"/>
          <w:szCs w:val="20"/>
        </w:rPr>
      </w:pPr>
      <w:r w:rsidRPr="009A3037">
        <w:rPr>
          <w:rFonts w:cs="Arial"/>
          <w:i/>
          <w:sz w:val="20"/>
          <w:szCs w:val="20"/>
        </w:rPr>
        <w:t>Pramen: MZe k 02/2025</w:t>
      </w:r>
    </w:p>
    <w:p w14:paraId="62668C7B" w14:textId="77777777" w:rsidR="00B44370" w:rsidRPr="00FE1742" w:rsidRDefault="00B44370" w:rsidP="00B44370">
      <w:pPr>
        <w:contextualSpacing/>
        <w:rPr>
          <w:rFonts w:cs="Arial"/>
          <w:i/>
          <w:color w:val="FF0000"/>
          <w:sz w:val="20"/>
          <w:szCs w:val="20"/>
        </w:rPr>
      </w:pPr>
    </w:p>
    <w:p w14:paraId="13282D84" w14:textId="1D1D3FC1" w:rsidR="00B44370" w:rsidRPr="00FE1742" w:rsidRDefault="00B44370" w:rsidP="00B44370">
      <w:pPr>
        <w:contextualSpacing/>
        <w:rPr>
          <w:rFonts w:cs="Arial"/>
          <w:b/>
          <w:i/>
        </w:rPr>
      </w:pPr>
      <w:r w:rsidRPr="00FE1742">
        <w:rPr>
          <w:rFonts w:cs="Arial"/>
          <w:b/>
          <w:i/>
        </w:rPr>
        <w:t>Tabulka 11.1.1.</w:t>
      </w:r>
      <w:r w:rsidR="009B4EBD">
        <w:rPr>
          <w:rFonts w:cs="Arial"/>
          <w:b/>
          <w:i/>
        </w:rPr>
        <w:t>9</w:t>
      </w:r>
    </w:p>
    <w:p w14:paraId="124BCAF8" w14:textId="386B4729" w:rsidR="00B44370" w:rsidRPr="00FE1742" w:rsidRDefault="00B44370" w:rsidP="00B44370">
      <w:pPr>
        <w:contextualSpacing/>
        <w:rPr>
          <w:rFonts w:cs="Arial"/>
          <w:b/>
          <w:i/>
        </w:rPr>
      </w:pPr>
      <w:r w:rsidRPr="00FE1742">
        <w:rPr>
          <w:rFonts w:cs="Arial"/>
          <w:b/>
          <w:i/>
        </w:rPr>
        <w:t>Čerpání finančních prostředků státního rozpočtu v rámci programu Ministerstva zemědělství 129 500 podle jednotlivých správců vodních toků v roce 202</w:t>
      </w:r>
      <w:r w:rsidR="00FE1742">
        <w:rPr>
          <w:rFonts w:cs="Arial"/>
          <w:b/>
          <w:i/>
        </w:rPr>
        <w:t>5</w:t>
      </w:r>
    </w:p>
    <w:tbl>
      <w:tblPr>
        <w:tblW w:w="56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26"/>
        <w:gridCol w:w="1444"/>
      </w:tblGrid>
      <w:tr w:rsidR="00B44370" w:rsidRPr="00FE1742" w14:paraId="1BC39755" w14:textId="77777777" w:rsidTr="00355BC7">
        <w:trPr>
          <w:cantSplit/>
          <w:trHeight w:val="424"/>
        </w:trPr>
        <w:tc>
          <w:tcPr>
            <w:tcW w:w="4226" w:type="dxa"/>
            <w:shd w:val="clear" w:color="auto" w:fill="BFBFBF"/>
            <w:vAlign w:val="center"/>
          </w:tcPr>
          <w:p w14:paraId="00B63A8E" w14:textId="77777777" w:rsidR="00B44370" w:rsidRPr="00FE1742" w:rsidRDefault="00B44370" w:rsidP="00355BC7">
            <w:pPr>
              <w:contextualSpacing/>
              <w:jc w:val="center"/>
              <w:rPr>
                <w:rFonts w:cs="Arial"/>
                <w:sz w:val="18"/>
                <w:szCs w:val="18"/>
              </w:rPr>
            </w:pPr>
            <w:r w:rsidRPr="00FE1742">
              <w:rPr>
                <w:rFonts w:cs="Arial"/>
                <w:b/>
                <w:sz w:val="18"/>
                <w:szCs w:val="18"/>
              </w:rPr>
              <w:t>Vlastníci a správci</w:t>
            </w:r>
          </w:p>
        </w:tc>
        <w:tc>
          <w:tcPr>
            <w:tcW w:w="1444" w:type="dxa"/>
            <w:shd w:val="clear" w:color="auto" w:fill="BFBFBF"/>
            <w:vAlign w:val="center"/>
          </w:tcPr>
          <w:p w14:paraId="69F0FE60" w14:textId="77777777" w:rsidR="00B44370" w:rsidRPr="00FE1742" w:rsidRDefault="00B44370" w:rsidP="00355BC7">
            <w:pPr>
              <w:contextualSpacing/>
              <w:jc w:val="center"/>
              <w:rPr>
                <w:rFonts w:cs="Arial"/>
                <w:b/>
                <w:sz w:val="18"/>
                <w:szCs w:val="18"/>
              </w:rPr>
            </w:pPr>
            <w:r w:rsidRPr="00FE1742">
              <w:rPr>
                <w:rFonts w:cs="Arial"/>
                <w:b/>
                <w:sz w:val="18"/>
                <w:szCs w:val="18"/>
              </w:rPr>
              <w:t>Investice</w:t>
            </w:r>
          </w:p>
          <w:p w14:paraId="5D5B89D5" w14:textId="77777777" w:rsidR="00B44370" w:rsidRPr="00FE1742" w:rsidRDefault="00B44370" w:rsidP="00355BC7">
            <w:pPr>
              <w:contextualSpacing/>
              <w:jc w:val="center"/>
              <w:rPr>
                <w:rFonts w:cs="Arial"/>
                <w:b/>
                <w:sz w:val="18"/>
                <w:szCs w:val="18"/>
              </w:rPr>
            </w:pPr>
            <w:r w:rsidRPr="00FE1742">
              <w:rPr>
                <w:rFonts w:cs="Arial"/>
                <w:b/>
                <w:sz w:val="18"/>
                <w:szCs w:val="18"/>
              </w:rPr>
              <w:t>mil. Kč</w:t>
            </w:r>
          </w:p>
        </w:tc>
      </w:tr>
      <w:tr w:rsidR="00FE1742" w:rsidRPr="00FE1742" w14:paraId="724D822D" w14:textId="77777777" w:rsidTr="00355BC7">
        <w:trPr>
          <w:trHeight w:val="283"/>
        </w:trPr>
        <w:tc>
          <w:tcPr>
            <w:tcW w:w="4226" w:type="dxa"/>
            <w:vAlign w:val="center"/>
          </w:tcPr>
          <w:p w14:paraId="39916162" w14:textId="77777777" w:rsidR="00FE1742" w:rsidRPr="00FE1742" w:rsidRDefault="00FE1742" w:rsidP="00FE1742">
            <w:pPr>
              <w:contextualSpacing/>
              <w:rPr>
                <w:rFonts w:cs="Arial"/>
                <w:sz w:val="18"/>
                <w:szCs w:val="18"/>
              </w:rPr>
            </w:pPr>
            <w:r w:rsidRPr="00FE1742">
              <w:rPr>
                <w:rFonts w:cs="Arial"/>
                <w:sz w:val="18"/>
                <w:szCs w:val="18"/>
              </w:rPr>
              <w:t>Povodí Labe</w:t>
            </w:r>
          </w:p>
        </w:tc>
        <w:tc>
          <w:tcPr>
            <w:tcW w:w="1444" w:type="dxa"/>
            <w:vAlign w:val="center"/>
          </w:tcPr>
          <w:p w14:paraId="1951CDB6" w14:textId="2475875D" w:rsidR="00FE1742" w:rsidRPr="00FE1742" w:rsidRDefault="00FE1742" w:rsidP="00FE1742">
            <w:pPr>
              <w:tabs>
                <w:tab w:val="decimal" w:pos="524"/>
              </w:tabs>
              <w:ind w:right="213"/>
              <w:contextualSpacing/>
              <w:jc w:val="right"/>
              <w:rPr>
                <w:rFonts w:cs="Arial"/>
                <w:sz w:val="18"/>
                <w:szCs w:val="18"/>
              </w:rPr>
            </w:pPr>
            <w:r w:rsidRPr="00FE1742">
              <w:rPr>
                <w:rFonts w:cs="Arial"/>
                <w:sz w:val="18"/>
                <w:szCs w:val="18"/>
              </w:rPr>
              <w:t>86,618</w:t>
            </w:r>
          </w:p>
        </w:tc>
      </w:tr>
      <w:tr w:rsidR="00FE1742" w:rsidRPr="00FE1742" w14:paraId="5486227C" w14:textId="77777777" w:rsidTr="00355BC7">
        <w:trPr>
          <w:trHeight w:val="283"/>
        </w:trPr>
        <w:tc>
          <w:tcPr>
            <w:tcW w:w="4226" w:type="dxa"/>
            <w:vAlign w:val="center"/>
          </w:tcPr>
          <w:p w14:paraId="2287E7FE" w14:textId="77777777" w:rsidR="00FE1742" w:rsidRPr="00FE1742" w:rsidRDefault="00FE1742" w:rsidP="00FE1742">
            <w:pPr>
              <w:contextualSpacing/>
              <w:rPr>
                <w:rFonts w:cs="Arial"/>
                <w:sz w:val="18"/>
                <w:szCs w:val="18"/>
              </w:rPr>
            </w:pPr>
            <w:r w:rsidRPr="00FE1742">
              <w:rPr>
                <w:rFonts w:cs="Arial"/>
                <w:sz w:val="18"/>
                <w:szCs w:val="18"/>
              </w:rPr>
              <w:t>Povodí Odry</w:t>
            </w:r>
          </w:p>
        </w:tc>
        <w:tc>
          <w:tcPr>
            <w:tcW w:w="1444" w:type="dxa"/>
            <w:vAlign w:val="center"/>
          </w:tcPr>
          <w:p w14:paraId="52DBC7A0" w14:textId="093AEBBC" w:rsidR="00FE1742" w:rsidRPr="00FE1742" w:rsidRDefault="00FE1742" w:rsidP="00FE1742">
            <w:pPr>
              <w:tabs>
                <w:tab w:val="decimal" w:pos="524"/>
              </w:tabs>
              <w:ind w:right="213"/>
              <w:contextualSpacing/>
              <w:jc w:val="right"/>
              <w:rPr>
                <w:rFonts w:cs="Arial"/>
                <w:sz w:val="18"/>
                <w:szCs w:val="18"/>
              </w:rPr>
            </w:pPr>
            <w:r w:rsidRPr="00FE1742">
              <w:rPr>
                <w:rFonts w:cs="Arial"/>
                <w:sz w:val="18"/>
                <w:szCs w:val="18"/>
              </w:rPr>
              <w:t>190,670</w:t>
            </w:r>
          </w:p>
        </w:tc>
      </w:tr>
      <w:tr w:rsidR="00FE1742" w:rsidRPr="00FE1742" w14:paraId="799487F4" w14:textId="77777777" w:rsidTr="00355BC7">
        <w:trPr>
          <w:trHeight w:val="283"/>
        </w:trPr>
        <w:tc>
          <w:tcPr>
            <w:tcW w:w="4226" w:type="dxa"/>
            <w:vAlign w:val="center"/>
          </w:tcPr>
          <w:p w14:paraId="38E5D553" w14:textId="77777777" w:rsidR="00FE1742" w:rsidRPr="00FE1742" w:rsidRDefault="00FE1742" w:rsidP="00FE1742">
            <w:pPr>
              <w:contextualSpacing/>
              <w:rPr>
                <w:rFonts w:cs="Arial"/>
                <w:sz w:val="18"/>
                <w:szCs w:val="18"/>
              </w:rPr>
            </w:pPr>
            <w:r w:rsidRPr="00FE1742">
              <w:rPr>
                <w:rFonts w:cs="Arial"/>
                <w:sz w:val="18"/>
                <w:szCs w:val="18"/>
              </w:rPr>
              <w:t>Povodí Moravy</w:t>
            </w:r>
          </w:p>
        </w:tc>
        <w:tc>
          <w:tcPr>
            <w:tcW w:w="1444" w:type="dxa"/>
            <w:vAlign w:val="center"/>
          </w:tcPr>
          <w:p w14:paraId="6435A8AB" w14:textId="1EF8B6EE" w:rsidR="00FE1742" w:rsidRPr="00FE1742" w:rsidRDefault="00FE1742" w:rsidP="00FE1742">
            <w:pPr>
              <w:tabs>
                <w:tab w:val="decimal" w:pos="524"/>
              </w:tabs>
              <w:ind w:right="213"/>
              <w:contextualSpacing/>
              <w:jc w:val="right"/>
              <w:rPr>
                <w:rFonts w:cs="Arial"/>
                <w:sz w:val="18"/>
                <w:szCs w:val="18"/>
              </w:rPr>
            </w:pPr>
            <w:r w:rsidRPr="00FE1742">
              <w:rPr>
                <w:rFonts w:cs="Arial"/>
                <w:sz w:val="18"/>
                <w:szCs w:val="18"/>
              </w:rPr>
              <w:t>132,748</w:t>
            </w:r>
          </w:p>
        </w:tc>
      </w:tr>
      <w:tr w:rsidR="00FE1742" w:rsidRPr="00FE1742" w14:paraId="693CC55E" w14:textId="77777777" w:rsidTr="00355BC7">
        <w:trPr>
          <w:trHeight w:val="283"/>
        </w:trPr>
        <w:tc>
          <w:tcPr>
            <w:tcW w:w="4226" w:type="dxa"/>
            <w:vAlign w:val="center"/>
          </w:tcPr>
          <w:p w14:paraId="523081B1" w14:textId="77777777" w:rsidR="00FE1742" w:rsidRPr="00FE1742" w:rsidRDefault="00FE1742" w:rsidP="00FE1742">
            <w:pPr>
              <w:contextualSpacing/>
              <w:rPr>
                <w:rFonts w:cs="Arial"/>
                <w:sz w:val="18"/>
                <w:szCs w:val="18"/>
              </w:rPr>
            </w:pPr>
            <w:r w:rsidRPr="00FE1742">
              <w:rPr>
                <w:rFonts w:cs="Arial"/>
                <w:sz w:val="18"/>
                <w:szCs w:val="18"/>
              </w:rPr>
              <w:t>Lesy České republiky</w:t>
            </w:r>
          </w:p>
        </w:tc>
        <w:tc>
          <w:tcPr>
            <w:tcW w:w="1444" w:type="dxa"/>
            <w:vAlign w:val="center"/>
          </w:tcPr>
          <w:p w14:paraId="29EC4C6D" w14:textId="65DBD956" w:rsidR="00FE1742" w:rsidRPr="00FE1742" w:rsidRDefault="00FE1742" w:rsidP="00FE1742">
            <w:pPr>
              <w:tabs>
                <w:tab w:val="decimal" w:pos="524"/>
              </w:tabs>
              <w:ind w:right="213"/>
              <w:contextualSpacing/>
              <w:jc w:val="right"/>
              <w:rPr>
                <w:rFonts w:cs="Arial"/>
                <w:sz w:val="18"/>
                <w:szCs w:val="18"/>
              </w:rPr>
            </w:pPr>
            <w:r w:rsidRPr="00FE1742">
              <w:rPr>
                <w:rFonts w:cs="Arial"/>
                <w:sz w:val="18"/>
                <w:szCs w:val="18"/>
              </w:rPr>
              <w:t>15,012</w:t>
            </w:r>
          </w:p>
        </w:tc>
      </w:tr>
      <w:tr w:rsidR="00261DCB" w:rsidRPr="00FE1742" w14:paraId="5F8EE469" w14:textId="77777777" w:rsidTr="00355BC7">
        <w:trPr>
          <w:trHeight w:val="283"/>
        </w:trPr>
        <w:tc>
          <w:tcPr>
            <w:tcW w:w="4226" w:type="dxa"/>
            <w:vAlign w:val="center"/>
          </w:tcPr>
          <w:p w14:paraId="407614C1" w14:textId="2E268DF3" w:rsidR="00261DCB" w:rsidRPr="00FE1742" w:rsidRDefault="00261DCB" w:rsidP="00FE1742">
            <w:pPr>
              <w:contextualSpacing/>
              <w:rPr>
                <w:rFonts w:cs="Arial"/>
                <w:sz w:val="18"/>
                <w:szCs w:val="18"/>
              </w:rPr>
            </w:pPr>
            <w:r>
              <w:rPr>
                <w:rFonts w:cs="Arial"/>
                <w:sz w:val="18"/>
                <w:szCs w:val="18"/>
              </w:rPr>
              <w:t>obce</w:t>
            </w:r>
          </w:p>
        </w:tc>
        <w:tc>
          <w:tcPr>
            <w:tcW w:w="1444" w:type="dxa"/>
            <w:vAlign w:val="center"/>
          </w:tcPr>
          <w:p w14:paraId="0D06F919" w14:textId="43B7C188" w:rsidR="00261DCB" w:rsidRPr="00FE1742" w:rsidRDefault="00261DCB" w:rsidP="00FE1742">
            <w:pPr>
              <w:tabs>
                <w:tab w:val="decimal" w:pos="524"/>
              </w:tabs>
              <w:ind w:right="213"/>
              <w:contextualSpacing/>
              <w:jc w:val="right"/>
              <w:rPr>
                <w:rFonts w:cs="Arial"/>
                <w:sz w:val="18"/>
                <w:szCs w:val="18"/>
              </w:rPr>
            </w:pPr>
            <w:r>
              <w:rPr>
                <w:rFonts w:cs="Arial"/>
                <w:sz w:val="18"/>
                <w:szCs w:val="18"/>
              </w:rPr>
              <w:t>0,420</w:t>
            </w:r>
          </w:p>
        </w:tc>
      </w:tr>
      <w:tr w:rsidR="00FE1742" w:rsidRPr="00FE1742" w14:paraId="4577545D" w14:textId="77777777" w:rsidTr="00355BC7">
        <w:trPr>
          <w:trHeight w:val="283"/>
        </w:trPr>
        <w:tc>
          <w:tcPr>
            <w:tcW w:w="4226" w:type="dxa"/>
            <w:shd w:val="clear" w:color="auto" w:fill="BFBFBF"/>
            <w:vAlign w:val="center"/>
          </w:tcPr>
          <w:p w14:paraId="5B6C83D5" w14:textId="77777777" w:rsidR="00FE1742" w:rsidRPr="00FE1742" w:rsidRDefault="00FE1742" w:rsidP="00FE1742">
            <w:pPr>
              <w:contextualSpacing/>
              <w:rPr>
                <w:rFonts w:cs="Arial"/>
                <w:b/>
                <w:sz w:val="18"/>
                <w:szCs w:val="18"/>
              </w:rPr>
            </w:pPr>
            <w:r w:rsidRPr="00FE1742">
              <w:rPr>
                <w:rFonts w:cs="Arial"/>
                <w:b/>
                <w:sz w:val="18"/>
                <w:szCs w:val="18"/>
              </w:rPr>
              <w:t>Celkem</w:t>
            </w:r>
          </w:p>
        </w:tc>
        <w:tc>
          <w:tcPr>
            <w:tcW w:w="1444" w:type="dxa"/>
            <w:shd w:val="clear" w:color="auto" w:fill="BFBFBF"/>
            <w:vAlign w:val="center"/>
          </w:tcPr>
          <w:p w14:paraId="6D0A76AA" w14:textId="6BB2D105" w:rsidR="00FE1742" w:rsidRPr="00FE1742" w:rsidRDefault="00261DCB" w:rsidP="00FE1742">
            <w:pPr>
              <w:tabs>
                <w:tab w:val="decimal" w:pos="524"/>
              </w:tabs>
              <w:ind w:right="213"/>
              <w:contextualSpacing/>
              <w:jc w:val="right"/>
              <w:rPr>
                <w:rFonts w:cs="Arial"/>
                <w:b/>
                <w:sz w:val="18"/>
                <w:szCs w:val="18"/>
              </w:rPr>
            </w:pPr>
            <w:r w:rsidRPr="007732FB">
              <w:rPr>
                <w:rFonts w:cs="Arial"/>
                <w:b/>
                <w:bCs/>
                <w:sz w:val="18"/>
                <w:szCs w:val="18"/>
              </w:rPr>
              <w:t>425,468</w:t>
            </w:r>
          </w:p>
        </w:tc>
      </w:tr>
    </w:tbl>
    <w:p w14:paraId="0DEC5053" w14:textId="77777777" w:rsidR="00B44370" w:rsidRPr="00FE1742" w:rsidRDefault="00B44370" w:rsidP="00B44370">
      <w:pPr>
        <w:contextualSpacing/>
        <w:rPr>
          <w:rFonts w:cs="Arial"/>
          <w:i/>
          <w:sz w:val="20"/>
          <w:szCs w:val="20"/>
        </w:rPr>
      </w:pPr>
      <w:r w:rsidRPr="00FE1742">
        <w:rPr>
          <w:rFonts w:cs="Arial"/>
          <w:i/>
          <w:sz w:val="20"/>
          <w:szCs w:val="20"/>
        </w:rPr>
        <w:t>Pramen: MZe</w:t>
      </w:r>
    </w:p>
    <w:p w14:paraId="3E6AB341" w14:textId="77777777" w:rsidR="00CF717B" w:rsidRDefault="00CF717B" w:rsidP="00CF717B">
      <w:pPr>
        <w:spacing w:before="240" w:after="240"/>
        <w:rPr>
          <w:rFonts w:cs="Arial"/>
          <w:b/>
          <w:i/>
        </w:rPr>
      </w:pPr>
      <w:r w:rsidRPr="00C63149">
        <w:rPr>
          <w:rFonts w:cs="Arial"/>
          <w:b/>
          <w:i/>
        </w:rPr>
        <w:t>Odstraňování povodňových škod</w:t>
      </w:r>
      <w:r>
        <w:rPr>
          <w:rFonts w:cs="Arial"/>
          <w:b/>
          <w:i/>
        </w:rPr>
        <w:t xml:space="preserve"> </w:t>
      </w:r>
    </w:p>
    <w:p w14:paraId="1E6B9158" w14:textId="77777777" w:rsidR="00CF717B" w:rsidRDefault="00CF717B" w:rsidP="00CF717B">
      <w:pPr>
        <w:spacing w:before="240" w:after="240"/>
        <w:rPr>
          <w:rFonts w:cs="Arial"/>
          <w:bCs/>
          <w:iCs/>
        </w:rPr>
      </w:pPr>
      <w:r w:rsidRPr="003E6D91">
        <w:rPr>
          <w:rFonts w:cs="Arial"/>
          <w:bCs/>
          <w:iCs/>
        </w:rPr>
        <w:t xml:space="preserve">V roce </w:t>
      </w:r>
      <w:r w:rsidRPr="00C92516">
        <w:rPr>
          <w:rFonts w:cs="Arial"/>
          <w:bCs/>
          <w:iCs/>
        </w:rPr>
        <w:t>202</w:t>
      </w:r>
      <w:r>
        <w:rPr>
          <w:rFonts w:cs="Arial"/>
          <w:bCs/>
          <w:iCs/>
        </w:rPr>
        <w:t>5</w:t>
      </w:r>
      <w:r w:rsidRPr="00C92516">
        <w:rPr>
          <w:rFonts w:cs="Arial"/>
          <w:bCs/>
          <w:iCs/>
        </w:rPr>
        <w:t xml:space="preserve"> </w:t>
      </w:r>
      <w:r>
        <w:rPr>
          <w:rFonts w:cs="Arial"/>
          <w:bCs/>
          <w:iCs/>
        </w:rPr>
        <w:t>byl zahájen příjem žádostí o dotaci, poskytované v rámci</w:t>
      </w:r>
      <w:r w:rsidRPr="00C92516">
        <w:rPr>
          <w:rFonts w:cs="Arial"/>
          <w:bCs/>
          <w:iCs/>
        </w:rPr>
        <w:t xml:space="preserve"> program</w:t>
      </w:r>
      <w:r>
        <w:rPr>
          <w:rFonts w:cs="Arial"/>
          <w:bCs/>
          <w:iCs/>
        </w:rPr>
        <w:t>u</w:t>
      </w:r>
      <w:r w:rsidRPr="00C92516">
        <w:rPr>
          <w:rFonts w:cs="Arial"/>
          <w:bCs/>
          <w:iCs/>
        </w:rPr>
        <w:t xml:space="preserve"> </w:t>
      </w:r>
      <w:r w:rsidRPr="00C92516">
        <w:rPr>
          <w:rFonts w:cs="Arial"/>
          <w:b/>
          <w:iCs/>
        </w:rPr>
        <w:t>129 370 „Odstraňování povodňových škod na státním vodohospodářském majetku III“, resp. podprogram</w:t>
      </w:r>
      <w:r>
        <w:rPr>
          <w:rFonts w:cs="Arial"/>
          <w:b/>
          <w:iCs/>
        </w:rPr>
        <w:t>u</w:t>
      </w:r>
      <w:r w:rsidRPr="00C92516">
        <w:rPr>
          <w:rFonts w:cs="Arial"/>
          <w:b/>
          <w:iCs/>
        </w:rPr>
        <w:t xml:space="preserve"> 129 373 „Odstranění následků povodní roku 2024“</w:t>
      </w:r>
      <w:r w:rsidRPr="00C92516">
        <w:rPr>
          <w:rFonts w:cs="Arial"/>
          <w:bCs/>
          <w:iCs/>
        </w:rPr>
        <w:t xml:space="preserve">, který je určen pro státní podniky povodí a Lesy České republiky, </w:t>
      </w:r>
      <w:proofErr w:type="spellStart"/>
      <w:r w:rsidRPr="00C92516">
        <w:rPr>
          <w:rFonts w:cs="Arial"/>
          <w:bCs/>
          <w:iCs/>
        </w:rPr>
        <w:t>s.p</w:t>
      </w:r>
      <w:proofErr w:type="spellEnd"/>
      <w:r w:rsidRPr="00C92516">
        <w:rPr>
          <w:rFonts w:cs="Arial"/>
          <w:bCs/>
          <w:iCs/>
        </w:rPr>
        <w:t>. na odstranění škod po povodních</w:t>
      </w:r>
      <w:r>
        <w:rPr>
          <w:rFonts w:cs="Arial"/>
          <w:bCs/>
          <w:iCs/>
        </w:rPr>
        <w:t xml:space="preserve"> ze září 2024</w:t>
      </w:r>
      <w:r w:rsidRPr="00C92516">
        <w:rPr>
          <w:rFonts w:cs="Arial"/>
          <w:bCs/>
          <w:iCs/>
        </w:rPr>
        <w:t xml:space="preserve">. </w:t>
      </w:r>
    </w:p>
    <w:p w14:paraId="1FB39072" w14:textId="77777777" w:rsidR="00CF717B" w:rsidRDefault="00CF717B" w:rsidP="00CF717B">
      <w:pPr>
        <w:ind w:left="7" w:right="5"/>
        <w:rPr>
          <w:rFonts w:cs="Arial"/>
          <w:bCs/>
          <w:iCs/>
        </w:rPr>
      </w:pPr>
      <w:r w:rsidRPr="0027775E">
        <w:rPr>
          <w:rFonts w:cs="Arial"/>
          <w:bCs/>
          <w:iCs/>
        </w:rPr>
        <w:t>Program zajišťuje nápravu povodňových škod na korytech vodních toků včetně souvisejících objektů, vodních dílech a břehových porostech ve vlastnictví státu, poškozených extrémním namáháním v průběhu povodní a provedení účelných stabilizačních staveb a změn staveb, zajišťujících trvalou funkčnost koryt vodních toků a souvisejících objektů a zařízení v</w:t>
      </w:r>
      <w:r>
        <w:rPr>
          <w:rFonts w:cs="Arial"/>
          <w:bCs/>
          <w:iCs/>
        </w:rPr>
        <w:t> porušených místech</w:t>
      </w:r>
      <w:r w:rsidRPr="0027775E">
        <w:rPr>
          <w:rFonts w:cs="Arial"/>
          <w:bCs/>
          <w:iCs/>
        </w:rPr>
        <w:t xml:space="preserve">. </w:t>
      </w:r>
    </w:p>
    <w:p w14:paraId="46B93716" w14:textId="77777777" w:rsidR="00CF717B" w:rsidRDefault="00CF717B" w:rsidP="00CF717B">
      <w:pPr>
        <w:ind w:left="7" w:right="5"/>
        <w:rPr>
          <w:rFonts w:cs="Arial"/>
          <w:bCs/>
          <w:iCs/>
        </w:rPr>
      </w:pPr>
    </w:p>
    <w:p w14:paraId="4A832062" w14:textId="77777777" w:rsidR="00CF717B" w:rsidRDefault="00CF717B" w:rsidP="00CF717B">
      <w:pPr>
        <w:ind w:left="7" w:right="5"/>
      </w:pPr>
      <w:r>
        <w:t>V</w:t>
      </w:r>
      <w:r w:rsidRPr="005E2B07">
        <w:t xml:space="preserve">e sledovaném roce </w:t>
      </w:r>
      <w:r>
        <w:t xml:space="preserve">byla žadatelům </w:t>
      </w:r>
      <w:r w:rsidRPr="005E2B07">
        <w:t xml:space="preserve">poskytnuta finanční podpora na </w:t>
      </w:r>
      <w:r>
        <w:t>133</w:t>
      </w:r>
      <w:r w:rsidRPr="005E2B07">
        <w:t> akc</w:t>
      </w:r>
      <w:r>
        <w:t>í</w:t>
      </w:r>
      <w:r w:rsidRPr="005E2B07">
        <w:t xml:space="preserve"> ve výši </w:t>
      </w:r>
      <w:r>
        <w:t>237,414</w:t>
      </w:r>
      <w:r w:rsidRPr="005E2B07">
        <w:t> mil. Kč.</w:t>
      </w:r>
    </w:p>
    <w:p w14:paraId="237E1DD4" w14:textId="77777777" w:rsidR="00CF717B" w:rsidRPr="005E310E" w:rsidRDefault="00CF717B" w:rsidP="00CF717B">
      <w:pPr>
        <w:ind w:left="7" w:right="5"/>
      </w:pPr>
    </w:p>
    <w:p w14:paraId="1E8EA76A" w14:textId="218E1FE1" w:rsidR="009B4EBD" w:rsidRDefault="00296123" w:rsidP="00296123">
      <w:pPr>
        <w:rPr>
          <w:rFonts w:cs="Arial"/>
          <w:b/>
          <w:i/>
        </w:rPr>
      </w:pPr>
      <w:r w:rsidRPr="002B1409">
        <w:rPr>
          <w:rFonts w:cs="Arial"/>
          <w:b/>
          <w:i/>
        </w:rPr>
        <w:t>Tabulka</w:t>
      </w:r>
      <w:r>
        <w:rPr>
          <w:rFonts w:cs="Arial"/>
          <w:b/>
          <w:i/>
        </w:rPr>
        <w:t xml:space="preserve"> </w:t>
      </w:r>
      <w:r w:rsidRPr="002B1409">
        <w:rPr>
          <w:rFonts w:cs="Arial"/>
          <w:b/>
          <w:i/>
        </w:rPr>
        <w:t>11.1.1.</w:t>
      </w:r>
      <w:r>
        <w:rPr>
          <w:rFonts w:cs="Arial"/>
          <w:b/>
          <w:i/>
        </w:rPr>
        <w:t>1</w:t>
      </w:r>
      <w:r w:rsidR="009B4EBD">
        <w:rPr>
          <w:rFonts w:cs="Arial"/>
          <w:b/>
          <w:i/>
        </w:rPr>
        <w:t>0</w:t>
      </w:r>
    </w:p>
    <w:p w14:paraId="3DDB0827" w14:textId="06239819" w:rsidR="00296123" w:rsidRDefault="00296123" w:rsidP="00296123">
      <w:pPr>
        <w:rPr>
          <w:rFonts w:cs="Arial"/>
          <w:b/>
          <w:i/>
        </w:rPr>
      </w:pPr>
      <w:r w:rsidRPr="00B823FF">
        <w:rPr>
          <w:rFonts w:cs="Arial"/>
          <w:b/>
          <w:i/>
        </w:rPr>
        <w:t>Čerpání finančních prostředků státního rozpočtu a počet f</w:t>
      </w:r>
      <w:r>
        <w:rPr>
          <w:rFonts w:cs="Arial"/>
          <w:b/>
          <w:i/>
        </w:rPr>
        <w:t>inancovaných akcí programu 129 370 v roce 2025</w:t>
      </w:r>
    </w:p>
    <w:tbl>
      <w:tblPr>
        <w:tblW w:w="6560" w:type="dxa"/>
        <w:tblCellMar>
          <w:left w:w="70" w:type="dxa"/>
          <w:right w:w="70" w:type="dxa"/>
        </w:tblCellMar>
        <w:tblLook w:val="04A0" w:firstRow="1" w:lastRow="0" w:firstColumn="1" w:lastColumn="0" w:noHBand="0" w:noVBand="1"/>
      </w:tblPr>
      <w:tblGrid>
        <w:gridCol w:w="1860"/>
        <w:gridCol w:w="960"/>
        <w:gridCol w:w="1300"/>
        <w:gridCol w:w="960"/>
        <w:gridCol w:w="1480"/>
      </w:tblGrid>
      <w:tr w:rsidR="00296123" w:rsidRPr="0019722C" w14:paraId="1DDC419B" w14:textId="77777777" w:rsidTr="0072423A">
        <w:trPr>
          <w:trHeight w:val="315"/>
        </w:trPr>
        <w:tc>
          <w:tcPr>
            <w:tcW w:w="186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16D48F98" w14:textId="77777777" w:rsidR="00296123" w:rsidRPr="0019722C" w:rsidRDefault="00296123" w:rsidP="0072423A">
            <w:pPr>
              <w:jc w:val="center"/>
              <w:rPr>
                <w:rFonts w:eastAsia="Times New Roman" w:cs="Arial"/>
                <w:b/>
                <w:bCs/>
                <w:color w:val="000000"/>
                <w:sz w:val="18"/>
                <w:szCs w:val="18"/>
                <w:lang w:eastAsia="cs-CZ"/>
              </w:rPr>
            </w:pPr>
            <w:r w:rsidRPr="0019722C">
              <w:rPr>
                <w:rFonts w:eastAsia="Times New Roman" w:cs="Arial"/>
                <w:b/>
                <w:bCs/>
                <w:color w:val="000000"/>
                <w:sz w:val="18"/>
                <w:szCs w:val="18"/>
                <w:lang w:eastAsia="cs-CZ"/>
              </w:rPr>
              <w:t>Vlastníci a správci</w:t>
            </w:r>
          </w:p>
        </w:tc>
        <w:tc>
          <w:tcPr>
            <w:tcW w:w="3220" w:type="dxa"/>
            <w:gridSpan w:val="3"/>
            <w:tcBorders>
              <w:top w:val="single" w:sz="8" w:space="0" w:color="auto"/>
              <w:left w:val="nil"/>
              <w:bottom w:val="single" w:sz="8" w:space="0" w:color="auto"/>
              <w:right w:val="single" w:sz="8" w:space="0" w:color="000000"/>
            </w:tcBorders>
            <w:shd w:val="clear" w:color="000000" w:fill="BFBFBF"/>
            <w:vAlign w:val="center"/>
            <w:hideMark/>
          </w:tcPr>
          <w:p w14:paraId="7395825F" w14:textId="77777777" w:rsidR="00296123" w:rsidRPr="0019722C" w:rsidRDefault="00296123" w:rsidP="0072423A">
            <w:pPr>
              <w:jc w:val="center"/>
              <w:rPr>
                <w:rFonts w:eastAsia="Times New Roman" w:cs="Arial"/>
                <w:b/>
                <w:bCs/>
                <w:color w:val="000000"/>
                <w:sz w:val="18"/>
                <w:szCs w:val="18"/>
                <w:lang w:eastAsia="cs-CZ"/>
              </w:rPr>
            </w:pPr>
            <w:r w:rsidRPr="0019722C">
              <w:rPr>
                <w:rFonts w:eastAsia="Times New Roman" w:cs="Arial"/>
                <w:b/>
                <w:bCs/>
                <w:color w:val="000000"/>
                <w:sz w:val="18"/>
                <w:szCs w:val="18"/>
                <w:lang w:eastAsia="cs-CZ"/>
              </w:rPr>
              <w:t>Čerpání</w:t>
            </w:r>
          </w:p>
        </w:tc>
        <w:tc>
          <w:tcPr>
            <w:tcW w:w="1480" w:type="dxa"/>
            <w:vMerge w:val="restart"/>
            <w:tcBorders>
              <w:top w:val="single" w:sz="8" w:space="0" w:color="auto"/>
              <w:left w:val="nil"/>
              <w:bottom w:val="single" w:sz="8" w:space="0" w:color="000000"/>
              <w:right w:val="single" w:sz="8" w:space="0" w:color="auto"/>
            </w:tcBorders>
            <w:shd w:val="clear" w:color="000000" w:fill="BFBFBF"/>
            <w:vAlign w:val="center"/>
            <w:hideMark/>
          </w:tcPr>
          <w:p w14:paraId="49B773A4" w14:textId="77777777" w:rsidR="00296123" w:rsidRPr="0019722C" w:rsidRDefault="00296123" w:rsidP="0072423A">
            <w:pPr>
              <w:jc w:val="center"/>
              <w:rPr>
                <w:rFonts w:eastAsia="Times New Roman" w:cs="Arial"/>
                <w:b/>
                <w:bCs/>
                <w:color w:val="000000"/>
                <w:sz w:val="18"/>
                <w:szCs w:val="18"/>
                <w:lang w:eastAsia="cs-CZ"/>
              </w:rPr>
            </w:pPr>
            <w:r w:rsidRPr="0019722C">
              <w:rPr>
                <w:rFonts w:eastAsia="Times New Roman" w:cs="Arial"/>
                <w:b/>
                <w:bCs/>
                <w:color w:val="000000"/>
                <w:sz w:val="18"/>
                <w:szCs w:val="18"/>
                <w:lang w:eastAsia="cs-CZ"/>
              </w:rPr>
              <w:t>Počet financovaných akcí</w:t>
            </w:r>
          </w:p>
        </w:tc>
      </w:tr>
      <w:tr w:rsidR="00296123" w:rsidRPr="0019722C" w14:paraId="1EC911D4" w14:textId="77777777" w:rsidTr="0072423A">
        <w:trPr>
          <w:trHeight w:val="315"/>
        </w:trPr>
        <w:tc>
          <w:tcPr>
            <w:tcW w:w="1860" w:type="dxa"/>
            <w:vMerge/>
            <w:tcBorders>
              <w:top w:val="single" w:sz="8" w:space="0" w:color="auto"/>
              <w:left w:val="single" w:sz="8" w:space="0" w:color="auto"/>
              <w:bottom w:val="single" w:sz="8" w:space="0" w:color="000000"/>
              <w:right w:val="single" w:sz="8" w:space="0" w:color="auto"/>
            </w:tcBorders>
            <w:vAlign w:val="center"/>
            <w:hideMark/>
          </w:tcPr>
          <w:p w14:paraId="25CDA7C9" w14:textId="77777777" w:rsidR="00296123" w:rsidRPr="0019722C" w:rsidRDefault="00296123" w:rsidP="0072423A">
            <w:pPr>
              <w:jc w:val="left"/>
              <w:rPr>
                <w:rFonts w:eastAsia="Times New Roman" w:cs="Arial"/>
                <w:b/>
                <w:bCs/>
                <w:color w:val="000000"/>
                <w:sz w:val="18"/>
                <w:szCs w:val="18"/>
                <w:lang w:eastAsia="cs-CZ"/>
              </w:rPr>
            </w:pPr>
          </w:p>
        </w:tc>
        <w:tc>
          <w:tcPr>
            <w:tcW w:w="960" w:type="dxa"/>
            <w:tcBorders>
              <w:top w:val="nil"/>
              <w:left w:val="nil"/>
              <w:bottom w:val="single" w:sz="8" w:space="0" w:color="auto"/>
              <w:right w:val="single" w:sz="8" w:space="0" w:color="auto"/>
            </w:tcBorders>
            <w:shd w:val="clear" w:color="000000" w:fill="BFBFBF"/>
            <w:vAlign w:val="center"/>
            <w:hideMark/>
          </w:tcPr>
          <w:p w14:paraId="5DAA80A4" w14:textId="77777777" w:rsidR="00296123" w:rsidRPr="0019722C" w:rsidRDefault="00296123" w:rsidP="0072423A">
            <w:pPr>
              <w:jc w:val="center"/>
              <w:rPr>
                <w:rFonts w:eastAsia="Times New Roman" w:cs="Arial"/>
                <w:b/>
                <w:bCs/>
                <w:color w:val="000000"/>
                <w:sz w:val="18"/>
                <w:szCs w:val="18"/>
                <w:lang w:eastAsia="cs-CZ"/>
              </w:rPr>
            </w:pPr>
            <w:r w:rsidRPr="0019722C">
              <w:rPr>
                <w:rFonts w:eastAsia="Times New Roman" w:cs="Arial"/>
                <w:b/>
                <w:bCs/>
                <w:color w:val="000000"/>
                <w:sz w:val="18"/>
                <w:szCs w:val="18"/>
                <w:lang w:eastAsia="cs-CZ"/>
              </w:rPr>
              <w:t>Investice</w:t>
            </w:r>
          </w:p>
        </w:tc>
        <w:tc>
          <w:tcPr>
            <w:tcW w:w="1300" w:type="dxa"/>
            <w:tcBorders>
              <w:top w:val="nil"/>
              <w:left w:val="nil"/>
              <w:bottom w:val="single" w:sz="8" w:space="0" w:color="auto"/>
              <w:right w:val="single" w:sz="8" w:space="0" w:color="auto"/>
            </w:tcBorders>
            <w:shd w:val="clear" w:color="000000" w:fill="BFBFBF"/>
            <w:vAlign w:val="center"/>
            <w:hideMark/>
          </w:tcPr>
          <w:p w14:paraId="7115FD60" w14:textId="77777777" w:rsidR="00296123" w:rsidRPr="0019722C" w:rsidRDefault="00296123" w:rsidP="0072423A">
            <w:pPr>
              <w:jc w:val="center"/>
              <w:rPr>
                <w:rFonts w:eastAsia="Times New Roman" w:cs="Arial"/>
                <w:b/>
                <w:bCs/>
                <w:color w:val="000000"/>
                <w:sz w:val="18"/>
                <w:szCs w:val="18"/>
                <w:lang w:eastAsia="cs-CZ"/>
              </w:rPr>
            </w:pPr>
            <w:proofErr w:type="spellStart"/>
            <w:r w:rsidRPr="0019722C">
              <w:rPr>
                <w:rFonts w:eastAsia="Times New Roman" w:cs="Arial"/>
                <w:b/>
                <w:bCs/>
                <w:color w:val="000000"/>
                <w:sz w:val="18"/>
                <w:szCs w:val="18"/>
                <w:lang w:eastAsia="cs-CZ"/>
              </w:rPr>
              <w:t>Neinvestice</w:t>
            </w:r>
            <w:proofErr w:type="spellEnd"/>
          </w:p>
        </w:tc>
        <w:tc>
          <w:tcPr>
            <w:tcW w:w="960" w:type="dxa"/>
            <w:tcBorders>
              <w:top w:val="nil"/>
              <w:left w:val="nil"/>
              <w:bottom w:val="single" w:sz="8" w:space="0" w:color="auto"/>
              <w:right w:val="single" w:sz="8" w:space="0" w:color="auto"/>
            </w:tcBorders>
            <w:shd w:val="clear" w:color="000000" w:fill="BFBFBF"/>
            <w:vAlign w:val="center"/>
            <w:hideMark/>
          </w:tcPr>
          <w:p w14:paraId="73A637FE" w14:textId="77777777" w:rsidR="00296123" w:rsidRPr="0019722C" w:rsidRDefault="00296123" w:rsidP="0072423A">
            <w:pPr>
              <w:jc w:val="center"/>
              <w:rPr>
                <w:rFonts w:eastAsia="Times New Roman" w:cs="Arial"/>
                <w:b/>
                <w:bCs/>
                <w:color w:val="000000"/>
                <w:sz w:val="18"/>
                <w:szCs w:val="18"/>
                <w:lang w:eastAsia="cs-CZ"/>
              </w:rPr>
            </w:pPr>
            <w:r w:rsidRPr="0019722C">
              <w:rPr>
                <w:rFonts w:eastAsia="Times New Roman" w:cs="Arial"/>
                <w:b/>
                <w:bCs/>
                <w:color w:val="000000"/>
                <w:sz w:val="18"/>
                <w:szCs w:val="18"/>
                <w:lang w:eastAsia="cs-CZ"/>
              </w:rPr>
              <w:t>Celkem</w:t>
            </w:r>
          </w:p>
        </w:tc>
        <w:tc>
          <w:tcPr>
            <w:tcW w:w="1480" w:type="dxa"/>
            <w:vMerge/>
            <w:tcBorders>
              <w:top w:val="single" w:sz="8" w:space="0" w:color="auto"/>
              <w:left w:val="nil"/>
              <w:bottom w:val="single" w:sz="8" w:space="0" w:color="000000"/>
              <w:right w:val="single" w:sz="8" w:space="0" w:color="auto"/>
            </w:tcBorders>
            <w:vAlign w:val="center"/>
            <w:hideMark/>
          </w:tcPr>
          <w:p w14:paraId="4ABF0FAC" w14:textId="77777777" w:rsidR="00296123" w:rsidRPr="0019722C" w:rsidRDefault="00296123" w:rsidP="0072423A">
            <w:pPr>
              <w:jc w:val="left"/>
              <w:rPr>
                <w:rFonts w:eastAsia="Times New Roman" w:cs="Arial"/>
                <w:b/>
                <w:bCs/>
                <w:color w:val="000000"/>
                <w:sz w:val="18"/>
                <w:szCs w:val="18"/>
                <w:lang w:eastAsia="cs-CZ"/>
              </w:rPr>
            </w:pPr>
          </w:p>
        </w:tc>
      </w:tr>
      <w:tr w:rsidR="00296123" w:rsidRPr="0019722C" w14:paraId="0092A715" w14:textId="77777777" w:rsidTr="0072423A">
        <w:trPr>
          <w:trHeight w:val="315"/>
        </w:trPr>
        <w:tc>
          <w:tcPr>
            <w:tcW w:w="1860" w:type="dxa"/>
            <w:vMerge/>
            <w:tcBorders>
              <w:top w:val="single" w:sz="8" w:space="0" w:color="auto"/>
              <w:left w:val="single" w:sz="8" w:space="0" w:color="auto"/>
              <w:bottom w:val="single" w:sz="8" w:space="0" w:color="000000"/>
              <w:right w:val="single" w:sz="8" w:space="0" w:color="auto"/>
            </w:tcBorders>
            <w:vAlign w:val="center"/>
            <w:hideMark/>
          </w:tcPr>
          <w:p w14:paraId="22BDAB6A" w14:textId="77777777" w:rsidR="00296123" w:rsidRPr="0019722C" w:rsidRDefault="00296123" w:rsidP="0072423A">
            <w:pPr>
              <w:jc w:val="left"/>
              <w:rPr>
                <w:rFonts w:eastAsia="Times New Roman" w:cs="Arial"/>
                <w:b/>
                <w:bCs/>
                <w:color w:val="000000"/>
                <w:sz w:val="18"/>
                <w:szCs w:val="18"/>
                <w:lang w:eastAsia="cs-CZ"/>
              </w:rPr>
            </w:pPr>
          </w:p>
        </w:tc>
        <w:tc>
          <w:tcPr>
            <w:tcW w:w="3220" w:type="dxa"/>
            <w:gridSpan w:val="3"/>
            <w:tcBorders>
              <w:top w:val="single" w:sz="8" w:space="0" w:color="auto"/>
              <w:left w:val="nil"/>
              <w:bottom w:val="single" w:sz="8" w:space="0" w:color="auto"/>
              <w:right w:val="single" w:sz="8" w:space="0" w:color="000000"/>
            </w:tcBorders>
            <w:shd w:val="clear" w:color="000000" w:fill="BFBFBF"/>
            <w:vAlign w:val="center"/>
            <w:hideMark/>
          </w:tcPr>
          <w:p w14:paraId="6165BA3A" w14:textId="77777777" w:rsidR="00296123" w:rsidRPr="0019722C" w:rsidRDefault="00296123" w:rsidP="0072423A">
            <w:pPr>
              <w:jc w:val="center"/>
              <w:rPr>
                <w:rFonts w:eastAsia="Times New Roman" w:cs="Arial"/>
                <w:b/>
                <w:bCs/>
                <w:color w:val="000000"/>
                <w:sz w:val="18"/>
                <w:szCs w:val="18"/>
                <w:lang w:eastAsia="cs-CZ"/>
              </w:rPr>
            </w:pPr>
            <w:r w:rsidRPr="0019722C">
              <w:rPr>
                <w:rFonts w:eastAsia="Times New Roman" w:cs="Arial"/>
                <w:b/>
                <w:bCs/>
                <w:color w:val="000000"/>
                <w:sz w:val="18"/>
                <w:szCs w:val="18"/>
                <w:lang w:eastAsia="cs-CZ"/>
              </w:rPr>
              <w:t>mil. Kč</w:t>
            </w:r>
          </w:p>
        </w:tc>
        <w:tc>
          <w:tcPr>
            <w:tcW w:w="1480" w:type="dxa"/>
            <w:vMerge/>
            <w:tcBorders>
              <w:top w:val="single" w:sz="8" w:space="0" w:color="auto"/>
              <w:left w:val="nil"/>
              <w:bottom w:val="single" w:sz="8" w:space="0" w:color="000000"/>
              <w:right w:val="single" w:sz="8" w:space="0" w:color="auto"/>
            </w:tcBorders>
            <w:vAlign w:val="center"/>
            <w:hideMark/>
          </w:tcPr>
          <w:p w14:paraId="16A6302B" w14:textId="77777777" w:rsidR="00296123" w:rsidRPr="0019722C" w:rsidRDefault="00296123" w:rsidP="0072423A">
            <w:pPr>
              <w:jc w:val="left"/>
              <w:rPr>
                <w:rFonts w:eastAsia="Times New Roman" w:cs="Arial"/>
                <w:b/>
                <w:bCs/>
                <w:color w:val="000000"/>
                <w:sz w:val="18"/>
                <w:szCs w:val="18"/>
                <w:lang w:eastAsia="cs-CZ"/>
              </w:rPr>
            </w:pPr>
          </w:p>
        </w:tc>
      </w:tr>
      <w:tr w:rsidR="00296123" w:rsidRPr="0019722C" w14:paraId="52FB23D8" w14:textId="77777777" w:rsidTr="0072423A">
        <w:trPr>
          <w:trHeight w:val="495"/>
        </w:trPr>
        <w:tc>
          <w:tcPr>
            <w:tcW w:w="1860" w:type="dxa"/>
            <w:tcBorders>
              <w:top w:val="nil"/>
              <w:left w:val="single" w:sz="8" w:space="0" w:color="auto"/>
              <w:bottom w:val="single" w:sz="8" w:space="0" w:color="auto"/>
              <w:right w:val="nil"/>
            </w:tcBorders>
            <w:vAlign w:val="center"/>
            <w:hideMark/>
          </w:tcPr>
          <w:p w14:paraId="152092B8" w14:textId="77777777" w:rsidR="00296123" w:rsidRPr="0019722C" w:rsidRDefault="00296123" w:rsidP="0072423A">
            <w:pPr>
              <w:jc w:val="left"/>
              <w:rPr>
                <w:rFonts w:eastAsia="Times New Roman" w:cs="Arial"/>
                <w:color w:val="000000"/>
                <w:sz w:val="18"/>
                <w:szCs w:val="18"/>
                <w:lang w:eastAsia="cs-CZ"/>
              </w:rPr>
            </w:pPr>
            <w:r w:rsidRPr="0019722C">
              <w:rPr>
                <w:rFonts w:eastAsia="Times New Roman" w:cs="Arial"/>
                <w:color w:val="000000"/>
                <w:sz w:val="18"/>
                <w:szCs w:val="18"/>
                <w:lang w:eastAsia="cs-CZ"/>
              </w:rPr>
              <w:t>Lesy České republiky</w:t>
            </w:r>
          </w:p>
        </w:tc>
        <w:tc>
          <w:tcPr>
            <w:tcW w:w="960" w:type="dxa"/>
            <w:tcBorders>
              <w:top w:val="nil"/>
              <w:left w:val="single" w:sz="8" w:space="0" w:color="auto"/>
              <w:bottom w:val="single" w:sz="8" w:space="0" w:color="auto"/>
              <w:right w:val="single" w:sz="8" w:space="0" w:color="auto"/>
            </w:tcBorders>
            <w:vAlign w:val="center"/>
            <w:hideMark/>
          </w:tcPr>
          <w:p w14:paraId="1DA95844" w14:textId="77777777" w:rsidR="00296123" w:rsidRPr="0019722C" w:rsidRDefault="00296123" w:rsidP="0072423A">
            <w:pPr>
              <w:jc w:val="center"/>
              <w:rPr>
                <w:rFonts w:eastAsia="Times New Roman" w:cs="Arial"/>
                <w:color w:val="000000"/>
                <w:sz w:val="18"/>
                <w:szCs w:val="18"/>
                <w:lang w:eastAsia="cs-CZ"/>
              </w:rPr>
            </w:pPr>
            <w:r w:rsidRPr="0019722C">
              <w:rPr>
                <w:rFonts w:eastAsia="Times New Roman" w:cs="Arial"/>
                <w:color w:val="000000"/>
                <w:sz w:val="18"/>
                <w:szCs w:val="18"/>
                <w:lang w:eastAsia="cs-CZ"/>
              </w:rPr>
              <w:t>1,908</w:t>
            </w:r>
          </w:p>
        </w:tc>
        <w:tc>
          <w:tcPr>
            <w:tcW w:w="1300" w:type="dxa"/>
            <w:tcBorders>
              <w:top w:val="nil"/>
              <w:left w:val="nil"/>
              <w:bottom w:val="single" w:sz="8" w:space="0" w:color="auto"/>
              <w:right w:val="single" w:sz="8" w:space="0" w:color="auto"/>
            </w:tcBorders>
            <w:vAlign w:val="center"/>
            <w:hideMark/>
          </w:tcPr>
          <w:p w14:paraId="04ABE942" w14:textId="77777777" w:rsidR="00296123" w:rsidRPr="0019722C" w:rsidRDefault="00296123" w:rsidP="0072423A">
            <w:pPr>
              <w:jc w:val="center"/>
              <w:rPr>
                <w:rFonts w:eastAsia="Times New Roman" w:cs="Arial"/>
                <w:color w:val="000000"/>
                <w:sz w:val="18"/>
                <w:szCs w:val="18"/>
                <w:lang w:eastAsia="cs-CZ"/>
              </w:rPr>
            </w:pPr>
            <w:r w:rsidRPr="0019722C">
              <w:rPr>
                <w:rFonts w:eastAsia="Times New Roman" w:cs="Arial"/>
                <w:color w:val="000000"/>
                <w:sz w:val="18"/>
                <w:szCs w:val="18"/>
                <w:lang w:eastAsia="cs-CZ"/>
              </w:rPr>
              <w:t>5,585</w:t>
            </w:r>
          </w:p>
        </w:tc>
        <w:tc>
          <w:tcPr>
            <w:tcW w:w="960" w:type="dxa"/>
            <w:tcBorders>
              <w:top w:val="nil"/>
              <w:left w:val="nil"/>
              <w:bottom w:val="single" w:sz="8" w:space="0" w:color="auto"/>
              <w:right w:val="single" w:sz="8" w:space="0" w:color="auto"/>
            </w:tcBorders>
            <w:shd w:val="clear" w:color="000000" w:fill="BFBFBF"/>
            <w:vAlign w:val="center"/>
            <w:hideMark/>
          </w:tcPr>
          <w:p w14:paraId="52203BD1" w14:textId="77777777" w:rsidR="00296123" w:rsidRPr="0019722C" w:rsidRDefault="00296123" w:rsidP="0072423A">
            <w:pPr>
              <w:jc w:val="center"/>
              <w:rPr>
                <w:rFonts w:eastAsia="Times New Roman" w:cs="Arial"/>
                <w:color w:val="000000"/>
                <w:sz w:val="18"/>
                <w:szCs w:val="18"/>
                <w:lang w:eastAsia="cs-CZ"/>
              </w:rPr>
            </w:pPr>
            <w:r w:rsidRPr="0019722C">
              <w:rPr>
                <w:rFonts w:eastAsia="Times New Roman" w:cs="Arial"/>
                <w:color w:val="000000"/>
                <w:sz w:val="18"/>
                <w:szCs w:val="18"/>
                <w:lang w:eastAsia="cs-CZ"/>
              </w:rPr>
              <w:t>7,493</w:t>
            </w:r>
          </w:p>
        </w:tc>
        <w:tc>
          <w:tcPr>
            <w:tcW w:w="1480" w:type="dxa"/>
            <w:tcBorders>
              <w:top w:val="nil"/>
              <w:left w:val="nil"/>
              <w:bottom w:val="single" w:sz="8" w:space="0" w:color="auto"/>
              <w:right w:val="single" w:sz="8" w:space="0" w:color="auto"/>
            </w:tcBorders>
            <w:noWrap/>
            <w:vAlign w:val="center"/>
            <w:hideMark/>
          </w:tcPr>
          <w:p w14:paraId="39A390EA" w14:textId="77777777" w:rsidR="00296123" w:rsidRPr="0019722C" w:rsidRDefault="00296123" w:rsidP="0072423A">
            <w:pPr>
              <w:jc w:val="center"/>
              <w:rPr>
                <w:rFonts w:eastAsia="Times New Roman" w:cs="Arial"/>
                <w:color w:val="000000"/>
                <w:sz w:val="18"/>
                <w:szCs w:val="18"/>
                <w:lang w:eastAsia="cs-CZ"/>
              </w:rPr>
            </w:pPr>
            <w:r w:rsidRPr="0019722C">
              <w:rPr>
                <w:rFonts w:eastAsia="Times New Roman" w:cs="Arial"/>
                <w:color w:val="000000"/>
                <w:sz w:val="18"/>
                <w:szCs w:val="18"/>
                <w:lang w:eastAsia="cs-CZ"/>
              </w:rPr>
              <w:t>9</w:t>
            </w:r>
          </w:p>
        </w:tc>
      </w:tr>
      <w:tr w:rsidR="00296123" w:rsidRPr="0019722C" w14:paraId="4B06A805" w14:textId="77777777" w:rsidTr="0072423A">
        <w:trPr>
          <w:trHeight w:val="315"/>
        </w:trPr>
        <w:tc>
          <w:tcPr>
            <w:tcW w:w="1860" w:type="dxa"/>
            <w:tcBorders>
              <w:top w:val="nil"/>
              <w:left w:val="single" w:sz="8" w:space="0" w:color="auto"/>
              <w:bottom w:val="single" w:sz="8" w:space="0" w:color="auto"/>
              <w:right w:val="nil"/>
            </w:tcBorders>
            <w:vAlign w:val="center"/>
            <w:hideMark/>
          </w:tcPr>
          <w:p w14:paraId="079AF036" w14:textId="77777777" w:rsidR="00296123" w:rsidRPr="0019722C" w:rsidRDefault="00296123" w:rsidP="0072423A">
            <w:pPr>
              <w:jc w:val="left"/>
              <w:rPr>
                <w:rFonts w:eastAsia="Times New Roman" w:cs="Arial"/>
                <w:color w:val="000000"/>
                <w:sz w:val="18"/>
                <w:szCs w:val="18"/>
                <w:lang w:eastAsia="cs-CZ"/>
              </w:rPr>
            </w:pPr>
            <w:r w:rsidRPr="0019722C">
              <w:rPr>
                <w:rFonts w:eastAsia="Times New Roman" w:cs="Arial"/>
                <w:color w:val="000000"/>
                <w:sz w:val="18"/>
                <w:szCs w:val="18"/>
                <w:lang w:eastAsia="cs-CZ"/>
              </w:rPr>
              <w:t>Povodí Moravy</w:t>
            </w:r>
          </w:p>
        </w:tc>
        <w:tc>
          <w:tcPr>
            <w:tcW w:w="960" w:type="dxa"/>
            <w:tcBorders>
              <w:top w:val="nil"/>
              <w:left w:val="single" w:sz="8" w:space="0" w:color="auto"/>
              <w:bottom w:val="single" w:sz="8" w:space="0" w:color="auto"/>
              <w:right w:val="single" w:sz="8" w:space="0" w:color="auto"/>
            </w:tcBorders>
            <w:vAlign w:val="center"/>
            <w:hideMark/>
          </w:tcPr>
          <w:p w14:paraId="5DFDF9D1" w14:textId="77777777" w:rsidR="00296123" w:rsidRPr="0019722C" w:rsidRDefault="00296123" w:rsidP="0072423A">
            <w:pPr>
              <w:jc w:val="center"/>
              <w:rPr>
                <w:rFonts w:eastAsia="Times New Roman" w:cs="Arial"/>
                <w:color w:val="000000"/>
                <w:sz w:val="18"/>
                <w:szCs w:val="18"/>
                <w:lang w:eastAsia="cs-CZ"/>
              </w:rPr>
            </w:pPr>
            <w:r w:rsidRPr="0019722C">
              <w:rPr>
                <w:rFonts w:eastAsia="Times New Roman" w:cs="Arial"/>
                <w:color w:val="000000"/>
                <w:sz w:val="18"/>
                <w:szCs w:val="18"/>
                <w:lang w:eastAsia="cs-CZ"/>
              </w:rPr>
              <w:t>4,773</w:t>
            </w:r>
          </w:p>
        </w:tc>
        <w:tc>
          <w:tcPr>
            <w:tcW w:w="1300" w:type="dxa"/>
            <w:tcBorders>
              <w:top w:val="nil"/>
              <w:left w:val="nil"/>
              <w:bottom w:val="single" w:sz="8" w:space="0" w:color="auto"/>
              <w:right w:val="single" w:sz="8" w:space="0" w:color="auto"/>
            </w:tcBorders>
            <w:vAlign w:val="center"/>
            <w:hideMark/>
          </w:tcPr>
          <w:p w14:paraId="7365BB96" w14:textId="77777777" w:rsidR="00296123" w:rsidRPr="0019722C" w:rsidRDefault="00296123" w:rsidP="0072423A">
            <w:pPr>
              <w:jc w:val="center"/>
              <w:rPr>
                <w:rFonts w:eastAsia="Times New Roman" w:cs="Arial"/>
                <w:color w:val="000000"/>
                <w:sz w:val="18"/>
                <w:szCs w:val="18"/>
                <w:lang w:eastAsia="cs-CZ"/>
              </w:rPr>
            </w:pPr>
            <w:r w:rsidRPr="0019722C">
              <w:rPr>
                <w:rFonts w:eastAsia="Times New Roman" w:cs="Arial"/>
                <w:color w:val="000000"/>
                <w:sz w:val="18"/>
                <w:szCs w:val="18"/>
                <w:lang w:eastAsia="cs-CZ"/>
              </w:rPr>
              <w:t>67,948</w:t>
            </w:r>
          </w:p>
        </w:tc>
        <w:tc>
          <w:tcPr>
            <w:tcW w:w="960" w:type="dxa"/>
            <w:tcBorders>
              <w:top w:val="nil"/>
              <w:left w:val="nil"/>
              <w:bottom w:val="single" w:sz="8" w:space="0" w:color="auto"/>
              <w:right w:val="single" w:sz="8" w:space="0" w:color="auto"/>
            </w:tcBorders>
            <w:shd w:val="clear" w:color="000000" w:fill="BFBFBF"/>
            <w:vAlign w:val="center"/>
            <w:hideMark/>
          </w:tcPr>
          <w:p w14:paraId="20DA6294" w14:textId="77777777" w:rsidR="00296123" w:rsidRPr="0019722C" w:rsidRDefault="00296123" w:rsidP="0072423A">
            <w:pPr>
              <w:jc w:val="center"/>
              <w:rPr>
                <w:rFonts w:eastAsia="Times New Roman" w:cs="Arial"/>
                <w:color w:val="000000"/>
                <w:sz w:val="18"/>
                <w:szCs w:val="18"/>
                <w:lang w:eastAsia="cs-CZ"/>
              </w:rPr>
            </w:pPr>
            <w:r w:rsidRPr="0019722C">
              <w:rPr>
                <w:rFonts w:eastAsia="Times New Roman" w:cs="Arial"/>
                <w:color w:val="000000"/>
                <w:sz w:val="18"/>
                <w:szCs w:val="18"/>
                <w:lang w:eastAsia="cs-CZ"/>
              </w:rPr>
              <w:t>72,721</w:t>
            </w:r>
          </w:p>
        </w:tc>
        <w:tc>
          <w:tcPr>
            <w:tcW w:w="1480" w:type="dxa"/>
            <w:tcBorders>
              <w:top w:val="nil"/>
              <w:left w:val="nil"/>
              <w:bottom w:val="single" w:sz="8" w:space="0" w:color="auto"/>
              <w:right w:val="single" w:sz="8" w:space="0" w:color="auto"/>
            </w:tcBorders>
            <w:noWrap/>
            <w:vAlign w:val="center"/>
            <w:hideMark/>
          </w:tcPr>
          <w:p w14:paraId="75048F9E" w14:textId="77777777" w:rsidR="00296123" w:rsidRPr="0019722C" w:rsidRDefault="00296123" w:rsidP="0072423A">
            <w:pPr>
              <w:jc w:val="center"/>
              <w:rPr>
                <w:rFonts w:eastAsia="Times New Roman" w:cs="Arial"/>
                <w:color w:val="000000"/>
                <w:sz w:val="18"/>
                <w:szCs w:val="18"/>
                <w:lang w:eastAsia="cs-CZ"/>
              </w:rPr>
            </w:pPr>
            <w:r w:rsidRPr="0019722C">
              <w:rPr>
                <w:rFonts w:eastAsia="Times New Roman" w:cs="Arial"/>
                <w:color w:val="000000"/>
                <w:sz w:val="18"/>
                <w:szCs w:val="18"/>
                <w:lang w:eastAsia="cs-CZ"/>
              </w:rPr>
              <w:t>28</w:t>
            </w:r>
          </w:p>
        </w:tc>
      </w:tr>
      <w:tr w:rsidR="00296123" w:rsidRPr="0019722C" w14:paraId="33CAAC77" w14:textId="77777777" w:rsidTr="0072423A">
        <w:trPr>
          <w:trHeight w:val="315"/>
        </w:trPr>
        <w:tc>
          <w:tcPr>
            <w:tcW w:w="1860" w:type="dxa"/>
            <w:tcBorders>
              <w:top w:val="nil"/>
              <w:left w:val="single" w:sz="8" w:space="0" w:color="auto"/>
              <w:bottom w:val="single" w:sz="8" w:space="0" w:color="auto"/>
              <w:right w:val="nil"/>
            </w:tcBorders>
            <w:vAlign w:val="center"/>
            <w:hideMark/>
          </w:tcPr>
          <w:p w14:paraId="596898F6" w14:textId="77777777" w:rsidR="00296123" w:rsidRPr="0019722C" w:rsidRDefault="00296123" w:rsidP="0072423A">
            <w:pPr>
              <w:jc w:val="left"/>
              <w:rPr>
                <w:rFonts w:eastAsia="Times New Roman" w:cs="Arial"/>
                <w:color w:val="000000"/>
                <w:sz w:val="18"/>
                <w:szCs w:val="18"/>
                <w:lang w:eastAsia="cs-CZ"/>
              </w:rPr>
            </w:pPr>
            <w:r w:rsidRPr="0019722C">
              <w:rPr>
                <w:rFonts w:eastAsia="Times New Roman" w:cs="Arial"/>
                <w:color w:val="000000"/>
                <w:sz w:val="18"/>
                <w:szCs w:val="18"/>
                <w:lang w:eastAsia="cs-CZ"/>
              </w:rPr>
              <w:t>Povodí Vltavy</w:t>
            </w:r>
          </w:p>
        </w:tc>
        <w:tc>
          <w:tcPr>
            <w:tcW w:w="960" w:type="dxa"/>
            <w:tcBorders>
              <w:top w:val="nil"/>
              <w:left w:val="single" w:sz="8" w:space="0" w:color="auto"/>
              <w:bottom w:val="single" w:sz="8" w:space="0" w:color="auto"/>
              <w:right w:val="single" w:sz="8" w:space="0" w:color="auto"/>
            </w:tcBorders>
            <w:vAlign w:val="center"/>
            <w:hideMark/>
          </w:tcPr>
          <w:p w14:paraId="1CC10AB5" w14:textId="77777777" w:rsidR="00296123" w:rsidRPr="0019722C" w:rsidRDefault="00296123" w:rsidP="0072423A">
            <w:pPr>
              <w:jc w:val="center"/>
              <w:rPr>
                <w:rFonts w:eastAsia="Times New Roman" w:cs="Arial"/>
                <w:color w:val="000000"/>
                <w:sz w:val="18"/>
                <w:szCs w:val="18"/>
                <w:lang w:eastAsia="cs-CZ"/>
              </w:rPr>
            </w:pPr>
            <w:r w:rsidRPr="0019722C">
              <w:rPr>
                <w:rFonts w:eastAsia="Times New Roman" w:cs="Arial"/>
                <w:color w:val="000000"/>
                <w:sz w:val="18"/>
                <w:szCs w:val="18"/>
                <w:lang w:eastAsia="cs-CZ"/>
              </w:rPr>
              <w:t>0</w:t>
            </w:r>
          </w:p>
        </w:tc>
        <w:tc>
          <w:tcPr>
            <w:tcW w:w="1300" w:type="dxa"/>
            <w:tcBorders>
              <w:top w:val="nil"/>
              <w:left w:val="nil"/>
              <w:bottom w:val="single" w:sz="8" w:space="0" w:color="auto"/>
              <w:right w:val="single" w:sz="8" w:space="0" w:color="auto"/>
            </w:tcBorders>
            <w:vAlign w:val="center"/>
            <w:hideMark/>
          </w:tcPr>
          <w:p w14:paraId="34C48677" w14:textId="77777777" w:rsidR="00296123" w:rsidRPr="0019722C" w:rsidRDefault="00296123" w:rsidP="0072423A">
            <w:pPr>
              <w:jc w:val="center"/>
              <w:rPr>
                <w:rFonts w:eastAsia="Times New Roman" w:cs="Arial"/>
                <w:color w:val="000000"/>
                <w:sz w:val="18"/>
                <w:szCs w:val="18"/>
                <w:lang w:eastAsia="cs-CZ"/>
              </w:rPr>
            </w:pPr>
            <w:r w:rsidRPr="0019722C">
              <w:rPr>
                <w:rFonts w:eastAsia="Times New Roman" w:cs="Arial"/>
                <w:color w:val="000000"/>
                <w:sz w:val="18"/>
                <w:szCs w:val="18"/>
                <w:lang w:eastAsia="cs-CZ"/>
              </w:rPr>
              <w:t>31,501</w:t>
            </w:r>
          </w:p>
        </w:tc>
        <w:tc>
          <w:tcPr>
            <w:tcW w:w="960" w:type="dxa"/>
            <w:tcBorders>
              <w:top w:val="nil"/>
              <w:left w:val="nil"/>
              <w:bottom w:val="single" w:sz="8" w:space="0" w:color="auto"/>
              <w:right w:val="single" w:sz="8" w:space="0" w:color="auto"/>
            </w:tcBorders>
            <w:shd w:val="clear" w:color="000000" w:fill="BFBFBF"/>
            <w:vAlign w:val="center"/>
            <w:hideMark/>
          </w:tcPr>
          <w:p w14:paraId="72674C5C" w14:textId="77777777" w:rsidR="00296123" w:rsidRPr="0019722C" w:rsidRDefault="00296123" w:rsidP="0072423A">
            <w:pPr>
              <w:jc w:val="center"/>
              <w:rPr>
                <w:rFonts w:eastAsia="Times New Roman" w:cs="Arial"/>
                <w:color w:val="000000"/>
                <w:sz w:val="18"/>
                <w:szCs w:val="18"/>
                <w:lang w:eastAsia="cs-CZ"/>
              </w:rPr>
            </w:pPr>
            <w:r w:rsidRPr="0019722C">
              <w:rPr>
                <w:rFonts w:eastAsia="Times New Roman" w:cs="Arial"/>
                <w:color w:val="000000"/>
                <w:sz w:val="18"/>
                <w:szCs w:val="18"/>
                <w:lang w:eastAsia="cs-CZ"/>
              </w:rPr>
              <w:t>31,501</w:t>
            </w:r>
          </w:p>
        </w:tc>
        <w:tc>
          <w:tcPr>
            <w:tcW w:w="1480" w:type="dxa"/>
            <w:tcBorders>
              <w:top w:val="nil"/>
              <w:left w:val="nil"/>
              <w:bottom w:val="single" w:sz="8" w:space="0" w:color="auto"/>
              <w:right w:val="single" w:sz="8" w:space="0" w:color="auto"/>
            </w:tcBorders>
            <w:noWrap/>
            <w:vAlign w:val="center"/>
            <w:hideMark/>
          </w:tcPr>
          <w:p w14:paraId="7FE94A0C" w14:textId="77777777" w:rsidR="00296123" w:rsidRPr="0019722C" w:rsidRDefault="00296123" w:rsidP="0072423A">
            <w:pPr>
              <w:jc w:val="center"/>
              <w:rPr>
                <w:rFonts w:eastAsia="Times New Roman" w:cs="Arial"/>
                <w:color w:val="000000"/>
                <w:sz w:val="18"/>
                <w:szCs w:val="18"/>
                <w:lang w:eastAsia="cs-CZ"/>
              </w:rPr>
            </w:pPr>
            <w:r w:rsidRPr="0019722C">
              <w:rPr>
                <w:rFonts w:eastAsia="Times New Roman" w:cs="Arial"/>
                <w:color w:val="000000"/>
                <w:sz w:val="18"/>
                <w:szCs w:val="18"/>
                <w:lang w:eastAsia="cs-CZ"/>
              </w:rPr>
              <w:t>46</w:t>
            </w:r>
          </w:p>
        </w:tc>
      </w:tr>
      <w:tr w:rsidR="00296123" w:rsidRPr="0019722C" w14:paraId="4A9B612C" w14:textId="77777777" w:rsidTr="0072423A">
        <w:trPr>
          <w:trHeight w:val="315"/>
        </w:trPr>
        <w:tc>
          <w:tcPr>
            <w:tcW w:w="1860" w:type="dxa"/>
            <w:tcBorders>
              <w:top w:val="nil"/>
              <w:left w:val="single" w:sz="8" w:space="0" w:color="auto"/>
              <w:bottom w:val="single" w:sz="8" w:space="0" w:color="auto"/>
              <w:right w:val="nil"/>
            </w:tcBorders>
            <w:vAlign w:val="center"/>
            <w:hideMark/>
          </w:tcPr>
          <w:p w14:paraId="01471FAF" w14:textId="77777777" w:rsidR="00296123" w:rsidRPr="0019722C" w:rsidRDefault="00296123" w:rsidP="0072423A">
            <w:pPr>
              <w:jc w:val="left"/>
              <w:rPr>
                <w:rFonts w:eastAsia="Times New Roman" w:cs="Arial"/>
                <w:color w:val="000000"/>
                <w:sz w:val="18"/>
                <w:szCs w:val="18"/>
                <w:lang w:eastAsia="cs-CZ"/>
              </w:rPr>
            </w:pPr>
            <w:r w:rsidRPr="0019722C">
              <w:rPr>
                <w:rFonts w:eastAsia="Times New Roman" w:cs="Arial"/>
                <w:color w:val="000000"/>
                <w:sz w:val="18"/>
                <w:szCs w:val="18"/>
                <w:lang w:eastAsia="cs-CZ"/>
              </w:rPr>
              <w:t>Povodí Odry</w:t>
            </w:r>
          </w:p>
        </w:tc>
        <w:tc>
          <w:tcPr>
            <w:tcW w:w="960" w:type="dxa"/>
            <w:tcBorders>
              <w:top w:val="nil"/>
              <w:left w:val="single" w:sz="8" w:space="0" w:color="auto"/>
              <w:bottom w:val="single" w:sz="8" w:space="0" w:color="auto"/>
              <w:right w:val="single" w:sz="8" w:space="0" w:color="auto"/>
            </w:tcBorders>
            <w:vAlign w:val="center"/>
            <w:hideMark/>
          </w:tcPr>
          <w:p w14:paraId="209736DF" w14:textId="77777777" w:rsidR="00296123" w:rsidRPr="0019722C" w:rsidRDefault="00296123" w:rsidP="0072423A">
            <w:pPr>
              <w:jc w:val="center"/>
              <w:rPr>
                <w:rFonts w:eastAsia="Times New Roman" w:cs="Arial"/>
                <w:color w:val="000000"/>
                <w:sz w:val="18"/>
                <w:szCs w:val="18"/>
                <w:lang w:eastAsia="cs-CZ"/>
              </w:rPr>
            </w:pPr>
            <w:r w:rsidRPr="0019722C">
              <w:rPr>
                <w:rFonts w:eastAsia="Times New Roman" w:cs="Arial"/>
                <w:color w:val="000000"/>
                <w:sz w:val="18"/>
                <w:szCs w:val="18"/>
                <w:lang w:eastAsia="cs-CZ"/>
              </w:rPr>
              <w:t>29,791</w:t>
            </w:r>
          </w:p>
        </w:tc>
        <w:tc>
          <w:tcPr>
            <w:tcW w:w="1300" w:type="dxa"/>
            <w:tcBorders>
              <w:top w:val="nil"/>
              <w:left w:val="nil"/>
              <w:bottom w:val="single" w:sz="8" w:space="0" w:color="auto"/>
              <w:right w:val="single" w:sz="8" w:space="0" w:color="auto"/>
            </w:tcBorders>
            <w:vAlign w:val="center"/>
            <w:hideMark/>
          </w:tcPr>
          <w:p w14:paraId="6420C8A0" w14:textId="77777777" w:rsidR="00296123" w:rsidRPr="0019722C" w:rsidRDefault="00296123" w:rsidP="0072423A">
            <w:pPr>
              <w:jc w:val="center"/>
              <w:rPr>
                <w:rFonts w:eastAsia="Times New Roman" w:cs="Arial"/>
                <w:color w:val="000000"/>
                <w:sz w:val="18"/>
                <w:szCs w:val="18"/>
                <w:lang w:eastAsia="cs-CZ"/>
              </w:rPr>
            </w:pPr>
            <w:r w:rsidRPr="0019722C">
              <w:rPr>
                <w:rFonts w:eastAsia="Times New Roman" w:cs="Arial"/>
                <w:color w:val="000000"/>
                <w:sz w:val="18"/>
                <w:szCs w:val="18"/>
                <w:lang w:eastAsia="cs-CZ"/>
              </w:rPr>
              <w:t>86,262</w:t>
            </w:r>
          </w:p>
        </w:tc>
        <w:tc>
          <w:tcPr>
            <w:tcW w:w="960" w:type="dxa"/>
            <w:tcBorders>
              <w:top w:val="nil"/>
              <w:left w:val="nil"/>
              <w:bottom w:val="single" w:sz="8" w:space="0" w:color="auto"/>
              <w:right w:val="single" w:sz="8" w:space="0" w:color="auto"/>
            </w:tcBorders>
            <w:shd w:val="clear" w:color="000000" w:fill="BFBFBF"/>
            <w:vAlign w:val="center"/>
            <w:hideMark/>
          </w:tcPr>
          <w:p w14:paraId="58BD8FA2" w14:textId="77777777" w:rsidR="00296123" w:rsidRPr="0019722C" w:rsidRDefault="00296123" w:rsidP="0072423A">
            <w:pPr>
              <w:jc w:val="center"/>
              <w:rPr>
                <w:rFonts w:eastAsia="Times New Roman" w:cs="Arial"/>
                <w:color w:val="000000"/>
                <w:sz w:val="18"/>
                <w:szCs w:val="18"/>
                <w:lang w:eastAsia="cs-CZ"/>
              </w:rPr>
            </w:pPr>
            <w:r w:rsidRPr="0019722C">
              <w:rPr>
                <w:rFonts w:eastAsia="Times New Roman" w:cs="Arial"/>
                <w:color w:val="000000"/>
                <w:sz w:val="18"/>
                <w:szCs w:val="18"/>
                <w:lang w:eastAsia="cs-CZ"/>
              </w:rPr>
              <w:t>116,053</w:t>
            </w:r>
          </w:p>
        </w:tc>
        <w:tc>
          <w:tcPr>
            <w:tcW w:w="1480" w:type="dxa"/>
            <w:tcBorders>
              <w:top w:val="nil"/>
              <w:left w:val="nil"/>
              <w:bottom w:val="single" w:sz="8" w:space="0" w:color="auto"/>
              <w:right w:val="single" w:sz="8" w:space="0" w:color="auto"/>
            </w:tcBorders>
            <w:noWrap/>
            <w:vAlign w:val="center"/>
            <w:hideMark/>
          </w:tcPr>
          <w:p w14:paraId="7B3C126A" w14:textId="77777777" w:rsidR="00296123" w:rsidRPr="0019722C" w:rsidRDefault="00296123" w:rsidP="0072423A">
            <w:pPr>
              <w:jc w:val="center"/>
              <w:rPr>
                <w:rFonts w:eastAsia="Times New Roman" w:cs="Arial"/>
                <w:color w:val="000000"/>
                <w:sz w:val="18"/>
                <w:szCs w:val="18"/>
                <w:lang w:eastAsia="cs-CZ"/>
              </w:rPr>
            </w:pPr>
            <w:r w:rsidRPr="0019722C">
              <w:rPr>
                <w:rFonts w:eastAsia="Times New Roman" w:cs="Arial"/>
                <w:color w:val="000000"/>
                <w:sz w:val="18"/>
                <w:szCs w:val="18"/>
                <w:lang w:eastAsia="cs-CZ"/>
              </w:rPr>
              <w:t>35</w:t>
            </w:r>
          </w:p>
        </w:tc>
      </w:tr>
      <w:tr w:rsidR="00296123" w:rsidRPr="0019722C" w14:paraId="6C139B07" w14:textId="77777777" w:rsidTr="0072423A">
        <w:trPr>
          <w:trHeight w:val="315"/>
        </w:trPr>
        <w:tc>
          <w:tcPr>
            <w:tcW w:w="1860" w:type="dxa"/>
            <w:tcBorders>
              <w:top w:val="nil"/>
              <w:left w:val="single" w:sz="8" w:space="0" w:color="auto"/>
              <w:bottom w:val="single" w:sz="8" w:space="0" w:color="auto"/>
              <w:right w:val="nil"/>
            </w:tcBorders>
            <w:vAlign w:val="center"/>
            <w:hideMark/>
          </w:tcPr>
          <w:p w14:paraId="45EBA7C8" w14:textId="77777777" w:rsidR="00296123" w:rsidRPr="0019722C" w:rsidRDefault="00296123" w:rsidP="0072423A">
            <w:pPr>
              <w:jc w:val="left"/>
              <w:rPr>
                <w:rFonts w:eastAsia="Times New Roman" w:cs="Arial"/>
                <w:color w:val="000000"/>
                <w:sz w:val="18"/>
                <w:szCs w:val="18"/>
                <w:lang w:eastAsia="cs-CZ"/>
              </w:rPr>
            </w:pPr>
            <w:r w:rsidRPr="0019722C">
              <w:rPr>
                <w:rFonts w:eastAsia="Times New Roman" w:cs="Arial"/>
                <w:color w:val="000000"/>
                <w:sz w:val="18"/>
                <w:szCs w:val="18"/>
                <w:lang w:eastAsia="cs-CZ"/>
              </w:rPr>
              <w:t>Povodí Labe</w:t>
            </w:r>
          </w:p>
        </w:tc>
        <w:tc>
          <w:tcPr>
            <w:tcW w:w="960" w:type="dxa"/>
            <w:tcBorders>
              <w:top w:val="nil"/>
              <w:left w:val="single" w:sz="8" w:space="0" w:color="auto"/>
              <w:bottom w:val="single" w:sz="8" w:space="0" w:color="auto"/>
              <w:right w:val="single" w:sz="8" w:space="0" w:color="auto"/>
            </w:tcBorders>
            <w:vAlign w:val="center"/>
            <w:hideMark/>
          </w:tcPr>
          <w:p w14:paraId="7C90727A" w14:textId="77777777" w:rsidR="00296123" w:rsidRPr="0019722C" w:rsidRDefault="00296123" w:rsidP="0072423A">
            <w:pPr>
              <w:jc w:val="center"/>
              <w:rPr>
                <w:rFonts w:eastAsia="Times New Roman" w:cs="Arial"/>
                <w:color w:val="000000"/>
                <w:sz w:val="18"/>
                <w:szCs w:val="18"/>
                <w:lang w:eastAsia="cs-CZ"/>
              </w:rPr>
            </w:pPr>
            <w:r w:rsidRPr="0019722C">
              <w:rPr>
                <w:rFonts w:eastAsia="Times New Roman" w:cs="Arial"/>
                <w:color w:val="000000"/>
                <w:sz w:val="18"/>
                <w:szCs w:val="18"/>
                <w:lang w:eastAsia="cs-CZ"/>
              </w:rPr>
              <w:t>5,486</w:t>
            </w:r>
          </w:p>
        </w:tc>
        <w:tc>
          <w:tcPr>
            <w:tcW w:w="1300" w:type="dxa"/>
            <w:tcBorders>
              <w:top w:val="nil"/>
              <w:left w:val="nil"/>
              <w:bottom w:val="single" w:sz="8" w:space="0" w:color="auto"/>
              <w:right w:val="single" w:sz="8" w:space="0" w:color="auto"/>
            </w:tcBorders>
            <w:vAlign w:val="center"/>
            <w:hideMark/>
          </w:tcPr>
          <w:p w14:paraId="4C84B5D2" w14:textId="77777777" w:rsidR="00296123" w:rsidRPr="0019722C" w:rsidRDefault="00296123" w:rsidP="0072423A">
            <w:pPr>
              <w:jc w:val="center"/>
              <w:rPr>
                <w:rFonts w:eastAsia="Times New Roman" w:cs="Arial"/>
                <w:color w:val="000000"/>
                <w:sz w:val="18"/>
                <w:szCs w:val="18"/>
                <w:lang w:eastAsia="cs-CZ"/>
              </w:rPr>
            </w:pPr>
            <w:r w:rsidRPr="0019722C">
              <w:rPr>
                <w:rFonts w:eastAsia="Times New Roman" w:cs="Arial"/>
                <w:color w:val="000000"/>
                <w:sz w:val="18"/>
                <w:szCs w:val="18"/>
                <w:lang w:eastAsia="cs-CZ"/>
              </w:rPr>
              <w:t>4,160</w:t>
            </w:r>
          </w:p>
        </w:tc>
        <w:tc>
          <w:tcPr>
            <w:tcW w:w="960" w:type="dxa"/>
            <w:tcBorders>
              <w:top w:val="nil"/>
              <w:left w:val="nil"/>
              <w:bottom w:val="single" w:sz="8" w:space="0" w:color="auto"/>
              <w:right w:val="single" w:sz="8" w:space="0" w:color="auto"/>
            </w:tcBorders>
            <w:shd w:val="clear" w:color="000000" w:fill="BFBFBF"/>
            <w:vAlign w:val="center"/>
            <w:hideMark/>
          </w:tcPr>
          <w:p w14:paraId="1A400ABD" w14:textId="77777777" w:rsidR="00296123" w:rsidRPr="0019722C" w:rsidRDefault="00296123" w:rsidP="0072423A">
            <w:pPr>
              <w:jc w:val="center"/>
              <w:rPr>
                <w:rFonts w:eastAsia="Times New Roman" w:cs="Arial"/>
                <w:color w:val="000000"/>
                <w:sz w:val="18"/>
                <w:szCs w:val="18"/>
                <w:lang w:eastAsia="cs-CZ"/>
              </w:rPr>
            </w:pPr>
            <w:r w:rsidRPr="0019722C">
              <w:rPr>
                <w:rFonts w:eastAsia="Times New Roman" w:cs="Arial"/>
                <w:color w:val="000000"/>
                <w:sz w:val="18"/>
                <w:szCs w:val="18"/>
                <w:lang w:eastAsia="cs-CZ"/>
              </w:rPr>
              <w:t>9,646</w:t>
            </w:r>
          </w:p>
        </w:tc>
        <w:tc>
          <w:tcPr>
            <w:tcW w:w="1480" w:type="dxa"/>
            <w:tcBorders>
              <w:top w:val="nil"/>
              <w:left w:val="nil"/>
              <w:bottom w:val="single" w:sz="8" w:space="0" w:color="auto"/>
              <w:right w:val="single" w:sz="8" w:space="0" w:color="auto"/>
            </w:tcBorders>
            <w:noWrap/>
            <w:vAlign w:val="center"/>
            <w:hideMark/>
          </w:tcPr>
          <w:p w14:paraId="25E8B926" w14:textId="77777777" w:rsidR="00296123" w:rsidRPr="0019722C" w:rsidRDefault="00296123" w:rsidP="0072423A">
            <w:pPr>
              <w:jc w:val="center"/>
              <w:rPr>
                <w:rFonts w:eastAsia="Times New Roman" w:cs="Arial"/>
                <w:color w:val="000000"/>
                <w:sz w:val="18"/>
                <w:szCs w:val="18"/>
                <w:lang w:eastAsia="cs-CZ"/>
              </w:rPr>
            </w:pPr>
            <w:r w:rsidRPr="0019722C">
              <w:rPr>
                <w:rFonts w:eastAsia="Times New Roman" w:cs="Arial"/>
                <w:color w:val="000000"/>
                <w:sz w:val="18"/>
                <w:szCs w:val="18"/>
                <w:lang w:eastAsia="cs-CZ"/>
              </w:rPr>
              <w:t>15</w:t>
            </w:r>
          </w:p>
        </w:tc>
      </w:tr>
      <w:tr w:rsidR="00296123" w:rsidRPr="0019722C" w14:paraId="59DECE79" w14:textId="77777777" w:rsidTr="0072423A">
        <w:trPr>
          <w:trHeight w:val="315"/>
        </w:trPr>
        <w:tc>
          <w:tcPr>
            <w:tcW w:w="1860" w:type="dxa"/>
            <w:tcBorders>
              <w:top w:val="nil"/>
              <w:left w:val="single" w:sz="8" w:space="0" w:color="auto"/>
              <w:bottom w:val="single" w:sz="8" w:space="0" w:color="auto"/>
              <w:right w:val="nil"/>
            </w:tcBorders>
            <w:shd w:val="clear" w:color="000000" w:fill="BFBFBF"/>
            <w:vAlign w:val="center"/>
            <w:hideMark/>
          </w:tcPr>
          <w:p w14:paraId="472F4C89" w14:textId="77777777" w:rsidR="00296123" w:rsidRPr="0019722C" w:rsidRDefault="00296123" w:rsidP="0072423A">
            <w:pPr>
              <w:jc w:val="left"/>
              <w:rPr>
                <w:rFonts w:eastAsia="Times New Roman" w:cs="Arial"/>
                <w:b/>
                <w:bCs/>
                <w:color w:val="000000"/>
                <w:sz w:val="20"/>
                <w:szCs w:val="20"/>
                <w:lang w:eastAsia="cs-CZ"/>
              </w:rPr>
            </w:pPr>
            <w:r w:rsidRPr="0019722C">
              <w:rPr>
                <w:rFonts w:eastAsia="Times New Roman" w:cs="Arial"/>
                <w:b/>
                <w:bCs/>
                <w:color w:val="000000"/>
                <w:sz w:val="20"/>
                <w:szCs w:val="20"/>
                <w:lang w:eastAsia="cs-CZ"/>
              </w:rPr>
              <w:t>Celkem 129 370</w:t>
            </w:r>
          </w:p>
        </w:tc>
        <w:tc>
          <w:tcPr>
            <w:tcW w:w="960" w:type="dxa"/>
            <w:tcBorders>
              <w:top w:val="nil"/>
              <w:left w:val="single" w:sz="8" w:space="0" w:color="auto"/>
              <w:bottom w:val="single" w:sz="8" w:space="0" w:color="auto"/>
              <w:right w:val="single" w:sz="8" w:space="0" w:color="auto"/>
            </w:tcBorders>
            <w:shd w:val="clear" w:color="000000" w:fill="BFBFBF"/>
            <w:vAlign w:val="center"/>
            <w:hideMark/>
          </w:tcPr>
          <w:p w14:paraId="7C97FA4F" w14:textId="77777777" w:rsidR="00296123" w:rsidRPr="0019722C" w:rsidRDefault="00296123" w:rsidP="0072423A">
            <w:pPr>
              <w:jc w:val="center"/>
              <w:rPr>
                <w:rFonts w:eastAsia="Times New Roman" w:cs="Arial"/>
                <w:b/>
                <w:bCs/>
                <w:color w:val="000000"/>
                <w:sz w:val="20"/>
                <w:szCs w:val="20"/>
                <w:lang w:eastAsia="cs-CZ"/>
              </w:rPr>
            </w:pPr>
            <w:r w:rsidRPr="0019722C">
              <w:rPr>
                <w:rFonts w:eastAsia="Times New Roman" w:cs="Arial"/>
                <w:b/>
                <w:bCs/>
                <w:color w:val="000000"/>
                <w:sz w:val="20"/>
                <w:szCs w:val="20"/>
                <w:lang w:eastAsia="cs-CZ"/>
              </w:rPr>
              <w:t>41,958</w:t>
            </w:r>
          </w:p>
        </w:tc>
        <w:tc>
          <w:tcPr>
            <w:tcW w:w="1300" w:type="dxa"/>
            <w:tcBorders>
              <w:top w:val="nil"/>
              <w:left w:val="nil"/>
              <w:bottom w:val="single" w:sz="8" w:space="0" w:color="auto"/>
              <w:right w:val="single" w:sz="8" w:space="0" w:color="auto"/>
            </w:tcBorders>
            <w:shd w:val="clear" w:color="000000" w:fill="BFBFBF"/>
            <w:vAlign w:val="center"/>
            <w:hideMark/>
          </w:tcPr>
          <w:p w14:paraId="6D6AA108" w14:textId="77777777" w:rsidR="00296123" w:rsidRPr="0019722C" w:rsidRDefault="00296123" w:rsidP="0072423A">
            <w:pPr>
              <w:jc w:val="center"/>
              <w:rPr>
                <w:rFonts w:eastAsia="Times New Roman" w:cs="Arial"/>
                <w:b/>
                <w:bCs/>
                <w:color w:val="000000"/>
                <w:sz w:val="20"/>
                <w:szCs w:val="20"/>
                <w:lang w:eastAsia="cs-CZ"/>
              </w:rPr>
            </w:pPr>
            <w:r w:rsidRPr="0019722C">
              <w:rPr>
                <w:rFonts w:eastAsia="Times New Roman" w:cs="Arial"/>
                <w:b/>
                <w:bCs/>
                <w:color w:val="000000"/>
                <w:sz w:val="20"/>
                <w:szCs w:val="20"/>
                <w:lang w:eastAsia="cs-CZ"/>
              </w:rPr>
              <w:t>195,456</w:t>
            </w:r>
          </w:p>
        </w:tc>
        <w:tc>
          <w:tcPr>
            <w:tcW w:w="960" w:type="dxa"/>
            <w:tcBorders>
              <w:top w:val="nil"/>
              <w:left w:val="nil"/>
              <w:bottom w:val="single" w:sz="8" w:space="0" w:color="auto"/>
              <w:right w:val="single" w:sz="8" w:space="0" w:color="auto"/>
            </w:tcBorders>
            <w:shd w:val="clear" w:color="000000" w:fill="BFBFBF"/>
            <w:vAlign w:val="center"/>
            <w:hideMark/>
          </w:tcPr>
          <w:p w14:paraId="2EB0A552" w14:textId="77777777" w:rsidR="00296123" w:rsidRPr="0019722C" w:rsidRDefault="00296123" w:rsidP="0072423A">
            <w:pPr>
              <w:jc w:val="center"/>
              <w:rPr>
                <w:rFonts w:eastAsia="Times New Roman" w:cs="Arial"/>
                <w:b/>
                <w:bCs/>
                <w:color w:val="000000"/>
                <w:sz w:val="20"/>
                <w:szCs w:val="20"/>
                <w:lang w:eastAsia="cs-CZ"/>
              </w:rPr>
            </w:pPr>
            <w:r w:rsidRPr="0019722C">
              <w:rPr>
                <w:rFonts w:eastAsia="Times New Roman" w:cs="Arial"/>
                <w:b/>
                <w:bCs/>
                <w:color w:val="000000"/>
                <w:sz w:val="20"/>
                <w:szCs w:val="20"/>
                <w:lang w:eastAsia="cs-CZ"/>
              </w:rPr>
              <w:t>237,414</w:t>
            </w:r>
          </w:p>
        </w:tc>
        <w:tc>
          <w:tcPr>
            <w:tcW w:w="1480" w:type="dxa"/>
            <w:tcBorders>
              <w:top w:val="nil"/>
              <w:left w:val="nil"/>
              <w:bottom w:val="single" w:sz="8" w:space="0" w:color="auto"/>
              <w:right w:val="single" w:sz="8" w:space="0" w:color="auto"/>
            </w:tcBorders>
            <w:shd w:val="clear" w:color="000000" w:fill="BFBFBF"/>
            <w:vAlign w:val="center"/>
            <w:hideMark/>
          </w:tcPr>
          <w:p w14:paraId="49C3068B" w14:textId="77777777" w:rsidR="00296123" w:rsidRPr="0019722C" w:rsidRDefault="00296123" w:rsidP="0072423A">
            <w:pPr>
              <w:jc w:val="center"/>
              <w:rPr>
                <w:rFonts w:eastAsia="Times New Roman" w:cs="Arial"/>
                <w:b/>
                <w:bCs/>
                <w:color w:val="000000"/>
                <w:sz w:val="20"/>
                <w:szCs w:val="20"/>
                <w:lang w:eastAsia="cs-CZ"/>
              </w:rPr>
            </w:pPr>
            <w:r w:rsidRPr="0019722C">
              <w:rPr>
                <w:rFonts w:eastAsia="Times New Roman" w:cs="Arial"/>
                <w:b/>
                <w:bCs/>
                <w:color w:val="000000"/>
                <w:sz w:val="20"/>
                <w:szCs w:val="20"/>
                <w:lang w:eastAsia="cs-CZ"/>
              </w:rPr>
              <w:t>133</w:t>
            </w:r>
          </w:p>
        </w:tc>
      </w:tr>
    </w:tbl>
    <w:p w14:paraId="5353583A" w14:textId="2C5E7B05" w:rsidR="00CF717B" w:rsidRPr="0038442C" w:rsidRDefault="00296123" w:rsidP="00FB6401">
      <w:pPr>
        <w:contextualSpacing/>
        <w:rPr>
          <w:rFonts w:cs="Arial"/>
          <w:i/>
          <w:sz w:val="20"/>
          <w:szCs w:val="20"/>
        </w:rPr>
      </w:pPr>
      <w:r w:rsidRPr="00296123">
        <w:rPr>
          <w:rFonts w:cs="Arial"/>
          <w:i/>
          <w:sz w:val="20"/>
          <w:szCs w:val="20"/>
        </w:rPr>
        <w:t>Pramen: MZe</w:t>
      </w:r>
    </w:p>
    <w:p w14:paraId="40DB76D5" w14:textId="77777777" w:rsidR="00CF717B" w:rsidRDefault="00CF717B" w:rsidP="00FB6401">
      <w:pPr>
        <w:contextualSpacing/>
        <w:rPr>
          <w:rFonts w:cs="Arial"/>
          <w:b/>
          <w:i/>
          <w:highlight w:val="yellow"/>
        </w:rPr>
      </w:pPr>
    </w:p>
    <w:p w14:paraId="140A3B7B" w14:textId="77777777" w:rsidR="0016061E" w:rsidRDefault="0016061E" w:rsidP="0016061E">
      <w:pPr>
        <w:rPr>
          <w:rFonts w:cs="Arial"/>
        </w:rPr>
      </w:pPr>
      <w:r>
        <w:rPr>
          <w:lang w:eastAsia="cs-CZ"/>
        </w:rPr>
        <w:t>V roce 2025 byl zahájen též příjem žádostí o dotaci. poskytované v rámci programu 129 380, resp. podprogramu 129 384 „</w:t>
      </w:r>
      <w:r w:rsidRPr="00F44237">
        <w:rPr>
          <w:lang w:eastAsia="cs-CZ"/>
        </w:rPr>
        <w:t>Odstranění povodňových škod na rybnících a vodních nádržích</w:t>
      </w:r>
      <w:r>
        <w:rPr>
          <w:lang w:eastAsia="cs-CZ"/>
        </w:rPr>
        <w:t>“, který je určen na odstranění škod po povodních ze září 2024. Program zajišťuje nápravu povodňových škod na</w:t>
      </w:r>
      <w:r w:rsidRPr="003D0185">
        <w:rPr>
          <w:rFonts w:cs="Arial"/>
        </w:rPr>
        <w:t xml:space="preserve"> hrázích a objektech rybníků a vodních nádrží</w:t>
      </w:r>
      <w:r>
        <w:rPr>
          <w:rFonts w:cs="Arial"/>
        </w:rPr>
        <w:t>ch.</w:t>
      </w:r>
    </w:p>
    <w:p w14:paraId="602CF1AB" w14:textId="77777777" w:rsidR="00F52EEC" w:rsidRDefault="00F52EEC" w:rsidP="00FB6401">
      <w:pPr>
        <w:contextualSpacing/>
        <w:rPr>
          <w:rFonts w:cs="Arial"/>
          <w:bCs/>
          <w:iCs/>
          <w:highlight w:val="yellow"/>
        </w:rPr>
      </w:pPr>
    </w:p>
    <w:p w14:paraId="0EBA89B9" w14:textId="77777777" w:rsidR="00741CE3" w:rsidRPr="00BB75D4" w:rsidRDefault="00741CE3" w:rsidP="00741CE3">
      <w:r>
        <w:rPr>
          <w:rFonts w:cs="Arial"/>
        </w:rPr>
        <w:t>Ve sledovaném roce byly přijímány žádosti, avšak finanční podpora dosud nebyla poskytnuta.</w:t>
      </w:r>
    </w:p>
    <w:p w14:paraId="2ED0979C" w14:textId="77777777" w:rsidR="00F52EEC" w:rsidRDefault="00F52EEC" w:rsidP="00FB6401">
      <w:pPr>
        <w:contextualSpacing/>
        <w:rPr>
          <w:rFonts w:cs="Arial"/>
          <w:b/>
          <w:i/>
          <w:highlight w:val="yellow"/>
        </w:rPr>
      </w:pPr>
    </w:p>
    <w:p w14:paraId="34E9E76A" w14:textId="2D562BA6" w:rsidR="00D74C2A" w:rsidRPr="00320A2F" w:rsidRDefault="00D74C2A" w:rsidP="007C4955">
      <w:pPr>
        <w:contextualSpacing/>
        <w:rPr>
          <w:rFonts w:cs="Arial"/>
          <w:b/>
          <w:color w:val="FF0000"/>
        </w:rPr>
      </w:pPr>
      <w:r w:rsidRPr="00320A2F">
        <w:rPr>
          <w:rFonts w:cs="Arial"/>
          <w:b/>
          <w:i/>
        </w:rPr>
        <w:t>Oblast drobných vodních toků a malých vodních nádrží</w:t>
      </w:r>
    </w:p>
    <w:p w14:paraId="2D289F2C" w14:textId="0A6F27F0" w:rsidR="003357A1" w:rsidRPr="00104F7D" w:rsidRDefault="003357A1" w:rsidP="003357A1">
      <w:pPr>
        <w:ind w:right="5"/>
        <w:contextualSpacing/>
        <w:rPr>
          <w:color w:val="FF0000"/>
          <w:highlight w:val="yellow"/>
        </w:rPr>
      </w:pPr>
    </w:p>
    <w:p w14:paraId="0841B441" w14:textId="77777777" w:rsidR="00320A2F" w:rsidRDefault="00320A2F" w:rsidP="00320A2F">
      <w:pPr>
        <w:spacing w:after="220" w:line="251" w:lineRule="auto"/>
        <w:ind w:left="-4" w:right="39" w:hanging="10"/>
        <w:rPr>
          <w:b/>
        </w:rPr>
      </w:pPr>
      <w:r>
        <w:rPr>
          <w:b/>
        </w:rPr>
        <w:t>V roce 2025</w:t>
      </w:r>
      <w:r w:rsidRPr="00D74C2A">
        <w:rPr>
          <w:b/>
        </w:rPr>
        <w:t xml:space="preserve"> </w:t>
      </w:r>
      <w:r>
        <w:rPr>
          <w:b/>
        </w:rPr>
        <w:t>pokračoval program 129 4</w:t>
      </w:r>
      <w:r w:rsidRPr="00D74C2A">
        <w:rPr>
          <w:b/>
        </w:rPr>
        <w:t xml:space="preserve">90 „Podpora opatření na malých </w:t>
      </w:r>
      <w:r w:rsidRPr="005E2B07">
        <w:rPr>
          <w:b/>
        </w:rPr>
        <w:t>vodních nádržích</w:t>
      </w:r>
      <w:r w:rsidRPr="00D74C2A">
        <w:rPr>
          <w:b/>
        </w:rPr>
        <w:t xml:space="preserve"> </w:t>
      </w:r>
      <w:r>
        <w:rPr>
          <w:b/>
        </w:rPr>
        <w:t xml:space="preserve">a </w:t>
      </w:r>
      <w:r w:rsidRPr="00D74C2A">
        <w:rPr>
          <w:b/>
        </w:rPr>
        <w:t xml:space="preserve">drobných vodních tocích </w:t>
      </w:r>
      <w:r w:rsidRPr="005E2B07">
        <w:rPr>
          <w:b/>
        </w:rPr>
        <w:t xml:space="preserve">– </w:t>
      </w:r>
      <w:r>
        <w:rPr>
          <w:b/>
        </w:rPr>
        <w:t>3</w:t>
      </w:r>
      <w:r w:rsidRPr="005E2B07">
        <w:rPr>
          <w:b/>
        </w:rPr>
        <w:t>. etapa“, který je rozdělen na dva podprogramy, podprogram 129 </w:t>
      </w:r>
      <w:r>
        <w:rPr>
          <w:b/>
        </w:rPr>
        <w:t>4</w:t>
      </w:r>
      <w:r w:rsidRPr="005E2B07">
        <w:rPr>
          <w:b/>
        </w:rPr>
        <w:t xml:space="preserve">92 a 129 </w:t>
      </w:r>
      <w:r>
        <w:rPr>
          <w:b/>
        </w:rPr>
        <w:t>4</w:t>
      </w:r>
      <w:r w:rsidRPr="005E2B07">
        <w:rPr>
          <w:b/>
        </w:rPr>
        <w:t xml:space="preserve">93. Podpořeno bylo celkem </w:t>
      </w:r>
      <w:r>
        <w:rPr>
          <w:b/>
        </w:rPr>
        <w:t>127</w:t>
      </w:r>
      <w:r w:rsidRPr="005E2B07">
        <w:rPr>
          <w:b/>
        </w:rPr>
        <w:t xml:space="preserve"> akcí v celkové výši</w:t>
      </w:r>
      <w:r>
        <w:rPr>
          <w:b/>
        </w:rPr>
        <w:t xml:space="preserve"> dotace</w:t>
      </w:r>
      <w:r w:rsidRPr="005E2B07">
        <w:rPr>
          <w:b/>
        </w:rPr>
        <w:t xml:space="preserve"> </w:t>
      </w:r>
      <w:r>
        <w:rPr>
          <w:b/>
        </w:rPr>
        <w:t>162,554</w:t>
      </w:r>
      <w:r w:rsidRPr="005E2B07">
        <w:rPr>
          <w:b/>
        </w:rPr>
        <w:t xml:space="preserve"> mil. Kč.  </w:t>
      </w:r>
    </w:p>
    <w:p w14:paraId="5BACDDEE" w14:textId="77777777" w:rsidR="00320A2F" w:rsidRDefault="00320A2F" w:rsidP="00320A2F">
      <w:r w:rsidRPr="003A3C07">
        <w:t>Cílem programu je výrazné zlepšení technického stavu malých vodních nádrží a drobných vodních toků, které podpoří vodní režim krajiny, posílí retenci vody v krajině a zvětší bezpečnost při zvýšených průtocích. Mezi podporovaná opatření patří např. výstavba, rekonstrukce anebo odbahnění vodních nádrží</w:t>
      </w:r>
      <w:r>
        <w:t xml:space="preserve"> a rekonstrukce opevnění a objektů na drobných vodních tocích</w:t>
      </w:r>
      <w:r w:rsidRPr="003A3C07">
        <w:t>.</w:t>
      </w:r>
    </w:p>
    <w:p w14:paraId="11CAD5C5" w14:textId="77777777" w:rsidR="00320A2F" w:rsidRPr="00D74C2A" w:rsidRDefault="00320A2F" w:rsidP="00320A2F"/>
    <w:p w14:paraId="2D77A608" w14:textId="29D17396" w:rsidR="00320A2F" w:rsidRDefault="00320A2F" w:rsidP="00320A2F">
      <w:pPr>
        <w:ind w:left="7" w:right="5"/>
      </w:pPr>
      <w:r>
        <w:t xml:space="preserve">Podprogram </w:t>
      </w:r>
      <w:r>
        <w:rPr>
          <w:rFonts w:cs="Arial"/>
        </w:rPr>
        <w:t xml:space="preserve">129 492 </w:t>
      </w:r>
      <w:r w:rsidRPr="00B50C26">
        <w:rPr>
          <w:rFonts w:cs="Arial"/>
          <w:b/>
        </w:rPr>
        <w:t>„</w:t>
      </w:r>
      <w:r w:rsidRPr="008310E1">
        <w:rPr>
          <w:rFonts w:cs="Arial"/>
        </w:rPr>
        <w:t>Podpora opatření na malých vodních nádržích</w:t>
      </w:r>
      <w:r>
        <w:rPr>
          <w:rFonts w:cs="Arial"/>
        </w:rPr>
        <w:t xml:space="preserve"> a drobných vodních tocích</w:t>
      </w:r>
      <w:r w:rsidRPr="008310E1">
        <w:rPr>
          <w:rFonts w:cs="Arial"/>
        </w:rPr>
        <w:t xml:space="preserve"> </w:t>
      </w:r>
      <w:r>
        <w:rPr>
          <w:rFonts w:cs="Arial"/>
        </w:rPr>
        <w:t>-</w:t>
      </w:r>
      <w:r w:rsidRPr="008310E1">
        <w:rPr>
          <w:rFonts w:cs="Arial"/>
        </w:rPr>
        <w:t xml:space="preserve"> </w:t>
      </w:r>
      <w:r>
        <w:rPr>
          <w:rFonts w:cs="Arial"/>
        </w:rPr>
        <w:t>3</w:t>
      </w:r>
      <w:r w:rsidRPr="008310E1">
        <w:rPr>
          <w:rFonts w:cs="Arial"/>
        </w:rPr>
        <w:t>. etapa“</w:t>
      </w:r>
      <w:r>
        <w:rPr>
          <w:rFonts w:cs="Arial"/>
        </w:rPr>
        <w:t xml:space="preserve"> </w:t>
      </w:r>
      <w:r>
        <w:t xml:space="preserve">je určen pro státní podniky Povodí a Lesy ČR. V roce 2025 z něj byla poskytnuta finanční </w:t>
      </w:r>
      <w:r w:rsidRPr="005E2B07">
        <w:t xml:space="preserve">podpora na </w:t>
      </w:r>
      <w:r>
        <w:t>82</w:t>
      </w:r>
      <w:r w:rsidRPr="005E2B07">
        <w:t xml:space="preserve"> akcí </w:t>
      </w:r>
      <w:r>
        <w:t xml:space="preserve">dotací </w:t>
      </w:r>
      <w:r w:rsidRPr="005E2B07">
        <w:t xml:space="preserve">o celkovém objemu </w:t>
      </w:r>
      <w:r>
        <w:t>118,212</w:t>
      </w:r>
      <w:r w:rsidRPr="005E2B07">
        <w:t xml:space="preserve"> mil. Kč. </w:t>
      </w:r>
    </w:p>
    <w:p w14:paraId="622954F9" w14:textId="77777777" w:rsidR="00320A2F" w:rsidRDefault="00320A2F" w:rsidP="00320A2F">
      <w:pPr>
        <w:ind w:left="7" w:right="5"/>
      </w:pPr>
    </w:p>
    <w:p w14:paraId="66ADCD04" w14:textId="77777777" w:rsidR="00320A2F" w:rsidRPr="006F43B1" w:rsidRDefault="00320A2F" w:rsidP="00320A2F">
      <w:pPr>
        <w:ind w:left="7" w:right="5"/>
      </w:pPr>
      <w:r>
        <w:t xml:space="preserve">Podprogram 129 493 „Podpora opatření na rybnících a malých vodních nádržích ve vlastnictví obcí - 3. etapa“ je určen pro obce a </w:t>
      </w:r>
      <w:r w:rsidRPr="005E2B07">
        <w:t xml:space="preserve">svazky obcí. V rámci tohoto podprogramu byla ve sledovaném roce poskytnuta finanční podpora na </w:t>
      </w:r>
      <w:r>
        <w:t>45</w:t>
      </w:r>
      <w:r w:rsidRPr="005E2B07">
        <w:t> akc</w:t>
      </w:r>
      <w:r>
        <w:t>í</w:t>
      </w:r>
      <w:r w:rsidRPr="005E2B07">
        <w:t xml:space="preserve"> ve výši </w:t>
      </w:r>
      <w:r>
        <w:t>44,342</w:t>
      </w:r>
      <w:r w:rsidRPr="005E2B07">
        <w:t> mil. Kč.</w:t>
      </w:r>
    </w:p>
    <w:p w14:paraId="65481658" w14:textId="77777777" w:rsidR="000E3C39" w:rsidRPr="00104F7D" w:rsidRDefault="000E3C39" w:rsidP="007C4955">
      <w:pPr>
        <w:contextualSpacing/>
        <w:rPr>
          <w:rFonts w:cs="Arial"/>
          <w:b/>
          <w:i/>
          <w:color w:val="000000" w:themeColor="text1"/>
          <w:highlight w:val="yellow"/>
        </w:rPr>
      </w:pPr>
    </w:p>
    <w:p w14:paraId="1B7568EF" w14:textId="713959B8" w:rsidR="002B1584" w:rsidRPr="00203851" w:rsidRDefault="002B1584" w:rsidP="007C4955">
      <w:pPr>
        <w:contextualSpacing/>
        <w:rPr>
          <w:rFonts w:cs="Arial"/>
          <w:b/>
          <w:i/>
          <w:color w:val="000000" w:themeColor="text1"/>
        </w:rPr>
      </w:pPr>
      <w:r w:rsidRPr="00203851">
        <w:rPr>
          <w:rFonts w:cs="Arial"/>
          <w:b/>
          <w:i/>
          <w:color w:val="000000" w:themeColor="text1"/>
        </w:rPr>
        <w:t>Tabulka</w:t>
      </w:r>
      <w:r w:rsidR="004571C5" w:rsidRPr="00203851">
        <w:rPr>
          <w:rFonts w:cs="Arial"/>
          <w:b/>
          <w:i/>
          <w:color w:val="000000" w:themeColor="text1"/>
        </w:rPr>
        <w:t xml:space="preserve"> </w:t>
      </w:r>
      <w:r w:rsidR="00AB0673" w:rsidRPr="00203851">
        <w:rPr>
          <w:rFonts w:cs="Arial"/>
          <w:b/>
          <w:i/>
          <w:color w:val="000000" w:themeColor="text1"/>
        </w:rPr>
        <w:t>11</w:t>
      </w:r>
      <w:r w:rsidRPr="00203851">
        <w:rPr>
          <w:rFonts w:cs="Arial"/>
          <w:b/>
          <w:i/>
          <w:color w:val="000000" w:themeColor="text1"/>
        </w:rPr>
        <w:t>.1.</w:t>
      </w:r>
      <w:r w:rsidR="0037484F" w:rsidRPr="00203851">
        <w:rPr>
          <w:rFonts w:cs="Arial"/>
          <w:b/>
          <w:i/>
          <w:color w:val="000000" w:themeColor="text1"/>
        </w:rPr>
        <w:t>1.</w:t>
      </w:r>
      <w:r w:rsidR="009B4EBD">
        <w:rPr>
          <w:rFonts w:cs="Arial"/>
          <w:b/>
          <w:i/>
          <w:color w:val="000000" w:themeColor="text1"/>
        </w:rPr>
        <w:t>11</w:t>
      </w:r>
    </w:p>
    <w:p w14:paraId="38B2C533" w14:textId="0CE7F2FD" w:rsidR="00C30BD6" w:rsidRDefault="002B1584" w:rsidP="007C4955">
      <w:pPr>
        <w:contextualSpacing/>
        <w:rPr>
          <w:rFonts w:cs="Arial"/>
          <w:b/>
          <w:i/>
        </w:rPr>
      </w:pPr>
      <w:r w:rsidRPr="00203851">
        <w:rPr>
          <w:rFonts w:cs="Arial"/>
          <w:b/>
          <w:i/>
        </w:rPr>
        <w:t>Čerpání finančních prostředků státního rozpočtu a počet financovaných akcí programu</w:t>
      </w:r>
      <w:r w:rsidR="007C6CE3" w:rsidRPr="00203851">
        <w:rPr>
          <w:rFonts w:cs="Arial"/>
          <w:b/>
          <w:i/>
        </w:rPr>
        <w:t xml:space="preserve"> </w:t>
      </w:r>
      <w:r w:rsidR="0037484F" w:rsidRPr="00203851">
        <w:rPr>
          <w:rFonts w:cs="Arial"/>
          <w:b/>
          <w:i/>
        </w:rPr>
        <w:t>129 </w:t>
      </w:r>
      <w:r w:rsidR="00203851" w:rsidRPr="00203851">
        <w:rPr>
          <w:rFonts w:cs="Arial"/>
          <w:b/>
          <w:i/>
        </w:rPr>
        <w:t>4</w:t>
      </w:r>
      <w:r w:rsidR="0037484F" w:rsidRPr="00203851">
        <w:rPr>
          <w:rFonts w:cs="Arial"/>
          <w:b/>
          <w:i/>
        </w:rPr>
        <w:t>90 v roce 202</w:t>
      </w:r>
      <w:r w:rsidR="00203851" w:rsidRPr="00203851">
        <w:rPr>
          <w:rFonts w:cs="Arial"/>
          <w:b/>
          <w:i/>
        </w:rPr>
        <w:t>5</w:t>
      </w:r>
    </w:p>
    <w:tbl>
      <w:tblPr>
        <w:tblW w:w="6560" w:type="dxa"/>
        <w:tblCellMar>
          <w:left w:w="70" w:type="dxa"/>
          <w:right w:w="70" w:type="dxa"/>
        </w:tblCellMar>
        <w:tblLook w:val="04A0" w:firstRow="1" w:lastRow="0" w:firstColumn="1" w:lastColumn="0" w:noHBand="0" w:noVBand="1"/>
      </w:tblPr>
      <w:tblGrid>
        <w:gridCol w:w="1860"/>
        <w:gridCol w:w="960"/>
        <w:gridCol w:w="1300"/>
        <w:gridCol w:w="960"/>
        <w:gridCol w:w="1480"/>
      </w:tblGrid>
      <w:tr w:rsidR="00203851" w:rsidRPr="00AD6A7E" w14:paraId="66A85891" w14:textId="77777777" w:rsidTr="0072423A">
        <w:trPr>
          <w:trHeight w:val="315"/>
        </w:trPr>
        <w:tc>
          <w:tcPr>
            <w:tcW w:w="186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26A27F36" w14:textId="77777777" w:rsidR="00203851" w:rsidRPr="00AD6A7E" w:rsidRDefault="00203851" w:rsidP="0072423A">
            <w:pPr>
              <w:jc w:val="center"/>
              <w:rPr>
                <w:rFonts w:eastAsia="Times New Roman" w:cs="Arial"/>
                <w:b/>
                <w:bCs/>
                <w:color w:val="000000"/>
                <w:sz w:val="18"/>
                <w:szCs w:val="18"/>
                <w:lang w:eastAsia="cs-CZ"/>
              </w:rPr>
            </w:pPr>
            <w:r w:rsidRPr="00AD6A7E">
              <w:rPr>
                <w:rFonts w:eastAsia="Times New Roman" w:cs="Arial"/>
                <w:b/>
                <w:bCs/>
                <w:color w:val="000000"/>
                <w:sz w:val="18"/>
                <w:szCs w:val="18"/>
                <w:lang w:eastAsia="cs-CZ"/>
              </w:rPr>
              <w:t>Vlastníci a správci</w:t>
            </w:r>
          </w:p>
        </w:tc>
        <w:tc>
          <w:tcPr>
            <w:tcW w:w="3220" w:type="dxa"/>
            <w:gridSpan w:val="3"/>
            <w:tcBorders>
              <w:top w:val="single" w:sz="8" w:space="0" w:color="auto"/>
              <w:left w:val="nil"/>
              <w:bottom w:val="single" w:sz="8" w:space="0" w:color="auto"/>
              <w:right w:val="single" w:sz="8" w:space="0" w:color="000000"/>
            </w:tcBorders>
            <w:shd w:val="clear" w:color="000000" w:fill="BFBFBF"/>
            <w:vAlign w:val="center"/>
            <w:hideMark/>
          </w:tcPr>
          <w:p w14:paraId="42F6FF54" w14:textId="77777777" w:rsidR="00203851" w:rsidRPr="00AD6A7E" w:rsidRDefault="00203851" w:rsidP="0072423A">
            <w:pPr>
              <w:jc w:val="center"/>
              <w:rPr>
                <w:rFonts w:eastAsia="Times New Roman" w:cs="Arial"/>
                <w:b/>
                <w:bCs/>
                <w:color w:val="000000"/>
                <w:sz w:val="18"/>
                <w:szCs w:val="18"/>
                <w:lang w:eastAsia="cs-CZ"/>
              </w:rPr>
            </w:pPr>
            <w:r w:rsidRPr="00AD6A7E">
              <w:rPr>
                <w:rFonts w:eastAsia="Times New Roman" w:cs="Arial"/>
                <w:b/>
                <w:bCs/>
                <w:color w:val="000000"/>
                <w:sz w:val="18"/>
                <w:szCs w:val="18"/>
                <w:lang w:eastAsia="cs-CZ"/>
              </w:rPr>
              <w:t>Čerpání</w:t>
            </w:r>
          </w:p>
        </w:tc>
        <w:tc>
          <w:tcPr>
            <w:tcW w:w="1480" w:type="dxa"/>
            <w:vMerge w:val="restart"/>
            <w:tcBorders>
              <w:top w:val="single" w:sz="8" w:space="0" w:color="auto"/>
              <w:left w:val="nil"/>
              <w:bottom w:val="single" w:sz="8" w:space="0" w:color="000000"/>
              <w:right w:val="single" w:sz="8" w:space="0" w:color="auto"/>
            </w:tcBorders>
            <w:shd w:val="clear" w:color="000000" w:fill="BFBFBF"/>
            <w:vAlign w:val="center"/>
            <w:hideMark/>
          </w:tcPr>
          <w:p w14:paraId="18AE02A6" w14:textId="77777777" w:rsidR="00203851" w:rsidRPr="00AD6A7E" w:rsidRDefault="00203851" w:rsidP="0072423A">
            <w:pPr>
              <w:jc w:val="center"/>
              <w:rPr>
                <w:rFonts w:eastAsia="Times New Roman" w:cs="Arial"/>
                <w:b/>
                <w:bCs/>
                <w:color w:val="000000"/>
                <w:sz w:val="18"/>
                <w:szCs w:val="18"/>
                <w:lang w:eastAsia="cs-CZ"/>
              </w:rPr>
            </w:pPr>
            <w:r w:rsidRPr="00AD6A7E">
              <w:rPr>
                <w:rFonts w:eastAsia="Times New Roman" w:cs="Arial"/>
                <w:b/>
                <w:bCs/>
                <w:color w:val="000000"/>
                <w:sz w:val="18"/>
                <w:szCs w:val="18"/>
                <w:lang w:eastAsia="cs-CZ"/>
              </w:rPr>
              <w:t>Počet financovaných akcí</w:t>
            </w:r>
          </w:p>
        </w:tc>
      </w:tr>
      <w:tr w:rsidR="00203851" w:rsidRPr="00AD6A7E" w14:paraId="76093704" w14:textId="77777777" w:rsidTr="0072423A">
        <w:trPr>
          <w:trHeight w:val="315"/>
        </w:trPr>
        <w:tc>
          <w:tcPr>
            <w:tcW w:w="1860" w:type="dxa"/>
            <w:vMerge/>
            <w:tcBorders>
              <w:top w:val="single" w:sz="8" w:space="0" w:color="auto"/>
              <w:left w:val="single" w:sz="8" w:space="0" w:color="auto"/>
              <w:bottom w:val="single" w:sz="8" w:space="0" w:color="000000"/>
              <w:right w:val="single" w:sz="8" w:space="0" w:color="auto"/>
            </w:tcBorders>
            <w:vAlign w:val="center"/>
            <w:hideMark/>
          </w:tcPr>
          <w:p w14:paraId="635AB0B4" w14:textId="77777777" w:rsidR="00203851" w:rsidRPr="00AD6A7E" w:rsidRDefault="00203851" w:rsidP="0072423A">
            <w:pPr>
              <w:jc w:val="left"/>
              <w:rPr>
                <w:rFonts w:eastAsia="Times New Roman" w:cs="Arial"/>
                <w:b/>
                <w:bCs/>
                <w:color w:val="000000"/>
                <w:sz w:val="18"/>
                <w:szCs w:val="18"/>
                <w:lang w:eastAsia="cs-CZ"/>
              </w:rPr>
            </w:pPr>
          </w:p>
        </w:tc>
        <w:tc>
          <w:tcPr>
            <w:tcW w:w="960" w:type="dxa"/>
            <w:tcBorders>
              <w:top w:val="nil"/>
              <w:left w:val="nil"/>
              <w:bottom w:val="single" w:sz="8" w:space="0" w:color="auto"/>
              <w:right w:val="single" w:sz="8" w:space="0" w:color="auto"/>
            </w:tcBorders>
            <w:shd w:val="clear" w:color="000000" w:fill="BFBFBF"/>
            <w:vAlign w:val="center"/>
            <w:hideMark/>
          </w:tcPr>
          <w:p w14:paraId="2939D72A" w14:textId="77777777" w:rsidR="00203851" w:rsidRPr="00AD6A7E" w:rsidRDefault="00203851" w:rsidP="0072423A">
            <w:pPr>
              <w:jc w:val="center"/>
              <w:rPr>
                <w:rFonts w:eastAsia="Times New Roman" w:cs="Arial"/>
                <w:b/>
                <w:bCs/>
                <w:color w:val="000000"/>
                <w:sz w:val="18"/>
                <w:szCs w:val="18"/>
                <w:lang w:eastAsia="cs-CZ"/>
              </w:rPr>
            </w:pPr>
            <w:r w:rsidRPr="00AD6A7E">
              <w:rPr>
                <w:rFonts w:eastAsia="Times New Roman" w:cs="Arial"/>
                <w:b/>
                <w:bCs/>
                <w:color w:val="000000"/>
                <w:sz w:val="18"/>
                <w:szCs w:val="18"/>
                <w:lang w:eastAsia="cs-CZ"/>
              </w:rPr>
              <w:t>Investice</w:t>
            </w:r>
          </w:p>
        </w:tc>
        <w:tc>
          <w:tcPr>
            <w:tcW w:w="1300" w:type="dxa"/>
            <w:tcBorders>
              <w:top w:val="nil"/>
              <w:left w:val="nil"/>
              <w:bottom w:val="single" w:sz="8" w:space="0" w:color="auto"/>
              <w:right w:val="single" w:sz="8" w:space="0" w:color="auto"/>
            </w:tcBorders>
            <w:shd w:val="clear" w:color="000000" w:fill="BFBFBF"/>
            <w:vAlign w:val="center"/>
            <w:hideMark/>
          </w:tcPr>
          <w:p w14:paraId="2B001DB5" w14:textId="77777777" w:rsidR="00203851" w:rsidRPr="00AD6A7E" w:rsidRDefault="00203851" w:rsidP="0072423A">
            <w:pPr>
              <w:jc w:val="center"/>
              <w:rPr>
                <w:rFonts w:eastAsia="Times New Roman" w:cs="Arial"/>
                <w:b/>
                <w:bCs/>
                <w:color w:val="000000"/>
                <w:sz w:val="18"/>
                <w:szCs w:val="18"/>
                <w:lang w:eastAsia="cs-CZ"/>
              </w:rPr>
            </w:pPr>
            <w:proofErr w:type="spellStart"/>
            <w:r w:rsidRPr="00AD6A7E">
              <w:rPr>
                <w:rFonts w:eastAsia="Times New Roman" w:cs="Arial"/>
                <w:b/>
                <w:bCs/>
                <w:color w:val="000000"/>
                <w:sz w:val="18"/>
                <w:szCs w:val="18"/>
                <w:lang w:eastAsia="cs-CZ"/>
              </w:rPr>
              <w:t>Neinvestice</w:t>
            </w:r>
            <w:proofErr w:type="spellEnd"/>
          </w:p>
        </w:tc>
        <w:tc>
          <w:tcPr>
            <w:tcW w:w="960" w:type="dxa"/>
            <w:tcBorders>
              <w:top w:val="nil"/>
              <w:left w:val="nil"/>
              <w:bottom w:val="single" w:sz="8" w:space="0" w:color="auto"/>
              <w:right w:val="single" w:sz="8" w:space="0" w:color="auto"/>
            </w:tcBorders>
            <w:shd w:val="clear" w:color="000000" w:fill="BFBFBF"/>
            <w:vAlign w:val="center"/>
            <w:hideMark/>
          </w:tcPr>
          <w:p w14:paraId="3E806C1D" w14:textId="77777777" w:rsidR="00203851" w:rsidRPr="00AD6A7E" w:rsidRDefault="00203851" w:rsidP="0072423A">
            <w:pPr>
              <w:jc w:val="center"/>
              <w:rPr>
                <w:rFonts w:eastAsia="Times New Roman" w:cs="Arial"/>
                <w:b/>
                <w:bCs/>
                <w:color w:val="000000"/>
                <w:sz w:val="18"/>
                <w:szCs w:val="18"/>
                <w:lang w:eastAsia="cs-CZ"/>
              </w:rPr>
            </w:pPr>
            <w:r w:rsidRPr="00AD6A7E">
              <w:rPr>
                <w:rFonts w:eastAsia="Times New Roman" w:cs="Arial"/>
                <w:b/>
                <w:bCs/>
                <w:color w:val="000000"/>
                <w:sz w:val="18"/>
                <w:szCs w:val="18"/>
                <w:lang w:eastAsia="cs-CZ"/>
              </w:rPr>
              <w:t>Celkem</w:t>
            </w:r>
          </w:p>
        </w:tc>
        <w:tc>
          <w:tcPr>
            <w:tcW w:w="1480" w:type="dxa"/>
            <w:vMerge/>
            <w:tcBorders>
              <w:top w:val="single" w:sz="8" w:space="0" w:color="auto"/>
              <w:left w:val="nil"/>
              <w:bottom w:val="single" w:sz="8" w:space="0" w:color="000000"/>
              <w:right w:val="single" w:sz="8" w:space="0" w:color="auto"/>
            </w:tcBorders>
            <w:vAlign w:val="center"/>
            <w:hideMark/>
          </w:tcPr>
          <w:p w14:paraId="5FC079B0" w14:textId="77777777" w:rsidR="00203851" w:rsidRPr="00AD6A7E" w:rsidRDefault="00203851" w:rsidP="0072423A">
            <w:pPr>
              <w:jc w:val="left"/>
              <w:rPr>
                <w:rFonts w:eastAsia="Times New Roman" w:cs="Arial"/>
                <w:b/>
                <w:bCs/>
                <w:color w:val="000000"/>
                <w:sz w:val="18"/>
                <w:szCs w:val="18"/>
                <w:lang w:eastAsia="cs-CZ"/>
              </w:rPr>
            </w:pPr>
          </w:p>
        </w:tc>
      </w:tr>
      <w:tr w:rsidR="00203851" w:rsidRPr="00AD6A7E" w14:paraId="6D221AE6" w14:textId="77777777" w:rsidTr="0072423A">
        <w:trPr>
          <w:trHeight w:val="315"/>
        </w:trPr>
        <w:tc>
          <w:tcPr>
            <w:tcW w:w="1860" w:type="dxa"/>
            <w:vMerge/>
            <w:tcBorders>
              <w:top w:val="single" w:sz="8" w:space="0" w:color="auto"/>
              <w:left w:val="single" w:sz="8" w:space="0" w:color="auto"/>
              <w:bottom w:val="single" w:sz="8" w:space="0" w:color="000000"/>
              <w:right w:val="single" w:sz="8" w:space="0" w:color="auto"/>
            </w:tcBorders>
            <w:vAlign w:val="center"/>
            <w:hideMark/>
          </w:tcPr>
          <w:p w14:paraId="5A908BBD" w14:textId="77777777" w:rsidR="00203851" w:rsidRPr="00AD6A7E" w:rsidRDefault="00203851" w:rsidP="0072423A">
            <w:pPr>
              <w:jc w:val="left"/>
              <w:rPr>
                <w:rFonts w:eastAsia="Times New Roman" w:cs="Arial"/>
                <w:b/>
                <w:bCs/>
                <w:color w:val="000000"/>
                <w:sz w:val="18"/>
                <w:szCs w:val="18"/>
                <w:lang w:eastAsia="cs-CZ"/>
              </w:rPr>
            </w:pPr>
          </w:p>
        </w:tc>
        <w:tc>
          <w:tcPr>
            <w:tcW w:w="3220" w:type="dxa"/>
            <w:gridSpan w:val="3"/>
            <w:tcBorders>
              <w:top w:val="single" w:sz="8" w:space="0" w:color="auto"/>
              <w:left w:val="nil"/>
              <w:bottom w:val="single" w:sz="8" w:space="0" w:color="auto"/>
              <w:right w:val="single" w:sz="8" w:space="0" w:color="000000"/>
            </w:tcBorders>
            <w:shd w:val="clear" w:color="000000" w:fill="BFBFBF"/>
            <w:vAlign w:val="center"/>
            <w:hideMark/>
          </w:tcPr>
          <w:p w14:paraId="764DB217" w14:textId="77777777" w:rsidR="00203851" w:rsidRPr="00AD6A7E" w:rsidRDefault="00203851" w:rsidP="0072423A">
            <w:pPr>
              <w:jc w:val="center"/>
              <w:rPr>
                <w:rFonts w:eastAsia="Times New Roman" w:cs="Arial"/>
                <w:b/>
                <w:bCs/>
                <w:color w:val="000000"/>
                <w:sz w:val="18"/>
                <w:szCs w:val="18"/>
                <w:lang w:eastAsia="cs-CZ"/>
              </w:rPr>
            </w:pPr>
            <w:r w:rsidRPr="00AD6A7E">
              <w:rPr>
                <w:rFonts w:eastAsia="Times New Roman" w:cs="Arial"/>
                <w:b/>
                <w:bCs/>
                <w:color w:val="000000"/>
                <w:sz w:val="18"/>
                <w:szCs w:val="18"/>
                <w:lang w:eastAsia="cs-CZ"/>
              </w:rPr>
              <w:t>mil. Kč</w:t>
            </w:r>
          </w:p>
        </w:tc>
        <w:tc>
          <w:tcPr>
            <w:tcW w:w="1480" w:type="dxa"/>
            <w:vMerge/>
            <w:tcBorders>
              <w:top w:val="single" w:sz="8" w:space="0" w:color="auto"/>
              <w:left w:val="nil"/>
              <w:bottom w:val="single" w:sz="8" w:space="0" w:color="000000"/>
              <w:right w:val="single" w:sz="8" w:space="0" w:color="auto"/>
            </w:tcBorders>
            <w:vAlign w:val="center"/>
            <w:hideMark/>
          </w:tcPr>
          <w:p w14:paraId="1DB613CB" w14:textId="77777777" w:rsidR="00203851" w:rsidRPr="00AD6A7E" w:rsidRDefault="00203851" w:rsidP="0072423A">
            <w:pPr>
              <w:jc w:val="left"/>
              <w:rPr>
                <w:rFonts w:eastAsia="Times New Roman" w:cs="Arial"/>
                <w:b/>
                <w:bCs/>
                <w:color w:val="000000"/>
                <w:sz w:val="18"/>
                <w:szCs w:val="18"/>
                <w:lang w:eastAsia="cs-CZ"/>
              </w:rPr>
            </w:pPr>
          </w:p>
        </w:tc>
      </w:tr>
      <w:tr w:rsidR="00203851" w:rsidRPr="00AD6A7E" w14:paraId="6071CD2E" w14:textId="77777777" w:rsidTr="0072423A">
        <w:trPr>
          <w:trHeight w:val="315"/>
        </w:trPr>
        <w:tc>
          <w:tcPr>
            <w:tcW w:w="1860" w:type="dxa"/>
            <w:tcBorders>
              <w:top w:val="nil"/>
              <w:left w:val="single" w:sz="8" w:space="0" w:color="auto"/>
              <w:bottom w:val="single" w:sz="8" w:space="0" w:color="auto"/>
              <w:right w:val="nil"/>
            </w:tcBorders>
            <w:vAlign w:val="center"/>
            <w:hideMark/>
          </w:tcPr>
          <w:p w14:paraId="506EE6AF" w14:textId="77777777" w:rsidR="00203851" w:rsidRPr="00AD6A7E" w:rsidRDefault="00203851" w:rsidP="0072423A">
            <w:pPr>
              <w:jc w:val="left"/>
              <w:rPr>
                <w:rFonts w:eastAsia="Times New Roman" w:cs="Arial"/>
                <w:color w:val="000000"/>
                <w:sz w:val="18"/>
                <w:szCs w:val="18"/>
                <w:lang w:eastAsia="cs-CZ"/>
              </w:rPr>
            </w:pPr>
            <w:r w:rsidRPr="00AD6A7E">
              <w:rPr>
                <w:rFonts w:eastAsia="Times New Roman" w:cs="Arial"/>
                <w:color w:val="000000"/>
                <w:sz w:val="18"/>
                <w:szCs w:val="18"/>
                <w:lang w:eastAsia="cs-CZ"/>
              </w:rPr>
              <w:t>Povodí Ohře</w:t>
            </w:r>
          </w:p>
        </w:tc>
        <w:tc>
          <w:tcPr>
            <w:tcW w:w="960" w:type="dxa"/>
            <w:tcBorders>
              <w:top w:val="nil"/>
              <w:left w:val="single" w:sz="8" w:space="0" w:color="auto"/>
              <w:bottom w:val="single" w:sz="8" w:space="0" w:color="auto"/>
              <w:right w:val="single" w:sz="8" w:space="0" w:color="auto"/>
            </w:tcBorders>
            <w:vAlign w:val="center"/>
            <w:hideMark/>
          </w:tcPr>
          <w:p w14:paraId="4994AE9A"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2</w:t>
            </w:r>
          </w:p>
        </w:tc>
        <w:tc>
          <w:tcPr>
            <w:tcW w:w="1300" w:type="dxa"/>
            <w:tcBorders>
              <w:top w:val="nil"/>
              <w:left w:val="nil"/>
              <w:bottom w:val="single" w:sz="8" w:space="0" w:color="auto"/>
              <w:right w:val="single" w:sz="8" w:space="0" w:color="auto"/>
            </w:tcBorders>
            <w:vAlign w:val="center"/>
            <w:hideMark/>
          </w:tcPr>
          <w:p w14:paraId="67FB1A6B"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0</w:t>
            </w:r>
          </w:p>
        </w:tc>
        <w:tc>
          <w:tcPr>
            <w:tcW w:w="960" w:type="dxa"/>
            <w:tcBorders>
              <w:top w:val="nil"/>
              <w:left w:val="nil"/>
              <w:bottom w:val="single" w:sz="8" w:space="0" w:color="auto"/>
              <w:right w:val="single" w:sz="8" w:space="0" w:color="auto"/>
            </w:tcBorders>
            <w:shd w:val="clear" w:color="000000" w:fill="BFBFBF"/>
            <w:vAlign w:val="center"/>
            <w:hideMark/>
          </w:tcPr>
          <w:p w14:paraId="273157DC"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2</w:t>
            </w:r>
          </w:p>
        </w:tc>
        <w:tc>
          <w:tcPr>
            <w:tcW w:w="1480" w:type="dxa"/>
            <w:tcBorders>
              <w:top w:val="nil"/>
              <w:left w:val="nil"/>
              <w:bottom w:val="single" w:sz="8" w:space="0" w:color="auto"/>
              <w:right w:val="single" w:sz="8" w:space="0" w:color="auto"/>
            </w:tcBorders>
            <w:noWrap/>
            <w:vAlign w:val="center"/>
            <w:hideMark/>
          </w:tcPr>
          <w:p w14:paraId="2B04565C"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1</w:t>
            </w:r>
          </w:p>
        </w:tc>
      </w:tr>
      <w:tr w:rsidR="00203851" w:rsidRPr="00AD6A7E" w14:paraId="300E4E65" w14:textId="77777777" w:rsidTr="0072423A">
        <w:trPr>
          <w:trHeight w:val="495"/>
        </w:trPr>
        <w:tc>
          <w:tcPr>
            <w:tcW w:w="1860" w:type="dxa"/>
            <w:tcBorders>
              <w:top w:val="nil"/>
              <w:left w:val="single" w:sz="8" w:space="0" w:color="auto"/>
              <w:bottom w:val="single" w:sz="8" w:space="0" w:color="auto"/>
              <w:right w:val="nil"/>
            </w:tcBorders>
            <w:vAlign w:val="center"/>
            <w:hideMark/>
          </w:tcPr>
          <w:p w14:paraId="08D93BAD" w14:textId="77777777" w:rsidR="00203851" w:rsidRPr="00AD6A7E" w:rsidRDefault="00203851" w:rsidP="0072423A">
            <w:pPr>
              <w:jc w:val="left"/>
              <w:rPr>
                <w:rFonts w:eastAsia="Times New Roman" w:cs="Arial"/>
                <w:color w:val="000000"/>
                <w:sz w:val="18"/>
                <w:szCs w:val="18"/>
                <w:lang w:eastAsia="cs-CZ"/>
              </w:rPr>
            </w:pPr>
            <w:r w:rsidRPr="00AD6A7E">
              <w:rPr>
                <w:rFonts w:eastAsia="Times New Roman" w:cs="Arial"/>
                <w:color w:val="000000"/>
                <w:sz w:val="18"/>
                <w:szCs w:val="18"/>
                <w:lang w:eastAsia="cs-CZ"/>
              </w:rPr>
              <w:t>Lesy České republiky</w:t>
            </w:r>
          </w:p>
        </w:tc>
        <w:tc>
          <w:tcPr>
            <w:tcW w:w="960" w:type="dxa"/>
            <w:tcBorders>
              <w:top w:val="nil"/>
              <w:left w:val="single" w:sz="8" w:space="0" w:color="auto"/>
              <w:bottom w:val="single" w:sz="8" w:space="0" w:color="auto"/>
              <w:right w:val="single" w:sz="8" w:space="0" w:color="auto"/>
            </w:tcBorders>
            <w:vAlign w:val="center"/>
            <w:hideMark/>
          </w:tcPr>
          <w:p w14:paraId="10D306C9"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38,881</w:t>
            </w:r>
          </w:p>
        </w:tc>
        <w:tc>
          <w:tcPr>
            <w:tcW w:w="1300" w:type="dxa"/>
            <w:tcBorders>
              <w:top w:val="nil"/>
              <w:left w:val="nil"/>
              <w:bottom w:val="single" w:sz="8" w:space="0" w:color="auto"/>
              <w:right w:val="single" w:sz="8" w:space="0" w:color="auto"/>
            </w:tcBorders>
            <w:vAlign w:val="center"/>
            <w:hideMark/>
          </w:tcPr>
          <w:p w14:paraId="0AB80392"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16,764</w:t>
            </w:r>
          </w:p>
        </w:tc>
        <w:tc>
          <w:tcPr>
            <w:tcW w:w="960" w:type="dxa"/>
            <w:tcBorders>
              <w:top w:val="nil"/>
              <w:left w:val="nil"/>
              <w:bottom w:val="single" w:sz="8" w:space="0" w:color="auto"/>
              <w:right w:val="single" w:sz="8" w:space="0" w:color="auto"/>
            </w:tcBorders>
            <w:shd w:val="clear" w:color="000000" w:fill="BFBFBF"/>
            <w:vAlign w:val="center"/>
            <w:hideMark/>
          </w:tcPr>
          <w:p w14:paraId="506DB481"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55,645</w:t>
            </w:r>
          </w:p>
        </w:tc>
        <w:tc>
          <w:tcPr>
            <w:tcW w:w="1480" w:type="dxa"/>
            <w:tcBorders>
              <w:top w:val="nil"/>
              <w:left w:val="nil"/>
              <w:bottom w:val="single" w:sz="8" w:space="0" w:color="auto"/>
              <w:right w:val="single" w:sz="8" w:space="0" w:color="auto"/>
            </w:tcBorders>
            <w:noWrap/>
            <w:vAlign w:val="center"/>
            <w:hideMark/>
          </w:tcPr>
          <w:p w14:paraId="1BB2A91C"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56</w:t>
            </w:r>
          </w:p>
        </w:tc>
      </w:tr>
      <w:tr w:rsidR="00203851" w:rsidRPr="00AD6A7E" w14:paraId="142ABA2F" w14:textId="77777777" w:rsidTr="0072423A">
        <w:trPr>
          <w:trHeight w:val="315"/>
        </w:trPr>
        <w:tc>
          <w:tcPr>
            <w:tcW w:w="1860" w:type="dxa"/>
            <w:tcBorders>
              <w:top w:val="nil"/>
              <w:left w:val="single" w:sz="8" w:space="0" w:color="auto"/>
              <w:bottom w:val="single" w:sz="8" w:space="0" w:color="auto"/>
              <w:right w:val="nil"/>
            </w:tcBorders>
            <w:vAlign w:val="center"/>
            <w:hideMark/>
          </w:tcPr>
          <w:p w14:paraId="2FE24D83" w14:textId="77777777" w:rsidR="00203851" w:rsidRPr="00AD6A7E" w:rsidRDefault="00203851" w:rsidP="0072423A">
            <w:pPr>
              <w:jc w:val="left"/>
              <w:rPr>
                <w:rFonts w:eastAsia="Times New Roman" w:cs="Arial"/>
                <w:color w:val="000000"/>
                <w:sz w:val="18"/>
                <w:szCs w:val="18"/>
                <w:lang w:eastAsia="cs-CZ"/>
              </w:rPr>
            </w:pPr>
            <w:r w:rsidRPr="00AD6A7E">
              <w:rPr>
                <w:rFonts w:eastAsia="Times New Roman" w:cs="Arial"/>
                <w:color w:val="000000"/>
                <w:sz w:val="18"/>
                <w:szCs w:val="18"/>
                <w:lang w:eastAsia="cs-CZ"/>
              </w:rPr>
              <w:t>Povodí Moravy</w:t>
            </w:r>
          </w:p>
        </w:tc>
        <w:tc>
          <w:tcPr>
            <w:tcW w:w="960" w:type="dxa"/>
            <w:tcBorders>
              <w:top w:val="nil"/>
              <w:left w:val="single" w:sz="8" w:space="0" w:color="auto"/>
              <w:bottom w:val="single" w:sz="8" w:space="0" w:color="auto"/>
              <w:right w:val="single" w:sz="8" w:space="0" w:color="auto"/>
            </w:tcBorders>
            <w:vAlign w:val="center"/>
            <w:hideMark/>
          </w:tcPr>
          <w:p w14:paraId="17C465BF"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0,375</w:t>
            </w:r>
          </w:p>
        </w:tc>
        <w:tc>
          <w:tcPr>
            <w:tcW w:w="1300" w:type="dxa"/>
            <w:tcBorders>
              <w:top w:val="nil"/>
              <w:left w:val="nil"/>
              <w:bottom w:val="single" w:sz="8" w:space="0" w:color="auto"/>
              <w:right w:val="single" w:sz="8" w:space="0" w:color="auto"/>
            </w:tcBorders>
            <w:vAlign w:val="center"/>
            <w:hideMark/>
          </w:tcPr>
          <w:p w14:paraId="64800AFB"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24,899</w:t>
            </w:r>
          </w:p>
        </w:tc>
        <w:tc>
          <w:tcPr>
            <w:tcW w:w="960" w:type="dxa"/>
            <w:tcBorders>
              <w:top w:val="nil"/>
              <w:left w:val="nil"/>
              <w:bottom w:val="single" w:sz="8" w:space="0" w:color="auto"/>
              <w:right w:val="single" w:sz="8" w:space="0" w:color="auto"/>
            </w:tcBorders>
            <w:shd w:val="clear" w:color="000000" w:fill="BFBFBF"/>
            <w:vAlign w:val="center"/>
            <w:hideMark/>
          </w:tcPr>
          <w:p w14:paraId="1F321AAC"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25,274</w:t>
            </w:r>
          </w:p>
        </w:tc>
        <w:tc>
          <w:tcPr>
            <w:tcW w:w="1480" w:type="dxa"/>
            <w:tcBorders>
              <w:top w:val="nil"/>
              <w:left w:val="nil"/>
              <w:bottom w:val="single" w:sz="8" w:space="0" w:color="auto"/>
              <w:right w:val="single" w:sz="8" w:space="0" w:color="auto"/>
            </w:tcBorders>
            <w:noWrap/>
            <w:vAlign w:val="center"/>
            <w:hideMark/>
          </w:tcPr>
          <w:p w14:paraId="60360A01"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12</w:t>
            </w:r>
          </w:p>
        </w:tc>
      </w:tr>
      <w:tr w:rsidR="00203851" w:rsidRPr="00AD6A7E" w14:paraId="56BB50C0" w14:textId="77777777" w:rsidTr="0072423A">
        <w:trPr>
          <w:trHeight w:val="315"/>
        </w:trPr>
        <w:tc>
          <w:tcPr>
            <w:tcW w:w="1860" w:type="dxa"/>
            <w:tcBorders>
              <w:top w:val="nil"/>
              <w:left w:val="single" w:sz="8" w:space="0" w:color="auto"/>
              <w:bottom w:val="single" w:sz="8" w:space="0" w:color="auto"/>
              <w:right w:val="nil"/>
            </w:tcBorders>
            <w:vAlign w:val="center"/>
            <w:hideMark/>
          </w:tcPr>
          <w:p w14:paraId="46354D2E" w14:textId="77777777" w:rsidR="00203851" w:rsidRPr="00AD6A7E" w:rsidRDefault="00203851" w:rsidP="0072423A">
            <w:pPr>
              <w:jc w:val="left"/>
              <w:rPr>
                <w:rFonts w:eastAsia="Times New Roman" w:cs="Arial"/>
                <w:color w:val="000000"/>
                <w:sz w:val="18"/>
                <w:szCs w:val="18"/>
                <w:lang w:eastAsia="cs-CZ"/>
              </w:rPr>
            </w:pPr>
            <w:r w:rsidRPr="00AD6A7E">
              <w:rPr>
                <w:rFonts w:eastAsia="Times New Roman" w:cs="Arial"/>
                <w:color w:val="000000"/>
                <w:sz w:val="18"/>
                <w:szCs w:val="18"/>
                <w:lang w:eastAsia="cs-CZ"/>
              </w:rPr>
              <w:t>Povodí Vltavy</w:t>
            </w:r>
          </w:p>
        </w:tc>
        <w:tc>
          <w:tcPr>
            <w:tcW w:w="960" w:type="dxa"/>
            <w:tcBorders>
              <w:top w:val="nil"/>
              <w:left w:val="single" w:sz="8" w:space="0" w:color="auto"/>
              <w:bottom w:val="single" w:sz="8" w:space="0" w:color="auto"/>
              <w:right w:val="single" w:sz="8" w:space="0" w:color="auto"/>
            </w:tcBorders>
            <w:vAlign w:val="center"/>
            <w:hideMark/>
          </w:tcPr>
          <w:p w14:paraId="05DEA8B8"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20,416</w:t>
            </w:r>
          </w:p>
        </w:tc>
        <w:tc>
          <w:tcPr>
            <w:tcW w:w="1300" w:type="dxa"/>
            <w:tcBorders>
              <w:top w:val="nil"/>
              <w:left w:val="nil"/>
              <w:bottom w:val="single" w:sz="8" w:space="0" w:color="auto"/>
              <w:right w:val="single" w:sz="8" w:space="0" w:color="auto"/>
            </w:tcBorders>
            <w:vAlign w:val="center"/>
            <w:hideMark/>
          </w:tcPr>
          <w:p w14:paraId="49FB4780"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8,743</w:t>
            </w:r>
          </w:p>
        </w:tc>
        <w:tc>
          <w:tcPr>
            <w:tcW w:w="960" w:type="dxa"/>
            <w:tcBorders>
              <w:top w:val="nil"/>
              <w:left w:val="nil"/>
              <w:bottom w:val="single" w:sz="8" w:space="0" w:color="auto"/>
              <w:right w:val="single" w:sz="8" w:space="0" w:color="auto"/>
            </w:tcBorders>
            <w:shd w:val="clear" w:color="000000" w:fill="BFBFBF"/>
            <w:vAlign w:val="center"/>
            <w:hideMark/>
          </w:tcPr>
          <w:p w14:paraId="47F2DD3B"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29,159</w:t>
            </w:r>
          </w:p>
        </w:tc>
        <w:tc>
          <w:tcPr>
            <w:tcW w:w="1480" w:type="dxa"/>
            <w:tcBorders>
              <w:top w:val="nil"/>
              <w:left w:val="nil"/>
              <w:bottom w:val="single" w:sz="8" w:space="0" w:color="auto"/>
              <w:right w:val="single" w:sz="8" w:space="0" w:color="auto"/>
            </w:tcBorders>
            <w:noWrap/>
            <w:vAlign w:val="center"/>
            <w:hideMark/>
          </w:tcPr>
          <w:p w14:paraId="4B1DF135"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9</w:t>
            </w:r>
          </w:p>
        </w:tc>
      </w:tr>
      <w:tr w:rsidR="00203851" w:rsidRPr="00AD6A7E" w14:paraId="2584E3A8" w14:textId="77777777" w:rsidTr="0072423A">
        <w:trPr>
          <w:trHeight w:val="315"/>
        </w:trPr>
        <w:tc>
          <w:tcPr>
            <w:tcW w:w="1860" w:type="dxa"/>
            <w:tcBorders>
              <w:top w:val="nil"/>
              <w:left w:val="single" w:sz="8" w:space="0" w:color="auto"/>
              <w:bottom w:val="single" w:sz="8" w:space="0" w:color="auto"/>
              <w:right w:val="nil"/>
            </w:tcBorders>
            <w:vAlign w:val="center"/>
            <w:hideMark/>
          </w:tcPr>
          <w:p w14:paraId="6B15AF10" w14:textId="77777777" w:rsidR="00203851" w:rsidRPr="00AD6A7E" w:rsidRDefault="00203851" w:rsidP="0072423A">
            <w:pPr>
              <w:jc w:val="left"/>
              <w:rPr>
                <w:rFonts w:eastAsia="Times New Roman" w:cs="Arial"/>
                <w:color w:val="000000"/>
                <w:sz w:val="18"/>
                <w:szCs w:val="18"/>
                <w:lang w:eastAsia="cs-CZ"/>
              </w:rPr>
            </w:pPr>
            <w:r w:rsidRPr="00AD6A7E">
              <w:rPr>
                <w:rFonts w:eastAsia="Times New Roman" w:cs="Arial"/>
                <w:color w:val="000000"/>
                <w:sz w:val="18"/>
                <w:szCs w:val="18"/>
                <w:lang w:eastAsia="cs-CZ"/>
              </w:rPr>
              <w:t>Povodí Odry</w:t>
            </w:r>
          </w:p>
        </w:tc>
        <w:tc>
          <w:tcPr>
            <w:tcW w:w="960" w:type="dxa"/>
            <w:tcBorders>
              <w:top w:val="nil"/>
              <w:left w:val="single" w:sz="8" w:space="0" w:color="auto"/>
              <w:bottom w:val="single" w:sz="8" w:space="0" w:color="auto"/>
              <w:right w:val="single" w:sz="8" w:space="0" w:color="auto"/>
            </w:tcBorders>
            <w:vAlign w:val="center"/>
            <w:hideMark/>
          </w:tcPr>
          <w:p w14:paraId="39E9E66F"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0</w:t>
            </w:r>
          </w:p>
        </w:tc>
        <w:tc>
          <w:tcPr>
            <w:tcW w:w="1300" w:type="dxa"/>
            <w:tcBorders>
              <w:top w:val="nil"/>
              <w:left w:val="nil"/>
              <w:bottom w:val="single" w:sz="8" w:space="0" w:color="auto"/>
              <w:right w:val="single" w:sz="8" w:space="0" w:color="auto"/>
            </w:tcBorders>
            <w:vAlign w:val="center"/>
            <w:hideMark/>
          </w:tcPr>
          <w:p w14:paraId="5D3A0045"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0</w:t>
            </w:r>
          </w:p>
        </w:tc>
        <w:tc>
          <w:tcPr>
            <w:tcW w:w="960" w:type="dxa"/>
            <w:tcBorders>
              <w:top w:val="nil"/>
              <w:left w:val="nil"/>
              <w:bottom w:val="single" w:sz="8" w:space="0" w:color="auto"/>
              <w:right w:val="single" w:sz="8" w:space="0" w:color="auto"/>
            </w:tcBorders>
            <w:shd w:val="clear" w:color="000000" w:fill="BFBFBF"/>
            <w:vAlign w:val="center"/>
            <w:hideMark/>
          </w:tcPr>
          <w:p w14:paraId="15295001"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0</w:t>
            </w:r>
          </w:p>
        </w:tc>
        <w:tc>
          <w:tcPr>
            <w:tcW w:w="1480" w:type="dxa"/>
            <w:tcBorders>
              <w:top w:val="nil"/>
              <w:left w:val="nil"/>
              <w:bottom w:val="single" w:sz="8" w:space="0" w:color="auto"/>
              <w:right w:val="single" w:sz="8" w:space="0" w:color="auto"/>
            </w:tcBorders>
            <w:noWrap/>
            <w:vAlign w:val="center"/>
            <w:hideMark/>
          </w:tcPr>
          <w:p w14:paraId="6CEEF048"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0</w:t>
            </w:r>
          </w:p>
        </w:tc>
      </w:tr>
      <w:tr w:rsidR="00203851" w:rsidRPr="00AD6A7E" w14:paraId="1C0F6CD6" w14:textId="77777777" w:rsidTr="0072423A">
        <w:trPr>
          <w:trHeight w:val="315"/>
        </w:trPr>
        <w:tc>
          <w:tcPr>
            <w:tcW w:w="1860" w:type="dxa"/>
            <w:tcBorders>
              <w:top w:val="nil"/>
              <w:left w:val="single" w:sz="8" w:space="0" w:color="auto"/>
              <w:bottom w:val="single" w:sz="8" w:space="0" w:color="auto"/>
              <w:right w:val="nil"/>
            </w:tcBorders>
            <w:vAlign w:val="center"/>
            <w:hideMark/>
          </w:tcPr>
          <w:p w14:paraId="761E7447" w14:textId="77777777" w:rsidR="00203851" w:rsidRPr="00AD6A7E" w:rsidRDefault="00203851" w:rsidP="0072423A">
            <w:pPr>
              <w:jc w:val="left"/>
              <w:rPr>
                <w:rFonts w:eastAsia="Times New Roman" w:cs="Arial"/>
                <w:color w:val="000000"/>
                <w:sz w:val="18"/>
                <w:szCs w:val="18"/>
                <w:lang w:eastAsia="cs-CZ"/>
              </w:rPr>
            </w:pPr>
            <w:r w:rsidRPr="00AD6A7E">
              <w:rPr>
                <w:rFonts w:eastAsia="Times New Roman" w:cs="Arial"/>
                <w:color w:val="000000"/>
                <w:sz w:val="18"/>
                <w:szCs w:val="18"/>
                <w:lang w:eastAsia="cs-CZ"/>
              </w:rPr>
              <w:t>Povodí Labe</w:t>
            </w:r>
          </w:p>
        </w:tc>
        <w:tc>
          <w:tcPr>
            <w:tcW w:w="960" w:type="dxa"/>
            <w:tcBorders>
              <w:top w:val="nil"/>
              <w:left w:val="single" w:sz="8" w:space="0" w:color="auto"/>
              <w:bottom w:val="single" w:sz="8" w:space="0" w:color="auto"/>
              <w:right w:val="single" w:sz="8" w:space="0" w:color="auto"/>
            </w:tcBorders>
            <w:vAlign w:val="center"/>
            <w:hideMark/>
          </w:tcPr>
          <w:p w14:paraId="095FB63E"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0,884</w:t>
            </w:r>
          </w:p>
        </w:tc>
        <w:tc>
          <w:tcPr>
            <w:tcW w:w="1300" w:type="dxa"/>
            <w:tcBorders>
              <w:top w:val="nil"/>
              <w:left w:val="nil"/>
              <w:bottom w:val="single" w:sz="8" w:space="0" w:color="auto"/>
              <w:right w:val="single" w:sz="8" w:space="0" w:color="auto"/>
            </w:tcBorders>
            <w:vAlign w:val="center"/>
            <w:hideMark/>
          </w:tcPr>
          <w:p w14:paraId="37DF121C"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5,250</w:t>
            </w:r>
          </w:p>
        </w:tc>
        <w:tc>
          <w:tcPr>
            <w:tcW w:w="960" w:type="dxa"/>
            <w:tcBorders>
              <w:top w:val="nil"/>
              <w:left w:val="nil"/>
              <w:bottom w:val="single" w:sz="8" w:space="0" w:color="auto"/>
              <w:right w:val="single" w:sz="8" w:space="0" w:color="auto"/>
            </w:tcBorders>
            <w:shd w:val="clear" w:color="000000" w:fill="BFBFBF"/>
            <w:vAlign w:val="center"/>
            <w:hideMark/>
          </w:tcPr>
          <w:p w14:paraId="03C68EBF"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6,134</w:t>
            </w:r>
          </w:p>
        </w:tc>
        <w:tc>
          <w:tcPr>
            <w:tcW w:w="1480" w:type="dxa"/>
            <w:tcBorders>
              <w:top w:val="nil"/>
              <w:left w:val="nil"/>
              <w:bottom w:val="single" w:sz="8" w:space="0" w:color="auto"/>
              <w:right w:val="single" w:sz="8" w:space="0" w:color="auto"/>
            </w:tcBorders>
            <w:noWrap/>
            <w:vAlign w:val="center"/>
            <w:hideMark/>
          </w:tcPr>
          <w:p w14:paraId="735EEF4E"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4</w:t>
            </w:r>
          </w:p>
        </w:tc>
      </w:tr>
      <w:tr w:rsidR="00203851" w:rsidRPr="00AD6A7E" w14:paraId="255991EC" w14:textId="77777777" w:rsidTr="0072423A">
        <w:trPr>
          <w:trHeight w:val="315"/>
        </w:trPr>
        <w:tc>
          <w:tcPr>
            <w:tcW w:w="1860" w:type="dxa"/>
            <w:tcBorders>
              <w:top w:val="nil"/>
              <w:left w:val="single" w:sz="8" w:space="0" w:color="auto"/>
              <w:bottom w:val="single" w:sz="8" w:space="0" w:color="auto"/>
              <w:right w:val="nil"/>
            </w:tcBorders>
            <w:shd w:val="clear" w:color="000000" w:fill="D0D0D0"/>
            <w:vAlign w:val="center"/>
            <w:hideMark/>
          </w:tcPr>
          <w:p w14:paraId="16CF1DFE" w14:textId="77777777" w:rsidR="00203851" w:rsidRPr="00AD6A7E" w:rsidRDefault="00203851" w:rsidP="0072423A">
            <w:pPr>
              <w:jc w:val="left"/>
              <w:rPr>
                <w:rFonts w:eastAsia="Times New Roman" w:cs="Arial"/>
                <w:b/>
                <w:bCs/>
                <w:color w:val="000000"/>
                <w:sz w:val="18"/>
                <w:szCs w:val="18"/>
                <w:lang w:eastAsia="cs-CZ"/>
              </w:rPr>
            </w:pPr>
            <w:r w:rsidRPr="00AD6A7E">
              <w:rPr>
                <w:rFonts w:eastAsia="Times New Roman" w:cs="Arial"/>
                <w:b/>
                <w:bCs/>
                <w:color w:val="000000"/>
                <w:sz w:val="18"/>
                <w:szCs w:val="18"/>
                <w:lang w:eastAsia="cs-CZ"/>
              </w:rPr>
              <w:t>Celkem 129 492</w:t>
            </w:r>
          </w:p>
        </w:tc>
        <w:tc>
          <w:tcPr>
            <w:tcW w:w="960" w:type="dxa"/>
            <w:tcBorders>
              <w:top w:val="nil"/>
              <w:left w:val="single" w:sz="8" w:space="0" w:color="auto"/>
              <w:bottom w:val="single" w:sz="8" w:space="0" w:color="auto"/>
              <w:right w:val="single" w:sz="8" w:space="0" w:color="auto"/>
            </w:tcBorders>
            <w:shd w:val="clear" w:color="000000" w:fill="D0D0D0"/>
            <w:vAlign w:val="center"/>
            <w:hideMark/>
          </w:tcPr>
          <w:p w14:paraId="22BE615B"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62,556</w:t>
            </w:r>
          </w:p>
        </w:tc>
        <w:tc>
          <w:tcPr>
            <w:tcW w:w="1300" w:type="dxa"/>
            <w:tcBorders>
              <w:top w:val="nil"/>
              <w:left w:val="nil"/>
              <w:bottom w:val="single" w:sz="8" w:space="0" w:color="auto"/>
              <w:right w:val="single" w:sz="8" w:space="0" w:color="auto"/>
            </w:tcBorders>
            <w:shd w:val="clear" w:color="000000" w:fill="D0D0D0"/>
            <w:vAlign w:val="center"/>
            <w:hideMark/>
          </w:tcPr>
          <w:p w14:paraId="7CA9AFDB"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55,656</w:t>
            </w:r>
          </w:p>
        </w:tc>
        <w:tc>
          <w:tcPr>
            <w:tcW w:w="960" w:type="dxa"/>
            <w:tcBorders>
              <w:top w:val="nil"/>
              <w:left w:val="nil"/>
              <w:bottom w:val="single" w:sz="8" w:space="0" w:color="auto"/>
              <w:right w:val="single" w:sz="8" w:space="0" w:color="auto"/>
            </w:tcBorders>
            <w:shd w:val="clear" w:color="000000" w:fill="BFBFBF"/>
            <w:vAlign w:val="center"/>
            <w:hideMark/>
          </w:tcPr>
          <w:p w14:paraId="14CC4F8F"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118,212</w:t>
            </w:r>
          </w:p>
        </w:tc>
        <w:tc>
          <w:tcPr>
            <w:tcW w:w="1480" w:type="dxa"/>
            <w:tcBorders>
              <w:top w:val="nil"/>
              <w:left w:val="nil"/>
              <w:bottom w:val="single" w:sz="8" w:space="0" w:color="auto"/>
              <w:right w:val="single" w:sz="8" w:space="0" w:color="auto"/>
            </w:tcBorders>
            <w:shd w:val="clear" w:color="000000" w:fill="D0D0D0"/>
            <w:vAlign w:val="center"/>
            <w:hideMark/>
          </w:tcPr>
          <w:p w14:paraId="7D14E31C"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82</w:t>
            </w:r>
          </w:p>
        </w:tc>
      </w:tr>
      <w:tr w:rsidR="00203851" w:rsidRPr="00AD6A7E" w14:paraId="4518C892" w14:textId="77777777" w:rsidTr="0072423A">
        <w:trPr>
          <w:trHeight w:val="315"/>
        </w:trPr>
        <w:tc>
          <w:tcPr>
            <w:tcW w:w="1860" w:type="dxa"/>
            <w:tcBorders>
              <w:top w:val="nil"/>
              <w:left w:val="single" w:sz="8" w:space="0" w:color="auto"/>
              <w:bottom w:val="single" w:sz="8" w:space="0" w:color="auto"/>
              <w:right w:val="nil"/>
            </w:tcBorders>
            <w:shd w:val="clear" w:color="000000" w:fill="D0D0D0"/>
            <w:vAlign w:val="center"/>
            <w:hideMark/>
          </w:tcPr>
          <w:p w14:paraId="783FE22C" w14:textId="77777777" w:rsidR="00203851" w:rsidRPr="00AD6A7E" w:rsidRDefault="00203851" w:rsidP="0072423A">
            <w:pPr>
              <w:jc w:val="left"/>
              <w:rPr>
                <w:rFonts w:eastAsia="Times New Roman" w:cs="Arial"/>
                <w:b/>
                <w:bCs/>
                <w:color w:val="000000"/>
                <w:sz w:val="18"/>
                <w:szCs w:val="18"/>
                <w:lang w:eastAsia="cs-CZ"/>
              </w:rPr>
            </w:pPr>
            <w:r w:rsidRPr="00AD6A7E">
              <w:rPr>
                <w:rFonts w:eastAsia="Times New Roman" w:cs="Arial"/>
                <w:b/>
                <w:bCs/>
                <w:color w:val="000000"/>
                <w:sz w:val="18"/>
                <w:szCs w:val="18"/>
                <w:lang w:eastAsia="cs-CZ"/>
              </w:rPr>
              <w:t>Celkem 129 493</w:t>
            </w:r>
          </w:p>
        </w:tc>
        <w:tc>
          <w:tcPr>
            <w:tcW w:w="960" w:type="dxa"/>
            <w:tcBorders>
              <w:top w:val="nil"/>
              <w:left w:val="single" w:sz="8" w:space="0" w:color="auto"/>
              <w:bottom w:val="single" w:sz="8" w:space="0" w:color="auto"/>
              <w:right w:val="single" w:sz="8" w:space="0" w:color="auto"/>
            </w:tcBorders>
            <w:shd w:val="clear" w:color="000000" w:fill="D0D0D0"/>
            <w:vAlign w:val="center"/>
            <w:hideMark/>
          </w:tcPr>
          <w:p w14:paraId="45D4B136"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40,646</w:t>
            </w:r>
          </w:p>
        </w:tc>
        <w:tc>
          <w:tcPr>
            <w:tcW w:w="1300" w:type="dxa"/>
            <w:tcBorders>
              <w:top w:val="nil"/>
              <w:left w:val="nil"/>
              <w:bottom w:val="single" w:sz="8" w:space="0" w:color="auto"/>
              <w:right w:val="single" w:sz="8" w:space="0" w:color="auto"/>
            </w:tcBorders>
            <w:shd w:val="clear" w:color="000000" w:fill="D0D0D0"/>
            <w:vAlign w:val="center"/>
            <w:hideMark/>
          </w:tcPr>
          <w:p w14:paraId="0B9F4EF2"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3,696</w:t>
            </w:r>
          </w:p>
        </w:tc>
        <w:tc>
          <w:tcPr>
            <w:tcW w:w="960" w:type="dxa"/>
            <w:tcBorders>
              <w:top w:val="nil"/>
              <w:left w:val="nil"/>
              <w:bottom w:val="single" w:sz="8" w:space="0" w:color="auto"/>
              <w:right w:val="single" w:sz="8" w:space="0" w:color="auto"/>
            </w:tcBorders>
            <w:shd w:val="clear" w:color="000000" w:fill="BFBFBF"/>
            <w:vAlign w:val="center"/>
            <w:hideMark/>
          </w:tcPr>
          <w:p w14:paraId="79A443B9"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44,342</w:t>
            </w:r>
          </w:p>
        </w:tc>
        <w:tc>
          <w:tcPr>
            <w:tcW w:w="1480" w:type="dxa"/>
            <w:tcBorders>
              <w:top w:val="nil"/>
              <w:left w:val="nil"/>
              <w:bottom w:val="single" w:sz="8" w:space="0" w:color="auto"/>
              <w:right w:val="single" w:sz="8" w:space="0" w:color="auto"/>
            </w:tcBorders>
            <w:shd w:val="clear" w:color="000000" w:fill="D0D0D0"/>
            <w:noWrap/>
            <w:vAlign w:val="center"/>
            <w:hideMark/>
          </w:tcPr>
          <w:p w14:paraId="2DC6F7AF" w14:textId="77777777" w:rsidR="00203851" w:rsidRPr="00AD6A7E" w:rsidRDefault="00203851" w:rsidP="0072423A">
            <w:pPr>
              <w:jc w:val="center"/>
              <w:rPr>
                <w:rFonts w:eastAsia="Times New Roman" w:cs="Arial"/>
                <w:color w:val="000000"/>
                <w:sz w:val="18"/>
                <w:szCs w:val="18"/>
                <w:lang w:eastAsia="cs-CZ"/>
              </w:rPr>
            </w:pPr>
            <w:r w:rsidRPr="00AD6A7E">
              <w:rPr>
                <w:rFonts w:eastAsia="Times New Roman" w:cs="Arial"/>
                <w:color w:val="000000"/>
                <w:sz w:val="18"/>
                <w:szCs w:val="18"/>
                <w:lang w:eastAsia="cs-CZ"/>
              </w:rPr>
              <w:t>45</w:t>
            </w:r>
          </w:p>
        </w:tc>
      </w:tr>
      <w:tr w:rsidR="00203851" w:rsidRPr="00AD6A7E" w14:paraId="47B4C48D" w14:textId="77777777" w:rsidTr="0072423A">
        <w:trPr>
          <w:trHeight w:val="315"/>
        </w:trPr>
        <w:tc>
          <w:tcPr>
            <w:tcW w:w="1860" w:type="dxa"/>
            <w:tcBorders>
              <w:top w:val="nil"/>
              <w:left w:val="single" w:sz="8" w:space="0" w:color="auto"/>
              <w:bottom w:val="single" w:sz="8" w:space="0" w:color="auto"/>
              <w:right w:val="single" w:sz="8" w:space="0" w:color="auto"/>
            </w:tcBorders>
            <w:shd w:val="clear" w:color="000000" w:fill="BFBFBF"/>
            <w:vAlign w:val="center"/>
            <w:hideMark/>
          </w:tcPr>
          <w:p w14:paraId="62D35444" w14:textId="77777777" w:rsidR="00203851" w:rsidRPr="00AD6A7E" w:rsidRDefault="00203851" w:rsidP="0072423A">
            <w:pPr>
              <w:jc w:val="left"/>
              <w:rPr>
                <w:rFonts w:eastAsia="Times New Roman" w:cs="Arial"/>
                <w:b/>
                <w:bCs/>
                <w:color w:val="000000"/>
                <w:sz w:val="18"/>
                <w:szCs w:val="18"/>
                <w:lang w:eastAsia="cs-CZ"/>
              </w:rPr>
            </w:pPr>
            <w:r w:rsidRPr="00AD6A7E">
              <w:rPr>
                <w:rFonts w:eastAsia="Times New Roman" w:cs="Arial"/>
                <w:b/>
                <w:bCs/>
                <w:color w:val="000000"/>
                <w:sz w:val="18"/>
                <w:szCs w:val="18"/>
                <w:lang w:eastAsia="cs-CZ"/>
              </w:rPr>
              <w:t>Celkem 129 490</w:t>
            </w:r>
          </w:p>
        </w:tc>
        <w:tc>
          <w:tcPr>
            <w:tcW w:w="960" w:type="dxa"/>
            <w:tcBorders>
              <w:top w:val="nil"/>
              <w:left w:val="nil"/>
              <w:bottom w:val="single" w:sz="8" w:space="0" w:color="auto"/>
              <w:right w:val="single" w:sz="8" w:space="0" w:color="auto"/>
            </w:tcBorders>
            <w:shd w:val="clear" w:color="000000" w:fill="BFBFBF"/>
            <w:vAlign w:val="center"/>
            <w:hideMark/>
          </w:tcPr>
          <w:p w14:paraId="60549CA1" w14:textId="77777777" w:rsidR="00203851" w:rsidRPr="00AD6A7E" w:rsidRDefault="00203851" w:rsidP="0072423A">
            <w:pPr>
              <w:jc w:val="center"/>
              <w:rPr>
                <w:rFonts w:eastAsia="Times New Roman" w:cs="Arial"/>
                <w:b/>
                <w:bCs/>
                <w:color w:val="000000"/>
                <w:sz w:val="18"/>
                <w:szCs w:val="18"/>
                <w:lang w:eastAsia="cs-CZ"/>
              </w:rPr>
            </w:pPr>
            <w:r w:rsidRPr="00AD6A7E">
              <w:rPr>
                <w:rFonts w:eastAsia="Times New Roman" w:cs="Arial"/>
                <w:b/>
                <w:bCs/>
                <w:color w:val="000000"/>
                <w:sz w:val="18"/>
                <w:szCs w:val="18"/>
                <w:lang w:eastAsia="cs-CZ"/>
              </w:rPr>
              <w:t>103,202</w:t>
            </w:r>
          </w:p>
        </w:tc>
        <w:tc>
          <w:tcPr>
            <w:tcW w:w="1300" w:type="dxa"/>
            <w:tcBorders>
              <w:top w:val="nil"/>
              <w:left w:val="nil"/>
              <w:bottom w:val="single" w:sz="8" w:space="0" w:color="auto"/>
              <w:right w:val="single" w:sz="8" w:space="0" w:color="auto"/>
            </w:tcBorders>
            <w:shd w:val="clear" w:color="000000" w:fill="BFBFBF"/>
            <w:vAlign w:val="center"/>
            <w:hideMark/>
          </w:tcPr>
          <w:p w14:paraId="2909A3DB" w14:textId="77777777" w:rsidR="00203851" w:rsidRPr="00AD6A7E" w:rsidRDefault="00203851" w:rsidP="0072423A">
            <w:pPr>
              <w:jc w:val="center"/>
              <w:rPr>
                <w:rFonts w:eastAsia="Times New Roman" w:cs="Arial"/>
                <w:b/>
                <w:bCs/>
                <w:color w:val="000000"/>
                <w:sz w:val="18"/>
                <w:szCs w:val="18"/>
                <w:lang w:eastAsia="cs-CZ"/>
              </w:rPr>
            </w:pPr>
            <w:r w:rsidRPr="00AD6A7E">
              <w:rPr>
                <w:rFonts w:eastAsia="Times New Roman" w:cs="Arial"/>
                <w:b/>
                <w:bCs/>
                <w:color w:val="000000"/>
                <w:sz w:val="18"/>
                <w:szCs w:val="18"/>
                <w:lang w:eastAsia="cs-CZ"/>
              </w:rPr>
              <w:t>59,35</w:t>
            </w:r>
            <w:r>
              <w:rPr>
                <w:rFonts w:eastAsia="Times New Roman" w:cs="Arial"/>
                <w:b/>
                <w:bCs/>
                <w:color w:val="000000"/>
                <w:sz w:val="18"/>
                <w:szCs w:val="18"/>
                <w:lang w:eastAsia="cs-CZ"/>
              </w:rPr>
              <w:t>2</w:t>
            </w:r>
          </w:p>
        </w:tc>
        <w:tc>
          <w:tcPr>
            <w:tcW w:w="960" w:type="dxa"/>
            <w:tcBorders>
              <w:top w:val="nil"/>
              <w:left w:val="nil"/>
              <w:bottom w:val="single" w:sz="8" w:space="0" w:color="auto"/>
              <w:right w:val="single" w:sz="8" w:space="0" w:color="auto"/>
            </w:tcBorders>
            <w:shd w:val="clear" w:color="000000" w:fill="BFBFBF"/>
            <w:vAlign w:val="center"/>
            <w:hideMark/>
          </w:tcPr>
          <w:p w14:paraId="71DFDA74" w14:textId="77777777" w:rsidR="00203851" w:rsidRPr="00AD6A7E" w:rsidRDefault="00203851" w:rsidP="0072423A">
            <w:pPr>
              <w:jc w:val="center"/>
              <w:rPr>
                <w:rFonts w:eastAsia="Times New Roman" w:cs="Arial"/>
                <w:b/>
                <w:bCs/>
                <w:color w:val="000000"/>
                <w:sz w:val="18"/>
                <w:szCs w:val="18"/>
                <w:lang w:eastAsia="cs-CZ"/>
              </w:rPr>
            </w:pPr>
            <w:r w:rsidRPr="00AD6A7E">
              <w:rPr>
                <w:rFonts w:eastAsia="Times New Roman" w:cs="Arial"/>
                <w:b/>
                <w:bCs/>
                <w:color w:val="000000"/>
                <w:sz w:val="18"/>
                <w:szCs w:val="18"/>
                <w:lang w:eastAsia="cs-CZ"/>
              </w:rPr>
              <w:t>162,554</w:t>
            </w:r>
          </w:p>
        </w:tc>
        <w:tc>
          <w:tcPr>
            <w:tcW w:w="1480" w:type="dxa"/>
            <w:tcBorders>
              <w:top w:val="nil"/>
              <w:left w:val="nil"/>
              <w:bottom w:val="single" w:sz="8" w:space="0" w:color="auto"/>
              <w:right w:val="single" w:sz="8" w:space="0" w:color="auto"/>
            </w:tcBorders>
            <w:shd w:val="clear" w:color="000000" w:fill="BFBFBF"/>
            <w:vAlign w:val="center"/>
            <w:hideMark/>
          </w:tcPr>
          <w:p w14:paraId="33CC8270" w14:textId="77777777" w:rsidR="00203851" w:rsidRPr="00AD6A7E" w:rsidRDefault="00203851" w:rsidP="0072423A">
            <w:pPr>
              <w:jc w:val="center"/>
              <w:rPr>
                <w:rFonts w:eastAsia="Times New Roman" w:cs="Arial"/>
                <w:b/>
                <w:bCs/>
                <w:color w:val="000000"/>
                <w:sz w:val="18"/>
                <w:szCs w:val="18"/>
                <w:lang w:eastAsia="cs-CZ"/>
              </w:rPr>
            </w:pPr>
            <w:r w:rsidRPr="00AD6A7E">
              <w:rPr>
                <w:rFonts w:eastAsia="Times New Roman" w:cs="Arial"/>
                <w:b/>
                <w:bCs/>
                <w:color w:val="000000"/>
                <w:sz w:val="18"/>
                <w:szCs w:val="18"/>
                <w:lang w:eastAsia="cs-CZ"/>
              </w:rPr>
              <w:t>127</w:t>
            </w:r>
          </w:p>
        </w:tc>
      </w:tr>
    </w:tbl>
    <w:p w14:paraId="74343BAB" w14:textId="44074DF3" w:rsidR="00C30BD6" w:rsidRPr="00203851" w:rsidRDefault="005915A4" w:rsidP="007C4955">
      <w:pPr>
        <w:contextualSpacing/>
        <w:rPr>
          <w:rFonts w:cs="Arial"/>
          <w:i/>
          <w:sz w:val="20"/>
          <w:szCs w:val="20"/>
        </w:rPr>
      </w:pPr>
      <w:r w:rsidRPr="00203851">
        <w:rPr>
          <w:rFonts w:cs="Arial"/>
          <w:i/>
          <w:sz w:val="20"/>
          <w:szCs w:val="20"/>
        </w:rPr>
        <w:t>Pramen: MZe</w:t>
      </w:r>
    </w:p>
    <w:p w14:paraId="63C3739E" w14:textId="77777777" w:rsidR="00A903AB" w:rsidRPr="00104F7D" w:rsidRDefault="00A903AB" w:rsidP="007C4955">
      <w:pPr>
        <w:contextualSpacing/>
        <w:rPr>
          <w:rFonts w:cs="Arial"/>
          <w:i/>
          <w:sz w:val="20"/>
          <w:szCs w:val="20"/>
          <w:highlight w:val="yellow"/>
        </w:rPr>
      </w:pPr>
    </w:p>
    <w:p w14:paraId="2B9E4CC2" w14:textId="77777777" w:rsidR="00686BDD" w:rsidRDefault="00686BDD" w:rsidP="007C4955">
      <w:pPr>
        <w:contextualSpacing/>
        <w:rPr>
          <w:rFonts w:cs="Arial"/>
          <w:b/>
          <w:i/>
        </w:rPr>
      </w:pPr>
    </w:p>
    <w:p w14:paraId="7D975E5E" w14:textId="512B7EAA" w:rsidR="007823A8" w:rsidRPr="00DD1354" w:rsidRDefault="007823A8" w:rsidP="007C4955">
      <w:pPr>
        <w:contextualSpacing/>
        <w:rPr>
          <w:rFonts w:cs="Arial"/>
          <w:b/>
          <w:i/>
        </w:rPr>
      </w:pPr>
      <w:r w:rsidRPr="00DD1354">
        <w:rPr>
          <w:rFonts w:cs="Arial"/>
          <w:b/>
          <w:i/>
        </w:rPr>
        <w:t>Oblast vody v</w:t>
      </w:r>
      <w:r w:rsidR="00225A8D" w:rsidRPr="00DD1354">
        <w:rPr>
          <w:rFonts w:cs="Arial"/>
          <w:b/>
          <w:i/>
        </w:rPr>
        <w:t> </w:t>
      </w:r>
      <w:r w:rsidRPr="00DD1354">
        <w:rPr>
          <w:rFonts w:cs="Arial"/>
          <w:b/>
          <w:i/>
        </w:rPr>
        <w:t>krajině</w:t>
      </w:r>
    </w:p>
    <w:p w14:paraId="5AC7FB0E" w14:textId="77777777" w:rsidR="007D05F0" w:rsidRPr="00F71BA9" w:rsidRDefault="007D05F0" w:rsidP="007D05F0">
      <w:pPr>
        <w:ind w:right="40"/>
        <w:rPr>
          <w:b/>
        </w:rPr>
      </w:pPr>
    </w:p>
    <w:p w14:paraId="287D30C0" w14:textId="77777777" w:rsidR="008973C7" w:rsidRPr="00DD1354" w:rsidRDefault="008973C7" w:rsidP="008973C7">
      <w:pPr>
        <w:spacing w:after="220" w:line="251" w:lineRule="auto"/>
        <w:ind w:left="-4" w:right="39" w:hanging="10"/>
      </w:pPr>
      <w:r w:rsidRPr="00DD1354">
        <w:rPr>
          <w:b/>
        </w:rPr>
        <w:t xml:space="preserve">V roce 2025 Ministerstvo zemědělství pokračovalo v administraci dotačního programu 129 380 „Podpora retence vody v krajině – rybníky a vodní nádrže – 2. etapa“, jehož financování je plánováno až do roku 2028. Ve sledovaném roce byly čerpány finanční prostředky ve výši 0,627 mil. Kč, financována byla 1 akce. </w:t>
      </w:r>
    </w:p>
    <w:p w14:paraId="65C3F224" w14:textId="77777777" w:rsidR="008973C7" w:rsidRPr="00DD1354" w:rsidRDefault="008973C7" w:rsidP="008973C7">
      <w:r w:rsidRPr="00DD1354">
        <w:rPr>
          <w:rFonts w:cs="Arial"/>
        </w:rPr>
        <w:t>Cílem programu 129 380 je p</w:t>
      </w:r>
      <w:r w:rsidRPr="00DD1354">
        <w:rPr>
          <w:rFonts w:cs="Arial"/>
          <w:color w:val="000000"/>
        </w:rPr>
        <w:t>odpora obnovení a zlepšení retenční schopnosti krajiny, zlepšení technického stavu rybničního fondu České republiky a obnova vodohospodářských funkcí rybníků a vodních nádrží, zvýšení bezpečnosti rybníků a vodních nádrží za povodní a jejich zabezpečení pro průchod povodní o hodnotě Q</w:t>
      </w:r>
      <w:r w:rsidRPr="00DD1354">
        <w:rPr>
          <w:rFonts w:cs="Arial"/>
          <w:color w:val="000000"/>
          <w:vertAlign w:val="subscript"/>
        </w:rPr>
        <w:t xml:space="preserve">100 </w:t>
      </w:r>
      <w:r w:rsidRPr="00DD1354">
        <w:rPr>
          <w:rFonts w:cs="Arial"/>
          <w:color w:val="000000"/>
        </w:rPr>
        <w:t xml:space="preserve">a vyšší, zajištění minimálního zůstatkového </w:t>
      </w:r>
      <w:r w:rsidRPr="00DD1354">
        <w:rPr>
          <w:rFonts w:cs="Arial"/>
        </w:rPr>
        <w:t>průtoku ve vodotečích pod rybníky a vodními nádržemi i v období déle trvajícího sucha, o</w:t>
      </w:r>
      <w:r w:rsidRPr="00DD1354">
        <w:rPr>
          <w:rFonts w:cs="Arial"/>
          <w:color w:val="000000"/>
        </w:rPr>
        <w:t>dstranění nově vzniklých povodňových škod na hrázích a objektech rybníků a vodních nádrží a odstranění havarijních stavů a jejich následků na rybnících a vodních nádržích.</w:t>
      </w:r>
    </w:p>
    <w:p w14:paraId="292D385B" w14:textId="77777777" w:rsidR="008973C7" w:rsidRPr="00DD1354" w:rsidRDefault="008973C7" w:rsidP="008973C7"/>
    <w:p w14:paraId="46D7B667" w14:textId="77777777" w:rsidR="008973C7" w:rsidRPr="00DD1354" w:rsidRDefault="008973C7" w:rsidP="008973C7">
      <w:r w:rsidRPr="00DD1354">
        <w:t xml:space="preserve">Program 129 380 je rozdělen na tři podprogramy, a to podprogram 129 382 „Podpora výstavby, obnovy, rekonstrukce a odbahnění rybníků a vodních nádrží“, podprogram 129 383 „Odstranění havarijních situací na rybnících a vodních nádržích“ a podprogram 129 384 „Odstranění povodňových škod na rybnících a vodních nádržích“. </w:t>
      </w:r>
    </w:p>
    <w:p w14:paraId="5C7D61DC" w14:textId="77777777" w:rsidR="008973C7" w:rsidRPr="00DD1354" w:rsidRDefault="008973C7" w:rsidP="008973C7"/>
    <w:p w14:paraId="512029F6" w14:textId="6244ECB1" w:rsidR="008973C7" w:rsidRPr="00DD1354" w:rsidRDefault="008973C7" w:rsidP="008973C7">
      <w:r w:rsidRPr="00DD1354">
        <w:t xml:space="preserve">V roce 2025 byla v rámci podprogramu 129 382 poskytnuta finanční podpora pouze </w:t>
      </w:r>
      <w:r w:rsidR="00C736B1" w:rsidRPr="00DD1354">
        <w:t>jedné akci</w:t>
      </w:r>
      <w:r w:rsidRPr="00DD1354">
        <w:t xml:space="preserve"> </w:t>
      </w:r>
      <w:r w:rsidRPr="00DD1354">
        <w:br/>
        <w:t>ve výši 0,627 mil. Kč. Je to z toho důvodu, že vlastní realizace akcí programu 129 380 je teprve na svém začátku a jedná se o první uvolněné finanční prostředky.</w:t>
      </w:r>
    </w:p>
    <w:p w14:paraId="3B21F40D" w14:textId="77777777" w:rsidR="004B7D31" w:rsidRPr="00F71BA9" w:rsidRDefault="004B7D31" w:rsidP="007C4955">
      <w:pPr>
        <w:contextualSpacing/>
        <w:rPr>
          <w:rFonts w:cs="Arial"/>
          <w:b/>
          <w:i/>
        </w:rPr>
      </w:pPr>
    </w:p>
    <w:p w14:paraId="3A92506B" w14:textId="3D153603" w:rsidR="002B1584" w:rsidRPr="00DD1354" w:rsidRDefault="002B1584" w:rsidP="007C4955">
      <w:pPr>
        <w:contextualSpacing/>
        <w:rPr>
          <w:rFonts w:cs="Arial"/>
          <w:b/>
          <w:i/>
        </w:rPr>
      </w:pPr>
      <w:r w:rsidRPr="00DD1354">
        <w:rPr>
          <w:rFonts w:cs="Arial"/>
          <w:b/>
          <w:i/>
        </w:rPr>
        <w:t xml:space="preserve">Tabulka </w:t>
      </w:r>
      <w:r w:rsidR="004571C5" w:rsidRPr="00DD1354">
        <w:rPr>
          <w:rFonts w:cs="Arial"/>
          <w:b/>
          <w:i/>
        </w:rPr>
        <w:t>11</w:t>
      </w:r>
      <w:r w:rsidRPr="00DD1354">
        <w:rPr>
          <w:rFonts w:cs="Arial"/>
          <w:b/>
          <w:i/>
        </w:rPr>
        <w:t>.1.</w:t>
      </w:r>
      <w:r w:rsidR="007823A8" w:rsidRPr="00DD1354">
        <w:rPr>
          <w:rFonts w:cs="Arial"/>
          <w:b/>
          <w:i/>
        </w:rPr>
        <w:t>1.</w:t>
      </w:r>
      <w:r w:rsidR="00D8076F" w:rsidRPr="00DD1354">
        <w:rPr>
          <w:rFonts w:cs="Arial"/>
          <w:b/>
          <w:i/>
        </w:rPr>
        <w:t>1</w:t>
      </w:r>
      <w:r w:rsidR="009B4EBD" w:rsidRPr="00DD1354">
        <w:rPr>
          <w:rFonts w:cs="Arial"/>
          <w:b/>
          <w:i/>
        </w:rPr>
        <w:t>2</w:t>
      </w:r>
    </w:p>
    <w:p w14:paraId="73211C1C" w14:textId="1542FD6F" w:rsidR="00F23B0C" w:rsidRPr="00DD1354" w:rsidRDefault="002B1584" w:rsidP="007C4955">
      <w:pPr>
        <w:contextualSpacing/>
        <w:rPr>
          <w:rFonts w:cs="Arial"/>
          <w:b/>
          <w:i/>
        </w:rPr>
      </w:pPr>
      <w:r w:rsidRPr="00DD1354">
        <w:rPr>
          <w:rFonts w:cs="Arial"/>
          <w:b/>
          <w:i/>
        </w:rPr>
        <w:t xml:space="preserve">Čerpání finančních prostředků státního rozpočtu v rámci programu 129 </w:t>
      </w:r>
      <w:r w:rsidR="00934430" w:rsidRPr="00DD1354">
        <w:rPr>
          <w:rFonts w:cs="Arial"/>
          <w:b/>
          <w:i/>
        </w:rPr>
        <w:t>3</w:t>
      </w:r>
      <w:r w:rsidRPr="00DD1354">
        <w:rPr>
          <w:rFonts w:cs="Arial"/>
          <w:b/>
          <w:i/>
        </w:rPr>
        <w:t>80</w:t>
      </w:r>
      <w:r w:rsidR="007823A8" w:rsidRPr="00DD1354">
        <w:rPr>
          <w:rFonts w:cs="Arial"/>
          <w:b/>
          <w:i/>
        </w:rPr>
        <w:t xml:space="preserve"> v roce 202</w:t>
      </w:r>
      <w:r w:rsidR="008973C7" w:rsidRPr="00DD1354">
        <w:rPr>
          <w:rFonts w:cs="Arial"/>
          <w:b/>
          <w:i/>
        </w:rPr>
        <w:t>5</w:t>
      </w:r>
    </w:p>
    <w:tbl>
      <w:tblPr>
        <w:tblpPr w:leftFromText="141" w:rightFromText="141" w:vertAnchor="text" w:horzAnchor="margin" w:tblpY="41"/>
        <w:tblW w:w="2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85"/>
        <w:gridCol w:w="1492"/>
        <w:gridCol w:w="1929"/>
      </w:tblGrid>
      <w:tr w:rsidR="007D05F0" w:rsidRPr="00DD1354" w14:paraId="6BC20158" w14:textId="77777777" w:rsidTr="00F23B0C">
        <w:trPr>
          <w:trHeight w:val="20"/>
        </w:trPr>
        <w:tc>
          <w:tcPr>
            <w:tcW w:w="2002" w:type="pct"/>
            <w:vMerge w:val="restart"/>
            <w:shd w:val="clear" w:color="auto" w:fill="BFBFBF"/>
            <w:noWrap/>
          </w:tcPr>
          <w:p w14:paraId="703CE09F" w14:textId="77777777" w:rsidR="002B1584" w:rsidRPr="00DD1354" w:rsidRDefault="002B1584" w:rsidP="007C4955">
            <w:pPr>
              <w:contextualSpacing/>
              <w:jc w:val="left"/>
              <w:rPr>
                <w:rFonts w:cs="Arial"/>
                <w:b/>
                <w:sz w:val="20"/>
                <w:szCs w:val="20"/>
              </w:rPr>
            </w:pPr>
            <w:r w:rsidRPr="00DD1354">
              <w:rPr>
                <w:rFonts w:cs="Arial"/>
                <w:b/>
                <w:sz w:val="20"/>
                <w:szCs w:val="20"/>
              </w:rPr>
              <w:t>Podprogram</w:t>
            </w:r>
          </w:p>
        </w:tc>
        <w:tc>
          <w:tcPr>
            <w:tcW w:w="1307" w:type="pct"/>
            <w:vMerge w:val="restart"/>
            <w:shd w:val="clear" w:color="auto" w:fill="BFBFBF"/>
            <w:noWrap/>
          </w:tcPr>
          <w:p w14:paraId="6A8234C9" w14:textId="77777777" w:rsidR="002B1584" w:rsidRPr="00DD1354" w:rsidRDefault="002B1584" w:rsidP="007C4955">
            <w:pPr>
              <w:contextualSpacing/>
              <w:jc w:val="center"/>
              <w:rPr>
                <w:rFonts w:cs="Arial"/>
                <w:b/>
                <w:sz w:val="20"/>
                <w:szCs w:val="20"/>
              </w:rPr>
            </w:pPr>
            <w:r w:rsidRPr="00DD1354">
              <w:rPr>
                <w:rFonts w:cs="Arial"/>
                <w:b/>
                <w:sz w:val="20"/>
                <w:szCs w:val="20"/>
              </w:rPr>
              <w:t>Počet akcí</w:t>
            </w:r>
          </w:p>
        </w:tc>
        <w:tc>
          <w:tcPr>
            <w:tcW w:w="1690" w:type="pct"/>
            <w:shd w:val="clear" w:color="auto" w:fill="BFBFBF"/>
            <w:noWrap/>
          </w:tcPr>
          <w:p w14:paraId="202FFB22" w14:textId="77777777" w:rsidR="002B1584" w:rsidRPr="00DD1354" w:rsidRDefault="002B1584" w:rsidP="007C4955">
            <w:pPr>
              <w:contextualSpacing/>
              <w:jc w:val="center"/>
              <w:rPr>
                <w:rFonts w:cs="Arial"/>
                <w:b/>
                <w:sz w:val="20"/>
                <w:szCs w:val="20"/>
              </w:rPr>
            </w:pPr>
            <w:r w:rsidRPr="00DD1354">
              <w:rPr>
                <w:rFonts w:cs="Arial"/>
                <w:b/>
                <w:sz w:val="20"/>
                <w:szCs w:val="20"/>
              </w:rPr>
              <w:t>Finanční podpora</w:t>
            </w:r>
          </w:p>
        </w:tc>
      </w:tr>
      <w:tr w:rsidR="007D05F0" w:rsidRPr="00DD1354" w14:paraId="790CFCC4" w14:textId="77777777" w:rsidTr="00F23B0C">
        <w:trPr>
          <w:trHeight w:val="20"/>
        </w:trPr>
        <w:tc>
          <w:tcPr>
            <w:tcW w:w="2002" w:type="pct"/>
            <w:vMerge/>
            <w:shd w:val="clear" w:color="auto" w:fill="BFBFBF"/>
            <w:noWrap/>
            <w:vAlign w:val="center"/>
          </w:tcPr>
          <w:p w14:paraId="0CBA7D71" w14:textId="77777777" w:rsidR="002B1584" w:rsidRPr="00DD1354" w:rsidRDefault="002B1584" w:rsidP="007C4955">
            <w:pPr>
              <w:contextualSpacing/>
              <w:jc w:val="center"/>
              <w:rPr>
                <w:rFonts w:cs="Arial"/>
                <w:b/>
                <w:sz w:val="20"/>
                <w:szCs w:val="20"/>
              </w:rPr>
            </w:pPr>
          </w:p>
        </w:tc>
        <w:tc>
          <w:tcPr>
            <w:tcW w:w="1307" w:type="pct"/>
            <w:vMerge/>
            <w:shd w:val="clear" w:color="auto" w:fill="BFBFBF"/>
            <w:noWrap/>
            <w:vAlign w:val="center"/>
          </w:tcPr>
          <w:p w14:paraId="696AFDE3" w14:textId="77777777" w:rsidR="002B1584" w:rsidRPr="00DD1354" w:rsidRDefault="002B1584" w:rsidP="007C4955">
            <w:pPr>
              <w:contextualSpacing/>
              <w:jc w:val="center"/>
              <w:rPr>
                <w:rFonts w:cs="Arial"/>
                <w:b/>
                <w:sz w:val="20"/>
                <w:szCs w:val="20"/>
              </w:rPr>
            </w:pPr>
          </w:p>
        </w:tc>
        <w:tc>
          <w:tcPr>
            <w:tcW w:w="1690" w:type="pct"/>
            <w:shd w:val="clear" w:color="auto" w:fill="BFBFBF"/>
            <w:noWrap/>
            <w:vAlign w:val="center"/>
          </w:tcPr>
          <w:p w14:paraId="489AE340" w14:textId="77777777" w:rsidR="002B1584" w:rsidRPr="00DD1354" w:rsidRDefault="002B1584" w:rsidP="007C4955">
            <w:pPr>
              <w:contextualSpacing/>
              <w:jc w:val="center"/>
              <w:rPr>
                <w:rFonts w:cs="Arial"/>
                <w:b/>
                <w:sz w:val="20"/>
                <w:szCs w:val="20"/>
              </w:rPr>
            </w:pPr>
            <w:r w:rsidRPr="00DD1354">
              <w:rPr>
                <w:rFonts w:cs="Arial"/>
                <w:b/>
                <w:sz w:val="20"/>
                <w:szCs w:val="20"/>
              </w:rPr>
              <w:t>mil. Kč</w:t>
            </w:r>
          </w:p>
        </w:tc>
      </w:tr>
      <w:tr w:rsidR="00934430" w:rsidRPr="00DD1354" w14:paraId="5D94271A" w14:textId="77777777" w:rsidTr="00F23B0C">
        <w:trPr>
          <w:trHeight w:val="20"/>
        </w:trPr>
        <w:tc>
          <w:tcPr>
            <w:tcW w:w="2002" w:type="pct"/>
            <w:shd w:val="clear" w:color="auto" w:fill="BFBFBF"/>
            <w:noWrap/>
            <w:vAlign w:val="center"/>
          </w:tcPr>
          <w:p w14:paraId="0249E856" w14:textId="3CDB01B8" w:rsidR="00934430" w:rsidRPr="00DD1354" w:rsidRDefault="00934430" w:rsidP="00934430">
            <w:pPr>
              <w:contextualSpacing/>
              <w:rPr>
                <w:rFonts w:cs="Arial"/>
                <w:sz w:val="20"/>
                <w:szCs w:val="20"/>
              </w:rPr>
            </w:pPr>
            <w:r w:rsidRPr="00DD1354">
              <w:rPr>
                <w:rFonts w:cs="Arial"/>
                <w:sz w:val="20"/>
                <w:szCs w:val="20"/>
              </w:rPr>
              <w:t>129 382</w:t>
            </w:r>
          </w:p>
        </w:tc>
        <w:tc>
          <w:tcPr>
            <w:tcW w:w="1307" w:type="pct"/>
            <w:shd w:val="clear" w:color="auto" w:fill="FFFFFF"/>
            <w:vAlign w:val="center"/>
          </w:tcPr>
          <w:p w14:paraId="6862EBE7" w14:textId="2B9863E0" w:rsidR="00934430" w:rsidRPr="00DD1354" w:rsidRDefault="00934430" w:rsidP="00934430">
            <w:pPr>
              <w:ind w:right="467"/>
              <w:contextualSpacing/>
              <w:jc w:val="right"/>
              <w:rPr>
                <w:rFonts w:cs="Arial"/>
                <w:sz w:val="18"/>
                <w:szCs w:val="18"/>
              </w:rPr>
            </w:pPr>
            <w:r w:rsidRPr="00DD1354">
              <w:rPr>
                <w:rFonts w:cs="Arial"/>
                <w:sz w:val="18"/>
                <w:szCs w:val="18"/>
              </w:rPr>
              <w:t>1</w:t>
            </w:r>
          </w:p>
        </w:tc>
        <w:tc>
          <w:tcPr>
            <w:tcW w:w="1690" w:type="pct"/>
            <w:shd w:val="clear" w:color="auto" w:fill="FFFFFF"/>
            <w:noWrap/>
            <w:vAlign w:val="center"/>
          </w:tcPr>
          <w:p w14:paraId="3600F3C2" w14:textId="76C1B2F6" w:rsidR="00934430" w:rsidRPr="00DD1354" w:rsidRDefault="00934430" w:rsidP="00934430">
            <w:pPr>
              <w:ind w:right="467"/>
              <w:contextualSpacing/>
              <w:jc w:val="right"/>
              <w:rPr>
                <w:rFonts w:cs="Arial"/>
                <w:sz w:val="18"/>
                <w:szCs w:val="18"/>
              </w:rPr>
            </w:pPr>
            <w:r w:rsidRPr="00DD1354">
              <w:rPr>
                <w:rFonts w:cs="Arial"/>
                <w:sz w:val="18"/>
                <w:szCs w:val="18"/>
              </w:rPr>
              <w:t>0,627</w:t>
            </w:r>
          </w:p>
        </w:tc>
      </w:tr>
      <w:tr w:rsidR="00934430" w:rsidRPr="00DD1354" w14:paraId="192EA9AF" w14:textId="77777777" w:rsidTr="00F23B0C">
        <w:trPr>
          <w:trHeight w:val="20"/>
        </w:trPr>
        <w:tc>
          <w:tcPr>
            <w:tcW w:w="2002" w:type="pct"/>
            <w:shd w:val="clear" w:color="auto" w:fill="BFBFBF"/>
            <w:noWrap/>
            <w:vAlign w:val="center"/>
          </w:tcPr>
          <w:p w14:paraId="17ACF12E" w14:textId="2C3F1666" w:rsidR="00934430" w:rsidRPr="00DD1354" w:rsidRDefault="00934430" w:rsidP="00934430">
            <w:pPr>
              <w:contextualSpacing/>
              <w:rPr>
                <w:rFonts w:cs="Arial"/>
                <w:sz w:val="20"/>
                <w:szCs w:val="20"/>
              </w:rPr>
            </w:pPr>
            <w:r w:rsidRPr="00DD1354">
              <w:rPr>
                <w:rFonts w:cs="Arial"/>
                <w:sz w:val="20"/>
                <w:szCs w:val="20"/>
              </w:rPr>
              <w:t>129 383</w:t>
            </w:r>
          </w:p>
        </w:tc>
        <w:tc>
          <w:tcPr>
            <w:tcW w:w="1307" w:type="pct"/>
            <w:shd w:val="clear" w:color="auto" w:fill="FFFFFF"/>
            <w:vAlign w:val="center"/>
          </w:tcPr>
          <w:p w14:paraId="60AD384B" w14:textId="6DF49026" w:rsidR="00934430" w:rsidRPr="00DD1354" w:rsidRDefault="00934430" w:rsidP="00934430">
            <w:pPr>
              <w:ind w:right="467"/>
              <w:contextualSpacing/>
              <w:jc w:val="right"/>
              <w:rPr>
                <w:rFonts w:cs="Arial"/>
                <w:sz w:val="18"/>
                <w:szCs w:val="18"/>
              </w:rPr>
            </w:pPr>
            <w:r w:rsidRPr="00DD1354">
              <w:rPr>
                <w:rFonts w:cs="Arial"/>
                <w:sz w:val="18"/>
                <w:szCs w:val="18"/>
              </w:rPr>
              <w:t>0</w:t>
            </w:r>
          </w:p>
        </w:tc>
        <w:tc>
          <w:tcPr>
            <w:tcW w:w="1690" w:type="pct"/>
            <w:shd w:val="clear" w:color="auto" w:fill="FFFFFF"/>
            <w:noWrap/>
            <w:vAlign w:val="center"/>
          </w:tcPr>
          <w:p w14:paraId="70557321" w14:textId="074BBE80" w:rsidR="00934430" w:rsidRPr="00DD1354" w:rsidRDefault="00934430" w:rsidP="00934430">
            <w:pPr>
              <w:ind w:right="467"/>
              <w:contextualSpacing/>
              <w:jc w:val="right"/>
              <w:rPr>
                <w:rFonts w:cs="Arial"/>
                <w:sz w:val="18"/>
                <w:szCs w:val="18"/>
              </w:rPr>
            </w:pPr>
            <w:r w:rsidRPr="00DD1354">
              <w:rPr>
                <w:rFonts w:cs="Arial"/>
                <w:sz w:val="18"/>
                <w:szCs w:val="18"/>
              </w:rPr>
              <w:t>0,000</w:t>
            </w:r>
          </w:p>
        </w:tc>
      </w:tr>
      <w:tr w:rsidR="00934430" w:rsidRPr="00DD1354" w14:paraId="768E1151" w14:textId="77777777" w:rsidTr="00F23B0C">
        <w:trPr>
          <w:trHeight w:val="20"/>
        </w:trPr>
        <w:tc>
          <w:tcPr>
            <w:tcW w:w="2002" w:type="pct"/>
            <w:shd w:val="clear" w:color="auto" w:fill="BFBFBF"/>
            <w:noWrap/>
            <w:vAlign w:val="center"/>
          </w:tcPr>
          <w:p w14:paraId="2E30593F" w14:textId="5A5F7833" w:rsidR="00934430" w:rsidRPr="00DD1354" w:rsidRDefault="00934430" w:rsidP="00934430">
            <w:pPr>
              <w:contextualSpacing/>
              <w:rPr>
                <w:rFonts w:cs="Arial"/>
                <w:sz w:val="20"/>
                <w:szCs w:val="20"/>
              </w:rPr>
            </w:pPr>
            <w:r w:rsidRPr="00DD1354">
              <w:rPr>
                <w:rFonts w:cs="Arial"/>
                <w:sz w:val="20"/>
                <w:szCs w:val="20"/>
              </w:rPr>
              <w:t>129 384</w:t>
            </w:r>
          </w:p>
        </w:tc>
        <w:tc>
          <w:tcPr>
            <w:tcW w:w="1307" w:type="pct"/>
            <w:shd w:val="clear" w:color="auto" w:fill="FFFFFF"/>
            <w:vAlign w:val="center"/>
          </w:tcPr>
          <w:p w14:paraId="0FDC81FC" w14:textId="177E23EB" w:rsidR="00934430" w:rsidRPr="00DD1354" w:rsidRDefault="00934430" w:rsidP="00934430">
            <w:pPr>
              <w:ind w:right="467"/>
              <w:contextualSpacing/>
              <w:jc w:val="right"/>
              <w:rPr>
                <w:rFonts w:cs="Arial"/>
                <w:sz w:val="18"/>
                <w:szCs w:val="18"/>
              </w:rPr>
            </w:pPr>
            <w:r w:rsidRPr="00DD1354">
              <w:rPr>
                <w:rFonts w:cs="Arial"/>
                <w:sz w:val="18"/>
                <w:szCs w:val="18"/>
              </w:rPr>
              <w:t>0</w:t>
            </w:r>
          </w:p>
        </w:tc>
        <w:tc>
          <w:tcPr>
            <w:tcW w:w="1690" w:type="pct"/>
            <w:shd w:val="clear" w:color="auto" w:fill="FFFFFF"/>
            <w:noWrap/>
            <w:vAlign w:val="center"/>
          </w:tcPr>
          <w:p w14:paraId="19734796" w14:textId="4AD5299A" w:rsidR="00934430" w:rsidRPr="00DD1354" w:rsidRDefault="00934430" w:rsidP="00934430">
            <w:pPr>
              <w:ind w:right="467"/>
              <w:contextualSpacing/>
              <w:jc w:val="right"/>
              <w:rPr>
                <w:rFonts w:cs="Arial"/>
                <w:sz w:val="18"/>
                <w:szCs w:val="18"/>
              </w:rPr>
            </w:pPr>
            <w:r w:rsidRPr="00DD1354">
              <w:rPr>
                <w:rFonts w:cs="Arial"/>
                <w:sz w:val="18"/>
                <w:szCs w:val="18"/>
              </w:rPr>
              <w:t>0,000</w:t>
            </w:r>
          </w:p>
        </w:tc>
      </w:tr>
      <w:tr w:rsidR="00934430" w:rsidRPr="00DD1354" w14:paraId="3CE02DFB" w14:textId="77777777" w:rsidTr="00F23B0C">
        <w:trPr>
          <w:trHeight w:val="346"/>
        </w:trPr>
        <w:tc>
          <w:tcPr>
            <w:tcW w:w="2002" w:type="pct"/>
            <w:shd w:val="clear" w:color="auto" w:fill="BFBFBF"/>
            <w:noWrap/>
            <w:vAlign w:val="center"/>
          </w:tcPr>
          <w:p w14:paraId="433B49BC" w14:textId="77777777" w:rsidR="00934430" w:rsidRPr="00DD1354" w:rsidRDefault="00934430" w:rsidP="00934430">
            <w:pPr>
              <w:contextualSpacing/>
              <w:rPr>
                <w:rFonts w:cs="Arial"/>
                <w:b/>
                <w:sz w:val="20"/>
                <w:szCs w:val="20"/>
              </w:rPr>
            </w:pPr>
            <w:r w:rsidRPr="00DD1354">
              <w:rPr>
                <w:rFonts w:cs="Arial"/>
                <w:b/>
                <w:sz w:val="20"/>
                <w:szCs w:val="20"/>
              </w:rPr>
              <w:t>Celkem</w:t>
            </w:r>
          </w:p>
        </w:tc>
        <w:tc>
          <w:tcPr>
            <w:tcW w:w="1307" w:type="pct"/>
            <w:shd w:val="clear" w:color="auto" w:fill="BFBFBF"/>
            <w:vAlign w:val="center"/>
          </w:tcPr>
          <w:p w14:paraId="54888E22" w14:textId="05166E8A" w:rsidR="00934430" w:rsidRPr="00DD1354" w:rsidRDefault="00934430" w:rsidP="00934430">
            <w:pPr>
              <w:ind w:right="467"/>
              <w:contextualSpacing/>
              <w:jc w:val="right"/>
              <w:rPr>
                <w:rFonts w:cs="Arial"/>
                <w:b/>
                <w:sz w:val="18"/>
                <w:szCs w:val="18"/>
              </w:rPr>
            </w:pPr>
            <w:r w:rsidRPr="00DD1354">
              <w:rPr>
                <w:rFonts w:cs="Arial"/>
                <w:b/>
                <w:sz w:val="18"/>
                <w:szCs w:val="18"/>
              </w:rPr>
              <w:t>1</w:t>
            </w:r>
          </w:p>
        </w:tc>
        <w:tc>
          <w:tcPr>
            <w:tcW w:w="1690" w:type="pct"/>
            <w:shd w:val="clear" w:color="auto" w:fill="BFBFBF"/>
            <w:noWrap/>
            <w:vAlign w:val="center"/>
          </w:tcPr>
          <w:p w14:paraId="15C18A37" w14:textId="09DBD497" w:rsidR="00934430" w:rsidRPr="00DD1354" w:rsidRDefault="00934430" w:rsidP="00934430">
            <w:pPr>
              <w:ind w:right="467"/>
              <w:contextualSpacing/>
              <w:jc w:val="right"/>
              <w:rPr>
                <w:rFonts w:cs="Arial"/>
                <w:b/>
                <w:sz w:val="18"/>
                <w:szCs w:val="18"/>
              </w:rPr>
            </w:pPr>
            <w:r w:rsidRPr="00DD1354">
              <w:rPr>
                <w:rFonts w:cs="Arial"/>
                <w:b/>
                <w:sz w:val="18"/>
                <w:szCs w:val="18"/>
              </w:rPr>
              <w:t>0,627</w:t>
            </w:r>
          </w:p>
        </w:tc>
      </w:tr>
    </w:tbl>
    <w:p w14:paraId="7F50D364" w14:textId="77777777" w:rsidR="002B1584" w:rsidRPr="00DD1354" w:rsidRDefault="002B1584" w:rsidP="007C4955">
      <w:pPr>
        <w:contextualSpacing/>
        <w:rPr>
          <w:rFonts w:cs="Arial"/>
          <w:b/>
          <w:i/>
          <w:sz w:val="18"/>
          <w:szCs w:val="18"/>
        </w:rPr>
      </w:pPr>
    </w:p>
    <w:p w14:paraId="5ACAA208" w14:textId="77777777" w:rsidR="002B1584" w:rsidRPr="00DD1354" w:rsidRDefault="002B1584" w:rsidP="007C4955">
      <w:pPr>
        <w:contextualSpacing/>
        <w:rPr>
          <w:rFonts w:cs="Arial"/>
          <w:b/>
          <w:i/>
          <w:sz w:val="18"/>
          <w:szCs w:val="18"/>
        </w:rPr>
      </w:pPr>
    </w:p>
    <w:p w14:paraId="2AB6ECBE" w14:textId="77777777" w:rsidR="002B1584" w:rsidRPr="00DD1354" w:rsidRDefault="002B1584" w:rsidP="007C4955">
      <w:pPr>
        <w:contextualSpacing/>
        <w:rPr>
          <w:rFonts w:cs="Arial"/>
          <w:b/>
          <w:i/>
          <w:sz w:val="18"/>
          <w:szCs w:val="18"/>
        </w:rPr>
      </w:pPr>
    </w:p>
    <w:p w14:paraId="46A4F4B6" w14:textId="77777777" w:rsidR="002B1584" w:rsidRPr="00DD1354" w:rsidRDefault="002B1584" w:rsidP="007C4955">
      <w:pPr>
        <w:contextualSpacing/>
        <w:rPr>
          <w:rFonts w:cs="Arial"/>
          <w:b/>
          <w:i/>
          <w:sz w:val="18"/>
          <w:szCs w:val="18"/>
        </w:rPr>
      </w:pPr>
    </w:p>
    <w:p w14:paraId="414CD318" w14:textId="77777777" w:rsidR="002B1584" w:rsidRPr="00DD1354" w:rsidRDefault="002B1584" w:rsidP="007C4955">
      <w:pPr>
        <w:contextualSpacing/>
        <w:rPr>
          <w:rFonts w:cs="Arial"/>
          <w:b/>
          <w:i/>
          <w:sz w:val="18"/>
          <w:szCs w:val="18"/>
        </w:rPr>
      </w:pPr>
    </w:p>
    <w:p w14:paraId="3B4B058D" w14:textId="77777777" w:rsidR="002B1584" w:rsidRPr="00DD1354" w:rsidRDefault="002B1584" w:rsidP="007C4955">
      <w:pPr>
        <w:contextualSpacing/>
        <w:rPr>
          <w:rFonts w:cs="Arial"/>
          <w:b/>
          <w:i/>
          <w:sz w:val="18"/>
          <w:szCs w:val="18"/>
        </w:rPr>
      </w:pPr>
    </w:p>
    <w:p w14:paraId="4820D727" w14:textId="77777777" w:rsidR="00E26A87" w:rsidRPr="00DD1354" w:rsidRDefault="00E26A87" w:rsidP="00E26A87">
      <w:pPr>
        <w:contextualSpacing/>
        <w:rPr>
          <w:rFonts w:cs="Arial"/>
          <w:i/>
          <w:sz w:val="20"/>
          <w:szCs w:val="20"/>
        </w:rPr>
      </w:pPr>
    </w:p>
    <w:p w14:paraId="05EB9A3A" w14:textId="77777777" w:rsidR="00F23B0C" w:rsidRPr="00DD1354" w:rsidRDefault="00F23B0C" w:rsidP="007D05F0">
      <w:pPr>
        <w:rPr>
          <w:rFonts w:cs="Arial"/>
          <w:i/>
          <w:sz w:val="20"/>
          <w:szCs w:val="20"/>
        </w:rPr>
      </w:pPr>
    </w:p>
    <w:p w14:paraId="7EE1CD40" w14:textId="7858A9B1" w:rsidR="002B1584" w:rsidRPr="00DD1354" w:rsidRDefault="002B1584" w:rsidP="007D05F0">
      <w:pPr>
        <w:rPr>
          <w:rFonts w:cs="Arial"/>
          <w:i/>
          <w:sz w:val="20"/>
          <w:szCs w:val="20"/>
        </w:rPr>
      </w:pPr>
      <w:r w:rsidRPr="00DD1354">
        <w:rPr>
          <w:rFonts w:cs="Arial"/>
          <w:i/>
          <w:sz w:val="20"/>
          <w:szCs w:val="20"/>
        </w:rPr>
        <w:t>Pramen: MZe</w:t>
      </w:r>
    </w:p>
    <w:p w14:paraId="378C15EC" w14:textId="77777777" w:rsidR="007823A8" w:rsidRPr="00F71BA9" w:rsidRDefault="007823A8" w:rsidP="007C4955">
      <w:pPr>
        <w:contextualSpacing/>
        <w:rPr>
          <w:rFonts w:cs="Arial"/>
          <w:b/>
          <w:i/>
          <w:color w:val="FF0000"/>
        </w:rPr>
      </w:pPr>
    </w:p>
    <w:p w14:paraId="1431DA60" w14:textId="5198D535" w:rsidR="002B1584" w:rsidRPr="00DD1354" w:rsidRDefault="002B1584" w:rsidP="007C4955">
      <w:pPr>
        <w:contextualSpacing/>
        <w:rPr>
          <w:rFonts w:cs="Arial"/>
          <w:b/>
          <w:i/>
        </w:rPr>
      </w:pPr>
      <w:r w:rsidRPr="00DD1354">
        <w:rPr>
          <w:rFonts w:cs="Arial"/>
          <w:b/>
          <w:i/>
        </w:rPr>
        <w:t xml:space="preserve">Tabulka </w:t>
      </w:r>
      <w:r w:rsidR="004571C5" w:rsidRPr="00DD1354">
        <w:rPr>
          <w:rFonts w:cs="Arial"/>
          <w:b/>
          <w:i/>
        </w:rPr>
        <w:t>11</w:t>
      </w:r>
      <w:r w:rsidRPr="00DD1354">
        <w:rPr>
          <w:rFonts w:cs="Arial"/>
          <w:b/>
          <w:i/>
        </w:rPr>
        <w:t>.1.1.</w:t>
      </w:r>
      <w:r w:rsidR="00D8076F" w:rsidRPr="00DD1354">
        <w:rPr>
          <w:rFonts w:cs="Arial"/>
          <w:b/>
          <w:i/>
        </w:rPr>
        <w:t>1</w:t>
      </w:r>
      <w:r w:rsidR="009B4EBD" w:rsidRPr="00DD1354">
        <w:rPr>
          <w:rFonts w:cs="Arial"/>
          <w:b/>
          <w:i/>
        </w:rPr>
        <w:t>3</w:t>
      </w:r>
    </w:p>
    <w:p w14:paraId="57934DF8" w14:textId="46E839D9" w:rsidR="002B1584" w:rsidRPr="00DD1354" w:rsidRDefault="002B1584" w:rsidP="007C4955">
      <w:pPr>
        <w:contextualSpacing/>
        <w:rPr>
          <w:rFonts w:cs="Arial"/>
          <w:b/>
          <w:i/>
        </w:rPr>
      </w:pPr>
      <w:r w:rsidRPr="00DD1354">
        <w:rPr>
          <w:rFonts w:cs="Arial"/>
          <w:b/>
          <w:i/>
        </w:rPr>
        <w:t xml:space="preserve">Čerpání finančních prostředků státního rozpočtu u vybraných akcí 129 280 </w:t>
      </w:r>
      <w:r w:rsidR="007823A8" w:rsidRPr="00DD1354">
        <w:rPr>
          <w:rFonts w:cs="Arial"/>
          <w:b/>
          <w:i/>
        </w:rPr>
        <w:t>v roce 202</w:t>
      </w:r>
      <w:r w:rsidR="00036BF9" w:rsidRPr="00DD1354">
        <w:rPr>
          <w:rFonts w:cs="Arial"/>
          <w:b/>
          <w:i/>
        </w:rPr>
        <w:t>5</w:t>
      </w:r>
    </w:p>
    <w:tbl>
      <w:tblPr>
        <w:tblpPr w:leftFromText="141" w:rightFromText="141" w:vertAnchor="text" w:horzAnchor="margin" w:tblpY="41"/>
        <w:tblW w:w="49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2980"/>
        <w:gridCol w:w="1327"/>
        <w:gridCol w:w="1220"/>
        <w:gridCol w:w="1429"/>
      </w:tblGrid>
      <w:tr w:rsidR="007D05F0" w:rsidRPr="00DD1354" w14:paraId="41DA446F" w14:textId="77777777" w:rsidTr="007D05F0">
        <w:trPr>
          <w:trHeight w:val="20"/>
        </w:trPr>
        <w:tc>
          <w:tcPr>
            <w:tcW w:w="1340" w:type="pct"/>
            <w:vMerge w:val="restart"/>
            <w:shd w:val="clear" w:color="auto" w:fill="BFBFBF"/>
            <w:noWrap/>
            <w:vAlign w:val="center"/>
          </w:tcPr>
          <w:p w14:paraId="49230CAB" w14:textId="77777777" w:rsidR="007823A8" w:rsidRPr="00DD1354" w:rsidRDefault="007823A8" w:rsidP="007C4955">
            <w:pPr>
              <w:contextualSpacing/>
              <w:jc w:val="center"/>
              <w:rPr>
                <w:rFonts w:cs="Arial"/>
                <w:b/>
                <w:sz w:val="18"/>
                <w:szCs w:val="18"/>
              </w:rPr>
            </w:pPr>
            <w:r w:rsidRPr="00DD1354">
              <w:rPr>
                <w:rFonts w:cs="Arial"/>
                <w:b/>
                <w:sz w:val="18"/>
                <w:szCs w:val="18"/>
              </w:rPr>
              <w:t>Žadatel</w:t>
            </w:r>
          </w:p>
        </w:tc>
        <w:tc>
          <w:tcPr>
            <w:tcW w:w="1568" w:type="pct"/>
            <w:vMerge w:val="restart"/>
            <w:shd w:val="clear" w:color="auto" w:fill="BFBFBF"/>
            <w:noWrap/>
            <w:vAlign w:val="center"/>
          </w:tcPr>
          <w:p w14:paraId="60A9D356" w14:textId="77777777" w:rsidR="007823A8" w:rsidRPr="00DD1354" w:rsidRDefault="007823A8" w:rsidP="007C4955">
            <w:pPr>
              <w:contextualSpacing/>
              <w:jc w:val="center"/>
              <w:rPr>
                <w:rFonts w:cs="Arial"/>
                <w:b/>
                <w:sz w:val="18"/>
                <w:szCs w:val="18"/>
              </w:rPr>
            </w:pPr>
            <w:r w:rsidRPr="00DD1354">
              <w:rPr>
                <w:rFonts w:cs="Arial"/>
                <w:b/>
                <w:sz w:val="18"/>
                <w:szCs w:val="18"/>
              </w:rPr>
              <w:t>Název akce</w:t>
            </w:r>
          </w:p>
        </w:tc>
        <w:tc>
          <w:tcPr>
            <w:tcW w:w="698" w:type="pct"/>
            <w:vMerge w:val="restart"/>
            <w:shd w:val="clear" w:color="auto" w:fill="BFBFBF"/>
            <w:noWrap/>
            <w:vAlign w:val="center"/>
          </w:tcPr>
          <w:p w14:paraId="6E1D7490" w14:textId="77777777" w:rsidR="007823A8" w:rsidRPr="00DD1354" w:rsidRDefault="007823A8" w:rsidP="007C4955">
            <w:pPr>
              <w:contextualSpacing/>
              <w:jc w:val="center"/>
              <w:rPr>
                <w:rFonts w:cs="Arial"/>
                <w:b/>
                <w:sz w:val="18"/>
                <w:szCs w:val="18"/>
              </w:rPr>
            </w:pPr>
            <w:r w:rsidRPr="00DD1354">
              <w:rPr>
                <w:rFonts w:cs="Arial"/>
                <w:b/>
                <w:sz w:val="18"/>
                <w:szCs w:val="18"/>
              </w:rPr>
              <w:t>Termín realizace</w:t>
            </w:r>
          </w:p>
        </w:tc>
        <w:tc>
          <w:tcPr>
            <w:tcW w:w="642" w:type="pct"/>
            <w:shd w:val="clear" w:color="auto" w:fill="BFBFBF"/>
            <w:noWrap/>
            <w:vAlign w:val="center"/>
          </w:tcPr>
          <w:p w14:paraId="7B0DAED9" w14:textId="77777777" w:rsidR="007823A8" w:rsidRPr="00DD1354" w:rsidRDefault="007823A8" w:rsidP="007C4955">
            <w:pPr>
              <w:contextualSpacing/>
              <w:jc w:val="center"/>
              <w:rPr>
                <w:rFonts w:cs="Arial"/>
                <w:b/>
                <w:sz w:val="18"/>
                <w:szCs w:val="18"/>
              </w:rPr>
            </w:pPr>
            <w:r w:rsidRPr="00DD1354">
              <w:rPr>
                <w:rFonts w:cs="Arial"/>
                <w:b/>
                <w:sz w:val="18"/>
                <w:szCs w:val="18"/>
              </w:rPr>
              <w:t>Celkové náklady</w:t>
            </w:r>
          </w:p>
        </w:tc>
        <w:tc>
          <w:tcPr>
            <w:tcW w:w="752" w:type="pct"/>
            <w:shd w:val="clear" w:color="auto" w:fill="BFBFBF"/>
            <w:noWrap/>
            <w:vAlign w:val="center"/>
          </w:tcPr>
          <w:p w14:paraId="56F9A275" w14:textId="3DEF3012" w:rsidR="007823A8" w:rsidRPr="00DD1354" w:rsidRDefault="007823A8" w:rsidP="007C4955">
            <w:pPr>
              <w:contextualSpacing/>
              <w:jc w:val="center"/>
              <w:rPr>
                <w:rFonts w:cs="Arial"/>
                <w:b/>
                <w:sz w:val="18"/>
                <w:szCs w:val="18"/>
              </w:rPr>
            </w:pPr>
            <w:r w:rsidRPr="00DD1354">
              <w:rPr>
                <w:rFonts w:cs="Arial"/>
                <w:b/>
                <w:sz w:val="18"/>
                <w:szCs w:val="18"/>
              </w:rPr>
              <w:t>Dotace v roce 202</w:t>
            </w:r>
            <w:r w:rsidR="00036BF9" w:rsidRPr="00DD1354">
              <w:rPr>
                <w:rFonts w:cs="Arial"/>
                <w:b/>
                <w:sz w:val="18"/>
                <w:szCs w:val="18"/>
              </w:rPr>
              <w:t>5</w:t>
            </w:r>
          </w:p>
        </w:tc>
      </w:tr>
      <w:tr w:rsidR="007D05F0" w:rsidRPr="00DD1354" w14:paraId="6DF3F621" w14:textId="77777777" w:rsidTr="007D05F0">
        <w:trPr>
          <w:trHeight w:val="20"/>
        </w:trPr>
        <w:tc>
          <w:tcPr>
            <w:tcW w:w="1340" w:type="pct"/>
            <w:vMerge/>
            <w:shd w:val="clear" w:color="auto" w:fill="BFBFBF"/>
            <w:noWrap/>
            <w:vAlign w:val="center"/>
          </w:tcPr>
          <w:p w14:paraId="6D803FAC" w14:textId="77777777" w:rsidR="007823A8" w:rsidRPr="00DD1354" w:rsidRDefault="007823A8" w:rsidP="007C4955">
            <w:pPr>
              <w:contextualSpacing/>
              <w:jc w:val="center"/>
              <w:rPr>
                <w:rFonts w:cs="Arial"/>
                <w:b/>
                <w:sz w:val="18"/>
                <w:szCs w:val="18"/>
              </w:rPr>
            </w:pPr>
          </w:p>
        </w:tc>
        <w:tc>
          <w:tcPr>
            <w:tcW w:w="1568" w:type="pct"/>
            <w:vMerge/>
            <w:shd w:val="clear" w:color="auto" w:fill="BFBFBF"/>
            <w:noWrap/>
            <w:vAlign w:val="center"/>
          </w:tcPr>
          <w:p w14:paraId="6C179228" w14:textId="77777777" w:rsidR="007823A8" w:rsidRPr="00DD1354" w:rsidRDefault="007823A8" w:rsidP="007C4955">
            <w:pPr>
              <w:contextualSpacing/>
              <w:jc w:val="center"/>
              <w:rPr>
                <w:rFonts w:cs="Arial"/>
                <w:b/>
                <w:sz w:val="18"/>
                <w:szCs w:val="18"/>
              </w:rPr>
            </w:pPr>
          </w:p>
        </w:tc>
        <w:tc>
          <w:tcPr>
            <w:tcW w:w="698" w:type="pct"/>
            <w:vMerge/>
            <w:shd w:val="clear" w:color="auto" w:fill="BFBFBF"/>
            <w:noWrap/>
            <w:vAlign w:val="center"/>
          </w:tcPr>
          <w:p w14:paraId="5F4EFF4A" w14:textId="77777777" w:rsidR="007823A8" w:rsidRPr="00DD1354" w:rsidRDefault="007823A8" w:rsidP="007C4955">
            <w:pPr>
              <w:contextualSpacing/>
              <w:jc w:val="center"/>
              <w:rPr>
                <w:rFonts w:cs="Arial"/>
                <w:b/>
                <w:sz w:val="18"/>
                <w:szCs w:val="18"/>
              </w:rPr>
            </w:pPr>
          </w:p>
        </w:tc>
        <w:tc>
          <w:tcPr>
            <w:tcW w:w="1394" w:type="pct"/>
            <w:gridSpan w:val="2"/>
            <w:shd w:val="clear" w:color="auto" w:fill="BFBFBF"/>
            <w:noWrap/>
            <w:vAlign w:val="center"/>
          </w:tcPr>
          <w:p w14:paraId="74A4B656" w14:textId="77777777" w:rsidR="007823A8" w:rsidRPr="00DD1354" w:rsidRDefault="007823A8" w:rsidP="007C4955">
            <w:pPr>
              <w:contextualSpacing/>
              <w:jc w:val="center"/>
              <w:rPr>
                <w:rFonts w:cs="Arial"/>
                <w:b/>
                <w:sz w:val="18"/>
                <w:szCs w:val="18"/>
              </w:rPr>
            </w:pPr>
            <w:r w:rsidRPr="00DD1354">
              <w:rPr>
                <w:rFonts w:cs="Arial"/>
                <w:b/>
                <w:sz w:val="18"/>
                <w:szCs w:val="18"/>
              </w:rPr>
              <w:t>mil. Kč</w:t>
            </w:r>
          </w:p>
        </w:tc>
      </w:tr>
      <w:tr w:rsidR="00036BF9" w:rsidRPr="00DD1354" w14:paraId="2F714C6D" w14:textId="77777777" w:rsidTr="007D05F0">
        <w:trPr>
          <w:trHeight w:val="20"/>
        </w:trPr>
        <w:tc>
          <w:tcPr>
            <w:tcW w:w="1340" w:type="pct"/>
            <w:shd w:val="clear" w:color="auto" w:fill="BFBFBF"/>
            <w:noWrap/>
            <w:vAlign w:val="center"/>
          </w:tcPr>
          <w:p w14:paraId="4336379D" w14:textId="144E1E70" w:rsidR="00036BF9" w:rsidRPr="00DD1354" w:rsidRDefault="00036BF9" w:rsidP="00036BF9">
            <w:pPr>
              <w:ind w:left="70"/>
              <w:contextualSpacing/>
              <w:rPr>
                <w:rFonts w:eastAsia="Times New Roman"/>
                <w:sz w:val="18"/>
                <w:szCs w:val="18"/>
              </w:rPr>
            </w:pPr>
            <w:r w:rsidRPr="00DD1354">
              <w:rPr>
                <w:rFonts w:eastAsia="Times New Roman"/>
                <w:sz w:val="18"/>
                <w:szCs w:val="18"/>
              </w:rPr>
              <w:t>Jan Hofbauer</w:t>
            </w:r>
          </w:p>
        </w:tc>
        <w:tc>
          <w:tcPr>
            <w:tcW w:w="1568" w:type="pct"/>
            <w:shd w:val="clear" w:color="auto" w:fill="FFFFFF"/>
            <w:vAlign w:val="center"/>
          </w:tcPr>
          <w:p w14:paraId="120063F8" w14:textId="3195C1C1" w:rsidR="00036BF9" w:rsidRPr="00DD1354" w:rsidRDefault="00036BF9" w:rsidP="00036BF9">
            <w:pPr>
              <w:ind w:left="70"/>
              <w:contextualSpacing/>
              <w:rPr>
                <w:rFonts w:eastAsia="Times New Roman"/>
                <w:sz w:val="18"/>
                <w:szCs w:val="18"/>
              </w:rPr>
            </w:pPr>
            <w:r w:rsidRPr="00DD1354">
              <w:rPr>
                <w:rFonts w:eastAsia="Times New Roman"/>
                <w:sz w:val="18"/>
                <w:szCs w:val="18"/>
              </w:rPr>
              <w:t xml:space="preserve">Rekonstrukce rybníka Nový Budínský v </w:t>
            </w:r>
            <w:proofErr w:type="spellStart"/>
            <w:r w:rsidRPr="00DD1354">
              <w:rPr>
                <w:rFonts w:eastAsia="Times New Roman"/>
                <w:sz w:val="18"/>
                <w:szCs w:val="18"/>
              </w:rPr>
              <w:t>k.ú</w:t>
            </w:r>
            <w:proofErr w:type="spellEnd"/>
            <w:r w:rsidRPr="00DD1354">
              <w:rPr>
                <w:rFonts w:eastAsia="Times New Roman"/>
                <w:sz w:val="18"/>
                <w:szCs w:val="18"/>
              </w:rPr>
              <w:t>. Stříbřec</w:t>
            </w:r>
          </w:p>
        </w:tc>
        <w:tc>
          <w:tcPr>
            <w:tcW w:w="698" w:type="pct"/>
            <w:shd w:val="clear" w:color="auto" w:fill="FFFFFF"/>
            <w:noWrap/>
            <w:vAlign w:val="center"/>
          </w:tcPr>
          <w:p w14:paraId="3407E415" w14:textId="18C61BA5" w:rsidR="00036BF9" w:rsidRPr="00DD1354" w:rsidRDefault="00036BF9" w:rsidP="00036BF9">
            <w:pPr>
              <w:ind w:left="144"/>
              <w:contextualSpacing/>
              <w:jc w:val="left"/>
              <w:rPr>
                <w:rFonts w:eastAsia="Times New Roman"/>
                <w:sz w:val="18"/>
                <w:szCs w:val="18"/>
              </w:rPr>
            </w:pPr>
            <w:r w:rsidRPr="00DD1354">
              <w:rPr>
                <w:rFonts w:eastAsia="Times New Roman"/>
                <w:sz w:val="18"/>
                <w:szCs w:val="18"/>
              </w:rPr>
              <w:t>11/22-12/24</w:t>
            </w:r>
          </w:p>
        </w:tc>
        <w:tc>
          <w:tcPr>
            <w:tcW w:w="642" w:type="pct"/>
            <w:noWrap/>
            <w:vAlign w:val="center"/>
          </w:tcPr>
          <w:p w14:paraId="2DC5BBF1" w14:textId="63C77F3A" w:rsidR="00036BF9" w:rsidRPr="00DD1354" w:rsidRDefault="00036BF9" w:rsidP="00036BF9">
            <w:pPr>
              <w:ind w:left="233"/>
              <w:contextualSpacing/>
              <w:jc w:val="center"/>
              <w:rPr>
                <w:rFonts w:eastAsia="Times New Roman"/>
                <w:sz w:val="18"/>
                <w:szCs w:val="18"/>
              </w:rPr>
            </w:pPr>
            <w:r w:rsidRPr="00DD1354">
              <w:rPr>
                <w:rFonts w:eastAsia="Times New Roman"/>
                <w:sz w:val="18"/>
                <w:szCs w:val="18"/>
              </w:rPr>
              <w:t>5,897</w:t>
            </w:r>
          </w:p>
        </w:tc>
        <w:tc>
          <w:tcPr>
            <w:tcW w:w="752" w:type="pct"/>
            <w:noWrap/>
            <w:vAlign w:val="center"/>
          </w:tcPr>
          <w:p w14:paraId="15C7DCE0" w14:textId="07CD5656" w:rsidR="00036BF9" w:rsidRPr="00DD1354" w:rsidRDefault="00036BF9" w:rsidP="00036BF9">
            <w:pPr>
              <w:contextualSpacing/>
              <w:jc w:val="center"/>
              <w:rPr>
                <w:rFonts w:eastAsia="Times New Roman"/>
                <w:sz w:val="18"/>
                <w:szCs w:val="18"/>
              </w:rPr>
            </w:pPr>
            <w:r w:rsidRPr="00DD1354">
              <w:rPr>
                <w:rFonts w:eastAsia="Times New Roman"/>
                <w:sz w:val="18"/>
                <w:szCs w:val="18"/>
              </w:rPr>
              <w:t>0,627</w:t>
            </w:r>
          </w:p>
        </w:tc>
      </w:tr>
    </w:tbl>
    <w:p w14:paraId="08E8665E" w14:textId="77777777" w:rsidR="002B1584" w:rsidRPr="00036BF9" w:rsidRDefault="002B1584" w:rsidP="007C4955">
      <w:pPr>
        <w:contextualSpacing/>
        <w:rPr>
          <w:rFonts w:cs="Arial"/>
          <w:i/>
          <w:sz w:val="20"/>
          <w:szCs w:val="20"/>
        </w:rPr>
      </w:pPr>
      <w:r w:rsidRPr="00DD1354">
        <w:rPr>
          <w:rFonts w:cs="Arial"/>
          <w:i/>
          <w:sz w:val="20"/>
          <w:szCs w:val="20"/>
        </w:rPr>
        <w:t>Pramen: MZe</w:t>
      </w:r>
    </w:p>
    <w:p w14:paraId="7ED49AA2" w14:textId="77777777" w:rsidR="007D05F0" w:rsidRPr="00104F7D" w:rsidRDefault="007D05F0" w:rsidP="007C4955">
      <w:pPr>
        <w:contextualSpacing/>
        <w:rPr>
          <w:color w:val="FF0000"/>
          <w:highlight w:val="yellow"/>
        </w:rPr>
      </w:pPr>
    </w:p>
    <w:p w14:paraId="357F431B" w14:textId="77777777" w:rsidR="00C5365B" w:rsidRPr="00E92A17" w:rsidRDefault="00C5365B" w:rsidP="00C5365B">
      <w:pPr>
        <w:spacing w:after="220" w:line="251" w:lineRule="auto"/>
        <w:ind w:left="-4" w:right="39" w:hanging="10"/>
      </w:pPr>
      <w:r w:rsidRPr="00E92A17">
        <w:rPr>
          <w:b/>
        </w:rPr>
        <w:t>V roce 20</w:t>
      </w:r>
      <w:r>
        <w:rPr>
          <w:b/>
        </w:rPr>
        <w:t>25</w:t>
      </w:r>
      <w:r w:rsidRPr="00E92A17">
        <w:rPr>
          <w:b/>
        </w:rPr>
        <w:t xml:space="preserve"> na Ministerstvu zemědělství pokračoval program 129 310 „Podpora konkurenceschopnosti agropotravinářského komplexu – závlahy – II. etapa“. V rámci programu 129 310 byla poskytnuta finanční podpora na </w:t>
      </w:r>
      <w:r>
        <w:rPr>
          <w:b/>
        </w:rPr>
        <w:t>13</w:t>
      </w:r>
      <w:r w:rsidRPr="00E92A17">
        <w:rPr>
          <w:b/>
        </w:rPr>
        <w:t xml:space="preserve"> akcí v</w:t>
      </w:r>
      <w:r>
        <w:rPr>
          <w:b/>
        </w:rPr>
        <w:t>e</w:t>
      </w:r>
      <w:r w:rsidRPr="00E92A17">
        <w:rPr>
          <w:b/>
        </w:rPr>
        <w:t xml:space="preserve"> výši </w:t>
      </w:r>
      <w:r>
        <w:rPr>
          <w:b/>
        </w:rPr>
        <w:t>27,428</w:t>
      </w:r>
      <w:r w:rsidRPr="00E92A17">
        <w:rPr>
          <w:b/>
        </w:rPr>
        <w:t xml:space="preserve"> mil. Kč.</w:t>
      </w:r>
    </w:p>
    <w:p w14:paraId="6E3E29D7" w14:textId="77777777" w:rsidR="00C5365B" w:rsidRDefault="00C5365B" w:rsidP="00C5365B">
      <w:pPr>
        <w:rPr>
          <w:rFonts w:cs="Arial"/>
        </w:rPr>
      </w:pPr>
      <w:r w:rsidRPr="00DB750D">
        <w:rPr>
          <w:rFonts w:cs="Arial"/>
        </w:rPr>
        <w:t>Cílem programu 129 310 je snížení potřeby vody na závlahy, energetické</w:t>
      </w:r>
      <w:r w:rsidRPr="00DB750D">
        <w:rPr>
          <w:rFonts w:cs="Arial"/>
          <w:shd w:val="clear" w:color="auto" w:fill="FFFFFF"/>
        </w:rPr>
        <w:t xml:space="preserve"> i personální náročnosti provozu závlahových soustav,</w:t>
      </w:r>
      <w:r w:rsidRPr="00DB750D">
        <w:rPr>
          <w:rFonts w:cs="Arial"/>
        </w:rPr>
        <w:t xml:space="preserve"> </w:t>
      </w:r>
      <w:r w:rsidRPr="00DB750D">
        <w:rPr>
          <w:rFonts w:cs="Arial"/>
          <w:shd w:val="clear" w:color="auto" w:fill="FFFFFF"/>
        </w:rPr>
        <w:t xml:space="preserve">větší flexibility závlahových systémů při plnění rozdílných požadavků na závlahové systémy, snížení celkové spotřeby vody na závlahovou dávku </w:t>
      </w:r>
      <w:r w:rsidRPr="00DB750D">
        <w:rPr>
          <w:rFonts w:cs="Arial"/>
        </w:rPr>
        <w:t>a využití pozitivních environmentálních a mimoekonomických účinků závlah jakožto jednoho z adaptačních opatření na změnu klimatu, a tím zvýšení konkurenceschopnosti zemědělských podniků a stabilizace zemědělské produkce.</w:t>
      </w:r>
      <w:r>
        <w:rPr>
          <w:rFonts w:cs="Arial"/>
        </w:rPr>
        <w:t xml:space="preserve"> </w:t>
      </w:r>
    </w:p>
    <w:p w14:paraId="61D7FE70" w14:textId="77777777" w:rsidR="00C5365B" w:rsidRDefault="00C5365B" w:rsidP="00C5365B">
      <w:pPr>
        <w:rPr>
          <w:rFonts w:cs="Arial"/>
        </w:rPr>
      </w:pPr>
    </w:p>
    <w:p w14:paraId="3648E6BB" w14:textId="77777777" w:rsidR="00C5365B" w:rsidRDefault="00C5365B" w:rsidP="00C5365B">
      <w:r w:rsidRPr="00DB750D">
        <w:rPr>
          <w:rFonts w:cs="Arial"/>
        </w:rPr>
        <w:t xml:space="preserve">Program 129 310 je rozdělen na dva podprogramy. Podprogram 129 312 „Podpora obnovy </w:t>
      </w:r>
      <w:r>
        <w:rPr>
          <w:rFonts w:cs="Arial"/>
        </w:rPr>
        <w:br/>
      </w:r>
      <w:r w:rsidRPr="00DB750D">
        <w:rPr>
          <w:rFonts w:cs="Arial"/>
        </w:rPr>
        <w:t>a budování závlahového detailu a optimalizace závlahových</w:t>
      </w:r>
      <w:r w:rsidRPr="00DB750D">
        <w:t xml:space="preserve"> </w:t>
      </w:r>
      <w:r>
        <w:t xml:space="preserve">sítí – II. etapa“ je určen </w:t>
      </w:r>
      <w:r>
        <w:br/>
        <w:t xml:space="preserve">na podporu obnovy a budování závlahového detailu a na podporu obnovy, budování </w:t>
      </w:r>
      <w:r>
        <w:br/>
        <w:t xml:space="preserve">a optimalizace závlahových sítí. Podprogram 129 313 „Podpora optimalizace závlahových sítí ve správě Státního pozemkového úřadu“ je zacílen na podporu obnovy, budování </w:t>
      </w:r>
      <w:r>
        <w:br/>
        <w:t>a optimalizace závlahových sítí.</w:t>
      </w:r>
    </w:p>
    <w:p w14:paraId="25C857D2" w14:textId="77777777" w:rsidR="00C5365B" w:rsidRDefault="00C5365B" w:rsidP="00C5365B"/>
    <w:p w14:paraId="11DDDC7F" w14:textId="77777777" w:rsidR="00C5365B" w:rsidRDefault="00C5365B" w:rsidP="00C5365B">
      <w:r>
        <w:t xml:space="preserve">V roce 2025 byla v rámci podprogramu 129 312 poskytnuta finanční podpora celkem </w:t>
      </w:r>
      <w:r>
        <w:br/>
        <w:t>na 13 akcí o celkovém objemu 27,428 mil. Kč.</w:t>
      </w:r>
    </w:p>
    <w:p w14:paraId="4C16C9FB" w14:textId="77777777" w:rsidR="003B2936" w:rsidRPr="00104F7D" w:rsidRDefault="003B2936" w:rsidP="007C4955">
      <w:pPr>
        <w:contextualSpacing/>
        <w:rPr>
          <w:rFonts w:cs="Arial"/>
          <w:b/>
          <w:i/>
          <w:highlight w:val="yellow"/>
        </w:rPr>
      </w:pPr>
    </w:p>
    <w:p w14:paraId="4FAF2D7C" w14:textId="5C53401C" w:rsidR="002B1584" w:rsidRPr="00C5365B" w:rsidRDefault="002B1584" w:rsidP="007C4955">
      <w:pPr>
        <w:contextualSpacing/>
        <w:rPr>
          <w:rFonts w:cs="Arial"/>
          <w:b/>
          <w:i/>
        </w:rPr>
      </w:pPr>
      <w:r w:rsidRPr="00C5365B">
        <w:rPr>
          <w:rFonts w:cs="Arial"/>
          <w:b/>
          <w:i/>
        </w:rPr>
        <w:t xml:space="preserve">Tabulka </w:t>
      </w:r>
      <w:r w:rsidR="004571C5" w:rsidRPr="00C5365B">
        <w:rPr>
          <w:rFonts w:cs="Arial"/>
          <w:b/>
          <w:i/>
        </w:rPr>
        <w:t>11</w:t>
      </w:r>
      <w:r w:rsidRPr="00C5365B">
        <w:rPr>
          <w:rFonts w:cs="Arial"/>
          <w:b/>
          <w:i/>
        </w:rPr>
        <w:t>.1.</w:t>
      </w:r>
      <w:r w:rsidR="007823A8" w:rsidRPr="00C5365B">
        <w:rPr>
          <w:rFonts w:cs="Arial"/>
          <w:b/>
          <w:i/>
        </w:rPr>
        <w:t>1.</w:t>
      </w:r>
      <w:r w:rsidR="00767D2D" w:rsidRPr="00C5365B">
        <w:rPr>
          <w:rFonts w:cs="Arial"/>
          <w:b/>
          <w:i/>
        </w:rPr>
        <w:t>1</w:t>
      </w:r>
      <w:r w:rsidR="009B4EBD">
        <w:rPr>
          <w:rFonts w:cs="Arial"/>
          <w:b/>
          <w:i/>
        </w:rPr>
        <w:t>4</w:t>
      </w:r>
    </w:p>
    <w:p w14:paraId="0E70DD52" w14:textId="422D1F28" w:rsidR="002B1584" w:rsidRPr="00C5365B" w:rsidRDefault="002B1584" w:rsidP="007C4955">
      <w:pPr>
        <w:contextualSpacing/>
        <w:rPr>
          <w:rFonts w:cs="Arial"/>
          <w:b/>
          <w:i/>
        </w:rPr>
      </w:pPr>
      <w:r w:rsidRPr="00C5365B">
        <w:rPr>
          <w:rFonts w:cs="Arial"/>
          <w:b/>
          <w:i/>
        </w:rPr>
        <w:t>Čerpání finančních prostředků státního rozpočtu v rámci programu</w:t>
      </w:r>
      <w:r w:rsidR="003D3A76" w:rsidRPr="00C5365B">
        <w:rPr>
          <w:rFonts w:cs="Arial"/>
          <w:b/>
          <w:i/>
        </w:rPr>
        <w:t xml:space="preserve"> Ministerstva zemědělství</w:t>
      </w:r>
      <w:r w:rsidR="007823A8" w:rsidRPr="00C5365B">
        <w:rPr>
          <w:rFonts w:cs="Arial"/>
          <w:b/>
          <w:i/>
        </w:rPr>
        <w:t xml:space="preserve"> 129 310 v roce 202</w:t>
      </w:r>
      <w:r w:rsidR="00C5365B" w:rsidRPr="00C5365B">
        <w:rPr>
          <w:rFonts w:cs="Arial"/>
          <w:b/>
          <w:i/>
        </w:rPr>
        <w:t>5</w:t>
      </w:r>
    </w:p>
    <w:tbl>
      <w:tblPr>
        <w:tblpPr w:leftFromText="141" w:rightFromText="141" w:vertAnchor="text" w:horzAnchor="margin" w:tblpY="41"/>
        <w:tblW w:w="35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02"/>
        <w:gridCol w:w="3489"/>
        <w:gridCol w:w="1937"/>
      </w:tblGrid>
      <w:tr w:rsidR="00B1385F" w:rsidRPr="002F192A" w14:paraId="68646F8D" w14:textId="77777777" w:rsidTr="00AA760F">
        <w:trPr>
          <w:trHeight w:val="24"/>
        </w:trPr>
        <w:tc>
          <w:tcPr>
            <w:tcW w:w="1084" w:type="pct"/>
            <w:vMerge w:val="restart"/>
            <w:shd w:val="clear" w:color="auto" w:fill="BFBFBF"/>
            <w:vAlign w:val="center"/>
          </w:tcPr>
          <w:p w14:paraId="1AE73C27" w14:textId="77777777" w:rsidR="002B1584" w:rsidRPr="002F192A" w:rsidRDefault="002B1584" w:rsidP="007C4955">
            <w:pPr>
              <w:contextualSpacing/>
              <w:jc w:val="center"/>
              <w:rPr>
                <w:rFonts w:cs="Arial"/>
                <w:b/>
                <w:sz w:val="18"/>
                <w:szCs w:val="18"/>
              </w:rPr>
            </w:pPr>
            <w:r w:rsidRPr="002F192A">
              <w:rPr>
                <w:rFonts w:cs="Arial"/>
                <w:b/>
                <w:sz w:val="18"/>
                <w:szCs w:val="18"/>
              </w:rPr>
              <w:t>Podprogram</w:t>
            </w:r>
          </w:p>
        </w:tc>
        <w:tc>
          <w:tcPr>
            <w:tcW w:w="2518" w:type="pct"/>
            <w:vMerge w:val="restart"/>
            <w:shd w:val="clear" w:color="auto" w:fill="BFBFBF"/>
            <w:vAlign w:val="center"/>
          </w:tcPr>
          <w:p w14:paraId="33FB61D6" w14:textId="77777777" w:rsidR="002B1584" w:rsidRPr="002F192A" w:rsidRDefault="002B1584" w:rsidP="007C4955">
            <w:pPr>
              <w:contextualSpacing/>
              <w:jc w:val="center"/>
              <w:rPr>
                <w:rFonts w:cs="Arial"/>
                <w:b/>
                <w:sz w:val="18"/>
                <w:szCs w:val="18"/>
              </w:rPr>
            </w:pPr>
            <w:r w:rsidRPr="002F192A">
              <w:rPr>
                <w:rFonts w:cs="Arial"/>
                <w:b/>
                <w:sz w:val="18"/>
                <w:szCs w:val="18"/>
              </w:rPr>
              <w:t>Počet financovaných akcí</w:t>
            </w:r>
          </w:p>
        </w:tc>
        <w:tc>
          <w:tcPr>
            <w:tcW w:w="1398" w:type="pct"/>
            <w:shd w:val="clear" w:color="auto" w:fill="BFBFBF"/>
            <w:noWrap/>
            <w:vAlign w:val="center"/>
          </w:tcPr>
          <w:p w14:paraId="4DE51506" w14:textId="77777777" w:rsidR="002B1584" w:rsidRPr="002F192A" w:rsidRDefault="002B1584" w:rsidP="007C4955">
            <w:pPr>
              <w:contextualSpacing/>
              <w:jc w:val="center"/>
              <w:rPr>
                <w:rFonts w:cs="Arial"/>
                <w:b/>
                <w:sz w:val="18"/>
                <w:szCs w:val="18"/>
              </w:rPr>
            </w:pPr>
            <w:r w:rsidRPr="002F192A">
              <w:rPr>
                <w:rFonts w:cs="Arial"/>
                <w:b/>
                <w:sz w:val="18"/>
                <w:szCs w:val="18"/>
              </w:rPr>
              <w:t>Finanční podpora</w:t>
            </w:r>
          </w:p>
        </w:tc>
      </w:tr>
      <w:tr w:rsidR="00B1385F" w:rsidRPr="002F192A" w14:paraId="5E569C4F" w14:textId="77777777" w:rsidTr="00AA760F">
        <w:trPr>
          <w:trHeight w:val="24"/>
        </w:trPr>
        <w:tc>
          <w:tcPr>
            <w:tcW w:w="1084" w:type="pct"/>
            <w:vMerge/>
            <w:shd w:val="clear" w:color="auto" w:fill="BFBFBF"/>
            <w:vAlign w:val="center"/>
          </w:tcPr>
          <w:p w14:paraId="70187565" w14:textId="77777777" w:rsidR="002B1584" w:rsidRPr="002F192A" w:rsidRDefault="002B1584" w:rsidP="007C4955">
            <w:pPr>
              <w:contextualSpacing/>
              <w:jc w:val="center"/>
              <w:rPr>
                <w:rFonts w:cs="Arial"/>
                <w:b/>
                <w:sz w:val="18"/>
                <w:szCs w:val="18"/>
              </w:rPr>
            </w:pPr>
          </w:p>
        </w:tc>
        <w:tc>
          <w:tcPr>
            <w:tcW w:w="2518" w:type="pct"/>
            <w:vMerge/>
            <w:shd w:val="clear" w:color="auto" w:fill="BFBFBF"/>
            <w:vAlign w:val="center"/>
          </w:tcPr>
          <w:p w14:paraId="755CA996" w14:textId="77777777" w:rsidR="002B1584" w:rsidRPr="002F192A" w:rsidRDefault="002B1584" w:rsidP="007C4955">
            <w:pPr>
              <w:contextualSpacing/>
              <w:jc w:val="center"/>
              <w:rPr>
                <w:rFonts w:cs="Arial"/>
                <w:b/>
                <w:sz w:val="18"/>
                <w:szCs w:val="18"/>
              </w:rPr>
            </w:pPr>
          </w:p>
        </w:tc>
        <w:tc>
          <w:tcPr>
            <w:tcW w:w="1398" w:type="pct"/>
            <w:shd w:val="clear" w:color="auto" w:fill="BFBFBF"/>
            <w:noWrap/>
            <w:vAlign w:val="center"/>
          </w:tcPr>
          <w:p w14:paraId="7EE2D01B" w14:textId="77777777" w:rsidR="002B1584" w:rsidRPr="002F192A" w:rsidRDefault="002B1584" w:rsidP="007C4955">
            <w:pPr>
              <w:contextualSpacing/>
              <w:jc w:val="center"/>
              <w:rPr>
                <w:rFonts w:cs="Arial"/>
                <w:b/>
                <w:sz w:val="18"/>
                <w:szCs w:val="18"/>
              </w:rPr>
            </w:pPr>
            <w:r w:rsidRPr="002F192A">
              <w:rPr>
                <w:rFonts w:cs="Arial"/>
                <w:b/>
                <w:sz w:val="18"/>
                <w:szCs w:val="18"/>
              </w:rPr>
              <w:t>mil. Kč</w:t>
            </w:r>
          </w:p>
        </w:tc>
      </w:tr>
      <w:tr w:rsidR="002F192A" w:rsidRPr="002F192A" w14:paraId="657E8FD3" w14:textId="77777777" w:rsidTr="00AA760F">
        <w:trPr>
          <w:trHeight w:val="24"/>
        </w:trPr>
        <w:tc>
          <w:tcPr>
            <w:tcW w:w="1084" w:type="pct"/>
            <w:shd w:val="clear" w:color="auto" w:fill="FFFFFF"/>
          </w:tcPr>
          <w:p w14:paraId="3BB77052" w14:textId="77777777" w:rsidR="002F192A" w:rsidRPr="002F192A" w:rsidRDefault="002F192A" w:rsidP="002F192A">
            <w:pPr>
              <w:ind w:right="467"/>
              <w:contextualSpacing/>
              <w:jc w:val="right"/>
              <w:rPr>
                <w:rFonts w:cs="Arial"/>
                <w:sz w:val="18"/>
                <w:szCs w:val="18"/>
              </w:rPr>
            </w:pPr>
            <w:r w:rsidRPr="002F192A">
              <w:rPr>
                <w:rFonts w:cs="Arial"/>
                <w:sz w:val="18"/>
                <w:szCs w:val="18"/>
              </w:rPr>
              <w:t>129 312</w:t>
            </w:r>
          </w:p>
        </w:tc>
        <w:tc>
          <w:tcPr>
            <w:tcW w:w="2518" w:type="pct"/>
            <w:shd w:val="clear" w:color="auto" w:fill="FFFFFF"/>
            <w:vAlign w:val="center"/>
          </w:tcPr>
          <w:p w14:paraId="075CC9AB" w14:textId="67931CA4" w:rsidR="002F192A" w:rsidRPr="002F192A" w:rsidRDefault="00AA55DB" w:rsidP="002F192A">
            <w:pPr>
              <w:ind w:right="467"/>
              <w:contextualSpacing/>
              <w:jc w:val="right"/>
              <w:rPr>
                <w:rFonts w:cs="Arial"/>
                <w:sz w:val="18"/>
                <w:szCs w:val="18"/>
              </w:rPr>
            </w:pPr>
            <w:r>
              <w:rPr>
                <w:rFonts w:cs="Arial"/>
                <w:sz w:val="18"/>
                <w:szCs w:val="18"/>
              </w:rPr>
              <w:t>13</w:t>
            </w:r>
          </w:p>
        </w:tc>
        <w:tc>
          <w:tcPr>
            <w:tcW w:w="1398" w:type="pct"/>
            <w:shd w:val="clear" w:color="auto" w:fill="FFFFFF"/>
            <w:noWrap/>
            <w:vAlign w:val="center"/>
          </w:tcPr>
          <w:p w14:paraId="0DB14A5D" w14:textId="7674A97B" w:rsidR="002F192A" w:rsidRPr="002F192A" w:rsidRDefault="002F192A" w:rsidP="002F192A">
            <w:pPr>
              <w:ind w:right="467"/>
              <w:contextualSpacing/>
              <w:jc w:val="right"/>
              <w:rPr>
                <w:rFonts w:cs="Arial"/>
                <w:sz w:val="18"/>
                <w:szCs w:val="18"/>
              </w:rPr>
            </w:pPr>
            <w:r w:rsidRPr="002F192A">
              <w:rPr>
                <w:rFonts w:cs="Arial"/>
                <w:sz w:val="18"/>
                <w:szCs w:val="18"/>
              </w:rPr>
              <w:t>27,428</w:t>
            </w:r>
          </w:p>
        </w:tc>
      </w:tr>
      <w:tr w:rsidR="002F192A" w:rsidRPr="002F192A" w14:paraId="1CB3AE6E" w14:textId="77777777" w:rsidTr="00AA760F">
        <w:trPr>
          <w:trHeight w:val="24"/>
        </w:trPr>
        <w:tc>
          <w:tcPr>
            <w:tcW w:w="1084" w:type="pct"/>
            <w:shd w:val="clear" w:color="auto" w:fill="FFFFFF"/>
          </w:tcPr>
          <w:p w14:paraId="43607AC7" w14:textId="77777777" w:rsidR="002F192A" w:rsidRPr="002F192A" w:rsidRDefault="002F192A" w:rsidP="002F192A">
            <w:pPr>
              <w:ind w:right="467"/>
              <w:contextualSpacing/>
              <w:jc w:val="right"/>
              <w:rPr>
                <w:rFonts w:cs="Arial"/>
                <w:sz w:val="18"/>
                <w:szCs w:val="18"/>
              </w:rPr>
            </w:pPr>
            <w:r w:rsidRPr="002F192A">
              <w:rPr>
                <w:rFonts w:cs="Arial"/>
                <w:sz w:val="18"/>
                <w:szCs w:val="18"/>
              </w:rPr>
              <w:t>129 313</w:t>
            </w:r>
          </w:p>
        </w:tc>
        <w:tc>
          <w:tcPr>
            <w:tcW w:w="2518" w:type="pct"/>
            <w:shd w:val="clear" w:color="auto" w:fill="FFFFFF"/>
            <w:vAlign w:val="center"/>
          </w:tcPr>
          <w:p w14:paraId="6752F810" w14:textId="568B3CF8" w:rsidR="002F192A" w:rsidRPr="002F192A" w:rsidRDefault="002F192A" w:rsidP="002F192A">
            <w:pPr>
              <w:ind w:right="467"/>
              <w:contextualSpacing/>
              <w:jc w:val="right"/>
              <w:rPr>
                <w:rFonts w:cs="Arial"/>
                <w:sz w:val="18"/>
                <w:szCs w:val="18"/>
              </w:rPr>
            </w:pPr>
            <w:r w:rsidRPr="002F192A">
              <w:rPr>
                <w:rFonts w:cs="Arial"/>
                <w:sz w:val="18"/>
                <w:szCs w:val="18"/>
              </w:rPr>
              <w:t>0</w:t>
            </w:r>
          </w:p>
        </w:tc>
        <w:tc>
          <w:tcPr>
            <w:tcW w:w="1398" w:type="pct"/>
            <w:shd w:val="clear" w:color="auto" w:fill="FFFFFF"/>
            <w:noWrap/>
            <w:vAlign w:val="center"/>
          </w:tcPr>
          <w:p w14:paraId="75035A7F" w14:textId="6F48A901" w:rsidR="002F192A" w:rsidRPr="002F192A" w:rsidRDefault="002F192A" w:rsidP="002F192A">
            <w:pPr>
              <w:ind w:right="467"/>
              <w:contextualSpacing/>
              <w:jc w:val="right"/>
              <w:rPr>
                <w:rFonts w:cs="Arial"/>
                <w:sz w:val="18"/>
                <w:szCs w:val="18"/>
              </w:rPr>
            </w:pPr>
            <w:r w:rsidRPr="002F192A">
              <w:rPr>
                <w:rFonts w:cs="Arial"/>
                <w:sz w:val="18"/>
                <w:szCs w:val="18"/>
              </w:rPr>
              <w:t>0,000</w:t>
            </w:r>
          </w:p>
        </w:tc>
      </w:tr>
      <w:tr w:rsidR="002F192A" w:rsidRPr="002F192A" w14:paraId="5F82AD0E" w14:textId="77777777" w:rsidTr="00AA760F">
        <w:trPr>
          <w:trHeight w:val="24"/>
        </w:trPr>
        <w:tc>
          <w:tcPr>
            <w:tcW w:w="1084" w:type="pct"/>
            <w:shd w:val="clear" w:color="auto" w:fill="BFBFBF"/>
          </w:tcPr>
          <w:p w14:paraId="343761D7" w14:textId="77777777" w:rsidR="002F192A" w:rsidRPr="002F192A" w:rsidRDefault="002F192A" w:rsidP="002F192A">
            <w:pPr>
              <w:ind w:right="467"/>
              <w:contextualSpacing/>
              <w:jc w:val="right"/>
              <w:rPr>
                <w:rFonts w:cs="Arial"/>
                <w:b/>
                <w:sz w:val="18"/>
                <w:szCs w:val="18"/>
              </w:rPr>
            </w:pPr>
            <w:r w:rsidRPr="002F192A">
              <w:rPr>
                <w:rFonts w:cs="Arial"/>
                <w:b/>
                <w:sz w:val="18"/>
                <w:szCs w:val="18"/>
              </w:rPr>
              <w:t>Celkem</w:t>
            </w:r>
          </w:p>
        </w:tc>
        <w:tc>
          <w:tcPr>
            <w:tcW w:w="2518" w:type="pct"/>
            <w:shd w:val="clear" w:color="auto" w:fill="BFBFBF"/>
            <w:vAlign w:val="center"/>
          </w:tcPr>
          <w:p w14:paraId="4BB15191" w14:textId="461E1941" w:rsidR="002F192A" w:rsidRPr="002F192A" w:rsidRDefault="00AA55DB" w:rsidP="002F192A">
            <w:pPr>
              <w:ind w:right="467"/>
              <w:contextualSpacing/>
              <w:jc w:val="right"/>
              <w:rPr>
                <w:rFonts w:cs="Arial"/>
                <w:b/>
                <w:sz w:val="18"/>
                <w:szCs w:val="18"/>
              </w:rPr>
            </w:pPr>
            <w:r>
              <w:rPr>
                <w:rFonts w:cs="Arial"/>
                <w:b/>
                <w:sz w:val="18"/>
                <w:szCs w:val="18"/>
              </w:rPr>
              <w:t>13</w:t>
            </w:r>
          </w:p>
        </w:tc>
        <w:tc>
          <w:tcPr>
            <w:tcW w:w="1398" w:type="pct"/>
            <w:shd w:val="clear" w:color="auto" w:fill="BFBFBF"/>
            <w:noWrap/>
            <w:vAlign w:val="center"/>
          </w:tcPr>
          <w:p w14:paraId="6C93070F" w14:textId="19084AFA" w:rsidR="002F192A" w:rsidRPr="002F192A" w:rsidRDefault="002F192A" w:rsidP="002F192A">
            <w:pPr>
              <w:ind w:right="467"/>
              <w:contextualSpacing/>
              <w:jc w:val="right"/>
              <w:rPr>
                <w:rFonts w:cs="Arial"/>
                <w:b/>
                <w:sz w:val="18"/>
                <w:szCs w:val="18"/>
              </w:rPr>
            </w:pPr>
            <w:r w:rsidRPr="002F192A">
              <w:rPr>
                <w:rFonts w:cs="Arial"/>
                <w:b/>
                <w:sz w:val="18"/>
                <w:szCs w:val="18"/>
              </w:rPr>
              <w:t>27,428</w:t>
            </w:r>
          </w:p>
        </w:tc>
      </w:tr>
    </w:tbl>
    <w:p w14:paraId="3335CD6D" w14:textId="77777777" w:rsidR="002B1584" w:rsidRPr="002F192A" w:rsidRDefault="002B1584" w:rsidP="007C4955">
      <w:pPr>
        <w:contextualSpacing/>
        <w:rPr>
          <w:rFonts w:cs="Arial"/>
          <w:b/>
          <w:i/>
          <w:sz w:val="18"/>
          <w:szCs w:val="18"/>
        </w:rPr>
      </w:pPr>
    </w:p>
    <w:p w14:paraId="3216922F" w14:textId="77777777" w:rsidR="002B1584" w:rsidRPr="002F192A" w:rsidRDefault="002B1584" w:rsidP="007C4955">
      <w:pPr>
        <w:contextualSpacing/>
        <w:rPr>
          <w:rFonts w:cs="Arial"/>
          <w:b/>
          <w:i/>
          <w:sz w:val="18"/>
          <w:szCs w:val="18"/>
        </w:rPr>
      </w:pPr>
    </w:p>
    <w:p w14:paraId="26F2E8C5" w14:textId="77777777" w:rsidR="002B1584" w:rsidRPr="002F192A" w:rsidRDefault="002B1584" w:rsidP="007C4955">
      <w:pPr>
        <w:contextualSpacing/>
        <w:rPr>
          <w:rFonts w:cs="Arial"/>
          <w:b/>
          <w:i/>
          <w:sz w:val="18"/>
          <w:szCs w:val="18"/>
        </w:rPr>
      </w:pPr>
    </w:p>
    <w:p w14:paraId="4FD8A349" w14:textId="77777777" w:rsidR="002B1584" w:rsidRPr="002F192A" w:rsidRDefault="002B1584" w:rsidP="007C4955">
      <w:pPr>
        <w:contextualSpacing/>
        <w:rPr>
          <w:rFonts w:cs="Arial"/>
          <w:b/>
          <w:i/>
          <w:sz w:val="18"/>
          <w:szCs w:val="18"/>
        </w:rPr>
      </w:pPr>
    </w:p>
    <w:p w14:paraId="167769F5" w14:textId="77777777" w:rsidR="00AA760F" w:rsidRPr="002F192A" w:rsidRDefault="00AA760F" w:rsidP="00AA760F">
      <w:pPr>
        <w:contextualSpacing/>
        <w:rPr>
          <w:rFonts w:cs="Arial"/>
          <w:b/>
          <w:i/>
          <w:sz w:val="18"/>
          <w:szCs w:val="18"/>
        </w:rPr>
      </w:pPr>
    </w:p>
    <w:p w14:paraId="5872786B" w14:textId="77777777" w:rsidR="0022078C" w:rsidRPr="002F192A" w:rsidRDefault="0022078C" w:rsidP="0022078C">
      <w:pPr>
        <w:contextualSpacing/>
        <w:rPr>
          <w:rFonts w:cs="Arial"/>
          <w:i/>
          <w:sz w:val="20"/>
          <w:szCs w:val="20"/>
        </w:rPr>
      </w:pPr>
    </w:p>
    <w:p w14:paraId="4A6D7869" w14:textId="05D34E81" w:rsidR="00D22795" w:rsidRPr="002F192A" w:rsidRDefault="002B1584" w:rsidP="007C4955">
      <w:pPr>
        <w:contextualSpacing/>
        <w:rPr>
          <w:rFonts w:cs="Arial"/>
          <w:i/>
          <w:sz w:val="20"/>
          <w:szCs w:val="20"/>
        </w:rPr>
      </w:pPr>
      <w:r w:rsidRPr="002F192A">
        <w:rPr>
          <w:rFonts w:cs="Arial"/>
          <w:i/>
          <w:sz w:val="20"/>
          <w:szCs w:val="20"/>
        </w:rPr>
        <w:t>Pramen: MZe</w:t>
      </w:r>
    </w:p>
    <w:p w14:paraId="2AAAAD9A" w14:textId="77777777" w:rsidR="004B7D31" w:rsidRPr="00104F7D" w:rsidRDefault="004B7D31" w:rsidP="007C4955">
      <w:pPr>
        <w:contextualSpacing/>
        <w:rPr>
          <w:rFonts w:cs="Arial"/>
          <w:b/>
          <w:i/>
          <w:color w:val="000000" w:themeColor="text1"/>
          <w:highlight w:val="yellow"/>
        </w:rPr>
      </w:pPr>
    </w:p>
    <w:p w14:paraId="679298FB" w14:textId="2CC353D5" w:rsidR="002B1584" w:rsidRPr="00E64259" w:rsidRDefault="002B1584" w:rsidP="007C4955">
      <w:pPr>
        <w:contextualSpacing/>
        <w:rPr>
          <w:rFonts w:cs="Arial"/>
          <w:i/>
          <w:sz w:val="20"/>
          <w:szCs w:val="20"/>
        </w:rPr>
      </w:pPr>
      <w:r w:rsidRPr="00E64259">
        <w:rPr>
          <w:rFonts w:cs="Arial"/>
          <w:b/>
          <w:i/>
          <w:color w:val="000000" w:themeColor="text1"/>
        </w:rPr>
        <w:t xml:space="preserve">Tabulka </w:t>
      </w:r>
      <w:r w:rsidR="004571C5" w:rsidRPr="00E64259">
        <w:rPr>
          <w:rFonts w:cs="Arial"/>
          <w:b/>
          <w:i/>
          <w:color w:val="000000" w:themeColor="text1"/>
        </w:rPr>
        <w:t>11</w:t>
      </w:r>
      <w:r w:rsidRPr="00E64259">
        <w:rPr>
          <w:rFonts w:cs="Arial"/>
          <w:b/>
          <w:i/>
          <w:color w:val="000000" w:themeColor="text1"/>
        </w:rPr>
        <w:t>.1.</w:t>
      </w:r>
      <w:r w:rsidR="007823A8" w:rsidRPr="00E64259">
        <w:rPr>
          <w:rFonts w:cs="Arial"/>
          <w:b/>
          <w:i/>
          <w:color w:val="000000" w:themeColor="text1"/>
        </w:rPr>
        <w:t>1.</w:t>
      </w:r>
      <w:r w:rsidR="00767D2D" w:rsidRPr="00E64259">
        <w:rPr>
          <w:rFonts w:cs="Arial"/>
          <w:b/>
          <w:i/>
          <w:color w:val="000000" w:themeColor="text1"/>
        </w:rPr>
        <w:t>1</w:t>
      </w:r>
      <w:r w:rsidR="009B4EBD">
        <w:rPr>
          <w:rFonts w:cs="Arial"/>
          <w:b/>
          <w:i/>
          <w:color w:val="000000" w:themeColor="text1"/>
        </w:rPr>
        <w:t>5</w:t>
      </w:r>
    </w:p>
    <w:p w14:paraId="7E03BA09" w14:textId="034B9108" w:rsidR="002B1584" w:rsidRPr="00E64259" w:rsidRDefault="002B1584" w:rsidP="007C4955">
      <w:pPr>
        <w:contextualSpacing/>
        <w:rPr>
          <w:rFonts w:cs="Arial"/>
          <w:b/>
          <w:i/>
          <w:color w:val="000000" w:themeColor="text1"/>
        </w:rPr>
      </w:pPr>
      <w:r w:rsidRPr="00E64259">
        <w:rPr>
          <w:rFonts w:cs="Arial"/>
          <w:b/>
          <w:i/>
          <w:color w:val="000000" w:themeColor="text1"/>
        </w:rPr>
        <w:t xml:space="preserve">Čerpání finančních prostředků státního rozpočtu u vybraných akcí programu </w:t>
      </w:r>
      <w:r w:rsidR="003D3A76" w:rsidRPr="00E64259">
        <w:rPr>
          <w:rFonts w:cs="Arial"/>
          <w:b/>
          <w:i/>
          <w:color w:val="000000" w:themeColor="text1"/>
        </w:rPr>
        <w:t xml:space="preserve">Ministerstva zemědělství </w:t>
      </w:r>
      <w:r w:rsidRPr="00E64259">
        <w:rPr>
          <w:rFonts w:cs="Arial"/>
          <w:b/>
          <w:i/>
          <w:color w:val="000000" w:themeColor="text1"/>
        </w:rPr>
        <w:t>129 310</w:t>
      </w:r>
      <w:r w:rsidR="007823A8" w:rsidRPr="00E64259">
        <w:rPr>
          <w:rFonts w:cs="Arial"/>
          <w:b/>
          <w:i/>
          <w:color w:val="000000" w:themeColor="text1"/>
        </w:rPr>
        <w:t xml:space="preserve"> v roce 202</w:t>
      </w:r>
      <w:r w:rsidR="00E64259">
        <w:rPr>
          <w:rFonts w:cs="Arial"/>
          <w:b/>
          <w:i/>
          <w:color w:val="000000" w:themeColor="text1"/>
        </w:rPr>
        <w:t>5</w:t>
      </w:r>
    </w:p>
    <w:tbl>
      <w:tblPr>
        <w:tblpPr w:leftFromText="141" w:rightFromText="141" w:vertAnchor="text" w:horzAnchor="margin" w:tblpY="41"/>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99"/>
        <w:gridCol w:w="3108"/>
        <w:gridCol w:w="1487"/>
        <w:gridCol w:w="1411"/>
        <w:gridCol w:w="1252"/>
      </w:tblGrid>
      <w:tr w:rsidR="00343D7C" w:rsidRPr="00E64259" w14:paraId="65597E1B" w14:textId="77777777" w:rsidTr="003D3A76">
        <w:trPr>
          <w:trHeight w:val="20"/>
        </w:trPr>
        <w:tc>
          <w:tcPr>
            <w:tcW w:w="1203" w:type="pct"/>
            <w:vMerge w:val="restart"/>
            <w:shd w:val="clear" w:color="auto" w:fill="BFBFBF"/>
            <w:noWrap/>
            <w:vAlign w:val="center"/>
          </w:tcPr>
          <w:p w14:paraId="7004D7D7" w14:textId="77777777" w:rsidR="002B1584" w:rsidRPr="00E64259" w:rsidRDefault="002B1584" w:rsidP="007C4955">
            <w:pPr>
              <w:contextualSpacing/>
              <w:jc w:val="center"/>
              <w:rPr>
                <w:rFonts w:cs="Arial"/>
                <w:b/>
                <w:color w:val="000000" w:themeColor="text1"/>
                <w:sz w:val="18"/>
                <w:szCs w:val="18"/>
              </w:rPr>
            </w:pPr>
            <w:r w:rsidRPr="00E64259">
              <w:rPr>
                <w:rFonts w:cs="Arial"/>
                <w:b/>
                <w:color w:val="000000" w:themeColor="text1"/>
                <w:sz w:val="18"/>
                <w:szCs w:val="18"/>
              </w:rPr>
              <w:t>Žadatel</w:t>
            </w:r>
          </w:p>
        </w:tc>
        <w:tc>
          <w:tcPr>
            <w:tcW w:w="1626" w:type="pct"/>
            <w:vMerge w:val="restart"/>
            <w:shd w:val="clear" w:color="auto" w:fill="BFBFBF"/>
            <w:noWrap/>
            <w:vAlign w:val="center"/>
          </w:tcPr>
          <w:p w14:paraId="04D93497" w14:textId="77777777" w:rsidR="002B1584" w:rsidRPr="00E64259" w:rsidRDefault="002B1584" w:rsidP="007C4955">
            <w:pPr>
              <w:contextualSpacing/>
              <w:jc w:val="center"/>
              <w:rPr>
                <w:rFonts w:cs="Arial"/>
                <w:b/>
                <w:color w:val="000000" w:themeColor="text1"/>
                <w:sz w:val="18"/>
                <w:szCs w:val="18"/>
              </w:rPr>
            </w:pPr>
            <w:r w:rsidRPr="00E64259">
              <w:rPr>
                <w:rFonts w:cs="Arial"/>
                <w:b/>
                <w:color w:val="000000" w:themeColor="text1"/>
                <w:sz w:val="18"/>
                <w:szCs w:val="18"/>
              </w:rPr>
              <w:t>Název akce</w:t>
            </w:r>
          </w:p>
        </w:tc>
        <w:tc>
          <w:tcPr>
            <w:tcW w:w="778" w:type="pct"/>
            <w:vMerge w:val="restart"/>
            <w:shd w:val="clear" w:color="auto" w:fill="BFBFBF"/>
            <w:noWrap/>
            <w:vAlign w:val="center"/>
          </w:tcPr>
          <w:p w14:paraId="1BC34479" w14:textId="77777777" w:rsidR="002B1584" w:rsidRPr="00E64259" w:rsidRDefault="002B1584" w:rsidP="007C4955">
            <w:pPr>
              <w:contextualSpacing/>
              <w:jc w:val="center"/>
              <w:rPr>
                <w:rFonts w:cs="Arial"/>
                <w:b/>
                <w:color w:val="000000" w:themeColor="text1"/>
                <w:sz w:val="18"/>
                <w:szCs w:val="18"/>
              </w:rPr>
            </w:pPr>
            <w:r w:rsidRPr="00E64259">
              <w:rPr>
                <w:rFonts w:cs="Arial"/>
                <w:b/>
                <w:color w:val="000000" w:themeColor="text1"/>
                <w:sz w:val="18"/>
                <w:szCs w:val="18"/>
              </w:rPr>
              <w:t>Termín realizace</w:t>
            </w:r>
          </w:p>
        </w:tc>
        <w:tc>
          <w:tcPr>
            <w:tcW w:w="738" w:type="pct"/>
            <w:shd w:val="clear" w:color="auto" w:fill="BFBFBF"/>
            <w:noWrap/>
            <w:vAlign w:val="center"/>
          </w:tcPr>
          <w:p w14:paraId="2D26919A" w14:textId="77777777" w:rsidR="002B1584" w:rsidRPr="00E64259" w:rsidRDefault="002B1584" w:rsidP="007C4955">
            <w:pPr>
              <w:contextualSpacing/>
              <w:jc w:val="center"/>
              <w:rPr>
                <w:rFonts w:cs="Arial"/>
                <w:b/>
                <w:color w:val="000000" w:themeColor="text1"/>
                <w:sz w:val="18"/>
                <w:szCs w:val="18"/>
              </w:rPr>
            </w:pPr>
            <w:r w:rsidRPr="00E64259">
              <w:rPr>
                <w:rFonts w:cs="Arial"/>
                <w:b/>
                <w:color w:val="000000" w:themeColor="text1"/>
                <w:sz w:val="18"/>
                <w:szCs w:val="18"/>
              </w:rPr>
              <w:t>Celkové náklady</w:t>
            </w:r>
          </w:p>
        </w:tc>
        <w:tc>
          <w:tcPr>
            <w:tcW w:w="655" w:type="pct"/>
            <w:shd w:val="clear" w:color="auto" w:fill="BFBFBF"/>
            <w:noWrap/>
            <w:vAlign w:val="center"/>
          </w:tcPr>
          <w:p w14:paraId="3BAC8AE6" w14:textId="0DD651FB" w:rsidR="002B1584" w:rsidRPr="00E64259" w:rsidRDefault="002B1584" w:rsidP="007C4955">
            <w:pPr>
              <w:contextualSpacing/>
              <w:jc w:val="center"/>
              <w:rPr>
                <w:rFonts w:cs="Arial"/>
                <w:b/>
                <w:color w:val="000000" w:themeColor="text1"/>
                <w:sz w:val="18"/>
                <w:szCs w:val="18"/>
              </w:rPr>
            </w:pPr>
            <w:r w:rsidRPr="00E64259">
              <w:rPr>
                <w:rFonts w:cs="Arial"/>
                <w:b/>
                <w:color w:val="000000" w:themeColor="text1"/>
                <w:sz w:val="18"/>
                <w:szCs w:val="18"/>
              </w:rPr>
              <w:t xml:space="preserve">Dotace v roce </w:t>
            </w:r>
            <w:r w:rsidR="007823A8" w:rsidRPr="00E64259">
              <w:rPr>
                <w:rFonts w:cs="Arial"/>
                <w:b/>
                <w:color w:val="000000" w:themeColor="text1"/>
                <w:sz w:val="18"/>
                <w:szCs w:val="18"/>
              </w:rPr>
              <w:t>202</w:t>
            </w:r>
            <w:r w:rsidR="00E64259">
              <w:rPr>
                <w:rFonts w:cs="Arial"/>
                <w:b/>
                <w:color w:val="000000" w:themeColor="text1"/>
                <w:sz w:val="18"/>
                <w:szCs w:val="18"/>
              </w:rPr>
              <w:t>5</w:t>
            </w:r>
            <w:r w:rsidRPr="00E64259">
              <w:rPr>
                <w:rFonts w:cs="Arial"/>
                <w:b/>
                <w:color w:val="000000" w:themeColor="text1"/>
                <w:sz w:val="18"/>
                <w:szCs w:val="18"/>
              </w:rPr>
              <w:t xml:space="preserve"> </w:t>
            </w:r>
          </w:p>
        </w:tc>
      </w:tr>
      <w:tr w:rsidR="00343D7C" w:rsidRPr="00E64259" w14:paraId="66AF5521" w14:textId="77777777" w:rsidTr="002B1584">
        <w:trPr>
          <w:trHeight w:val="20"/>
        </w:trPr>
        <w:tc>
          <w:tcPr>
            <w:tcW w:w="1203" w:type="pct"/>
            <w:vMerge/>
            <w:shd w:val="clear" w:color="auto" w:fill="BFBFBF"/>
            <w:noWrap/>
            <w:vAlign w:val="center"/>
          </w:tcPr>
          <w:p w14:paraId="3547C8DF" w14:textId="77777777" w:rsidR="002B1584" w:rsidRPr="00E64259" w:rsidRDefault="002B1584" w:rsidP="007C4955">
            <w:pPr>
              <w:contextualSpacing/>
              <w:jc w:val="center"/>
              <w:rPr>
                <w:rFonts w:cs="Arial"/>
                <w:b/>
                <w:color w:val="000000" w:themeColor="text1"/>
                <w:sz w:val="18"/>
                <w:szCs w:val="18"/>
              </w:rPr>
            </w:pPr>
          </w:p>
        </w:tc>
        <w:tc>
          <w:tcPr>
            <w:tcW w:w="1626" w:type="pct"/>
            <w:vMerge/>
            <w:shd w:val="clear" w:color="auto" w:fill="BFBFBF"/>
            <w:noWrap/>
            <w:vAlign w:val="center"/>
          </w:tcPr>
          <w:p w14:paraId="1DF1DE8B" w14:textId="77777777" w:rsidR="002B1584" w:rsidRPr="00E64259" w:rsidRDefault="002B1584" w:rsidP="007C4955">
            <w:pPr>
              <w:contextualSpacing/>
              <w:jc w:val="center"/>
              <w:rPr>
                <w:rFonts w:cs="Arial"/>
                <w:b/>
                <w:color w:val="000000" w:themeColor="text1"/>
                <w:sz w:val="18"/>
                <w:szCs w:val="18"/>
              </w:rPr>
            </w:pPr>
          </w:p>
        </w:tc>
        <w:tc>
          <w:tcPr>
            <w:tcW w:w="778" w:type="pct"/>
            <w:vMerge/>
            <w:shd w:val="clear" w:color="auto" w:fill="BFBFBF"/>
            <w:noWrap/>
            <w:vAlign w:val="center"/>
          </w:tcPr>
          <w:p w14:paraId="62F33191" w14:textId="77777777" w:rsidR="002B1584" w:rsidRPr="00E64259" w:rsidRDefault="002B1584" w:rsidP="007C4955">
            <w:pPr>
              <w:contextualSpacing/>
              <w:jc w:val="center"/>
              <w:rPr>
                <w:rFonts w:cs="Arial"/>
                <w:b/>
                <w:color w:val="000000" w:themeColor="text1"/>
                <w:sz w:val="18"/>
                <w:szCs w:val="18"/>
              </w:rPr>
            </w:pPr>
          </w:p>
        </w:tc>
        <w:tc>
          <w:tcPr>
            <w:tcW w:w="1393" w:type="pct"/>
            <w:gridSpan w:val="2"/>
            <w:shd w:val="clear" w:color="auto" w:fill="BFBFBF"/>
            <w:noWrap/>
            <w:vAlign w:val="center"/>
          </w:tcPr>
          <w:p w14:paraId="26C174EC" w14:textId="77777777" w:rsidR="002B1584" w:rsidRPr="00E64259" w:rsidRDefault="002B1584" w:rsidP="007C4955">
            <w:pPr>
              <w:contextualSpacing/>
              <w:jc w:val="center"/>
              <w:rPr>
                <w:rFonts w:cs="Arial"/>
                <w:b/>
                <w:color w:val="000000" w:themeColor="text1"/>
                <w:sz w:val="18"/>
                <w:szCs w:val="18"/>
              </w:rPr>
            </w:pPr>
            <w:r w:rsidRPr="00E64259">
              <w:rPr>
                <w:rFonts w:cs="Arial"/>
                <w:b/>
                <w:color w:val="000000" w:themeColor="text1"/>
                <w:sz w:val="18"/>
                <w:szCs w:val="18"/>
              </w:rPr>
              <w:t>mil. Kč</w:t>
            </w:r>
          </w:p>
        </w:tc>
      </w:tr>
      <w:tr w:rsidR="00E64259" w:rsidRPr="00E64259" w14:paraId="0F0D2C86" w14:textId="77777777" w:rsidTr="00EC1043">
        <w:trPr>
          <w:trHeight w:val="20"/>
        </w:trPr>
        <w:tc>
          <w:tcPr>
            <w:tcW w:w="1203" w:type="pct"/>
            <w:shd w:val="clear" w:color="auto" w:fill="BFBFBF"/>
            <w:noWrap/>
            <w:vAlign w:val="center"/>
          </w:tcPr>
          <w:p w14:paraId="6F61B332" w14:textId="07BAF5F6" w:rsidR="00E64259" w:rsidRPr="00E64259" w:rsidRDefault="00E64259" w:rsidP="00E64259">
            <w:pPr>
              <w:contextualSpacing/>
              <w:rPr>
                <w:rFonts w:eastAsia="Times New Roman"/>
                <w:color w:val="000000" w:themeColor="text1"/>
                <w:sz w:val="18"/>
                <w:szCs w:val="18"/>
              </w:rPr>
            </w:pPr>
            <w:proofErr w:type="gramStart"/>
            <w:r w:rsidRPr="00E64259">
              <w:rPr>
                <w:rFonts w:eastAsia="Times New Roman"/>
                <w:color w:val="000000" w:themeColor="text1"/>
                <w:sz w:val="18"/>
                <w:szCs w:val="18"/>
              </w:rPr>
              <w:t>AGROWALD - školka</w:t>
            </w:r>
            <w:proofErr w:type="gramEnd"/>
            <w:r w:rsidRPr="00E64259">
              <w:rPr>
                <w:rFonts w:eastAsia="Times New Roman"/>
                <w:color w:val="000000" w:themeColor="text1"/>
                <w:sz w:val="18"/>
                <w:szCs w:val="18"/>
              </w:rPr>
              <w:t xml:space="preserve"> Červený dvůr s.r.o.</w:t>
            </w:r>
          </w:p>
        </w:tc>
        <w:tc>
          <w:tcPr>
            <w:tcW w:w="1626" w:type="pct"/>
            <w:shd w:val="clear" w:color="auto" w:fill="FFFFFF"/>
            <w:vAlign w:val="center"/>
          </w:tcPr>
          <w:p w14:paraId="122467B3" w14:textId="3B621B55" w:rsidR="00E64259" w:rsidRPr="00E64259" w:rsidRDefault="00E64259" w:rsidP="00E64259">
            <w:pPr>
              <w:contextualSpacing/>
              <w:jc w:val="left"/>
              <w:rPr>
                <w:rFonts w:eastAsia="Times New Roman"/>
                <w:color w:val="000000" w:themeColor="text1"/>
                <w:sz w:val="18"/>
                <w:szCs w:val="18"/>
              </w:rPr>
            </w:pPr>
            <w:r w:rsidRPr="00E64259">
              <w:rPr>
                <w:rFonts w:eastAsia="Times New Roman"/>
                <w:color w:val="000000" w:themeColor="text1"/>
                <w:sz w:val="18"/>
                <w:szCs w:val="18"/>
              </w:rPr>
              <w:t>Rekonstrukce čerpací stanice lesní školky</w:t>
            </w:r>
          </w:p>
        </w:tc>
        <w:tc>
          <w:tcPr>
            <w:tcW w:w="778" w:type="pct"/>
            <w:shd w:val="clear" w:color="auto" w:fill="FFFFFF"/>
            <w:noWrap/>
            <w:vAlign w:val="center"/>
          </w:tcPr>
          <w:p w14:paraId="19AAEC1C" w14:textId="6FB737A8" w:rsidR="00E64259" w:rsidRPr="00E64259" w:rsidRDefault="00E64259" w:rsidP="00E64259">
            <w:pPr>
              <w:ind w:left="74"/>
              <w:contextualSpacing/>
              <w:rPr>
                <w:rFonts w:eastAsia="Times New Roman"/>
                <w:color w:val="000000" w:themeColor="text1"/>
                <w:sz w:val="18"/>
                <w:szCs w:val="18"/>
              </w:rPr>
            </w:pPr>
            <w:r w:rsidRPr="00E64259">
              <w:rPr>
                <w:rFonts w:eastAsia="Times New Roman"/>
                <w:color w:val="000000" w:themeColor="text1"/>
                <w:sz w:val="18"/>
                <w:szCs w:val="18"/>
              </w:rPr>
              <w:t>10/25-12/25</w:t>
            </w:r>
          </w:p>
        </w:tc>
        <w:tc>
          <w:tcPr>
            <w:tcW w:w="738" w:type="pct"/>
            <w:noWrap/>
            <w:vAlign w:val="center"/>
          </w:tcPr>
          <w:p w14:paraId="4D30BCD9" w14:textId="225742BE" w:rsidR="00E64259" w:rsidRPr="00E64259" w:rsidRDefault="00E64259" w:rsidP="00E64259">
            <w:pPr>
              <w:ind w:right="101"/>
              <w:contextualSpacing/>
              <w:jc w:val="center"/>
              <w:rPr>
                <w:rFonts w:eastAsia="Times New Roman"/>
                <w:color w:val="000000" w:themeColor="text1"/>
                <w:sz w:val="18"/>
                <w:szCs w:val="18"/>
              </w:rPr>
            </w:pPr>
            <w:r w:rsidRPr="00E64259">
              <w:rPr>
                <w:rFonts w:eastAsia="Times New Roman"/>
                <w:color w:val="000000" w:themeColor="text1"/>
                <w:sz w:val="18"/>
                <w:szCs w:val="18"/>
              </w:rPr>
              <w:t>1,732</w:t>
            </w:r>
          </w:p>
        </w:tc>
        <w:tc>
          <w:tcPr>
            <w:tcW w:w="655" w:type="pct"/>
            <w:noWrap/>
            <w:vAlign w:val="center"/>
          </w:tcPr>
          <w:p w14:paraId="61C9A008" w14:textId="3621AAF1" w:rsidR="00E64259" w:rsidRPr="00E64259" w:rsidRDefault="00E64259" w:rsidP="00E64259">
            <w:pPr>
              <w:ind w:right="73"/>
              <w:contextualSpacing/>
              <w:jc w:val="center"/>
              <w:rPr>
                <w:rFonts w:eastAsia="Times New Roman"/>
                <w:color w:val="000000" w:themeColor="text1"/>
                <w:sz w:val="18"/>
                <w:szCs w:val="18"/>
              </w:rPr>
            </w:pPr>
            <w:r w:rsidRPr="00E64259">
              <w:rPr>
                <w:rFonts w:eastAsia="Times New Roman"/>
                <w:color w:val="000000" w:themeColor="text1"/>
                <w:sz w:val="18"/>
                <w:szCs w:val="18"/>
              </w:rPr>
              <w:t>0,770</w:t>
            </w:r>
          </w:p>
        </w:tc>
      </w:tr>
      <w:tr w:rsidR="00E64259" w:rsidRPr="00E64259" w14:paraId="5A745670" w14:textId="77777777" w:rsidTr="00EC1043">
        <w:trPr>
          <w:trHeight w:val="20"/>
        </w:trPr>
        <w:tc>
          <w:tcPr>
            <w:tcW w:w="1203" w:type="pct"/>
            <w:shd w:val="clear" w:color="auto" w:fill="BFBFBF"/>
            <w:noWrap/>
            <w:vAlign w:val="center"/>
          </w:tcPr>
          <w:p w14:paraId="0771CD73" w14:textId="6D7DD12B" w:rsidR="00E64259" w:rsidRPr="00E64259" w:rsidRDefault="00E64259" w:rsidP="00E64259">
            <w:pPr>
              <w:contextualSpacing/>
              <w:rPr>
                <w:rFonts w:eastAsia="Times New Roman"/>
                <w:color w:val="000000" w:themeColor="text1"/>
                <w:sz w:val="18"/>
                <w:szCs w:val="18"/>
              </w:rPr>
            </w:pPr>
            <w:r w:rsidRPr="00E64259">
              <w:rPr>
                <w:rFonts w:eastAsia="Times New Roman"/>
                <w:color w:val="000000" w:themeColor="text1"/>
                <w:sz w:val="18"/>
                <w:szCs w:val="18"/>
              </w:rPr>
              <w:t>Antonín Alt</w:t>
            </w:r>
          </w:p>
        </w:tc>
        <w:tc>
          <w:tcPr>
            <w:tcW w:w="1626" w:type="pct"/>
            <w:shd w:val="clear" w:color="auto" w:fill="FFFFFF"/>
            <w:vAlign w:val="center"/>
          </w:tcPr>
          <w:p w14:paraId="33E3742B" w14:textId="1A4A222B" w:rsidR="00E64259" w:rsidRPr="00E64259" w:rsidRDefault="00E64259" w:rsidP="00E64259">
            <w:pPr>
              <w:contextualSpacing/>
              <w:jc w:val="left"/>
              <w:rPr>
                <w:rFonts w:eastAsia="Times New Roman"/>
                <w:color w:val="000000" w:themeColor="text1"/>
                <w:sz w:val="18"/>
                <w:szCs w:val="18"/>
              </w:rPr>
            </w:pPr>
            <w:r w:rsidRPr="00E64259">
              <w:rPr>
                <w:rFonts w:eastAsia="Times New Roman"/>
                <w:color w:val="000000" w:themeColor="text1"/>
                <w:sz w:val="18"/>
                <w:szCs w:val="18"/>
              </w:rPr>
              <w:t>Rekonstrukce čerpací stanice Račice a nákup 2 ks pásových zavlažovačů</w:t>
            </w:r>
          </w:p>
        </w:tc>
        <w:tc>
          <w:tcPr>
            <w:tcW w:w="778" w:type="pct"/>
            <w:shd w:val="clear" w:color="auto" w:fill="FFFFFF"/>
            <w:noWrap/>
            <w:vAlign w:val="center"/>
          </w:tcPr>
          <w:p w14:paraId="37EC62B9" w14:textId="0824B8FD" w:rsidR="00E64259" w:rsidRPr="00E64259" w:rsidRDefault="00E64259" w:rsidP="00E64259">
            <w:pPr>
              <w:ind w:left="74"/>
              <w:contextualSpacing/>
              <w:rPr>
                <w:rFonts w:eastAsia="Times New Roman"/>
                <w:color w:val="000000" w:themeColor="text1"/>
                <w:sz w:val="18"/>
                <w:szCs w:val="18"/>
              </w:rPr>
            </w:pPr>
            <w:r w:rsidRPr="00E64259">
              <w:rPr>
                <w:rFonts w:eastAsia="Times New Roman"/>
                <w:color w:val="000000" w:themeColor="text1"/>
                <w:sz w:val="18"/>
                <w:szCs w:val="18"/>
              </w:rPr>
              <w:t>03/25-10/25</w:t>
            </w:r>
          </w:p>
        </w:tc>
        <w:tc>
          <w:tcPr>
            <w:tcW w:w="738" w:type="pct"/>
            <w:noWrap/>
            <w:vAlign w:val="center"/>
          </w:tcPr>
          <w:p w14:paraId="02942987" w14:textId="470C1910" w:rsidR="00E64259" w:rsidRPr="00E64259" w:rsidRDefault="00E64259" w:rsidP="00E64259">
            <w:pPr>
              <w:ind w:right="101"/>
              <w:contextualSpacing/>
              <w:jc w:val="center"/>
              <w:rPr>
                <w:rFonts w:eastAsia="Times New Roman"/>
                <w:color w:val="000000" w:themeColor="text1"/>
                <w:sz w:val="18"/>
                <w:szCs w:val="18"/>
              </w:rPr>
            </w:pPr>
            <w:r w:rsidRPr="00E64259">
              <w:rPr>
                <w:rFonts w:eastAsia="Times New Roman"/>
                <w:color w:val="000000" w:themeColor="text1"/>
                <w:sz w:val="18"/>
                <w:szCs w:val="18"/>
              </w:rPr>
              <w:t>1,894</w:t>
            </w:r>
          </w:p>
        </w:tc>
        <w:tc>
          <w:tcPr>
            <w:tcW w:w="655" w:type="pct"/>
            <w:noWrap/>
            <w:vAlign w:val="center"/>
          </w:tcPr>
          <w:p w14:paraId="0909DD1D" w14:textId="0EDF14C9" w:rsidR="00E64259" w:rsidRPr="00E64259" w:rsidRDefault="00E64259" w:rsidP="00E64259">
            <w:pPr>
              <w:ind w:right="73"/>
              <w:contextualSpacing/>
              <w:jc w:val="center"/>
              <w:rPr>
                <w:rFonts w:eastAsia="Times New Roman"/>
                <w:color w:val="000000" w:themeColor="text1"/>
                <w:sz w:val="18"/>
                <w:szCs w:val="18"/>
              </w:rPr>
            </w:pPr>
            <w:r w:rsidRPr="00E64259">
              <w:rPr>
                <w:rFonts w:eastAsia="Times New Roman"/>
                <w:color w:val="000000" w:themeColor="text1"/>
                <w:sz w:val="18"/>
                <w:szCs w:val="18"/>
              </w:rPr>
              <w:t>0,947</w:t>
            </w:r>
          </w:p>
        </w:tc>
      </w:tr>
      <w:tr w:rsidR="00E64259" w:rsidRPr="00E64259" w14:paraId="1B00FF68" w14:textId="77777777" w:rsidTr="00EC1043">
        <w:trPr>
          <w:trHeight w:val="20"/>
        </w:trPr>
        <w:tc>
          <w:tcPr>
            <w:tcW w:w="1203" w:type="pct"/>
            <w:shd w:val="clear" w:color="auto" w:fill="BFBFBF"/>
            <w:noWrap/>
            <w:vAlign w:val="center"/>
          </w:tcPr>
          <w:p w14:paraId="3C24DA4C" w14:textId="2171248B" w:rsidR="00E64259" w:rsidRPr="00E64259" w:rsidRDefault="00E64259" w:rsidP="00E64259">
            <w:pPr>
              <w:contextualSpacing/>
              <w:rPr>
                <w:rFonts w:eastAsia="Times New Roman"/>
                <w:color w:val="000000" w:themeColor="text1"/>
                <w:sz w:val="18"/>
                <w:szCs w:val="18"/>
              </w:rPr>
            </w:pPr>
            <w:r w:rsidRPr="00E64259">
              <w:rPr>
                <w:rFonts w:eastAsia="Times New Roman"/>
                <w:color w:val="000000" w:themeColor="text1"/>
                <w:sz w:val="18"/>
                <w:szCs w:val="18"/>
              </w:rPr>
              <w:t>Závlahy Dyjákovice s.r.o.</w:t>
            </w:r>
          </w:p>
        </w:tc>
        <w:tc>
          <w:tcPr>
            <w:tcW w:w="1626" w:type="pct"/>
            <w:shd w:val="clear" w:color="auto" w:fill="FFFFFF"/>
            <w:vAlign w:val="center"/>
          </w:tcPr>
          <w:p w14:paraId="6CD77B6F" w14:textId="15B9924C" w:rsidR="00E64259" w:rsidRPr="00E64259" w:rsidRDefault="00E64259" w:rsidP="00E64259">
            <w:pPr>
              <w:contextualSpacing/>
              <w:rPr>
                <w:rFonts w:eastAsia="Times New Roman"/>
                <w:color w:val="000000" w:themeColor="text1"/>
                <w:sz w:val="18"/>
                <w:szCs w:val="18"/>
              </w:rPr>
            </w:pPr>
            <w:r w:rsidRPr="00E64259">
              <w:rPr>
                <w:rFonts w:eastAsia="Times New Roman"/>
                <w:color w:val="000000" w:themeColor="text1"/>
                <w:sz w:val="18"/>
                <w:szCs w:val="18"/>
              </w:rPr>
              <w:t>Modernizace závlahové soustavy Krhovice-Hevlín II/1</w:t>
            </w:r>
          </w:p>
        </w:tc>
        <w:tc>
          <w:tcPr>
            <w:tcW w:w="778" w:type="pct"/>
            <w:shd w:val="clear" w:color="auto" w:fill="FFFFFF"/>
            <w:noWrap/>
            <w:vAlign w:val="center"/>
          </w:tcPr>
          <w:p w14:paraId="21A74BC2" w14:textId="0375FDA4" w:rsidR="00E64259" w:rsidRPr="00E64259" w:rsidRDefault="00E64259" w:rsidP="00E64259">
            <w:pPr>
              <w:ind w:left="74"/>
              <w:contextualSpacing/>
              <w:rPr>
                <w:rFonts w:eastAsia="Times New Roman"/>
                <w:color w:val="000000" w:themeColor="text1"/>
                <w:sz w:val="18"/>
                <w:szCs w:val="18"/>
              </w:rPr>
            </w:pPr>
            <w:r w:rsidRPr="00E64259">
              <w:rPr>
                <w:rFonts w:eastAsia="Times New Roman"/>
                <w:color w:val="000000" w:themeColor="text1"/>
                <w:sz w:val="18"/>
                <w:szCs w:val="18"/>
              </w:rPr>
              <w:t>03/25-6/26</w:t>
            </w:r>
          </w:p>
        </w:tc>
        <w:tc>
          <w:tcPr>
            <w:tcW w:w="738" w:type="pct"/>
            <w:noWrap/>
            <w:vAlign w:val="center"/>
          </w:tcPr>
          <w:p w14:paraId="2A1223D3" w14:textId="1933DC5E" w:rsidR="00E64259" w:rsidRPr="00E64259" w:rsidRDefault="00E64259" w:rsidP="00E64259">
            <w:pPr>
              <w:ind w:right="101"/>
              <w:contextualSpacing/>
              <w:jc w:val="center"/>
              <w:rPr>
                <w:rFonts w:eastAsia="Times New Roman"/>
                <w:color w:val="000000" w:themeColor="text1"/>
                <w:sz w:val="18"/>
                <w:szCs w:val="18"/>
              </w:rPr>
            </w:pPr>
            <w:r w:rsidRPr="00E64259">
              <w:rPr>
                <w:rFonts w:eastAsia="Times New Roman"/>
                <w:color w:val="000000" w:themeColor="text1"/>
                <w:sz w:val="18"/>
                <w:szCs w:val="18"/>
              </w:rPr>
              <w:t>5,610</w:t>
            </w:r>
          </w:p>
        </w:tc>
        <w:tc>
          <w:tcPr>
            <w:tcW w:w="655" w:type="pct"/>
            <w:noWrap/>
            <w:vAlign w:val="center"/>
          </w:tcPr>
          <w:p w14:paraId="14F52108" w14:textId="2920BB87" w:rsidR="00E64259" w:rsidRPr="00E64259" w:rsidRDefault="00E64259" w:rsidP="00E64259">
            <w:pPr>
              <w:ind w:right="73"/>
              <w:contextualSpacing/>
              <w:jc w:val="center"/>
              <w:rPr>
                <w:rFonts w:eastAsia="Times New Roman"/>
                <w:color w:val="000000" w:themeColor="text1"/>
                <w:sz w:val="18"/>
                <w:szCs w:val="18"/>
              </w:rPr>
            </w:pPr>
            <w:r w:rsidRPr="00E64259">
              <w:rPr>
                <w:rFonts w:eastAsia="Times New Roman"/>
                <w:color w:val="000000" w:themeColor="text1"/>
                <w:sz w:val="18"/>
                <w:szCs w:val="18"/>
              </w:rPr>
              <w:t>2,805</w:t>
            </w:r>
          </w:p>
        </w:tc>
      </w:tr>
    </w:tbl>
    <w:p w14:paraId="105307E9" w14:textId="77777777" w:rsidR="002B1584" w:rsidRPr="00E64259" w:rsidRDefault="002B1584" w:rsidP="007C4955">
      <w:pPr>
        <w:contextualSpacing/>
        <w:rPr>
          <w:rFonts w:cs="Arial"/>
          <w:i/>
          <w:color w:val="000000" w:themeColor="text1"/>
          <w:sz w:val="20"/>
          <w:szCs w:val="20"/>
        </w:rPr>
      </w:pPr>
      <w:r w:rsidRPr="00E64259">
        <w:rPr>
          <w:rFonts w:cs="Arial"/>
          <w:i/>
          <w:color w:val="000000" w:themeColor="text1"/>
          <w:sz w:val="20"/>
          <w:szCs w:val="20"/>
        </w:rPr>
        <w:t>Pramen: MZe</w:t>
      </w:r>
    </w:p>
    <w:p w14:paraId="5C6321ED" w14:textId="77777777" w:rsidR="006D4F5F" w:rsidRPr="00104F7D" w:rsidRDefault="006D4F5F" w:rsidP="007C4955">
      <w:pPr>
        <w:contextualSpacing/>
        <w:rPr>
          <w:rFonts w:cs="Arial"/>
          <w:b/>
          <w:i/>
          <w:color w:val="FF0000"/>
          <w:highlight w:val="yellow"/>
        </w:rPr>
      </w:pPr>
    </w:p>
    <w:p w14:paraId="2DCE77C1" w14:textId="77777777" w:rsidR="005D684B" w:rsidRPr="0032262D" w:rsidRDefault="005D684B" w:rsidP="005D684B">
      <w:r w:rsidRPr="00E92A17">
        <w:rPr>
          <w:b/>
        </w:rPr>
        <w:t>V roce 20</w:t>
      </w:r>
      <w:r>
        <w:rPr>
          <w:b/>
        </w:rPr>
        <w:t>25</w:t>
      </w:r>
      <w:r w:rsidRPr="00E92A17">
        <w:rPr>
          <w:b/>
        </w:rPr>
        <w:t xml:space="preserve"> na Ministerstvu zemědělství</w:t>
      </w:r>
      <w:r>
        <w:rPr>
          <w:b/>
        </w:rPr>
        <w:t xml:space="preserve"> pokračoval program 129 420 resp. podprogram 129 424 „</w:t>
      </w:r>
      <w:proofErr w:type="gramStart"/>
      <w:r w:rsidRPr="00165C01">
        <w:rPr>
          <w:b/>
        </w:rPr>
        <w:t>Skalička - vypořádání</w:t>
      </w:r>
      <w:proofErr w:type="gramEnd"/>
      <w:r w:rsidRPr="00165C01">
        <w:rPr>
          <w:b/>
        </w:rPr>
        <w:t xml:space="preserve"> práv k nemovitým věcem dotčeným plánovanou realizací vodního díla – II. etapa</w:t>
      </w:r>
      <w:r>
        <w:rPr>
          <w:b/>
        </w:rPr>
        <w:t>“, určený k financování vypořádání vlastnických práv pro účely realizace VD Skalička. V rámci podprogramu 129 424 byly v roce 2025 čerpány finanční prostředky ve výši 65,229 mil. Kč.</w:t>
      </w:r>
    </w:p>
    <w:p w14:paraId="64D4EFCB" w14:textId="77777777" w:rsidR="005D684B" w:rsidRPr="0032262D" w:rsidRDefault="005D684B" w:rsidP="005D684B"/>
    <w:p w14:paraId="58001FED" w14:textId="77777777" w:rsidR="005D684B" w:rsidRDefault="005D684B" w:rsidP="005D684B">
      <w:r w:rsidRPr="0032262D">
        <w:t xml:space="preserve">Cílem </w:t>
      </w:r>
      <w:r>
        <w:t>podprogramu 129 424</w:t>
      </w:r>
      <w:r w:rsidRPr="0032262D">
        <w:t xml:space="preserve"> je realizace úkolu z usnesení vlády ze dne 15. </w:t>
      </w:r>
      <w:r>
        <w:t>říj</w:t>
      </w:r>
      <w:r w:rsidRPr="0032262D">
        <w:t>na 20</w:t>
      </w:r>
      <w:r>
        <w:t>25</w:t>
      </w:r>
      <w:r w:rsidRPr="0032262D">
        <w:t xml:space="preserve"> </w:t>
      </w:r>
      <w:r>
        <w:br/>
      </w:r>
      <w:r w:rsidRPr="0032262D">
        <w:t xml:space="preserve">č. </w:t>
      </w:r>
      <w:r>
        <w:t>782</w:t>
      </w:r>
      <w:r w:rsidRPr="0032262D">
        <w:t xml:space="preserve">, kterým byly schváleny Zásady pro vypořádání práv k nemovitým věcem dotčeným plánovanou realizací vodního díla </w:t>
      </w:r>
      <w:r>
        <w:t>Skalička</w:t>
      </w:r>
      <w:r w:rsidRPr="0032262D">
        <w:t xml:space="preserve">. Hlavním účelem je provést vypořádání majetkoprávních vztahů všech vlastníků dotčených realizací budoucího vodního díla </w:t>
      </w:r>
      <w:r>
        <w:t xml:space="preserve">Skalička, </w:t>
      </w:r>
      <w:r w:rsidRPr="0032262D">
        <w:t>v souladu se schválenými motivačními náhradami</w:t>
      </w:r>
      <w:r>
        <w:t>,</w:t>
      </w:r>
      <w:r w:rsidRPr="0032262D">
        <w:t xml:space="preserve"> do roku 202</w:t>
      </w:r>
      <w:r>
        <w:t>8</w:t>
      </w:r>
      <w:r w:rsidRPr="0032262D">
        <w:t xml:space="preserve">. </w:t>
      </w:r>
    </w:p>
    <w:p w14:paraId="17D5B77E" w14:textId="77777777" w:rsidR="005D684B" w:rsidRDefault="005D684B" w:rsidP="005D684B"/>
    <w:p w14:paraId="7CED21EE" w14:textId="77777777" w:rsidR="005D684B" w:rsidRPr="0032262D" w:rsidRDefault="005D684B" w:rsidP="005D684B">
      <w:r>
        <w:t xml:space="preserve">Příjemcem dotace v rámci podprogramu </w:t>
      </w:r>
      <w:r w:rsidRPr="00F75F6A">
        <w:t>129 42</w:t>
      </w:r>
      <w:r>
        <w:t>4</w:t>
      </w:r>
      <w:r w:rsidRPr="00F75F6A">
        <w:t xml:space="preserve"> „</w:t>
      </w:r>
      <w:proofErr w:type="gramStart"/>
      <w:r w:rsidRPr="00165C01">
        <w:t>Skalička - vypořádání</w:t>
      </w:r>
      <w:proofErr w:type="gramEnd"/>
      <w:r w:rsidRPr="00165C01">
        <w:t xml:space="preserve"> práv k nemovitým věcem dotčeným plánovanou realizací vodního díla – II. etapa</w:t>
      </w:r>
      <w:r>
        <w:t xml:space="preserve">“, </w:t>
      </w:r>
      <w:r w:rsidRPr="0032262D">
        <w:t xml:space="preserve">je </w:t>
      </w:r>
      <w:r>
        <w:t xml:space="preserve">státní podnik </w:t>
      </w:r>
      <w:r w:rsidRPr="0032262D">
        <w:t>Povodí Moravy, s. p.</w:t>
      </w:r>
    </w:p>
    <w:p w14:paraId="303B9A67" w14:textId="77777777" w:rsidR="005D684B" w:rsidRPr="0032262D" w:rsidRDefault="005D684B" w:rsidP="005D684B"/>
    <w:p w14:paraId="799F2D78" w14:textId="77777777" w:rsidR="005D684B" w:rsidRDefault="005D684B" w:rsidP="005D684B">
      <w:r w:rsidRPr="0032262D">
        <w:t xml:space="preserve">Vodní dílo </w:t>
      </w:r>
      <w:r>
        <w:t>Skalička</w:t>
      </w:r>
      <w:r w:rsidRPr="0032262D">
        <w:t xml:space="preserve"> je klíčovým </w:t>
      </w:r>
      <w:r>
        <w:t>kapacitním protipovodňovým opatřením v povodí řek Bečvy</w:t>
      </w:r>
      <w:r w:rsidRPr="0032262D">
        <w:t>. Jedná se o jedno z nejdůležitějších opatření pro zmírnění následků klimatické změny v rámci České republiky.</w:t>
      </w:r>
    </w:p>
    <w:p w14:paraId="6AA03C71" w14:textId="77777777" w:rsidR="005D684B" w:rsidRDefault="005D684B" w:rsidP="005D684B">
      <w:pPr>
        <w:rPr>
          <w:b/>
          <w:bCs/>
        </w:rPr>
      </w:pPr>
    </w:p>
    <w:p w14:paraId="203BB1F7" w14:textId="77777777" w:rsidR="005D684B" w:rsidRPr="00F37733" w:rsidRDefault="005D684B" w:rsidP="005D684B">
      <w:pPr>
        <w:rPr>
          <w:b/>
        </w:rPr>
      </w:pPr>
      <w:r w:rsidRPr="00E92A17">
        <w:rPr>
          <w:b/>
        </w:rPr>
        <w:t>V roce 20</w:t>
      </w:r>
      <w:r>
        <w:rPr>
          <w:b/>
        </w:rPr>
        <w:t>25</w:t>
      </w:r>
      <w:r w:rsidRPr="00E92A17">
        <w:rPr>
          <w:b/>
        </w:rPr>
        <w:t xml:space="preserve"> na Ministerstvu zemědělství pokračoval p</w:t>
      </w:r>
      <w:r w:rsidRPr="0032262D">
        <w:rPr>
          <w:b/>
          <w:bCs/>
        </w:rPr>
        <w:t xml:space="preserve">rogram 129 340 „Vypořádání práv k nemovitým věcem dotčeným plánovanou realizací komplexního řešení sucha </w:t>
      </w:r>
      <w:r>
        <w:rPr>
          <w:b/>
          <w:bCs/>
        </w:rPr>
        <w:br/>
      </w:r>
      <w:r w:rsidRPr="0032262D">
        <w:rPr>
          <w:b/>
          <w:bCs/>
        </w:rPr>
        <w:t>na Rakovnicku“</w:t>
      </w:r>
      <w:r>
        <w:rPr>
          <w:b/>
          <w:bCs/>
        </w:rPr>
        <w:t xml:space="preserve"> </w:t>
      </w:r>
      <w:r w:rsidRPr="0032262D">
        <w:rPr>
          <w:b/>
          <w:bCs/>
        </w:rPr>
        <w:t>V rámci programu 129</w:t>
      </w:r>
      <w:r>
        <w:rPr>
          <w:b/>
          <w:bCs/>
        </w:rPr>
        <w:t> </w:t>
      </w:r>
      <w:r w:rsidRPr="0032262D">
        <w:rPr>
          <w:b/>
          <w:bCs/>
        </w:rPr>
        <w:t>340</w:t>
      </w:r>
      <w:r>
        <w:rPr>
          <w:b/>
          <w:bCs/>
        </w:rPr>
        <w:t xml:space="preserve"> byly</w:t>
      </w:r>
      <w:r w:rsidRPr="0032262D">
        <w:rPr>
          <w:b/>
          <w:bCs/>
        </w:rPr>
        <w:t xml:space="preserve"> v</w:t>
      </w:r>
      <w:r w:rsidRPr="0032262D">
        <w:rPr>
          <w:b/>
        </w:rPr>
        <w:t xml:space="preserve"> roce 202</w:t>
      </w:r>
      <w:r>
        <w:rPr>
          <w:b/>
        </w:rPr>
        <w:t>5</w:t>
      </w:r>
      <w:r w:rsidRPr="0032262D">
        <w:rPr>
          <w:b/>
        </w:rPr>
        <w:t xml:space="preserve"> čerpány</w:t>
      </w:r>
      <w:r>
        <w:rPr>
          <w:b/>
        </w:rPr>
        <w:t xml:space="preserve"> </w:t>
      </w:r>
      <w:r w:rsidRPr="0032262D">
        <w:rPr>
          <w:b/>
        </w:rPr>
        <w:t xml:space="preserve">finanční prostředky </w:t>
      </w:r>
      <w:r>
        <w:rPr>
          <w:b/>
        </w:rPr>
        <w:t>ve výši 19,528 mil. Kč</w:t>
      </w:r>
      <w:r w:rsidRPr="0032262D">
        <w:rPr>
          <w:b/>
        </w:rPr>
        <w:t>.</w:t>
      </w:r>
    </w:p>
    <w:p w14:paraId="2D270E53" w14:textId="77777777" w:rsidR="005D684B" w:rsidRPr="0032262D" w:rsidRDefault="005D684B" w:rsidP="005D684B"/>
    <w:p w14:paraId="4E5D4577" w14:textId="77777777" w:rsidR="005D684B" w:rsidRDefault="005D684B" w:rsidP="005D684B">
      <w:r w:rsidRPr="0032262D">
        <w:t>Cílem programu 129 3</w:t>
      </w:r>
      <w:r>
        <w:t>4</w:t>
      </w:r>
      <w:r w:rsidRPr="0032262D">
        <w:t xml:space="preserve">0 je realizace úkolu z </w:t>
      </w:r>
      <w:r>
        <w:t>u</w:t>
      </w:r>
      <w:r w:rsidRPr="0032262D">
        <w:t>snesení vlády ze dne 5. října 2020 č. 971</w:t>
      </w:r>
      <w:r>
        <w:t>, kterým</w:t>
      </w:r>
      <w:r w:rsidRPr="0032262D">
        <w:t xml:space="preserve"> byly schváleny Zásady pro vypořádání práv k nemovitým věcem dotčeným plánovanou realizací komplexního sucha na Rakovnicku v I. etapě a schváleno financování do úhrnné výše 485 mil. Kč v období let 2020 až 2025. V rámci první etapy jsou vypořádány nemovité věci dotčené realizací vodních děl Kryry, Senomaty a Šanov. </w:t>
      </w:r>
    </w:p>
    <w:p w14:paraId="6B3ED2B9" w14:textId="77777777" w:rsidR="005D684B" w:rsidRDefault="005D684B" w:rsidP="005D684B"/>
    <w:p w14:paraId="64270402" w14:textId="77777777" w:rsidR="005D684B" w:rsidRDefault="005D684B" w:rsidP="005D684B">
      <w:r w:rsidRPr="0032262D">
        <w:t xml:space="preserve">Program 129 340 je rozdělen na dva podprogramy, a to podprogram 129 342 „VD Kryry – vypořádání práv k nemovitým věcem dotčeným plánovanou realizací vodního díla“, </w:t>
      </w:r>
      <w:r>
        <w:br/>
      </w:r>
      <w:r w:rsidRPr="0032262D">
        <w:t>kde je příjemcem dotace Povodí Ohře, s. p., a dále podprogram 129 343 „Senomaty a Šanov – vypořádání práv k nemovitým věcem dotčeným plánovanou realizací vodních děl“, ve kterém je příjemcem dotace Povodí Vltavy, s. p.</w:t>
      </w:r>
      <w:r>
        <w:t xml:space="preserve"> </w:t>
      </w:r>
    </w:p>
    <w:p w14:paraId="47D1A3DB" w14:textId="77777777" w:rsidR="005D684B" w:rsidRDefault="005D684B" w:rsidP="005D684B"/>
    <w:p w14:paraId="5087EE4F" w14:textId="77777777" w:rsidR="005D684B" w:rsidRDefault="005D684B" w:rsidP="005D684B">
      <w:pPr>
        <w:rPr>
          <w:rFonts w:cs="Arial"/>
        </w:rPr>
      </w:pPr>
      <w:r>
        <w:t xml:space="preserve">Počátkem </w:t>
      </w:r>
      <w:r w:rsidRPr="006F3800">
        <w:t>roku 202</w:t>
      </w:r>
      <w:r>
        <w:t>3</w:t>
      </w:r>
      <w:r w:rsidRPr="006F3800">
        <w:t xml:space="preserve"> byla schválena dokumentace s rozšířením programu 129 340 o nový podprogram </w:t>
      </w:r>
      <w:r w:rsidRPr="006F3800">
        <w:rPr>
          <w:rFonts w:cs="Arial"/>
        </w:rPr>
        <w:t xml:space="preserve">129 344 „Přivaděče VD Kryry – nádrž Vidhostice; </w:t>
      </w:r>
      <w:proofErr w:type="spellStart"/>
      <w:r w:rsidRPr="006F3800">
        <w:rPr>
          <w:rFonts w:cs="Arial"/>
        </w:rPr>
        <w:t>Kolešovický</w:t>
      </w:r>
      <w:proofErr w:type="spellEnd"/>
      <w:r w:rsidRPr="006F3800">
        <w:rPr>
          <w:rFonts w:cs="Arial"/>
        </w:rPr>
        <w:t xml:space="preserve"> a Rakovnický potok – vypořádání práv k nemovitým věcem dotčeným plánovanou realizací přivaděčů“, ve kterém </w:t>
      </w:r>
      <w:r>
        <w:rPr>
          <w:rFonts w:cs="Arial"/>
        </w:rPr>
        <w:t xml:space="preserve">je </w:t>
      </w:r>
      <w:r w:rsidRPr="006F3800">
        <w:rPr>
          <w:rFonts w:cs="Arial"/>
        </w:rPr>
        <w:t>příjemcem dotace jak Povodí Ohře</w:t>
      </w:r>
      <w:r>
        <w:rPr>
          <w:rFonts w:cs="Arial"/>
        </w:rPr>
        <w:t xml:space="preserve">, </w:t>
      </w:r>
      <w:r w:rsidRPr="006F3800">
        <w:rPr>
          <w:rFonts w:cs="Arial"/>
        </w:rPr>
        <w:t>tak i Povodí Vltavy</w:t>
      </w:r>
      <w:r>
        <w:rPr>
          <w:rFonts w:cs="Arial"/>
        </w:rPr>
        <w:t>. Žádosti do tohoto programu byly přijímány v průběhu roku 2024. Další příjem žádostí je očekáván v průběhu roku 2026.</w:t>
      </w:r>
    </w:p>
    <w:p w14:paraId="09CE402B" w14:textId="77777777" w:rsidR="005D684B" w:rsidRPr="0032262D" w:rsidRDefault="005D684B" w:rsidP="005D684B"/>
    <w:p w14:paraId="48806193" w14:textId="77777777" w:rsidR="005D684B" w:rsidRDefault="005D684B" w:rsidP="005D684B">
      <w:r w:rsidRPr="0032262D">
        <w:t>Vodní dílo Kryry je zásadním prvkem v připravované soustavě opatření k řešení sucha v oblasti Rakovnicka. Spolu s malými vodními nádržemi Senomaty a Šanov v povodí Rakovnického potoka a příslušnými přivaděči představuje efektivní řešení k posílení vodních zdrojů a zmírnění vodního deficitu v</w:t>
      </w:r>
      <w:r>
        <w:t> </w:t>
      </w:r>
      <w:r w:rsidRPr="0032262D">
        <w:t>oblasti</w:t>
      </w:r>
      <w:r>
        <w:t>.</w:t>
      </w:r>
    </w:p>
    <w:p w14:paraId="45A032ED" w14:textId="77777777" w:rsidR="005D684B" w:rsidRDefault="005D684B" w:rsidP="007C4955">
      <w:pPr>
        <w:contextualSpacing/>
        <w:rPr>
          <w:rFonts w:cs="Arial"/>
          <w:b/>
          <w:i/>
          <w:color w:val="000000" w:themeColor="text1"/>
        </w:rPr>
      </w:pPr>
    </w:p>
    <w:p w14:paraId="382C2DBE" w14:textId="2EBA8C2C" w:rsidR="003D3A76" w:rsidRDefault="003D3A76" w:rsidP="007C4955">
      <w:pPr>
        <w:contextualSpacing/>
        <w:rPr>
          <w:rFonts w:cs="Arial"/>
          <w:b/>
          <w:i/>
          <w:color w:val="000000" w:themeColor="text1"/>
        </w:rPr>
      </w:pPr>
      <w:r w:rsidRPr="007030F1">
        <w:rPr>
          <w:rFonts w:cs="Arial"/>
          <w:b/>
          <w:i/>
          <w:color w:val="000000" w:themeColor="text1"/>
        </w:rPr>
        <w:t>Příprava realizace vodních děl</w:t>
      </w:r>
    </w:p>
    <w:p w14:paraId="7E819B2B" w14:textId="77777777" w:rsidR="000226DB" w:rsidRDefault="000226DB" w:rsidP="007C4955">
      <w:pPr>
        <w:contextualSpacing/>
        <w:rPr>
          <w:rFonts w:cs="Arial"/>
          <w:b/>
          <w:i/>
          <w:color w:val="000000" w:themeColor="text1"/>
        </w:rPr>
      </w:pPr>
    </w:p>
    <w:p w14:paraId="7BC97DF1" w14:textId="77777777" w:rsidR="00807ED1" w:rsidRDefault="00807ED1" w:rsidP="00807ED1">
      <w:pPr>
        <w:rPr>
          <w:rFonts w:cs="Arial"/>
          <w:b/>
          <w:bCs/>
        </w:rPr>
      </w:pPr>
      <w:r w:rsidRPr="00D4558A">
        <w:rPr>
          <w:rFonts w:cs="Arial"/>
          <w:b/>
          <w:bCs/>
        </w:rPr>
        <w:t xml:space="preserve">V září roku 2022 byla schválena dokumentace nového programu 129 430 „Podpora opatření na zmírnění dopadů sucha – projektová příprava a realizace nezbytných investic“ a Ministerstvo zemědělství </w:t>
      </w:r>
      <w:r>
        <w:rPr>
          <w:rFonts w:cs="Arial"/>
          <w:b/>
          <w:bCs/>
        </w:rPr>
        <w:t>v roce 2024 zahájilo jeho financování</w:t>
      </w:r>
      <w:r w:rsidRPr="00D4558A">
        <w:rPr>
          <w:rFonts w:cs="Arial"/>
          <w:b/>
          <w:bCs/>
        </w:rPr>
        <w:t xml:space="preserve">. </w:t>
      </w:r>
    </w:p>
    <w:p w14:paraId="7BF16FF9" w14:textId="77777777" w:rsidR="00807ED1" w:rsidRDefault="00807ED1" w:rsidP="00807ED1">
      <w:pPr>
        <w:rPr>
          <w:rFonts w:cs="Arial"/>
          <w:b/>
          <w:bCs/>
        </w:rPr>
      </w:pPr>
    </w:p>
    <w:p w14:paraId="7861932C" w14:textId="77777777" w:rsidR="00807ED1" w:rsidRDefault="00807ED1" w:rsidP="00807ED1">
      <w:pPr>
        <w:rPr>
          <w:rFonts w:cs="Arial"/>
        </w:rPr>
      </w:pPr>
      <w:r w:rsidRPr="00D4558A">
        <w:rPr>
          <w:rFonts w:cs="Arial"/>
        </w:rPr>
        <w:t>Program je zaměřen na realizaci předprojektové přípravy, projektové přípravy a realizaci investic souvisejících s plánovanou výstavbou vodní</w:t>
      </w:r>
      <w:r>
        <w:rPr>
          <w:rFonts w:cs="Arial"/>
        </w:rPr>
        <w:t>ch</w:t>
      </w:r>
      <w:r w:rsidRPr="00D4558A">
        <w:rPr>
          <w:rFonts w:cs="Arial"/>
        </w:rPr>
        <w:t xml:space="preserve"> d</w:t>
      </w:r>
      <w:r>
        <w:rPr>
          <w:rFonts w:cs="Arial"/>
        </w:rPr>
        <w:t>ěl VD Vlachovice, VD Kryry, VD Senomaty a VD Šanov, která jsou připravována za účelem</w:t>
      </w:r>
      <w:r w:rsidRPr="00D4558A">
        <w:rPr>
          <w:rFonts w:cs="Arial"/>
        </w:rPr>
        <w:t xml:space="preserve"> zmírnění dopadů sucha. </w:t>
      </w:r>
      <w:r>
        <w:rPr>
          <w:rFonts w:cs="Arial"/>
        </w:rPr>
        <w:t xml:space="preserve">Vzhledem k velikosti plánovaných vodních děl je nutné zajistit kvalitní předprojektovou přípravu (průzkumné práce, studie, posouzení atd.) a následně projektovou dokumentaci stavby. Současně je nutné plánovat a zrealizovat související stavby a opatření vyvolané plánovanou výstavbou vodního díla. </w:t>
      </w:r>
      <w:r w:rsidRPr="00D4558A">
        <w:rPr>
          <w:rFonts w:cs="Arial"/>
        </w:rPr>
        <w:t>Jedná se o soubor vyvolaných a doprovodných investic, změny infrastruktury, změny využití území a</w:t>
      </w:r>
      <w:r>
        <w:rPr>
          <w:rFonts w:cs="Arial"/>
        </w:rPr>
        <w:t> </w:t>
      </w:r>
      <w:r w:rsidRPr="00D4558A">
        <w:rPr>
          <w:rFonts w:cs="Arial"/>
        </w:rPr>
        <w:t>provedení opatření zajišťujících dlouhodobé užívání nově vzniklého vodního zdroje a</w:t>
      </w:r>
      <w:r>
        <w:rPr>
          <w:rFonts w:cs="Arial"/>
        </w:rPr>
        <w:t> </w:t>
      </w:r>
      <w:r w:rsidRPr="00D4558A">
        <w:rPr>
          <w:rFonts w:cs="Arial"/>
        </w:rPr>
        <w:t>stabilizaci změněných poměrů v území.</w:t>
      </w:r>
      <w:r w:rsidRPr="00802A6F">
        <w:rPr>
          <w:rFonts w:cs="Arial"/>
        </w:rPr>
        <w:t xml:space="preserve"> </w:t>
      </w:r>
      <w:r w:rsidRPr="00D4558A">
        <w:rPr>
          <w:rFonts w:cs="Arial"/>
        </w:rPr>
        <w:t>Tato opatření je nutné realizovat ještě před samotnou výstavbou konkrétní vodní nádrže.</w:t>
      </w:r>
    </w:p>
    <w:p w14:paraId="5257F898" w14:textId="77777777" w:rsidR="00807ED1" w:rsidRDefault="00807ED1" w:rsidP="00807ED1">
      <w:pPr>
        <w:rPr>
          <w:rFonts w:cs="Arial"/>
        </w:rPr>
      </w:pPr>
    </w:p>
    <w:p w14:paraId="13E8B191" w14:textId="77777777" w:rsidR="00807ED1" w:rsidRDefault="00807ED1" w:rsidP="00807ED1">
      <w:pPr>
        <w:rPr>
          <w:rFonts w:cs="Arial"/>
        </w:rPr>
      </w:pPr>
      <w:r>
        <w:rPr>
          <w:rFonts w:cs="Arial"/>
        </w:rPr>
        <w:t xml:space="preserve">V souvislosti s plněním významných úkolů materiálu „Příprava a realizace opatření pro zmírnění negativních dopadů sucha a nedostatku vody“, jež vláda České republiky vzala na vědomí usnesením ze dne 29. července 2015 č. 620, byl program rozšířen o novou oblast podpory, v níž budou realizována opatření vyplývající z úkolů výše zmíněného materiálu, příp. materiálů na něj navazujících. </w:t>
      </w:r>
    </w:p>
    <w:p w14:paraId="60F0D30D" w14:textId="77777777" w:rsidR="00807ED1" w:rsidRDefault="00807ED1" w:rsidP="00807ED1">
      <w:pPr>
        <w:rPr>
          <w:rFonts w:cs="Arial"/>
        </w:rPr>
      </w:pPr>
    </w:p>
    <w:p w14:paraId="11DD8F97" w14:textId="7F099F31" w:rsidR="00807ED1" w:rsidRDefault="00807ED1" w:rsidP="00807ED1">
      <w:pPr>
        <w:rPr>
          <w:rFonts w:cs="Arial"/>
        </w:rPr>
      </w:pPr>
      <w:r>
        <w:rPr>
          <w:rFonts w:cs="Arial"/>
        </w:rPr>
        <w:t>Program je členěn do 3 podprogramů dle zaměření, a to na projektovou přípravu – podprogram 129</w:t>
      </w:r>
      <w:r w:rsidR="008F2CE0">
        <w:rPr>
          <w:rFonts w:cs="Arial"/>
        </w:rPr>
        <w:t> </w:t>
      </w:r>
      <w:r>
        <w:rPr>
          <w:rFonts w:cs="Arial"/>
        </w:rPr>
        <w:t>432</w:t>
      </w:r>
      <w:r w:rsidR="008F2CE0">
        <w:rPr>
          <w:rFonts w:cs="Arial"/>
        </w:rPr>
        <w:t xml:space="preserve"> „</w:t>
      </w:r>
      <w:r w:rsidR="00D46490">
        <w:rPr>
          <w:rFonts w:cs="Arial"/>
        </w:rPr>
        <w:t>Podpora projektové přípravy“</w:t>
      </w:r>
      <w:r>
        <w:rPr>
          <w:rFonts w:cs="Arial"/>
        </w:rPr>
        <w:t xml:space="preserve"> a na realizaci tzv. vyvolaných investic podprogram 129</w:t>
      </w:r>
      <w:r w:rsidR="00D46490">
        <w:rPr>
          <w:rFonts w:cs="Arial"/>
        </w:rPr>
        <w:t> </w:t>
      </w:r>
      <w:r>
        <w:rPr>
          <w:rFonts w:cs="Arial"/>
        </w:rPr>
        <w:t>433</w:t>
      </w:r>
      <w:r w:rsidR="00D46490">
        <w:rPr>
          <w:rFonts w:cs="Arial"/>
        </w:rPr>
        <w:t xml:space="preserve"> „Podpora </w:t>
      </w:r>
      <w:r w:rsidR="00314DC0">
        <w:rPr>
          <w:rFonts w:cs="Arial"/>
        </w:rPr>
        <w:t>realizace nezbytných investic souvisejících s</w:t>
      </w:r>
      <w:r w:rsidR="00442C90">
        <w:rPr>
          <w:rFonts w:cs="Arial"/>
        </w:rPr>
        <w:t> </w:t>
      </w:r>
      <w:r w:rsidR="00314DC0">
        <w:rPr>
          <w:rFonts w:cs="Arial"/>
        </w:rPr>
        <w:t>výstavbou</w:t>
      </w:r>
      <w:r w:rsidR="00442C90">
        <w:rPr>
          <w:rFonts w:cs="Arial"/>
        </w:rPr>
        <w:t xml:space="preserve"> opatření pro zmírnění dopadů sucha</w:t>
      </w:r>
      <w:r w:rsidR="00D03313">
        <w:rPr>
          <w:rFonts w:cs="Arial"/>
        </w:rPr>
        <w:t>“</w:t>
      </w:r>
      <w:r w:rsidRPr="002D17DE">
        <w:rPr>
          <w:rFonts w:cs="Arial"/>
        </w:rPr>
        <w:t xml:space="preserve"> </w:t>
      </w:r>
      <w:r>
        <w:rPr>
          <w:rFonts w:cs="Arial"/>
        </w:rPr>
        <w:t>a na další opatření pro zmírnění dopadů sucha – 129</w:t>
      </w:r>
      <w:r w:rsidR="00D03313">
        <w:rPr>
          <w:rFonts w:cs="Arial"/>
        </w:rPr>
        <w:t> </w:t>
      </w:r>
      <w:r>
        <w:rPr>
          <w:rFonts w:cs="Arial"/>
        </w:rPr>
        <w:t>434</w:t>
      </w:r>
      <w:r w:rsidR="00D03313">
        <w:rPr>
          <w:rFonts w:cs="Arial"/>
        </w:rPr>
        <w:t xml:space="preserve"> </w:t>
      </w:r>
      <w:r w:rsidR="002E7D2F">
        <w:rPr>
          <w:rFonts w:cs="Arial"/>
        </w:rPr>
        <w:t>„Další opatření pro zmírnění dopadů sucha“</w:t>
      </w:r>
      <w:r>
        <w:rPr>
          <w:rFonts w:cs="Arial"/>
        </w:rPr>
        <w:t>.</w:t>
      </w:r>
    </w:p>
    <w:p w14:paraId="7BDA3C9D" w14:textId="77777777" w:rsidR="00807ED1" w:rsidRDefault="00807ED1" w:rsidP="00807ED1">
      <w:pPr>
        <w:rPr>
          <w:rFonts w:cs="Arial"/>
        </w:rPr>
      </w:pPr>
    </w:p>
    <w:p w14:paraId="7E544C0A" w14:textId="77777777" w:rsidR="00807ED1" w:rsidRPr="00D4558A" w:rsidRDefault="00807ED1" w:rsidP="00807ED1">
      <w:pPr>
        <w:rPr>
          <w:rFonts w:cs="Arial"/>
        </w:rPr>
      </w:pPr>
      <w:r>
        <w:rPr>
          <w:rFonts w:cs="Arial"/>
        </w:rPr>
        <w:t>Realizaci opatření zajišťují příslušné státní podniky Povodí, v případně podprogramu 129 433 rovněž obce (dobrovolné svazky obcí) dotčené výstavbou vodních děl.</w:t>
      </w:r>
    </w:p>
    <w:p w14:paraId="40DD1D89" w14:textId="77777777" w:rsidR="002E05AE" w:rsidRDefault="002E05AE" w:rsidP="0004780A">
      <w:pPr>
        <w:rPr>
          <w:b/>
          <w:bCs/>
          <w:i/>
          <w:iCs/>
        </w:rPr>
      </w:pPr>
    </w:p>
    <w:p w14:paraId="40427016" w14:textId="61E46F6F" w:rsidR="0004780A" w:rsidRPr="00807ED1" w:rsidRDefault="0004780A" w:rsidP="0004780A">
      <w:pPr>
        <w:rPr>
          <w:b/>
          <w:bCs/>
          <w:i/>
          <w:iCs/>
        </w:rPr>
      </w:pPr>
      <w:r w:rsidRPr="00807ED1">
        <w:rPr>
          <w:b/>
          <w:bCs/>
          <w:i/>
          <w:iCs/>
        </w:rPr>
        <w:t>Tabulka 11.1.1.1</w:t>
      </w:r>
      <w:r w:rsidR="009B4EBD">
        <w:rPr>
          <w:b/>
          <w:bCs/>
          <w:i/>
          <w:iCs/>
        </w:rPr>
        <w:t>6</w:t>
      </w:r>
    </w:p>
    <w:p w14:paraId="671A15C6" w14:textId="436BA56A" w:rsidR="0004780A" w:rsidRPr="00807ED1" w:rsidRDefault="0004780A" w:rsidP="0004780A">
      <w:pPr>
        <w:rPr>
          <w:b/>
          <w:bCs/>
          <w:i/>
          <w:iCs/>
        </w:rPr>
      </w:pPr>
      <w:r w:rsidRPr="00807ED1">
        <w:rPr>
          <w:b/>
          <w:bCs/>
          <w:i/>
          <w:iCs/>
        </w:rPr>
        <w:t>Čerpání finančních prostředků státního rozpočtu v rámci programu Ministerstva zemědělství 129 430 podle jednotlivých správců vodních toků v roce 202</w:t>
      </w:r>
      <w:r w:rsidR="00807ED1" w:rsidRPr="00807ED1">
        <w:rPr>
          <w:b/>
          <w:bCs/>
          <w:i/>
          <w:iCs/>
        </w:rPr>
        <w:t>5</w:t>
      </w:r>
    </w:p>
    <w:tbl>
      <w:tblPr>
        <w:tblW w:w="5670" w:type="dxa"/>
        <w:tblInd w:w="70" w:type="dxa"/>
        <w:tblCellMar>
          <w:left w:w="0" w:type="dxa"/>
          <w:right w:w="0" w:type="dxa"/>
        </w:tblCellMar>
        <w:tblLook w:val="04A0" w:firstRow="1" w:lastRow="0" w:firstColumn="1" w:lastColumn="0" w:noHBand="0" w:noVBand="1"/>
      </w:tblPr>
      <w:tblGrid>
        <w:gridCol w:w="4226"/>
        <w:gridCol w:w="1444"/>
      </w:tblGrid>
      <w:tr w:rsidR="0004780A" w:rsidRPr="00807ED1" w14:paraId="1DEB1136" w14:textId="77777777" w:rsidTr="0004780A">
        <w:trPr>
          <w:cantSplit/>
          <w:trHeight w:val="424"/>
        </w:trPr>
        <w:tc>
          <w:tcPr>
            <w:tcW w:w="4226" w:type="dxa"/>
            <w:tcBorders>
              <w:top w:val="single" w:sz="8" w:space="0" w:color="auto"/>
              <w:left w:val="single" w:sz="8" w:space="0" w:color="auto"/>
              <w:bottom w:val="single" w:sz="8" w:space="0" w:color="auto"/>
              <w:right w:val="single" w:sz="8" w:space="0" w:color="auto"/>
            </w:tcBorders>
            <w:shd w:val="clear" w:color="auto" w:fill="BFBFBF"/>
            <w:tcMar>
              <w:top w:w="0" w:type="dxa"/>
              <w:left w:w="70" w:type="dxa"/>
              <w:bottom w:w="0" w:type="dxa"/>
              <w:right w:w="70" w:type="dxa"/>
            </w:tcMar>
            <w:vAlign w:val="center"/>
            <w:hideMark/>
          </w:tcPr>
          <w:p w14:paraId="6EC22B1D" w14:textId="77777777" w:rsidR="0004780A" w:rsidRPr="00807ED1" w:rsidRDefault="0004780A" w:rsidP="0004780A">
            <w:pPr>
              <w:rPr>
                <w:sz w:val="18"/>
                <w:szCs w:val="18"/>
              </w:rPr>
            </w:pPr>
            <w:r w:rsidRPr="00807ED1">
              <w:rPr>
                <w:b/>
                <w:bCs/>
                <w:sz w:val="18"/>
                <w:szCs w:val="18"/>
              </w:rPr>
              <w:t>Vlastníci a správci</w:t>
            </w:r>
          </w:p>
        </w:tc>
        <w:tc>
          <w:tcPr>
            <w:tcW w:w="1444" w:type="dxa"/>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14:paraId="29FCDDBD" w14:textId="77777777" w:rsidR="0004780A" w:rsidRPr="00807ED1" w:rsidRDefault="0004780A" w:rsidP="0004780A">
            <w:pPr>
              <w:rPr>
                <w:b/>
                <w:bCs/>
                <w:sz w:val="18"/>
                <w:szCs w:val="18"/>
              </w:rPr>
            </w:pPr>
            <w:r w:rsidRPr="00807ED1">
              <w:rPr>
                <w:b/>
                <w:bCs/>
                <w:sz w:val="18"/>
                <w:szCs w:val="18"/>
              </w:rPr>
              <w:t>Investice</w:t>
            </w:r>
          </w:p>
          <w:p w14:paraId="64D36C35" w14:textId="77777777" w:rsidR="0004780A" w:rsidRPr="00807ED1" w:rsidRDefault="0004780A" w:rsidP="0004780A">
            <w:pPr>
              <w:rPr>
                <w:b/>
                <w:bCs/>
                <w:sz w:val="18"/>
                <w:szCs w:val="18"/>
              </w:rPr>
            </w:pPr>
            <w:r w:rsidRPr="00807ED1">
              <w:rPr>
                <w:b/>
                <w:bCs/>
                <w:sz w:val="18"/>
                <w:szCs w:val="18"/>
              </w:rPr>
              <w:t>mil. Kč</w:t>
            </w:r>
          </w:p>
        </w:tc>
      </w:tr>
      <w:tr w:rsidR="00CF3713" w:rsidRPr="00807ED1" w14:paraId="3F556A71" w14:textId="77777777" w:rsidTr="0004780A">
        <w:trPr>
          <w:trHeight w:val="283"/>
        </w:trPr>
        <w:tc>
          <w:tcPr>
            <w:tcW w:w="422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E0003EE" w14:textId="77777777" w:rsidR="00CF3713" w:rsidRPr="00807ED1" w:rsidRDefault="00CF3713" w:rsidP="00CF3713">
            <w:pPr>
              <w:rPr>
                <w:sz w:val="18"/>
                <w:szCs w:val="18"/>
              </w:rPr>
            </w:pPr>
            <w:r w:rsidRPr="00807ED1">
              <w:rPr>
                <w:sz w:val="18"/>
                <w:szCs w:val="18"/>
              </w:rPr>
              <w:t>Povodí Ohře</w:t>
            </w:r>
          </w:p>
        </w:tc>
        <w:tc>
          <w:tcPr>
            <w:tcW w:w="144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1A3ADF5" w14:textId="21453A6C" w:rsidR="00CF3713" w:rsidRPr="00807ED1" w:rsidRDefault="00CF3713" w:rsidP="00CF3713">
            <w:pPr>
              <w:rPr>
                <w:sz w:val="18"/>
                <w:szCs w:val="18"/>
              </w:rPr>
            </w:pPr>
            <w:r>
              <w:rPr>
                <w:rFonts w:cs="Arial"/>
                <w:sz w:val="18"/>
                <w:szCs w:val="18"/>
              </w:rPr>
              <w:t>9,187</w:t>
            </w:r>
          </w:p>
        </w:tc>
      </w:tr>
      <w:tr w:rsidR="00CF3713" w:rsidRPr="00807ED1" w14:paraId="44F38E71" w14:textId="77777777" w:rsidTr="0004780A">
        <w:trPr>
          <w:trHeight w:val="283"/>
        </w:trPr>
        <w:tc>
          <w:tcPr>
            <w:tcW w:w="422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AE1541B" w14:textId="77777777" w:rsidR="00CF3713" w:rsidRPr="00807ED1" w:rsidRDefault="00CF3713" w:rsidP="00CF3713">
            <w:pPr>
              <w:rPr>
                <w:sz w:val="18"/>
                <w:szCs w:val="18"/>
              </w:rPr>
            </w:pPr>
            <w:r w:rsidRPr="00807ED1">
              <w:rPr>
                <w:sz w:val="18"/>
                <w:szCs w:val="18"/>
              </w:rPr>
              <w:t>Povodí Moravy</w:t>
            </w:r>
          </w:p>
        </w:tc>
        <w:tc>
          <w:tcPr>
            <w:tcW w:w="144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1646E98" w14:textId="414D258C" w:rsidR="00CF3713" w:rsidRPr="00807ED1" w:rsidRDefault="00CF3713" w:rsidP="00CF3713">
            <w:pPr>
              <w:rPr>
                <w:sz w:val="18"/>
                <w:szCs w:val="18"/>
              </w:rPr>
            </w:pPr>
            <w:r>
              <w:rPr>
                <w:rFonts w:cs="Arial"/>
                <w:sz w:val="18"/>
                <w:szCs w:val="18"/>
              </w:rPr>
              <w:t>25,625</w:t>
            </w:r>
          </w:p>
        </w:tc>
      </w:tr>
      <w:tr w:rsidR="00CF3713" w:rsidRPr="00807ED1" w14:paraId="3707DF93" w14:textId="77777777" w:rsidTr="0004780A">
        <w:trPr>
          <w:trHeight w:val="283"/>
        </w:trPr>
        <w:tc>
          <w:tcPr>
            <w:tcW w:w="4226" w:type="dxa"/>
            <w:tcBorders>
              <w:top w:val="nil"/>
              <w:left w:val="single" w:sz="8" w:space="0" w:color="auto"/>
              <w:bottom w:val="single" w:sz="8" w:space="0" w:color="auto"/>
              <w:right w:val="single" w:sz="8" w:space="0" w:color="auto"/>
            </w:tcBorders>
            <w:shd w:val="clear" w:color="auto" w:fill="BFBFBF"/>
            <w:tcMar>
              <w:top w:w="0" w:type="dxa"/>
              <w:left w:w="70" w:type="dxa"/>
              <w:bottom w:w="0" w:type="dxa"/>
              <w:right w:w="70" w:type="dxa"/>
            </w:tcMar>
            <w:vAlign w:val="center"/>
            <w:hideMark/>
          </w:tcPr>
          <w:p w14:paraId="4EAC5AFE" w14:textId="77777777" w:rsidR="00CF3713" w:rsidRPr="00807ED1" w:rsidRDefault="00CF3713" w:rsidP="00CF3713">
            <w:pPr>
              <w:rPr>
                <w:b/>
                <w:bCs/>
                <w:sz w:val="18"/>
                <w:szCs w:val="18"/>
              </w:rPr>
            </w:pPr>
            <w:r w:rsidRPr="00807ED1">
              <w:rPr>
                <w:b/>
                <w:bCs/>
                <w:sz w:val="18"/>
                <w:szCs w:val="18"/>
              </w:rPr>
              <w:t>Celkem</w:t>
            </w:r>
          </w:p>
        </w:tc>
        <w:tc>
          <w:tcPr>
            <w:tcW w:w="1444" w:type="dxa"/>
            <w:tcBorders>
              <w:top w:val="nil"/>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14:paraId="452BA93A" w14:textId="4E03D5C5" w:rsidR="00CF3713" w:rsidRPr="00807ED1" w:rsidRDefault="00CF3713" w:rsidP="00CF3713">
            <w:pPr>
              <w:rPr>
                <w:b/>
                <w:bCs/>
                <w:sz w:val="18"/>
                <w:szCs w:val="18"/>
              </w:rPr>
            </w:pPr>
            <w:r>
              <w:rPr>
                <w:rFonts w:cs="Arial"/>
                <w:b/>
                <w:sz w:val="18"/>
                <w:szCs w:val="18"/>
              </w:rPr>
              <w:t>34,812</w:t>
            </w:r>
          </w:p>
        </w:tc>
      </w:tr>
    </w:tbl>
    <w:p w14:paraId="31DA09BA" w14:textId="5D08DB6E" w:rsidR="00F57F68" w:rsidRPr="004A3F1C" w:rsidRDefault="0004780A" w:rsidP="007C4955">
      <w:pPr>
        <w:rPr>
          <w:i/>
          <w:iCs/>
          <w:sz w:val="20"/>
          <w:szCs w:val="20"/>
        </w:rPr>
      </w:pPr>
      <w:r w:rsidRPr="00807ED1">
        <w:rPr>
          <w:i/>
          <w:iCs/>
          <w:sz w:val="20"/>
          <w:szCs w:val="20"/>
        </w:rPr>
        <w:t>Pramen: MZe</w:t>
      </w:r>
    </w:p>
    <w:p w14:paraId="54FA239A" w14:textId="44A2B517" w:rsidR="00161107" w:rsidRDefault="00A343EC" w:rsidP="007C4955">
      <w:pPr>
        <w:contextualSpacing/>
        <w:rPr>
          <w:rFonts w:cs="Arial"/>
        </w:rPr>
      </w:pPr>
      <w:r w:rsidRPr="00A8080E">
        <w:rPr>
          <w:rFonts w:cs="Arial"/>
        </w:rPr>
        <w:t>V roce 202</w:t>
      </w:r>
      <w:r>
        <w:rPr>
          <w:rFonts w:cs="Arial"/>
        </w:rPr>
        <w:t>5</w:t>
      </w:r>
      <w:r w:rsidRPr="00A8080E">
        <w:rPr>
          <w:rFonts w:cs="Arial"/>
        </w:rPr>
        <w:t xml:space="preserve"> bylo administrováno</w:t>
      </w:r>
      <w:r>
        <w:rPr>
          <w:rFonts w:cs="Arial"/>
        </w:rPr>
        <w:t xml:space="preserve"> v rámci podprogramu 129 432</w:t>
      </w:r>
      <w:r w:rsidRPr="00A8080E">
        <w:rPr>
          <w:rFonts w:cs="Arial"/>
        </w:rPr>
        <w:t xml:space="preserve"> </w:t>
      </w:r>
      <w:r>
        <w:rPr>
          <w:rFonts w:cs="Arial"/>
        </w:rPr>
        <w:t>celkem 7</w:t>
      </w:r>
      <w:r w:rsidRPr="00A8080E">
        <w:rPr>
          <w:rFonts w:cs="Arial"/>
        </w:rPr>
        <w:t xml:space="preserve"> žádostí</w:t>
      </w:r>
      <w:r>
        <w:rPr>
          <w:rFonts w:cs="Arial"/>
        </w:rPr>
        <w:t>, z toho v daném roce byly financovány 2 akce s poskytnutou dotací ve výši více jak téměř 35 mil. Kč.</w:t>
      </w:r>
    </w:p>
    <w:p w14:paraId="046C9EB7" w14:textId="77777777" w:rsidR="0046645D" w:rsidRDefault="0046645D" w:rsidP="0046645D">
      <w:pPr>
        <w:keepNext/>
        <w:keepLines/>
        <w:spacing w:before="240" w:after="240"/>
        <w:rPr>
          <w:rFonts w:eastAsia="Times New Roman" w:cs="Arial"/>
          <w:b/>
          <w:i/>
          <w:lang w:eastAsia="cs-CZ"/>
        </w:rPr>
      </w:pPr>
      <w:r w:rsidRPr="0046645D">
        <w:rPr>
          <w:rFonts w:eastAsia="Times New Roman" w:cs="Arial"/>
          <w:b/>
          <w:i/>
          <w:lang w:eastAsia="cs-CZ"/>
        </w:rPr>
        <w:t>Meliorační stavby</w:t>
      </w:r>
    </w:p>
    <w:p w14:paraId="29B1D5D7" w14:textId="74180F30" w:rsidR="00A343EC" w:rsidRPr="0046645D" w:rsidRDefault="0046645D" w:rsidP="0046645D">
      <w:pPr>
        <w:keepNext/>
        <w:keepLines/>
        <w:spacing w:before="240" w:after="240"/>
        <w:rPr>
          <w:rFonts w:eastAsia="Times New Roman" w:cs="Arial"/>
          <w:bCs/>
          <w:iCs/>
          <w:lang w:eastAsia="cs-CZ"/>
        </w:rPr>
      </w:pPr>
      <w:r w:rsidRPr="00066CEF">
        <w:rPr>
          <w:rFonts w:eastAsia="Times New Roman" w:cs="Arial"/>
          <w:bCs/>
          <w:iCs/>
          <w:lang w:eastAsia="cs-CZ"/>
        </w:rPr>
        <w:t>Agendy související se správou staveb k vodohospodářským melioracím pozemků zajišťuje v rámci Státního pozemkového úřadu Odbor vodohospodářských staveb. Kromě běžné provozní činnosti se aktivity odboru zaměřily na modernizování svěřených závlahových soustav. Modernizování závlahových soustav v příslušnosti hospodařit Státního pozemkového úřadu je financováno prostřednictvím programu MZe 129 310 „Podpora konkurenceschopnosti agropotravinářského komplexu – závlahy – II. etapa“, podprogramu „129 313 „Podpora optimalizace závlahových sítí ve správě Státního pozemkového úřadu“, z něhož v roce 202</w:t>
      </w:r>
      <w:r>
        <w:rPr>
          <w:rFonts w:eastAsia="Times New Roman" w:cs="Arial"/>
          <w:bCs/>
          <w:iCs/>
          <w:lang w:eastAsia="cs-CZ"/>
        </w:rPr>
        <w:t>5</w:t>
      </w:r>
      <w:r w:rsidRPr="00066CEF">
        <w:rPr>
          <w:rFonts w:eastAsia="Times New Roman" w:cs="Arial"/>
          <w:bCs/>
          <w:iCs/>
          <w:lang w:eastAsia="cs-CZ"/>
        </w:rPr>
        <w:t xml:space="preserve"> </w:t>
      </w:r>
      <w:r>
        <w:rPr>
          <w:rFonts w:eastAsia="Times New Roman" w:cs="Arial"/>
          <w:bCs/>
          <w:iCs/>
          <w:lang w:eastAsia="cs-CZ"/>
        </w:rPr>
        <w:t>nebyla čerpána žádná podpora</w:t>
      </w:r>
      <w:r w:rsidRPr="00066CEF">
        <w:rPr>
          <w:rFonts w:eastAsia="Times New Roman" w:cs="Arial"/>
          <w:bCs/>
          <w:iCs/>
          <w:lang w:eastAsia="cs-CZ"/>
        </w:rPr>
        <w:t>.</w:t>
      </w:r>
    </w:p>
    <w:p w14:paraId="160DD82B" w14:textId="04396A5B" w:rsidR="00D74C2A" w:rsidRPr="00033476" w:rsidRDefault="00D74C2A" w:rsidP="007C4955">
      <w:pPr>
        <w:contextualSpacing/>
        <w:rPr>
          <w:b/>
          <w:i/>
        </w:rPr>
      </w:pPr>
      <w:r w:rsidRPr="00033476">
        <w:rPr>
          <w:b/>
          <w:i/>
        </w:rPr>
        <w:t>Oblast rybářství</w:t>
      </w:r>
    </w:p>
    <w:p w14:paraId="12781709" w14:textId="6AFDE0BA" w:rsidR="003E333B" w:rsidRPr="00033476" w:rsidRDefault="003E333B" w:rsidP="007C4955">
      <w:pPr>
        <w:contextualSpacing/>
        <w:rPr>
          <w:rFonts w:cs="Arial"/>
          <w:color w:val="FF0000"/>
        </w:rPr>
      </w:pPr>
    </w:p>
    <w:p w14:paraId="414766CA" w14:textId="14BD11CF" w:rsidR="00AE5AB3" w:rsidRPr="00033476" w:rsidRDefault="00AE5AB3" w:rsidP="00AE5AB3">
      <w:pPr>
        <w:rPr>
          <w:b/>
          <w:bCs/>
        </w:rPr>
      </w:pPr>
      <w:r w:rsidRPr="00033476">
        <w:rPr>
          <w:b/>
          <w:bCs/>
        </w:rPr>
        <w:t xml:space="preserve">Pro podporu mimoprodukčních funkcí rybářských revírů Ministerstvo zemědělství vytvořilo na základě ustanovení § 1, § 2, § 2d zákona č. 252/1997 Sb., o zemědělství, ve znění pozdějších předpisů, národní dotační program 17. „Podpora mimoprodukčních funkcí rybářských revírů“. V roce 2021 došlo k jeho rozdělení na DT 17.A – Podpora mimoprodukčních funkcí rybářských revírů a DT 17. B – Podpora obnovy rybího společenstva po havárii v čistotě vody. </w:t>
      </w:r>
      <w:r w:rsidR="00DA6550" w:rsidRPr="00033476">
        <w:rPr>
          <w:b/>
          <w:bCs/>
        </w:rPr>
        <w:t xml:space="preserve">V roce 2025 bylo na DT 17 alokovaná částka 20 mil. Kč. </w:t>
      </w:r>
      <w:r w:rsidRPr="00033476">
        <w:rPr>
          <w:b/>
          <w:bCs/>
        </w:rPr>
        <w:t>V roce 202</w:t>
      </w:r>
      <w:r w:rsidR="00F12747" w:rsidRPr="00033476">
        <w:rPr>
          <w:b/>
          <w:bCs/>
        </w:rPr>
        <w:t>5</w:t>
      </w:r>
      <w:r w:rsidRPr="00033476">
        <w:rPr>
          <w:b/>
          <w:bCs/>
        </w:rPr>
        <w:t xml:space="preserve"> byly čerpány finanční prostředky u DT 17.A ve výši </w:t>
      </w:r>
      <w:r w:rsidR="00EE53D9" w:rsidRPr="00033476">
        <w:rPr>
          <w:b/>
          <w:bCs/>
        </w:rPr>
        <w:t>19,219</w:t>
      </w:r>
      <w:r w:rsidRPr="00033476">
        <w:rPr>
          <w:b/>
          <w:bCs/>
        </w:rPr>
        <w:t xml:space="preserve"> mil. Kč, financováno bylo 6</w:t>
      </w:r>
      <w:r w:rsidR="00EE53D9" w:rsidRPr="00033476">
        <w:rPr>
          <w:b/>
          <w:bCs/>
        </w:rPr>
        <w:t>2</w:t>
      </w:r>
      <w:r w:rsidRPr="00033476">
        <w:rPr>
          <w:b/>
          <w:bCs/>
        </w:rPr>
        <w:t xml:space="preserve"> žádostí. </w:t>
      </w:r>
      <w:r w:rsidR="003542E7" w:rsidRPr="00033476">
        <w:rPr>
          <w:b/>
          <w:bCs/>
        </w:rPr>
        <w:t xml:space="preserve">a </w:t>
      </w:r>
      <w:r w:rsidRPr="00033476">
        <w:rPr>
          <w:b/>
          <w:bCs/>
        </w:rPr>
        <w:t xml:space="preserve">u DT 17.B </w:t>
      </w:r>
      <w:r w:rsidR="00033476" w:rsidRPr="00033476">
        <w:rPr>
          <w:b/>
          <w:bCs/>
        </w:rPr>
        <w:t xml:space="preserve">bylo vyplaceno </w:t>
      </w:r>
      <w:r w:rsidRPr="00033476">
        <w:rPr>
          <w:b/>
          <w:bCs/>
        </w:rPr>
        <w:t>0,750 mil. Kč, financována byla 1 žádost.</w:t>
      </w:r>
    </w:p>
    <w:p w14:paraId="3661AF31" w14:textId="77777777" w:rsidR="00F12747" w:rsidRPr="00033476" w:rsidRDefault="00F12747" w:rsidP="00AE5AB3">
      <w:pPr>
        <w:rPr>
          <w:b/>
          <w:bCs/>
          <w:i/>
          <w:iCs/>
        </w:rPr>
      </w:pPr>
    </w:p>
    <w:p w14:paraId="7429592F" w14:textId="77777777" w:rsidR="00AE5AB3" w:rsidRPr="00033476" w:rsidRDefault="00AE5AB3" w:rsidP="00AE5AB3">
      <w:r w:rsidRPr="00033476">
        <w:t>Dotační program 17 byl spuštěn MZe v roce 2015. Dotační program 17.A byl vytvořen za účelem podpory biologické diverzity rybích populací v povrchových vodách určený pro uživatele rybářských revírů. Sazba dotace je na jeden hektar rybářského revíru. Finanční prostředky mohou být využity jen pro náklady pokrývající vysazování těch rybích druhů, které byly vysazeny v souladu se stanoveným zarybněním. Dotační program 17.B byl vytvořen za účelem obnovy rybích populací v povrchových vodách po havárii v čistotě vody, která zapříčinila minimální přežití rybího společenstva, určená pro uživatele rybářských revírů. Sazba dotace je na jeden hektar rybářského revíru. Finanční prostředky mohou být využity jen pro náklady pokrývající vysazování těch rybích druhů, které byly vysazeny v souladu se stanoveným zarybněním.</w:t>
      </w:r>
    </w:p>
    <w:p w14:paraId="2AE99B8F" w14:textId="77777777" w:rsidR="00957AC3" w:rsidRPr="00033476" w:rsidRDefault="00957AC3" w:rsidP="00D152E2">
      <w:pPr>
        <w:ind w:left="11" w:right="6" w:hanging="11"/>
        <w:rPr>
          <w:rFonts w:cs="Arial"/>
          <w:b/>
          <w:i/>
          <w:color w:val="FF0000"/>
        </w:rPr>
      </w:pPr>
    </w:p>
    <w:p w14:paraId="0B49C857" w14:textId="2D4AB8B5" w:rsidR="00D74C2A" w:rsidRPr="00033476" w:rsidRDefault="00D74C2A" w:rsidP="007C4955">
      <w:pPr>
        <w:contextualSpacing/>
        <w:rPr>
          <w:rFonts w:cs="Arial"/>
          <w:b/>
          <w:i/>
        </w:rPr>
      </w:pPr>
      <w:r w:rsidRPr="00033476">
        <w:rPr>
          <w:rFonts w:cs="Arial"/>
          <w:b/>
          <w:i/>
        </w:rPr>
        <w:t xml:space="preserve">Tabulka </w:t>
      </w:r>
      <w:r w:rsidR="004571C5" w:rsidRPr="00033476">
        <w:rPr>
          <w:rFonts w:cs="Arial"/>
          <w:b/>
          <w:i/>
        </w:rPr>
        <w:t>11</w:t>
      </w:r>
      <w:r w:rsidRPr="00033476">
        <w:rPr>
          <w:rFonts w:cs="Arial"/>
          <w:b/>
          <w:i/>
        </w:rPr>
        <w:t>.1.1.1</w:t>
      </w:r>
      <w:r w:rsidR="009B4EBD">
        <w:rPr>
          <w:rFonts w:cs="Arial"/>
          <w:b/>
          <w:i/>
        </w:rPr>
        <w:t>7</w:t>
      </w:r>
    </w:p>
    <w:p w14:paraId="289773D8" w14:textId="5BDBADDC" w:rsidR="00D74C2A" w:rsidRPr="00033476" w:rsidRDefault="00D74C2A" w:rsidP="007C4955">
      <w:pPr>
        <w:contextualSpacing/>
        <w:rPr>
          <w:rFonts w:cs="Arial"/>
          <w:b/>
          <w:i/>
        </w:rPr>
      </w:pPr>
      <w:r w:rsidRPr="00033476">
        <w:rPr>
          <w:rFonts w:cs="Arial"/>
          <w:b/>
          <w:i/>
        </w:rPr>
        <w:t xml:space="preserve">Čerpání finančních prostředků státního rozpočtu v rámci programu </w:t>
      </w:r>
      <w:r w:rsidR="00102AA1" w:rsidRPr="00033476">
        <w:rPr>
          <w:rFonts w:cs="Arial"/>
          <w:b/>
          <w:i/>
        </w:rPr>
        <w:t xml:space="preserve">Ministerstva zemědělství </w:t>
      </w:r>
      <w:r w:rsidR="00716382" w:rsidRPr="00033476">
        <w:rPr>
          <w:rFonts w:cs="Arial"/>
          <w:b/>
          <w:i/>
        </w:rPr>
        <w:t xml:space="preserve">dotačního programu 17 </w:t>
      </w:r>
      <w:r w:rsidR="00716382" w:rsidRPr="00033476">
        <w:rPr>
          <w:rFonts w:cs="Arial"/>
          <w:b/>
          <w:bCs/>
          <w:i/>
          <w:lang w:eastAsia="cs-CZ"/>
        </w:rPr>
        <w:t>„Podpora mimoprodukčních funkcí rybářských revírů“</w:t>
      </w:r>
      <w:r w:rsidR="009D58BD" w:rsidRPr="00033476">
        <w:rPr>
          <w:rFonts w:cs="Arial"/>
          <w:b/>
          <w:bCs/>
          <w:i/>
          <w:lang w:eastAsia="cs-CZ"/>
        </w:rPr>
        <w:t xml:space="preserve"> </w:t>
      </w:r>
      <w:r w:rsidRPr="00033476">
        <w:rPr>
          <w:rFonts w:cs="Arial"/>
          <w:b/>
          <w:i/>
        </w:rPr>
        <w:t>v roce 20</w:t>
      </w:r>
      <w:r w:rsidR="00102AA1" w:rsidRPr="00033476">
        <w:rPr>
          <w:rFonts w:cs="Arial"/>
          <w:b/>
          <w:i/>
        </w:rPr>
        <w:t>2</w:t>
      </w:r>
      <w:r w:rsidR="00033476">
        <w:rPr>
          <w:rFonts w:cs="Arial"/>
          <w:b/>
          <w:i/>
        </w:rPr>
        <w:t>5</w:t>
      </w:r>
    </w:p>
    <w:tbl>
      <w:tblPr>
        <w:tblpPr w:leftFromText="141" w:rightFromText="141" w:vertAnchor="text" w:horzAnchor="margin" w:tblpX="70" w:tblpY="41"/>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06"/>
        <w:gridCol w:w="3013"/>
        <w:gridCol w:w="2371"/>
        <w:gridCol w:w="2520"/>
      </w:tblGrid>
      <w:tr w:rsidR="00957AC3" w:rsidRPr="00033476" w14:paraId="5FB77203" w14:textId="77777777" w:rsidTr="00D74C2A">
        <w:trPr>
          <w:trHeight w:val="319"/>
        </w:trPr>
        <w:tc>
          <w:tcPr>
            <w:tcW w:w="800" w:type="pct"/>
            <w:vMerge w:val="restart"/>
            <w:shd w:val="clear" w:color="auto" w:fill="BFBFBF"/>
            <w:vAlign w:val="center"/>
          </w:tcPr>
          <w:p w14:paraId="5543EED3" w14:textId="77777777" w:rsidR="00D74C2A" w:rsidRPr="00033476" w:rsidRDefault="00D74C2A" w:rsidP="007C4955">
            <w:pPr>
              <w:contextualSpacing/>
              <w:jc w:val="center"/>
              <w:rPr>
                <w:rFonts w:cs="Arial"/>
                <w:b/>
                <w:sz w:val="18"/>
                <w:szCs w:val="18"/>
              </w:rPr>
            </w:pPr>
            <w:r w:rsidRPr="00033476">
              <w:rPr>
                <w:rFonts w:cs="Arial"/>
                <w:b/>
                <w:sz w:val="18"/>
                <w:szCs w:val="18"/>
              </w:rPr>
              <w:t>Program</w:t>
            </w:r>
          </w:p>
        </w:tc>
        <w:tc>
          <w:tcPr>
            <w:tcW w:w="1601" w:type="pct"/>
            <w:vMerge w:val="restart"/>
            <w:shd w:val="clear" w:color="auto" w:fill="BFBFBF"/>
            <w:noWrap/>
            <w:vAlign w:val="center"/>
          </w:tcPr>
          <w:p w14:paraId="2A2DE7D3" w14:textId="77777777" w:rsidR="00D74C2A" w:rsidRPr="00033476" w:rsidRDefault="00D74C2A" w:rsidP="007C4955">
            <w:pPr>
              <w:contextualSpacing/>
              <w:jc w:val="center"/>
              <w:rPr>
                <w:rFonts w:cs="Arial"/>
                <w:b/>
                <w:sz w:val="18"/>
                <w:szCs w:val="18"/>
              </w:rPr>
            </w:pPr>
            <w:r w:rsidRPr="00033476">
              <w:rPr>
                <w:rFonts w:cs="Arial"/>
                <w:b/>
                <w:sz w:val="18"/>
                <w:szCs w:val="18"/>
              </w:rPr>
              <w:t>Počet přijatých žádostí</w:t>
            </w:r>
          </w:p>
        </w:tc>
        <w:tc>
          <w:tcPr>
            <w:tcW w:w="1260" w:type="pct"/>
            <w:vMerge w:val="restart"/>
            <w:shd w:val="clear" w:color="auto" w:fill="BFBFBF"/>
            <w:vAlign w:val="center"/>
          </w:tcPr>
          <w:p w14:paraId="3E2354F5" w14:textId="77777777" w:rsidR="00D74C2A" w:rsidRPr="00033476" w:rsidRDefault="00D74C2A" w:rsidP="007C4955">
            <w:pPr>
              <w:contextualSpacing/>
              <w:jc w:val="center"/>
              <w:rPr>
                <w:rFonts w:cs="Arial"/>
                <w:b/>
                <w:sz w:val="18"/>
                <w:szCs w:val="18"/>
              </w:rPr>
            </w:pPr>
            <w:r w:rsidRPr="00033476">
              <w:rPr>
                <w:rFonts w:cs="Arial"/>
                <w:b/>
                <w:sz w:val="18"/>
                <w:szCs w:val="18"/>
              </w:rPr>
              <w:t>Počet financovaných akcí</w:t>
            </w:r>
          </w:p>
        </w:tc>
        <w:tc>
          <w:tcPr>
            <w:tcW w:w="1339" w:type="pct"/>
            <w:shd w:val="clear" w:color="auto" w:fill="BFBFBF"/>
            <w:noWrap/>
            <w:vAlign w:val="center"/>
          </w:tcPr>
          <w:p w14:paraId="6C7F0388" w14:textId="77777777" w:rsidR="00D74C2A" w:rsidRPr="00033476" w:rsidRDefault="00D74C2A" w:rsidP="007C4955">
            <w:pPr>
              <w:contextualSpacing/>
              <w:jc w:val="center"/>
              <w:rPr>
                <w:rFonts w:cs="Arial"/>
                <w:b/>
                <w:sz w:val="18"/>
                <w:szCs w:val="18"/>
              </w:rPr>
            </w:pPr>
            <w:r w:rsidRPr="00033476">
              <w:rPr>
                <w:rFonts w:cs="Arial"/>
                <w:b/>
                <w:sz w:val="18"/>
                <w:szCs w:val="18"/>
              </w:rPr>
              <w:t>Finanční podpora</w:t>
            </w:r>
          </w:p>
        </w:tc>
      </w:tr>
      <w:tr w:rsidR="00957AC3" w:rsidRPr="00033476" w14:paraId="704B0507" w14:textId="77777777" w:rsidTr="00D74C2A">
        <w:trPr>
          <w:trHeight w:val="146"/>
        </w:trPr>
        <w:tc>
          <w:tcPr>
            <w:tcW w:w="800" w:type="pct"/>
            <w:vMerge/>
            <w:shd w:val="clear" w:color="auto" w:fill="BFBFBF"/>
            <w:vAlign w:val="center"/>
          </w:tcPr>
          <w:p w14:paraId="1B9DD5CD" w14:textId="77777777" w:rsidR="00D74C2A" w:rsidRPr="00033476" w:rsidRDefault="00D74C2A" w:rsidP="007C4955">
            <w:pPr>
              <w:contextualSpacing/>
              <w:jc w:val="center"/>
              <w:rPr>
                <w:rFonts w:cs="Arial"/>
                <w:b/>
                <w:sz w:val="18"/>
                <w:szCs w:val="18"/>
              </w:rPr>
            </w:pPr>
          </w:p>
        </w:tc>
        <w:tc>
          <w:tcPr>
            <w:tcW w:w="1601" w:type="pct"/>
            <w:vMerge/>
            <w:shd w:val="clear" w:color="auto" w:fill="BFBFBF"/>
            <w:noWrap/>
            <w:vAlign w:val="center"/>
          </w:tcPr>
          <w:p w14:paraId="111FE4DB" w14:textId="77777777" w:rsidR="00D74C2A" w:rsidRPr="00033476" w:rsidRDefault="00D74C2A" w:rsidP="007C4955">
            <w:pPr>
              <w:contextualSpacing/>
              <w:jc w:val="center"/>
              <w:rPr>
                <w:rFonts w:cs="Arial"/>
                <w:b/>
                <w:sz w:val="18"/>
                <w:szCs w:val="18"/>
              </w:rPr>
            </w:pPr>
          </w:p>
        </w:tc>
        <w:tc>
          <w:tcPr>
            <w:tcW w:w="1260" w:type="pct"/>
            <w:vMerge/>
            <w:shd w:val="clear" w:color="auto" w:fill="BFBFBF"/>
            <w:vAlign w:val="center"/>
          </w:tcPr>
          <w:p w14:paraId="0F9B4EB3" w14:textId="77777777" w:rsidR="00D74C2A" w:rsidRPr="00033476" w:rsidRDefault="00D74C2A" w:rsidP="007C4955">
            <w:pPr>
              <w:contextualSpacing/>
              <w:jc w:val="center"/>
              <w:rPr>
                <w:rFonts w:cs="Arial"/>
                <w:b/>
                <w:sz w:val="18"/>
                <w:szCs w:val="18"/>
              </w:rPr>
            </w:pPr>
          </w:p>
        </w:tc>
        <w:tc>
          <w:tcPr>
            <w:tcW w:w="1339" w:type="pct"/>
            <w:shd w:val="clear" w:color="auto" w:fill="BFBFBF"/>
            <w:noWrap/>
            <w:vAlign w:val="center"/>
          </w:tcPr>
          <w:p w14:paraId="5426D1CA" w14:textId="77777777" w:rsidR="00D74C2A" w:rsidRPr="00033476" w:rsidRDefault="00D74C2A" w:rsidP="007C4955">
            <w:pPr>
              <w:contextualSpacing/>
              <w:jc w:val="center"/>
              <w:rPr>
                <w:rFonts w:cs="Arial"/>
                <w:b/>
                <w:sz w:val="18"/>
                <w:szCs w:val="18"/>
              </w:rPr>
            </w:pPr>
            <w:r w:rsidRPr="00033476">
              <w:rPr>
                <w:rFonts w:cs="Arial"/>
                <w:b/>
                <w:sz w:val="18"/>
                <w:szCs w:val="18"/>
              </w:rPr>
              <w:t>mil. Kč</w:t>
            </w:r>
          </w:p>
        </w:tc>
      </w:tr>
      <w:tr w:rsidR="00A631F3" w:rsidRPr="00033476" w14:paraId="17CDAB2A" w14:textId="77777777" w:rsidTr="00E33853">
        <w:trPr>
          <w:trHeight w:val="244"/>
        </w:trPr>
        <w:tc>
          <w:tcPr>
            <w:tcW w:w="800" w:type="pct"/>
            <w:shd w:val="clear" w:color="auto" w:fill="FFFFFF"/>
          </w:tcPr>
          <w:p w14:paraId="090CC4CC" w14:textId="77777777" w:rsidR="00A631F3" w:rsidRPr="00033476" w:rsidRDefault="00A631F3" w:rsidP="00A631F3">
            <w:pPr>
              <w:contextualSpacing/>
              <w:rPr>
                <w:rFonts w:eastAsia="Gill Sans MT" w:cs="Arial"/>
                <w:b/>
                <w:sz w:val="18"/>
                <w:szCs w:val="18"/>
                <w:lang w:eastAsia="cs-CZ"/>
              </w:rPr>
            </w:pPr>
            <w:r w:rsidRPr="00033476">
              <w:rPr>
                <w:b/>
                <w:bCs/>
                <w:sz w:val="18"/>
                <w:szCs w:val="18"/>
                <w:lang w:eastAsia="cs-CZ"/>
              </w:rPr>
              <w:t>17.A</w:t>
            </w:r>
          </w:p>
        </w:tc>
        <w:tc>
          <w:tcPr>
            <w:tcW w:w="1601" w:type="pct"/>
            <w:shd w:val="clear" w:color="auto" w:fill="FFFFFF"/>
          </w:tcPr>
          <w:p w14:paraId="49E68546" w14:textId="284DF4EB" w:rsidR="00A631F3" w:rsidRPr="00033476" w:rsidRDefault="00A631F3" w:rsidP="00A631F3">
            <w:pPr>
              <w:contextualSpacing/>
              <w:jc w:val="center"/>
              <w:rPr>
                <w:rFonts w:eastAsia="Gill Sans MT" w:cs="Arial"/>
                <w:sz w:val="18"/>
                <w:szCs w:val="18"/>
                <w:lang w:eastAsia="cs-CZ"/>
              </w:rPr>
            </w:pPr>
            <w:r w:rsidRPr="00033476">
              <w:rPr>
                <w:color w:val="000000"/>
                <w:sz w:val="18"/>
                <w:szCs w:val="18"/>
                <w:lang w:eastAsia="cs-CZ"/>
              </w:rPr>
              <w:t>6</w:t>
            </w:r>
            <w:r w:rsidR="00033476">
              <w:rPr>
                <w:color w:val="000000"/>
                <w:sz w:val="18"/>
                <w:szCs w:val="18"/>
                <w:lang w:eastAsia="cs-CZ"/>
              </w:rPr>
              <w:t>2</w:t>
            </w:r>
          </w:p>
        </w:tc>
        <w:tc>
          <w:tcPr>
            <w:tcW w:w="1260" w:type="pct"/>
            <w:shd w:val="clear" w:color="auto" w:fill="FFFFFF"/>
          </w:tcPr>
          <w:p w14:paraId="2B93ACFE" w14:textId="3669429D" w:rsidR="00A631F3" w:rsidRPr="00033476" w:rsidRDefault="00A631F3" w:rsidP="00A631F3">
            <w:pPr>
              <w:contextualSpacing/>
              <w:jc w:val="center"/>
              <w:rPr>
                <w:rFonts w:eastAsia="Gill Sans MT" w:cs="Arial"/>
                <w:sz w:val="18"/>
                <w:szCs w:val="18"/>
                <w:lang w:eastAsia="cs-CZ"/>
              </w:rPr>
            </w:pPr>
            <w:r w:rsidRPr="00033476">
              <w:rPr>
                <w:color w:val="000000"/>
                <w:sz w:val="18"/>
                <w:szCs w:val="18"/>
              </w:rPr>
              <w:t>6</w:t>
            </w:r>
            <w:r w:rsidR="00033476">
              <w:rPr>
                <w:color w:val="000000"/>
                <w:sz w:val="18"/>
                <w:szCs w:val="18"/>
              </w:rPr>
              <w:t>2</w:t>
            </w:r>
          </w:p>
        </w:tc>
        <w:tc>
          <w:tcPr>
            <w:tcW w:w="1339" w:type="pct"/>
            <w:shd w:val="clear" w:color="auto" w:fill="FFFFFF"/>
            <w:noWrap/>
          </w:tcPr>
          <w:p w14:paraId="5B604897" w14:textId="5C70106B" w:rsidR="00A631F3" w:rsidRPr="00033476" w:rsidRDefault="00A631F3" w:rsidP="00A631F3">
            <w:pPr>
              <w:contextualSpacing/>
              <w:jc w:val="center"/>
              <w:rPr>
                <w:rFonts w:eastAsia="Gill Sans MT" w:cs="Arial"/>
                <w:sz w:val="18"/>
                <w:szCs w:val="18"/>
                <w:lang w:eastAsia="cs-CZ"/>
              </w:rPr>
            </w:pPr>
            <w:r w:rsidRPr="00033476">
              <w:rPr>
                <w:color w:val="000000"/>
                <w:sz w:val="18"/>
                <w:szCs w:val="18"/>
              </w:rPr>
              <w:t>1</w:t>
            </w:r>
            <w:r w:rsidR="00033476">
              <w:rPr>
                <w:color w:val="000000"/>
                <w:sz w:val="18"/>
                <w:szCs w:val="18"/>
              </w:rPr>
              <w:t>9,219</w:t>
            </w:r>
          </w:p>
        </w:tc>
      </w:tr>
      <w:tr w:rsidR="00A631F3" w:rsidRPr="00033476" w14:paraId="2655D439" w14:textId="77777777" w:rsidTr="00E33853">
        <w:trPr>
          <w:trHeight w:val="244"/>
        </w:trPr>
        <w:tc>
          <w:tcPr>
            <w:tcW w:w="800" w:type="pct"/>
            <w:shd w:val="clear" w:color="auto" w:fill="FFFFFF"/>
          </w:tcPr>
          <w:p w14:paraId="482C29B9" w14:textId="77777777" w:rsidR="00A631F3" w:rsidRPr="00033476" w:rsidRDefault="00A631F3" w:rsidP="00A631F3">
            <w:pPr>
              <w:contextualSpacing/>
              <w:rPr>
                <w:rFonts w:eastAsia="Gill Sans MT" w:cs="Arial"/>
                <w:b/>
                <w:sz w:val="18"/>
                <w:szCs w:val="18"/>
                <w:lang w:eastAsia="cs-CZ"/>
              </w:rPr>
            </w:pPr>
            <w:r w:rsidRPr="00033476">
              <w:rPr>
                <w:b/>
                <w:bCs/>
                <w:sz w:val="18"/>
                <w:szCs w:val="18"/>
                <w:lang w:eastAsia="cs-CZ"/>
              </w:rPr>
              <w:t>17.B</w:t>
            </w:r>
          </w:p>
        </w:tc>
        <w:tc>
          <w:tcPr>
            <w:tcW w:w="1601" w:type="pct"/>
            <w:shd w:val="clear" w:color="auto" w:fill="FFFFFF"/>
          </w:tcPr>
          <w:p w14:paraId="61497246" w14:textId="79667134" w:rsidR="00A631F3" w:rsidRPr="00033476" w:rsidRDefault="00A631F3" w:rsidP="00A631F3">
            <w:pPr>
              <w:contextualSpacing/>
              <w:jc w:val="center"/>
              <w:rPr>
                <w:rFonts w:eastAsia="Gill Sans MT" w:cs="Arial"/>
                <w:sz w:val="18"/>
                <w:szCs w:val="18"/>
                <w:lang w:eastAsia="cs-CZ"/>
              </w:rPr>
            </w:pPr>
            <w:r w:rsidRPr="00033476">
              <w:rPr>
                <w:color w:val="000000"/>
                <w:sz w:val="18"/>
                <w:szCs w:val="18"/>
                <w:lang w:eastAsia="cs-CZ"/>
              </w:rPr>
              <w:t>1</w:t>
            </w:r>
          </w:p>
        </w:tc>
        <w:tc>
          <w:tcPr>
            <w:tcW w:w="1260" w:type="pct"/>
            <w:shd w:val="clear" w:color="auto" w:fill="FFFFFF"/>
          </w:tcPr>
          <w:p w14:paraId="59B1DFFD" w14:textId="739BC9CA" w:rsidR="00A631F3" w:rsidRPr="00033476" w:rsidRDefault="00A631F3" w:rsidP="00A631F3">
            <w:pPr>
              <w:contextualSpacing/>
              <w:jc w:val="center"/>
              <w:rPr>
                <w:rFonts w:eastAsia="Gill Sans MT" w:cs="Arial"/>
                <w:sz w:val="18"/>
                <w:szCs w:val="18"/>
                <w:lang w:eastAsia="cs-CZ"/>
              </w:rPr>
            </w:pPr>
            <w:r w:rsidRPr="00033476">
              <w:rPr>
                <w:color w:val="000000"/>
                <w:sz w:val="18"/>
                <w:szCs w:val="18"/>
              </w:rPr>
              <w:t>1</w:t>
            </w:r>
          </w:p>
        </w:tc>
        <w:tc>
          <w:tcPr>
            <w:tcW w:w="1339" w:type="pct"/>
            <w:shd w:val="clear" w:color="auto" w:fill="FFFFFF"/>
            <w:noWrap/>
          </w:tcPr>
          <w:p w14:paraId="17EAD0B8" w14:textId="26422911" w:rsidR="00A631F3" w:rsidRPr="00033476" w:rsidRDefault="00A631F3" w:rsidP="00A631F3">
            <w:pPr>
              <w:contextualSpacing/>
              <w:jc w:val="center"/>
              <w:rPr>
                <w:rFonts w:eastAsia="Gill Sans MT" w:cs="Arial"/>
                <w:sz w:val="18"/>
                <w:szCs w:val="18"/>
                <w:lang w:eastAsia="cs-CZ"/>
              </w:rPr>
            </w:pPr>
            <w:r w:rsidRPr="00033476">
              <w:rPr>
                <w:color w:val="000000"/>
                <w:sz w:val="18"/>
                <w:szCs w:val="18"/>
              </w:rPr>
              <w:t>0,750</w:t>
            </w:r>
          </w:p>
        </w:tc>
      </w:tr>
      <w:tr w:rsidR="00A631F3" w:rsidRPr="00033476" w14:paraId="76C44589" w14:textId="77777777" w:rsidTr="00A918C4">
        <w:trPr>
          <w:trHeight w:val="244"/>
        </w:trPr>
        <w:tc>
          <w:tcPr>
            <w:tcW w:w="800" w:type="pct"/>
            <w:shd w:val="clear" w:color="auto" w:fill="BFBFBF"/>
          </w:tcPr>
          <w:p w14:paraId="45BB5D15" w14:textId="77777777" w:rsidR="00A631F3" w:rsidRPr="00033476" w:rsidRDefault="00A631F3" w:rsidP="00A631F3">
            <w:pPr>
              <w:shd w:val="clear" w:color="auto" w:fill="BFBFBF"/>
              <w:contextualSpacing/>
              <w:rPr>
                <w:rFonts w:eastAsia="Gill Sans MT" w:cs="Arial"/>
                <w:b/>
                <w:sz w:val="18"/>
                <w:szCs w:val="18"/>
                <w:lang w:eastAsia="cs-CZ"/>
              </w:rPr>
            </w:pPr>
            <w:r w:rsidRPr="00033476">
              <w:rPr>
                <w:rFonts w:eastAsia="Gill Sans MT" w:cs="Arial"/>
                <w:b/>
                <w:sz w:val="18"/>
                <w:szCs w:val="18"/>
                <w:lang w:eastAsia="cs-CZ"/>
              </w:rPr>
              <w:t>Celkem</w:t>
            </w:r>
          </w:p>
        </w:tc>
        <w:tc>
          <w:tcPr>
            <w:tcW w:w="1601" w:type="pct"/>
            <w:shd w:val="clear" w:color="auto" w:fill="BFBFBF"/>
          </w:tcPr>
          <w:p w14:paraId="3FEEC852" w14:textId="5C3E8C3A" w:rsidR="00A631F3" w:rsidRPr="00033476" w:rsidRDefault="00A631F3" w:rsidP="00A631F3">
            <w:pPr>
              <w:shd w:val="clear" w:color="auto" w:fill="BFBFBF"/>
              <w:contextualSpacing/>
              <w:jc w:val="center"/>
              <w:rPr>
                <w:rFonts w:eastAsia="Gill Sans MT" w:cs="Arial"/>
                <w:b/>
                <w:sz w:val="18"/>
                <w:szCs w:val="18"/>
                <w:lang w:eastAsia="cs-CZ"/>
              </w:rPr>
            </w:pPr>
            <w:r w:rsidRPr="00033476">
              <w:rPr>
                <w:rFonts w:eastAsia="Gill Sans MT" w:cs="Arial"/>
                <w:b/>
                <w:sz w:val="18"/>
                <w:szCs w:val="18"/>
                <w:lang w:eastAsia="cs-CZ"/>
              </w:rPr>
              <w:t>6</w:t>
            </w:r>
            <w:r w:rsidR="00033476">
              <w:rPr>
                <w:rFonts w:eastAsia="Gill Sans MT" w:cs="Arial"/>
                <w:b/>
                <w:sz w:val="18"/>
                <w:szCs w:val="18"/>
                <w:lang w:eastAsia="cs-CZ"/>
              </w:rPr>
              <w:t>3</w:t>
            </w:r>
          </w:p>
        </w:tc>
        <w:tc>
          <w:tcPr>
            <w:tcW w:w="1260" w:type="pct"/>
            <w:shd w:val="clear" w:color="auto" w:fill="BFBFBF"/>
          </w:tcPr>
          <w:p w14:paraId="4687B586" w14:textId="0A127467" w:rsidR="00A631F3" w:rsidRPr="00033476" w:rsidRDefault="00A631F3" w:rsidP="00A631F3">
            <w:pPr>
              <w:shd w:val="clear" w:color="auto" w:fill="BFBFBF"/>
              <w:contextualSpacing/>
              <w:jc w:val="center"/>
              <w:rPr>
                <w:rFonts w:eastAsia="Gill Sans MT" w:cs="Arial"/>
                <w:b/>
                <w:sz w:val="18"/>
                <w:szCs w:val="18"/>
                <w:lang w:eastAsia="cs-CZ"/>
              </w:rPr>
            </w:pPr>
            <w:r w:rsidRPr="00033476">
              <w:rPr>
                <w:b/>
                <w:bCs/>
                <w:color w:val="000000"/>
                <w:sz w:val="18"/>
                <w:szCs w:val="18"/>
              </w:rPr>
              <w:t>6</w:t>
            </w:r>
            <w:r w:rsidR="00033476">
              <w:rPr>
                <w:b/>
                <w:bCs/>
                <w:color w:val="000000"/>
                <w:sz w:val="18"/>
                <w:szCs w:val="18"/>
              </w:rPr>
              <w:t>3</w:t>
            </w:r>
          </w:p>
        </w:tc>
        <w:tc>
          <w:tcPr>
            <w:tcW w:w="1339" w:type="pct"/>
            <w:shd w:val="clear" w:color="auto" w:fill="BFBFBF"/>
            <w:noWrap/>
          </w:tcPr>
          <w:p w14:paraId="5F4BB74F" w14:textId="4D068A4B" w:rsidR="00A631F3" w:rsidRPr="00033476" w:rsidRDefault="00A631F3" w:rsidP="00A631F3">
            <w:pPr>
              <w:shd w:val="clear" w:color="auto" w:fill="BFBFBF"/>
              <w:contextualSpacing/>
              <w:jc w:val="center"/>
              <w:rPr>
                <w:rFonts w:eastAsia="Gill Sans MT" w:cs="Arial"/>
                <w:b/>
                <w:sz w:val="18"/>
                <w:szCs w:val="18"/>
                <w:lang w:eastAsia="cs-CZ"/>
              </w:rPr>
            </w:pPr>
            <w:r w:rsidRPr="00033476">
              <w:rPr>
                <w:b/>
                <w:bCs/>
                <w:color w:val="000000"/>
                <w:sz w:val="18"/>
                <w:szCs w:val="18"/>
              </w:rPr>
              <w:t>1</w:t>
            </w:r>
            <w:r w:rsidR="005560DB">
              <w:rPr>
                <w:b/>
                <w:bCs/>
                <w:color w:val="000000"/>
                <w:sz w:val="18"/>
                <w:szCs w:val="18"/>
              </w:rPr>
              <w:t>9,969</w:t>
            </w:r>
          </w:p>
        </w:tc>
      </w:tr>
    </w:tbl>
    <w:p w14:paraId="62AC91ED" w14:textId="77777777" w:rsidR="00D74C2A" w:rsidRPr="00033476" w:rsidRDefault="00D74C2A" w:rsidP="007C3FC0">
      <w:pPr>
        <w:contextualSpacing/>
        <w:rPr>
          <w:rFonts w:cs="Arial"/>
          <w:i/>
          <w:sz w:val="20"/>
          <w:szCs w:val="20"/>
        </w:rPr>
      </w:pPr>
      <w:r w:rsidRPr="00033476">
        <w:rPr>
          <w:rFonts w:cs="Arial"/>
          <w:i/>
          <w:sz w:val="20"/>
          <w:szCs w:val="20"/>
        </w:rPr>
        <w:t>Pramen: MZe</w:t>
      </w:r>
    </w:p>
    <w:p w14:paraId="4BACAA21" w14:textId="77777777" w:rsidR="00EE3EB2" w:rsidRPr="00104F7D" w:rsidRDefault="00EE3EB2" w:rsidP="00EE3EB2">
      <w:pPr>
        <w:contextualSpacing/>
        <w:rPr>
          <w:b/>
          <w:highlight w:val="yellow"/>
        </w:rPr>
      </w:pPr>
    </w:p>
    <w:p w14:paraId="3FEC3A27" w14:textId="467779B1" w:rsidR="00FC208D" w:rsidRPr="00906E6E" w:rsidRDefault="00FC208D" w:rsidP="0051722A">
      <w:pPr>
        <w:rPr>
          <w:rFonts w:cs="Arial"/>
          <w:b/>
        </w:rPr>
      </w:pPr>
      <w:r w:rsidRPr="00906E6E">
        <w:rPr>
          <w:rFonts w:cs="Arial"/>
          <w:b/>
        </w:rPr>
        <w:t>Operační program Rybářství 2021–2027</w:t>
      </w:r>
    </w:p>
    <w:p w14:paraId="2597B779" w14:textId="77777777" w:rsidR="00625AE4" w:rsidRPr="00104F7D" w:rsidRDefault="00625AE4" w:rsidP="0051722A">
      <w:pPr>
        <w:rPr>
          <w:rFonts w:cs="Arial"/>
          <w:b/>
          <w:bCs/>
          <w:highlight w:val="yellow"/>
        </w:rPr>
      </w:pPr>
    </w:p>
    <w:p w14:paraId="76F0FBAB" w14:textId="77777777" w:rsidR="007674E5" w:rsidRPr="007400C4" w:rsidRDefault="007674E5" w:rsidP="007674E5">
      <w:pPr>
        <w:rPr>
          <w:rFonts w:cs="Arial"/>
          <w:b/>
          <w:bCs/>
        </w:rPr>
      </w:pPr>
      <w:r w:rsidRPr="007400C4">
        <w:rPr>
          <w:rFonts w:cs="Arial"/>
          <w:b/>
          <w:bCs/>
        </w:rPr>
        <w:t>Ministerstvo zemědělství v roce 202</w:t>
      </w:r>
      <w:r>
        <w:rPr>
          <w:rFonts w:cs="Arial"/>
          <w:b/>
          <w:bCs/>
        </w:rPr>
        <w:t>5</w:t>
      </w:r>
      <w:r w:rsidRPr="007400C4">
        <w:rPr>
          <w:rFonts w:cs="Arial"/>
          <w:b/>
          <w:bCs/>
        </w:rPr>
        <w:t xml:space="preserve"> </w:t>
      </w:r>
      <w:r>
        <w:rPr>
          <w:rFonts w:cs="Arial"/>
          <w:b/>
          <w:bCs/>
        </w:rPr>
        <w:t>proplatilo</w:t>
      </w:r>
      <w:r w:rsidRPr="007400C4">
        <w:rPr>
          <w:rFonts w:cs="Arial"/>
          <w:b/>
          <w:bCs/>
        </w:rPr>
        <w:t xml:space="preserve"> z Operačního programu Rybářství 2021–2027 </w:t>
      </w:r>
      <w:r>
        <w:rPr>
          <w:rFonts w:cs="Arial"/>
          <w:b/>
          <w:bCs/>
        </w:rPr>
        <w:t>dotace 179</w:t>
      </w:r>
      <w:r w:rsidRPr="00B93C24">
        <w:rPr>
          <w:rFonts w:cs="Arial"/>
          <w:b/>
          <w:bCs/>
        </w:rPr>
        <w:t xml:space="preserve"> projektům v celkové výši cca </w:t>
      </w:r>
      <w:r>
        <w:rPr>
          <w:rFonts w:cs="Arial"/>
          <w:b/>
          <w:bCs/>
        </w:rPr>
        <w:t>137,58</w:t>
      </w:r>
      <w:r w:rsidRPr="00B93C24">
        <w:rPr>
          <w:rFonts w:cs="Arial"/>
          <w:b/>
          <w:bCs/>
        </w:rPr>
        <w:t> mil. Kč</w:t>
      </w:r>
      <w:r w:rsidRPr="007400C4">
        <w:rPr>
          <w:rFonts w:cs="Arial"/>
          <w:b/>
          <w:bCs/>
        </w:rPr>
        <w:t xml:space="preserve">. </w:t>
      </w:r>
    </w:p>
    <w:p w14:paraId="155DC80A" w14:textId="77777777" w:rsidR="008E6A75" w:rsidRPr="00104F7D" w:rsidRDefault="008E6A75" w:rsidP="008E6A75">
      <w:pPr>
        <w:rPr>
          <w:rFonts w:cs="Arial"/>
          <w:highlight w:val="yellow"/>
        </w:rPr>
      </w:pPr>
    </w:p>
    <w:p w14:paraId="30D0F921" w14:textId="77777777" w:rsidR="00D4044A" w:rsidRPr="00A26CE4" w:rsidRDefault="00D4044A" w:rsidP="00D4044A">
      <w:pPr>
        <w:rPr>
          <w:rFonts w:cs="Arial"/>
        </w:rPr>
      </w:pPr>
      <w:r w:rsidRPr="00897469">
        <w:rPr>
          <w:rFonts w:cs="Arial"/>
        </w:rPr>
        <w:t>Operační program Rybářství 20</w:t>
      </w:r>
      <w:r>
        <w:rPr>
          <w:rFonts w:cs="Arial"/>
        </w:rPr>
        <w:t>2</w:t>
      </w:r>
      <w:r w:rsidRPr="00897469">
        <w:rPr>
          <w:rFonts w:cs="Arial"/>
        </w:rPr>
        <w:t>1–202</w:t>
      </w:r>
      <w:r>
        <w:rPr>
          <w:rFonts w:cs="Arial"/>
        </w:rPr>
        <w:t>7</w:t>
      </w:r>
      <w:r w:rsidRPr="00897469">
        <w:rPr>
          <w:rFonts w:cs="Arial"/>
        </w:rPr>
        <w:t xml:space="preserve"> je program, z něhož mohou rybáři čerpat finanční prostředky z Evropského námořního</w:t>
      </w:r>
      <w:r>
        <w:rPr>
          <w:rFonts w:cs="Arial"/>
        </w:rPr>
        <w:t>,</w:t>
      </w:r>
      <w:r w:rsidRPr="00897469">
        <w:rPr>
          <w:rFonts w:cs="Arial"/>
        </w:rPr>
        <w:t xml:space="preserve"> rybářského </w:t>
      </w:r>
      <w:r>
        <w:rPr>
          <w:rFonts w:cs="Arial"/>
        </w:rPr>
        <w:t xml:space="preserve">a akvakulturního </w:t>
      </w:r>
      <w:r w:rsidRPr="00897469">
        <w:rPr>
          <w:rFonts w:cs="Arial"/>
        </w:rPr>
        <w:t>fondu v</w:t>
      </w:r>
      <w:r>
        <w:rPr>
          <w:rFonts w:cs="Arial"/>
        </w:rPr>
        <w:t> </w:t>
      </w:r>
      <w:r w:rsidRPr="00897469">
        <w:rPr>
          <w:rFonts w:cs="Arial"/>
        </w:rPr>
        <w:t>rámci</w:t>
      </w:r>
      <w:r>
        <w:rPr>
          <w:rFonts w:cs="Arial"/>
        </w:rPr>
        <w:t xml:space="preserve"> </w:t>
      </w:r>
      <w:r w:rsidRPr="00465A09">
        <w:rPr>
          <w:rFonts w:cs="Arial"/>
        </w:rPr>
        <w:t>priority 1</w:t>
      </w:r>
      <w:r>
        <w:rPr>
          <w:rFonts w:cs="Arial"/>
        </w:rPr>
        <w:t xml:space="preserve"> –</w:t>
      </w:r>
      <w:r w:rsidRPr="00465A09">
        <w:rPr>
          <w:rFonts w:cs="Arial"/>
        </w:rPr>
        <w:t xml:space="preserve"> Podpora udržitelného rybolovu a obnova a zachování vodních biologických zdrojů</w:t>
      </w:r>
      <w:r>
        <w:rPr>
          <w:rFonts w:cs="Arial"/>
        </w:rPr>
        <w:t xml:space="preserve"> na vysazování úhoře. V rámci priority 2 – </w:t>
      </w:r>
      <w:r w:rsidRPr="00A26CE4">
        <w:rPr>
          <w:rFonts w:cs="Arial"/>
        </w:rPr>
        <w:t>Podpora udržitelných akvakulturních činností, zpracování produktů rybolovu a akvakultury a jejich uvádění na trh, čímž se přispívá k potravinovému zabezpečení v</w:t>
      </w:r>
      <w:r>
        <w:rPr>
          <w:rFonts w:cs="Arial"/>
        </w:rPr>
        <w:t> </w:t>
      </w:r>
      <w:r w:rsidRPr="00A26CE4">
        <w:rPr>
          <w:rFonts w:cs="Arial"/>
        </w:rPr>
        <w:t>Unii</w:t>
      </w:r>
      <w:r>
        <w:rPr>
          <w:rFonts w:cs="Arial"/>
        </w:rPr>
        <w:t xml:space="preserve"> se podporují inovace, investice do akvakultury a zpracování, kompenzace a propagační kampaně. </w:t>
      </w:r>
    </w:p>
    <w:p w14:paraId="4995AC1F" w14:textId="77777777" w:rsidR="007400C4" w:rsidRPr="00104F7D" w:rsidRDefault="007400C4" w:rsidP="0051722A">
      <w:pPr>
        <w:rPr>
          <w:rFonts w:cs="Arial"/>
          <w:b/>
          <w:bCs/>
          <w:highlight w:val="yellow"/>
        </w:rPr>
      </w:pPr>
    </w:p>
    <w:p w14:paraId="140F1EFF" w14:textId="77777777" w:rsidR="003C6A09" w:rsidRDefault="003C6A09" w:rsidP="00554F22">
      <w:pPr>
        <w:contextualSpacing/>
        <w:rPr>
          <w:b/>
          <w:i/>
        </w:rPr>
      </w:pPr>
    </w:p>
    <w:p w14:paraId="415BB123" w14:textId="1A463FED" w:rsidR="00554F22" w:rsidRPr="005508EA" w:rsidRDefault="00554F22" w:rsidP="00554F22">
      <w:pPr>
        <w:contextualSpacing/>
        <w:rPr>
          <w:b/>
          <w:i/>
        </w:rPr>
      </w:pPr>
      <w:r w:rsidRPr="005508EA">
        <w:rPr>
          <w:b/>
          <w:i/>
        </w:rPr>
        <w:t>Tabulka 11.1.1.1</w:t>
      </w:r>
      <w:r w:rsidR="0004780A" w:rsidRPr="005508EA">
        <w:rPr>
          <w:b/>
          <w:i/>
        </w:rPr>
        <w:t>8</w:t>
      </w:r>
    </w:p>
    <w:p w14:paraId="4F5554E5" w14:textId="7427862C" w:rsidR="00554F22" w:rsidRPr="005508EA" w:rsidRDefault="00554F22" w:rsidP="00554F22">
      <w:pPr>
        <w:contextualSpacing/>
        <w:rPr>
          <w:b/>
          <w:i/>
        </w:rPr>
      </w:pPr>
      <w:r w:rsidRPr="005508EA">
        <w:rPr>
          <w:b/>
          <w:i/>
        </w:rPr>
        <w:t>Operační program Rybářství 2021–2027 – čerpání finančních prostředků v roce 202</w:t>
      </w:r>
      <w:r w:rsidR="003F2915" w:rsidRPr="005508EA">
        <w:rPr>
          <w:b/>
          <w:i/>
        </w:rPr>
        <w:t>5</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9"/>
        <w:gridCol w:w="992"/>
        <w:gridCol w:w="3515"/>
        <w:gridCol w:w="1134"/>
        <w:gridCol w:w="1560"/>
      </w:tblGrid>
      <w:tr w:rsidR="005508EA" w:rsidRPr="003C05FE" w14:paraId="5107D7BF" w14:textId="77777777" w:rsidTr="0072423A">
        <w:trPr>
          <w:trHeight w:val="227"/>
        </w:trPr>
        <w:tc>
          <w:tcPr>
            <w:tcW w:w="2376" w:type="dxa"/>
            <w:shd w:val="clear" w:color="auto" w:fill="BFBFBF"/>
            <w:vAlign w:val="center"/>
          </w:tcPr>
          <w:p w14:paraId="2FCADF5A" w14:textId="77777777" w:rsidR="005508EA" w:rsidRPr="00405AA9" w:rsidRDefault="005508EA" w:rsidP="0072423A">
            <w:pPr>
              <w:contextualSpacing/>
              <w:jc w:val="center"/>
              <w:rPr>
                <w:rFonts w:cs="Arial"/>
                <w:b/>
                <w:sz w:val="18"/>
                <w:szCs w:val="18"/>
              </w:rPr>
            </w:pPr>
            <w:r w:rsidRPr="00405AA9">
              <w:rPr>
                <w:rFonts w:cs="Arial"/>
                <w:b/>
                <w:sz w:val="18"/>
                <w:szCs w:val="18"/>
              </w:rPr>
              <w:t>Priorita</w:t>
            </w:r>
          </w:p>
        </w:tc>
        <w:tc>
          <w:tcPr>
            <w:tcW w:w="1021" w:type="dxa"/>
            <w:gridSpan w:val="2"/>
            <w:shd w:val="clear" w:color="auto" w:fill="BFBFBF"/>
            <w:vAlign w:val="center"/>
          </w:tcPr>
          <w:p w14:paraId="14E757F7" w14:textId="77777777" w:rsidR="005508EA" w:rsidRPr="00405AA9" w:rsidRDefault="005508EA" w:rsidP="0072423A">
            <w:pPr>
              <w:contextualSpacing/>
              <w:jc w:val="center"/>
              <w:rPr>
                <w:rFonts w:cs="Arial"/>
                <w:b/>
                <w:sz w:val="18"/>
                <w:szCs w:val="18"/>
              </w:rPr>
            </w:pPr>
            <w:r w:rsidRPr="00405AA9">
              <w:rPr>
                <w:rFonts w:cs="Arial"/>
                <w:b/>
                <w:sz w:val="18"/>
                <w:szCs w:val="18"/>
              </w:rPr>
              <w:t xml:space="preserve">Číslo </w:t>
            </w:r>
            <w:r>
              <w:rPr>
                <w:rFonts w:cs="Arial"/>
                <w:b/>
                <w:sz w:val="18"/>
                <w:szCs w:val="18"/>
              </w:rPr>
              <w:t>aktivity</w:t>
            </w:r>
          </w:p>
        </w:tc>
        <w:tc>
          <w:tcPr>
            <w:tcW w:w="3515" w:type="dxa"/>
            <w:shd w:val="clear" w:color="auto" w:fill="BFBFBF"/>
            <w:vAlign w:val="center"/>
          </w:tcPr>
          <w:p w14:paraId="0A265129" w14:textId="77777777" w:rsidR="005508EA" w:rsidRPr="00405AA9" w:rsidRDefault="005508EA" w:rsidP="0072423A">
            <w:pPr>
              <w:contextualSpacing/>
              <w:jc w:val="center"/>
              <w:rPr>
                <w:rFonts w:cs="Arial"/>
                <w:b/>
                <w:sz w:val="18"/>
                <w:szCs w:val="18"/>
              </w:rPr>
            </w:pPr>
            <w:r w:rsidRPr="00405AA9">
              <w:rPr>
                <w:rFonts w:cs="Arial"/>
                <w:b/>
                <w:sz w:val="18"/>
                <w:szCs w:val="18"/>
              </w:rPr>
              <w:t xml:space="preserve">Název </w:t>
            </w:r>
            <w:r>
              <w:rPr>
                <w:rFonts w:cs="Arial"/>
                <w:b/>
                <w:sz w:val="18"/>
                <w:szCs w:val="18"/>
              </w:rPr>
              <w:t>aktivity</w:t>
            </w:r>
          </w:p>
        </w:tc>
        <w:tc>
          <w:tcPr>
            <w:tcW w:w="1134" w:type="dxa"/>
            <w:shd w:val="clear" w:color="auto" w:fill="BFBFBF"/>
            <w:vAlign w:val="center"/>
          </w:tcPr>
          <w:p w14:paraId="7B044EBC" w14:textId="77777777" w:rsidR="005508EA" w:rsidRPr="00405AA9" w:rsidRDefault="005508EA" w:rsidP="0072423A">
            <w:pPr>
              <w:contextualSpacing/>
              <w:jc w:val="center"/>
              <w:rPr>
                <w:rFonts w:cs="Arial"/>
                <w:b/>
                <w:sz w:val="18"/>
                <w:szCs w:val="18"/>
              </w:rPr>
            </w:pPr>
            <w:r w:rsidRPr="00405AA9">
              <w:rPr>
                <w:rFonts w:cs="Arial"/>
                <w:b/>
                <w:sz w:val="18"/>
                <w:szCs w:val="18"/>
              </w:rPr>
              <w:t>Počet projektů</w:t>
            </w:r>
          </w:p>
        </w:tc>
        <w:tc>
          <w:tcPr>
            <w:tcW w:w="1560" w:type="dxa"/>
            <w:shd w:val="clear" w:color="auto" w:fill="BFBFBF"/>
            <w:vAlign w:val="center"/>
          </w:tcPr>
          <w:p w14:paraId="6F4D6F04" w14:textId="77777777" w:rsidR="005508EA" w:rsidRPr="00405AA9" w:rsidRDefault="005508EA" w:rsidP="0072423A">
            <w:pPr>
              <w:contextualSpacing/>
              <w:jc w:val="center"/>
              <w:rPr>
                <w:rFonts w:cs="Arial"/>
                <w:b/>
                <w:sz w:val="18"/>
                <w:szCs w:val="18"/>
              </w:rPr>
            </w:pPr>
            <w:r w:rsidRPr="00405AA9">
              <w:rPr>
                <w:rFonts w:cs="Arial"/>
                <w:b/>
                <w:sz w:val="18"/>
                <w:szCs w:val="18"/>
              </w:rPr>
              <w:t>Proplacené finanční prostředky</w:t>
            </w:r>
          </w:p>
          <w:p w14:paraId="08A8DBE0" w14:textId="77777777" w:rsidR="005508EA" w:rsidRPr="00405AA9" w:rsidRDefault="005508EA" w:rsidP="0072423A">
            <w:pPr>
              <w:contextualSpacing/>
              <w:jc w:val="center"/>
              <w:rPr>
                <w:rFonts w:cs="Arial"/>
                <w:b/>
                <w:sz w:val="18"/>
                <w:szCs w:val="18"/>
              </w:rPr>
            </w:pPr>
            <w:r w:rsidRPr="00405AA9">
              <w:rPr>
                <w:rFonts w:cs="Arial"/>
                <w:b/>
                <w:sz w:val="18"/>
                <w:szCs w:val="18"/>
              </w:rPr>
              <w:t>mil. Kč</w:t>
            </w:r>
          </w:p>
        </w:tc>
      </w:tr>
      <w:tr w:rsidR="005508EA" w:rsidRPr="00405AA9" w14:paraId="3A30E091" w14:textId="77777777" w:rsidTr="0072423A">
        <w:trPr>
          <w:trHeight w:val="227"/>
        </w:trPr>
        <w:tc>
          <w:tcPr>
            <w:tcW w:w="2376" w:type="dxa"/>
            <w:vMerge w:val="restart"/>
          </w:tcPr>
          <w:p w14:paraId="34EC9D25" w14:textId="77777777" w:rsidR="005508EA" w:rsidRPr="007667D2" w:rsidRDefault="005508EA" w:rsidP="0072423A">
            <w:pPr>
              <w:ind w:firstLine="28"/>
              <w:contextualSpacing/>
              <w:rPr>
                <w:rFonts w:cs="Arial"/>
                <w:sz w:val="18"/>
                <w:szCs w:val="18"/>
              </w:rPr>
            </w:pPr>
            <w:r>
              <w:rPr>
                <w:rFonts w:cs="Arial"/>
                <w:sz w:val="18"/>
                <w:szCs w:val="18"/>
              </w:rPr>
              <w:t>1</w:t>
            </w:r>
            <w:r w:rsidRPr="00405AA9">
              <w:rPr>
                <w:rFonts w:cs="Arial"/>
                <w:sz w:val="18"/>
                <w:szCs w:val="18"/>
              </w:rPr>
              <w:t xml:space="preserve"> – </w:t>
            </w:r>
            <w:r w:rsidRPr="007667D2">
              <w:rPr>
                <w:rFonts w:cs="Arial"/>
                <w:sz w:val="18"/>
                <w:szCs w:val="18"/>
              </w:rPr>
              <w:t>Podpora udržitelného rybolovu a obnova a</w:t>
            </w:r>
            <w:r>
              <w:rPr>
                <w:rFonts w:cs="Arial"/>
                <w:sz w:val="18"/>
                <w:szCs w:val="18"/>
              </w:rPr>
              <w:t> </w:t>
            </w:r>
            <w:r w:rsidRPr="007667D2">
              <w:rPr>
                <w:rFonts w:cs="Arial"/>
                <w:sz w:val="18"/>
                <w:szCs w:val="18"/>
              </w:rPr>
              <w:t>zachování vodních biologických zdrojů</w:t>
            </w:r>
          </w:p>
        </w:tc>
        <w:tc>
          <w:tcPr>
            <w:tcW w:w="1021" w:type="dxa"/>
            <w:gridSpan w:val="2"/>
          </w:tcPr>
          <w:p w14:paraId="74555759" w14:textId="77777777" w:rsidR="005508EA" w:rsidRPr="00405AA9" w:rsidRDefault="005508EA" w:rsidP="0072423A">
            <w:pPr>
              <w:ind w:firstLine="28"/>
              <w:contextualSpacing/>
              <w:rPr>
                <w:rFonts w:cs="Arial"/>
                <w:bCs/>
                <w:sz w:val="18"/>
                <w:szCs w:val="18"/>
              </w:rPr>
            </w:pPr>
            <w:r w:rsidRPr="00405AA9">
              <w:rPr>
                <w:rFonts w:cs="Arial"/>
                <w:bCs/>
                <w:sz w:val="18"/>
                <w:szCs w:val="18"/>
              </w:rPr>
              <w:t>1</w:t>
            </w:r>
            <w:r>
              <w:rPr>
                <w:rFonts w:cs="Arial"/>
                <w:bCs/>
                <w:sz w:val="18"/>
                <w:szCs w:val="18"/>
              </w:rPr>
              <w:t>.4.1</w:t>
            </w:r>
          </w:p>
        </w:tc>
        <w:tc>
          <w:tcPr>
            <w:tcW w:w="3515" w:type="dxa"/>
          </w:tcPr>
          <w:p w14:paraId="0904F968" w14:textId="77777777" w:rsidR="005508EA" w:rsidRPr="00405AA9" w:rsidRDefault="005508EA" w:rsidP="0072423A">
            <w:pPr>
              <w:contextualSpacing/>
              <w:rPr>
                <w:rFonts w:cs="Arial"/>
                <w:sz w:val="18"/>
                <w:szCs w:val="18"/>
              </w:rPr>
            </w:pPr>
            <w:r>
              <w:rPr>
                <w:rFonts w:cs="Arial"/>
                <w:sz w:val="18"/>
                <w:szCs w:val="18"/>
              </w:rPr>
              <w:t>Shromažďování údajů</w:t>
            </w:r>
          </w:p>
        </w:tc>
        <w:tc>
          <w:tcPr>
            <w:tcW w:w="1134" w:type="dxa"/>
            <w:vAlign w:val="center"/>
          </w:tcPr>
          <w:p w14:paraId="1EE0B8DD" w14:textId="77777777" w:rsidR="005508EA" w:rsidRPr="00405AA9" w:rsidRDefault="005508EA" w:rsidP="0072423A">
            <w:pPr>
              <w:ind w:right="312"/>
              <w:contextualSpacing/>
              <w:jc w:val="right"/>
              <w:rPr>
                <w:rFonts w:cs="Arial"/>
                <w:sz w:val="18"/>
                <w:szCs w:val="18"/>
              </w:rPr>
            </w:pPr>
            <w:r>
              <w:rPr>
                <w:rFonts w:cs="Arial"/>
                <w:sz w:val="18"/>
                <w:szCs w:val="18"/>
              </w:rPr>
              <w:t>4</w:t>
            </w:r>
          </w:p>
        </w:tc>
        <w:tc>
          <w:tcPr>
            <w:tcW w:w="1560" w:type="dxa"/>
            <w:vAlign w:val="center"/>
          </w:tcPr>
          <w:p w14:paraId="2E20C4F6" w14:textId="77777777" w:rsidR="005508EA" w:rsidRPr="00405AA9" w:rsidRDefault="005508EA" w:rsidP="0072423A">
            <w:pPr>
              <w:ind w:right="170"/>
              <w:contextualSpacing/>
              <w:jc w:val="center"/>
              <w:rPr>
                <w:rFonts w:cs="Arial"/>
                <w:sz w:val="18"/>
                <w:szCs w:val="18"/>
              </w:rPr>
            </w:pPr>
            <w:r>
              <w:rPr>
                <w:rFonts w:cs="Arial"/>
                <w:sz w:val="18"/>
                <w:szCs w:val="18"/>
              </w:rPr>
              <w:t>10,3</w:t>
            </w:r>
          </w:p>
        </w:tc>
      </w:tr>
      <w:tr w:rsidR="005508EA" w:rsidRPr="00405AA9" w14:paraId="778AE57E" w14:textId="77777777" w:rsidTr="0072423A">
        <w:trPr>
          <w:trHeight w:val="227"/>
        </w:trPr>
        <w:tc>
          <w:tcPr>
            <w:tcW w:w="2376" w:type="dxa"/>
            <w:vMerge/>
          </w:tcPr>
          <w:p w14:paraId="0023F44B" w14:textId="77777777" w:rsidR="005508EA" w:rsidRPr="00405AA9" w:rsidRDefault="005508EA" w:rsidP="0072423A">
            <w:pPr>
              <w:ind w:firstLine="28"/>
              <w:contextualSpacing/>
              <w:rPr>
                <w:rFonts w:cs="Arial"/>
                <w:bCs/>
                <w:sz w:val="18"/>
                <w:szCs w:val="18"/>
              </w:rPr>
            </w:pPr>
          </w:p>
        </w:tc>
        <w:tc>
          <w:tcPr>
            <w:tcW w:w="1021" w:type="dxa"/>
            <w:gridSpan w:val="2"/>
          </w:tcPr>
          <w:p w14:paraId="7E5F9E02" w14:textId="77777777" w:rsidR="005508EA" w:rsidRPr="00405AA9" w:rsidRDefault="005508EA" w:rsidP="0072423A">
            <w:pPr>
              <w:ind w:firstLine="28"/>
              <w:contextualSpacing/>
              <w:rPr>
                <w:rFonts w:cs="Arial"/>
                <w:bCs/>
                <w:sz w:val="18"/>
                <w:szCs w:val="18"/>
              </w:rPr>
            </w:pPr>
            <w:r>
              <w:rPr>
                <w:rFonts w:cs="Arial"/>
                <w:bCs/>
                <w:sz w:val="18"/>
                <w:szCs w:val="18"/>
              </w:rPr>
              <w:t>1.4</w:t>
            </w:r>
            <w:r w:rsidRPr="00405AA9">
              <w:rPr>
                <w:rFonts w:cs="Arial"/>
                <w:bCs/>
                <w:sz w:val="18"/>
                <w:szCs w:val="18"/>
              </w:rPr>
              <w:t>.2</w:t>
            </w:r>
          </w:p>
        </w:tc>
        <w:tc>
          <w:tcPr>
            <w:tcW w:w="3515" w:type="dxa"/>
          </w:tcPr>
          <w:p w14:paraId="353DBED8" w14:textId="77777777" w:rsidR="005508EA" w:rsidRPr="00405AA9" w:rsidRDefault="005508EA" w:rsidP="0072423A">
            <w:pPr>
              <w:contextualSpacing/>
              <w:rPr>
                <w:rFonts w:cs="Arial"/>
                <w:sz w:val="18"/>
                <w:szCs w:val="18"/>
              </w:rPr>
            </w:pPr>
            <w:r>
              <w:rPr>
                <w:rFonts w:cs="Arial"/>
                <w:sz w:val="18"/>
                <w:szCs w:val="18"/>
              </w:rPr>
              <w:t>Sledovatelnost produktů</w:t>
            </w:r>
          </w:p>
        </w:tc>
        <w:tc>
          <w:tcPr>
            <w:tcW w:w="1134" w:type="dxa"/>
          </w:tcPr>
          <w:p w14:paraId="1CCF3FF5" w14:textId="77777777" w:rsidR="005508EA" w:rsidRPr="00405AA9" w:rsidRDefault="005508EA" w:rsidP="0072423A">
            <w:pPr>
              <w:ind w:right="312"/>
              <w:contextualSpacing/>
              <w:jc w:val="right"/>
              <w:rPr>
                <w:rFonts w:cs="Arial"/>
                <w:sz w:val="18"/>
                <w:szCs w:val="18"/>
              </w:rPr>
            </w:pPr>
            <w:r>
              <w:rPr>
                <w:rFonts w:cs="Arial"/>
                <w:sz w:val="18"/>
                <w:szCs w:val="18"/>
              </w:rPr>
              <w:t>0</w:t>
            </w:r>
          </w:p>
        </w:tc>
        <w:tc>
          <w:tcPr>
            <w:tcW w:w="1560" w:type="dxa"/>
          </w:tcPr>
          <w:p w14:paraId="55D56B86" w14:textId="77777777" w:rsidR="005508EA" w:rsidRPr="00405AA9" w:rsidRDefault="005508EA" w:rsidP="0072423A">
            <w:pPr>
              <w:ind w:right="170"/>
              <w:contextualSpacing/>
              <w:jc w:val="center"/>
              <w:rPr>
                <w:rFonts w:cs="Arial"/>
                <w:sz w:val="18"/>
                <w:szCs w:val="18"/>
              </w:rPr>
            </w:pPr>
            <w:r>
              <w:rPr>
                <w:rFonts w:cs="Arial"/>
                <w:sz w:val="18"/>
                <w:szCs w:val="18"/>
              </w:rPr>
              <w:t>0,0</w:t>
            </w:r>
          </w:p>
        </w:tc>
      </w:tr>
      <w:tr w:rsidR="005508EA" w:rsidRPr="00405AA9" w14:paraId="2534DE2E" w14:textId="77777777" w:rsidTr="0072423A">
        <w:trPr>
          <w:trHeight w:val="227"/>
        </w:trPr>
        <w:tc>
          <w:tcPr>
            <w:tcW w:w="2376" w:type="dxa"/>
            <w:vMerge/>
          </w:tcPr>
          <w:p w14:paraId="26930F9B" w14:textId="77777777" w:rsidR="005508EA" w:rsidRPr="00405AA9" w:rsidRDefault="005508EA" w:rsidP="0072423A">
            <w:pPr>
              <w:ind w:firstLine="28"/>
              <w:contextualSpacing/>
              <w:rPr>
                <w:rFonts w:cs="Arial"/>
                <w:bCs/>
                <w:sz w:val="18"/>
                <w:szCs w:val="18"/>
              </w:rPr>
            </w:pPr>
          </w:p>
        </w:tc>
        <w:tc>
          <w:tcPr>
            <w:tcW w:w="1021" w:type="dxa"/>
            <w:gridSpan w:val="2"/>
          </w:tcPr>
          <w:p w14:paraId="72CA7875" w14:textId="77777777" w:rsidR="005508EA" w:rsidRPr="00405AA9" w:rsidRDefault="005508EA" w:rsidP="0072423A">
            <w:pPr>
              <w:ind w:firstLine="28"/>
              <w:contextualSpacing/>
              <w:rPr>
                <w:rFonts w:cs="Arial"/>
                <w:bCs/>
                <w:sz w:val="18"/>
                <w:szCs w:val="18"/>
              </w:rPr>
            </w:pPr>
            <w:r>
              <w:rPr>
                <w:rFonts w:cs="Arial"/>
                <w:bCs/>
                <w:sz w:val="18"/>
                <w:szCs w:val="18"/>
              </w:rPr>
              <w:t>1.6.1</w:t>
            </w:r>
          </w:p>
        </w:tc>
        <w:tc>
          <w:tcPr>
            <w:tcW w:w="3515" w:type="dxa"/>
          </w:tcPr>
          <w:p w14:paraId="5C7C27D3" w14:textId="77777777" w:rsidR="005508EA" w:rsidRPr="00405AA9" w:rsidRDefault="005508EA" w:rsidP="0072423A">
            <w:pPr>
              <w:contextualSpacing/>
              <w:rPr>
                <w:rFonts w:cs="Arial"/>
                <w:sz w:val="18"/>
                <w:szCs w:val="18"/>
              </w:rPr>
            </w:pPr>
            <w:r>
              <w:rPr>
                <w:rFonts w:cs="Arial"/>
                <w:sz w:val="18"/>
                <w:szCs w:val="18"/>
              </w:rPr>
              <w:t>Vysazování úhoře říčního</w:t>
            </w:r>
          </w:p>
        </w:tc>
        <w:tc>
          <w:tcPr>
            <w:tcW w:w="1134" w:type="dxa"/>
          </w:tcPr>
          <w:p w14:paraId="2210A54B" w14:textId="77777777" w:rsidR="005508EA" w:rsidRPr="00405AA9" w:rsidRDefault="005508EA" w:rsidP="0072423A">
            <w:pPr>
              <w:ind w:right="312"/>
              <w:contextualSpacing/>
              <w:jc w:val="right"/>
              <w:rPr>
                <w:rFonts w:cs="Arial"/>
                <w:sz w:val="18"/>
                <w:szCs w:val="18"/>
              </w:rPr>
            </w:pPr>
            <w:r>
              <w:rPr>
                <w:rFonts w:cs="Arial"/>
                <w:sz w:val="18"/>
                <w:szCs w:val="18"/>
              </w:rPr>
              <w:t>4</w:t>
            </w:r>
          </w:p>
        </w:tc>
        <w:tc>
          <w:tcPr>
            <w:tcW w:w="1560" w:type="dxa"/>
          </w:tcPr>
          <w:p w14:paraId="73A1E757" w14:textId="77777777" w:rsidR="005508EA" w:rsidRPr="00405AA9" w:rsidRDefault="005508EA" w:rsidP="0072423A">
            <w:pPr>
              <w:ind w:right="170"/>
              <w:contextualSpacing/>
              <w:jc w:val="center"/>
              <w:rPr>
                <w:rFonts w:cs="Arial"/>
                <w:sz w:val="18"/>
                <w:szCs w:val="18"/>
              </w:rPr>
            </w:pPr>
            <w:r>
              <w:rPr>
                <w:rFonts w:cs="Arial"/>
                <w:sz w:val="18"/>
                <w:szCs w:val="18"/>
              </w:rPr>
              <w:t>5,1</w:t>
            </w:r>
          </w:p>
        </w:tc>
      </w:tr>
      <w:tr w:rsidR="005508EA" w:rsidRPr="003C05FE" w14:paraId="69FDB375" w14:textId="77777777" w:rsidTr="0072423A">
        <w:trPr>
          <w:trHeight w:val="227"/>
        </w:trPr>
        <w:tc>
          <w:tcPr>
            <w:tcW w:w="6912" w:type="dxa"/>
            <w:gridSpan w:val="4"/>
            <w:shd w:val="clear" w:color="auto" w:fill="BFBFBF"/>
          </w:tcPr>
          <w:p w14:paraId="783C6200" w14:textId="77777777" w:rsidR="005508EA" w:rsidRPr="00405AA9" w:rsidRDefault="005508EA" w:rsidP="0072423A">
            <w:pPr>
              <w:contextualSpacing/>
              <w:rPr>
                <w:rFonts w:cs="Arial"/>
                <w:sz w:val="18"/>
                <w:szCs w:val="18"/>
              </w:rPr>
            </w:pPr>
            <w:r w:rsidRPr="00405AA9">
              <w:rPr>
                <w:rFonts w:cs="Arial"/>
                <w:b/>
                <w:sz w:val="18"/>
                <w:szCs w:val="18"/>
              </w:rPr>
              <w:t xml:space="preserve">Celkem Priorita </w:t>
            </w:r>
            <w:r>
              <w:rPr>
                <w:rFonts w:cs="Arial"/>
                <w:b/>
                <w:sz w:val="18"/>
                <w:szCs w:val="18"/>
              </w:rPr>
              <w:t>1</w:t>
            </w:r>
          </w:p>
        </w:tc>
        <w:tc>
          <w:tcPr>
            <w:tcW w:w="1134" w:type="dxa"/>
            <w:shd w:val="clear" w:color="auto" w:fill="BFBFBF"/>
            <w:vAlign w:val="center"/>
          </w:tcPr>
          <w:p w14:paraId="3F888B4B" w14:textId="77777777" w:rsidR="005508EA" w:rsidRPr="00405AA9" w:rsidRDefault="005508EA" w:rsidP="0072423A">
            <w:pPr>
              <w:ind w:right="312"/>
              <w:contextualSpacing/>
              <w:jc w:val="right"/>
              <w:rPr>
                <w:rFonts w:cs="Arial"/>
                <w:b/>
                <w:sz w:val="18"/>
                <w:szCs w:val="18"/>
              </w:rPr>
            </w:pPr>
            <w:r>
              <w:rPr>
                <w:rFonts w:cs="Arial"/>
                <w:b/>
                <w:sz w:val="18"/>
                <w:szCs w:val="18"/>
              </w:rPr>
              <w:t>8</w:t>
            </w:r>
          </w:p>
        </w:tc>
        <w:tc>
          <w:tcPr>
            <w:tcW w:w="1560" w:type="dxa"/>
            <w:shd w:val="clear" w:color="auto" w:fill="BFBFBF"/>
            <w:vAlign w:val="center"/>
          </w:tcPr>
          <w:p w14:paraId="7454884C" w14:textId="77777777" w:rsidR="005508EA" w:rsidRPr="00405AA9" w:rsidRDefault="005508EA" w:rsidP="0072423A">
            <w:pPr>
              <w:ind w:right="170"/>
              <w:contextualSpacing/>
              <w:jc w:val="center"/>
              <w:rPr>
                <w:rFonts w:cs="Arial"/>
                <w:b/>
                <w:sz w:val="18"/>
                <w:szCs w:val="18"/>
              </w:rPr>
            </w:pPr>
            <w:r>
              <w:rPr>
                <w:rFonts w:cs="Arial"/>
                <w:b/>
                <w:sz w:val="18"/>
                <w:szCs w:val="18"/>
              </w:rPr>
              <w:t>15,4</w:t>
            </w:r>
          </w:p>
        </w:tc>
      </w:tr>
      <w:tr w:rsidR="005508EA" w:rsidRPr="003C05FE" w14:paraId="2DB9832D" w14:textId="77777777" w:rsidTr="0072423A">
        <w:trPr>
          <w:trHeight w:val="227"/>
        </w:trPr>
        <w:tc>
          <w:tcPr>
            <w:tcW w:w="2376" w:type="dxa"/>
            <w:vMerge w:val="restart"/>
          </w:tcPr>
          <w:p w14:paraId="44DA866A" w14:textId="77777777" w:rsidR="005508EA" w:rsidRPr="00EB5294" w:rsidRDefault="005508EA" w:rsidP="0072423A">
            <w:pPr>
              <w:ind w:firstLine="28"/>
              <w:contextualSpacing/>
              <w:rPr>
                <w:rFonts w:cs="Arial"/>
                <w:sz w:val="18"/>
                <w:szCs w:val="18"/>
              </w:rPr>
            </w:pPr>
            <w:r w:rsidRPr="00405AA9">
              <w:rPr>
                <w:rFonts w:cs="Arial"/>
                <w:sz w:val="18"/>
                <w:szCs w:val="18"/>
              </w:rPr>
              <w:t xml:space="preserve">2 – </w:t>
            </w:r>
            <w:r w:rsidRPr="00EB5294">
              <w:rPr>
                <w:rFonts w:cs="Arial"/>
                <w:sz w:val="18"/>
                <w:szCs w:val="18"/>
              </w:rPr>
              <w:t>Podpora udržitelných akvakulturních činností, zpracování produktů rybolovu a akvakultury a jejich uvádění na trh</w:t>
            </w:r>
          </w:p>
        </w:tc>
        <w:tc>
          <w:tcPr>
            <w:tcW w:w="1021" w:type="dxa"/>
            <w:gridSpan w:val="2"/>
          </w:tcPr>
          <w:p w14:paraId="0E637477" w14:textId="77777777" w:rsidR="005508EA" w:rsidRPr="00405AA9" w:rsidRDefault="005508EA" w:rsidP="0072423A">
            <w:pPr>
              <w:ind w:firstLine="28"/>
              <w:contextualSpacing/>
              <w:rPr>
                <w:rFonts w:cs="Arial"/>
                <w:bCs/>
                <w:sz w:val="18"/>
                <w:szCs w:val="18"/>
              </w:rPr>
            </w:pPr>
            <w:r w:rsidRPr="00405AA9">
              <w:rPr>
                <w:rFonts w:cs="Arial"/>
                <w:bCs/>
                <w:sz w:val="18"/>
                <w:szCs w:val="18"/>
              </w:rPr>
              <w:t>2.1</w:t>
            </w:r>
            <w:r>
              <w:rPr>
                <w:rFonts w:cs="Arial"/>
                <w:bCs/>
                <w:sz w:val="18"/>
                <w:szCs w:val="18"/>
              </w:rPr>
              <w:t>.1</w:t>
            </w:r>
          </w:p>
        </w:tc>
        <w:tc>
          <w:tcPr>
            <w:tcW w:w="3515" w:type="dxa"/>
          </w:tcPr>
          <w:p w14:paraId="1877B88C" w14:textId="77777777" w:rsidR="005508EA" w:rsidRPr="00405AA9" w:rsidRDefault="005508EA" w:rsidP="0072423A">
            <w:pPr>
              <w:contextualSpacing/>
              <w:rPr>
                <w:rFonts w:cs="Arial"/>
                <w:sz w:val="18"/>
                <w:szCs w:val="18"/>
              </w:rPr>
            </w:pPr>
            <w:r w:rsidRPr="00405AA9">
              <w:rPr>
                <w:sz w:val="18"/>
                <w:szCs w:val="18"/>
              </w:rPr>
              <w:t>Inovace</w:t>
            </w:r>
          </w:p>
        </w:tc>
        <w:tc>
          <w:tcPr>
            <w:tcW w:w="1134" w:type="dxa"/>
          </w:tcPr>
          <w:p w14:paraId="43EF98FE" w14:textId="77777777" w:rsidR="005508EA" w:rsidRPr="00405AA9" w:rsidRDefault="005508EA" w:rsidP="0072423A">
            <w:pPr>
              <w:ind w:right="312"/>
              <w:contextualSpacing/>
              <w:jc w:val="right"/>
              <w:rPr>
                <w:rFonts w:cs="Arial"/>
                <w:sz w:val="18"/>
                <w:szCs w:val="18"/>
              </w:rPr>
            </w:pPr>
            <w:r>
              <w:rPr>
                <w:rFonts w:cs="Arial"/>
                <w:sz w:val="18"/>
                <w:szCs w:val="18"/>
              </w:rPr>
              <w:t>0</w:t>
            </w:r>
          </w:p>
        </w:tc>
        <w:tc>
          <w:tcPr>
            <w:tcW w:w="1560" w:type="dxa"/>
          </w:tcPr>
          <w:p w14:paraId="59CD22B6" w14:textId="77777777" w:rsidR="005508EA" w:rsidRPr="00405AA9" w:rsidRDefault="005508EA" w:rsidP="0072423A">
            <w:pPr>
              <w:ind w:right="170"/>
              <w:contextualSpacing/>
              <w:jc w:val="center"/>
              <w:rPr>
                <w:rFonts w:cs="Arial"/>
                <w:sz w:val="18"/>
                <w:szCs w:val="18"/>
              </w:rPr>
            </w:pPr>
            <w:r>
              <w:rPr>
                <w:rFonts w:cs="Arial"/>
                <w:sz w:val="18"/>
                <w:szCs w:val="18"/>
              </w:rPr>
              <w:t>0,0</w:t>
            </w:r>
          </w:p>
        </w:tc>
      </w:tr>
      <w:tr w:rsidR="005508EA" w:rsidRPr="003C05FE" w14:paraId="7F8EBE35" w14:textId="77777777" w:rsidTr="0072423A">
        <w:trPr>
          <w:trHeight w:val="301"/>
        </w:trPr>
        <w:tc>
          <w:tcPr>
            <w:tcW w:w="2376" w:type="dxa"/>
            <w:vMerge/>
          </w:tcPr>
          <w:p w14:paraId="40EA0DC5" w14:textId="77777777" w:rsidR="005508EA" w:rsidRPr="00405AA9" w:rsidRDefault="005508EA" w:rsidP="0072423A">
            <w:pPr>
              <w:ind w:firstLine="28"/>
              <w:contextualSpacing/>
              <w:rPr>
                <w:rFonts w:cs="Arial"/>
                <w:b/>
                <w:bCs/>
                <w:sz w:val="18"/>
                <w:szCs w:val="18"/>
              </w:rPr>
            </w:pPr>
          </w:p>
        </w:tc>
        <w:tc>
          <w:tcPr>
            <w:tcW w:w="1021" w:type="dxa"/>
            <w:gridSpan w:val="2"/>
          </w:tcPr>
          <w:p w14:paraId="6E1F0FC9" w14:textId="77777777" w:rsidR="005508EA" w:rsidRPr="00405AA9" w:rsidRDefault="005508EA" w:rsidP="0072423A">
            <w:pPr>
              <w:ind w:firstLine="28"/>
              <w:contextualSpacing/>
              <w:rPr>
                <w:rFonts w:cs="Arial"/>
                <w:bCs/>
                <w:sz w:val="18"/>
                <w:szCs w:val="18"/>
              </w:rPr>
            </w:pPr>
            <w:r w:rsidRPr="00405AA9">
              <w:rPr>
                <w:rFonts w:cs="Arial"/>
                <w:bCs/>
                <w:sz w:val="18"/>
                <w:szCs w:val="18"/>
              </w:rPr>
              <w:t>2.</w:t>
            </w:r>
            <w:r>
              <w:rPr>
                <w:rFonts w:cs="Arial"/>
                <w:bCs/>
                <w:sz w:val="18"/>
                <w:szCs w:val="18"/>
              </w:rPr>
              <w:t>1.</w:t>
            </w:r>
            <w:r w:rsidRPr="00405AA9">
              <w:rPr>
                <w:rFonts w:cs="Arial"/>
                <w:bCs/>
                <w:sz w:val="18"/>
                <w:szCs w:val="18"/>
              </w:rPr>
              <w:t>2</w:t>
            </w:r>
          </w:p>
        </w:tc>
        <w:tc>
          <w:tcPr>
            <w:tcW w:w="3515" w:type="dxa"/>
          </w:tcPr>
          <w:p w14:paraId="38AD8E54" w14:textId="77777777" w:rsidR="005508EA" w:rsidRPr="00405AA9" w:rsidRDefault="005508EA" w:rsidP="0072423A">
            <w:pPr>
              <w:contextualSpacing/>
              <w:rPr>
                <w:rFonts w:cs="Arial"/>
                <w:sz w:val="18"/>
                <w:szCs w:val="18"/>
              </w:rPr>
            </w:pPr>
            <w:r>
              <w:rPr>
                <w:sz w:val="18"/>
                <w:szCs w:val="18"/>
              </w:rPr>
              <w:t>I</w:t>
            </w:r>
            <w:r w:rsidRPr="00405AA9">
              <w:rPr>
                <w:sz w:val="18"/>
                <w:szCs w:val="18"/>
              </w:rPr>
              <w:t>nvestice do akvakultury</w:t>
            </w:r>
          </w:p>
        </w:tc>
        <w:tc>
          <w:tcPr>
            <w:tcW w:w="1134" w:type="dxa"/>
          </w:tcPr>
          <w:p w14:paraId="7539ED2D" w14:textId="77777777" w:rsidR="005508EA" w:rsidRPr="00405AA9" w:rsidRDefault="005508EA" w:rsidP="0072423A">
            <w:pPr>
              <w:ind w:right="312"/>
              <w:contextualSpacing/>
              <w:jc w:val="right"/>
              <w:rPr>
                <w:rFonts w:cs="Arial"/>
                <w:sz w:val="18"/>
                <w:szCs w:val="18"/>
              </w:rPr>
            </w:pPr>
            <w:r>
              <w:rPr>
                <w:rFonts w:cs="Arial"/>
                <w:sz w:val="18"/>
                <w:szCs w:val="18"/>
              </w:rPr>
              <w:t>106</w:t>
            </w:r>
          </w:p>
        </w:tc>
        <w:tc>
          <w:tcPr>
            <w:tcW w:w="1560" w:type="dxa"/>
          </w:tcPr>
          <w:p w14:paraId="4A4CCE2F" w14:textId="77777777" w:rsidR="005508EA" w:rsidRPr="00405AA9" w:rsidRDefault="005508EA" w:rsidP="0072423A">
            <w:pPr>
              <w:ind w:right="170"/>
              <w:contextualSpacing/>
              <w:jc w:val="center"/>
              <w:rPr>
                <w:rFonts w:cs="Arial"/>
                <w:sz w:val="18"/>
                <w:szCs w:val="18"/>
              </w:rPr>
            </w:pPr>
            <w:r>
              <w:rPr>
                <w:rFonts w:cs="Arial"/>
                <w:sz w:val="18"/>
                <w:szCs w:val="18"/>
              </w:rPr>
              <w:t>89,2</w:t>
            </w:r>
          </w:p>
        </w:tc>
      </w:tr>
      <w:tr w:rsidR="005508EA" w:rsidRPr="003C05FE" w14:paraId="6108FE93" w14:textId="77777777" w:rsidTr="0072423A">
        <w:trPr>
          <w:trHeight w:val="227"/>
        </w:trPr>
        <w:tc>
          <w:tcPr>
            <w:tcW w:w="2376" w:type="dxa"/>
            <w:vMerge/>
          </w:tcPr>
          <w:p w14:paraId="2223EEFE" w14:textId="77777777" w:rsidR="005508EA" w:rsidRPr="00405AA9" w:rsidRDefault="005508EA" w:rsidP="0072423A">
            <w:pPr>
              <w:ind w:firstLine="28"/>
              <w:contextualSpacing/>
              <w:rPr>
                <w:rFonts w:cs="Arial"/>
                <w:b/>
                <w:bCs/>
                <w:sz w:val="18"/>
                <w:szCs w:val="18"/>
              </w:rPr>
            </w:pPr>
          </w:p>
        </w:tc>
        <w:tc>
          <w:tcPr>
            <w:tcW w:w="1021" w:type="dxa"/>
            <w:gridSpan w:val="2"/>
          </w:tcPr>
          <w:p w14:paraId="579443F0" w14:textId="77777777" w:rsidR="005508EA" w:rsidRPr="00405AA9" w:rsidRDefault="005508EA" w:rsidP="0072423A">
            <w:pPr>
              <w:ind w:firstLine="28"/>
              <w:contextualSpacing/>
              <w:rPr>
                <w:rFonts w:cs="Arial"/>
                <w:bCs/>
                <w:sz w:val="18"/>
                <w:szCs w:val="18"/>
              </w:rPr>
            </w:pPr>
            <w:r w:rsidRPr="00405AA9">
              <w:rPr>
                <w:rFonts w:cs="Arial"/>
                <w:bCs/>
                <w:sz w:val="18"/>
                <w:szCs w:val="18"/>
              </w:rPr>
              <w:t>2.</w:t>
            </w:r>
            <w:r>
              <w:rPr>
                <w:rFonts w:cs="Arial"/>
                <w:bCs/>
                <w:sz w:val="18"/>
                <w:szCs w:val="18"/>
              </w:rPr>
              <w:t>1.</w:t>
            </w:r>
            <w:r w:rsidRPr="00405AA9">
              <w:rPr>
                <w:rFonts w:cs="Arial"/>
                <w:bCs/>
                <w:sz w:val="18"/>
                <w:szCs w:val="18"/>
              </w:rPr>
              <w:t>3</w:t>
            </w:r>
          </w:p>
        </w:tc>
        <w:tc>
          <w:tcPr>
            <w:tcW w:w="3515" w:type="dxa"/>
          </w:tcPr>
          <w:p w14:paraId="6DFF3AD5" w14:textId="77777777" w:rsidR="005508EA" w:rsidRPr="00405AA9" w:rsidRDefault="005508EA" w:rsidP="0072423A">
            <w:pPr>
              <w:contextualSpacing/>
              <w:rPr>
                <w:rFonts w:cs="Arial"/>
                <w:sz w:val="18"/>
                <w:szCs w:val="18"/>
              </w:rPr>
            </w:pPr>
            <w:r>
              <w:rPr>
                <w:sz w:val="18"/>
                <w:szCs w:val="18"/>
              </w:rPr>
              <w:t>I</w:t>
            </w:r>
            <w:r w:rsidRPr="00405AA9">
              <w:rPr>
                <w:sz w:val="18"/>
                <w:szCs w:val="18"/>
              </w:rPr>
              <w:t xml:space="preserve">nvestice do </w:t>
            </w:r>
            <w:r>
              <w:rPr>
                <w:sz w:val="18"/>
                <w:szCs w:val="18"/>
              </w:rPr>
              <w:t xml:space="preserve">intenzivních </w:t>
            </w:r>
            <w:r w:rsidRPr="00405AA9">
              <w:rPr>
                <w:sz w:val="18"/>
                <w:szCs w:val="18"/>
              </w:rPr>
              <w:t>akvakultur</w:t>
            </w:r>
            <w:r>
              <w:rPr>
                <w:sz w:val="18"/>
                <w:szCs w:val="18"/>
              </w:rPr>
              <w:t>ních systémů</w:t>
            </w:r>
          </w:p>
        </w:tc>
        <w:tc>
          <w:tcPr>
            <w:tcW w:w="1134" w:type="dxa"/>
          </w:tcPr>
          <w:p w14:paraId="7380E5C0" w14:textId="77777777" w:rsidR="005508EA" w:rsidRPr="00405AA9" w:rsidRDefault="005508EA" w:rsidP="0072423A">
            <w:pPr>
              <w:ind w:right="312"/>
              <w:contextualSpacing/>
              <w:jc w:val="right"/>
              <w:rPr>
                <w:rFonts w:cs="Arial"/>
                <w:sz w:val="18"/>
                <w:szCs w:val="18"/>
              </w:rPr>
            </w:pPr>
            <w:r>
              <w:rPr>
                <w:rFonts w:cs="Arial"/>
                <w:sz w:val="18"/>
                <w:szCs w:val="18"/>
              </w:rPr>
              <w:t>0</w:t>
            </w:r>
          </w:p>
        </w:tc>
        <w:tc>
          <w:tcPr>
            <w:tcW w:w="1560" w:type="dxa"/>
          </w:tcPr>
          <w:p w14:paraId="32FAF801" w14:textId="77777777" w:rsidR="005508EA" w:rsidRPr="00405AA9" w:rsidRDefault="005508EA" w:rsidP="0072423A">
            <w:pPr>
              <w:ind w:right="170"/>
              <w:contextualSpacing/>
              <w:jc w:val="center"/>
              <w:rPr>
                <w:rFonts w:cs="Arial"/>
                <w:sz w:val="18"/>
                <w:szCs w:val="18"/>
              </w:rPr>
            </w:pPr>
            <w:r>
              <w:rPr>
                <w:rFonts w:cs="Arial"/>
                <w:sz w:val="18"/>
                <w:szCs w:val="18"/>
              </w:rPr>
              <w:t>0,0</w:t>
            </w:r>
          </w:p>
        </w:tc>
      </w:tr>
      <w:tr w:rsidR="005508EA" w:rsidRPr="003C05FE" w14:paraId="7B38C447" w14:textId="77777777" w:rsidTr="0072423A">
        <w:trPr>
          <w:trHeight w:val="227"/>
        </w:trPr>
        <w:tc>
          <w:tcPr>
            <w:tcW w:w="2376" w:type="dxa"/>
            <w:vMerge/>
          </w:tcPr>
          <w:p w14:paraId="311B40CB" w14:textId="77777777" w:rsidR="005508EA" w:rsidRPr="00405AA9" w:rsidRDefault="005508EA" w:rsidP="0072423A">
            <w:pPr>
              <w:ind w:firstLine="28"/>
              <w:contextualSpacing/>
              <w:rPr>
                <w:rFonts w:cs="Arial"/>
                <w:b/>
                <w:bCs/>
                <w:sz w:val="18"/>
                <w:szCs w:val="18"/>
              </w:rPr>
            </w:pPr>
          </w:p>
        </w:tc>
        <w:tc>
          <w:tcPr>
            <w:tcW w:w="1021" w:type="dxa"/>
            <w:gridSpan w:val="2"/>
          </w:tcPr>
          <w:p w14:paraId="7D917B17" w14:textId="77777777" w:rsidR="005508EA" w:rsidRPr="00405AA9" w:rsidRDefault="005508EA" w:rsidP="0072423A">
            <w:pPr>
              <w:ind w:firstLine="28"/>
              <w:contextualSpacing/>
              <w:rPr>
                <w:rFonts w:cs="Arial"/>
                <w:bCs/>
                <w:sz w:val="18"/>
                <w:szCs w:val="18"/>
              </w:rPr>
            </w:pPr>
            <w:r w:rsidRPr="00405AA9">
              <w:rPr>
                <w:rFonts w:cs="Arial"/>
                <w:bCs/>
                <w:sz w:val="18"/>
                <w:szCs w:val="18"/>
              </w:rPr>
              <w:t>2.</w:t>
            </w:r>
            <w:r>
              <w:rPr>
                <w:rFonts w:cs="Arial"/>
                <w:bCs/>
                <w:sz w:val="18"/>
                <w:szCs w:val="18"/>
              </w:rPr>
              <w:t>1.4</w:t>
            </w:r>
          </w:p>
        </w:tc>
        <w:tc>
          <w:tcPr>
            <w:tcW w:w="3515" w:type="dxa"/>
          </w:tcPr>
          <w:p w14:paraId="512C2F45" w14:textId="77777777" w:rsidR="005508EA" w:rsidRPr="00405AA9" w:rsidRDefault="005508EA" w:rsidP="0072423A">
            <w:pPr>
              <w:contextualSpacing/>
              <w:rPr>
                <w:rFonts w:cs="Arial"/>
                <w:sz w:val="18"/>
                <w:szCs w:val="18"/>
              </w:rPr>
            </w:pPr>
            <w:r>
              <w:rPr>
                <w:rFonts w:cs="Arial"/>
                <w:sz w:val="18"/>
                <w:szCs w:val="18"/>
              </w:rPr>
              <w:t>Kompenzace</w:t>
            </w:r>
          </w:p>
        </w:tc>
        <w:tc>
          <w:tcPr>
            <w:tcW w:w="1134" w:type="dxa"/>
          </w:tcPr>
          <w:p w14:paraId="271E451B" w14:textId="77777777" w:rsidR="005508EA" w:rsidRPr="00405AA9" w:rsidRDefault="005508EA" w:rsidP="0072423A">
            <w:pPr>
              <w:ind w:right="312"/>
              <w:contextualSpacing/>
              <w:jc w:val="right"/>
              <w:rPr>
                <w:rFonts w:cs="Arial"/>
                <w:sz w:val="18"/>
                <w:szCs w:val="18"/>
              </w:rPr>
            </w:pPr>
            <w:r>
              <w:rPr>
                <w:rFonts w:cs="Arial"/>
                <w:sz w:val="18"/>
                <w:szCs w:val="18"/>
              </w:rPr>
              <w:t>42</w:t>
            </w:r>
          </w:p>
        </w:tc>
        <w:tc>
          <w:tcPr>
            <w:tcW w:w="1560" w:type="dxa"/>
          </w:tcPr>
          <w:p w14:paraId="4F4DEAE2" w14:textId="77777777" w:rsidR="005508EA" w:rsidRPr="00405AA9" w:rsidRDefault="005508EA" w:rsidP="0072423A">
            <w:pPr>
              <w:ind w:right="170"/>
              <w:contextualSpacing/>
              <w:jc w:val="center"/>
              <w:rPr>
                <w:rFonts w:cs="Arial"/>
                <w:sz w:val="18"/>
                <w:szCs w:val="18"/>
              </w:rPr>
            </w:pPr>
            <w:r>
              <w:rPr>
                <w:rFonts w:cs="Arial"/>
                <w:sz w:val="18"/>
                <w:szCs w:val="18"/>
              </w:rPr>
              <w:t>14,6</w:t>
            </w:r>
          </w:p>
        </w:tc>
      </w:tr>
      <w:tr w:rsidR="005508EA" w:rsidRPr="003C05FE" w14:paraId="4AD59618" w14:textId="77777777" w:rsidTr="0072423A">
        <w:trPr>
          <w:trHeight w:val="227"/>
        </w:trPr>
        <w:tc>
          <w:tcPr>
            <w:tcW w:w="2376" w:type="dxa"/>
            <w:vMerge/>
          </w:tcPr>
          <w:p w14:paraId="4BCED260" w14:textId="77777777" w:rsidR="005508EA" w:rsidRPr="00405AA9" w:rsidRDefault="005508EA" w:rsidP="0072423A">
            <w:pPr>
              <w:ind w:firstLine="28"/>
              <w:contextualSpacing/>
              <w:rPr>
                <w:rFonts w:cs="Arial"/>
                <w:b/>
                <w:bCs/>
                <w:sz w:val="18"/>
                <w:szCs w:val="18"/>
              </w:rPr>
            </w:pPr>
          </w:p>
        </w:tc>
        <w:tc>
          <w:tcPr>
            <w:tcW w:w="1021" w:type="dxa"/>
            <w:gridSpan w:val="2"/>
          </w:tcPr>
          <w:p w14:paraId="58698D02" w14:textId="77777777" w:rsidR="005508EA" w:rsidRPr="00405AA9" w:rsidRDefault="005508EA" w:rsidP="0072423A">
            <w:pPr>
              <w:ind w:firstLine="28"/>
              <w:contextualSpacing/>
              <w:rPr>
                <w:rFonts w:cs="Arial"/>
                <w:bCs/>
                <w:sz w:val="18"/>
                <w:szCs w:val="18"/>
              </w:rPr>
            </w:pPr>
            <w:r w:rsidRPr="00405AA9">
              <w:rPr>
                <w:rFonts w:cs="Arial"/>
                <w:bCs/>
                <w:sz w:val="18"/>
                <w:szCs w:val="18"/>
              </w:rPr>
              <w:t>2.</w:t>
            </w:r>
            <w:r>
              <w:rPr>
                <w:rFonts w:cs="Arial"/>
                <w:bCs/>
                <w:sz w:val="18"/>
                <w:szCs w:val="18"/>
              </w:rPr>
              <w:t>2.1</w:t>
            </w:r>
          </w:p>
        </w:tc>
        <w:tc>
          <w:tcPr>
            <w:tcW w:w="3515" w:type="dxa"/>
          </w:tcPr>
          <w:p w14:paraId="64536149" w14:textId="77777777" w:rsidR="005508EA" w:rsidRPr="00405AA9" w:rsidRDefault="005508EA" w:rsidP="0072423A">
            <w:pPr>
              <w:contextualSpacing/>
              <w:rPr>
                <w:rFonts w:cs="Arial"/>
                <w:sz w:val="18"/>
                <w:szCs w:val="18"/>
              </w:rPr>
            </w:pPr>
            <w:r>
              <w:rPr>
                <w:rFonts w:cs="Arial"/>
                <w:sz w:val="18"/>
                <w:szCs w:val="18"/>
              </w:rPr>
              <w:t>Propagační kampaně</w:t>
            </w:r>
          </w:p>
        </w:tc>
        <w:tc>
          <w:tcPr>
            <w:tcW w:w="1134" w:type="dxa"/>
          </w:tcPr>
          <w:p w14:paraId="6DC82C5F" w14:textId="77777777" w:rsidR="005508EA" w:rsidRPr="00405AA9" w:rsidRDefault="005508EA" w:rsidP="0072423A">
            <w:pPr>
              <w:ind w:right="312"/>
              <w:contextualSpacing/>
              <w:jc w:val="right"/>
              <w:rPr>
                <w:rFonts w:cs="Arial"/>
                <w:sz w:val="18"/>
                <w:szCs w:val="18"/>
              </w:rPr>
            </w:pPr>
            <w:r>
              <w:rPr>
                <w:rFonts w:cs="Arial"/>
                <w:sz w:val="18"/>
                <w:szCs w:val="18"/>
              </w:rPr>
              <w:t>1</w:t>
            </w:r>
          </w:p>
        </w:tc>
        <w:tc>
          <w:tcPr>
            <w:tcW w:w="1560" w:type="dxa"/>
          </w:tcPr>
          <w:p w14:paraId="335B2635" w14:textId="77777777" w:rsidR="005508EA" w:rsidRPr="00405AA9" w:rsidRDefault="005508EA" w:rsidP="0072423A">
            <w:pPr>
              <w:ind w:right="170"/>
              <w:contextualSpacing/>
              <w:jc w:val="center"/>
              <w:rPr>
                <w:rFonts w:cs="Arial"/>
                <w:sz w:val="18"/>
                <w:szCs w:val="18"/>
              </w:rPr>
            </w:pPr>
            <w:r>
              <w:rPr>
                <w:rFonts w:cs="Arial"/>
                <w:sz w:val="18"/>
                <w:szCs w:val="18"/>
              </w:rPr>
              <w:t>0,5</w:t>
            </w:r>
          </w:p>
        </w:tc>
      </w:tr>
      <w:tr w:rsidR="005508EA" w:rsidRPr="003C05FE" w14:paraId="7898C59C" w14:textId="77777777" w:rsidTr="0072423A">
        <w:trPr>
          <w:trHeight w:val="227"/>
        </w:trPr>
        <w:tc>
          <w:tcPr>
            <w:tcW w:w="2376" w:type="dxa"/>
            <w:vMerge/>
          </w:tcPr>
          <w:p w14:paraId="7EEC048F" w14:textId="77777777" w:rsidR="005508EA" w:rsidRPr="00405AA9" w:rsidRDefault="005508EA" w:rsidP="0072423A">
            <w:pPr>
              <w:ind w:firstLine="28"/>
              <w:contextualSpacing/>
              <w:rPr>
                <w:rFonts w:cs="Arial"/>
                <w:b/>
                <w:bCs/>
                <w:sz w:val="18"/>
                <w:szCs w:val="18"/>
              </w:rPr>
            </w:pPr>
          </w:p>
        </w:tc>
        <w:tc>
          <w:tcPr>
            <w:tcW w:w="1021" w:type="dxa"/>
            <w:gridSpan w:val="2"/>
          </w:tcPr>
          <w:p w14:paraId="3F77ED17" w14:textId="77777777" w:rsidR="005508EA" w:rsidRPr="00405AA9" w:rsidRDefault="005508EA" w:rsidP="0072423A">
            <w:pPr>
              <w:ind w:firstLine="28"/>
              <w:contextualSpacing/>
              <w:rPr>
                <w:rFonts w:cs="Arial"/>
                <w:bCs/>
                <w:sz w:val="18"/>
                <w:szCs w:val="18"/>
              </w:rPr>
            </w:pPr>
            <w:r w:rsidRPr="00405AA9">
              <w:rPr>
                <w:rFonts w:cs="Arial"/>
                <w:bCs/>
                <w:sz w:val="18"/>
                <w:szCs w:val="18"/>
              </w:rPr>
              <w:t>2.</w:t>
            </w:r>
            <w:r>
              <w:rPr>
                <w:rFonts w:cs="Arial"/>
                <w:bCs/>
                <w:sz w:val="18"/>
                <w:szCs w:val="18"/>
              </w:rPr>
              <w:t>2.2</w:t>
            </w:r>
          </w:p>
        </w:tc>
        <w:tc>
          <w:tcPr>
            <w:tcW w:w="3515" w:type="dxa"/>
          </w:tcPr>
          <w:p w14:paraId="76CF7108" w14:textId="77777777" w:rsidR="005508EA" w:rsidRPr="00405AA9" w:rsidRDefault="005508EA" w:rsidP="0072423A">
            <w:pPr>
              <w:contextualSpacing/>
              <w:rPr>
                <w:rFonts w:cs="Arial"/>
                <w:sz w:val="18"/>
                <w:szCs w:val="18"/>
              </w:rPr>
            </w:pPr>
            <w:r>
              <w:rPr>
                <w:rFonts w:cs="Arial"/>
                <w:sz w:val="18"/>
                <w:szCs w:val="18"/>
              </w:rPr>
              <w:t>Z</w:t>
            </w:r>
            <w:r w:rsidRPr="00405AA9">
              <w:rPr>
                <w:rFonts w:cs="Arial"/>
                <w:sz w:val="18"/>
                <w:szCs w:val="18"/>
              </w:rPr>
              <w:t>pracování produktů</w:t>
            </w:r>
          </w:p>
        </w:tc>
        <w:tc>
          <w:tcPr>
            <w:tcW w:w="1134" w:type="dxa"/>
          </w:tcPr>
          <w:p w14:paraId="0F302C68" w14:textId="77777777" w:rsidR="005508EA" w:rsidRPr="00405AA9" w:rsidRDefault="005508EA" w:rsidP="0072423A">
            <w:pPr>
              <w:ind w:right="312"/>
              <w:contextualSpacing/>
              <w:jc w:val="right"/>
              <w:rPr>
                <w:rFonts w:cs="Arial"/>
                <w:bCs/>
                <w:sz w:val="18"/>
                <w:szCs w:val="18"/>
              </w:rPr>
            </w:pPr>
            <w:r>
              <w:rPr>
                <w:rFonts w:cs="Arial"/>
                <w:bCs/>
                <w:sz w:val="18"/>
                <w:szCs w:val="18"/>
              </w:rPr>
              <w:t>11</w:t>
            </w:r>
          </w:p>
        </w:tc>
        <w:tc>
          <w:tcPr>
            <w:tcW w:w="1560" w:type="dxa"/>
          </w:tcPr>
          <w:p w14:paraId="462445DB" w14:textId="77777777" w:rsidR="005508EA" w:rsidRPr="00405AA9" w:rsidRDefault="005508EA" w:rsidP="0072423A">
            <w:pPr>
              <w:ind w:right="170"/>
              <w:contextualSpacing/>
              <w:jc w:val="center"/>
              <w:rPr>
                <w:rFonts w:cs="Arial"/>
                <w:bCs/>
                <w:sz w:val="18"/>
                <w:szCs w:val="18"/>
              </w:rPr>
            </w:pPr>
            <w:r>
              <w:rPr>
                <w:rFonts w:cs="Arial"/>
                <w:bCs/>
                <w:sz w:val="18"/>
                <w:szCs w:val="18"/>
              </w:rPr>
              <w:t>8,5</w:t>
            </w:r>
          </w:p>
        </w:tc>
      </w:tr>
      <w:tr w:rsidR="005508EA" w:rsidRPr="003C05FE" w14:paraId="76210C3F" w14:textId="77777777" w:rsidTr="0072423A">
        <w:trPr>
          <w:trHeight w:val="227"/>
        </w:trPr>
        <w:tc>
          <w:tcPr>
            <w:tcW w:w="6912" w:type="dxa"/>
            <w:gridSpan w:val="4"/>
            <w:shd w:val="clear" w:color="auto" w:fill="BFBFBF"/>
          </w:tcPr>
          <w:p w14:paraId="17E1F6D2" w14:textId="77777777" w:rsidR="005508EA" w:rsidRPr="00405AA9" w:rsidRDefault="005508EA" w:rsidP="0072423A">
            <w:pPr>
              <w:contextualSpacing/>
              <w:rPr>
                <w:rFonts w:cs="Arial"/>
                <w:b/>
                <w:sz w:val="18"/>
                <w:szCs w:val="18"/>
              </w:rPr>
            </w:pPr>
            <w:r w:rsidRPr="00405AA9">
              <w:rPr>
                <w:rFonts w:cs="Arial"/>
                <w:b/>
                <w:sz w:val="18"/>
                <w:szCs w:val="18"/>
              </w:rPr>
              <w:t>Celkem Priorita 2</w:t>
            </w:r>
          </w:p>
        </w:tc>
        <w:tc>
          <w:tcPr>
            <w:tcW w:w="1134" w:type="dxa"/>
            <w:shd w:val="clear" w:color="auto" w:fill="BFBFBF"/>
          </w:tcPr>
          <w:p w14:paraId="52C6A796" w14:textId="77777777" w:rsidR="005508EA" w:rsidRPr="00405AA9" w:rsidRDefault="005508EA" w:rsidP="0072423A">
            <w:pPr>
              <w:ind w:right="312"/>
              <w:contextualSpacing/>
              <w:jc w:val="right"/>
              <w:rPr>
                <w:rFonts w:cs="Arial"/>
                <w:b/>
                <w:bCs/>
                <w:sz w:val="18"/>
                <w:szCs w:val="18"/>
              </w:rPr>
            </w:pPr>
            <w:r>
              <w:rPr>
                <w:rFonts w:cs="Arial"/>
                <w:b/>
                <w:bCs/>
                <w:sz w:val="18"/>
                <w:szCs w:val="18"/>
              </w:rPr>
              <w:t>160</w:t>
            </w:r>
          </w:p>
        </w:tc>
        <w:tc>
          <w:tcPr>
            <w:tcW w:w="1560" w:type="dxa"/>
            <w:shd w:val="clear" w:color="auto" w:fill="BFBFBF"/>
          </w:tcPr>
          <w:p w14:paraId="2A180268" w14:textId="77777777" w:rsidR="005508EA" w:rsidRPr="00405AA9" w:rsidRDefault="005508EA" w:rsidP="0072423A">
            <w:pPr>
              <w:ind w:right="170"/>
              <w:contextualSpacing/>
              <w:jc w:val="center"/>
              <w:rPr>
                <w:rFonts w:cs="Arial"/>
                <w:b/>
                <w:bCs/>
                <w:sz w:val="18"/>
                <w:szCs w:val="18"/>
              </w:rPr>
            </w:pPr>
            <w:r>
              <w:rPr>
                <w:rFonts w:cs="Arial"/>
                <w:b/>
                <w:bCs/>
                <w:sz w:val="18"/>
                <w:szCs w:val="18"/>
              </w:rPr>
              <w:t>112,8</w:t>
            </w:r>
          </w:p>
        </w:tc>
      </w:tr>
      <w:tr w:rsidR="005508EA" w:rsidRPr="00377D79" w14:paraId="13440B2B" w14:textId="77777777" w:rsidTr="0072423A">
        <w:trPr>
          <w:trHeight w:val="227"/>
        </w:trPr>
        <w:tc>
          <w:tcPr>
            <w:tcW w:w="2405" w:type="dxa"/>
            <w:gridSpan w:val="2"/>
            <w:shd w:val="clear" w:color="auto" w:fill="BFBFBF"/>
          </w:tcPr>
          <w:p w14:paraId="6CDFBD20" w14:textId="77777777" w:rsidR="005508EA" w:rsidRPr="00377D79" w:rsidRDefault="005508EA" w:rsidP="0072423A">
            <w:pPr>
              <w:ind w:firstLine="28"/>
              <w:contextualSpacing/>
              <w:rPr>
                <w:rFonts w:cs="Arial"/>
                <w:bCs/>
                <w:sz w:val="18"/>
                <w:szCs w:val="18"/>
              </w:rPr>
            </w:pPr>
            <w:r>
              <w:rPr>
                <w:rFonts w:cs="Arial"/>
                <w:bCs/>
                <w:sz w:val="18"/>
                <w:szCs w:val="18"/>
              </w:rPr>
              <w:t xml:space="preserve">5 – </w:t>
            </w:r>
            <w:r w:rsidRPr="00BA0ED7">
              <w:rPr>
                <w:rFonts w:cs="Arial"/>
                <w:b/>
                <w:bCs/>
                <w:sz w:val="18"/>
                <w:szCs w:val="18"/>
              </w:rPr>
              <w:t>Technická pomoc</w:t>
            </w:r>
          </w:p>
        </w:tc>
        <w:tc>
          <w:tcPr>
            <w:tcW w:w="992" w:type="dxa"/>
            <w:shd w:val="clear" w:color="auto" w:fill="BFBFBF"/>
          </w:tcPr>
          <w:p w14:paraId="5E6778B9" w14:textId="77777777" w:rsidR="005508EA" w:rsidRPr="00377D79" w:rsidRDefault="005508EA" w:rsidP="0072423A">
            <w:pPr>
              <w:ind w:firstLine="28"/>
              <w:contextualSpacing/>
              <w:rPr>
                <w:rFonts w:cs="Arial"/>
                <w:bCs/>
                <w:sz w:val="18"/>
                <w:szCs w:val="18"/>
              </w:rPr>
            </w:pPr>
            <w:r>
              <w:rPr>
                <w:rFonts w:cs="Arial"/>
                <w:bCs/>
                <w:sz w:val="18"/>
                <w:szCs w:val="18"/>
              </w:rPr>
              <w:t>5.1.1</w:t>
            </w:r>
          </w:p>
        </w:tc>
        <w:tc>
          <w:tcPr>
            <w:tcW w:w="3515" w:type="dxa"/>
            <w:shd w:val="clear" w:color="auto" w:fill="BFBFBF"/>
          </w:tcPr>
          <w:p w14:paraId="428F340A" w14:textId="77777777" w:rsidR="005508EA" w:rsidRPr="00377D79" w:rsidRDefault="005508EA" w:rsidP="0072423A">
            <w:pPr>
              <w:ind w:firstLine="28"/>
              <w:contextualSpacing/>
              <w:rPr>
                <w:rFonts w:cs="Arial"/>
                <w:bCs/>
                <w:sz w:val="18"/>
                <w:szCs w:val="18"/>
              </w:rPr>
            </w:pPr>
            <w:r>
              <w:rPr>
                <w:rFonts w:cs="Arial"/>
                <w:bCs/>
                <w:sz w:val="18"/>
                <w:szCs w:val="18"/>
              </w:rPr>
              <w:t>Technická pomoc</w:t>
            </w:r>
          </w:p>
        </w:tc>
        <w:tc>
          <w:tcPr>
            <w:tcW w:w="1134" w:type="dxa"/>
            <w:shd w:val="clear" w:color="auto" w:fill="BFBFBF"/>
          </w:tcPr>
          <w:p w14:paraId="0ACC2D84" w14:textId="77777777" w:rsidR="005508EA" w:rsidRPr="00A20F4D" w:rsidRDefault="005508EA" w:rsidP="0072423A">
            <w:pPr>
              <w:ind w:right="312"/>
              <w:contextualSpacing/>
              <w:jc w:val="right"/>
              <w:rPr>
                <w:rFonts w:cs="Arial"/>
                <w:b/>
                <w:bCs/>
                <w:sz w:val="18"/>
                <w:szCs w:val="18"/>
              </w:rPr>
            </w:pPr>
            <w:r>
              <w:rPr>
                <w:rFonts w:cs="Arial"/>
                <w:b/>
                <w:bCs/>
                <w:sz w:val="18"/>
                <w:szCs w:val="18"/>
              </w:rPr>
              <w:t>11</w:t>
            </w:r>
          </w:p>
        </w:tc>
        <w:tc>
          <w:tcPr>
            <w:tcW w:w="1560" w:type="dxa"/>
            <w:shd w:val="clear" w:color="auto" w:fill="BFBFBF"/>
          </w:tcPr>
          <w:p w14:paraId="55FAD82D" w14:textId="77777777" w:rsidR="005508EA" w:rsidRPr="001A529E" w:rsidRDefault="005508EA" w:rsidP="0072423A">
            <w:pPr>
              <w:ind w:right="170"/>
              <w:contextualSpacing/>
              <w:jc w:val="center"/>
              <w:rPr>
                <w:rFonts w:cs="Arial"/>
                <w:b/>
                <w:bCs/>
                <w:sz w:val="18"/>
                <w:szCs w:val="18"/>
              </w:rPr>
            </w:pPr>
            <w:r>
              <w:rPr>
                <w:rFonts w:cs="Arial"/>
                <w:b/>
                <w:bCs/>
                <w:sz w:val="18"/>
                <w:szCs w:val="18"/>
              </w:rPr>
              <w:t>9,4</w:t>
            </w:r>
          </w:p>
        </w:tc>
      </w:tr>
      <w:tr w:rsidR="005508EA" w:rsidRPr="00405AA9" w14:paraId="6D1EAEB5" w14:textId="77777777" w:rsidTr="0072423A">
        <w:trPr>
          <w:trHeight w:val="227"/>
        </w:trPr>
        <w:tc>
          <w:tcPr>
            <w:tcW w:w="3397" w:type="dxa"/>
            <w:gridSpan w:val="3"/>
            <w:shd w:val="clear" w:color="auto" w:fill="BFBFBF"/>
          </w:tcPr>
          <w:p w14:paraId="346D3BC6" w14:textId="77777777" w:rsidR="005508EA" w:rsidRPr="00405AA9" w:rsidRDefault="005508EA" w:rsidP="0072423A">
            <w:pPr>
              <w:ind w:firstLine="28"/>
              <w:contextualSpacing/>
              <w:rPr>
                <w:rFonts w:cs="Arial"/>
                <w:b/>
                <w:bCs/>
                <w:sz w:val="18"/>
                <w:szCs w:val="18"/>
              </w:rPr>
            </w:pPr>
            <w:r w:rsidRPr="00405AA9">
              <w:rPr>
                <w:rFonts w:cs="Arial"/>
                <w:b/>
                <w:bCs/>
                <w:sz w:val="18"/>
                <w:szCs w:val="18"/>
              </w:rPr>
              <w:t>Celkem</w:t>
            </w:r>
          </w:p>
        </w:tc>
        <w:tc>
          <w:tcPr>
            <w:tcW w:w="3515" w:type="dxa"/>
            <w:shd w:val="clear" w:color="auto" w:fill="BFBFBF"/>
          </w:tcPr>
          <w:p w14:paraId="5D9AFBE3" w14:textId="77777777" w:rsidR="005508EA" w:rsidRPr="00405AA9" w:rsidRDefault="005508EA" w:rsidP="0072423A">
            <w:pPr>
              <w:contextualSpacing/>
              <w:rPr>
                <w:rFonts w:cs="Arial"/>
                <w:b/>
                <w:sz w:val="18"/>
                <w:szCs w:val="18"/>
              </w:rPr>
            </w:pPr>
          </w:p>
        </w:tc>
        <w:tc>
          <w:tcPr>
            <w:tcW w:w="1134" w:type="dxa"/>
            <w:shd w:val="clear" w:color="auto" w:fill="BFBFBF"/>
          </w:tcPr>
          <w:p w14:paraId="1DBE0EF4" w14:textId="77777777" w:rsidR="005508EA" w:rsidRPr="00394274" w:rsidRDefault="005508EA" w:rsidP="0072423A">
            <w:pPr>
              <w:ind w:right="312"/>
              <w:contextualSpacing/>
              <w:jc w:val="right"/>
              <w:rPr>
                <w:rFonts w:cs="Arial"/>
                <w:b/>
                <w:bCs/>
                <w:sz w:val="18"/>
                <w:szCs w:val="18"/>
              </w:rPr>
            </w:pPr>
            <w:r>
              <w:rPr>
                <w:rFonts w:cs="Arial"/>
                <w:b/>
                <w:bCs/>
                <w:sz w:val="18"/>
                <w:szCs w:val="18"/>
              </w:rPr>
              <w:t>179</w:t>
            </w:r>
          </w:p>
        </w:tc>
        <w:tc>
          <w:tcPr>
            <w:tcW w:w="1560" w:type="dxa"/>
            <w:shd w:val="clear" w:color="auto" w:fill="BFBFBF"/>
          </w:tcPr>
          <w:p w14:paraId="1F50782A" w14:textId="77777777" w:rsidR="005508EA" w:rsidRPr="00F57F68" w:rsidRDefault="005508EA" w:rsidP="0072423A">
            <w:pPr>
              <w:ind w:right="170"/>
              <w:contextualSpacing/>
              <w:jc w:val="center"/>
              <w:rPr>
                <w:rFonts w:cs="Arial"/>
                <w:b/>
                <w:bCs/>
                <w:sz w:val="18"/>
                <w:szCs w:val="18"/>
              </w:rPr>
            </w:pPr>
            <w:r>
              <w:rPr>
                <w:rFonts w:cs="Arial"/>
                <w:b/>
                <w:bCs/>
                <w:sz w:val="18"/>
                <w:szCs w:val="18"/>
              </w:rPr>
              <w:t>137,6</w:t>
            </w:r>
          </w:p>
        </w:tc>
      </w:tr>
    </w:tbl>
    <w:p w14:paraId="11F1772E" w14:textId="1B402255" w:rsidR="008E6A75" w:rsidRPr="00A75DC0" w:rsidRDefault="00554F22" w:rsidP="55DFC2AA">
      <w:pPr>
        <w:pStyle w:val="Modrzprva-pramen"/>
        <w:contextualSpacing/>
        <w:rPr>
          <w:b w:val="0"/>
          <w:sz w:val="20"/>
          <w:szCs w:val="20"/>
          <w:lang w:val="en-US"/>
        </w:rPr>
      </w:pPr>
      <w:proofErr w:type="spellStart"/>
      <w:r w:rsidRPr="55DFC2AA">
        <w:rPr>
          <w:b w:val="0"/>
          <w:sz w:val="20"/>
          <w:szCs w:val="20"/>
          <w:lang w:val="en-US"/>
        </w:rPr>
        <w:t>Pramen</w:t>
      </w:r>
      <w:proofErr w:type="spellEnd"/>
      <w:r w:rsidRPr="55DFC2AA">
        <w:rPr>
          <w:b w:val="0"/>
          <w:sz w:val="20"/>
          <w:szCs w:val="20"/>
          <w:lang w:val="en-US"/>
        </w:rPr>
        <w:t xml:space="preserve">: MZe </w:t>
      </w:r>
    </w:p>
    <w:p w14:paraId="7218874F" w14:textId="77777777" w:rsidR="00955D26" w:rsidRPr="00104F7D" w:rsidRDefault="00955D26" w:rsidP="007C4955">
      <w:pPr>
        <w:contextualSpacing/>
        <w:rPr>
          <w:b/>
          <w:i/>
          <w:highlight w:val="yellow"/>
        </w:rPr>
      </w:pPr>
    </w:p>
    <w:p w14:paraId="215A40E3" w14:textId="77777777" w:rsidR="000978F6" w:rsidRPr="000978F6" w:rsidRDefault="000978F6" w:rsidP="000978F6">
      <w:pPr>
        <w:spacing w:after="220" w:line="249" w:lineRule="auto"/>
        <w:ind w:left="-4" w:right="39" w:hanging="10"/>
        <w:rPr>
          <w:rFonts w:eastAsia="Gill Sans MT" w:cs="Arial"/>
          <w:b/>
          <w:lang w:eastAsia="cs-CZ"/>
        </w:rPr>
      </w:pPr>
      <w:bookmarkStart w:id="174" w:name="_Toc419097806"/>
      <w:bookmarkStart w:id="175" w:name="_Toc425941917"/>
      <w:bookmarkStart w:id="176" w:name="_Toc425941978"/>
      <w:bookmarkEnd w:id="167"/>
      <w:r w:rsidRPr="000978F6">
        <w:rPr>
          <w:rFonts w:eastAsia="Gill Sans MT" w:cs="Arial"/>
          <w:b/>
          <w:lang w:eastAsia="cs-CZ"/>
        </w:rPr>
        <w:t>Program rozvoje venkova, Strategický plán Společné zemědělské politiky</w:t>
      </w:r>
    </w:p>
    <w:p w14:paraId="1E77F625" w14:textId="77777777" w:rsidR="000978F6" w:rsidRPr="000978F6" w:rsidRDefault="000978F6" w:rsidP="000978F6">
      <w:pPr>
        <w:spacing w:after="220" w:line="249" w:lineRule="auto"/>
        <w:ind w:left="-4" w:right="39" w:hanging="10"/>
        <w:rPr>
          <w:rFonts w:eastAsia="Gill Sans MT" w:cs="Arial"/>
          <w:lang w:eastAsia="cs-CZ"/>
        </w:rPr>
      </w:pPr>
      <w:r w:rsidRPr="000978F6">
        <w:rPr>
          <w:rFonts w:eastAsia="Gill Sans MT" w:cs="Arial"/>
          <w:b/>
          <w:lang w:eastAsia="cs-CZ"/>
        </w:rPr>
        <w:t xml:space="preserve">Program rozvoje venkova České republiky na období 2014–2022 vychází ze Společného strategického rámce, Dohody o partnerství a z dalších strategických dokumentů a byl zpracován v souladu s nařízením Evropského parlamentu a Rady č. 1305/2013. Oblasti vodního hospodářství se z tohoto programu dotýkají částečně pozemkové úpravy. </w:t>
      </w:r>
    </w:p>
    <w:p w14:paraId="7B2AAD53" w14:textId="77777777" w:rsidR="000978F6" w:rsidRPr="000978F6" w:rsidRDefault="000978F6" w:rsidP="000978F6">
      <w:pPr>
        <w:spacing w:after="219" w:line="252" w:lineRule="auto"/>
        <w:ind w:left="9" w:right="34" w:hanging="9"/>
        <w:rPr>
          <w:rFonts w:eastAsia="Gill Sans MT" w:cs="Arial"/>
          <w:color w:val="1C1C1B"/>
          <w:lang w:eastAsia="cs-CZ"/>
        </w:rPr>
      </w:pPr>
      <w:r w:rsidRPr="000978F6">
        <w:rPr>
          <w:rFonts w:eastAsia="Gill Sans MT" w:cs="Arial"/>
          <w:color w:val="1C1C1B"/>
          <w:lang w:eastAsia="cs-CZ"/>
        </w:rPr>
        <w:t xml:space="preserve">V rámci PRV 2014–2022 byly podporovány Pozemkové úpravy, u nichž je definován jediný příjemce dotace – SPÚ, resp. pobočky krajských pozemkových úřadů. Podpora navazovala na předchozí programové období PRV 2007–2013. Bylo podporováno 100 % způsobilých výdajů. Příspěvek z Evropského zemědělského fondu pro rozvoj venkova (dále jen „EZFRV“) činil 49,5 % veřejných výdajů, příspěvek ČR činil 50,5 % veřejných výdajů. Na období 2014–2022 bylo původně alokováno 152,6 mil. EUR (cca 3,9 mld. Kč), realokacemi byl rozpočet navýšen na 186,5 mil. EUR (cca 4,7 mld. Kč). Kontinuální příjem žádostí byl zahájen 22. 2. 2016. </w:t>
      </w:r>
    </w:p>
    <w:p w14:paraId="2F4838B9" w14:textId="77777777" w:rsidR="000978F6" w:rsidRPr="000978F6" w:rsidRDefault="000978F6" w:rsidP="000978F6">
      <w:pPr>
        <w:spacing w:after="219" w:line="252" w:lineRule="auto"/>
        <w:ind w:left="9" w:right="34" w:hanging="9"/>
        <w:rPr>
          <w:rFonts w:eastAsia="Gill Sans MT" w:cs="Arial"/>
          <w:color w:val="1C1C1B"/>
          <w:lang w:eastAsia="cs-CZ"/>
        </w:rPr>
      </w:pPr>
      <w:r w:rsidRPr="000978F6">
        <w:rPr>
          <w:rFonts w:eastAsia="Gill Sans MT" w:cs="Arial"/>
          <w:color w:val="1C1C1B"/>
          <w:lang w:eastAsia="cs-CZ"/>
        </w:rPr>
        <w:t xml:space="preserve">V programovém období 2014–2022 bylo v rámci operace 4.3.1 Pozemkové úpravy zaregistrováno celkem 473 žádostí o dotaci ve výši 4,8 mld. Kč, přičemž schváleno bylo 460 žádostí o objemu 4,7 mld. Kč a skutečně proplaceno bylo 459 projektů za 4,7 mld. Kč, z toho 579,6 mil. Kč bylo proplaceno na oblast vodního hospodářství. </w:t>
      </w:r>
    </w:p>
    <w:p w14:paraId="00B4D685" w14:textId="2C04C779" w:rsidR="000978F6" w:rsidRPr="000978F6" w:rsidRDefault="000978F6" w:rsidP="000978F6">
      <w:pPr>
        <w:spacing w:after="219" w:line="252" w:lineRule="auto"/>
        <w:ind w:left="9" w:right="34" w:hanging="9"/>
        <w:rPr>
          <w:rFonts w:eastAsia="Gill Sans MT" w:cs="Arial"/>
          <w:color w:val="1C1C1B"/>
          <w:lang w:eastAsia="cs-CZ"/>
        </w:rPr>
      </w:pPr>
      <w:r w:rsidRPr="000978F6">
        <w:rPr>
          <w:rFonts w:eastAsia="Gill Sans MT" w:cs="Arial"/>
          <w:color w:val="1C1C1B"/>
          <w:lang w:eastAsia="cs-CZ"/>
        </w:rPr>
        <w:t xml:space="preserve">Na dotační titul 4.3.1 Pozemkové úpravy navazuje v rámci Strategického plánu Společné zemědělské politiky na období 2023-2027 intervence </w:t>
      </w:r>
      <w:proofErr w:type="gramStart"/>
      <w:r w:rsidRPr="000978F6">
        <w:rPr>
          <w:rFonts w:eastAsia="Gill Sans MT" w:cs="Arial"/>
          <w:color w:val="1C1C1B"/>
          <w:lang w:eastAsia="cs-CZ"/>
        </w:rPr>
        <w:t>46.73  Pozemkové</w:t>
      </w:r>
      <w:proofErr w:type="gramEnd"/>
      <w:r w:rsidRPr="000978F6">
        <w:rPr>
          <w:rFonts w:eastAsia="Gill Sans MT" w:cs="Arial"/>
          <w:color w:val="1C1C1B"/>
          <w:lang w:eastAsia="cs-CZ"/>
        </w:rPr>
        <w:t xml:space="preserve"> úpravy. </w:t>
      </w:r>
    </w:p>
    <w:p w14:paraId="34966078" w14:textId="381B93F6" w:rsidR="000978F6" w:rsidRPr="000978F6" w:rsidRDefault="000978F6" w:rsidP="000978F6">
      <w:pPr>
        <w:spacing w:after="219" w:line="252" w:lineRule="auto"/>
        <w:ind w:left="9" w:right="34" w:hanging="9"/>
        <w:rPr>
          <w:rFonts w:eastAsia="Gill Sans MT" w:cs="Arial"/>
          <w:b/>
          <w:bCs/>
          <w:lang w:eastAsia="cs-CZ"/>
        </w:rPr>
      </w:pPr>
      <w:r w:rsidRPr="000978F6">
        <w:rPr>
          <w:rFonts w:eastAsia="Gill Sans MT" w:cs="Arial"/>
          <w:b/>
          <w:bCs/>
          <w:lang w:eastAsia="cs-CZ"/>
        </w:rPr>
        <w:t xml:space="preserve">Strategický plán SZP České republiky na období 2023–2027 byl schválen prováděcím rozhodnutím č. C (2022) 8338 </w:t>
      </w:r>
      <w:proofErr w:type="spellStart"/>
      <w:r w:rsidRPr="000978F6">
        <w:rPr>
          <w:rFonts w:eastAsia="Gill Sans MT" w:cs="Arial"/>
          <w:b/>
          <w:bCs/>
          <w:lang w:eastAsia="cs-CZ"/>
        </w:rPr>
        <w:t>final</w:t>
      </w:r>
      <w:proofErr w:type="spellEnd"/>
      <w:r w:rsidRPr="000978F6">
        <w:rPr>
          <w:rFonts w:eastAsia="Gill Sans MT" w:cs="Arial"/>
          <w:b/>
          <w:bCs/>
          <w:lang w:eastAsia="cs-CZ"/>
        </w:rPr>
        <w:t xml:space="preserve"> dne 24. </w:t>
      </w:r>
      <w:r w:rsidR="00A5481E">
        <w:rPr>
          <w:rFonts w:eastAsia="Gill Sans MT" w:cs="Arial"/>
          <w:b/>
          <w:bCs/>
          <w:lang w:eastAsia="cs-CZ"/>
        </w:rPr>
        <w:t>listopadu</w:t>
      </w:r>
      <w:r w:rsidRPr="000978F6">
        <w:rPr>
          <w:rFonts w:eastAsia="Gill Sans MT" w:cs="Arial"/>
          <w:b/>
          <w:bCs/>
          <w:lang w:eastAsia="cs-CZ"/>
        </w:rPr>
        <w:t xml:space="preserve"> 2022</w:t>
      </w:r>
      <w:r w:rsidRPr="000978F6">
        <w:rPr>
          <w:rFonts w:cs="Arial"/>
          <w:b/>
          <w:bCs/>
        </w:rPr>
        <w:t xml:space="preserve"> a je v souladu s </w:t>
      </w:r>
      <w:r w:rsidRPr="000978F6">
        <w:rPr>
          <w:rFonts w:eastAsia="Gill Sans MT" w:cs="Arial"/>
          <w:b/>
          <w:bCs/>
          <w:lang w:eastAsia="cs-CZ"/>
        </w:rPr>
        <w:t xml:space="preserve">Nařízením Evropského parlamentu a Rady (EU) 2021/2115 ze dne 2. prosince 2021. </w:t>
      </w:r>
    </w:p>
    <w:p w14:paraId="6F8B5C5A" w14:textId="2B786B03" w:rsidR="00C86A94" w:rsidRDefault="000978F6" w:rsidP="00AA0FAB">
      <w:pPr>
        <w:contextualSpacing/>
        <w:rPr>
          <w:b/>
          <w:color w:val="000000" w:themeColor="text1"/>
        </w:rPr>
      </w:pPr>
      <w:r w:rsidRPr="000978F6">
        <w:rPr>
          <w:rFonts w:eastAsia="Gill Sans MT" w:cs="Arial"/>
          <w:color w:val="1C1C1B"/>
          <w:lang w:eastAsia="cs-CZ"/>
        </w:rPr>
        <w:t xml:space="preserve">Rovněž jako v Programu rozvoje venkova 2014–2022 je míra podpory 100 % způsobilých výdajů a příjemci jsou krajské pobočky Státního pozemkového úřadu. Příspěvek z EZFRV činí 35 % veřejných výdajů, příspěvek ČR činí 65 % veřejných výdajů. Příjem žádostí o dotaci je kontinuální </w:t>
      </w:r>
      <w:r w:rsidR="0021041A" w:rsidRPr="000978F6">
        <w:rPr>
          <w:rFonts w:eastAsia="Gill Sans MT" w:cs="Arial"/>
          <w:color w:val="1C1C1B"/>
          <w:lang w:eastAsia="cs-CZ"/>
        </w:rPr>
        <w:t>a probíhá</w:t>
      </w:r>
      <w:r w:rsidRPr="000978F6">
        <w:rPr>
          <w:rFonts w:eastAsia="Gill Sans MT" w:cs="Arial"/>
          <w:color w:val="1C1C1B"/>
          <w:lang w:eastAsia="cs-CZ"/>
        </w:rPr>
        <w:t xml:space="preserve"> od září 2025. Doposud bylo zaregistrováno 17 žádostí o dotaci s požadovanou dotací 98,1 mil. Kč. Celková alokace na období je 105,4 mil. EUR (cca 2,6 mld. Kč).</w:t>
      </w:r>
    </w:p>
    <w:p w14:paraId="4DC333BA" w14:textId="77777777" w:rsidR="004A3F1C" w:rsidRDefault="004A3F1C" w:rsidP="00AA0FAB">
      <w:pPr>
        <w:contextualSpacing/>
        <w:rPr>
          <w:b/>
          <w:color w:val="000000" w:themeColor="text1"/>
        </w:rPr>
      </w:pPr>
    </w:p>
    <w:p w14:paraId="6E23D854" w14:textId="37D6FD61" w:rsidR="00E33853" w:rsidRPr="00667A38" w:rsidRDefault="007C61C3" w:rsidP="00AA0FAB">
      <w:pPr>
        <w:contextualSpacing/>
        <w:rPr>
          <w:b/>
          <w:color w:val="FF0000"/>
        </w:rPr>
      </w:pPr>
      <w:r w:rsidRPr="00667A38">
        <w:rPr>
          <w:b/>
          <w:color w:val="000000" w:themeColor="text1"/>
        </w:rPr>
        <w:t>11</w:t>
      </w:r>
      <w:r w:rsidR="00E33853" w:rsidRPr="00667A38">
        <w:rPr>
          <w:b/>
          <w:color w:val="000000" w:themeColor="text1"/>
        </w:rPr>
        <w:t>.1.2 Finanční podpory resortu Ministerstva životního prostředí</w:t>
      </w:r>
      <w:bookmarkEnd w:id="174"/>
      <w:bookmarkEnd w:id="175"/>
      <w:bookmarkEnd w:id="176"/>
      <w:r w:rsidR="00E33853" w:rsidRPr="00667A38">
        <w:rPr>
          <w:b/>
          <w:color w:val="000000" w:themeColor="text1"/>
        </w:rPr>
        <w:t xml:space="preserve"> </w:t>
      </w:r>
    </w:p>
    <w:p w14:paraId="702F0AE5" w14:textId="77777777" w:rsidR="00E33853" w:rsidRPr="00104F7D" w:rsidRDefault="00E33853" w:rsidP="007C4955">
      <w:pPr>
        <w:contextualSpacing/>
        <w:rPr>
          <w:b/>
          <w:color w:val="FF0000"/>
          <w:highlight w:val="yellow"/>
        </w:rPr>
      </w:pPr>
    </w:p>
    <w:p w14:paraId="7A35A781" w14:textId="67BE6BF2" w:rsidR="0005082E" w:rsidRPr="0005082E" w:rsidRDefault="0005082E" w:rsidP="0005082E">
      <w:pPr>
        <w:contextualSpacing/>
        <w:rPr>
          <w:b/>
        </w:rPr>
      </w:pPr>
      <w:r w:rsidRPr="0005082E">
        <w:rPr>
          <w:b/>
        </w:rPr>
        <w:t>Ministerstvo životního prostředí v roce 2025 poskytovalo finanční podporu</w:t>
      </w:r>
      <w:r>
        <w:rPr>
          <w:b/>
        </w:rPr>
        <w:t xml:space="preserve"> </w:t>
      </w:r>
      <w:r w:rsidRPr="0005082E">
        <w:rPr>
          <w:b/>
        </w:rPr>
        <w:t xml:space="preserve">v rámci nadnárodních i národních dotačních titulů. Finanční podpora v rámci Operačního programu životní prostředí (dále jen OPŽP) byla poskytnuta ve výši 3 753,16 mil. Kč, finanční podpora v rámci programů administrovaných Státním fondem životního prostředí ČR byla poskytnuta ve výši 3 908,9 mil. Kč. Celkově tak v rámci resortu Ministerstva životního prostředí byly poskytnuty finanční prostředky v oblasti vodního hospodářství ve výši 7 662,1 mil. Kč. </w:t>
      </w:r>
    </w:p>
    <w:p w14:paraId="5C82D7F6" w14:textId="77777777" w:rsidR="00B23C64" w:rsidRPr="00104F7D" w:rsidRDefault="00B23C64" w:rsidP="007C4955">
      <w:pPr>
        <w:contextualSpacing/>
        <w:rPr>
          <w:rFonts w:cs="Arial"/>
          <w:b/>
          <w:i/>
          <w:color w:val="000000" w:themeColor="text1"/>
          <w:highlight w:val="yellow"/>
        </w:rPr>
      </w:pPr>
    </w:p>
    <w:p w14:paraId="640F2AB9" w14:textId="11242E0F" w:rsidR="00376878" w:rsidRPr="0005082E" w:rsidRDefault="00376878" w:rsidP="007C4955">
      <w:pPr>
        <w:contextualSpacing/>
        <w:rPr>
          <w:rFonts w:cs="Arial"/>
          <w:b/>
          <w:i/>
          <w:color w:val="000000" w:themeColor="text1"/>
        </w:rPr>
      </w:pPr>
      <w:r w:rsidRPr="0005082E">
        <w:rPr>
          <w:rFonts w:cs="Arial"/>
          <w:b/>
          <w:i/>
          <w:color w:val="000000" w:themeColor="text1"/>
        </w:rPr>
        <w:t xml:space="preserve">Graf </w:t>
      </w:r>
      <w:r w:rsidR="007C61C3" w:rsidRPr="0005082E">
        <w:rPr>
          <w:rFonts w:cs="Arial"/>
          <w:b/>
          <w:i/>
          <w:color w:val="000000" w:themeColor="text1"/>
        </w:rPr>
        <w:t>11</w:t>
      </w:r>
      <w:r w:rsidRPr="0005082E">
        <w:rPr>
          <w:rFonts w:cs="Arial"/>
          <w:b/>
          <w:i/>
          <w:color w:val="000000" w:themeColor="text1"/>
        </w:rPr>
        <w:t xml:space="preserve">.1.2.1 </w:t>
      </w:r>
    </w:p>
    <w:p w14:paraId="34E6DCFD" w14:textId="3207C72E" w:rsidR="00376878" w:rsidRPr="0005082E" w:rsidRDefault="00376878" w:rsidP="007C4955">
      <w:pPr>
        <w:contextualSpacing/>
        <w:rPr>
          <w:rFonts w:cs="Arial"/>
          <w:b/>
          <w:i/>
          <w:color w:val="000000" w:themeColor="text1"/>
        </w:rPr>
      </w:pPr>
      <w:r w:rsidRPr="0005082E">
        <w:rPr>
          <w:rFonts w:cs="Arial"/>
          <w:b/>
          <w:i/>
          <w:color w:val="000000" w:themeColor="text1"/>
        </w:rPr>
        <w:t>Čerpání finančních prostředků v rámci Ministerstva životního prostředí v roce 202</w:t>
      </w:r>
      <w:r w:rsidR="0005082E">
        <w:rPr>
          <w:rFonts w:cs="Arial"/>
          <w:b/>
          <w:i/>
          <w:color w:val="000000" w:themeColor="text1"/>
        </w:rPr>
        <w:t>5</w:t>
      </w:r>
    </w:p>
    <w:p w14:paraId="0CDBEFDF" w14:textId="0969BD65" w:rsidR="00E66928" w:rsidRPr="00104F7D" w:rsidRDefault="0055677A" w:rsidP="007C4955">
      <w:pPr>
        <w:contextualSpacing/>
        <w:rPr>
          <w:rFonts w:cs="Arial"/>
          <w:b/>
          <w:i/>
          <w:color w:val="000000" w:themeColor="text1"/>
          <w:highlight w:val="yellow"/>
        </w:rPr>
      </w:pPr>
      <w:r>
        <w:rPr>
          <w:noProof/>
        </w:rPr>
        <w:drawing>
          <wp:inline distT="0" distB="0" distL="0" distR="0" wp14:anchorId="38937ECB" wp14:editId="7FFF68AB">
            <wp:extent cx="4247147" cy="2195763"/>
            <wp:effectExtent l="0" t="0" r="1270" b="14605"/>
            <wp:docPr id="612362152" name="Graf 1">
              <a:extLst xmlns:a="http://schemas.openxmlformats.org/drawingml/2006/main">
                <a:ext uri="{FF2B5EF4-FFF2-40B4-BE49-F238E27FC236}">
                  <a16:creationId xmlns:a16="http://schemas.microsoft.com/office/drawing/2014/main" id="{A50AED63-B947-4E6C-8D4E-AA8E5BF3C9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130C1EFC" w14:textId="6550A026" w:rsidR="0016161D" w:rsidRPr="00D61F5B" w:rsidRDefault="00376878" w:rsidP="007C4955">
      <w:pPr>
        <w:contextualSpacing/>
        <w:rPr>
          <w:noProof/>
          <w:color w:val="FF0000"/>
          <w:lang w:eastAsia="cs-CZ"/>
        </w:rPr>
      </w:pPr>
      <w:r w:rsidRPr="0055677A">
        <w:rPr>
          <w:rFonts w:cs="Arial"/>
          <w:i/>
          <w:sz w:val="20"/>
          <w:szCs w:val="20"/>
        </w:rPr>
        <w:t>Pramen: MŽP, SFŽ</w:t>
      </w:r>
      <w:r w:rsidR="004A2CDA">
        <w:rPr>
          <w:rFonts w:cs="Arial"/>
          <w:i/>
          <w:sz w:val="20"/>
          <w:szCs w:val="20"/>
        </w:rPr>
        <w:t>P</w:t>
      </w:r>
    </w:p>
    <w:p w14:paraId="5670352C" w14:textId="77777777" w:rsidR="00275244" w:rsidRDefault="00275244" w:rsidP="007C4955">
      <w:pPr>
        <w:contextualSpacing/>
        <w:rPr>
          <w:rFonts w:cs="Arial"/>
          <w:b/>
          <w:i/>
        </w:rPr>
      </w:pPr>
    </w:p>
    <w:p w14:paraId="36993E9C" w14:textId="3DBEA943" w:rsidR="00376878" w:rsidRPr="00D85C62" w:rsidRDefault="00376878" w:rsidP="007C4955">
      <w:pPr>
        <w:contextualSpacing/>
        <w:rPr>
          <w:rFonts w:cs="Arial"/>
          <w:b/>
          <w:i/>
        </w:rPr>
      </w:pPr>
      <w:r w:rsidRPr="00D85C62">
        <w:rPr>
          <w:rFonts w:cs="Arial"/>
          <w:b/>
          <w:i/>
        </w:rPr>
        <w:t xml:space="preserve">Tabulka </w:t>
      </w:r>
      <w:r w:rsidR="00FD789E" w:rsidRPr="00D85C62">
        <w:rPr>
          <w:rFonts w:cs="Arial"/>
          <w:b/>
          <w:i/>
        </w:rPr>
        <w:t>11</w:t>
      </w:r>
      <w:r w:rsidRPr="00D85C62">
        <w:rPr>
          <w:rFonts w:cs="Arial"/>
          <w:b/>
          <w:i/>
        </w:rPr>
        <w:t xml:space="preserve">.1.2.1 </w:t>
      </w:r>
    </w:p>
    <w:p w14:paraId="3003B533" w14:textId="1FD58749" w:rsidR="00376878" w:rsidRDefault="00376878" w:rsidP="007C4955">
      <w:pPr>
        <w:contextualSpacing/>
        <w:rPr>
          <w:rFonts w:cs="Arial"/>
          <w:b/>
          <w:i/>
        </w:rPr>
      </w:pPr>
      <w:r w:rsidRPr="00D85C62">
        <w:rPr>
          <w:rFonts w:cs="Arial"/>
          <w:b/>
          <w:i/>
        </w:rPr>
        <w:t>Finanční prostředky poskytnuté v oblasti vodního hospodářství resortem Ministerstva životního prostředí v roce 202</w:t>
      </w:r>
      <w:r w:rsidR="00D85C62">
        <w:rPr>
          <w:rFonts w:cs="Arial"/>
          <w:b/>
          <w:i/>
        </w:rPr>
        <w:t>5</w:t>
      </w:r>
    </w:p>
    <w:tbl>
      <w:tblPr>
        <w:tblW w:w="9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523"/>
        <w:gridCol w:w="2552"/>
      </w:tblGrid>
      <w:tr w:rsidR="00D85C62" w:rsidRPr="00D85C62" w14:paraId="7B8D7823" w14:textId="77777777">
        <w:trPr>
          <w:trHeight w:val="732"/>
        </w:trPr>
        <w:tc>
          <w:tcPr>
            <w:tcW w:w="652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C0D59ED" w14:textId="77777777" w:rsidR="00D85C62" w:rsidRPr="00DC4F67" w:rsidRDefault="00D85C62" w:rsidP="00D85C62">
            <w:pPr>
              <w:contextualSpacing/>
              <w:rPr>
                <w:rFonts w:cs="Arial"/>
                <w:b/>
                <w:iCs/>
                <w:sz w:val="18"/>
                <w:szCs w:val="18"/>
              </w:rPr>
            </w:pPr>
            <w:r w:rsidRPr="00DC4F67">
              <w:rPr>
                <w:rFonts w:cs="Arial"/>
                <w:b/>
                <w:iCs/>
                <w:sz w:val="18"/>
                <w:szCs w:val="18"/>
              </w:rPr>
              <w:t>Název programu</w:t>
            </w:r>
          </w:p>
        </w:tc>
        <w:tc>
          <w:tcPr>
            <w:tcW w:w="255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73FDB66" w14:textId="77777777" w:rsidR="00D85C62" w:rsidRPr="00DC4F67" w:rsidRDefault="00D85C62" w:rsidP="00D85C62">
            <w:pPr>
              <w:contextualSpacing/>
              <w:rPr>
                <w:rFonts w:cs="Arial"/>
                <w:b/>
                <w:iCs/>
                <w:sz w:val="18"/>
                <w:szCs w:val="18"/>
              </w:rPr>
            </w:pPr>
            <w:r w:rsidRPr="00DC4F67">
              <w:rPr>
                <w:rFonts w:cs="Arial"/>
                <w:b/>
                <w:iCs/>
                <w:sz w:val="18"/>
                <w:szCs w:val="18"/>
              </w:rPr>
              <w:t>Výdaje na financování programů</w:t>
            </w:r>
          </w:p>
          <w:p w14:paraId="57D0AD19" w14:textId="77777777" w:rsidR="00D85C62" w:rsidRPr="00DC4F67" w:rsidRDefault="00D85C62" w:rsidP="00D85C62">
            <w:pPr>
              <w:contextualSpacing/>
              <w:rPr>
                <w:rFonts w:cs="Arial"/>
                <w:b/>
                <w:iCs/>
                <w:sz w:val="18"/>
                <w:szCs w:val="18"/>
              </w:rPr>
            </w:pPr>
            <w:r w:rsidRPr="00DC4F67">
              <w:rPr>
                <w:rFonts w:cs="Arial"/>
                <w:b/>
                <w:iCs/>
                <w:sz w:val="18"/>
                <w:szCs w:val="18"/>
              </w:rPr>
              <w:t>mil. Kč</w:t>
            </w:r>
          </w:p>
        </w:tc>
      </w:tr>
      <w:tr w:rsidR="00D85C62" w:rsidRPr="00D85C62" w14:paraId="4835B5FC" w14:textId="77777777">
        <w:trPr>
          <w:trHeight w:val="20"/>
        </w:trPr>
        <w:tc>
          <w:tcPr>
            <w:tcW w:w="6521" w:type="dxa"/>
            <w:tcBorders>
              <w:top w:val="single" w:sz="4" w:space="0" w:color="auto"/>
              <w:left w:val="single" w:sz="4" w:space="0" w:color="auto"/>
              <w:bottom w:val="single" w:sz="4" w:space="0" w:color="auto"/>
              <w:right w:val="single" w:sz="4" w:space="0" w:color="auto"/>
            </w:tcBorders>
            <w:vAlign w:val="center"/>
            <w:hideMark/>
          </w:tcPr>
          <w:p w14:paraId="7D46D1AB" w14:textId="77777777" w:rsidR="00D85C62" w:rsidRPr="00DC4F67" w:rsidRDefault="00D85C62" w:rsidP="00D85C62">
            <w:pPr>
              <w:contextualSpacing/>
              <w:rPr>
                <w:rFonts w:cs="Arial"/>
                <w:bCs/>
                <w:iCs/>
                <w:sz w:val="18"/>
                <w:szCs w:val="18"/>
              </w:rPr>
            </w:pPr>
            <w:r w:rsidRPr="00DC4F67">
              <w:rPr>
                <w:rFonts w:cs="Arial"/>
                <w:bCs/>
                <w:iCs/>
                <w:sz w:val="18"/>
                <w:szCs w:val="18"/>
              </w:rPr>
              <w:t>Operační program Životní prostředí 2021–2027</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0E6902C" w14:textId="77777777" w:rsidR="00D85C62" w:rsidRPr="00DC4F67" w:rsidRDefault="00D85C62" w:rsidP="00D85C62">
            <w:pPr>
              <w:contextualSpacing/>
              <w:rPr>
                <w:rFonts w:cs="Arial"/>
                <w:bCs/>
                <w:iCs/>
                <w:sz w:val="18"/>
                <w:szCs w:val="18"/>
              </w:rPr>
            </w:pPr>
            <w:r w:rsidRPr="00DC4F67">
              <w:rPr>
                <w:rFonts w:cs="Arial"/>
                <w:bCs/>
                <w:iCs/>
                <w:sz w:val="18"/>
                <w:szCs w:val="18"/>
              </w:rPr>
              <w:t>3 753,2</w:t>
            </w:r>
          </w:p>
        </w:tc>
      </w:tr>
      <w:tr w:rsidR="00D85C62" w:rsidRPr="00D85C62" w14:paraId="5A765CAF" w14:textId="77777777">
        <w:trPr>
          <w:trHeight w:val="20"/>
        </w:trPr>
        <w:tc>
          <w:tcPr>
            <w:tcW w:w="652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F9361C2" w14:textId="77777777" w:rsidR="00D85C62" w:rsidRPr="00DC4F67" w:rsidRDefault="00D85C62" w:rsidP="00D85C62">
            <w:pPr>
              <w:contextualSpacing/>
              <w:rPr>
                <w:rFonts w:cs="Arial"/>
                <w:b/>
                <w:iCs/>
                <w:sz w:val="18"/>
                <w:szCs w:val="18"/>
              </w:rPr>
            </w:pPr>
            <w:r w:rsidRPr="00DC4F67">
              <w:rPr>
                <w:rFonts w:cs="Arial"/>
                <w:b/>
                <w:iCs/>
                <w:sz w:val="18"/>
                <w:szCs w:val="18"/>
              </w:rPr>
              <w:t xml:space="preserve">Ministerstvo životního prostředí – celkem </w:t>
            </w:r>
          </w:p>
        </w:tc>
        <w:tc>
          <w:tcPr>
            <w:tcW w:w="255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41A27D1" w14:textId="77777777" w:rsidR="00D85C62" w:rsidRPr="00DC4F67" w:rsidRDefault="00D85C62" w:rsidP="00D85C62">
            <w:pPr>
              <w:contextualSpacing/>
              <w:rPr>
                <w:rFonts w:cs="Arial"/>
                <w:b/>
                <w:iCs/>
                <w:sz w:val="18"/>
                <w:szCs w:val="18"/>
              </w:rPr>
            </w:pPr>
            <w:r w:rsidRPr="00DC4F67">
              <w:rPr>
                <w:rFonts w:cs="Arial"/>
                <w:b/>
                <w:iCs/>
                <w:sz w:val="18"/>
                <w:szCs w:val="18"/>
              </w:rPr>
              <w:t>3 753,2</w:t>
            </w:r>
          </w:p>
        </w:tc>
      </w:tr>
      <w:tr w:rsidR="00D85C62" w:rsidRPr="00D85C62" w14:paraId="465ECD72" w14:textId="77777777">
        <w:trPr>
          <w:trHeight w:val="20"/>
        </w:trPr>
        <w:tc>
          <w:tcPr>
            <w:tcW w:w="6521" w:type="dxa"/>
            <w:tcBorders>
              <w:top w:val="single" w:sz="4" w:space="0" w:color="auto"/>
              <w:left w:val="single" w:sz="4" w:space="0" w:color="auto"/>
              <w:bottom w:val="single" w:sz="4" w:space="0" w:color="auto"/>
              <w:right w:val="single" w:sz="4" w:space="0" w:color="auto"/>
            </w:tcBorders>
            <w:vAlign w:val="center"/>
            <w:hideMark/>
          </w:tcPr>
          <w:p w14:paraId="09CE84A9" w14:textId="77777777" w:rsidR="00D85C62" w:rsidRPr="00DC4F67" w:rsidRDefault="00D85C62" w:rsidP="00D85C62">
            <w:pPr>
              <w:contextualSpacing/>
              <w:rPr>
                <w:rFonts w:cs="Arial"/>
                <w:bCs/>
                <w:iCs/>
                <w:sz w:val="18"/>
                <w:szCs w:val="18"/>
              </w:rPr>
            </w:pPr>
            <w:r w:rsidRPr="00DC4F67">
              <w:rPr>
                <w:rFonts w:cs="Arial"/>
                <w:bCs/>
                <w:iCs/>
                <w:sz w:val="18"/>
                <w:szCs w:val="18"/>
              </w:rPr>
              <w:t>Národní program Životní prostředí (bez výzev NPO)</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2C40E20" w14:textId="77777777" w:rsidR="00D85C62" w:rsidRPr="00DC4F67" w:rsidRDefault="00D85C62" w:rsidP="00D85C62">
            <w:pPr>
              <w:contextualSpacing/>
              <w:rPr>
                <w:rFonts w:cs="Arial"/>
                <w:bCs/>
                <w:iCs/>
                <w:sz w:val="18"/>
                <w:szCs w:val="18"/>
              </w:rPr>
            </w:pPr>
            <w:r w:rsidRPr="00DC4F67">
              <w:rPr>
                <w:rFonts w:cs="Arial"/>
                <w:bCs/>
                <w:iCs/>
                <w:sz w:val="18"/>
                <w:szCs w:val="18"/>
              </w:rPr>
              <w:t>2 572,2</w:t>
            </w:r>
          </w:p>
        </w:tc>
      </w:tr>
      <w:tr w:rsidR="00D85C62" w:rsidRPr="00D85C62" w14:paraId="671C0D96" w14:textId="77777777">
        <w:trPr>
          <w:trHeight w:val="20"/>
        </w:trPr>
        <w:tc>
          <w:tcPr>
            <w:tcW w:w="6521" w:type="dxa"/>
            <w:tcBorders>
              <w:top w:val="single" w:sz="4" w:space="0" w:color="auto"/>
              <w:left w:val="single" w:sz="4" w:space="0" w:color="auto"/>
              <w:bottom w:val="single" w:sz="4" w:space="0" w:color="auto"/>
              <w:right w:val="single" w:sz="4" w:space="0" w:color="auto"/>
            </w:tcBorders>
            <w:vAlign w:val="center"/>
            <w:hideMark/>
          </w:tcPr>
          <w:p w14:paraId="3DFC76DD" w14:textId="77777777" w:rsidR="00D85C62" w:rsidRPr="00DC4F67" w:rsidRDefault="00D85C62" w:rsidP="00D85C62">
            <w:pPr>
              <w:contextualSpacing/>
              <w:rPr>
                <w:rFonts w:cs="Arial"/>
                <w:bCs/>
                <w:iCs/>
                <w:sz w:val="18"/>
                <w:szCs w:val="18"/>
              </w:rPr>
            </w:pPr>
            <w:r w:rsidRPr="00DC4F67">
              <w:rPr>
                <w:rFonts w:cs="Arial"/>
                <w:bCs/>
                <w:iCs/>
                <w:sz w:val="18"/>
                <w:szCs w:val="18"/>
              </w:rPr>
              <w:t>Zápůjčky Státního fondu životního prostředí k NPŽP</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968DE12" w14:textId="77777777" w:rsidR="00D85C62" w:rsidRPr="00DC4F67" w:rsidRDefault="00D85C62" w:rsidP="00D85C62">
            <w:pPr>
              <w:contextualSpacing/>
              <w:rPr>
                <w:rFonts w:cs="Arial"/>
                <w:bCs/>
                <w:iCs/>
                <w:sz w:val="18"/>
                <w:szCs w:val="18"/>
              </w:rPr>
            </w:pPr>
            <w:r w:rsidRPr="00DC4F67">
              <w:rPr>
                <w:rFonts w:cs="Arial"/>
                <w:bCs/>
                <w:iCs/>
                <w:sz w:val="18"/>
                <w:szCs w:val="18"/>
              </w:rPr>
              <w:t>403,8</w:t>
            </w:r>
          </w:p>
        </w:tc>
      </w:tr>
      <w:tr w:rsidR="00D85C62" w:rsidRPr="00D85C62" w14:paraId="04C164B7" w14:textId="77777777">
        <w:trPr>
          <w:trHeight w:val="20"/>
        </w:trPr>
        <w:tc>
          <w:tcPr>
            <w:tcW w:w="6521" w:type="dxa"/>
            <w:tcBorders>
              <w:top w:val="single" w:sz="4" w:space="0" w:color="auto"/>
              <w:left w:val="single" w:sz="4" w:space="0" w:color="auto"/>
              <w:bottom w:val="single" w:sz="4" w:space="0" w:color="auto"/>
              <w:right w:val="single" w:sz="4" w:space="0" w:color="auto"/>
            </w:tcBorders>
            <w:vAlign w:val="center"/>
            <w:hideMark/>
          </w:tcPr>
          <w:p w14:paraId="3A422469" w14:textId="77777777" w:rsidR="00D85C62" w:rsidRPr="00DC4F67" w:rsidRDefault="00D85C62" w:rsidP="00D85C62">
            <w:pPr>
              <w:contextualSpacing/>
              <w:rPr>
                <w:rFonts w:cs="Arial"/>
                <w:bCs/>
                <w:iCs/>
                <w:sz w:val="18"/>
                <w:szCs w:val="18"/>
              </w:rPr>
            </w:pPr>
            <w:r w:rsidRPr="00DC4F67">
              <w:rPr>
                <w:rFonts w:cs="Arial"/>
                <w:bCs/>
                <w:iCs/>
                <w:sz w:val="18"/>
                <w:szCs w:val="18"/>
              </w:rPr>
              <w:t>Povodně – Obnova infrastruktury pro ŽP</w:t>
            </w:r>
          </w:p>
          <w:p w14:paraId="167B9FB9" w14:textId="77777777" w:rsidR="00D85C62" w:rsidRPr="00DC4F67" w:rsidRDefault="00D85C62" w:rsidP="00D85C62">
            <w:pPr>
              <w:contextualSpacing/>
              <w:rPr>
                <w:rFonts w:cs="Arial"/>
                <w:bCs/>
                <w:iCs/>
                <w:sz w:val="18"/>
                <w:szCs w:val="18"/>
              </w:rPr>
            </w:pPr>
            <w:r w:rsidRPr="00DC4F67">
              <w:rPr>
                <w:rFonts w:cs="Arial"/>
                <w:bCs/>
                <w:iCs/>
                <w:sz w:val="18"/>
                <w:szCs w:val="18"/>
              </w:rPr>
              <w:t>po povodni 2024</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FAB2BF0" w14:textId="77777777" w:rsidR="00D85C62" w:rsidRPr="00DC4F67" w:rsidRDefault="00D85C62" w:rsidP="00D85C62">
            <w:pPr>
              <w:contextualSpacing/>
              <w:rPr>
                <w:rFonts w:cs="Arial"/>
                <w:bCs/>
                <w:iCs/>
                <w:sz w:val="18"/>
                <w:szCs w:val="18"/>
              </w:rPr>
            </w:pPr>
            <w:r w:rsidRPr="00DC4F67">
              <w:rPr>
                <w:rFonts w:cs="Arial"/>
                <w:bCs/>
                <w:iCs/>
                <w:sz w:val="18"/>
                <w:szCs w:val="18"/>
              </w:rPr>
              <w:t>241,2</w:t>
            </w:r>
          </w:p>
        </w:tc>
      </w:tr>
      <w:tr w:rsidR="00D85C62" w:rsidRPr="00D85C62" w14:paraId="453B951E" w14:textId="77777777">
        <w:trPr>
          <w:trHeight w:val="20"/>
        </w:trPr>
        <w:tc>
          <w:tcPr>
            <w:tcW w:w="6521" w:type="dxa"/>
            <w:tcBorders>
              <w:top w:val="single" w:sz="4" w:space="0" w:color="auto"/>
              <w:left w:val="single" w:sz="4" w:space="0" w:color="auto"/>
              <w:bottom w:val="single" w:sz="4" w:space="0" w:color="auto"/>
              <w:right w:val="single" w:sz="4" w:space="0" w:color="auto"/>
            </w:tcBorders>
            <w:vAlign w:val="center"/>
            <w:hideMark/>
          </w:tcPr>
          <w:p w14:paraId="0A4181BF" w14:textId="77777777" w:rsidR="00D85C62" w:rsidRPr="00DC4F67" w:rsidRDefault="00D85C62" w:rsidP="00D85C62">
            <w:pPr>
              <w:contextualSpacing/>
              <w:rPr>
                <w:rFonts w:cs="Arial"/>
                <w:bCs/>
                <w:iCs/>
                <w:sz w:val="18"/>
                <w:szCs w:val="18"/>
              </w:rPr>
            </w:pPr>
            <w:r w:rsidRPr="00DC4F67">
              <w:rPr>
                <w:rFonts w:cs="Arial"/>
                <w:bCs/>
                <w:iCs/>
                <w:sz w:val="18"/>
                <w:szCs w:val="18"/>
              </w:rPr>
              <w:t>Zápůjčky Státního fondu životního prostředí k OPŽP</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E1B37E2" w14:textId="77777777" w:rsidR="00D85C62" w:rsidRPr="00DC4F67" w:rsidRDefault="00D85C62" w:rsidP="00D85C62">
            <w:pPr>
              <w:contextualSpacing/>
              <w:rPr>
                <w:rFonts w:cs="Arial"/>
                <w:bCs/>
                <w:iCs/>
                <w:sz w:val="18"/>
                <w:szCs w:val="18"/>
              </w:rPr>
            </w:pPr>
            <w:r w:rsidRPr="00DC4F67">
              <w:rPr>
                <w:rFonts w:cs="Arial"/>
                <w:bCs/>
                <w:iCs/>
                <w:sz w:val="18"/>
                <w:szCs w:val="18"/>
              </w:rPr>
              <w:t>65,6</w:t>
            </w:r>
          </w:p>
        </w:tc>
      </w:tr>
      <w:tr w:rsidR="00D85C62" w:rsidRPr="00D85C62" w14:paraId="7C22519A" w14:textId="77777777">
        <w:trPr>
          <w:trHeight w:val="20"/>
        </w:trPr>
        <w:tc>
          <w:tcPr>
            <w:tcW w:w="6521" w:type="dxa"/>
            <w:tcBorders>
              <w:top w:val="single" w:sz="4" w:space="0" w:color="auto"/>
              <w:left w:val="single" w:sz="4" w:space="0" w:color="auto"/>
              <w:bottom w:val="single" w:sz="4" w:space="0" w:color="auto"/>
              <w:right w:val="single" w:sz="4" w:space="0" w:color="auto"/>
            </w:tcBorders>
            <w:vAlign w:val="center"/>
            <w:hideMark/>
          </w:tcPr>
          <w:p w14:paraId="19D48CB2" w14:textId="77777777" w:rsidR="00D85C62" w:rsidRPr="00DC4F67" w:rsidRDefault="00D85C62" w:rsidP="00D85C62">
            <w:pPr>
              <w:contextualSpacing/>
              <w:rPr>
                <w:rFonts w:cs="Arial"/>
                <w:bCs/>
                <w:iCs/>
                <w:sz w:val="18"/>
                <w:szCs w:val="18"/>
              </w:rPr>
            </w:pPr>
            <w:r w:rsidRPr="00DC4F67">
              <w:rPr>
                <w:rFonts w:cs="Arial"/>
                <w:bCs/>
                <w:iCs/>
                <w:sz w:val="18"/>
                <w:szCs w:val="18"/>
              </w:rPr>
              <w:t>Národní plán obnovy</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A26589E" w14:textId="77777777" w:rsidR="00D85C62" w:rsidRPr="00DC4F67" w:rsidRDefault="00D85C62" w:rsidP="00D85C62">
            <w:pPr>
              <w:contextualSpacing/>
              <w:rPr>
                <w:rFonts w:cs="Arial"/>
                <w:bCs/>
                <w:iCs/>
                <w:sz w:val="18"/>
                <w:szCs w:val="18"/>
              </w:rPr>
            </w:pPr>
            <w:r w:rsidRPr="00DC4F67">
              <w:rPr>
                <w:rFonts w:cs="Arial"/>
                <w:bCs/>
                <w:iCs/>
                <w:sz w:val="18"/>
                <w:szCs w:val="18"/>
              </w:rPr>
              <w:t>513,9</w:t>
            </w:r>
          </w:p>
        </w:tc>
      </w:tr>
      <w:tr w:rsidR="00D85C62" w:rsidRPr="00D85C62" w14:paraId="1900742E" w14:textId="77777777">
        <w:trPr>
          <w:trHeight w:val="20"/>
        </w:trPr>
        <w:tc>
          <w:tcPr>
            <w:tcW w:w="6521" w:type="dxa"/>
            <w:tcBorders>
              <w:top w:val="single" w:sz="4" w:space="0" w:color="auto"/>
              <w:left w:val="single" w:sz="4" w:space="0" w:color="auto"/>
              <w:bottom w:val="single" w:sz="4" w:space="0" w:color="auto"/>
              <w:right w:val="single" w:sz="4" w:space="0" w:color="auto"/>
            </w:tcBorders>
            <w:vAlign w:val="center"/>
            <w:hideMark/>
          </w:tcPr>
          <w:p w14:paraId="4BA18797" w14:textId="77777777" w:rsidR="00D85C62" w:rsidRPr="00DC4F67" w:rsidRDefault="00D85C62" w:rsidP="00D85C62">
            <w:pPr>
              <w:contextualSpacing/>
              <w:rPr>
                <w:rFonts w:cs="Arial"/>
                <w:bCs/>
                <w:iCs/>
                <w:sz w:val="18"/>
                <w:szCs w:val="18"/>
              </w:rPr>
            </w:pPr>
            <w:r w:rsidRPr="00DC4F67">
              <w:rPr>
                <w:rFonts w:cs="Arial"/>
                <w:bCs/>
                <w:iCs/>
                <w:sz w:val="18"/>
                <w:szCs w:val="18"/>
              </w:rPr>
              <w:t>Projektová schémata OPZP21+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EDB956F" w14:textId="77777777" w:rsidR="00D85C62" w:rsidRPr="00DC4F67" w:rsidRDefault="00D85C62" w:rsidP="00D85C62">
            <w:pPr>
              <w:contextualSpacing/>
              <w:rPr>
                <w:rFonts w:cs="Arial"/>
                <w:bCs/>
                <w:iCs/>
                <w:sz w:val="18"/>
                <w:szCs w:val="18"/>
              </w:rPr>
            </w:pPr>
            <w:r w:rsidRPr="00DC4F67">
              <w:rPr>
                <w:rFonts w:cs="Arial"/>
                <w:bCs/>
                <w:iCs/>
                <w:sz w:val="18"/>
                <w:szCs w:val="18"/>
              </w:rPr>
              <w:t>112,2</w:t>
            </w:r>
          </w:p>
        </w:tc>
      </w:tr>
      <w:tr w:rsidR="00D85C62" w:rsidRPr="00D85C62" w14:paraId="4387BE82" w14:textId="77777777">
        <w:trPr>
          <w:trHeight w:val="20"/>
        </w:trPr>
        <w:tc>
          <w:tcPr>
            <w:tcW w:w="652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175CCAC" w14:textId="77777777" w:rsidR="00D85C62" w:rsidRPr="00DC4F67" w:rsidRDefault="00D85C62" w:rsidP="00D85C62">
            <w:pPr>
              <w:contextualSpacing/>
              <w:rPr>
                <w:rFonts w:cs="Arial"/>
                <w:b/>
                <w:iCs/>
                <w:sz w:val="18"/>
                <w:szCs w:val="18"/>
              </w:rPr>
            </w:pPr>
            <w:r w:rsidRPr="00DC4F67">
              <w:rPr>
                <w:rFonts w:cs="Arial"/>
                <w:b/>
                <w:iCs/>
                <w:sz w:val="18"/>
                <w:szCs w:val="18"/>
              </w:rPr>
              <w:t xml:space="preserve">Státní fond životního prostředí ČR – poskytnutá podpora celkem </w:t>
            </w:r>
          </w:p>
        </w:tc>
        <w:tc>
          <w:tcPr>
            <w:tcW w:w="255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F39B2A8" w14:textId="77777777" w:rsidR="00D85C62" w:rsidRPr="00DC4F67" w:rsidRDefault="00D85C62" w:rsidP="00D85C62">
            <w:pPr>
              <w:contextualSpacing/>
              <w:rPr>
                <w:rFonts w:cs="Arial"/>
                <w:b/>
                <w:iCs/>
                <w:sz w:val="18"/>
                <w:szCs w:val="18"/>
              </w:rPr>
            </w:pPr>
            <w:r w:rsidRPr="00DC4F67">
              <w:rPr>
                <w:rFonts w:cs="Arial"/>
                <w:b/>
                <w:iCs/>
                <w:sz w:val="18"/>
                <w:szCs w:val="18"/>
              </w:rPr>
              <w:t xml:space="preserve"> 3 908,9</w:t>
            </w:r>
          </w:p>
        </w:tc>
      </w:tr>
      <w:tr w:rsidR="00D85C62" w:rsidRPr="00D85C62" w14:paraId="3E0FECDC" w14:textId="77777777">
        <w:trPr>
          <w:trHeight w:val="20"/>
        </w:trPr>
        <w:tc>
          <w:tcPr>
            <w:tcW w:w="6521"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49A45525" w14:textId="77777777" w:rsidR="00D85C62" w:rsidRPr="00DC4F67" w:rsidRDefault="00D85C62" w:rsidP="00D85C62">
            <w:pPr>
              <w:contextualSpacing/>
              <w:rPr>
                <w:rFonts w:cs="Arial"/>
                <w:b/>
                <w:iCs/>
                <w:sz w:val="18"/>
                <w:szCs w:val="18"/>
              </w:rPr>
            </w:pPr>
            <w:r w:rsidRPr="00DC4F67">
              <w:rPr>
                <w:rFonts w:cs="Arial"/>
                <w:b/>
                <w:iCs/>
                <w:sz w:val="18"/>
                <w:szCs w:val="18"/>
              </w:rPr>
              <w:t>Celková podpora poskytnutá resortem životního prostředí</w:t>
            </w:r>
          </w:p>
        </w:tc>
        <w:tc>
          <w:tcPr>
            <w:tcW w:w="2551"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40635711" w14:textId="77777777" w:rsidR="00D85C62" w:rsidRPr="00DC4F67" w:rsidRDefault="00D85C62" w:rsidP="00D85C62">
            <w:pPr>
              <w:contextualSpacing/>
              <w:rPr>
                <w:rFonts w:cs="Arial"/>
                <w:b/>
                <w:iCs/>
                <w:sz w:val="18"/>
                <w:szCs w:val="18"/>
              </w:rPr>
            </w:pPr>
            <w:r w:rsidRPr="00DC4F67">
              <w:rPr>
                <w:rFonts w:cs="Arial"/>
                <w:b/>
                <w:iCs/>
                <w:sz w:val="18"/>
                <w:szCs w:val="18"/>
              </w:rPr>
              <w:t>7 662,1</w:t>
            </w:r>
          </w:p>
        </w:tc>
      </w:tr>
    </w:tbl>
    <w:p w14:paraId="2908D50D" w14:textId="77777777" w:rsidR="00FA7280" w:rsidRPr="00A7057E" w:rsidRDefault="00FA7280" w:rsidP="00FA7280">
      <w:pPr>
        <w:contextualSpacing/>
        <w:rPr>
          <w:rFonts w:cs="Arial"/>
          <w:i/>
          <w:sz w:val="20"/>
          <w:szCs w:val="20"/>
        </w:rPr>
      </w:pPr>
      <w:r w:rsidRPr="00A7057E">
        <w:rPr>
          <w:rFonts w:cs="Arial"/>
          <w:i/>
          <w:sz w:val="20"/>
          <w:szCs w:val="20"/>
        </w:rPr>
        <w:t>Pramen: MŽP, SFŽP</w:t>
      </w:r>
    </w:p>
    <w:p w14:paraId="1E381263" w14:textId="77777777" w:rsidR="000C4034" w:rsidRPr="00104F7D" w:rsidRDefault="000C4034" w:rsidP="007C4955">
      <w:pPr>
        <w:contextualSpacing/>
        <w:rPr>
          <w:rFonts w:cs="Arial"/>
          <w:bCs/>
          <w:i/>
          <w:highlight w:val="yellow"/>
        </w:rPr>
      </w:pPr>
    </w:p>
    <w:p w14:paraId="3D3FF74D" w14:textId="29CA781B" w:rsidR="00376878" w:rsidRPr="00104F7D" w:rsidRDefault="002E7CA4" w:rsidP="007C4955">
      <w:pPr>
        <w:contextualSpacing/>
        <w:rPr>
          <w:rFonts w:cs="Arial"/>
          <w:b/>
          <w:i/>
          <w:highlight w:val="yellow"/>
        </w:rPr>
      </w:pPr>
      <w:r w:rsidRPr="002E7CA4">
        <w:rPr>
          <w:rFonts w:cs="Arial"/>
          <w:bCs/>
          <w:iCs/>
        </w:rPr>
        <w:t>Podrobnější informace k jednotlivým programům a hospodaření SFŽP ČR naleznete v dokumentu „Zpráva o hospodaření SFŽP ČR za rok 2025“.</w:t>
      </w:r>
    </w:p>
    <w:p w14:paraId="6ED1E32B" w14:textId="77777777" w:rsidR="00FA7280" w:rsidRPr="00104F7D" w:rsidRDefault="00FA7280" w:rsidP="007C4955">
      <w:pPr>
        <w:contextualSpacing/>
        <w:rPr>
          <w:rFonts w:cs="Arial"/>
          <w:b/>
          <w:i/>
          <w:color w:val="FF0000"/>
          <w:sz w:val="18"/>
          <w:szCs w:val="18"/>
          <w:highlight w:val="yellow"/>
        </w:rPr>
      </w:pPr>
    </w:p>
    <w:p w14:paraId="1B4A5F30" w14:textId="77777777" w:rsidR="00B07ABD" w:rsidRPr="00B07ABD" w:rsidRDefault="00B07ABD" w:rsidP="00B07ABD">
      <w:pPr>
        <w:contextualSpacing/>
        <w:rPr>
          <w:b/>
          <w:i/>
        </w:rPr>
      </w:pPr>
      <w:r w:rsidRPr="00B07ABD">
        <w:rPr>
          <w:b/>
          <w:i/>
        </w:rPr>
        <w:t>Operační program Životní prostředí 2021–2027</w:t>
      </w:r>
    </w:p>
    <w:p w14:paraId="3E90402E" w14:textId="77777777" w:rsidR="00B07ABD" w:rsidRPr="00B07ABD" w:rsidRDefault="00B07ABD" w:rsidP="00B07ABD">
      <w:pPr>
        <w:contextualSpacing/>
        <w:rPr>
          <w:b/>
          <w:i/>
        </w:rPr>
      </w:pPr>
    </w:p>
    <w:p w14:paraId="00EDA4DD" w14:textId="42BAF16E" w:rsidR="00FA6E91" w:rsidRDefault="00B07ABD" w:rsidP="00FA6E91">
      <w:pPr>
        <w:contextualSpacing/>
        <w:rPr>
          <w:bCs/>
          <w:iCs/>
        </w:rPr>
      </w:pPr>
      <w:r w:rsidRPr="00B07ABD">
        <w:rPr>
          <w:bCs/>
          <w:iCs/>
        </w:rPr>
        <w:t>V rámci OPŽP 2021</w:t>
      </w:r>
      <w:r w:rsidR="00251C90" w:rsidRPr="00664A03">
        <w:rPr>
          <w:bCs/>
          <w:i/>
        </w:rPr>
        <w:t>–</w:t>
      </w:r>
      <w:r w:rsidRPr="00B07ABD">
        <w:rPr>
          <w:bCs/>
          <w:iCs/>
        </w:rPr>
        <w:t>2027 je podpora vodního hospodářství a projektů přizpůsobení se změnám klimatu směřována do následujících specifických cílů a opatření:</w:t>
      </w:r>
    </w:p>
    <w:p w14:paraId="1F8F223A" w14:textId="316814AB" w:rsidR="00B07ABD" w:rsidRPr="00B07ABD" w:rsidRDefault="00B07ABD" w:rsidP="00FA6E91">
      <w:pPr>
        <w:contextualSpacing/>
        <w:rPr>
          <w:bCs/>
          <w:iCs/>
        </w:rPr>
      </w:pPr>
      <w:r w:rsidRPr="00B07ABD">
        <w:rPr>
          <w:bCs/>
          <w:iCs/>
        </w:rPr>
        <w:t>1.3 Podpora přizpůsobení se změně klimatu, prevence rizika katastrof a odolnosti vůči nim s přihlédnutím k ekosystémovým přístupům</w:t>
      </w:r>
    </w:p>
    <w:p w14:paraId="5120E0DD" w14:textId="77777777" w:rsidR="00B07ABD" w:rsidRPr="00B07ABD" w:rsidRDefault="00B07ABD" w:rsidP="00B07ABD">
      <w:pPr>
        <w:numPr>
          <w:ilvl w:val="1"/>
          <w:numId w:val="37"/>
        </w:numPr>
        <w:contextualSpacing/>
        <w:rPr>
          <w:bCs/>
          <w:iCs/>
        </w:rPr>
      </w:pPr>
      <w:r w:rsidRPr="00B07ABD">
        <w:rPr>
          <w:bCs/>
          <w:iCs/>
        </w:rPr>
        <w:t xml:space="preserve">1.3.1 Podpora přírodě blízkých opatření v krajině a sídlech (FS) </w:t>
      </w:r>
    </w:p>
    <w:p w14:paraId="755F574C" w14:textId="77777777" w:rsidR="00B07ABD" w:rsidRPr="00B07ABD" w:rsidRDefault="00B07ABD" w:rsidP="00B07ABD">
      <w:pPr>
        <w:numPr>
          <w:ilvl w:val="1"/>
          <w:numId w:val="37"/>
        </w:numPr>
        <w:contextualSpacing/>
        <w:rPr>
          <w:bCs/>
          <w:iCs/>
        </w:rPr>
      </w:pPr>
      <w:r w:rsidRPr="00B07ABD">
        <w:rPr>
          <w:bCs/>
          <w:iCs/>
        </w:rPr>
        <w:t xml:space="preserve">1.3.4 Realizace opatření ke zpomalení odtoku, pro </w:t>
      </w:r>
      <w:proofErr w:type="gramStart"/>
      <w:r w:rsidRPr="00B07ABD">
        <w:rPr>
          <w:bCs/>
          <w:iCs/>
        </w:rPr>
        <w:t>vsak</w:t>
      </w:r>
      <w:proofErr w:type="gramEnd"/>
      <w:r w:rsidRPr="00B07ABD">
        <w:rPr>
          <w:bCs/>
          <w:iCs/>
        </w:rPr>
        <w:t>, retenci a akumulaci srážkové vody vč. jejího dalšího využití; realizace zelených střech; opatření na využití šedé vody; opatření pro řízenou dotaci podzemních vod</w:t>
      </w:r>
    </w:p>
    <w:p w14:paraId="65A4F6B8" w14:textId="77777777" w:rsidR="00B07ABD" w:rsidRPr="00B07ABD" w:rsidRDefault="00B07ABD" w:rsidP="00B07ABD">
      <w:pPr>
        <w:numPr>
          <w:ilvl w:val="1"/>
          <w:numId w:val="37"/>
        </w:numPr>
        <w:contextualSpacing/>
        <w:rPr>
          <w:bCs/>
          <w:iCs/>
        </w:rPr>
      </w:pPr>
      <w:r w:rsidRPr="00B07ABD">
        <w:rPr>
          <w:bCs/>
          <w:iCs/>
        </w:rPr>
        <w:t>1.3.5 Podpora preventivních opatření proti povodním a suchu, zejména budování, rozšíření, zkvalitnění a obnova monitorovacích, předpovědních, hlásných, výstražných a varovných systémů; zpracování digitálních povodňových plánů, zpracování analýzy odtokových poměrů</w:t>
      </w:r>
    </w:p>
    <w:p w14:paraId="0499D148" w14:textId="77777777" w:rsidR="00B07ABD" w:rsidRPr="00B07ABD" w:rsidRDefault="00B07ABD" w:rsidP="00B07ABD">
      <w:pPr>
        <w:contextualSpacing/>
        <w:rPr>
          <w:bCs/>
          <w:iCs/>
        </w:rPr>
      </w:pPr>
      <w:r w:rsidRPr="00B07ABD">
        <w:rPr>
          <w:bCs/>
          <w:iCs/>
        </w:rPr>
        <w:t>1.4 Podpora přístupu k vodě a udržitelného hospodaření s vodou</w:t>
      </w:r>
    </w:p>
    <w:p w14:paraId="1BFE61DE" w14:textId="77777777" w:rsidR="00B07ABD" w:rsidRPr="00B07ABD" w:rsidRDefault="00B07ABD" w:rsidP="00B07ABD">
      <w:pPr>
        <w:numPr>
          <w:ilvl w:val="0"/>
          <w:numId w:val="37"/>
        </w:numPr>
        <w:contextualSpacing/>
        <w:rPr>
          <w:bCs/>
          <w:iCs/>
        </w:rPr>
      </w:pPr>
      <w:r w:rsidRPr="00B07ABD">
        <w:rPr>
          <w:bCs/>
          <w:iCs/>
        </w:rPr>
        <w:t>1.4.1 Výstavba čistíren odpadních vod; dobudování a výstavba kanalizaci</w:t>
      </w:r>
    </w:p>
    <w:p w14:paraId="08FD49A9" w14:textId="77777777" w:rsidR="00B07ABD" w:rsidRPr="00B07ABD" w:rsidRDefault="00B07ABD" w:rsidP="00B07ABD">
      <w:pPr>
        <w:numPr>
          <w:ilvl w:val="0"/>
          <w:numId w:val="37"/>
        </w:numPr>
        <w:contextualSpacing/>
        <w:rPr>
          <w:bCs/>
          <w:iCs/>
        </w:rPr>
      </w:pPr>
      <w:r w:rsidRPr="00B07ABD">
        <w:rPr>
          <w:bCs/>
          <w:iCs/>
        </w:rPr>
        <w:t>1.4.2 Intenzifikace čistíren odpadních vod za účelem zvýšeného odstraňování specifického znečištění</w:t>
      </w:r>
    </w:p>
    <w:p w14:paraId="77FF7ADC" w14:textId="77777777" w:rsidR="00B07ABD" w:rsidRPr="00B07ABD" w:rsidRDefault="00B07ABD" w:rsidP="00B07ABD">
      <w:pPr>
        <w:numPr>
          <w:ilvl w:val="0"/>
          <w:numId w:val="37"/>
        </w:numPr>
        <w:contextualSpacing/>
        <w:rPr>
          <w:bCs/>
          <w:iCs/>
        </w:rPr>
      </w:pPr>
      <w:r w:rsidRPr="00B07ABD">
        <w:rPr>
          <w:bCs/>
          <w:iCs/>
        </w:rPr>
        <w:t>1.4.3 Opatření omezující vypouštění odpadních vod z odlehčení na kanalizaci (akumulační nádrže, retenční nádrže, chemické předčištění apod.)</w:t>
      </w:r>
    </w:p>
    <w:p w14:paraId="1F19390B" w14:textId="77777777" w:rsidR="00B07ABD" w:rsidRPr="00B07ABD" w:rsidRDefault="00B07ABD" w:rsidP="00B07ABD">
      <w:pPr>
        <w:numPr>
          <w:ilvl w:val="0"/>
          <w:numId w:val="37"/>
        </w:numPr>
        <w:contextualSpacing/>
        <w:rPr>
          <w:bCs/>
          <w:iCs/>
        </w:rPr>
      </w:pPr>
      <w:r w:rsidRPr="00B07ABD">
        <w:rPr>
          <w:bCs/>
          <w:iCs/>
        </w:rPr>
        <w:t>1.4.4 Výstavba a modernizace vodovodních přivaděčů a vodovodních řadů; výstavba úpraven vody; výstavba, intenzifikace nebo revitalizace stávajících vodních zdrojů</w:t>
      </w:r>
    </w:p>
    <w:p w14:paraId="25AE1CDC" w14:textId="77777777" w:rsidR="00B07ABD" w:rsidRPr="00B07ABD" w:rsidRDefault="00B07ABD" w:rsidP="00B07ABD">
      <w:pPr>
        <w:numPr>
          <w:ilvl w:val="0"/>
          <w:numId w:val="37"/>
        </w:numPr>
        <w:contextualSpacing/>
        <w:rPr>
          <w:bCs/>
          <w:iCs/>
        </w:rPr>
      </w:pPr>
      <w:r w:rsidRPr="00B07ABD">
        <w:rPr>
          <w:bCs/>
          <w:iCs/>
        </w:rPr>
        <w:t>1.4.5 Intenzifikace úpraven pitné vody.</w:t>
      </w:r>
    </w:p>
    <w:p w14:paraId="2395F0CD" w14:textId="77777777" w:rsidR="00B07ABD" w:rsidRPr="00B07ABD" w:rsidRDefault="00B07ABD" w:rsidP="00B07ABD">
      <w:pPr>
        <w:contextualSpacing/>
        <w:rPr>
          <w:bCs/>
          <w:iCs/>
        </w:rPr>
      </w:pPr>
    </w:p>
    <w:p w14:paraId="4A43A9E2" w14:textId="77777777" w:rsidR="00B07ABD" w:rsidRPr="00B07ABD" w:rsidRDefault="00B07ABD" w:rsidP="00B07ABD">
      <w:pPr>
        <w:contextualSpacing/>
        <w:rPr>
          <w:bCs/>
          <w:iCs/>
        </w:rPr>
      </w:pPr>
      <w:bookmarkStart w:id="177" w:name="_Toc224652263"/>
      <w:r w:rsidRPr="00B07ABD">
        <w:rPr>
          <w:bCs/>
          <w:iCs/>
        </w:rPr>
        <w:t>Zápůjčky na spolufinancování projektů OPŽP 2021+</w:t>
      </w:r>
      <w:bookmarkEnd w:id="177"/>
    </w:p>
    <w:p w14:paraId="732596DB" w14:textId="77777777" w:rsidR="00D2158D" w:rsidRPr="00603C32" w:rsidRDefault="00D2158D" w:rsidP="00D2158D">
      <w:pPr>
        <w:contextualSpacing/>
        <w:rPr>
          <w:rFonts w:cs="Arial"/>
          <w:iCs/>
        </w:rPr>
      </w:pPr>
      <w:r w:rsidRPr="00603C32">
        <w:rPr>
          <w:rFonts w:cs="Arial"/>
          <w:iCs/>
        </w:rPr>
        <w:t>V roce 2025 nebylo vydáno žádné RM, celkem bylo ve výzvě 1/2022 PU uzavřeno 39 smluv na zápůjčky v objemu 773,3 mil. Kč. Na účty příjemců bylo v roce 2025 v rámci zápůjček proplaceno 65,6 mil. Kč; dále byla poskytnuta dotace ve výši 1,2 mil. Kč.</w:t>
      </w:r>
    </w:p>
    <w:p w14:paraId="24FE993A" w14:textId="77777777" w:rsidR="00A2354C" w:rsidRPr="00B07ABD" w:rsidRDefault="00A2354C" w:rsidP="00B07ABD">
      <w:pPr>
        <w:contextualSpacing/>
        <w:rPr>
          <w:bCs/>
          <w:iCs/>
        </w:rPr>
      </w:pPr>
    </w:p>
    <w:p w14:paraId="45414B17" w14:textId="52D02C3E" w:rsidR="001E3BBE" w:rsidRPr="00D61F5B" w:rsidRDefault="001E3BBE" w:rsidP="001E3BBE">
      <w:pPr>
        <w:contextualSpacing/>
      </w:pPr>
    </w:p>
    <w:p w14:paraId="66B0FA66" w14:textId="6751F74F" w:rsidR="001E3BBE" w:rsidRPr="00DE42DE" w:rsidRDefault="001E3BBE" w:rsidP="001E3BBE">
      <w:pPr>
        <w:contextualSpacing/>
        <w:rPr>
          <w:rFonts w:cs="Arial"/>
          <w:b/>
          <w:bCs/>
          <w:i/>
          <w:iCs/>
        </w:rPr>
      </w:pPr>
      <w:r w:rsidRPr="00DE42DE">
        <w:rPr>
          <w:rFonts w:cs="Arial"/>
          <w:b/>
          <w:bCs/>
          <w:i/>
          <w:iCs/>
        </w:rPr>
        <w:t xml:space="preserve">Tabulka </w:t>
      </w:r>
      <w:r w:rsidR="00570463">
        <w:rPr>
          <w:rFonts w:cs="Arial"/>
          <w:b/>
          <w:bCs/>
          <w:i/>
          <w:iCs/>
        </w:rPr>
        <w:t>1</w:t>
      </w:r>
      <w:r w:rsidRPr="00DE42DE">
        <w:rPr>
          <w:rFonts w:cs="Arial"/>
          <w:b/>
          <w:bCs/>
          <w:i/>
          <w:iCs/>
        </w:rPr>
        <w:t>1.</w:t>
      </w:r>
      <w:r w:rsidR="00DE42DE" w:rsidRPr="00DE42DE">
        <w:rPr>
          <w:rFonts w:cs="Arial"/>
          <w:b/>
          <w:bCs/>
          <w:i/>
          <w:iCs/>
        </w:rPr>
        <w:t>1.</w:t>
      </w:r>
      <w:r w:rsidR="003F440A">
        <w:rPr>
          <w:rFonts w:cs="Arial"/>
          <w:b/>
          <w:i/>
          <w:iCs/>
        </w:rPr>
        <w:t>1</w:t>
      </w:r>
      <w:r w:rsidR="00DE42DE" w:rsidRPr="00DE42DE">
        <w:rPr>
          <w:rFonts w:cs="Arial"/>
          <w:b/>
          <w:i/>
          <w:iCs/>
        </w:rPr>
        <w:t>.</w:t>
      </w:r>
      <w:r w:rsidR="003F4CE1">
        <w:rPr>
          <w:rFonts w:cs="Arial"/>
          <w:b/>
          <w:i/>
          <w:iCs/>
        </w:rPr>
        <w:t>2</w:t>
      </w:r>
    </w:p>
    <w:p w14:paraId="0AD18482" w14:textId="74EA9708" w:rsidR="001E3BBE" w:rsidRPr="00DE42DE" w:rsidRDefault="001E3BBE" w:rsidP="001E3BBE">
      <w:pPr>
        <w:contextualSpacing/>
        <w:rPr>
          <w:rFonts w:cs="Arial"/>
          <w:b/>
          <w:bCs/>
          <w:i/>
          <w:iCs/>
        </w:rPr>
      </w:pPr>
      <w:r w:rsidRPr="00DE42DE">
        <w:rPr>
          <w:rFonts w:cs="Arial"/>
          <w:b/>
          <w:bCs/>
          <w:i/>
          <w:iCs/>
        </w:rPr>
        <w:t>Přehled vyhlášených výzev na půjčky na spolufinancování v mil. Kč</w:t>
      </w:r>
    </w:p>
    <w:tbl>
      <w:tblPr>
        <w:tblStyle w:val="Mkatabulky"/>
        <w:tblW w:w="8991" w:type="dxa"/>
        <w:tblLook w:val="04A0" w:firstRow="1" w:lastRow="0" w:firstColumn="1" w:lastColumn="0" w:noHBand="0" w:noVBand="1"/>
      </w:tblPr>
      <w:tblGrid>
        <w:gridCol w:w="1252"/>
        <w:gridCol w:w="1252"/>
        <w:gridCol w:w="1500"/>
        <w:gridCol w:w="1252"/>
        <w:gridCol w:w="1252"/>
        <w:gridCol w:w="1390"/>
        <w:gridCol w:w="1390"/>
      </w:tblGrid>
      <w:tr w:rsidR="001E3BBE" w:rsidRPr="009E0EAD" w14:paraId="47CD0036" w14:textId="77777777" w:rsidTr="00D61F5B">
        <w:trPr>
          <w:trHeight w:val="1217"/>
        </w:trPr>
        <w:tc>
          <w:tcPr>
            <w:tcW w:w="125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2D51FDB" w14:textId="77777777" w:rsidR="001E3BBE" w:rsidRPr="00D61F5B" w:rsidRDefault="001E3BBE" w:rsidP="00EF1393">
            <w:pPr>
              <w:contextualSpacing/>
              <w:rPr>
                <w:rFonts w:cs="Arial"/>
                <w:b/>
                <w:bCs/>
              </w:rPr>
            </w:pPr>
            <w:r w:rsidRPr="00D61F5B">
              <w:rPr>
                <w:rFonts w:cs="Arial"/>
                <w:b/>
                <w:bCs/>
              </w:rPr>
              <w:t>Číslo výzvy</w:t>
            </w:r>
          </w:p>
        </w:tc>
        <w:tc>
          <w:tcPr>
            <w:tcW w:w="125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533E9FA" w14:textId="77777777" w:rsidR="001E3BBE" w:rsidRPr="00D61F5B" w:rsidRDefault="001E3BBE" w:rsidP="00EF1393">
            <w:pPr>
              <w:contextualSpacing/>
              <w:rPr>
                <w:rFonts w:cs="Arial"/>
                <w:b/>
                <w:bCs/>
              </w:rPr>
            </w:pPr>
            <w:r w:rsidRPr="00D61F5B">
              <w:rPr>
                <w:rFonts w:cs="Arial"/>
                <w:b/>
                <w:bCs/>
              </w:rPr>
              <w:t xml:space="preserve">Fin. alokace výzvy </w:t>
            </w:r>
          </w:p>
          <w:p w14:paraId="13A3F85C" w14:textId="77777777" w:rsidR="001E3BBE" w:rsidRPr="00D61F5B" w:rsidRDefault="001E3BBE" w:rsidP="00EF1393">
            <w:pPr>
              <w:contextualSpacing/>
              <w:rPr>
                <w:rFonts w:cs="Arial"/>
                <w:b/>
                <w:bCs/>
              </w:rPr>
            </w:pPr>
            <w:r w:rsidRPr="00D61F5B">
              <w:rPr>
                <w:rFonts w:cs="Arial"/>
                <w:b/>
                <w:bCs/>
              </w:rPr>
              <w:t>(mil. Kč)</w:t>
            </w:r>
          </w:p>
        </w:tc>
        <w:tc>
          <w:tcPr>
            <w:tcW w:w="137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47BA16A" w14:textId="77777777" w:rsidR="001E3BBE" w:rsidRPr="00D61F5B" w:rsidRDefault="001E3BBE" w:rsidP="00EF1393">
            <w:pPr>
              <w:contextualSpacing/>
              <w:rPr>
                <w:rFonts w:cs="Arial"/>
                <w:b/>
                <w:bCs/>
              </w:rPr>
            </w:pPr>
            <w:r w:rsidRPr="00D61F5B">
              <w:rPr>
                <w:rFonts w:cs="Arial"/>
                <w:b/>
                <w:bCs/>
              </w:rPr>
              <w:t>Žádosti podané v jednotlivých výzvách</w:t>
            </w:r>
          </w:p>
        </w:tc>
        <w:tc>
          <w:tcPr>
            <w:tcW w:w="125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5EC17A1" w14:textId="77777777" w:rsidR="001E3BBE" w:rsidRPr="00D61F5B" w:rsidRDefault="001E3BBE" w:rsidP="00EF1393">
            <w:pPr>
              <w:contextualSpacing/>
              <w:rPr>
                <w:rFonts w:cs="Arial"/>
                <w:b/>
                <w:bCs/>
              </w:rPr>
            </w:pPr>
            <w:r w:rsidRPr="00D61F5B">
              <w:rPr>
                <w:rFonts w:cs="Arial"/>
                <w:b/>
                <w:bCs/>
              </w:rPr>
              <w:t>Žádosti s vydaným RM (mil. Kč)</w:t>
            </w:r>
          </w:p>
        </w:tc>
        <w:tc>
          <w:tcPr>
            <w:tcW w:w="125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D535734" w14:textId="77777777" w:rsidR="001E3BBE" w:rsidRPr="00D61F5B" w:rsidRDefault="001E3BBE" w:rsidP="00EF1393">
            <w:pPr>
              <w:contextualSpacing/>
              <w:rPr>
                <w:rFonts w:cs="Arial"/>
                <w:b/>
                <w:bCs/>
              </w:rPr>
            </w:pPr>
            <w:r w:rsidRPr="00D61F5B">
              <w:rPr>
                <w:rFonts w:cs="Arial"/>
                <w:b/>
                <w:bCs/>
              </w:rPr>
              <w:t>Uzavřené SM příjemci (mil. Kč)</w:t>
            </w:r>
          </w:p>
        </w:tc>
        <w:tc>
          <w:tcPr>
            <w:tcW w:w="130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14525F4" w14:textId="77777777" w:rsidR="001E3BBE" w:rsidRPr="00D61F5B" w:rsidRDefault="001E3BBE" w:rsidP="00EF1393">
            <w:pPr>
              <w:contextualSpacing/>
              <w:rPr>
                <w:rFonts w:cs="Arial"/>
                <w:b/>
                <w:bCs/>
              </w:rPr>
            </w:pPr>
            <w:r w:rsidRPr="00D61F5B">
              <w:rPr>
                <w:rFonts w:cs="Arial"/>
                <w:b/>
                <w:bCs/>
              </w:rPr>
              <w:t>Částky proplacené příjemcům v roce 2024</w:t>
            </w:r>
          </w:p>
          <w:p w14:paraId="04CDE719" w14:textId="77777777" w:rsidR="001E3BBE" w:rsidRPr="00D61F5B" w:rsidRDefault="001E3BBE" w:rsidP="00EF1393">
            <w:pPr>
              <w:contextualSpacing/>
              <w:rPr>
                <w:rFonts w:cs="Arial"/>
                <w:b/>
                <w:bCs/>
              </w:rPr>
            </w:pPr>
            <w:r w:rsidRPr="00D61F5B">
              <w:rPr>
                <w:rFonts w:cs="Arial"/>
                <w:b/>
                <w:bCs/>
              </w:rPr>
              <w:t>(mil. Kč)</w:t>
            </w:r>
          </w:p>
        </w:tc>
        <w:tc>
          <w:tcPr>
            <w:tcW w:w="130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A275B75" w14:textId="77777777" w:rsidR="001E3BBE" w:rsidRPr="00D61F5B" w:rsidRDefault="001E3BBE" w:rsidP="00EF1393">
            <w:pPr>
              <w:contextualSpacing/>
              <w:rPr>
                <w:rFonts w:cs="Arial"/>
                <w:b/>
                <w:bCs/>
              </w:rPr>
            </w:pPr>
            <w:r w:rsidRPr="00D61F5B">
              <w:rPr>
                <w:rFonts w:cs="Arial"/>
                <w:b/>
                <w:bCs/>
              </w:rPr>
              <w:t>Částky proplacené příjemcům v roce 2025</w:t>
            </w:r>
          </w:p>
          <w:p w14:paraId="02EC8C3F" w14:textId="77777777" w:rsidR="001E3BBE" w:rsidRPr="00D61F5B" w:rsidRDefault="001E3BBE" w:rsidP="00EF1393">
            <w:pPr>
              <w:contextualSpacing/>
              <w:rPr>
                <w:rFonts w:cs="Arial"/>
                <w:b/>
                <w:bCs/>
              </w:rPr>
            </w:pPr>
            <w:r w:rsidRPr="00D61F5B">
              <w:rPr>
                <w:rFonts w:cs="Arial"/>
                <w:b/>
                <w:bCs/>
              </w:rPr>
              <w:t>(mil. Kč)</w:t>
            </w:r>
          </w:p>
        </w:tc>
      </w:tr>
      <w:tr w:rsidR="001E3BBE" w:rsidRPr="009E0EAD" w14:paraId="5AC41ABC" w14:textId="77777777" w:rsidTr="00D61F5B">
        <w:trPr>
          <w:trHeight w:val="20"/>
        </w:trPr>
        <w:tc>
          <w:tcPr>
            <w:tcW w:w="1252" w:type="dxa"/>
            <w:tcBorders>
              <w:top w:val="single" w:sz="4" w:space="0" w:color="auto"/>
              <w:left w:val="single" w:sz="4" w:space="0" w:color="auto"/>
              <w:bottom w:val="single" w:sz="4" w:space="0" w:color="auto"/>
              <w:right w:val="single" w:sz="4" w:space="0" w:color="auto"/>
            </w:tcBorders>
            <w:noWrap/>
            <w:hideMark/>
          </w:tcPr>
          <w:p w14:paraId="1E8E01B8" w14:textId="77777777" w:rsidR="001E3BBE" w:rsidRPr="00D61F5B" w:rsidRDefault="001E3BBE" w:rsidP="00EF1393">
            <w:pPr>
              <w:contextualSpacing/>
              <w:rPr>
                <w:rFonts w:cs="Arial"/>
                <w:b/>
                <w:bCs/>
              </w:rPr>
            </w:pPr>
            <w:r w:rsidRPr="00D61F5B">
              <w:rPr>
                <w:rFonts w:cs="Arial"/>
                <w:b/>
                <w:bCs/>
              </w:rPr>
              <w:t>1/2022 PU</w:t>
            </w:r>
          </w:p>
        </w:tc>
        <w:tc>
          <w:tcPr>
            <w:tcW w:w="1252" w:type="dxa"/>
            <w:tcBorders>
              <w:top w:val="single" w:sz="4" w:space="0" w:color="auto"/>
              <w:left w:val="single" w:sz="4" w:space="0" w:color="auto"/>
              <w:bottom w:val="single" w:sz="4" w:space="0" w:color="auto"/>
              <w:right w:val="single" w:sz="4" w:space="0" w:color="auto"/>
            </w:tcBorders>
            <w:noWrap/>
            <w:hideMark/>
          </w:tcPr>
          <w:p w14:paraId="48E4C21D" w14:textId="77777777" w:rsidR="001E3BBE" w:rsidRPr="00D61F5B" w:rsidRDefault="001E3BBE" w:rsidP="00EF1393">
            <w:pPr>
              <w:contextualSpacing/>
              <w:rPr>
                <w:rFonts w:cs="Arial"/>
                <w:b/>
                <w:bCs/>
              </w:rPr>
            </w:pPr>
            <w:r w:rsidRPr="00D61F5B">
              <w:rPr>
                <w:rFonts w:cs="Arial"/>
                <w:b/>
                <w:bCs/>
              </w:rPr>
              <w:t>844,5</w:t>
            </w:r>
          </w:p>
        </w:tc>
        <w:tc>
          <w:tcPr>
            <w:tcW w:w="1373" w:type="dxa"/>
            <w:tcBorders>
              <w:top w:val="single" w:sz="4" w:space="0" w:color="auto"/>
              <w:left w:val="single" w:sz="4" w:space="0" w:color="auto"/>
              <w:bottom w:val="single" w:sz="4" w:space="0" w:color="auto"/>
              <w:right w:val="single" w:sz="4" w:space="0" w:color="auto"/>
            </w:tcBorders>
            <w:noWrap/>
            <w:hideMark/>
          </w:tcPr>
          <w:p w14:paraId="0AF7BD50" w14:textId="77777777" w:rsidR="001E3BBE" w:rsidRPr="00D61F5B" w:rsidRDefault="001E3BBE" w:rsidP="00EF1393">
            <w:pPr>
              <w:contextualSpacing/>
              <w:rPr>
                <w:rFonts w:cs="Arial"/>
                <w:b/>
                <w:bCs/>
              </w:rPr>
            </w:pPr>
            <w:r w:rsidRPr="00D61F5B">
              <w:rPr>
                <w:rFonts w:cs="Arial"/>
                <w:b/>
                <w:bCs/>
              </w:rPr>
              <w:t>39</w:t>
            </w:r>
          </w:p>
        </w:tc>
        <w:tc>
          <w:tcPr>
            <w:tcW w:w="1252" w:type="dxa"/>
            <w:tcBorders>
              <w:top w:val="single" w:sz="4" w:space="0" w:color="auto"/>
              <w:left w:val="single" w:sz="4" w:space="0" w:color="auto"/>
              <w:bottom w:val="single" w:sz="4" w:space="0" w:color="auto"/>
              <w:right w:val="single" w:sz="4" w:space="0" w:color="auto"/>
            </w:tcBorders>
            <w:noWrap/>
            <w:hideMark/>
          </w:tcPr>
          <w:p w14:paraId="5D265351" w14:textId="77777777" w:rsidR="001E3BBE" w:rsidRPr="00D61F5B" w:rsidRDefault="001E3BBE" w:rsidP="00EF1393">
            <w:pPr>
              <w:contextualSpacing/>
              <w:rPr>
                <w:rFonts w:cs="Arial"/>
                <w:b/>
                <w:bCs/>
              </w:rPr>
            </w:pPr>
            <w:r w:rsidRPr="00D61F5B">
              <w:rPr>
                <w:rFonts w:cs="Arial"/>
                <w:b/>
                <w:bCs/>
              </w:rPr>
              <w:t>0</w:t>
            </w:r>
          </w:p>
        </w:tc>
        <w:tc>
          <w:tcPr>
            <w:tcW w:w="1252" w:type="dxa"/>
            <w:tcBorders>
              <w:top w:val="single" w:sz="4" w:space="0" w:color="auto"/>
              <w:left w:val="single" w:sz="4" w:space="0" w:color="auto"/>
              <w:bottom w:val="single" w:sz="4" w:space="0" w:color="auto"/>
              <w:right w:val="single" w:sz="4" w:space="0" w:color="auto"/>
            </w:tcBorders>
            <w:noWrap/>
            <w:hideMark/>
          </w:tcPr>
          <w:p w14:paraId="22573F8A" w14:textId="77777777" w:rsidR="001E3BBE" w:rsidRPr="00D61F5B" w:rsidRDefault="001E3BBE" w:rsidP="00EF1393">
            <w:pPr>
              <w:contextualSpacing/>
              <w:rPr>
                <w:rFonts w:cs="Arial"/>
                <w:b/>
                <w:bCs/>
              </w:rPr>
            </w:pPr>
            <w:r w:rsidRPr="00D61F5B">
              <w:rPr>
                <w:rFonts w:cs="Arial"/>
                <w:b/>
                <w:bCs/>
              </w:rPr>
              <w:t>773,3</w:t>
            </w:r>
          </w:p>
        </w:tc>
        <w:tc>
          <w:tcPr>
            <w:tcW w:w="1305" w:type="dxa"/>
            <w:tcBorders>
              <w:top w:val="single" w:sz="4" w:space="0" w:color="auto"/>
              <w:left w:val="single" w:sz="4" w:space="0" w:color="auto"/>
              <w:bottom w:val="single" w:sz="4" w:space="0" w:color="auto"/>
              <w:right w:val="single" w:sz="4" w:space="0" w:color="auto"/>
            </w:tcBorders>
            <w:noWrap/>
            <w:hideMark/>
          </w:tcPr>
          <w:p w14:paraId="082D674E" w14:textId="77777777" w:rsidR="001E3BBE" w:rsidRPr="00D61F5B" w:rsidRDefault="001E3BBE" w:rsidP="00EF1393">
            <w:pPr>
              <w:contextualSpacing/>
              <w:rPr>
                <w:rFonts w:cs="Arial"/>
                <w:b/>
                <w:bCs/>
              </w:rPr>
            </w:pPr>
            <w:r w:rsidRPr="00D61F5B">
              <w:rPr>
                <w:rFonts w:cs="Arial"/>
                <w:b/>
                <w:bCs/>
              </w:rPr>
              <w:t>347,3</w:t>
            </w:r>
          </w:p>
        </w:tc>
        <w:tc>
          <w:tcPr>
            <w:tcW w:w="1305" w:type="dxa"/>
            <w:tcBorders>
              <w:top w:val="single" w:sz="4" w:space="0" w:color="auto"/>
              <w:left w:val="single" w:sz="4" w:space="0" w:color="auto"/>
              <w:bottom w:val="single" w:sz="4" w:space="0" w:color="auto"/>
              <w:right w:val="single" w:sz="4" w:space="0" w:color="auto"/>
            </w:tcBorders>
            <w:noWrap/>
            <w:hideMark/>
          </w:tcPr>
          <w:p w14:paraId="50E0CA77" w14:textId="77777777" w:rsidR="001E3BBE" w:rsidRPr="00D61F5B" w:rsidRDefault="001E3BBE" w:rsidP="00EF1393">
            <w:pPr>
              <w:contextualSpacing/>
              <w:rPr>
                <w:rFonts w:cs="Arial"/>
                <w:b/>
                <w:bCs/>
              </w:rPr>
            </w:pPr>
            <w:r w:rsidRPr="00D61F5B">
              <w:rPr>
                <w:rFonts w:cs="Arial"/>
                <w:b/>
                <w:bCs/>
              </w:rPr>
              <w:t>65,6</w:t>
            </w:r>
          </w:p>
        </w:tc>
      </w:tr>
    </w:tbl>
    <w:p w14:paraId="30428087" w14:textId="1698C6B5" w:rsidR="001E3BBE" w:rsidRPr="00D61F5B" w:rsidRDefault="00D61F5B" w:rsidP="001E3BBE">
      <w:pPr>
        <w:contextualSpacing/>
        <w:rPr>
          <w:rFonts w:cs="Arial"/>
          <w:i/>
          <w:sz w:val="20"/>
          <w:szCs w:val="20"/>
        </w:rPr>
      </w:pPr>
      <w:r w:rsidRPr="00A7057E">
        <w:rPr>
          <w:rFonts w:cs="Arial"/>
          <w:i/>
          <w:sz w:val="20"/>
          <w:szCs w:val="20"/>
        </w:rPr>
        <w:t>Pramen: MŽP, SFŽP</w:t>
      </w:r>
    </w:p>
    <w:p w14:paraId="684520B3" w14:textId="77777777" w:rsidR="00A2354C" w:rsidRDefault="00A2354C" w:rsidP="001E3BBE">
      <w:pPr>
        <w:contextualSpacing/>
        <w:rPr>
          <w:rFonts w:cs="Arial"/>
          <w:b/>
          <w:i/>
          <w:sz w:val="18"/>
          <w:szCs w:val="18"/>
          <w:highlight w:val="yellow"/>
        </w:rPr>
      </w:pPr>
    </w:p>
    <w:p w14:paraId="5CA20B1B" w14:textId="77777777" w:rsidR="001E3BBE" w:rsidRDefault="001E3BBE" w:rsidP="001E3BBE">
      <w:pPr>
        <w:contextualSpacing/>
        <w:rPr>
          <w:rFonts w:cs="Arial"/>
          <w:bCs/>
          <w:iCs/>
        </w:rPr>
      </w:pPr>
      <w:r w:rsidRPr="00435760">
        <w:rPr>
          <w:rFonts w:cs="Arial"/>
          <w:bCs/>
          <w:iCs/>
        </w:rPr>
        <w:t>V roce 2025 bylo v rámci tohoto programu vyhlášeno 6 výzev v oblasti podpory vodohospodářské infrastruktury a přizpůsobení se změně klimatu.</w:t>
      </w:r>
    </w:p>
    <w:p w14:paraId="7E4389E4" w14:textId="77777777" w:rsidR="00204B2A" w:rsidRPr="00204B2A" w:rsidRDefault="00204B2A" w:rsidP="00204B2A">
      <w:pPr>
        <w:contextualSpacing/>
        <w:rPr>
          <w:rFonts w:cs="Arial"/>
          <w:b/>
          <w:bCs/>
          <w:iCs/>
        </w:rPr>
      </w:pPr>
      <w:r w:rsidRPr="00204B2A">
        <w:rPr>
          <w:rFonts w:cs="Arial"/>
          <w:bCs/>
          <w:iCs/>
        </w:rPr>
        <w:t xml:space="preserve">Výzva 82 – upravena Oblast podpory Klimatická změna; Životní prostředí ve městech a obcích </w:t>
      </w:r>
      <w:r w:rsidRPr="00204B2A">
        <w:rPr>
          <w:rFonts w:cs="Arial"/>
          <w:b/>
          <w:bCs/>
          <w:iCs/>
        </w:rPr>
        <w:t>Klima – Příroda</w:t>
      </w:r>
    </w:p>
    <w:p w14:paraId="000DEE3D" w14:textId="77777777" w:rsidR="00204B2A" w:rsidRPr="00204B2A" w:rsidRDefault="00204B2A" w:rsidP="00204B2A">
      <w:pPr>
        <w:contextualSpacing/>
        <w:rPr>
          <w:rFonts w:cs="Arial"/>
          <w:b/>
          <w:bCs/>
          <w:iCs/>
        </w:rPr>
      </w:pPr>
      <w:r w:rsidRPr="00204B2A">
        <w:rPr>
          <w:rFonts w:cs="Arial"/>
          <w:bCs/>
          <w:iCs/>
        </w:rPr>
        <w:t xml:space="preserve">Výzva 83 a 84 - upravena Oblast podpory Životní prostředí ve městech a obcích </w:t>
      </w:r>
      <w:r w:rsidRPr="00204B2A">
        <w:rPr>
          <w:rFonts w:cs="Arial"/>
          <w:b/>
          <w:bCs/>
          <w:iCs/>
        </w:rPr>
        <w:t>Klima – Příroda</w:t>
      </w:r>
    </w:p>
    <w:p w14:paraId="317937C2" w14:textId="77777777" w:rsidR="00204B2A" w:rsidRPr="00204B2A" w:rsidRDefault="00204B2A" w:rsidP="00204B2A">
      <w:pPr>
        <w:contextualSpacing/>
        <w:rPr>
          <w:rFonts w:cs="Arial"/>
          <w:b/>
          <w:bCs/>
          <w:iCs/>
        </w:rPr>
      </w:pPr>
      <w:r w:rsidRPr="00204B2A">
        <w:rPr>
          <w:rFonts w:cs="Arial"/>
          <w:bCs/>
          <w:iCs/>
        </w:rPr>
        <w:t>Výzva 86, 87 a 88</w:t>
      </w:r>
      <w:r w:rsidRPr="00204B2A">
        <w:rPr>
          <w:rFonts w:cs="Arial"/>
          <w:b/>
          <w:bCs/>
          <w:iCs/>
        </w:rPr>
        <w:t xml:space="preserve"> </w:t>
      </w:r>
      <w:r w:rsidRPr="00204B2A">
        <w:rPr>
          <w:rFonts w:cs="Arial"/>
          <w:bCs/>
          <w:iCs/>
        </w:rPr>
        <w:t xml:space="preserve">– upravena Oblast podpory Hospodaření s vodou </w:t>
      </w:r>
      <w:r w:rsidRPr="00204B2A">
        <w:rPr>
          <w:rFonts w:cs="Arial"/>
          <w:b/>
          <w:bCs/>
          <w:iCs/>
        </w:rPr>
        <w:t>Srážkové vody a protipovodňová opatření</w:t>
      </w:r>
    </w:p>
    <w:p w14:paraId="65127A1E" w14:textId="77777777" w:rsidR="00204B2A" w:rsidRPr="00435760" w:rsidRDefault="00204B2A" w:rsidP="001E3BBE">
      <w:pPr>
        <w:contextualSpacing/>
        <w:rPr>
          <w:rFonts w:cs="Arial"/>
          <w:bCs/>
          <w:iCs/>
        </w:rPr>
      </w:pPr>
    </w:p>
    <w:p w14:paraId="3345868C" w14:textId="77777777" w:rsidR="009E0EAD" w:rsidRDefault="009E0EAD" w:rsidP="00095D0D">
      <w:pPr>
        <w:contextualSpacing/>
      </w:pPr>
    </w:p>
    <w:p w14:paraId="159C7867" w14:textId="573F5921" w:rsidR="00F30A34" w:rsidRDefault="00F30A34" w:rsidP="00F30A34">
      <w:pPr>
        <w:contextualSpacing/>
        <w:rPr>
          <w:b/>
          <w:i/>
        </w:rPr>
      </w:pPr>
      <w:r>
        <w:rPr>
          <w:b/>
          <w:i/>
        </w:rPr>
        <w:t xml:space="preserve">Tabulka </w:t>
      </w:r>
      <w:r w:rsidR="00A63D8C">
        <w:rPr>
          <w:b/>
          <w:i/>
        </w:rPr>
        <w:t>1</w:t>
      </w:r>
      <w:r>
        <w:rPr>
          <w:b/>
          <w:i/>
        </w:rPr>
        <w:t>1.1.2</w:t>
      </w:r>
      <w:r w:rsidR="00F858B2">
        <w:rPr>
          <w:b/>
          <w:i/>
        </w:rPr>
        <w:t>.3</w:t>
      </w:r>
    </w:p>
    <w:p w14:paraId="5E6D8868" w14:textId="72890F09" w:rsidR="003F4CE1" w:rsidRPr="00F30A34" w:rsidRDefault="00F30A34" w:rsidP="00F30A34">
      <w:pPr>
        <w:contextualSpacing/>
        <w:rPr>
          <w:b/>
          <w:i/>
        </w:rPr>
      </w:pPr>
      <w:r w:rsidRPr="00F30A34">
        <w:rPr>
          <w:b/>
          <w:i/>
        </w:rPr>
        <w:t>Výzvy Operačního programu Životní prostředí 2021–2027 vyhlášené v roce 2025 v oblasti podpory přístupu k vodě, udržitelného hospodaření s vodou a podpory přizpůsobení se změně klimatu</w:t>
      </w:r>
    </w:p>
    <w:tbl>
      <w:tblPr>
        <w:tblW w:w="9356" w:type="dxa"/>
        <w:tblInd w:w="-5" w:type="dxa"/>
        <w:tblLook w:val="04A0" w:firstRow="1" w:lastRow="0" w:firstColumn="1" w:lastColumn="0" w:noHBand="0" w:noVBand="1"/>
      </w:tblPr>
      <w:tblGrid>
        <w:gridCol w:w="2781"/>
        <w:gridCol w:w="2692"/>
        <w:gridCol w:w="2823"/>
        <w:gridCol w:w="1060"/>
      </w:tblGrid>
      <w:tr w:rsidR="00F30A34" w:rsidRPr="00F30A34" w14:paraId="0548764D" w14:textId="77777777" w:rsidTr="00F858B2">
        <w:trPr>
          <w:trHeight w:val="18"/>
        </w:trPr>
        <w:tc>
          <w:tcPr>
            <w:tcW w:w="289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8F6357E" w14:textId="77777777" w:rsidR="00F30A34" w:rsidRPr="00F30A34" w:rsidRDefault="00F30A34" w:rsidP="00F30A34">
            <w:pPr>
              <w:contextualSpacing/>
              <w:rPr>
                <w:b/>
                <w:bCs/>
              </w:rPr>
            </w:pPr>
            <w:r w:rsidRPr="00F30A34">
              <w:rPr>
                <w:b/>
                <w:bCs/>
              </w:rPr>
              <w:t>Výzva</w:t>
            </w:r>
          </w:p>
        </w:tc>
        <w:tc>
          <w:tcPr>
            <w:tcW w:w="277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86F181C" w14:textId="77777777" w:rsidR="00F30A34" w:rsidRPr="00F30A34" w:rsidRDefault="00F30A34" w:rsidP="00F30A34">
            <w:pPr>
              <w:contextualSpacing/>
              <w:rPr>
                <w:b/>
                <w:bCs/>
              </w:rPr>
            </w:pPr>
            <w:r w:rsidRPr="00F30A34">
              <w:rPr>
                <w:b/>
                <w:bCs/>
              </w:rPr>
              <w:t>Oblast podpory</w:t>
            </w:r>
          </w:p>
        </w:tc>
        <w:tc>
          <w:tcPr>
            <w:tcW w:w="282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8FCD53E" w14:textId="77777777" w:rsidR="00F30A34" w:rsidRPr="00F30A34" w:rsidRDefault="00F30A34" w:rsidP="00F30A34">
            <w:pPr>
              <w:contextualSpacing/>
              <w:rPr>
                <w:b/>
                <w:bCs/>
              </w:rPr>
            </w:pPr>
            <w:r w:rsidRPr="00F30A34">
              <w:rPr>
                <w:b/>
                <w:bCs/>
              </w:rPr>
              <w:t>Doba příjmu žádostí</w:t>
            </w:r>
          </w:p>
        </w:tc>
        <w:tc>
          <w:tcPr>
            <w:tcW w:w="8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68D9B04" w14:textId="77777777" w:rsidR="00F30A34" w:rsidRPr="00F30A34" w:rsidRDefault="00F30A34" w:rsidP="00F30A34">
            <w:pPr>
              <w:contextualSpacing/>
              <w:rPr>
                <w:bCs/>
              </w:rPr>
            </w:pPr>
            <w:r w:rsidRPr="00F30A34">
              <w:rPr>
                <w:b/>
                <w:bCs/>
              </w:rPr>
              <w:t xml:space="preserve">Alokace </w:t>
            </w:r>
          </w:p>
          <w:p w14:paraId="4180CD15" w14:textId="77777777" w:rsidR="00F30A34" w:rsidRPr="00F30A34" w:rsidRDefault="00F30A34" w:rsidP="00F30A34">
            <w:pPr>
              <w:contextualSpacing/>
              <w:rPr>
                <w:b/>
                <w:bCs/>
              </w:rPr>
            </w:pPr>
            <w:r w:rsidRPr="00F30A34">
              <w:rPr>
                <w:b/>
                <w:bCs/>
              </w:rPr>
              <w:t>(mil. Kč)</w:t>
            </w:r>
          </w:p>
        </w:tc>
      </w:tr>
      <w:tr w:rsidR="00F30A34" w:rsidRPr="00F30A34" w14:paraId="1FE607D0" w14:textId="77777777">
        <w:trPr>
          <w:trHeight w:val="18"/>
        </w:trPr>
        <w:tc>
          <w:tcPr>
            <w:tcW w:w="2895" w:type="dxa"/>
            <w:tcBorders>
              <w:top w:val="single" w:sz="4" w:space="0" w:color="auto"/>
              <w:left w:val="single" w:sz="4" w:space="0" w:color="auto"/>
              <w:bottom w:val="single" w:sz="4" w:space="0" w:color="auto"/>
              <w:right w:val="single" w:sz="4" w:space="0" w:color="auto"/>
            </w:tcBorders>
            <w:hideMark/>
          </w:tcPr>
          <w:p w14:paraId="47EF0904" w14:textId="77777777" w:rsidR="00F30A34" w:rsidRPr="00F30A34" w:rsidRDefault="00F30A34" w:rsidP="00F30A34">
            <w:pPr>
              <w:contextualSpacing/>
              <w:rPr>
                <w:sz w:val="18"/>
                <w:szCs w:val="18"/>
              </w:rPr>
            </w:pPr>
            <w:r w:rsidRPr="00F30A34">
              <w:rPr>
                <w:sz w:val="18"/>
                <w:szCs w:val="18"/>
              </w:rPr>
              <w:t>MŽP_82. Výzva, SC 1.3, opatření 1.3.1, kolová</w:t>
            </w:r>
          </w:p>
        </w:tc>
        <w:tc>
          <w:tcPr>
            <w:tcW w:w="2770" w:type="dxa"/>
            <w:tcBorders>
              <w:top w:val="single" w:sz="4" w:space="0" w:color="auto"/>
              <w:left w:val="single" w:sz="4" w:space="0" w:color="auto"/>
              <w:bottom w:val="single" w:sz="4" w:space="0" w:color="auto"/>
              <w:right w:val="single" w:sz="4" w:space="0" w:color="auto"/>
            </w:tcBorders>
            <w:hideMark/>
          </w:tcPr>
          <w:p w14:paraId="3839BC44" w14:textId="08E34368" w:rsidR="00F30A34" w:rsidRPr="00F30A34" w:rsidRDefault="006B5D57" w:rsidP="00F30A34">
            <w:pPr>
              <w:contextualSpacing/>
              <w:rPr>
                <w:sz w:val="18"/>
                <w:szCs w:val="18"/>
              </w:rPr>
            </w:pPr>
            <w:r>
              <w:rPr>
                <w:sz w:val="18"/>
                <w:szCs w:val="18"/>
              </w:rPr>
              <w:t>Klima</w:t>
            </w:r>
            <w:r w:rsidR="001678EF">
              <w:rPr>
                <w:sz w:val="18"/>
                <w:szCs w:val="18"/>
              </w:rPr>
              <w:t xml:space="preserve"> – příroda </w:t>
            </w:r>
          </w:p>
        </w:tc>
        <w:tc>
          <w:tcPr>
            <w:tcW w:w="2823" w:type="dxa"/>
            <w:tcBorders>
              <w:top w:val="single" w:sz="4" w:space="0" w:color="auto"/>
              <w:left w:val="single" w:sz="4" w:space="0" w:color="auto"/>
              <w:bottom w:val="single" w:sz="4" w:space="0" w:color="auto"/>
              <w:right w:val="single" w:sz="4" w:space="0" w:color="auto"/>
            </w:tcBorders>
            <w:noWrap/>
            <w:hideMark/>
          </w:tcPr>
          <w:p w14:paraId="19F84011" w14:textId="77777777" w:rsidR="00F30A34" w:rsidRPr="00F30A34" w:rsidRDefault="00F30A34" w:rsidP="00F30A34">
            <w:pPr>
              <w:contextualSpacing/>
              <w:rPr>
                <w:sz w:val="18"/>
                <w:szCs w:val="18"/>
              </w:rPr>
            </w:pPr>
            <w:r w:rsidRPr="00F30A34">
              <w:rPr>
                <w:sz w:val="18"/>
                <w:szCs w:val="18"/>
              </w:rPr>
              <w:t>15.01.2025 – 30.06.2025</w:t>
            </w:r>
          </w:p>
        </w:tc>
        <w:tc>
          <w:tcPr>
            <w:tcW w:w="868" w:type="dxa"/>
            <w:tcBorders>
              <w:top w:val="single" w:sz="4" w:space="0" w:color="auto"/>
              <w:left w:val="single" w:sz="4" w:space="0" w:color="auto"/>
              <w:bottom w:val="single" w:sz="4" w:space="0" w:color="auto"/>
              <w:right w:val="single" w:sz="4" w:space="0" w:color="auto"/>
            </w:tcBorders>
            <w:noWrap/>
            <w:hideMark/>
          </w:tcPr>
          <w:p w14:paraId="63BE8AF7" w14:textId="77777777" w:rsidR="00F30A34" w:rsidRPr="00F30A34" w:rsidRDefault="00F30A34" w:rsidP="00F30A34">
            <w:pPr>
              <w:contextualSpacing/>
              <w:rPr>
                <w:sz w:val="18"/>
                <w:szCs w:val="18"/>
              </w:rPr>
            </w:pPr>
            <w:r w:rsidRPr="00F30A34">
              <w:rPr>
                <w:sz w:val="18"/>
                <w:szCs w:val="18"/>
              </w:rPr>
              <w:t>164,9</w:t>
            </w:r>
          </w:p>
        </w:tc>
      </w:tr>
      <w:tr w:rsidR="00F30A34" w:rsidRPr="00F30A34" w14:paraId="302586E1" w14:textId="77777777">
        <w:trPr>
          <w:trHeight w:val="18"/>
        </w:trPr>
        <w:tc>
          <w:tcPr>
            <w:tcW w:w="2895" w:type="dxa"/>
            <w:tcBorders>
              <w:top w:val="single" w:sz="4" w:space="0" w:color="auto"/>
              <w:left w:val="single" w:sz="4" w:space="0" w:color="auto"/>
              <w:bottom w:val="single" w:sz="4" w:space="0" w:color="auto"/>
              <w:right w:val="single" w:sz="4" w:space="0" w:color="auto"/>
            </w:tcBorders>
            <w:hideMark/>
          </w:tcPr>
          <w:p w14:paraId="56C6877C" w14:textId="77777777" w:rsidR="00F30A34" w:rsidRPr="00F30A34" w:rsidRDefault="00F30A34" w:rsidP="00F30A34">
            <w:pPr>
              <w:contextualSpacing/>
              <w:rPr>
                <w:sz w:val="18"/>
                <w:szCs w:val="18"/>
              </w:rPr>
            </w:pPr>
            <w:r w:rsidRPr="00F30A34">
              <w:rPr>
                <w:sz w:val="18"/>
                <w:szCs w:val="18"/>
              </w:rPr>
              <w:t>MŽP_83. výzva, SC 1.3, opatření 1.3.1, průběžná</w:t>
            </w:r>
          </w:p>
        </w:tc>
        <w:tc>
          <w:tcPr>
            <w:tcW w:w="2770" w:type="dxa"/>
            <w:tcBorders>
              <w:top w:val="single" w:sz="4" w:space="0" w:color="auto"/>
              <w:left w:val="single" w:sz="4" w:space="0" w:color="auto"/>
              <w:bottom w:val="single" w:sz="4" w:space="0" w:color="auto"/>
              <w:right w:val="single" w:sz="4" w:space="0" w:color="auto"/>
            </w:tcBorders>
            <w:hideMark/>
          </w:tcPr>
          <w:p w14:paraId="1948807B" w14:textId="119DB05F" w:rsidR="00F30A34" w:rsidRPr="00F30A34" w:rsidRDefault="001678EF" w:rsidP="00F30A34">
            <w:pPr>
              <w:contextualSpacing/>
              <w:rPr>
                <w:sz w:val="18"/>
                <w:szCs w:val="18"/>
              </w:rPr>
            </w:pPr>
            <w:r>
              <w:rPr>
                <w:sz w:val="18"/>
                <w:szCs w:val="18"/>
              </w:rPr>
              <w:t>Klima – příroda</w:t>
            </w:r>
          </w:p>
        </w:tc>
        <w:tc>
          <w:tcPr>
            <w:tcW w:w="2823" w:type="dxa"/>
            <w:tcBorders>
              <w:top w:val="single" w:sz="4" w:space="0" w:color="auto"/>
              <w:left w:val="single" w:sz="4" w:space="0" w:color="auto"/>
              <w:bottom w:val="single" w:sz="4" w:space="0" w:color="auto"/>
              <w:right w:val="single" w:sz="4" w:space="0" w:color="auto"/>
            </w:tcBorders>
            <w:noWrap/>
            <w:hideMark/>
          </w:tcPr>
          <w:p w14:paraId="0D75BFC2" w14:textId="77777777" w:rsidR="00F30A34" w:rsidRPr="00F30A34" w:rsidRDefault="00F30A34" w:rsidP="00F30A34">
            <w:pPr>
              <w:contextualSpacing/>
              <w:rPr>
                <w:sz w:val="18"/>
                <w:szCs w:val="18"/>
              </w:rPr>
            </w:pPr>
            <w:r w:rsidRPr="00F30A34">
              <w:rPr>
                <w:sz w:val="18"/>
                <w:szCs w:val="18"/>
              </w:rPr>
              <w:t>17.09.2025 – 31.03.2026</w:t>
            </w:r>
          </w:p>
        </w:tc>
        <w:tc>
          <w:tcPr>
            <w:tcW w:w="868" w:type="dxa"/>
            <w:tcBorders>
              <w:top w:val="single" w:sz="4" w:space="0" w:color="auto"/>
              <w:left w:val="single" w:sz="4" w:space="0" w:color="auto"/>
              <w:bottom w:val="single" w:sz="4" w:space="0" w:color="auto"/>
              <w:right w:val="single" w:sz="4" w:space="0" w:color="auto"/>
            </w:tcBorders>
            <w:noWrap/>
            <w:hideMark/>
          </w:tcPr>
          <w:p w14:paraId="794A3D7B" w14:textId="77777777" w:rsidR="00F30A34" w:rsidRPr="00F30A34" w:rsidRDefault="00F30A34" w:rsidP="00F30A34">
            <w:pPr>
              <w:contextualSpacing/>
              <w:rPr>
                <w:sz w:val="18"/>
                <w:szCs w:val="18"/>
              </w:rPr>
            </w:pPr>
            <w:r w:rsidRPr="00F30A34">
              <w:rPr>
                <w:sz w:val="18"/>
                <w:szCs w:val="18"/>
              </w:rPr>
              <w:t>150</w:t>
            </w:r>
          </w:p>
        </w:tc>
      </w:tr>
      <w:tr w:rsidR="00F30A34" w:rsidRPr="00F30A34" w14:paraId="3850F265" w14:textId="77777777">
        <w:trPr>
          <w:trHeight w:val="18"/>
        </w:trPr>
        <w:tc>
          <w:tcPr>
            <w:tcW w:w="2895" w:type="dxa"/>
            <w:tcBorders>
              <w:top w:val="single" w:sz="4" w:space="0" w:color="auto"/>
              <w:left w:val="single" w:sz="4" w:space="0" w:color="auto"/>
              <w:bottom w:val="single" w:sz="4" w:space="0" w:color="auto"/>
              <w:right w:val="single" w:sz="4" w:space="0" w:color="auto"/>
            </w:tcBorders>
            <w:hideMark/>
          </w:tcPr>
          <w:p w14:paraId="2AB42E7F" w14:textId="77777777" w:rsidR="00F30A34" w:rsidRPr="00F30A34" w:rsidRDefault="00F30A34" w:rsidP="00F30A34">
            <w:pPr>
              <w:contextualSpacing/>
              <w:rPr>
                <w:sz w:val="18"/>
                <w:szCs w:val="18"/>
              </w:rPr>
            </w:pPr>
            <w:r w:rsidRPr="00F30A34">
              <w:rPr>
                <w:sz w:val="18"/>
                <w:szCs w:val="18"/>
              </w:rPr>
              <w:t>MŽP_84. výzva, SC 1.3, opatření 1.3.1, průběžná</w:t>
            </w:r>
          </w:p>
        </w:tc>
        <w:tc>
          <w:tcPr>
            <w:tcW w:w="2770" w:type="dxa"/>
            <w:tcBorders>
              <w:top w:val="single" w:sz="4" w:space="0" w:color="auto"/>
              <w:left w:val="single" w:sz="4" w:space="0" w:color="auto"/>
              <w:bottom w:val="single" w:sz="4" w:space="0" w:color="auto"/>
              <w:right w:val="single" w:sz="4" w:space="0" w:color="auto"/>
            </w:tcBorders>
            <w:hideMark/>
          </w:tcPr>
          <w:p w14:paraId="5D687FEC" w14:textId="495D8860" w:rsidR="00F30A34" w:rsidRPr="00F30A34" w:rsidRDefault="001678EF" w:rsidP="00F30A34">
            <w:pPr>
              <w:contextualSpacing/>
              <w:rPr>
                <w:sz w:val="18"/>
                <w:szCs w:val="18"/>
              </w:rPr>
            </w:pPr>
            <w:r>
              <w:rPr>
                <w:sz w:val="18"/>
                <w:szCs w:val="18"/>
              </w:rPr>
              <w:t>Klima – příroda</w:t>
            </w:r>
          </w:p>
        </w:tc>
        <w:tc>
          <w:tcPr>
            <w:tcW w:w="2823" w:type="dxa"/>
            <w:tcBorders>
              <w:top w:val="single" w:sz="4" w:space="0" w:color="auto"/>
              <w:left w:val="single" w:sz="4" w:space="0" w:color="auto"/>
              <w:bottom w:val="single" w:sz="4" w:space="0" w:color="auto"/>
              <w:right w:val="single" w:sz="4" w:space="0" w:color="auto"/>
            </w:tcBorders>
            <w:noWrap/>
            <w:hideMark/>
          </w:tcPr>
          <w:p w14:paraId="0D006D02" w14:textId="77777777" w:rsidR="00F30A34" w:rsidRPr="00F30A34" w:rsidRDefault="00F30A34" w:rsidP="00F30A34">
            <w:pPr>
              <w:contextualSpacing/>
              <w:rPr>
                <w:sz w:val="18"/>
                <w:szCs w:val="18"/>
              </w:rPr>
            </w:pPr>
            <w:r w:rsidRPr="00F30A34">
              <w:rPr>
                <w:sz w:val="18"/>
                <w:szCs w:val="18"/>
              </w:rPr>
              <w:t>16.07.2025 – 30.06.2026</w:t>
            </w:r>
          </w:p>
        </w:tc>
        <w:tc>
          <w:tcPr>
            <w:tcW w:w="868" w:type="dxa"/>
            <w:tcBorders>
              <w:top w:val="single" w:sz="4" w:space="0" w:color="auto"/>
              <w:left w:val="single" w:sz="4" w:space="0" w:color="auto"/>
              <w:bottom w:val="single" w:sz="4" w:space="0" w:color="auto"/>
              <w:right w:val="single" w:sz="4" w:space="0" w:color="auto"/>
            </w:tcBorders>
            <w:noWrap/>
            <w:hideMark/>
          </w:tcPr>
          <w:p w14:paraId="6462AB42" w14:textId="77777777" w:rsidR="00F30A34" w:rsidRPr="00F30A34" w:rsidRDefault="00F30A34" w:rsidP="00F30A34">
            <w:pPr>
              <w:contextualSpacing/>
              <w:rPr>
                <w:sz w:val="18"/>
                <w:szCs w:val="18"/>
              </w:rPr>
            </w:pPr>
            <w:r w:rsidRPr="00F30A34">
              <w:rPr>
                <w:sz w:val="18"/>
                <w:szCs w:val="18"/>
              </w:rPr>
              <w:t>200</w:t>
            </w:r>
          </w:p>
        </w:tc>
      </w:tr>
      <w:tr w:rsidR="00F30A34" w:rsidRPr="00F30A34" w14:paraId="7C7B238B" w14:textId="77777777">
        <w:trPr>
          <w:trHeight w:val="18"/>
        </w:trPr>
        <w:tc>
          <w:tcPr>
            <w:tcW w:w="2895" w:type="dxa"/>
            <w:tcBorders>
              <w:top w:val="single" w:sz="4" w:space="0" w:color="auto"/>
              <w:left w:val="single" w:sz="4" w:space="0" w:color="auto"/>
              <w:bottom w:val="single" w:sz="4" w:space="0" w:color="auto"/>
              <w:right w:val="single" w:sz="4" w:space="0" w:color="auto"/>
            </w:tcBorders>
            <w:hideMark/>
          </w:tcPr>
          <w:p w14:paraId="146FEA5B" w14:textId="77777777" w:rsidR="00F30A34" w:rsidRPr="00F30A34" w:rsidRDefault="00F30A34" w:rsidP="00F30A34">
            <w:pPr>
              <w:contextualSpacing/>
              <w:rPr>
                <w:sz w:val="18"/>
                <w:szCs w:val="18"/>
              </w:rPr>
            </w:pPr>
            <w:r w:rsidRPr="00F30A34">
              <w:rPr>
                <w:sz w:val="18"/>
                <w:szCs w:val="18"/>
              </w:rPr>
              <w:t>MŽP_86. výzva, SC 1.3, opatření 1.3.4, průběžná</w:t>
            </w:r>
          </w:p>
        </w:tc>
        <w:tc>
          <w:tcPr>
            <w:tcW w:w="2770" w:type="dxa"/>
            <w:tcBorders>
              <w:top w:val="single" w:sz="4" w:space="0" w:color="auto"/>
              <w:left w:val="single" w:sz="4" w:space="0" w:color="auto"/>
              <w:bottom w:val="single" w:sz="4" w:space="0" w:color="auto"/>
              <w:right w:val="single" w:sz="4" w:space="0" w:color="auto"/>
            </w:tcBorders>
            <w:hideMark/>
          </w:tcPr>
          <w:p w14:paraId="5AE6774C" w14:textId="77777777" w:rsidR="00FB38DC" w:rsidRPr="00F45151" w:rsidRDefault="00FB38DC" w:rsidP="00FB38DC">
            <w:pPr>
              <w:contextualSpacing/>
              <w:rPr>
                <w:sz w:val="18"/>
                <w:szCs w:val="18"/>
              </w:rPr>
            </w:pPr>
            <w:r w:rsidRPr="00F45151">
              <w:rPr>
                <w:sz w:val="18"/>
                <w:szCs w:val="18"/>
              </w:rPr>
              <w:t>Srážkové vody a protipovodňová opatření</w:t>
            </w:r>
          </w:p>
          <w:p w14:paraId="247E5A7C" w14:textId="7CE02F66" w:rsidR="00F30A34" w:rsidRPr="00F45151" w:rsidRDefault="00F30A34" w:rsidP="00F30A34">
            <w:pPr>
              <w:contextualSpacing/>
              <w:rPr>
                <w:sz w:val="18"/>
                <w:szCs w:val="18"/>
              </w:rPr>
            </w:pPr>
          </w:p>
        </w:tc>
        <w:tc>
          <w:tcPr>
            <w:tcW w:w="2823" w:type="dxa"/>
            <w:tcBorders>
              <w:top w:val="single" w:sz="4" w:space="0" w:color="auto"/>
              <w:left w:val="single" w:sz="4" w:space="0" w:color="auto"/>
              <w:bottom w:val="single" w:sz="4" w:space="0" w:color="auto"/>
              <w:right w:val="single" w:sz="4" w:space="0" w:color="auto"/>
            </w:tcBorders>
            <w:noWrap/>
            <w:hideMark/>
          </w:tcPr>
          <w:p w14:paraId="1E620E15" w14:textId="77777777" w:rsidR="00F30A34" w:rsidRPr="00F30A34" w:rsidRDefault="00F30A34" w:rsidP="00F30A34">
            <w:pPr>
              <w:contextualSpacing/>
              <w:rPr>
                <w:sz w:val="18"/>
                <w:szCs w:val="18"/>
              </w:rPr>
            </w:pPr>
            <w:r w:rsidRPr="00F30A34">
              <w:rPr>
                <w:sz w:val="18"/>
                <w:szCs w:val="18"/>
              </w:rPr>
              <w:t>16.07.2025 – 30.04.2026</w:t>
            </w:r>
          </w:p>
        </w:tc>
        <w:tc>
          <w:tcPr>
            <w:tcW w:w="868" w:type="dxa"/>
            <w:tcBorders>
              <w:top w:val="single" w:sz="4" w:space="0" w:color="auto"/>
              <w:left w:val="single" w:sz="4" w:space="0" w:color="auto"/>
              <w:bottom w:val="single" w:sz="4" w:space="0" w:color="auto"/>
              <w:right w:val="single" w:sz="4" w:space="0" w:color="auto"/>
            </w:tcBorders>
            <w:noWrap/>
            <w:hideMark/>
          </w:tcPr>
          <w:p w14:paraId="32C2F699" w14:textId="77777777" w:rsidR="00F30A34" w:rsidRPr="00F30A34" w:rsidRDefault="00F30A34" w:rsidP="00F30A34">
            <w:pPr>
              <w:contextualSpacing/>
              <w:rPr>
                <w:sz w:val="18"/>
                <w:szCs w:val="18"/>
              </w:rPr>
            </w:pPr>
            <w:r w:rsidRPr="00F30A34">
              <w:rPr>
                <w:sz w:val="18"/>
                <w:szCs w:val="18"/>
              </w:rPr>
              <w:t>700</w:t>
            </w:r>
          </w:p>
        </w:tc>
      </w:tr>
      <w:tr w:rsidR="00F30A34" w:rsidRPr="00F30A34" w14:paraId="5790B188" w14:textId="77777777">
        <w:trPr>
          <w:trHeight w:val="18"/>
        </w:trPr>
        <w:tc>
          <w:tcPr>
            <w:tcW w:w="2895" w:type="dxa"/>
            <w:tcBorders>
              <w:top w:val="single" w:sz="4" w:space="0" w:color="auto"/>
              <w:left w:val="single" w:sz="4" w:space="0" w:color="auto"/>
              <w:bottom w:val="single" w:sz="4" w:space="0" w:color="auto"/>
              <w:right w:val="single" w:sz="4" w:space="0" w:color="auto"/>
            </w:tcBorders>
            <w:hideMark/>
          </w:tcPr>
          <w:p w14:paraId="1B0F9524" w14:textId="77777777" w:rsidR="00F30A34" w:rsidRPr="00F30A34" w:rsidRDefault="00F30A34" w:rsidP="00F30A34">
            <w:pPr>
              <w:contextualSpacing/>
              <w:rPr>
                <w:sz w:val="18"/>
                <w:szCs w:val="18"/>
              </w:rPr>
            </w:pPr>
            <w:r w:rsidRPr="00F30A34">
              <w:rPr>
                <w:sz w:val="18"/>
                <w:szCs w:val="18"/>
              </w:rPr>
              <w:t>MŽP_87. výzva, SC 1.3, opatření 1.3.5, průběžná</w:t>
            </w:r>
          </w:p>
        </w:tc>
        <w:tc>
          <w:tcPr>
            <w:tcW w:w="2770" w:type="dxa"/>
            <w:tcBorders>
              <w:top w:val="single" w:sz="4" w:space="0" w:color="auto"/>
              <w:left w:val="single" w:sz="4" w:space="0" w:color="auto"/>
              <w:bottom w:val="single" w:sz="4" w:space="0" w:color="auto"/>
              <w:right w:val="single" w:sz="4" w:space="0" w:color="auto"/>
            </w:tcBorders>
            <w:hideMark/>
          </w:tcPr>
          <w:p w14:paraId="2D3A2DA1" w14:textId="77777777" w:rsidR="00FB38DC" w:rsidRPr="00F45151" w:rsidRDefault="00FB38DC" w:rsidP="00FB38DC">
            <w:pPr>
              <w:contextualSpacing/>
              <w:rPr>
                <w:sz w:val="18"/>
                <w:szCs w:val="18"/>
              </w:rPr>
            </w:pPr>
            <w:r w:rsidRPr="00F45151">
              <w:rPr>
                <w:sz w:val="18"/>
                <w:szCs w:val="18"/>
              </w:rPr>
              <w:t>Srážkové vody a protipovodňová opatření</w:t>
            </w:r>
          </w:p>
          <w:p w14:paraId="3FD9537B" w14:textId="622AED63" w:rsidR="00F30A34" w:rsidRPr="00F45151" w:rsidRDefault="00F30A34" w:rsidP="00F30A34">
            <w:pPr>
              <w:contextualSpacing/>
              <w:rPr>
                <w:sz w:val="18"/>
                <w:szCs w:val="18"/>
              </w:rPr>
            </w:pPr>
          </w:p>
        </w:tc>
        <w:tc>
          <w:tcPr>
            <w:tcW w:w="2823" w:type="dxa"/>
            <w:tcBorders>
              <w:top w:val="single" w:sz="4" w:space="0" w:color="auto"/>
              <w:left w:val="single" w:sz="4" w:space="0" w:color="auto"/>
              <w:bottom w:val="single" w:sz="4" w:space="0" w:color="auto"/>
              <w:right w:val="single" w:sz="4" w:space="0" w:color="auto"/>
            </w:tcBorders>
            <w:noWrap/>
            <w:hideMark/>
          </w:tcPr>
          <w:p w14:paraId="0F646184" w14:textId="77777777" w:rsidR="00F30A34" w:rsidRPr="00F30A34" w:rsidRDefault="00F30A34" w:rsidP="00F30A34">
            <w:pPr>
              <w:contextualSpacing/>
              <w:rPr>
                <w:sz w:val="18"/>
                <w:szCs w:val="18"/>
              </w:rPr>
            </w:pPr>
            <w:r w:rsidRPr="00F30A34">
              <w:rPr>
                <w:sz w:val="18"/>
                <w:szCs w:val="18"/>
              </w:rPr>
              <w:t>13.08.2025 – 19.09.2025</w:t>
            </w:r>
          </w:p>
        </w:tc>
        <w:tc>
          <w:tcPr>
            <w:tcW w:w="868" w:type="dxa"/>
            <w:tcBorders>
              <w:top w:val="single" w:sz="4" w:space="0" w:color="auto"/>
              <w:left w:val="single" w:sz="4" w:space="0" w:color="auto"/>
              <w:bottom w:val="single" w:sz="4" w:space="0" w:color="auto"/>
              <w:right w:val="single" w:sz="4" w:space="0" w:color="auto"/>
            </w:tcBorders>
            <w:noWrap/>
            <w:hideMark/>
          </w:tcPr>
          <w:p w14:paraId="18FDB18A" w14:textId="77777777" w:rsidR="00F30A34" w:rsidRPr="00F30A34" w:rsidRDefault="00F30A34" w:rsidP="00F30A34">
            <w:pPr>
              <w:contextualSpacing/>
              <w:rPr>
                <w:sz w:val="18"/>
                <w:szCs w:val="18"/>
              </w:rPr>
            </w:pPr>
            <w:r w:rsidRPr="00F30A34">
              <w:rPr>
                <w:sz w:val="18"/>
                <w:szCs w:val="18"/>
              </w:rPr>
              <w:t>100</w:t>
            </w:r>
          </w:p>
        </w:tc>
      </w:tr>
      <w:tr w:rsidR="00F30A34" w:rsidRPr="00F30A34" w14:paraId="00245CC8" w14:textId="77777777">
        <w:trPr>
          <w:trHeight w:val="200"/>
        </w:trPr>
        <w:tc>
          <w:tcPr>
            <w:tcW w:w="2895" w:type="dxa"/>
            <w:tcBorders>
              <w:top w:val="single" w:sz="4" w:space="0" w:color="auto"/>
              <w:left w:val="single" w:sz="4" w:space="0" w:color="auto"/>
              <w:bottom w:val="single" w:sz="4" w:space="0" w:color="auto"/>
              <w:right w:val="single" w:sz="4" w:space="0" w:color="auto"/>
            </w:tcBorders>
            <w:hideMark/>
          </w:tcPr>
          <w:p w14:paraId="64F7834C" w14:textId="77777777" w:rsidR="00F30A34" w:rsidRPr="00F30A34" w:rsidRDefault="00F30A34" w:rsidP="00F30A34">
            <w:pPr>
              <w:contextualSpacing/>
              <w:rPr>
                <w:sz w:val="18"/>
                <w:szCs w:val="18"/>
              </w:rPr>
            </w:pPr>
            <w:r w:rsidRPr="00F30A34">
              <w:rPr>
                <w:sz w:val="18"/>
                <w:szCs w:val="18"/>
              </w:rPr>
              <w:t>MŽP_88. výzva, SC 1.3, opatření 1.3.5, průběžná</w:t>
            </w:r>
          </w:p>
        </w:tc>
        <w:tc>
          <w:tcPr>
            <w:tcW w:w="2770" w:type="dxa"/>
            <w:tcBorders>
              <w:top w:val="single" w:sz="4" w:space="0" w:color="auto"/>
              <w:left w:val="single" w:sz="4" w:space="0" w:color="auto"/>
              <w:bottom w:val="single" w:sz="4" w:space="0" w:color="auto"/>
              <w:right w:val="single" w:sz="4" w:space="0" w:color="auto"/>
            </w:tcBorders>
            <w:hideMark/>
          </w:tcPr>
          <w:p w14:paraId="5F54E5C7" w14:textId="77777777" w:rsidR="00FB38DC" w:rsidRPr="00F45151" w:rsidRDefault="00FB38DC" w:rsidP="00FB38DC">
            <w:pPr>
              <w:contextualSpacing/>
              <w:rPr>
                <w:sz w:val="18"/>
                <w:szCs w:val="18"/>
              </w:rPr>
            </w:pPr>
            <w:r w:rsidRPr="00F45151">
              <w:rPr>
                <w:sz w:val="18"/>
                <w:szCs w:val="18"/>
              </w:rPr>
              <w:t>Srážkové vody a protipovodňová opatření</w:t>
            </w:r>
          </w:p>
          <w:p w14:paraId="0674F319" w14:textId="5E4CE5C5" w:rsidR="00F30A34" w:rsidRPr="00F45151" w:rsidRDefault="00F30A34" w:rsidP="00F30A34">
            <w:pPr>
              <w:contextualSpacing/>
              <w:rPr>
                <w:sz w:val="18"/>
                <w:szCs w:val="18"/>
              </w:rPr>
            </w:pPr>
          </w:p>
        </w:tc>
        <w:tc>
          <w:tcPr>
            <w:tcW w:w="2823" w:type="dxa"/>
            <w:tcBorders>
              <w:top w:val="single" w:sz="4" w:space="0" w:color="auto"/>
              <w:left w:val="single" w:sz="4" w:space="0" w:color="auto"/>
              <w:bottom w:val="single" w:sz="4" w:space="0" w:color="auto"/>
              <w:right w:val="single" w:sz="4" w:space="0" w:color="auto"/>
            </w:tcBorders>
            <w:noWrap/>
            <w:hideMark/>
          </w:tcPr>
          <w:p w14:paraId="4F9EBC8E" w14:textId="77777777" w:rsidR="00F30A34" w:rsidRPr="00F30A34" w:rsidRDefault="00F30A34" w:rsidP="00F30A34">
            <w:pPr>
              <w:contextualSpacing/>
              <w:rPr>
                <w:sz w:val="18"/>
                <w:szCs w:val="18"/>
              </w:rPr>
            </w:pPr>
            <w:r w:rsidRPr="00F30A34">
              <w:rPr>
                <w:sz w:val="18"/>
                <w:szCs w:val="18"/>
              </w:rPr>
              <w:t>01.10.2025 – 15.05.2026</w:t>
            </w:r>
          </w:p>
        </w:tc>
        <w:tc>
          <w:tcPr>
            <w:tcW w:w="868" w:type="dxa"/>
            <w:tcBorders>
              <w:top w:val="single" w:sz="4" w:space="0" w:color="auto"/>
              <w:left w:val="single" w:sz="4" w:space="0" w:color="auto"/>
              <w:bottom w:val="single" w:sz="4" w:space="0" w:color="auto"/>
              <w:right w:val="single" w:sz="4" w:space="0" w:color="auto"/>
            </w:tcBorders>
            <w:noWrap/>
            <w:hideMark/>
          </w:tcPr>
          <w:p w14:paraId="17B46F73" w14:textId="77777777" w:rsidR="00F30A34" w:rsidRPr="00F30A34" w:rsidRDefault="00F30A34" w:rsidP="00F30A34">
            <w:pPr>
              <w:contextualSpacing/>
              <w:rPr>
                <w:sz w:val="18"/>
                <w:szCs w:val="18"/>
              </w:rPr>
            </w:pPr>
            <w:r w:rsidRPr="00F30A34">
              <w:rPr>
                <w:sz w:val="18"/>
                <w:szCs w:val="18"/>
              </w:rPr>
              <w:t>110</w:t>
            </w:r>
          </w:p>
        </w:tc>
      </w:tr>
      <w:tr w:rsidR="00F30A34" w:rsidRPr="00F30A34" w14:paraId="5F6A1490" w14:textId="77777777">
        <w:trPr>
          <w:trHeight w:val="200"/>
        </w:trPr>
        <w:tc>
          <w:tcPr>
            <w:tcW w:w="2895" w:type="dxa"/>
            <w:tcBorders>
              <w:top w:val="single" w:sz="4" w:space="0" w:color="auto"/>
              <w:left w:val="single" w:sz="4" w:space="0" w:color="auto"/>
              <w:bottom w:val="single" w:sz="4" w:space="0" w:color="auto"/>
              <w:right w:val="single" w:sz="4" w:space="0" w:color="auto"/>
            </w:tcBorders>
            <w:hideMark/>
          </w:tcPr>
          <w:p w14:paraId="0E081B82" w14:textId="77777777" w:rsidR="00F30A34" w:rsidRPr="00F30A34" w:rsidRDefault="00F30A34" w:rsidP="00F30A34">
            <w:pPr>
              <w:contextualSpacing/>
              <w:rPr>
                <w:sz w:val="18"/>
                <w:szCs w:val="18"/>
              </w:rPr>
            </w:pPr>
            <w:r w:rsidRPr="00F30A34">
              <w:rPr>
                <w:sz w:val="18"/>
                <w:szCs w:val="18"/>
              </w:rPr>
              <w:t>MŽP 100, výzva, SC 1.3, opatření 1.3.11, průběžná pro PR</w:t>
            </w:r>
          </w:p>
        </w:tc>
        <w:tc>
          <w:tcPr>
            <w:tcW w:w="2770" w:type="dxa"/>
            <w:tcBorders>
              <w:top w:val="single" w:sz="4" w:space="0" w:color="auto"/>
              <w:left w:val="single" w:sz="4" w:space="0" w:color="auto"/>
              <w:bottom w:val="single" w:sz="4" w:space="0" w:color="auto"/>
              <w:right w:val="single" w:sz="4" w:space="0" w:color="auto"/>
            </w:tcBorders>
            <w:hideMark/>
          </w:tcPr>
          <w:p w14:paraId="6813FC34" w14:textId="4F72FA4C" w:rsidR="00F30A34" w:rsidRPr="00F45151" w:rsidRDefault="00883C2D" w:rsidP="00F30A34">
            <w:pPr>
              <w:contextualSpacing/>
              <w:rPr>
                <w:sz w:val="18"/>
                <w:szCs w:val="18"/>
              </w:rPr>
            </w:pPr>
            <w:r w:rsidRPr="00F45151">
              <w:rPr>
                <w:sz w:val="18"/>
                <w:szCs w:val="18"/>
              </w:rPr>
              <w:t>Klima-příroda</w:t>
            </w:r>
          </w:p>
        </w:tc>
        <w:tc>
          <w:tcPr>
            <w:tcW w:w="2823" w:type="dxa"/>
            <w:tcBorders>
              <w:top w:val="single" w:sz="4" w:space="0" w:color="auto"/>
              <w:left w:val="single" w:sz="4" w:space="0" w:color="auto"/>
              <w:bottom w:val="single" w:sz="4" w:space="0" w:color="auto"/>
              <w:right w:val="single" w:sz="4" w:space="0" w:color="auto"/>
            </w:tcBorders>
            <w:noWrap/>
            <w:hideMark/>
          </w:tcPr>
          <w:p w14:paraId="61BF4504" w14:textId="307A3F75" w:rsidR="00F30A34" w:rsidRPr="00F30A34" w:rsidRDefault="00F30A34" w:rsidP="00F30A34">
            <w:pPr>
              <w:contextualSpacing/>
              <w:rPr>
                <w:sz w:val="18"/>
                <w:szCs w:val="18"/>
              </w:rPr>
            </w:pPr>
            <w:r w:rsidRPr="00F30A34">
              <w:rPr>
                <w:sz w:val="18"/>
                <w:szCs w:val="18"/>
              </w:rPr>
              <w:t>08.10.2025</w:t>
            </w:r>
            <w:r w:rsidR="003F4CE1">
              <w:rPr>
                <w:sz w:val="18"/>
                <w:szCs w:val="18"/>
              </w:rPr>
              <w:t xml:space="preserve"> </w:t>
            </w:r>
            <w:r w:rsidR="003F4CE1" w:rsidRPr="00F30A34">
              <w:rPr>
                <w:sz w:val="18"/>
                <w:szCs w:val="18"/>
              </w:rPr>
              <w:t>–</w:t>
            </w:r>
            <w:r w:rsidR="003F4CE1">
              <w:rPr>
                <w:sz w:val="18"/>
                <w:szCs w:val="18"/>
              </w:rPr>
              <w:t xml:space="preserve"> </w:t>
            </w:r>
            <w:r w:rsidRPr="00F30A34">
              <w:rPr>
                <w:sz w:val="18"/>
                <w:szCs w:val="18"/>
              </w:rPr>
              <w:t>24.10.2025</w:t>
            </w:r>
          </w:p>
        </w:tc>
        <w:tc>
          <w:tcPr>
            <w:tcW w:w="868" w:type="dxa"/>
            <w:tcBorders>
              <w:top w:val="single" w:sz="4" w:space="0" w:color="auto"/>
              <w:left w:val="single" w:sz="4" w:space="0" w:color="auto"/>
              <w:bottom w:val="single" w:sz="4" w:space="0" w:color="auto"/>
              <w:right w:val="single" w:sz="4" w:space="0" w:color="auto"/>
            </w:tcBorders>
            <w:noWrap/>
            <w:hideMark/>
          </w:tcPr>
          <w:p w14:paraId="01C78C9D" w14:textId="77777777" w:rsidR="00F30A34" w:rsidRPr="00F30A34" w:rsidRDefault="00F30A34" w:rsidP="00F30A34">
            <w:pPr>
              <w:contextualSpacing/>
              <w:rPr>
                <w:sz w:val="18"/>
                <w:szCs w:val="18"/>
              </w:rPr>
            </w:pPr>
            <w:r w:rsidRPr="00F30A34">
              <w:rPr>
                <w:sz w:val="18"/>
                <w:szCs w:val="18"/>
              </w:rPr>
              <w:t>200</w:t>
            </w:r>
          </w:p>
        </w:tc>
      </w:tr>
    </w:tbl>
    <w:p w14:paraId="03A3B4A1" w14:textId="77777777" w:rsidR="00F30A34" w:rsidRPr="00F30A34" w:rsidRDefault="00F30A34" w:rsidP="00F30A34">
      <w:pPr>
        <w:contextualSpacing/>
        <w:rPr>
          <w:i/>
          <w:sz w:val="20"/>
          <w:szCs w:val="20"/>
        </w:rPr>
      </w:pPr>
      <w:r w:rsidRPr="00F30A34">
        <w:rPr>
          <w:i/>
          <w:sz w:val="20"/>
          <w:szCs w:val="20"/>
        </w:rPr>
        <w:t>Pramen: SFŽP</w:t>
      </w:r>
    </w:p>
    <w:p w14:paraId="02B0CA09" w14:textId="77777777" w:rsidR="00F30A34" w:rsidRDefault="00F30A34" w:rsidP="00095D0D">
      <w:pPr>
        <w:contextualSpacing/>
      </w:pPr>
    </w:p>
    <w:p w14:paraId="68FF8B55" w14:textId="77777777" w:rsidR="007C6FAF" w:rsidRPr="007C6FAF" w:rsidRDefault="007C6FAF" w:rsidP="007C6FAF">
      <w:pPr>
        <w:contextualSpacing/>
      </w:pPr>
      <w:r w:rsidRPr="007C6FAF">
        <w:t>V roce 2025 bylo schváleno k podpoře 325 projektů z oblasti podpory 1.3 - přizpůsobení se změně klimatu s výší příspěvku EU 926,2 mil. Kč. Jednalo se zejména o projekty protipovodňové ochrany, hospodaření se srážkovou vodou či podpory preventivních opatření proti povodním a suchu. Z toho bylo během r. 2025 vydáno 201 právních aktů o poskytnutí podpory ve výši 1 117,6 mil. Kč a ve stejném roce bylo profinancováno 805,9 mil. Kč.</w:t>
      </w:r>
    </w:p>
    <w:p w14:paraId="51EF49B9" w14:textId="77777777" w:rsidR="007C6FAF" w:rsidRDefault="007C6FAF" w:rsidP="007C6FAF">
      <w:pPr>
        <w:contextualSpacing/>
      </w:pPr>
    </w:p>
    <w:p w14:paraId="2E91223B" w14:textId="360DFEA8" w:rsidR="007C6FAF" w:rsidRDefault="007C6FAF" w:rsidP="007C6FAF">
      <w:pPr>
        <w:contextualSpacing/>
      </w:pPr>
      <w:r w:rsidRPr="007C6FAF">
        <w:t>V oblasti podpory 1.4 zaměřené na podporu vodohospodářské infrastruktury byl v r. 2025 vydán jeden právní akt o poskytnutí podpory ve výši 24,9 mil. Kč. V roce 2025 byla na tyto projekty vyplacena podpora ve výši 3 024,7 mil. Kč.</w:t>
      </w:r>
    </w:p>
    <w:p w14:paraId="3AEAD693" w14:textId="77777777" w:rsidR="00C611EF" w:rsidRDefault="00C611EF" w:rsidP="007C6FAF">
      <w:pPr>
        <w:contextualSpacing/>
      </w:pPr>
    </w:p>
    <w:p w14:paraId="1AB8DE32" w14:textId="04CD017D" w:rsidR="00C611EF" w:rsidRPr="00C611EF" w:rsidRDefault="00C611EF" w:rsidP="00C611EF">
      <w:pPr>
        <w:contextualSpacing/>
        <w:rPr>
          <w:i/>
        </w:rPr>
      </w:pPr>
      <w:r w:rsidRPr="00C611EF">
        <w:rPr>
          <w:b/>
          <w:i/>
        </w:rPr>
        <w:t>Tabulka 11.1.2.</w:t>
      </w:r>
      <w:r w:rsidR="008B61A9">
        <w:rPr>
          <w:b/>
          <w:i/>
        </w:rPr>
        <w:t>4</w:t>
      </w:r>
    </w:p>
    <w:p w14:paraId="4130D398" w14:textId="77777777" w:rsidR="00C611EF" w:rsidRPr="00FD063E" w:rsidRDefault="00C611EF" w:rsidP="00C611EF">
      <w:pPr>
        <w:contextualSpacing/>
        <w:rPr>
          <w:b/>
          <w:i/>
        </w:rPr>
      </w:pPr>
      <w:r w:rsidRPr="00C611EF">
        <w:rPr>
          <w:b/>
          <w:i/>
        </w:rPr>
        <w:t xml:space="preserve">Počty projektů schválených k financování z Operačního programu Životní prostředí 2021–2027 v oblasti podpory přístupu k vodě, udržitelného hospodaření s vodou </w:t>
      </w:r>
      <w:r w:rsidRPr="00C611EF">
        <w:rPr>
          <w:b/>
          <w:i/>
        </w:rPr>
        <w:br/>
        <w:t>a podpory přizpůsobení se změně klimatu v roce 2025</w:t>
      </w:r>
    </w:p>
    <w:p w14:paraId="0932473D" w14:textId="77777777" w:rsidR="00C611EF" w:rsidRPr="00FD063E" w:rsidRDefault="00C611EF" w:rsidP="00C611EF">
      <w:pPr>
        <w:contextualSpacing/>
        <w:rPr>
          <w:b/>
          <w:i/>
          <w:iCs/>
        </w:rPr>
      </w:pPr>
      <w:r w:rsidRPr="00FD063E">
        <w:rPr>
          <w:b/>
          <w:i/>
          <w:iCs/>
        </w:rPr>
        <w:t>Schválené projekty Výběrovou komisí dle prioritních os v mil. Kč k 31. 12. 2025</w:t>
      </w:r>
    </w:p>
    <w:tbl>
      <w:tblPr>
        <w:tblW w:w="8954" w:type="dxa"/>
        <w:tblInd w:w="5" w:type="dxa"/>
        <w:tblBorders>
          <w:top w:val="single" w:sz="4" w:space="0" w:color="auto"/>
          <w:left w:val="single" w:sz="4" w:space="0" w:color="auto"/>
          <w:bottom w:val="single" w:sz="4" w:space="0" w:color="auto"/>
          <w:right w:val="single" w:sz="4" w:space="0" w:color="auto"/>
          <w:insideH w:val="single" w:sz="8" w:space="0" w:color="auto"/>
          <w:insideV w:val="single" w:sz="4" w:space="0" w:color="auto"/>
        </w:tblBorders>
        <w:tblCellMar>
          <w:left w:w="70" w:type="dxa"/>
          <w:right w:w="70" w:type="dxa"/>
        </w:tblCellMar>
        <w:tblLook w:val="04A0" w:firstRow="1" w:lastRow="0" w:firstColumn="1" w:lastColumn="0" w:noHBand="0" w:noVBand="1"/>
      </w:tblPr>
      <w:tblGrid>
        <w:gridCol w:w="1742"/>
        <w:gridCol w:w="1762"/>
        <w:gridCol w:w="1923"/>
        <w:gridCol w:w="1911"/>
        <w:gridCol w:w="1616"/>
      </w:tblGrid>
      <w:tr w:rsidR="00C611EF" w:rsidRPr="00FD063E" w14:paraId="747569E6" w14:textId="77777777" w:rsidTr="00FD063E">
        <w:trPr>
          <w:trHeight w:val="284"/>
        </w:trPr>
        <w:tc>
          <w:tcPr>
            <w:tcW w:w="1742" w:type="dxa"/>
            <w:tcBorders>
              <w:top w:val="single" w:sz="4" w:space="0" w:color="auto"/>
              <w:left w:val="single" w:sz="4" w:space="0" w:color="auto"/>
              <w:bottom w:val="single" w:sz="8" w:space="0" w:color="auto"/>
              <w:right w:val="single" w:sz="4" w:space="0" w:color="auto"/>
            </w:tcBorders>
            <w:shd w:val="clear" w:color="auto" w:fill="A6A6A6" w:themeFill="background1" w:themeFillShade="A6"/>
            <w:noWrap/>
            <w:vAlign w:val="bottom"/>
            <w:hideMark/>
          </w:tcPr>
          <w:p w14:paraId="68E39A8B" w14:textId="77777777" w:rsidR="00C611EF" w:rsidRPr="004A3F1C" w:rsidRDefault="00C611EF" w:rsidP="00C611EF">
            <w:pPr>
              <w:contextualSpacing/>
              <w:rPr>
                <w:b/>
                <w:sz w:val="20"/>
                <w:szCs w:val="20"/>
              </w:rPr>
            </w:pPr>
            <w:r w:rsidRPr="004A3F1C">
              <w:rPr>
                <w:b/>
                <w:sz w:val="20"/>
                <w:szCs w:val="20"/>
              </w:rPr>
              <w:t>Oblast podpory</w:t>
            </w:r>
          </w:p>
        </w:tc>
        <w:tc>
          <w:tcPr>
            <w:tcW w:w="1762" w:type="dxa"/>
            <w:tcBorders>
              <w:top w:val="single" w:sz="4" w:space="0" w:color="auto"/>
              <w:left w:val="single" w:sz="4" w:space="0" w:color="auto"/>
              <w:bottom w:val="single" w:sz="8" w:space="0" w:color="auto"/>
              <w:right w:val="single" w:sz="4" w:space="0" w:color="auto"/>
            </w:tcBorders>
            <w:shd w:val="clear" w:color="auto" w:fill="A6A6A6" w:themeFill="background1" w:themeFillShade="A6"/>
            <w:noWrap/>
            <w:vAlign w:val="bottom"/>
            <w:hideMark/>
          </w:tcPr>
          <w:p w14:paraId="7EACA6DA" w14:textId="77777777" w:rsidR="00C611EF" w:rsidRPr="004A3F1C" w:rsidRDefault="00C611EF" w:rsidP="00C611EF">
            <w:pPr>
              <w:contextualSpacing/>
              <w:rPr>
                <w:b/>
                <w:sz w:val="20"/>
                <w:szCs w:val="20"/>
              </w:rPr>
            </w:pPr>
            <w:r w:rsidRPr="004A3F1C">
              <w:rPr>
                <w:b/>
                <w:sz w:val="20"/>
                <w:szCs w:val="20"/>
              </w:rPr>
              <w:t>Počet z Opatření</w:t>
            </w:r>
          </w:p>
        </w:tc>
        <w:tc>
          <w:tcPr>
            <w:tcW w:w="1923" w:type="dxa"/>
            <w:tcBorders>
              <w:top w:val="single" w:sz="4" w:space="0" w:color="auto"/>
              <w:left w:val="single" w:sz="4" w:space="0" w:color="auto"/>
              <w:bottom w:val="single" w:sz="8" w:space="0" w:color="auto"/>
              <w:right w:val="single" w:sz="4" w:space="0" w:color="auto"/>
            </w:tcBorders>
            <w:shd w:val="clear" w:color="auto" w:fill="A6A6A6" w:themeFill="background1" w:themeFillShade="A6"/>
            <w:noWrap/>
            <w:vAlign w:val="bottom"/>
            <w:hideMark/>
          </w:tcPr>
          <w:p w14:paraId="4089E9AA" w14:textId="77777777" w:rsidR="00C611EF" w:rsidRPr="004A3F1C" w:rsidRDefault="00C611EF" w:rsidP="00C611EF">
            <w:pPr>
              <w:contextualSpacing/>
              <w:rPr>
                <w:b/>
                <w:sz w:val="20"/>
                <w:szCs w:val="20"/>
              </w:rPr>
            </w:pPr>
            <w:r w:rsidRPr="004A3F1C">
              <w:rPr>
                <w:b/>
                <w:sz w:val="20"/>
                <w:szCs w:val="20"/>
              </w:rPr>
              <w:t>Celkové náklady</w:t>
            </w:r>
          </w:p>
        </w:tc>
        <w:tc>
          <w:tcPr>
            <w:tcW w:w="1911" w:type="dxa"/>
            <w:tcBorders>
              <w:top w:val="single" w:sz="4" w:space="0" w:color="auto"/>
              <w:left w:val="single" w:sz="4" w:space="0" w:color="auto"/>
              <w:bottom w:val="single" w:sz="8" w:space="0" w:color="auto"/>
              <w:right w:val="single" w:sz="4" w:space="0" w:color="auto"/>
            </w:tcBorders>
            <w:shd w:val="clear" w:color="auto" w:fill="A6A6A6" w:themeFill="background1" w:themeFillShade="A6"/>
            <w:noWrap/>
            <w:vAlign w:val="bottom"/>
            <w:hideMark/>
          </w:tcPr>
          <w:p w14:paraId="05D5EAF7" w14:textId="77777777" w:rsidR="00C611EF" w:rsidRPr="004A3F1C" w:rsidRDefault="00C611EF" w:rsidP="00C611EF">
            <w:pPr>
              <w:contextualSpacing/>
              <w:rPr>
                <w:b/>
                <w:sz w:val="20"/>
                <w:szCs w:val="20"/>
              </w:rPr>
            </w:pPr>
            <w:r w:rsidRPr="004A3F1C">
              <w:rPr>
                <w:b/>
                <w:sz w:val="20"/>
                <w:szCs w:val="20"/>
              </w:rPr>
              <w:t>Celkové způsobilé výdaje</w:t>
            </w:r>
          </w:p>
        </w:tc>
        <w:tc>
          <w:tcPr>
            <w:tcW w:w="1616" w:type="dxa"/>
            <w:tcBorders>
              <w:top w:val="single" w:sz="4" w:space="0" w:color="auto"/>
              <w:left w:val="single" w:sz="4" w:space="0" w:color="auto"/>
              <w:bottom w:val="single" w:sz="8" w:space="0" w:color="auto"/>
              <w:right w:val="single" w:sz="4" w:space="0" w:color="auto"/>
            </w:tcBorders>
            <w:shd w:val="clear" w:color="auto" w:fill="A6A6A6" w:themeFill="background1" w:themeFillShade="A6"/>
            <w:noWrap/>
            <w:vAlign w:val="bottom"/>
            <w:hideMark/>
          </w:tcPr>
          <w:p w14:paraId="7AA3AECA" w14:textId="77777777" w:rsidR="00C611EF" w:rsidRPr="004A3F1C" w:rsidRDefault="00C611EF" w:rsidP="00C611EF">
            <w:pPr>
              <w:contextualSpacing/>
              <w:rPr>
                <w:b/>
                <w:sz w:val="20"/>
                <w:szCs w:val="20"/>
              </w:rPr>
            </w:pPr>
            <w:r w:rsidRPr="004A3F1C">
              <w:rPr>
                <w:b/>
                <w:sz w:val="20"/>
                <w:szCs w:val="20"/>
              </w:rPr>
              <w:t>Příspěvek EU</w:t>
            </w:r>
          </w:p>
        </w:tc>
      </w:tr>
      <w:tr w:rsidR="00C611EF" w:rsidRPr="00C611EF" w14:paraId="7116C37F" w14:textId="77777777">
        <w:trPr>
          <w:trHeight w:val="284"/>
        </w:trPr>
        <w:tc>
          <w:tcPr>
            <w:tcW w:w="1742" w:type="dxa"/>
            <w:tcBorders>
              <w:top w:val="single" w:sz="8" w:space="0" w:color="auto"/>
              <w:left w:val="single" w:sz="4" w:space="0" w:color="auto"/>
              <w:bottom w:val="single" w:sz="8" w:space="0" w:color="auto"/>
              <w:right w:val="single" w:sz="4" w:space="0" w:color="auto"/>
            </w:tcBorders>
            <w:noWrap/>
            <w:vAlign w:val="bottom"/>
            <w:hideMark/>
          </w:tcPr>
          <w:p w14:paraId="576C99C2" w14:textId="77777777" w:rsidR="00C611EF" w:rsidRPr="004A3F1C" w:rsidRDefault="00C611EF" w:rsidP="00C611EF">
            <w:pPr>
              <w:contextualSpacing/>
              <w:rPr>
                <w:sz w:val="20"/>
                <w:szCs w:val="20"/>
              </w:rPr>
            </w:pPr>
            <w:r w:rsidRPr="004A3F1C">
              <w:rPr>
                <w:sz w:val="20"/>
                <w:szCs w:val="20"/>
              </w:rPr>
              <w:t>1.3.1</w:t>
            </w:r>
          </w:p>
        </w:tc>
        <w:tc>
          <w:tcPr>
            <w:tcW w:w="1762" w:type="dxa"/>
            <w:tcBorders>
              <w:top w:val="single" w:sz="8" w:space="0" w:color="auto"/>
              <w:left w:val="single" w:sz="4" w:space="0" w:color="auto"/>
              <w:bottom w:val="single" w:sz="8" w:space="0" w:color="auto"/>
              <w:right w:val="single" w:sz="4" w:space="0" w:color="auto"/>
            </w:tcBorders>
            <w:noWrap/>
            <w:vAlign w:val="bottom"/>
            <w:hideMark/>
          </w:tcPr>
          <w:p w14:paraId="7C539565" w14:textId="77777777" w:rsidR="00C611EF" w:rsidRPr="004A3F1C" w:rsidRDefault="00C611EF" w:rsidP="00C611EF">
            <w:pPr>
              <w:contextualSpacing/>
              <w:rPr>
                <w:sz w:val="20"/>
                <w:szCs w:val="20"/>
              </w:rPr>
            </w:pPr>
            <w:r w:rsidRPr="004A3F1C">
              <w:rPr>
                <w:sz w:val="20"/>
                <w:szCs w:val="20"/>
              </w:rPr>
              <w:t>286</w:t>
            </w:r>
          </w:p>
        </w:tc>
        <w:tc>
          <w:tcPr>
            <w:tcW w:w="1923" w:type="dxa"/>
            <w:tcBorders>
              <w:top w:val="single" w:sz="8" w:space="0" w:color="auto"/>
              <w:left w:val="single" w:sz="4" w:space="0" w:color="auto"/>
              <w:bottom w:val="single" w:sz="8" w:space="0" w:color="auto"/>
              <w:right w:val="single" w:sz="4" w:space="0" w:color="auto"/>
            </w:tcBorders>
            <w:noWrap/>
            <w:vAlign w:val="bottom"/>
            <w:hideMark/>
          </w:tcPr>
          <w:p w14:paraId="2D972F71" w14:textId="77777777" w:rsidR="00C611EF" w:rsidRPr="004A3F1C" w:rsidRDefault="00C611EF" w:rsidP="00C611EF">
            <w:pPr>
              <w:contextualSpacing/>
              <w:rPr>
                <w:sz w:val="20"/>
                <w:szCs w:val="20"/>
              </w:rPr>
            </w:pPr>
            <w:r w:rsidRPr="004A3F1C">
              <w:rPr>
                <w:sz w:val="20"/>
                <w:szCs w:val="20"/>
              </w:rPr>
              <w:t>1 228,14</w:t>
            </w:r>
          </w:p>
        </w:tc>
        <w:tc>
          <w:tcPr>
            <w:tcW w:w="1911" w:type="dxa"/>
            <w:tcBorders>
              <w:top w:val="single" w:sz="8" w:space="0" w:color="auto"/>
              <w:left w:val="single" w:sz="4" w:space="0" w:color="auto"/>
              <w:bottom w:val="single" w:sz="8" w:space="0" w:color="auto"/>
              <w:right w:val="single" w:sz="4" w:space="0" w:color="auto"/>
            </w:tcBorders>
            <w:noWrap/>
            <w:vAlign w:val="bottom"/>
            <w:hideMark/>
          </w:tcPr>
          <w:p w14:paraId="1C03BD52" w14:textId="77777777" w:rsidR="00C611EF" w:rsidRPr="004A3F1C" w:rsidRDefault="00C611EF" w:rsidP="00C611EF">
            <w:pPr>
              <w:contextualSpacing/>
              <w:rPr>
                <w:sz w:val="20"/>
                <w:szCs w:val="20"/>
              </w:rPr>
            </w:pPr>
            <w:r w:rsidRPr="004A3F1C">
              <w:rPr>
                <w:sz w:val="20"/>
                <w:szCs w:val="20"/>
              </w:rPr>
              <w:t>975,11</w:t>
            </w:r>
          </w:p>
        </w:tc>
        <w:tc>
          <w:tcPr>
            <w:tcW w:w="1616" w:type="dxa"/>
            <w:tcBorders>
              <w:top w:val="single" w:sz="8" w:space="0" w:color="auto"/>
              <w:left w:val="single" w:sz="4" w:space="0" w:color="auto"/>
              <w:bottom w:val="single" w:sz="8" w:space="0" w:color="auto"/>
              <w:right w:val="single" w:sz="4" w:space="0" w:color="auto"/>
            </w:tcBorders>
            <w:noWrap/>
            <w:vAlign w:val="bottom"/>
            <w:hideMark/>
          </w:tcPr>
          <w:p w14:paraId="5682C044" w14:textId="77777777" w:rsidR="00C611EF" w:rsidRPr="004A3F1C" w:rsidRDefault="00C611EF" w:rsidP="00C611EF">
            <w:pPr>
              <w:contextualSpacing/>
              <w:rPr>
                <w:sz w:val="20"/>
                <w:szCs w:val="20"/>
              </w:rPr>
            </w:pPr>
            <w:r w:rsidRPr="004A3F1C">
              <w:rPr>
                <w:sz w:val="20"/>
                <w:szCs w:val="20"/>
              </w:rPr>
              <w:t>377,66</w:t>
            </w:r>
          </w:p>
        </w:tc>
      </w:tr>
      <w:tr w:rsidR="00C611EF" w:rsidRPr="00C611EF" w14:paraId="0836314E" w14:textId="77777777">
        <w:trPr>
          <w:trHeight w:val="284"/>
        </w:trPr>
        <w:tc>
          <w:tcPr>
            <w:tcW w:w="1742" w:type="dxa"/>
            <w:tcBorders>
              <w:top w:val="single" w:sz="8" w:space="0" w:color="auto"/>
              <w:left w:val="single" w:sz="4" w:space="0" w:color="auto"/>
              <w:bottom w:val="single" w:sz="8" w:space="0" w:color="auto"/>
              <w:right w:val="single" w:sz="4" w:space="0" w:color="auto"/>
            </w:tcBorders>
            <w:noWrap/>
            <w:vAlign w:val="bottom"/>
            <w:hideMark/>
          </w:tcPr>
          <w:p w14:paraId="1156D454" w14:textId="77777777" w:rsidR="00C611EF" w:rsidRPr="004A3F1C" w:rsidRDefault="00C611EF" w:rsidP="00C611EF">
            <w:pPr>
              <w:contextualSpacing/>
              <w:rPr>
                <w:sz w:val="20"/>
                <w:szCs w:val="20"/>
              </w:rPr>
            </w:pPr>
            <w:r w:rsidRPr="004A3F1C">
              <w:rPr>
                <w:sz w:val="20"/>
                <w:szCs w:val="20"/>
              </w:rPr>
              <w:t>1.3.3</w:t>
            </w:r>
          </w:p>
        </w:tc>
        <w:tc>
          <w:tcPr>
            <w:tcW w:w="1762" w:type="dxa"/>
            <w:tcBorders>
              <w:top w:val="single" w:sz="8" w:space="0" w:color="auto"/>
              <w:left w:val="single" w:sz="4" w:space="0" w:color="auto"/>
              <w:bottom w:val="single" w:sz="8" w:space="0" w:color="auto"/>
              <w:right w:val="single" w:sz="4" w:space="0" w:color="auto"/>
            </w:tcBorders>
            <w:noWrap/>
            <w:vAlign w:val="bottom"/>
            <w:hideMark/>
          </w:tcPr>
          <w:p w14:paraId="4B1C514A" w14:textId="77777777" w:rsidR="00C611EF" w:rsidRPr="004A3F1C" w:rsidRDefault="00C611EF" w:rsidP="00C611EF">
            <w:pPr>
              <w:contextualSpacing/>
              <w:rPr>
                <w:sz w:val="20"/>
                <w:szCs w:val="20"/>
              </w:rPr>
            </w:pPr>
            <w:r w:rsidRPr="004A3F1C">
              <w:rPr>
                <w:sz w:val="20"/>
                <w:szCs w:val="20"/>
              </w:rPr>
              <w:t>7</w:t>
            </w:r>
          </w:p>
        </w:tc>
        <w:tc>
          <w:tcPr>
            <w:tcW w:w="1923" w:type="dxa"/>
            <w:tcBorders>
              <w:top w:val="single" w:sz="8" w:space="0" w:color="auto"/>
              <w:left w:val="single" w:sz="4" w:space="0" w:color="auto"/>
              <w:bottom w:val="single" w:sz="8" w:space="0" w:color="auto"/>
              <w:right w:val="single" w:sz="4" w:space="0" w:color="auto"/>
            </w:tcBorders>
            <w:noWrap/>
            <w:vAlign w:val="bottom"/>
            <w:hideMark/>
          </w:tcPr>
          <w:p w14:paraId="18675542" w14:textId="77777777" w:rsidR="00C611EF" w:rsidRPr="004A3F1C" w:rsidRDefault="00C611EF" w:rsidP="00C611EF">
            <w:pPr>
              <w:contextualSpacing/>
              <w:rPr>
                <w:sz w:val="20"/>
                <w:szCs w:val="20"/>
              </w:rPr>
            </w:pPr>
            <w:r w:rsidRPr="004A3F1C">
              <w:rPr>
                <w:sz w:val="20"/>
                <w:szCs w:val="20"/>
              </w:rPr>
              <w:t>354,36</w:t>
            </w:r>
          </w:p>
        </w:tc>
        <w:tc>
          <w:tcPr>
            <w:tcW w:w="1911" w:type="dxa"/>
            <w:tcBorders>
              <w:top w:val="single" w:sz="8" w:space="0" w:color="auto"/>
              <w:left w:val="single" w:sz="4" w:space="0" w:color="auto"/>
              <w:bottom w:val="single" w:sz="8" w:space="0" w:color="auto"/>
              <w:right w:val="single" w:sz="4" w:space="0" w:color="auto"/>
            </w:tcBorders>
            <w:noWrap/>
            <w:vAlign w:val="bottom"/>
            <w:hideMark/>
          </w:tcPr>
          <w:p w14:paraId="4F3E827E" w14:textId="77777777" w:rsidR="00C611EF" w:rsidRPr="004A3F1C" w:rsidRDefault="00C611EF" w:rsidP="00C611EF">
            <w:pPr>
              <w:contextualSpacing/>
              <w:rPr>
                <w:sz w:val="20"/>
                <w:szCs w:val="20"/>
              </w:rPr>
            </w:pPr>
            <w:r w:rsidRPr="004A3F1C">
              <w:rPr>
                <w:sz w:val="20"/>
                <w:szCs w:val="20"/>
              </w:rPr>
              <w:t>265,35</w:t>
            </w:r>
          </w:p>
        </w:tc>
        <w:tc>
          <w:tcPr>
            <w:tcW w:w="1616" w:type="dxa"/>
            <w:tcBorders>
              <w:top w:val="single" w:sz="8" w:space="0" w:color="auto"/>
              <w:left w:val="single" w:sz="4" w:space="0" w:color="auto"/>
              <w:bottom w:val="single" w:sz="8" w:space="0" w:color="auto"/>
              <w:right w:val="single" w:sz="4" w:space="0" w:color="auto"/>
            </w:tcBorders>
            <w:noWrap/>
            <w:vAlign w:val="bottom"/>
            <w:hideMark/>
          </w:tcPr>
          <w:p w14:paraId="2C20FA7C" w14:textId="77777777" w:rsidR="00C611EF" w:rsidRPr="004A3F1C" w:rsidRDefault="00C611EF" w:rsidP="00C611EF">
            <w:pPr>
              <w:contextualSpacing/>
              <w:rPr>
                <w:sz w:val="20"/>
                <w:szCs w:val="20"/>
              </w:rPr>
            </w:pPr>
            <w:r w:rsidRPr="004A3F1C">
              <w:rPr>
                <w:sz w:val="20"/>
                <w:szCs w:val="20"/>
              </w:rPr>
              <w:t>225,54</w:t>
            </w:r>
          </w:p>
        </w:tc>
      </w:tr>
      <w:tr w:rsidR="00C611EF" w:rsidRPr="00C611EF" w14:paraId="26EAAE4A" w14:textId="77777777">
        <w:trPr>
          <w:trHeight w:val="284"/>
        </w:trPr>
        <w:tc>
          <w:tcPr>
            <w:tcW w:w="1742" w:type="dxa"/>
            <w:tcBorders>
              <w:top w:val="single" w:sz="8" w:space="0" w:color="auto"/>
              <w:left w:val="single" w:sz="4" w:space="0" w:color="auto"/>
              <w:bottom w:val="single" w:sz="8" w:space="0" w:color="auto"/>
              <w:right w:val="single" w:sz="4" w:space="0" w:color="auto"/>
            </w:tcBorders>
            <w:noWrap/>
            <w:vAlign w:val="bottom"/>
            <w:hideMark/>
          </w:tcPr>
          <w:p w14:paraId="220E310A" w14:textId="77777777" w:rsidR="00C611EF" w:rsidRPr="004A3F1C" w:rsidRDefault="00C611EF" w:rsidP="00C611EF">
            <w:pPr>
              <w:contextualSpacing/>
              <w:rPr>
                <w:sz w:val="20"/>
                <w:szCs w:val="20"/>
              </w:rPr>
            </w:pPr>
            <w:r w:rsidRPr="004A3F1C">
              <w:rPr>
                <w:sz w:val="20"/>
                <w:szCs w:val="20"/>
              </w:rPr>
              <w:t>1.3.4</w:t>
            </w:r>
          </w:p>
        </w:tc>
        <w:tc>
          <w:tcPr>
            <w:tcW w:w="1762" w:type="dxa"/>
            <w:tcBorders>
              <w:top w:val="single" w:sz="8" w:space="0" w:color="auto"/>
              <w:left w:val="single" w:sz="4" w:space="0" w:color="auto"/>
              <w:bottom w:val="single" w:sz="8" w:space="0" w:color="auto"/>
              <w:right w:val="single" w:sz="4" w:space="0" w:color="auto"/>
            </w:tcBorders>
            <w:noWrap/>
            <w:vAlign w:val="bottom"/>
            <w:hideMark/>
          </w:tcPr>
          <w:p w14:paraId="157C0CD9" w14:textId="77777777" w:rsidR="00C611EF" w:rsidRPr="004A3F1C" w:rsidRDefault="00C611EF" w:rsidP="00C611EF">
            <w:pPr>
              <w:contextualSpacing/>
              <w:rPr>
                <w:sz w:val="20"/>
                <w:szCs w:val="20"/>
              </w:rPr>
            </w:pPr>
            <w:r w:rsidRPr="004A3F1C">
              <w:rPr>
                <w:sz w:val="20"/>
                <w:szCs w:val="20"/>
              </w:rPr>
              <w:t>4</w:t>
            </w:r>
          </w:p>
        </w:tc>
        <w:tc>
          <w:tcPr>
            <w:tcW w:w="1923" w:type="dxa"/>
            <w:tcBorders>
              <w:top w:val="single" w:sz="8" w:space="0" w:color="auto"/>
              <w:left w:val="single" w:sz="4" w:space="0" w:color="auto"/>
              <w:bottom w:val="single" w:sz="8" w:space="0" w:color="auto"/>
              <w:right w:val="single" w:sz="4" w:space="0" w:color="auto"/>
            </w:tcBorders>
            <w:noWrap/>
            <w:vAlign w:val="bottom"/>
            <w:hideMark/>
          </w:tcPr>
          <w:p w14:paraId="5305ADDC" w14:textId="77777777" w:rsidR="00C611EF" w:rsidRPr="004A3F1C" w:rsidRDefault="00C611EF" w:rsidP="00C611EF">
            <w:pPr>
              <w:contextualSpacing/>
              <w:rPr>
                <w:sz w:val="20"/>
                <w:szCs w:val="20"/>
              </w:rPr>
            </w:pPr>
            <w:r w:rsidRPr="004A3F1C">
              <w:rPr>
                <w:sz w:val="20"/>
                <w:szCs w:val="20"/>
              </w:rPr>
              <w:t>52,15</w:t>
            </w:r>
          </w:p>
        </w:tc>
        <w:tc>
          <w:tcPr>
            <w:tcW w:w="1911" w:type="dxa"/>
            <w:tcBorders>
              <w:top w:val="single" w:sz="8" w:space="0" w:color="auto"/>
              <w:left w:val="single" w:sz="4" w:space="0" w:color="auto"/>
              <w:bottom w:val="single" w:sz="8" w:space="0" w:color="auto"/>
              <w:right w:val="single" w:sz="4" w:space="0" w:color="auto"/>
            </w:tcBorders>
            <w:noWrap/>
            <w:vAlign w:val="bottom"/>
            <w:hideMark/>
          </w:tcPr>
          <w:p w14:paraId="1BEBA046" w14:textId="77777777" w:rsidR="00C611EF" w:rsidRPr="004A3F1C" w:rsidRDefault="00C611EF" w:rsidP="00C611EF">
            <w:pPr>
              <w:contextualSpacing/>
              <w:rPr>
                <w:sz w:val="20"/>
                <w:szCs w:val="20"/>
              </w:rPr>
            </w:pPr>
            <w:r w:rsidRPr="004A3F1C">
              <w:rPr>
                <w:sz w:val="20"/>
                <w:szCs w:val="20"/>
              </w:rPr>
              <w:t>25,88</w:t>
            </w:r>
          </w:p>
        </w:tc>
        <w:tc>
          <w:tcPr>
            <w:tcW w:w="1616" w:type="dxa"/>
            <w:tcBorders>
              <w:top w:val="single" w:sz="8" w:space="0" w:color="auto"/>
              <w:left w:val="single" w:sz="4" w:space="0" w:color="auto"/>
              <w:bottom w:val="single" w:sz="8" w:space="0" w:color="auto"/>
              <w:right w:val="single" w:sz="4" w:space="0" w:color="auto"/>
            </w:tcBorders>
            <w:noWrap/>
            <w:vAlign w:val="bottom"/>
            <w:hideMark/>
          </w:tcPr>
          <w:p w14:paraId="39705E9E" w14:textId="77777777" w:rsidR="00C611EF" w:rsidRPr="004A3F1C" w:rsidRDefault="00C611EF" w:rsidP="00C611EF">
            <w:pPr>
              <w:contextualSpacing/>
              <w:rPr>
                <w:sz w:val="20"/>
                <w:szCs w:val="20"/>
              </w:rPr>
            </w:pPr>
            <w:r w:rsidRPr="004A3F1C">
              <w:rPr>
                <w:sz w:val="20"/>
                <w:szCs w:val="20"/>
              </w:rPr>
              <w:t>18,86</w:t>
            </w:r>
          </w:p>
        </w:tc>
      </w:tr>
      <w:tr w:rsidR="00C611EF" w:rsidRPr="00C611EF" w14:paraId="7D53055D" w14:textId="77777777">
        <w:trPr>
          <w:trHeight w:val="284"/>
        </w:trPr>
        <w:tc>
          <w:tcPr>
            <w:tcW w:w="1742" w:type="dxa"/>
            <w:tcBorders>
              <w:top w:val="single" w:sz="8" w:space="0" w:color="auto"/>
              <w:left w:val="single" w:sz="4" w:space="0" w:color="auto"/>
              <w:bottom w:val="single" w:sz="8" w:space="0" w:color="auto"/>
              <w:right w:val="single" w:sz="4" w:space="0" w:color="auto"/>
            </w:tcBorders>
            <w:noWrap/>
            <w:vAlign w:val="bottom"/>
            <w:hideMark/>
          </w:tcPr>
          <w:p w14:paraId="142D0D06" w14:textId="77777777" w:rsidR="00C611EF" w:rsidRPr="004A3F1C" w:rsidRDefault="00C611EF" w:rsidP="00C611EF">
            <w:pPr>
              <w:contextualSpacing/>
              <w:rPr>
                <w:sz w:val="20"/>
                <w:szCs w:val="20"/>
              </w:rPr>
            </w:pPr>
            <w:r w:rsidRPr="004A3F1C">
              <w:rPr>
                <w:sz w:val="20"/>
                <w:szCs w:val="20"/>
              </w:rPr>
              <w:t>1.3.5</w:t>
            </w:r>
          </w:p>
        </w:tc>
        <w:tc>
          <w:tcPr>
            <w:tcW w:w="1762" w:type="dxa"/>
            <w:tcBorders>
              <w:top w:val="single" w:sz="8" w:space="0" w:color="auto"/>
              <w:left w:val="single" w:sz="4" w:space="0" w:color="auto"/>
              <w:bottom w:val="single" w:sz="8" w:space="0" w:color="auto"/>
              <w:right w:val="single" w:sz="4" w:space="0" w:color="auto"/>
            </w:tcBorders>
            <w:noWrap/>
            <w:vAlign w:val="bottom"/>
            <w:hideMark/>
          </w:tcPr>
          <w:p w14:paraId="1F59653D" w14:textId="77777777" w:rsidR="00C611EF" w:rsidRPr="004A3F1C" w:rsidRDefault="00C611EF" w:rsidP="00C611EF">
            <w:pPr>
              <w:contextualSpacing/>
              <w:rPr>
                <w:sz w:val="20"/>
                <w:szCs w:val="20"/>
              </w:rPr>
            </w:pPr>
            <w:r w:rsidRPr="004A3F1C">
              <w:rPr>
                <w:sz w:val="20"/>
                <w:szCs w:val="20"/>
              </w:rPr>
              <w:t>15</w:t>
            </w:r>
          </w:p>
        </w:tc>
        <w:tc>
          <w:tcPr>
            <w:tcW w:w="1923" w:type="dxa"/>
            <w:tcBorders>
              <w:top w:val="single" w:sz="8" w:space="0" w:color="auto"/>
              <w:left w:val="single" w:sz="4" w:space="0" w:color="auto"/>
              <w:bottom w:val="single" w:sz="8" w:space="0" w:color="auto"/>
              <w:right w:val="single" w:sz="4" w:space="0" w:color="auto"/>
            </w:tcBorders>
            <w:noWrap/>
            <w:vAlign w:val="bottom"/>
            <w:hideMark/>
          </w:tcPr>
          <w:p w14:paraId="438DA8A1" w14:textId="77777777" w:rsidR="00C611EF" w:rsidRPr="004A3F1C" w:rsidRDefault="00C611EF" w:rsidP="00C611EF">
            <w:pPr>
              <w:contextualSpacing/>
              <w:rPr>
                <w:b/>
                <w:bCs/>
                <w:sz w:val="20"/>
                <w:szCs w:val="20"/>
              </w:rPr>
            </w:pPr>
            <w:r w:rsidRPr="004A3F1C">
              <w:rPr>
                <w:sz w:val="20"/>
                <w:szCs w:val="20"/>
              </w:rPr>
              <w:t>264,22</w:t>
            </w:r>
          </w:p>
        </w:tc>
        <w:tc>
          <w:tcPr>
            <w:tcW w:w="1911" w:type="dxa"/>
            <w:tcBorders>
              <w:top w:val="single" w:sz="8" w:space="0" w:color="auto"/>
              <w:left w:val="single" w:sz="4" w:space="0" w:color="auto"/>
              <w:bottom w:val="single" w:sz="8" w:space="0" w:color="auto"/>
              <w:right w:val="single" w:sz="4" w:space="0" w:color="auto"/>
            </w:tcBorders>
            <w:noWrap/>
            <w:vAlign w:val="bottom"/>
            <w:hideMark/>
          </w:tcPr>
          <w:p w14:paraId="2C8B0FAB" w14:textId="77777777" w:rsidR="00C611EF" w:rsidRPr="004A3F1C" w:rsidRDefault="00C611EF" w:rsidP="00C611EF">
            <w:pPr>
              <w:contextualSpacing/>
              <w:rPr>
                <w:sz w:val="20"/>
                <w:szCs w:val="20"/>
              </w:rPr>
            </w:pPr>
            <w:r w:rsidRPr="004A3F1C">
              <w:rPr>
                <w:sz w:val="20"/>
                <w:szCs w:val="20"/>
              </w:rPr>
              <w:t>238,30</w:t>
            </w:r>
          </w:p>
        </w:tc>
        <w:tc>
          <w:tcPr>
            <w:tcW w:w="1616" w:type="dxa"/>
            <w:tcBorders>
              <w:top w:val="single" w:sz="8" w:space="0" w:color="auto"/>
              <w:left w:val="single" w:sz="4" w:space="0" w:color="auto"/>
              <w:bottom w:val="single" w:sz="8" w:space="0" w:color="auto"/>
              <w:right w:val="single" w:sz="4" w:space="0" w:color="auto"/>
            </w:tcBorders>
            <w:noWrap/>
            <w:vAlign w:val="bottom"/>
            <w:hideMark/>
          </w:tcPr>
          <w:p w14:paraId="6DE4CB2A" w14:textId="77777777" w:rsidR="00C611EF" w:rsidRPr="004A3F1C" w:rsidRDefault="00C611EF" w:rsidP="00C611EF">
            <w:pPr>
              <w:contextualSpacing/>
              <w:rPr>
                <w:sz w:val="20"/>
                <w:szCs w:val="20"/>
              </w:rPr>
            </w:pPr>
            <w:r w:rsidRPr="004A3F1C">
              <w:rPr>
                <w:sz w:val="20"/>
                <w:szCs w:val="20"/>
              </w:rPr>
              <w:t>216,32</w:t>
            </w:r>
          </w:p>
        </w:tc>
      </w:tr>
      <w:tr w:rsidR="00C611EF" w:rsidRPr="00C611EF" w14:paraId="798D4DBE" w14:textId="77777777">
        <w:trPr>
          <w:trHeight w:val="284"/>
        </w:trPr>
        <w:tc>
          <w:tcPr>
            <w:tcW w:w="1742" w:type="dxa"/>
            <w:tcBorders>
              <w:top w:val="single" w:sz="8" w:space="0" w:color="auto"/>
              <w:left w:val="single" w:sz="4" w:space="0" w:color="auto"/>
              <w:bottom w:val="single" w:sz="8" w:space="0" w:color="auto"/>
              <w:right w:val="single" w:sz="4" w:space="0" w:color="auto"/>
            </w:tcBorders>
            <w:noWrap/>
            <w:vAlign w:val="bottom"/>
            <w:hideMark/>
          </w:tcPr>
          <w:p w14:paraId="7501AB68" w14:textId="77777777" w:rsidR="00C611EF" w:rsidRPr="004A3F1C" w:rsidRDefault="00C611EF" w:rsidP="00C611EF">
            <w:pPr>
              <w:contextualSpacing/>
              <w:rPr>
                <w:sz w:val="20"/>
                <w:szCs w:val="20"/>
              </w:rPr>
            </w:pPr>
            <w:r w:rsidRPr="004A3F1C">
              <w:rPr>
                <w:sz w:val="20"/>
                <w:szCs w:val="20"/>
              </w:rPr>
              <w:t>1.3.11</w:t>
            </w:r>
          </w:p>
        </w:tc>
        <w:tc>
          <w:tcPr>
            <w:tcW w:w="1762" w:type="dxa"/>
            <w:tcBorders>
              <w:top w:val="single" w:sz="8" w:space="0" w:color="auto"/>
              <w:left w:val="single" w:sz="4" w:space="0" w:color="auto"/>
              <w:bottom w:val="single" w:sz="8" w:space="0" w:color="auto"/>
              <w:right w:val="single" w:sz="4" w:space="0" w:color="auto"/>
            </w:tcBorders>
            <w:noWrap/>
            <w:vAlign w:val="bottom"/>
            <w:hideMark/>
          </w:tcPr>
          <w:p w14:paraId="5C19A0E7" w14:textId="77777777" w:rsidR="00C611EF" w:rsidRPr="004A3F1C" w:rsidRDefault="00C611EF" w:rsidP="00C611EF">
            <w:pPr>
              <w:contextualSpacing/>
              <w:rPr>
                <w:sz w:val="20"/>
                <w:szCs w:val="20"/>
              </w:rPr>
            </w:pPr>
            <w:r w:rsidRPr="004A3F1C">
              <w:rPr>
                <w:sz w:val="20"/>
                <w:szCs w:val="20"/>
              </w:rPr>
              <w:t>13</w:t>
            </w:r>
          </w:p>
        </w:tc>
        <w:tc>
          <w:tcPr>
            <w:tcW w:w="1923" w:type="dxa"/>
            <w:tcBorders>
              <w:top w:val="single" w:sz="8" w:space="0" w:color="auto"/>
              <w:left w:val="single" w:sz="4" w:space="0" w:color="auto"/>
              <w:bottom w:val="single" w:sz="8" w:space="0" w:color="auto"/>
              <w:right w:val="single" w:sz="4" w:space="0" w:color="auto"/>
            </w:tcBorders>
            <w:noWrap/>
            <w:vAlign w:val="bottom"/>
            <w:hideMark/>
          </w:tcPr>
          <w:p w14:paraId="5E3E9BF4" w14:textId="77777777" w:rsidR="00C611EF" w:rsidRPr="004A3F1C" w:rsidRDefault="00C611EF" w:rsidP="00C611EF">
            <w:pPr>
              <w:contextualSpacing/>
              <w:rPr>
                <w:sz w:val="20"/>
                <w:szCs w:val="20"/>
              </w:rPr>
            </w:pPr>
            <w:r w:rsidRPr="004A3F1C">
              <w:rPr>
                <w:sz w:val="20"/>
                <w:szCs w:val="20"/>
              </w:rPr>
              <w:t>159,08</w:t>
            </w:r>
          </w:p>
        </w:tc>
        <w:tc>
          <w:tcPr>
            <w:tcW w:w="1911" w:type="dxa"/>
            <w:tcBorders>
              <w:top w:val="single" w:sz="8" w:space="0" w:color="auto"/>
              <w:left w:val="single" w:sz="4" w:space="0" w:color="auto"/>
              <w:bottom w:val="single" w:sz="8" w:space="0" w:color="auto"/>
              <w:right w:val="single" w:sz="4" w:space="0" w:color="auto"/>
            </w:tcBorders>
            <w:noWrap/>
            <w:vAlign w:val="bottom"/>
            <w:hideMark/>
          </w:tcPr>
          <w:p w14:paraId="22F1B7E9" w14:textId="77777777" w:rsidR="00C611EF" w:rsidRPr="004A3F1C" w:rsidRDefault="00C611EF" w:rsidP="00C611EF">
            <w:pPr>
              <w:contextualSpacing/>
              <w:rPr>
                <w:sz w:val="20"/>
                <w:szCs w:val="20"/>
              </w:rPr>
            </w:pPr>
            <w:r w:rsidRPr="004A3F1C">
              <w:rPr>
                <w:sz w:val="20"/>
                <w:szCs w:val="20"/>
              </w:rPr>
              <w:t>103,48</w:t>
            </w:r>
          </w:p>
        </w:tc>
        <w:tc>
          <w:tcPr>
            <w:tcW w:w="1616" w:type="dxa"/>
            <w:tcBorders>
              <w:top w:val="single" w:sz="8" w:space="0" w:color="auto"/>
              <w:left w:val="single" w:sz="4" w:space="0" w:color="auto"/>
              <w:bottom w:val="single" w:sz="8" w:space="0" w:color="auto"/>
              <w:right w:val="single" w:sz="4" w:space="0" w:color="auto"/>
            </w:tcBorders>
            <w:noWrap/>
            <w:vAlign w:val="bottom"/>
            <w:hideMark/>
          </w:tcPr>
          <w:p w14:paraId="2E291813" w14:textId="77777777" w:rsidR="00C611EF" w:rsidRPr="004A3F1C" w:rsidRDefault="00C611EF" w:rsidP="00C611EF">
            <w:pPr>
              <w:contextualSpacing/>
              <w:rPr>
                <w:sz w:val="20"/>
                <w:szCs w:val="20"/>
              </w:rPr>
            </w:pPr>
            <w:r w:rsidRPr="004A3F1C">
              <w:rPr>
                <w:sz w:val="20"/>
                <w:szCs w:val="20"/>
              </w:rPr>
              <w:t>87,81</w:t>
            </w:r>
          </w:p>
        </w:tc>
      </w:tr>
      <w:tr w:rsidR="00C611EF" w:rsidRPr="00C611EF" w14:paraId="44553065" w14:textId="77777777">
        <w:trPr>
          <w:trHeight w:val="284"/>
        </w:trPr>
        <w:tc>
          <w:tcPr>
            <w:tcW w:w="1742" w:type="dxa"/>
            <w:tcBorders>
              <w:top w:val="single" w:sz="8" w:space="0" w:color="auto"/>
              <w:left w:val="single" w:sz="4" w:space="0" w:color="auto"/>
              <w:bottom w:val="single" w:sz="4" w:space="0" w:color="auto"/>
              <w:right w:val="single" w:sz="4" w:space="0" w:color="auto"/>
            </w:tcBorders>
            <w:noWrap/>
            <w:vAlign w:val="bottom"/>
            <w:hideMark/>
          </w:tcPr>
          <w:p w14:paraId="3CEC5EBF" w14:textId="77777777" w:rsidR="00C611EF" w:rsidRPr="004A3F1C" w:rsidRDefault="00C611EF" w:rsidP="00C611EF">
            <w:pPr>
              <w:contextualSpacing/>
              <w:rPr>
                <w:sz w:val="20"/>
                <w:szCs w:val="20"/>
              </w:rPr>
            </w:pPr>
            <w:r w:rsidRPr="004A3F1C">
              <w:rPr>
                <w:sz w:val="20"/>
                <w:szCs w:val="20"/>
              </w:rPr>
              <w:t>SC 1.3 celkem</w:t>
            </w:r>
          </w:p>
        </w:tc>
        <w:tc>
          <w:tcPr>
            <w:tcW w:w="1762" w:type="dxa"/>
            <w:tcBorders>
              <w:top w:val="single" w:sz="8" w:space="0" w:color="auto"/>
              <w:left w:val="single" w:sz="4" w:space="0" w:color="auto"/>
              <w:bottom w:val="single" w:sz="4" w:space="0" w:color="auto"/>
              <w:right w:val="single" w:sz="4" w:space="0" w:color="auto"/>
            </w:tcBorders>
            <w:noWrap/>
            <w:vAlign w:val="bottom"/>
            <w:hideMark/>
          </w:tcPr>
          <w:p w14:paraId="52FB8E71" w14:textId="77777777" w:rsidR="00C611EF" w:rsidRPr="004A3F1C" w:rsidRDefault="00C611EF" w:rsidP="00C611EF">
            <w:pPr>
              <w:contextualSpacing/>
              <w:rPr>
                <w:sz w:val="20"/>
                <w:szCs w:val="20"/>
              </w:rPr>
            </w:pPr>
            <w:r w:rsidRPr="004A3F1C">
              <w:rPr>
                <w:sz w:val="20"/>
                <w:szCs w:val="20"/>
              </w:rPr>
              <w:t>325</w:t>
            </w:r>
          </w:p>
        </w:tc>
        <w:tc>
          <w:tcPr>
            <w:tcW w:w="1923" w:type="dxa"/>
            <w:tcBorders>
              <w:top w:val="single" w:sz="8" w:space="0" w:color="auto"/>
              <w:left w:val="single" w:sz="4" w:space="0" w:color="auto"/>
              <w:bottom w:val="single" w:sz="4" w:space="0" w:color="auto"/>
              <w:right w:val="single" w:sz="4" w:space="0" w:color="auto"/>
            </w:tcBorders>
            <w:noWrap/>
            <w:vAlign w:val="bottom"/>
            <w:hideMark/>
          </w:tcPr>
          <w:p w14:paraId="179462B7" w14:textId="77777777" w:rsidR="00C611EF" w:rsidRPr="004A3F1C" w:rsidRDefault="00C611EF" w:rsidP="00C611EF">
            <w:pPr>
              <w:contextualSpacing/>
              <w:rPr>
                <w:sz w:val="20"/>
                <w:szCs w:val="20"/>
              </w:rPr>
            </w:pPr>
            <w:r w:rsidRPr="004A3F1C">
              <w:rPr>
                <w:sz w:val="20"/>
                <w:szCs w:val="20"/>
              </w:rPr>
              <w:t>2 057,95</w:t>
            </w:r>
          </w:p>
        </w:tc>
        <w:tc>
          <w:tcPr>
            <w:tcW w:w="1911" w:type="dxa"/>
            <w:tcBorders>
              <w:top w:val="single" w:sz="8" w:space="0" w:color="auto"/>
              <w:left w:val="single" w:sz="4" w:space="0" w:color="auto"/>
              <w:bottom w:val="single" w:sz="4" w:space="0" w:color="auto"/>
              <w:right w:val="single" w:sz="4" w:space="0" w:color="auto"/>
            </w:tcBorders>
            <w:noWrap/>
            <w:vAlign w:val="bottom"/>
            <w:hideMark/>
          </w:tcPr>
          <w:p w14:paraId="329BBBE8" w14:textId="77777777" w:rsidR="00C611EF" w:rsidRPr="004A3F1C" w:rsidRDefault="00C611EF" w:rsidP="00C611EF">
            <w:pPr>
              <w:contextualSpacing/>
              <w:rPr>
                <w:sz w:val="20"/>
                <w:szCs w:val="20"/>
              </w:rPr>
            </w:pPr>
            <w:r w:rsidRPr="004A3F1C">
              <w:rPr>
                <w:sz w:val="20"/>
                <w:szCs w:val="20"/>
              </w:rPr>
              <w:t>1 608,12</w:t>
            </w:r>
          </w:p>
        </w:tc>
        <w:tc>
          <w:tcPr>
            <w:tcW w:w="1616" w:type="dxa"/>
            <w:tcBorders>
              <w:top w:val="single" w:sz="8" w:space="0" w:color="auto"/>
              <w:left w:val="single" w:sz="4" w:space="0" w:color="auto"/>
              <w:bottom w:val="single" w:sz="4" w:space="0" w:color="auto"/>
              <w:right w:val="single" w:sz="4" w:space="0" w:color="auto"/>
            </w:tcBorders>
            <w:noWrap/>
            <w:vAlign w:val="bottom"/>
            <w:hideMark/>
          </w:tcPr>
          <w:p w14:paraId="1B847A51" w14:textId="77777777" w:rsidR="00C611EF" w:rsidRPr="004A3F1C" w:rsidRDefault="00C611EF" w:rsidP="00C611EF">
            <w:pPr>
              <w:contextualSpacing/>
              <w:rPr>
                <w:sz w:val="20"/>
                <w:szCs w:val="20"/>
              </w:rPr>
            </w:pPr>
            <w:r w:rsidRPr="004A3F1C">
              <w:rPr>
                <w:sz w:val="20"/>
                <w:szCs w:val="20"/>
              </w:rPr>
              <w:t>926,19</w:t>
            </w:r>
          </w:p>
        </w:tc>
      </w:tr>
    </w:tbl>
    <w:p w14:paraId="132E6AA9" w14:textId="77777777" w:rsidR="00C611EF" w:rsidRPr="00C611EF" w:rsidRDefault="00C611EF" w:rsidP="00C611EF">
      <w:pPr>
        <w:contextualSpacing/>
        <w:rPr>
          <w:i/>
        </w:rPr>
      </w:pPr>
      <w:r w:rsidRPr="00C611EF">
        <w:rPr>
          <w:i/>
        </w:rPr>
        <w:t>Pramen: SFŽP</w:t>
      </w:r>
    </w:p>
    <w:p w14:paraId="76BE924F" w14:textId="77777777" w:rsidR="00C611EF" w:rsidRDefault="00C611EF" w:rsidP="00C611EF">
      <w:pPr>
        <w:contextualSpacing/>
        <w:rPr>
          <w:i/>
        </w:rPr>
      </w:pPr>
    </w:p>
    <w:p w14:paraId="1DF4FE59" w14:textId="77777777" w:rsidR="00A84886" w:rsidRDefault="00A84886" w:rsidP="007828CA">
      <w:pPr>
        <w:contextualSpacing/>
        <w:rPr>
          <w:b/>
          <w:i/>
        </w:rPr>
      </w:pPr>
    </w:p>
    <w:p w14:paraId="76ED47C6" w14:textId="77777777" w:rsidR="00A84886" w:rsidRDefault="00A84886" w:rsidP="007828CA">
      <w:pPr>
        <w:contextualSpacing/>
        <w:rPr>
          <w:b/>
          <w:i/>
        </w:rPr>
      </w:pPr>
    </w:p>
    <w:p w14:paraId="79BE2070" w14:textId="77777777" w:rsidR="00A84886" w:rsidRDefault="00A84886" w:rsidP="007828CA">
      <w:pPr>
        <w:contextualSpacing/>
        <w:rPr>
          <w:b/>
          <w:i/>
        </w:rPr>
      </w:pPr>
    </w:p>
    <w:p w14:paraId="1ACEE272" w14:textId="77777777" w:rsidR="00A84886" w:rsidRDefault="00A84886" w:rsidP="007828CA">
      <w:pPr>
        <w:contextualSpacing/>
        <w:rPr>
          <w:b/>
          <w:i/>
        </w:rPr>
      </w:pPr>
    </w:p>
    <w:p w14:paraId="17CD7C41" w14:textId="77777777" w:rsidR="008F0B14" w:rsidRDefault="008F0B14" w:rsidP="007828CA">
      <w:pPr>
        <w:contextualSpacing/>
        <w:rPr>
          <w:b/>
          <w:i/>
        </w:rPr>
      </w:pPr>
    </w:p>
    <w:p w14:paraId="315DFBD4" w14:textId="77777777" w:rsidR="008F0B14" w:rsidRDefault="008F0B14" w:rsidP="007828CA">
      <w:pPr>
        <w:contextualSpacing/>
        <w:rPr>
          <w:b/>
          <w:i/>
        </w:rPr>
      </w:pPr>
    </w:p>
    <w:p w14:paraId="02385005" w14:textId="77777777" w:rsidR="008F0B14" w:rsidRDefault="008F0B14" w:rsidP="007828CA">
      <w:pPr>
        <w:contextualSpacing/>
        <w:rPr>
          <w:b/>
          <w:i/>
        </w:rPr>
      </w:pPr>
    </w:p>
    <w:p w14:paraId="5BD23932" w14:textId="7D92C263" w:rsidR="007828CA" w:rsidRPr="007828CA" w:rsidRDefault="007828CA" w:rsidP="007828CA">
      <w:pPr>
        <w:contextualSpacing/>
        <w:rPr>
          <w:b/>
          <w:i/>
        </w:rPr>
      </w:pPr>
      <w:r w:rsidRPr="007828CA">
        <w:rPr>
          <w:b/>
          <w:i/>
        </w:rPr>
        <w:t>Tabulka 11.1.2.</w:t>
      </w:r>
      <w:r w:rsidR="008B61A9">
        <w:rPr>
          <w:b/>
          <w:i/>
        </w:rPr>
        <w:t>5</w:t>
      </w:r>
    </w:p>
    <w:p w14:paraId="2AE913C0" w14:textId="77777777" w:rsidR="007828CA" w:rsidRPr="007828CA" w:rsidRDefault="007828CA" w:rsidP="007828CA">
      <w:pPr>
        <w:contextualSpacing/>
        <w:rPr>
          <w:i/>
        </w:rPr>
      </w:pPr>
      <w:r w:rsidRPr="007828CA">
        <w:rPr>
          <w:b/>
          <w:i/>
        </w:rPr>
        <w:t>Čerpání finančních prostředků Operačního programu Životní prostředí 2021–2027 v roce 2025</w:t>
      </w:r>
    </w:p>
    <w:tbl>
      <w:tblPr>
        <w:tblW w:w="8200" w:type="dxa"/>
        <w:tblCellMar>
          <w:left w:w="70" w:type="dxa"/>
          <w:right w:w="70" w:type="dxa"/>
        </w:tblCellMar>
        <w:tblLook w:val="04A0" w:firstRow="1" w:lastRow="0" w:firstColumn="1" w:lastColumn="0" w:noHBand="0" w:noVBand="1"/>
      </w:tblPr>
      <w:tblGrid>
        <w:gridCol w:w="4460"/>
        <w:gridCol w:w="1420"/>
        <w:gridCol w:w="2320"/>
      </w:tblGrid>
      <w:tr w:rsidR="007828CA" w:rsidRPr="007828CA" w14:paraId="79FF0AB8" w14:textId="77777777" w:rsidTr="00331623">
        <w:trPr>
          <w:trHeight w:val="315"/>
        </w:trPr>
        <w:tc>
          <w:tcPr>
            <w:tcW w:w="4460" w:type="dxa"/>
            <w:tcBorders>
              <w:top w:val="single" w:sz="8" w:space="0" w:color="auto"/>
              <w:left w:val="single" w:sz="8" w:space="0" w:color="auto"/>
              <w:bottom w:val="single" w:sz="8" w:space="0" w:color="auto"/>
              <w:right w:val="single" w:sz="4" w:space="0" w:color="auto"/>
            </w:tcBorders>
            <w:shd w:val="clear" w:color="auto" w:fill="A6A6A6" w:themeFill="background1" w:themeFillShade="A6"/>
            <w:noWrap/>
            <w:vAlign w:val="bottom"/>
            <w:hideMark/>
          </w:tcPr>
          <w:p w14:paraId="4AA76565" w14:textId="77777777" w:rsidR="007828CA" w:rsidRPr="004A3F1C" w:rsidRDefault="007828CA" w:rsidP="007828CA">
            <w:pPr>
              <w:contextualSpacing/>
              <w:rPr>
                <w:rFonts w:cs="Arial"/>
                <w:b/>
                <w:bCs/>
                <w:i/>
                <w:sz w:val="20"/>
                <w:szCs w:val="20"/>
              </w:rPr>
            </w:pPr>
            <w:r w:rsidRPr="004A3F1C">
              <w:rPr>
                <w:rFonts w:cs="Arial"/>
                <w:b/>
                <w:bCs/>
                <w:i/>
                <w:sz w:val="20"/>
                <w:szCs w:val="20"/>
              </w:rPr>
              <w:t>Oblast podpory</w:t>
            </w:r>
          </w:p>
        </w:tc>
        <w:tc>
          <w:tcPr>
            <w:tcW w:w="1420" w:type="dxa"/>
            <w:tcBorders>
              <w:top w:val="single" w:sz="8" w:space="0" w:color="auto"/>
              <w:left w:val="nil"/>
              <w:bottom w:val="nil"/>
              <w:right w:val="single" w:sz="4" w:space="0" w:color="auto"/>
            </w:tcBorders>
            <w:shd w:val="clear" w:color="auto" w:fill="A6A6A6" w:themeFill="background1" w:themeFillShade="A6"/>
            <w:noWrap/>
            <w:vAlign w:val="bottom"/>
            <w:hideMark/>
          </w:tcPr>
          <w:p w14:paraId="12E9B9D2" w14:textId="77777777" w:rsidR="007828CA" w:rsidRPr="004A3F1C" w:rsidRDefault="007828CA" w:rsidP="007828CA">
            <w:pPr>
              <w:contextualSpacing/>
              <w:rPr>
                <w:rFonts w:cs="Arial"/>
                <w:b/>
                <w:bCs/>
                <w:i/>
                <w:sz w:val="20"/>
                <w:szCs w:val="20"/>
              </w:rPr>
            </w:pPr>
            <w:r w:rsidRPr="004A3F1C">
              <w:rPr>
                <w:rFonts w:cs="Arial"/>
                <w:b/>
                <w:bCs/>
                <w:i/>
                <w:sz w:val="20"/>
                <w:szCs w:val="20"/>
              </w:rPr>
              <w:t>Číslo výzvy</w:t>
            </w:r>
          </w:p>
        </w:tc>
        <w:tc>
          <w:tcPr>
            <w:tcW w:w="2320" w:type="dxa"/>
            <w:tcBorders>
              <w:top w:val="single" w:sz="8" w:space="0" w:color="auto"/>
              <w:left w:val="nil"/>
              <w:bottom w:val="nil"/>
              <w:right w:val="single" w:sz="8" w:space="0" w:color="auto"/>
            </w:tcBorders>
            <w:shd w:val="clear" w:color="auto" w:fill="A6A6A6" w:themeFill="background1" w:themeFillShade="A6"/>
            <w:noWrap/>
            <w:vAlign w:val="bottom"/>
            <w:hideMark/>
          </w:tcPr>
          <w:p w14:paraId="445DA8F0" w14:textId="77777777" w:rsidR="007828CA" w:rsidRDefault="007828CA" w:rsidP="007828CA">
            <w:pPr>
              <w:contextualSpacing/>
              <w:rPr>
                <w:rFonts w:cs="Arial"/>
                <w:b/>
                <w:bCs/>
                <w:i/>
                <w:sz w:val="20"/>
                <w:szCs w:val="20"/>
              </w:rPr>
            </w:pPr>
            <w:r w:rsidRPr="004A3F1C">
              <w:rPr>
                <w:rFonts w:cs="Arial"/>
                <w:b/>
                <w:bCs/>
                <w:i/>
                <w:sz w:val="20"/>
                <w:szCs w:val="20"/>
              </w:rPr>
              <w:t>Příspěvek EU</w:t>
            </w:r>
          </w:p>
          <w:p w14:paraId="2B8A76DF" w14:textId="3C0A307B" w:rsidR="001C4413" w:rsidRPr="004A3F1C" w:rsidRDefault="001C4413" w:rsidP="007828CA">
            <w:pPr>
              <w:contextualSpacing/>
              <w:rPr>
                <w:rFonts w:cs="Arial"/>
                <w:b/>
                <w:bCs/>
                <w:i/>
                <w:sz w:val="20"/>
                <w:szCs w:val="20"/>
              </w:rPr>
            </w:pPr>
            <w:r>
              <w:rPr>
                <w:rFonts w:cs="Arial"/>
                <w:b/>
                <w:bCs/>
                <w:i/>
                <w:sz w:val="20"/>
                <w:szCs w:val="20"/>
              </w:rPr>
              <w:t>(mil. Kč)</w:t>
            </w:r>
          </w:p>
        </w:tc>
      </w:tr>
      <w:tr w:rsidR="007828CA" w:rsidRPr="007828CA" w14:paraId="429693DC" w14:textId="77777777">
        <w:trPr>
          <w:trHeight w:val="300"/>
        </w:trPr>
        <w:tc>
          <w:tcPr>
            <w:tcW w:w="4460" w:type="dxa"/>
            <w:vMerge w:val="restart"/>
            <w:tcBorders>
              <w:top w:val="nil"/>
              <w:left w:val="single" w:sz="8" w:space="0" w:color="auto"/>
              <w:bottom w:val="single" w:sz="4" w:space="0" w:color="000000"/>
              <w:right w:val="single" w:sz="4" w:space="0" w:color="auto"/>
            </w:tcBorders>
            <w:noWrap/>
            <w:vAlign w:val="center"/>
            <w:hideMark/>
          </w:tcPr>
          <w:p w14:paraId="484B4083" w14:textId="77777777" w:rsidR="007828CA" w:rsidRPr="004A3F1C" w:rsidRDefault="007828CA" w:rsidP="007828CA">
            <w:pPr>
              <w:contextualSpacing/>
              <w:rPr>
                <w:rFonts w:cs="Arial"/>
                <w:i/>
                <w:sz w:val="20"/>
                <w:szCs w:val="20"/>
              </w:rPr>
            </w:pPr>
            <w:r w:rsidRPr="004A3F1C">
              <w:rPr>
                <w:rFonts w:cs="Arial"/>
                <w:i/>
                <w:sz w:val="20"/>
                <w:szCs w:val="20"/>
              </w:rPr>
              <w:t>1.3 - KLIMA – PŘÍRODA</w:t>
            </w:r>
          </w:p>
        </w:tc>
        <w:tc>
          <w:tcPr>
            <w:tcW w:w="1420" w:type="dxa"/>
            <w:tcBorders>
              <w:top w:val="single" w:sz="4" w:space="0" w:color="auto"/>
              <w:left w:val="nil"/>
              <w:bottom w:val="single" w:sz="4" w:space="0" w:color="auto"/>
              <w:right w:val="single" w:sz="4" w:space="0" w:color="auto"/>
            </w:tcBorders>
            <w:noWrap/>
            <w:vAlign w:val="bottom"/>
            <w:hideMark/>
          </w:tcPr>
          <w:p w14:paraId="09F6AB3F" w14:textId="77777777" w:rsidR="007828CA" w:rsidRPr="004A3F1C" w:rsidRDefault="007828CA" w:rsidP="007828CA">
            <w:pPr>
              <w:contextualSpacing/>
              <w:rPr>
                <w:rFonts w:cs="Arial"/>
                <w:i/>
                <w:sz w:val="20"/>
                <w:szCs w:val="20"/>
              </w:rPr>
            </w:pPr>
            <w:r w:rsidRPr="004A3F1C">
              <w:rPr>
                <w:rFonts w:cs="Arial"/>
                <w:i/>
                <w:sz w:val="20"/>
                <w:szCs w:val="20"/>
              </w:rPr>
              <w:t>05_23_032</w:t>
            </w:r>
          </w:p>
        </w:tc>
        <w:tc>
          <w:tcPr>
            <w:tcW w:w="2320" w:type="dxa"/>
            <w:tcBorders>
              <w:top w:val="single" w:sz="4" w:space="0" w:color="auto"/>
              <w:left w:val="nil"/>
              <w:bottom w:val="single" w:sz="4" w:space="0" w:color="auto"/>
              <w:right w:val="single" w:sz="8" w:space="0" w:color="auto"/>
            </w:tcBorders>
            <w:noWrap/>
            <w:vAlign w:val="bottom"/>
            <w:hideMark/>
          </w:tcPr>
          <w:p w14:paraId="57145891" w14:textId="77777777" w:rsidR="007828CA" w:rsidRPr="004A3F1C" w:rsidRDefault="007828CA" w:rsidP="007828CA">
            <w:pPr>
              <w:contextualSpacing/>
              <w:rPr>
                <w:rFonts w:cs="Arial"/>
                <w:i/>
                <w:sz w:val="20"/>
                <w:szCs w:val="20"/>
              </w:rPr>
            </w:pPr>
            <w:r w:rsidRPr="004A3F1C">
              <w:rPr>
                <w:rFonts w:cs="Arial"/>
                <w:i/>
                <w:sz w:val="20"/>
                <w:szCs w:val="20"/>
              </w:rPr>
              <w:t>15,09</w:t>
            </w:r>
          </w:p>
        </w:tc>
      </w:tr>
      <w:tr w:rsidR="007828CA" w:rsidRPr="007828CA" w14:paraId="4BD894A0" w14:textId="77777777">
        <w:trPr>
          <w:trHeight w:val="300"/>
        </w:trPr>
        <w:tc>
          <w:tcPr>
            <w:tcW w:w="0" w:type="auto"/>
            <w:vMerge/>
            <w:tcBorders>
              <w:top w:val="nil"/>
              <w:left w:val="single" w:sz="8" w:space="0" w:color="auto"/>
              <w:bottom w:val="single" w:sz="4" w:space="0" w:color="000000"/>
              <w:right w:val="single" w:sz="4" w:space="0" w:color="auto"/>
            </w:tcBorders>
            <w:vAlign w:val="center"/>
            <w:hideMark/>
          </w:tcPr>
          <w:p w14:paraId="25B328F4" w14:textId="77777777" w:rsidR="007828CA" w:rsidRPr="004A3F1C" w:rsidRDefault="007828CA" w:rsidP="007828CA">
            <w:pPr>
              <w:contextualSpacing/>
              <w:rPr>
                <w:rFonts w:cs="Arial"/>
                <w:i/>
                <w:sz w:val="20"/>
                <w:szCs w:val="20"/>
              </w:rPr>
            </w:pPr>
          </w:p>
        </w:tc>
        <w:tc>
          <w:tcPr>
            <w:tcW w:w="1420" w:type="dxa"/>
            <w:tcBorders>
              <w:top w:val="nil"/>
              <w:left w:val="nil"/>
              <w:bottom w:val="single" w:sz="4" w:space="0" w:color="auto"/>
              <w:right w:val="single" w:sz="4" w:space="0" w:color="auto"/>
            </w:tcBorders>
            <w:noWrap/>
            <w:vAlign w:val="bottom"/>
            <w:hideMark/>
          </w:tcPr>
          <w:p w14:paraId="6536DDCC" w14:textId="77777777" w:rsidR="007828CA" w:rsidRPr="004A3F1C" w:rsidRDefault="007828CA" w:rsidP="007828CA">
            <w:pPr>
              <w:contextualSpacing/>
              <w:rPr>
                <w:rFonts w:cs="Arial"/>
                <w:i/>
                <w:sz w:val="20"/>
                <w:szCs w:val="20"/>
              </w:rPr>
            </w:pPr>
            <w:r w:rsidRPr="004A3F1C">
              <w:rPr>
                <w:rFonts w:cs="Arial"/>
                <w:i/>
                <w:sz w:val="20"/>
                <w:szCs w:val="20"/>
              </w:rPr>
              <w:t>05_23_039</w:t>
            </w:r>
          </w:p>
        </w:tc>
        <w:tc>
          <w:tcPr>
            <w:tcW w:w="2320" w:type="dxa"/>
            <w:tcBorders>
              <w:top w:val="nil"/>
              <w:left w:val="nil"/>
              <w:bottom w:val="single" w:sz="4" w:space="0" w:color="auto"/>
              <w:right w:val="single" w:sz="8" w:space="0" w:color="auto"/>
            </w:tcBorders>
            <w:noWrap/>
            <w:vAlign w:val="bottom"/>
            <w:hideMark/>
          </w:tcPr>
          <w:p w14:paraId="04E7CE0E" w14:textId="77777777" w:rsidR="007828CA" w:rsidRPr="004A3F1C" w:rsidRDefault="007828CA" w:rsidP="007828CA">
            <w:pPr>
              <w:contextualSpacing/>
              <w:rPr>
                <w:rFonts w:cs="Arial"/>
                <w:i/>
                <w:sz w:val="20"/>
                <w:szCs w:val="20"/>
              </w:rPr>
            </w:pPr>
            <w:r w:rsidRPr="004A3F1C">
              <w:rPr>
                <w:rFonts w:cs="Arial"/>
                <w:i/>
                <w:sz w:val="20"/>
                <w:szCs w:val="20"/>
              </w:rPr>
              <w:t>5,58</w:t>
            </w:r>
          </w:p>
        </w:tc>
      </w:tr>
      <w:tr w:rsidR="007828CA" w:rsidRPr="007828CA" w14:paraId="7EBC7BA0" w14:textId="77777777">
        <w:trPr>
          <w:trHeight w:val="300"/>
        </w:trPr>
        <w:tc>
          <w:tcPr>
            <w:tcW w:w="0" w:type="auto"/>
            <w:vMerge/>
            <w:tcBorders>
              <w:top w:val="nil"/>
              <w:left w:val="single" w:sz="8" w:space="0" w:color="auto"/>
              <w:bottom w:val="single" w:sz="4" w:space="0" w:color="000000"/>
              <w:right w:val="single" w:sz="4" w:space="0" w:color="auto"/>
            </w:tcBorders>
            <w:vAlign w:val="center"/>
            <w:hideMark/>
          </w:tcPr>
          <w:p w14:paraId="4ECA980A" w14:textId="77777777" w:rsidR="007828CA" w:rsidRPr="004A3F1C" w:rsidRDefault="007828CA" w:rsidP="007828CA">
            <w:pPr>
              <w:contextualSpacing/>
              <w:rPr>
                <w:rFonts w:cs="Arial"/>
                <w:i/>
                <w:sz w:val="20"/>
                <w:szCs w:val="20"/>
              </w:rPr>
            </w:pPr>
          </w:p>
        </w:tc>
        <w:tc>
          <w:tcPr>
            <w:tcW w:w="1420" w:type="dxa"/>
            <w:tcBorders>
              <w:top w:val="nil"/>
              <w:left w:val="nil"/>
              <w:bottom w:val="single" w:sz="4" w:space="0" w:color="auto"/>
              <w:right w:val="single" w:sz="4" w:space="0" w:color="auto"/>
            </w:tcBorders>
            <w:noWrap/>
            <w:vAlign w:val="bottom"/>
            <w:hideMark/>
          </w:tcPr>
          <w:p w14:paraId="4D379046" w14:textId="77777777" w:rsidR="007828CA" w:rsidRPr="004A3F1C" w:rsidRDefault="007828CA" w:rsidP="007828CA">
            <w:pPr>
              <w:contextualSpacing/>
              <w:rPr>
                <w:rFonts w:cs="Arial"/>
                <w:i/>
                <w:sz w:val="20"/>
                <w:szCs w:val="20"/>
              </w:rPr>
            </w:pPr>
            <w:r w:rsidRPr="004A3F1C">
              <w:rPr>
                <w:rFonts w:cs="Arial"/>
                <w:i/>
                <w:sz w:val="20"/>
                <w:szCs w:val="20"/>
              </w:rPr>
              <w:t>05_23_052</w:t>
            </w:r>
          </w:p>
        </w:tc>
        <w:tc>
          <w:tcPr>
            <w:tcW w:w="2320" w:type="dxa"/>
            <w:tcBorders>
              <w:top w:val="nil"/>
              <w:left w:val="nil"/>
              <w:bottom w:val="single" w:sz="4" w:space="0" w:color="auto"/>
              <w:right w:val="single" w:sz="8" w:space="0" w:color="auto"/>
            </w:tcBorders>
            <w:noWrap/>
            <w:vAlign w:val="bottom"/>
            <w:hideMark/>
          </w:tcPr>
          <w:p w14:paraId="67A6A2B2" w14:textId="77777777" w:rsidR="007828CA" w:rsidRPr="004A3F1C" w:rsidRDefault="007828CA" w:rsidP="007828CA">
            <w:pPr>
              <w:contextualSpacing/>
              <w:rPr>
                <w:rFonts w:cs="Arial"/>
                <w:i/>
                <w:sz w:val="20"/>
                <w:szCs w:val="20"/>
              </w:rPr>
            </w:pPr>
            <w:r w:rsidRPr="004A3F1C">
              <w:rPr>
                <w:rFonts w:cs="Arial"/>
                <w:i/>
                <w:sz w:val="20"/>
                <w:szCs w:val="20"/>
              </w:rPr>
              <w:t>0,56</w:t>
            </w:r>
          </w:p>
        </w:tc>
      </w:tr>
      <w:tr w:rsidR="007828CA" w:rsidRPr="007828CA" w14:paraId="3B7C4F86" w14:textId="77777777" w:rsidTr="00331623">
        <w:trPr>
          <w:trHeight w:val="315"/>
        </w:trPr>
        <w:tc>
          <w:tcPr>
            <w:tcW w:w="5880" w:type="dxa"/>
            <w:gridSpan w:val="2"/>
            <w:tcBorders>
              <w:top w:val="single" w:sz="4" w:space="0" w:color="auto"/>
              <w:left w:val="single" w:sz="8" w:space="0" w:color="auto"/>
              <w:bottom w:val="single" w:sz="8" w:space="0" w:color="auto"/>
              <w:right w:val="single" w:sz="4" w:space="0" w:color="000000"/>
            </w:tcBorders>
            <w:shd w:val="clear" w:color="auto" w:fill="A6A6A6" w:themeFill="background1" w:themeFillShade="A6"/>
            <w:noWrap/>
            <w:vAlign w:val="bottom"/>
            <w:hideMark/>
          </w:tcPr>
          <w:p w14:paraId="1FDF97B9" w14:textId="77777777" w:rsidR="007828CA" w:rsidRPr="004A3F1C" w:rsidRDefault="007828CA" w:rsidP="007828CA">
            <w:pPr>
              <w:contextualSpacing/>
              <w:rPr>
                <w:rFonts w:cs="Arial"/>
                <w:b/>
                <w:bCs/>
                <w:i/>
                <w:sz w:val="20"/>
                <w:szCs w:val="20"/>
              </w:rPr>
            </w:pPr>
            <w:r w:rsidRPr="004A3F1C">
              <w:rPr>
                <w:rFonts w:cs="Arial"/>
                <w:b/>
                <w:bCs/>
                <w:i/>
                <w:sz w:val="20"/>
                <w:szCs w:val="20"/>
              </w:rPr>
              <w:t>SC 1.3 (1.3.1) celkem</w:t>
            </w:r>
          </w:p>
        </w:tc>
        <w:tc>
          <w:tcPr>
            <w:tcW w:w="2320" w:type="dxa"/>
            <w:tcBorders>
              <w:top w:val="nil"/>
              <w:left w:val="nil"/>
              <w:bottom w:val="single" w:sz="8" w:space="0" w:color="auto"/>
              <w:right w:val="single" w:sz="8" w:space="0" w:color="auto"/>
            </w:tcBorders>
            <w:shd w:val="clear" w:color="auto" w:fill="A6A6A6" w:themeFill="background1" w:themeFillShade="A6"/>
            <w:noWrap/>
            <w:vAlign w:val="bottom"/>
            <w:hideMark/>
          </w:tcPr>
          <w:p w14:paraId="5FCC4B94" w14:textId="77777777" w:rsidR="007828CA" w:rsidRPr="004A3F1C" w:rsidRDefault="007828CA" w:rsidP="007828CA">
            <w:pPr>
              <w:contextualSpacing/>
              <w:rPr>
                <w:rFonts w:cs="Arial"/>
                <w:b/>
                <w:bCs/>
                <w:i/>
                <w:sz w:val="20"/>
                <w:szCs w:val="20"/>
              </w:rPr>
            </w:pPr>
            <w:r w:rsidRPr="004A3F1C">
              <w:rPr>
                <w:rFonts w:cs="Arial"/>
                <w:b/>
                <w:bCs/>
                <w:i/>
                <w:sz w:val="20"/>
                <w:szCs w:val="20"/>
              </w:rPr>
              <w:t>21,23</w:t>
            </w:r>
          </w:p>
        </w:tc>
      </w:tr>
      <w:tr w:rsidR="007828CA" w:rsidRPr="007828CA" w14:paraId="6ED66D26" w14:textId="77777777">
        <w:trPr>
          <w:trHeight w:val="300"/>
        </w:trPr>
        <w:tc>
          <w:tcPr>
            <w:tcW w:w="4460" w:type="dxa"/>
            <w:vMerge w:val="restart"/>
            <w:tcBorders>
              <w:top w:val="nil"/>
              <w:left w:val="single" w:sz="8" w:space="0" w:color="auto"/>
              <w:bottom w:val="single" w:sz="4" w:space="0" w:color="000000"/>
              <w:right w:val="nil"/>
            </w:tcBorders>
            <w:noWrap/>
            <w:vAlign w:val="center"/>
            <w:hideMark/>
          </w:tcPr>
          <w:p w14:paraId="2B038A98" w14:textId="77777777" w:rsidR="007828CA" w:rsidRPr="004A3F1C" w:rsidRDefault="007828CA" w:rsidP="007828CA">
            <w:pPr>
              <w:contextualSpacing/>
              <w:rPr>
                <w:rFonts w:cs="Arial"/>
                <w:i/>
                <w:sz w:val="20"/>
                <w:szCs w:val="20"/>
              </w:rPr>
            </w:pPr>
            <w:r w:rsidRPr="004A3F1C">
              <w:rPr>
                <w:rFonts w:cs="Arial"/>
                <w:i/>
                <w:sz w:val="20"/>
                <w:szCs w:val="20"/>
              </w:rPr>
              <w:t>1.3 - Srážkové vody a protipovodňová opatření</w:t>
            </w:r>
          </w:p>
        </w:tc>
        <w:tc>
          <w:tcPr>
            <w:tcW w:w="1420" w:type="dxa"/>
            <w:tcBorders>
              <w:top w:val="single" w:sz="4" w:space="0" w:color="auto"/>
              <w:left w:val="single" w:sz="4" w:space="0" w:color="auto"/>
              <w:bottom w:val="single" w:sz="4" w:space="0" w:color="auto"/>
              <w:right w:val="single" w:sz="4" w:space="0" w:color="auto"/>
            </w:tcBorders>
            <w:noWrap/>
            <w:vAlign w:val="bottom"/>
            <w:hideMark/>
          </w:tcPr>
          <w:p w14:paraId="41E8A490" w14:textId="77777777" w:rsidR="007828CA" w:rsidRPr="004A3F1C" w:rsidRDefault="007828CA" w:rsidP="007828CA">
            <w:pPr>
              <w:contextualSpacing/>
              <w:rPr>
                <w:rFonts w:cs="Arial"/>
                <w:i/>
                <w:sz w:val="20"/>
                <w:szCs w:val="20"/>
              </w:rPr>
            </w:pPr>
            <w:r w:rsidRPr="004A3F1C">
              <w:rPr>
                <w:rFonts w:cs="Arial"/>
                <w:i/>
                <w:sz w:val="20"/>
                <w:szCs w:val="20"/>
              </w:rPr>
              <w:t>05_22_019</w:t>
            </w:r>
          </w:p>
        </w:tc>
        <w:tc>
          <w:tcPr>
            <w:tcW w:w="2320" w:type="dxa"/>
            <w:tcBorders>
              <w:top w:val="single" w:sz="4" w:space="0" w:color="auto"/>
              <w:left w:val="nil"/>
              <w:bottom w:val="single" w:sz="4" w:space="0" w:color="auto"/>
              <w:right w:val="single" w:sz="4" w:space="0" w:color="auto"/>
            </w:tcBorders>
            <w:noWrap/>
            <w:vAlign w:val="bottom"/>
            <w:hideMark/>
          </w:tcPr>
          <w:p w14:paraId="14FDFCC2" w14:textId="77777777" w:rsidR="007828CA" w:rsidRPr="004A3F1C" w:rsidRDefault="007828CA" w:rsidP="007828CA">
            <w:pPr>
              <w:contextualSpacing/>
              <w:rPr>
                <w:rFonts w:cs="Arial"/>
                <w:i/>
                <w:sz w:val="20"/>
                <w:szCs w:val="20"/>
              </w:rPr>
            </w:pPr>
            <w:r w:rsidRPr="004A3F1C">
              <w:rPr>
                <w:rFonts w:cs="Arial"/>
                <w:i/>
                <w:sz w:val="20"/>
                <w:szCs w:val="20"/>
              </w:rPr>
              <w:t>468,43</w:t>
            </w:r>
          </w:p>
        </w:tc>
      </w:tr>
      <w:tr w:rsidR="007828CA" w:rsidRPr="007828CA" w14:paraId="451E2FBD" w14:textId="77777777">
        <w:trPr>
          <w:trHeight w:val="300"/>
        </w:trPr>
        <w:tc>
          <w:tcPr>
            <w:tcW w:w="0" w:type="auto"/>
            <w:vMerge/>
            <w:tcBorders>
              <w:top w:val="nil"/>
              <w:left w:val="single" w:sz="8" w:space="0" w:color="auto"/>
              <w:bottom w:val="single" w:sz="4" w:space="0" w:color="000000"/>
              <w:right w:val="nil"/>
            </w:tcBorders>
            <w:vAlign w:val="center"/>
            <w:hideMark/>
          </w:tcPr>
          <w:p w14:paraId="3326405E" w14:textId="77777777" w:rsidR="007828CA" w:rsidRPr="004A3F1C" w:rsidRDefault="007828CA" w:rsidP="007828CA">
            <w:pPr>
              <w:contextualSpacing/>
              <w:rPr>
                <w:rFonts w:cs="Arial"/>
                <w:i/>
                <w:sz w:val="20"/>
                <w:szCs w:val="20"/>
              </w:rPr>
            </w:pPr>
          </w:p>
        </w:tc>
        <w:tc>
          <w:tcPr>
            <w:tcW w:w="1420" w:type="dxa"/>
            <w:tcBorders>
              <w:top w:val="nil"/>
              <w:left w:val="single" w:sz="4" w:space="0" w:color="auto"/>
              <w:bottom w:val="single" w:sz="4" w:space="0" w:color="auto"/>
              <w:right w:val="single" w:sz="4" w:space="0" w:color="auto"/>
            </w:tcBorders>
            <w:noWrap/>
            <w:vAlign w:val="bottom"/>
            <w:hideMark/>
          </w:tcPr>
          <w:p w14:paraId="5D802FD6" w14:textId="77777777" w:rsidR="007828CA" w:rsidRPr="004A3F1C" w:rsidRDefault="007828CA" w:rsidP="007828CA">
            <w:pPr>
              <w:contextualSpacing/>
              <w:rPr>
                <w:rFonts w:cs="Arial"/>
                <w:i/>
                <w:sz w:val="20"/>
                <w:szCs w:val="20"/>
              </w:rPr>
            </w:pPr>
            <w:r w:rsidRPr="004A3F1C">
              <w:rPr>
                <w:rFonts w:cs="Arial"/>
                <w:i/>
                <w:sz w:val="20"/>
                <w:szCs w:val="20"/>
              </w:rPr>
              <w:t>05_23_048</w:t>
            </w:r>
          </w:p>
        </w:tc>
        <w:tc>
          <w:tcPr>
            <w:tcW w:w="2320" w:type="dxa"/>
            <w:tcBorders>
              <w:top w:val="nil"/>
              <w:left w:val="nil"/>
              <w:bottom w:val="single" w:sz="4" w:space="0" w:color="auto"/>
              <w:right w:val="single" w:sz="4" w:space="0" w:color="auto"/>
            </w:tcBorders>
            <w:noWrap/>
            <w:vAlign w:val="bottom"/>
            <w:hideMark/>
          </w:tcPr>
          <w:p w14:paraId="19B80ED8" w14:textId="77777777" w:rsidR="007828CA" w:rsidRPr="004A3F1C" w:rsidRDefault="007828CA" w:rsidP="007828CA">
            <w:pPr>
              <w:contextualSpacing/>
              <w:rPr>
                <w:rFonts w:cs="Arial"/>
                <w:i/>
                <w:sz w:val="20"/>
                <w:szCs w:val="20"/>
              </w:rPr>
            </w:pPr>
            <w:r w:rsidRPr="004A3F1C">
              <w:rPr>
                <w:rFonts w:cs="Arial"/>
                <w:i/>
                <w:sz w:val="20"/>
                <w:szCs w:val="20"/>
              </w:rPr>
              <w:t>31,29</w:t>
            </w:r>
          </w:p>
        </w:tc>
      </w:tr>
      <w:tr w:rsidR="007828CA" w:rsidRPr="007828CA" w14:paraId="089CC7A6" w14:textId="77777777">
        <w:trPr>
          <w:trHeight w:val="300"/>
        </w:trPr>
        <w:tc>
          <w:tcPr>
            <w:tcW w:w="0" w:type="auto"/>
            <w:vMerge/>
            <w:tcBorders>
              <w:top w:val="nil"/>
              <w:left w:val="single" w:sz="8" w:space="0" w:color="auto"/>
              <w:bottom w:val="single" w:sz="4" w:space="0" w:color="000000"/>
              <w:right w:val="nil"/>
            </w:tcBorders>
            <w:vAlign w:val="center"/>
            <w:hideMark/>
          </w:tcPr>
          <w:p w14:paraId="321A3323" w14:textId="77777777" w:rsidR="007828CA" w:rsidRPr="004A3F1C" w:rsidRDefault="007828CA" w:rsidP="007828CA">
            <w:pPr>
              <w:contextualSpacing/>
              <w:rPr>
                <w:rFonts w:cs="Arial"/>
                <w:i/>
                <w:sz w:val="20"/>
                <w:szCs w:val="20"/>
              </w:rPr>
            </w:pPr>
          </w:p>
        </w:tc>
        <w:tc>
          <w:tcPr>
            <w:tcW w:w="1420" w:type="dxa"/>
            <w:tcBorders>
              <w:top w:val="nil"/>
              <w:left w:val="single" w:sz="4" w:space="0" w:color="auto"/>
              <w:bottom w:val="single" w:sz="4" w:space="0" w:color="auto"/>
              <w:right w:val="single" w:sz="4" w:space="0" w:color="auto"/>
            </w:tcBorders>
            <w:noWrap/>
            <w:vAlign w:val="bottom"/>
            <w:hideMark/>
          </w:tcPr>
          <w:p w14:paraId="32289883" w14:textId="77777777" w:rsidR="007828CA" w:rsidRPr="004A3F1C" w:rsidRDefault="007828CA" w:rsidP="007828CA">
            <w:pPr>
              <w:contextualSpacing/>
              <w:rPr>
                <w:rFonts w:cs="Arial"/>
                <w:i/>
                <w:sz w:val="20"/>
                <w:szCs w:val="20"/>
              </w:rPr>
            </w:pPr>
            <w:r w:rsidRPr="004A3F1C">
              <w:rPr>
                <w:rFonts w:cs="Arial"/>
                <w:i/>
                <w:sz w:val="20"/>
                <w:szCs w:val="20"/>
              </w:rPr>
              <w:t>05_23_049</w:t>
            </w:r>
          </w:p>
        </w:tc>
        <w:tc>
          <w:tcPr>
            <w:tcW w:w="2320" w:type="dxa"/>
            <w:tcBorders>
              <w:top w:val="nil"/>
              <w:left w:val="nil"/>
              <w:bottom w:val="single" w:sz="4" w:space="0" w:color="auto"/>
              <w:right w:val="single" w:sz="4" w:space="0" w:color="auto"/>
            </w:tcBorders>
            <w:noWrap/>
            <w:vAlign w:val="bottom"/>
            <w:hideMark/>
          </w:tcPr>
          <w:p w14:paraId="5A6FA86A" w14:textId="77777777" w:rsidR="007828CA" w:rsidRPr="004A3F1C" w:rsidRDefault="007828CA" w:rsidP="007828CA">
            <w:pPr>
              <w:contextualSpacing/>
              <w:rPr>
                <w:rFonts w:cs="Arial"/>
                <w:i/>
                <w:sz w:val="20"/>
                <w:szCs w:val="20"/>
              </w:rPr>
            </w:pPr>
            <w:r w:rsidRPr="004A3F1C">
              <w:rPr>
                <w:rFonts w:cs="Arial"/>
                <w:i/>
                <w:sz w:val="20"/>
                <w:szCs w:val="20"/>
              </w:rPr>
              <w:t>37,34</w:t>
            </w:r>
          </w:p>
        </w:tc>
      </w:tr>
      <w:tr w:rsidR="007828CA" w:rsidRPr="007828CA" w14:paraId="0D1B6244" w14:textId="77777777" w:rsidTr="00331623">
        <w:trPr>
          <w:trHeight w:val="315"/>
        </w:trPr>
        <w:tc>
          <w:tcPr>
            <w:tcW w:w="5880" w:type="dxa"/>
            <w:gridSpan w:val="2"/>
            <w:tcBorders>
              <w:top w:val="single" w:sz="4" w:space="0" w:color="auto"/>
              <w:left w:val="single" w:sz="8" w:space="0" w:color="auto"/>
              <w:bottom w:val="single" w:sz="8" w:space="0" w:color="auto"/>
              <w:right w:val="single" w:sz="4" w:space="0" w:color="000000"/>
            </w:tcBorders>
            <w:shd w:val="clear" w:color="auto" w:fill="A6A6A6" w:themeFill="background1" w:themeFillShade="A6"/>
            <w:noWrap/>
            <w:vAlign w:val="bottom"/>
            <w:hideMark/>
          </w:tcPr>
          <w:p w14:paraId="01A3D651" w14:textId="77777777" w:rsidR="007828CA" w:rsidRPr="004A3F1C" w:rsidRDefault="007828CA" w:rsidP="007828CA">
            <w:pPr>
              <w:contextualSpacing/>
              <w:rPr>
                <w:rFonts w:cs="Arial"/>
                <w:b/>
                <w:bCs/>
                <w:i/>
                <w:sz w:val="20"/>
                <w:szCs w:val="20"/>
              </w:rPr>
            </w:pPr>
            <w:r w:rsidRPr="004A3F1C">
              <w:rPr>
                <w:rFonts w:cs="Arial"/>
                <w:b/>
                <w:bCs/>
                <w:i/>
                <w:sz w:val="20"/>
                <w:szCs w:val="20"/>
              </w:rPr>
              <w:t>SC 1.3 (1.3.3, 1.3.4, 1.3.5, 1.3.7) celkem</w:t>
            </w:r>
          </w:p>
        </w:tc>
        <w:tc>
          <w:tcPr>
            <w:tcW w:w="2320" w:type="dxa"/>
            <w:tcBorders>
              <w:top w:val="nil"/>
              <w:left w:val="nil"/>
              <w:bottom w:val="single" w:sz="8" w:space="0" w:color="auto"/>
              <w:right w:val="single" w:sz="8" w:space="0" w:color="auto"/>
            </w:tcBorders>
            <w:shd w:val="clear" w:color="auto" w:fill="A6A6A6" w:themeFill="background1" w:themeFillShade="A6"/>
            <w:noWrap/>
            <w:vAlign w:val="bottom"/>
            <w:hideMark/>
          </w:tcPr>
          <w:p w14:paraId="05619EF2" w14:textId="77777777" w:rsidR="007828CA" w:rsidRPr="004A3F1C" w:rsidRDefault="007828CA" w:rsidP="007828CA">
            <w:pPr>
              <w:contextualSpacing/>
              <w:rPr>
                <w:rFonts w:cs="Arial"/>
                <w:b/>
                <w:bCs/>
                <w:i/>
                <w:sz w:val="20"/>
                <w:szCs w:val="20"/>
              </w:rPr>
            </w:pPr>
            <w:r w:rsidRPr="004A3F1C">
              <w:rPr>
                <w:rFonts w:cs="Arial"/>
                <w:b/>
                <w:bCs/>
                <w:i/>
                <w:sz w:val="20"/>
                <w:szCs w:val="20"/>
              </w:rPr>
              <w:t>537,14</w:t>
            </w:r>
          </w:p>
        </w:tc>
      </w:tr>
      <w:tr w:rsidR="007828CA" w:rsidRPr="007828CA" w14:paraId="1C8AC8F8" w14:textId="77777777">
        <w:trPr>
          <w:trHeight w:val="300"/>
        </w:trPr>
        <w:tc>
          <w:tcPr>
            <w:tcW w:w="4460" w:type="dxa"/>
            <w:vMerge w:val="restart"/>
            <w:tcBorders>
              <w:top w:val="nil"/>
              <w:left w:val="single" w:sz="8" w:space="0" w:color="auto"/>
              <w:bottom w:val="single" w:sz="4" w:space="0" w:color="000000"/>
              <w:right w:val="single" w:sz="4" w:space="0" w:color="auto"/>
            </w:tcBorders>
            <w:noWrap/>
            <w:vAlign w:val="center"/>
            <w:hideMark/>
          </w:tcPr>
          <w:p w14:paraId="6E957A17" w14:textId="77777777" w:rsidR="007828CA" w:rsidRPr="004A3F1C" w:rsidRDefault="007828CA" w:rsidP="007828CA">
            <w:pPr>
              <w:contextualSpacing/>
              <w:rPr>
                <w:rFonts w:cs="Arial"/>
                <w:i/>
                <w:sz w:val="20"/>
                <w:szCs w:val="20"/>
              </w:rPr>
            </w:pPr>
            <w:r w:rsidRPr="004A3F1C">
              <w:rPr>
                <w:rFonts w:cs="Arial"/>
                <w:i/>
                <w:sz w:val="20"/>
                <w:szCs w:val="20"/>
              </w:rPr>
              <w:t>1.3 - Klima-příroda (1.3.11)</w:t>
            </w:r>
          </w:p>
        </w:tc>
        <w:tc>
          <w:tcPr>
            <w:tcW w:w="1420" w:type="dxa"/>
            <w:tcBorders>
              <w:top w:val="single" w:sz="4" w:space="0" w:color="auto"/>
              <w:left w:val="nil"/>
              <w:bottom w:val="single" w:sz="4" w:space="0" w:color="auto"/>
              <w:right w:val="single" w:sz="4" w:space="0" w:color="auto"/>
            </w:tcBorders>
            <w:noWrap/>
            <w:vAlign w:val="bottom"/>
            <w:hideMark/>
          </w:tcPr>
          <w:p w14:paraId="7779A571" w14:textId="77777777" w:rsidR="007828CA" w:rsidRPr="004A3F1C" w:rsidRDefault="007828CA" w:rsidP="007828CA">
            <w:pPr>
              <w:contextualSpacing/>
              <w:rPr>
                <w:rFonts w:cs="Arial"/>
                <w:i/>
                <w:sz w:val="20"/>
                <w:szCs w:val="20"/>
              </w:rPr>
            </w:pPr>
            <w:r w:rsidRPr="004A3F1C">
              <w:rPr>
                <w:rFonts w:cs="Arial"/>
                <w:i/>
                <w:sz w:val="20"/>
                <w:szCs w:val="20"/>
              </w:rPr>
              <w:t>05_23_046</w:t>
            </w:r>
          </w:p>
        </w:tc>
        <w:tc>
          <w:tcPr>
            <w:tcW w:w="2320" w:type="dxa"/>
            <w:tcBorders>
              <w:top w:val="single" w:sz="4" w:space="0" w:color="auto"/>
              <w:left w:val="nil"/>
              <w:bottom w:val="single" w:sz="4" w:space="0" w:color="auto"/>
              <w:right w:val="single" w:sz="4" w:space="0" w:color="auto"/>
            </w:tcBorders>
            <w:noWrap/>
            <w:vAlign w:val="bottom"/>
            <w:hideMark/>
          </w:tcPr>
          <w:p w14:paraId="10CCD16C" w14:textId="77777777" w:rsidR="007828CA" w:rsidRPr="004A3F1C" w:rsidRDefault="007828CA" w:rsidP="007828CA">
            <w:pPr>
              <w:contextualSpacing/>
              <w:rPr>
                <w:rFonts w:cs="Arial"/>
                <w:i/>
                <w:sz w:val="20"/>
                <w:szCs w:val="20"/>
              </w:rPr>
            </w:pPr>
            <w:r w:rsidRPr="004A3F1C">
              <w:rPr>
                <w:rFonts w:cs="Arial"/>
                <w:i/>
                <w:sz w:val="20"/>
                <w:szCs w:val="20"/>
              </w:rPr>
              <w:t>70,22</w:t>
            </w:r>
          </w:p>
        </w:tc>
      </w:tr>
      <w:tr w:rsidR="007828CA" w:rsidRPr="007828CA" w14:paraId="546E6539" w14:textId="77777777">
        <w:trPr>
          <w:trHeight w:val="300"/>
        </w:trPr>
        <w:tc>
          <w:tcPr>
            <w:tcW w:w="0" w:type="auto"/>
            <w:vMerge/>
            <w:tcBorders>
              <w:top w:val="nil"/>
              <w:left w:val="single" w:sz="8" w:space="0" w:color="auto"/>
              <w:bottom w:val="single" w:sz="4" w:space="0" w:color="000000"/>
              <w:right w:val="single" w:sz="4" w:space="0" w:color="auto"/>
            </w:tcBorders>
            <w:vAlign w:val="center"/>
            <w:hideMark/>
          </w:tcPr>
          <w:p w14:paraId="134C966E" w14:textId="77777777" w:rsidR="007828CA" w:rsidRPr="004A3F1C" w:rsidRDefault="007828CA" w:rsidP="007828CA">
            <w:pPr>
              <w:contextualSpacing/>
              <w:rPr>
                <w:rFonts w:cs="Arial"/>
                <w:i/>
                <w:sz w:val="20"/>
                <w:szCs w:val="20"/>
              </w:rPr>
            </w:pPr>
          </w:p>
        </w:tc>
        <w:tc>
          <w:tcPr>
            <w:tcW w:w="1420" w:type="dxa"/>
            <w:tcBorders>
              <w:top w:val="nil"/>
              <w:left w:val="nil"/>
              <w:bottom w:val="single" w:sz="4" w:space="0" w:color="auto"/>
              <w:right w:val="single" w:sz="4" w:space="0" w:color="auto"/>
            </w:tcBorders>
            <w:noWrap/>
            <w:vAlign w:val="bottom"/>
            <w:hideMark/>
          </w:tcPr>
          <w:p w14:paraId="7C33C69C" w14:textId="77777777" w:rsidR="007828CA" w:rsidRPr="004A3F1C" w:rsidRDefault="007828CA" w:rsidP="007828CA">
            <w:pPr>
              <w:contextualSpacing/>
              <w:rPr>
                <w:rFonts w:cs="Arial"/>
                <w:i/>
                <w:sz w:val="20"/>
                <w:szCs w:val="20"/>
              </w:rPr>
            </w:pPr>
            <w:r w:rsidRPr="004A3F1C">
              <w:rPr>
                <w:rFonts w:cs="Arial"/>
                <w:i/>
                <w:sz w:val="20"/>
                <w:szCs w:val="20"/>
              </w:rPr>
              <w:t>05_23_047</w:t>
            </w:r>
          </w:p>
        </w:tc>
        <w:tc>
          <w:tcPr>
            <w:tcW w:w="2320" w:type="dxa"/>
            <w:tcBorders>
              <w:top w:val="nil"/>
              <w:left w:val="nil"/>
              <w:bottom w:val="single" w:sz="4" w:space="0" w:color="auto"/>
              <w:right w:val="single" w:sz="4" w:space="0" w:color="auto"/>
            </w:tcBorders>
            <w:noWrap/>
            <w:vAlign w:val="bottom"/>
            <w:hideMark/>
          </w:tcPr>
          <w:p w14:paraId="695747E7" w14:textId="77777777" w:rsidR="007828CA" w:rsidRPr="004A3F1C" w:rsidRDefault="007828CA" w:rsidP="007828CA">
            <w:pPr>
              <w:contextualSpacing/>
              <w:rPr>
                <w:rFonts w:cs="Arial"/>
                <w:i/>
                <w:sz w:val="20"/>
                <w:szCs w:val="20"/>
              </w:rPr>
            </w:pPr>
            <w:r w:rsidRPr="004A3F1C">
              <w:rPr>
                <w:rFonts w:cs="Arial"/>
                <w:i/>
                <w:sz w:val="20"/>
                <w:szCs w:val="20"/>
              </w:rPr>
              <w:t>99,89</w:t>
            </w:r>
          </w:p>
        </w:tc>
      </w:tr>
      <w:tr w:rsidR="007828CA" w:rsidRPr="007828CA" w14:paraId="2B8236AA" w14:textId="77777777" w:rsidTr="00331623">
        <w:trPr>
          <w:trHeight w:val="315"/>
        </w:trPr>
        <w:tc>
          <w:tcPr>
            <w:tcW w:w="5880" w:type="dxa"/>
            <w:gridSpan w:val="2"/>
            <w:tcBorders>
              <w:top w:val="single" w:sz="4" w:space="0" w:color="auto"/>
              <w:left w:val="single" w:sz="8" w:space="0" w:color="auto"/>
              <w:bottom w:val="single" w:sz="8" w:space="0" w:color="auto"/>
              <w:right w:val="single" w:sz="4" w:space="0" w:color="000000"/>
            </w:tcBorders>
            <w:shd w:val="clear" w:color="auto" w:fill="A6A6A6" w:themeFill="background1" w:themeFillShade="A6"/>
            <w:noWrap/>
            <w:vAlign w:val="bottom"/>
            <w:hideMark/>
          </w:tcPr>
          <w:p w14:paraId="2A2E22A9" w14:textId="77777777" w:rsidR="007828CA" w:rsidRPr="004A3F1C" w:rsidRDefault="007828CA" w:rsidP="007828CA">
            <w:pPr>
              <w:contextualSpacing/>
              <w:rPr>
                <w:rFonts w:cs="Arial"/>
                <w:b/>
                <w:bCs/>
                <w:i/>
                <w:sz w:val="20"/>
                <w:szCs w:val="20"/>
              </w:rPr>
            </w:pPr>
            <w:r w:rsidRPr="004A3F1C">
              <w:rPr>
                <w:rFonts w:cs="Arial"/>
                <w:b/>
                <w:bCs/>
                <w:i/>
                <w:sz w:val="20"/>
                <w:szCs w:val="20"/>
              </w:rPr>
              <w:t>1.3 - Klima-příroda (1.3.11)</w:t>
            </w:r>
          </w:p>
        </w:tc>
        <w:tc>
          <w:tcPr>
            <w:tcW w:w="2320" w:type="dxa"/>
            <w:tcBorders>
              <w:top w:val="nil"/>
              <w:left w:val="nil"/>
              <w:bottom w:val="single" w:sz="8" w:space="0" w:color="auto"/>
              <w:right w:val="single" w:sz="8" w:space="0" w:color="auto"/>
            </w:tcBorders>
            <w:shd w:val="clear" w:color="auto" w:fill="A6A6A6" w:themeFill="background1" w:themeFillShade="A6"/>
            <w:noWrap/>
            <w:vAlign w:val="bottom"/>
            <w:hideMark/>
          </w:tcPr>
          <w:p w14:paraId="46F476E6" w14:textId="77777777" w:rsidR="007828CA" w:rsidRPr="004A3F1C" w:rsidRDefault="007828CA" w:rsidP="007828CA">
            <w:pPr>
              <w:contextualSpacing/>
              <w:rPr>
                <w:rFonts w:cs="Arial"/>
                <w:b/>
                <w:bCs/>
                <w:i/>
                <w:sz w:val="20"/>
                <w:szCs w:val="20"/>
              </w:rPr>
            </w:pPr>
            <w:r w:rsidRPr="004A3F1C">
              <w:rPr>
                <w:rFonts w:cs="Arial"/>
                <w:b/>
                <w:bCs/>
                <w:i/>
                <w:sz w:val="20"/>
                <w:szCs w:val="20"/>
              </w:rPr>
              <w:t>170,11</w:t>
            </w:r>
          </w:p>
        </w:tc>
      </w:tr>
      <w:tr w:rsidR="007828CA" w:rsidRPr="007828CA" w14:paraId="20C03DF3" w14:textId="77777777">
        <w:trPr>
          <w:trHeight w:val="300"/>
        </w:trPr>
        <w:tc>
          <w:tcPr>
            <w:tcW w:w="4460" w:type="dxa"/>
            <w:vMerge w:val="restart"/>
            <w:tcBorders>
              <w:top w:val="nil"/>
              <w:left w:val="single" w:sz="8" w:space="0" w:color="auto"/>
              <w:bottom w:val="single" w:sz="4" w:space="0" w:color="000000"/>
              <w:right w:val="single" w:sz="4" w:space="0" w:color="auto"/>
            </w:tcBorders>
            <w:noWrap/>
            <w:vAlign w:val="center"/>
            <w:hideMark/>
          </w:tcPr>
          <w:p w14:paraId="3D77DAD2" w14:textId="77777777" w:rsidR="007828CA" w:rsidRPr="004A3F1C" w:rsidRDefault="007828CA" w:rsidP="007828CA">
            <w:pPr>
              <w:contextualSpacing/>
              <w:rPr>
                <w:rFonts w:cs="Arial"/>
                <w:i/>
                <w:sz w:val="20"/>
                <w:szCs w:val="20"/>
              </w:rPr>
            </w:pPr>
            <w:r w:rsidRPr="004A3F1C">
              <w:rPr>
                <w:rFonts w:cs="Arial"/>
                <w:i/>
                <w:sz w:val="20"/>
                <w:szCs w:val="20"/>
              </w:rPr>
              <w:t>1.4 - Odpadní vody</w:t>
            </w:r>
          </w:p>
        </w:tc>
        <w:tc>
          <w:tcPr>
            <w:tcW w:w="1420" w:type="dxa"/>
            <w:tcBorders>
              <w:top w:val="nil"/>
              <w:left w:val="nil"/>
              <w:bottom w:val="single" w:sz="4" w:space="0" w:color="auto"/>
              <w:right w:val="single" w:sz="4" w:space="0" w:color="auto"/>
            </w:tcBorders>
            <w:noWrap/>
            <w:vAlign w:val="bottom"/>
            <w:hideMark/>
          </w:tcPr>
          <w:p w14:paraId="3A127392" w14:textId="77777777" w:rsidR="007828CA" w:rsidRPr="004A3F1C" w:rsidRDefault="007828CA" w:rsidP="007828CA">
            <w:pPr>
              <w:contextualSpacing/>
              <w:rPr>
                <w:rFonts w:cs="Arial"/>
                <w:i/>
                <w:sz w:val="20"/>
                <w:szCs w:val="20"/>
              </w:rPr>
            </w:pPr>
            <w:r w:rsidRPr="004A3F1C">
              <w:rPr>
                <w:rFonts w:cs="Arial"/>
                <w:i/>
                <w:sz w:val="20"/>
                <w:szCs w:val="20"/>
              </w:rPr>
              <w:t>05_22_002</w:t>
            </w:r>
          </w:p>
        </w:tc>
        <w:tc>
          <w:tcPr>
            <w:tcW w:w="2320" w:type="dxa"/>
            <w:tcBorders>
              <w:top w:val="nil"/>
              <w:left w:val="nil"/>
              <w:bottom w:val="single" w:sz="4" w:space="0" w:color="auto"/>
              <w:right w:val="single" w:sz="8" w:space="0" w:color="auto"/>
            </w:tcBorders>
            <w:noWrap/>
            <w:vAlign w:val="bottom"/>
            <w:hideMark/>
          </w:tcPr>
          <w:p w14:paraId="70E8743D" w14:textId="77777777" w:rsidR="007828CA" w:rsidRPr="004A3F1C" w:rsidRDefault="007828CA" w:rsidP="007828CA">
            <w:pPr>
              <w:contextualSpacing/>
              <w:rPr>
                <w:rFonts w:cs="Arial"/>
                <w:i/>
                <w:sz w:val="20"/>
                <w:szCs w:val="20"/>
              </w:rPr>
            </w:pPr>
            <w:r w:rsidRPr="004A3F1C">
              <w:rPr>
                <w:rFonts w:cs="Arial"/>
                <w:i/>
                <w:sz w:val="20"/>
                <w:szCs w:val="20"/>
              </w:rPr>
              <w:t>216,02</w:t>
            </w:r>
          </w:p>
        </w:tc>
      </w:tr>
      <w:tr w:rsidR="007828CA" w:rsidRPr="007828CA" w14:paraId="1337DD69" w14:textId="77777777">
        <w:trPr>
          <w:trHeight w:val="300"/>
        </w:trPr>
        <w:tc>
          <w:tcPr>
            <w:tcW w:w="0" w:type="auto"/>
            <w:vMerge/>
            <w:tcBorders>
              <w:top w:val="nil"/>
              <w:left w:val="single" w:sz="8" w:space="0" w:color="auto"/>
              <w:bottom w:val="single" w:sz="4" w:space="0" w:color="000000"/>
              <w:right w:val="single" w:sz="4" w:space="0" w:color="auto"/>
            </w:tcBorders>
            <w:vAlign w:val="center"/>
            <w:hideMark/>
          </w:tcPr>
          <w:p w14:paraId="0A155B70" w14:textId="77777777" w:rsidR="007828CA" w:rsidRPr="004A3F1C" w:rsidRDefault="007828CA" w:rsidP="007828CA">
            <w:pPr>
              <w:contextualSpacing/>
              <w:rPr>
                <w:rFonts w:cs="Arial"/>
                <w:i/>
                <w:sz w:val="20"/>
                <w:szCs w:val="20"/>
              </w:rPr>
            </w:pPr>
          </w:p>
        </w:tc>
        <w:tc>
          <w:tcPr>
            <w:tcW w:w="1420" w:type="dxa"/>
            <w:tcBorders>
              <w:top w:val="nil"/>
              <w:left w:val="nil"/>
              <w:bottom w:val="single" w:sz="4" w:space="0" w:color="auto"/>
              <w:right w:val="single" w:sz="4" w:space="0" w:color="auto"/>
            </w:tcBorders>
            <w:noWrap/>
            <w:vAlign w:val="bottom"/>
            <w:hideMark/>
          </w:tcPr>
          <w:p w14:paraId="70618817" w14:textId="77777777" w:rsidR="007828CA" w:rsidRPr="004A3F1C" w:rsidRDefault="007828CA" w:rsidP="007828CA">
            <w:pPr>
              <w:contextualSpacing/>
              <w:rPr>
                <w:rFonts w:cs="Arial"/>
                <w:i/>
                <w:sz w:val="20"/>
                <w:szCs w:val="20"/>
              </w:rPr>
            </w:pPr>
            <w:r w:rsidRPr="004A3F1C">
              <w:rPr>
                <w:rFonts w:cs="Arial"/>
                <w:i/>
                <w:sz w:val="20"/>
                <w:szCs w:val="20"/>
              </w:rPr>
              <w:t>05_22_021</w:t>
            </w:r>
          </w:p>
        </w:tc>
        <w:tc>
          <w:tcPr>
            <w:tcW w:w="2320" w:type="dxa"/>
            <w:tcBorders>
              <w:top w:val="nil"/>
              <w:left w:val="nil"/>
              <w:bottom w:val="single" w:sz="4" w:space="0" w:color="auto"/>
              <w:right w:val="single" w:sz="8" w:space="0" w:color="auto"/>
            </w:tcBorders>
            <w:noWrap/>
            <w:vAlign w:val="bottom"/>
            <w:hideMark/>
          </w:tcPr>
          <w:p w14:paraId="68AEC13B" w14:textId="77777777" w:rsidR="007828CA" w:rsidRPr="004A3F1C" w:rsidRDefault="007828CA" w:rsidP="007828CA">
            <w:pPr>
              <w:contextualSpacing/>
              <w:rPr>
                <w:rFonts w:cs="Arial"/>
                <w:i/>
                <w:sz w:val="20"/>
                <w:szCs w:val="20"/>
              </w:rPr>
            </w:pPr>
            <w:r w:rsidRPr="004A3F1C">
              <w:rPr>
                <w:rFonts w:cs="Arial"/>
                <w:i/>
                <w:sz w:val="20"/>
                <w:szCs w:val="20"/>
              </w:rPr>
              <w:t>563,22</w:t>
            </w:r>
          </w:p>
        </w:tc>
      </w:tr>
      <w:tr w:rsidR="007828CA" w:rsidRPr="007828CA" w14:paraId="7B8BD061" w14:textId="77777777">
        <w:trPr>
          <w:trHeight w:val="300"/>
        </w:trPr>
        <w:tc>
          <w:tcPr>
            <w:tcW w:w="0" w:type="auto"/>
            <w:vMerge/>
            <w:tcBorders>
              <w:top w:val="nil"/>
              <w:left w:val="single" w:sz="8" w:space="0" w:color="auto"/>
              <w:bottom w:val="single" w:sz="4" w:space="0" w:color="000000"/>
              <w:right w:val="single" w:sz="4" w:space="0" w:color="auto"/>
            </w:tcBorders>
            <w:vAlign w:val="center"/>
            <w:hideMark/>
          </w:tcPr>
          <w:p w14:paraId="6135CAFA" w14:textId="77777777" w:rsidR="007828CA" w:rsidRPr="004A3F1C" w:rsidRDefault="007828CA" w:rsidP="007828CA">
            <w:pPr>
              <w:contextualSpacing/>
              <w:rPr>
                <w:rFonts w:cs="Arial"/>
                <w:i/>
                <w:sz w:val="20"/>
                <w:szCs w:val="20"/>
              </w:rPr>
            </w:pPr>
          </w:p>
        </w:tc>
        <w:tc>
          <w:tcPr>
            <w:tcW w:w="1420" w:type="dxa"/>
            <w:tcBorders>
              <w:top w:val="nil"/>
              <w:left w:val="nil"/>
              <w:bottom w:val="single" w:sz="4" w:space="0" w:color="auto"/>
              <w:right w:val="single" w:sz="4" w:space="0" w:color="auto"/>
            </w:tcBorders>
            <w:noWrap/>
            <w:vAlign w:val="bottom"/>
            <w:hideMark/>
          </w:tcPr>
          <w:p w14:paraId="67B8BDBF" w14:textId="77777777" w:rsidR="007828CA" w:rsidRPr="004A3F1C" w:rsidRDefault="007828CA" w:rsidP="007828CA">
            <w:pPr>
              <w:contextualSpacing/>
              <w:rPr>
                <w:rFonts w:cs="Arial"/>
                <w:i/>
                <w:sz w:val="20"/>
                <w:szCs w:val="20"/>
              </w:rPr>
            </w:pPr>
            <w:r w:rsidRPr="004A3F1C">
              <w:rPr>
                <w:rFonts w:cs="Arial"/>
                <w:i/>
                <w:sz w:val="20"/>
                <w:szCs w:val="20"/>
              </w:rPr>
              <w:t>05_22_025</w:t>
            </w:r>
          </w:p>
        </w:tc>
        <w:tc>
          <w:tcPr>
            <w:tcW w:w="2320" w:type="dxa"/>
            <w:tcBorders>
              <w:top w:val="nil"/>
              <w:left w:val="nil"/>
              <w:bottom w:val="single" w:sz="4" w:space="0" w:color="auto"/>
              <w:right w:val="single" w:sz="8" w:space="0" w:color="auto"/>
            </w:tcBorders>
            <w:noWrap/>
            <w:vAlign w:val="bottom"/>
            <w:hideMark/>
          </w:tcPr>
          <w:p w14:paraId="35543BED" w14:textId="77777777" w:rsidR="007828CA" w:rsidRPr="004A3F1C" w:rsidRDefault="007828CA" w:rsidP="007828CA">
            <w:pPr>
              <w:contextualSpacing/>
              <w:rPr>
                <w:rFonts w:cs="Arial"/>
                <w:i/>
                <w:sz w:val="20"/>
                <w:szCs w:val="20"/>
              </w:rPr>
            </w:pPr>
            <w:r w:rsidRPr="004A3F1C">
              <w:rPr>
                <w:rFonts w:cs="Arial"/>
                <w:i/>
                <w:sz w:val="20"/>
                <w:szCs w:val="20"/>
              </w:rPr>
              <w:t>92,76</w:t>
            </w:r>
          </w:p>
        </w:tc>
      </w:tr>
      <w:tr w:rsidR="007828CA" w:rsidRPr="007828CA" w14:paraId="03D1E1C3" w14:textId="77777777">
        <w:trPr>
          <w:trHeight w:val="300"/>
        </w:trPr>
        <w:tc>
          <w:tcPr>
            <w:tcW w:w="0" w:type="auto"/>
            <w:vMerge/>
            <w:tcBorders>
              <w:top w:val="nil"/>
              <w:left w:val="single" w:sz="8" w:space="0" w:color="auto"/>
              <w:bottom w:val="single" w:sz="4" w:space="0" w:color="000000"/>
              <w:right w:val="single" w:sz="4" w:space="0" w:color="auto"/>
            </w:tcBorders>
            <w:vAlign w:val="center"/>
            <w:hideMark/>
          </w:tcPr>
          <w:p w14:paraId="3DC61EE9" w14:textId="77777777" w:rsidR="007828CA" w:rsidRPr="004A3F1C" w:rsidRDefault="007828CA" w:rsidP="007828CA">
            <w:pPr>
              <w:contextualSpacing/>
              <w:rPr>
                <w:rFonts w:cs="Arial"/>
                <w:i/>
                <w:sz w:val="20"/>
                <w:szCs w:val="20"/>
              </w:rPr>
            </w:pPr>
          </w:p>
        </w:tc>
        <w:tc>
          <w:tcPr>
            <w:tcW w:w="1420" w:type="dxa"/>
            <w:tcBorders>
              <w:top w:val="nil"/>
              <w:left w:val="nil"/>
              <w:bottom w:val="single" w:sz="4" w:space="0" w:color="auto"/>
              <w:right w:val="single" w:sz="4" w:space="0" w:color="auto"/>
            </w:tcBorders>
            <w:noWrap/>
            <w:vAlign w:val="bottom"/>
            <w:hideMark/>
          </w:tcPr>
          <w:p w14:paraId="749CAC47" w14:textId="77777777" w:rsidR="007828CA" w:rsidRPr="004A3F1C" w:rsidRDefault="007828CA" w:rsidP="007828CA">
            <w:pPr>
              <w:contextualSpacing/>
              <w:rPr>
                <w:rFonts w:cs="Arial"/>
                <w:i/>
                <w:sz w:val="20"/>
                <w:szCs w:val="20"/>
              </w:rPr>
            </w:pPr>
            <w:r w:rsidRPr="004A3F1C">
              <w:rPr>
                <w:rFonts w:cs="Arial"/>
                <w:i/>
                <w:sz w:val="20"/>
                <w:szCs w:val="20"/>
              </w:rPr>
              <w:t>05_23_042</w:t>
            </w:r>
          </w:p>
        </w:tc>
        <w:tc>
          <w:tcPr>
            <w:tcW w:w="2320" w:type="dxa"/>
            <w:tcBorders>
              <w:top w:val="nil"/>
              <w:left w:val="nil"/>
              <w:bottom w:val="single" w:sz="4" w:space="0" w:color="auto"/>
              <w:right w:val="single" w:sz="8" w:space="0" w:color="auto"/>
            </w:tcBorders>
            <w:noWrap/>
            <w:vAlign w:val="bottom"/>
            <w:hideMark/>
          </w:tcPr>
          <w:p w14:paraId="398A259E" w14:textId="77777777" w:rsidR="007828CA" w:rsidRPr="004A3F1C" w:rsidRDefault="007828CA" w:rsidP="007828CA">
            <w:pPr>
              <w:contextualSpacing/>
              <w:rPr>
                <w:rFonts w:cs="Arial"/>
                <w:i/>
                <w:sz w:val="20"/>
                <w:szCs w:val="20"/>
              </w:rPr>
            </w:pPr>
            <w:r w:rsidRPr="004A3F1C">
              <w:rPr>
                <w:rFonts w:cs="Arial"/>
                <w:i/>
                <w:sz w:val="20"/>
                <w:szCs w:val="20"/>
              </w:rPr>
              <w:t>946,60</w:t>
            </w:r>
          </w:p>
        </w:tc>
      </w:tr>
      <w:tr w:rsidR="007828CA" w:rsidRPr="007828CA" w14:paraId="534420CD" w14:textId="77777777">
        <w:trPr>
          <w:trHeight w:val="300"/>
        </w:trPr>
        <w:tc>
          <w:tcPr>
            <w:tcW w:w="0" w:type="auto"/>
            <w:vMerge/>
            <w:tcBorders>
              <w:top w:val="nil"/>
              <w:left w:val="single" w:sz="8" w:space="0" w:color="auto"/>
              <w:bottom w:val="single" w:sz="4" w:space="0" w:color="000000"/>
              <w:right w:val="single" w:sz="4" w:space="0" w:color="auto"/>
            </w:tcBorders>
            <w:vAlign w:val="center"/>
            <w:hideMark/>
          </w:tcPr>
          <w:p w14:paraId="25CEB4A2" w14:textId="77777777" w:rsidR="007828CA" w:rsidRPr="004A3F1C" w:rsidRDefault="007828CA" w:rsidP="007828CA">
            <w:pPr>
              <w:contextualSpacing/>
              <w:rPr>
                <w:rFonts w:cs="Arial"/>
                <w:i/>
                <w:sz w:val="20"/>
                <w:szCs w:val="20"/>
              </w:rPr>
            </w:pPr>
          </w:p>
        </w:tc>
        <w:tc>
          <w:tcPr>
            <w:tcW w:w="1420" w:type="dxa"/>
            <w:tcBorders>
              <w:top w:val="nil"/>
              <w:left w:val="nil"/>
              <w:bottom w:val="single" w:sz="4" w:space="0" w:color="auto"/>
              <w:right w:val="single" w:sz="4" w:space="0" w:color="auto"/>
            </w:tcBorders>
            <w:noWrap/>
            <w:vAlign w:val="bottom"/>
            <w:hideMark/>
          </w:tcPr>
          <w:p w14:paraId="05F46693" w14:textId="77777777" w:rsidR="007828CA" w:rsidRPr="004A3F1C" w:rsidRDefault="007828CA" w:rsidP="007828CA">
            <w:pPr>
              <w:contextualSpacing/>
              <w:rPr>
                <w:rFonts w:cs="Arial"/>
                <w:i/>
                <w:sz w:val="20"/>
                <w:szCs w:val="20"/>
              </w:rPr>
            </w:pPr>
            <w:r w:rsidRPr="004A3F1C">
              <w:rPr>
                <w:rFonts w:cs="Arial"/>
                <w:i/>
                <w:sz w:val="20"/>
                <w:szCs w:val="20"/>
              </w:rPr>
              <w:t>05_23_043</w:t>
            </w:r>
          </w:p>
        </w:tc>
        <w:tc>
          <w:tcPr>
            <w:tcW w:w="2320" w:type="dxa"/>
            <w:tcBorders>
              <w:top w:val="nil"/>
              <w:left w:val="nil"/>
              <w:bottom w:val="single" w:sz="4" w:space="0" w:color="auto"/>
              <w:right w:val="single" w:sz="8" w:space="0" w:color="auto"/>
            </w:tcBorders>
            <w:noWrap/>
            <w:vAlign w:val="bottom"/>
            <w:hideMark/>
          </w:tcPr>
          <w:p w14:paraId="0C0FBFF7" w14:textId="77777777" w:rsidR="007828CA" w:rsidRPr="004A3F1C" w:rsidRDefault="007828CA" w:rsidP="007828CA">
            <w:pPr>
              <w:contextualSpacing/>
              <w:rPr>
                <w:rFonts w:cs="Arial"/>
                <w:i/>
                <w:sz w:val="20"/>
                <w:szCs w:val="20"/>
              </w:rPr>
            </w:pPr>
            <w:r w:rsidRPr="004A3F1C">
              <w:rPr>
                <w:rFonts w:cs="Arial"/>
                <w:i/>
                <w:sz w:val="20"/>
                <w:szCs w:val="20"/>
              </w:rPr>
              <w:t>555,19</w:t>
            </w:r>
          </w:p>
        </w:tc>
      </w:tr>
      <w:tr w:rsidR="007828CA" w:rsidRPr="007828CA" w14:paraId="62E5B88D" w14:textId="77777777" w:rsidTr="00331623">
        <w:trPr>
          <w:trHeight w:val="315"/>
        </w:trPr>
        <w:tc>
          <w:tcPr>
            <w:tcW w:w="5880" w:type="dxa"/>
            <w:gridSpan w:val="2"/>
            <w:tcBorders>
              <w:top w:val="single" w:sz="4" w:space="0" w:color="auto"/>
              <w:left w:val="single" w:sz="8" w:space="0" w:color="auto"/>
              <w:bottom w:val="single" w:sz="8" w:space="0" w:color="auto"/>
              <w:right w:val="single" w:sz="4" w:space="0" w:color="000000"/>
            </w:tcBorders>
            <w:shd w:val="clear" w:color="auto" w:fill="A6A6A6" w:themeFill="background1" w:themeFillShade="A6"/>
            <w:noWrap/>
            <w:vAlign w:val="bottom"/>
            <w:hideMark/>
          </w:tcPr>
          <w:p w14:paraId="77AB298B" w14:textId="77777777" w:rsidR="007828CA" w:rsidRPr="004A3F1C" w:rsidRDefault="007828CA" w:rsidP="007828CA">
            <w:pPr>
              <w:contextualSpacing/>
              <w:rPr>
                <w:rFonts w:cs="Arial"/>
                <w:b/>
                <w:bCs/>
                <w:i/>
                <w:sz w:val="20"/>
                <w:szCs w:val="20"/>
              </w:rPr>
            </w:pPr>
            <w:r w:rsidRPr="004A3F1C">
              <w:rPr>
                <w:rFonts w:cs="Arial"/>
                <w:b/>
                <w:bCs/>
                <w:i/>
                <w:sz w:val="20"/>
                <w:szCs w:val="20"/>
              </w:rPr>
              <w:t>SC 1.4 (1.4.1, 1.4.2,1.4.3) celkem</w:t>
            </w:r>
          </w:p>
        </w:tc>
        <w:tc>
          <w:tcPr>
            <w:tcW w:w="2320" w:type="dxa"/>
            <w:tcBorders>
              <w:top w:val="nil"/>
              <w:left w:val="nil"/>
              <w:bottom w:val="single" w:sz="8" w:space="0" w:color="auto"/>
              <w:right w:val="single" w:sz="8" w:space="0" w:color="auto"/>
            </w:tcBorders>
            <w:shd w:val="clear" w:color="auto" w:fill="A6A6A6" w:themeFill="background1" w:themeFillShade="A6"/>
            <w:noWrap/>
            <w:vAlign w:val="bottom"/>
            <w:hideMark/>
          </w:tcPr>
          <w:p w14:paraId="7C65A7DD" w14:textId="77777777" w:rsidR="007828CA" w:rsidRPr="004A3F1C" w:rsidRDefault="007828CA" w:rsidP="007828CA">
            <w:pPr>
              <w:contextualSpacing/>
              <w:rPr>
                <w:rFonts w:cs="Arial"/>
                <w:b/>
                <w:bCs/>
                <w:i/>
                <w:sz w:val="20"/>
                <w:szCs w:val="20"/>
              </w:rPr>
            </w:pPr>
            <w:r w:rsidRPr="004A3F1C">
              <w:rPr>
                <w:rFonts w:cs="Arial"/>
                <w:b/>
                <w:bCs/>
                <w:i/>
                <w:sz w:val="20"/>
                <w:szCs w:val="20"/>
              </w:rPr>
              <w:t>2 373,79</w:t>
            </w:r>
          </w:p>
        </w:tc>
      </w:tr>
      <w:tr w:rsidR="007828CA" w:rsidRPr="007828CA" w14:paraId="216D478F" w14:textId="77777777">
        <w:trPr>
          <w:trHeight w:val="300"/>
        </w:trPr>
        <w:tc>
          <w:tcPr>
            <w:tcW w:w="4460" w:type="dxa"/>
            <w:vMerge w:val="restart"/>
            <w:tcBorders>
              <w:top w:val="single" w:sz="4" w:space="0" w:color="auto"/>
              <w:left w:val="single" w:sz="8" w:space="0" w:color="auto"/>
              <w:bottom w:val="single" w:sz="4" w:space="0" w:color="000000"/>
              <w:right w:val="single" w:sz="4" w:space="0" w:color="auto"/>
            </w:tcBorders>
            <w:noWrap/>
            <w:vAlign w:val="center"/>
            <w:hideMark/>
          </w:tcPr>
          <w:p w14:paraId="21E5EF63" w14:textId="77777777" w:rsidR="007828CA" w:rsidRPr="004A3F1C" w:rsidRDefault="007828CA" w:rsidP="007828CA">
            <w:pPr>
              <w:contextualSpacing/>
              <w:rPr>
                <w:rFonts w:cs="Arial"/>
                <w:i/>
                <w:sz w:val="20"/>
                <w:szCs w:val="20"/>
              </w:rPr>
            </w:pPr>
            <w:r w:rsidRPr="004A3F1C">
              <w:rPr>
                <w:rFonts w:cs="Arial"/>
                <w:i/>
                <w:sz w:val="20"/>
                <w:szCs w:val="20"/>
              </w:rPr>
              <w:t>1.4 - Pitná voda</w:t>
            </w:r>
          </w:p>
        </w:tc>
        <w:tc>
          <w:tcPr>
            <w:tcW w:w="1420" w:type="dxa"/>
            <w:tcBorders>
              <w:top w:val="single" w:sz="4" w:space="0" w:color="auto"/>
              <w:left w:val="nil"/>
              <w:bottom w:val="single" w:sz="4" w:space="0" w:color="auto"/>
              <w:right w:val="single" w:sz="4" w:space="0" w:color="auto"/>
            </w:tcBorders>
            <w:noWrap/>
            <w:vAlign w:val="bottom"/>
            <w:hideMark/>
          </w:tcPr>
          <w:p w14:paraId="0D1D6D9A" w14:textId="77777777" w:rsidR="007828CA" w:rsidRPr="004A3F1C" w:rsidRDefault="007828CA" w:rsidP="007828CA">
            <w:pPr>
              <w:contextualSpacing/>
              <w:rPr>
                <w:rFonts w:cs="Arial"/>
                <w:i/>
                <w:sz w:val="20"/>
                <w:szCs w:val="20"/>
              </w:rPr>
            </w:pPr>
            <w:r w:rsidRPr="004A3F1C">
              <w:rPr>
                <w:rFonts w:cs="Arial"/>
                <w:i/>
                <w:sz w:val="20"/>
                <w:szCs w:val="20"/>
              </w:rPr>
              <w:t>05_22_003</w:t>
            </w:r>
          </w:p>
        </w:tc>
        <w:tc>
          <w:tcPr>
            <w:tcW w:w="2320" w:type="dxa"/>
            <w:tcBorders>
              <w:top w:val="single" w:sz="4" w:space="0" w:color="auto"/>
              <w:left w:val="nil"/>
              <w:bottom w:val="single" w:sz="4" w:space="0" w:color="auto"/>
              <w:right w:val="single" w:sz="8" w:space="0" w:color="auto"/>
            </w:tcBorders>
            <w:noWrap/>
            <w:vAlign w:val="bottom"/>
            <w:hideMark/>
          </w:tcPr>
          <w:p w14:paraId="3D026F1C" w14:textId="77777777" w:rsidR="007828CA" w:rsidRPr="004A3F1C" w:rsidRDefault="007828CA" w:rsidP="007828CA">
            <w:pPr>
              <w:contextualSpacing/>
              <w:rPr>
                <w:rFonts w:cs="Arial"/>
                <w:i/>
                <w:sz w:val="20"/>
                <w:szCs w:val="20"/>
              </w:rPr>
            </w:pPr>
            <w:r w:rsidRPr="004A3F1C">
              <w:rPr>
                <w:rFonts w:cs="Arial"/>
                <w:i/>
                <w:sz w:val="20"/>
                <w:szCs w:val="20"/>
              </w:rPr>
              <w:t>143,34</w:t>
            </w:r>
          </w:p>
        </w:tc>
      </w:tr>
      <w:tr w:rsidR="007828CA" w:rsidRPr="007828CA" w14:paraId="7B11C2B9" w14:textId="77777777">
        <w:trPr>
          <w:trHeight w:val="300"/>
        </w:trPr>
        <w:tc>
          <w:tcPr>
            <w:tcW w:w="0" w:type="auto"/>
            <w:vMerge/>
            <w:tcBorders>
              <w:top w:val="single" w:sz="4" w:space="0" w:color="auto"/>
              <w:left w:val="single" w:sz="8" w:space="0" w:color="auto"/>
              <w:bottom w:val="single" w:sz="4" w:space="0" w:color="000000"/>
              <w:right w:val="single" w:sz="4" w:space="0" w:color="auto"/>
            </w:tcBorders>
            <w:vAlign w:val="center"/>
            <w:hideMark/>
          </w:tcPr>
          <w:p w14:paraId="785F103D" w14:textId="77777777" w:rsidR="007828CA" w:rsidRPr="004A3F1C" w:rsidRDefault="007828CA" w:rsidP="007828CA">
            <w:pPr>
              <w:contextualSpacing/>
              <w:rPr>
                <w:rFonts w:cs="Arial"/>
                <w:i/>
                <w:sz w:val="20"/>
                <w:szCs w:val="20"/>
              </w:rPr>
            </w:pPr>
          </w:p>
        </w:tc>
        <w:tc>
          <w:tcPr>
            <w:tcW w:w="1420" w:type="dxa"/>
            <w:tcBorders>
              <w:top w:val="nil"/>
              <w:left w:val="nil"/>
              <w:bottom w:val="single" w:sz="4" w:space="0" w:color="auto"/>
              <w:right w:val="single" w:sz="4" w:space="0" w:color="auto"/>
            </w:tcBorders>
            <w:noWrap/>
            <w:vAlign w:val="bottom"/>
            <w:hideMark/>
          </w:tcPr>
          <w:p w14:paraId="71FEE573" w14:textId="77777777" w:rsidR="007828CA" w:rsidRPr="004A3F1C" w:rsidRDefault="007828CA" w:rsidP="007828CA">
            <w:pPr>
              <w:contextualSpacing/>
              <w:rPr>
                <w:rFonts w:cs="Arial"/>
                <w:i/>
                <w:sz w:val="20"/>
                <w:szCs w:val="20"/>
              </w:rPr>
            </w:pPr>
            <w:r w:rsidRPr="004A3F1C">
              <w:rPr>
                <w:rFonts w:cs="Arial"/>
                <w:i/>
                <w:sz w:val="20"/>
                <w:szCs w:val="20"/>
              </w:rPr>
              <w:t>05_22_025</w:t>
            </w:r>
          </w:p>
        </w:tc>
        <w:tc>
          <w:tcPr>
            <w:tcW w:w="2320" w:type="dxa"/>
            <w:tcBorders>
              <w:top w:val="nil"/>
              <w:left w:val="nil"/>
              <w:bottom w:val="single" w:sz="4" w:space="0" w:color="auto"/>
              <w:right w:val="single" w:sz="8" w:space="0" w:color="auto"/>
            </w:tcBorders>
            <w:noWrap/>
            <w:vAlign w:val="bottom"/>
            <w:hideMark/>
          </w:tcPr>
          <w:p w14:paraId="5AB55F31" w14:textId="77777777" w:rsidR="007828CA" w:rsidRPr="004A3F1C" w:rsidRDefault="007828CA" w:rsidP="007828CA">
            <w:pPr>
              <w:contextualSpacing/>
              <w:rPr>
                <w:rFonts w:cs="Arial"/>
                <w:i/>
                <w:sz w:val="20"/>
                <w:szCs w:val="20"/>
              </w:rPr>
            </w:pPr>
            <w:r w:rsidRPr="004A3F1C">
              <w:rPr>
                <w:rFonts w:cs="Arial"/>
                <w:i/>
                <w:sz w:val="20"/>
                <w:szCs w:val="20"/>
              </w:rPr>
              <w:t>24,86</w:t>
            </w:r>
          </w:p>
        </w:tc>
      </w:tr>
      <w:tr w:rsidR="007828CA" w:rsidRPr="007828CA" w14:paraId="3AA4A1B0" w14:textId="77777777">
        <w:trPr>
          <w:trHeight w:val="300"/>
        </w:trPr>
        <w:tc>
          <w:tcPr>
            <w:tcW w:w="0" w:type="auto"/>
            <w:vMerge/>
            <w:tcBorders>
              <w:top w:val="single" w:sz="4" w:space="0" w:color="auto"/>
              <w:left w:val="single" w:sz="8" w:space="0" w:color="auto"/>
              <w:bottom w:val="single" w:sz="4" w:space="0" w:color="000000"/>
              <w:right w:val="single" w:sz="4" w:space="0" w:color="auto"/>
            </w:tcBorders>
            <w:vAlign w:val="center"/>
            <w:hideMark/>
          </w:tcPr>
          <w:p w14:paraId="736830EF" w14:textId="77777777" w:rsidR="007828CA" w:rsidRPr="004A3F1C" w:rsidRDefault="007828CA" w:rsidP="007828CA">
            <w:pPr>
              <w:contextualSpacing/>
              <w:rPr>
                <w:rFonts w:cs="Arial"/>
                <w:i/>
                <w:sz w:val="20"/>
                <w:szCs w:val="20"/>
              </w:rPr>
            </w:pPr>
          </w:p>
        </w:tc>
        <w:tc>
          <w:tcPr>
            <w:tcW w:w="1420" w:type="dxa"/>
            <w:tcBorders>
              <w:top w:val="nil"/>
              <w:left w:val="nil"/>
              <w:bottom w:val="single" w:sz="4" w:space="0" w:color="auto"/>
              <w:right w:val="single" w:sz="4" w:space="0" w:color="auto"/>
            </w:tcBorders>
            <w:noWrap/>
            <w:vAlign w:val="bottom"/>
            <w:hideMark/>
          </w:tcPr>
          <w:p w14:paraId="7F2A393B" w14:textId="77777777" w:rsidR="007828CA" w:rsidRPr="004A3F1C" w:rsidRDefault="007828CA" w:rsidP="007828CA">
            <w:pPr>
              <w:contextualSpacing/>
              <w:rPr>
                <w:rFonts w:cs="Arial"/>
                <w:i/>
                <w:sz w:val="20"/>
                <w:szCs w:val="20"/>
              </w:rPr>
            </w:pPr>
            <w:r w:rsidRPr="004A3F1C">
              <w:rPr>
                <w:rFonts w:cs="Arial"/>
                <w:i/>
                <w:sz w:val="20"/>
                <w:szCs w:val="20"/>
              </w:rPr>
              <w:t>05_22_026</w:t>
            </w:r>
          </w:p>
        </w:tc>
        <w:tc>
          <w:tcPr>
            <w:tcW w:w="2320" w:type="dxa"/>
            <w:tcBorders>
              <w:top w:val="nil"/>
              <w:left w:val="nil"/>
              <w:bottom w:val="single" w:sz="4" w:space="0" w:color="auto"/>
              <w:right w:val="single" w:sz="8" w:space="0" w:color="auto"/>
            </w:tcBorders>
            <w:noWrap/>
            <w:vAlign w:val="bottom"/>
            <w:hideMark/>
          </w:tcPr>
          <w:p w14:paraId="11E288BE" w14:textId="77777777" w:rsidR="007828CA" w:rsidRPr="004A3F1C" w:rsidRDefault="007828CA" w:rsidP="007828CA">
            <w:pPr>
              <w:contextualSpacing/>
              <w:rPr>
                <w:rFonts w:cs="Arial"/>
                <w:i/>
                <w:sz w:val="20"/>
                <w:szCs w:val="20"/>
              </w:rPr>
            </w:pPr>
            <w:r w:rsidRPr="004A3F1C">
              <w:rPr>
                <w:rFonts w:cs="Arial"/>
                <w:i/>
                <w:sz w:val="20"/>
                <w:szCs w:val="20"/>
              </w:rPr>
              <w:t>228,18</w:t>
            </w:r>
          </w:p>
        </w:tc>
      </w:tr>
      <w:tr w:rsidR="007828CA" w:rsidRPr="007828CA" w14:paraId="17051C25" w14:textId="77777777">
        <w:trPr>
          <w:trHeight w:val="300"/>
        </w:trPr>
        <w:tc>
          <w:tcPr>
            <w:tcW w:w="0" w:type="auto"/>
            <w:vMerge/>
            <w:tcBorders>
              <w:top w:val="single" w:sz="4" w:space="0" w:color="auto"/>
              <w:left w:val="single" w:sz="8" w:space="0" w:color="auto"/>
              <w:bottom w:val="single" w:sz="4" w:space="0" w:color="000000"/>
              <w:right w:val="single" w:sz="4" w:space="0" w:color="auto"/>
            </w:tcBorders>
            <w:vAlign w:val="center"/>
            <w:hideMark/>
          </w:tcPr>
          <w:p w14:paraId="58DBAD69" w14:textId="77777777" w:rsidR="007828CA" w:rsidRPr="004A3F1C" w:rsidRDefault="007828CA" w:rsidP="007828CA">
            <w:pPr>
              <w:contextualSpacing/>
              <w:rPr>
                <w:rFonts w:cs="Arial"/>
                <w:i/>
                <w:sz w:val="20"/>
                <w:szCs w:val="20"/>
              </w:rPr>
            </w:pPr>
          </w:p>
        </w:tc>
        <w:tc>
          <w:tcPr>
            <w:tcW w:w="1420" w:type="dxa"/>
            <w:tcBorders>
              <w:top w:val="nil"/>
              <w:left w:val="nil"/>
              <w:bottom w:val="single" w:sz="4" w:space="0" w:color="auto"/>
              <w:right w:val="single" w:sz="4" w:space="0" w:color="auto"/>
            </w:tcBorders>
            <w:noWrap/>
            <w:vAlign w:val="bottom"/>
            <w:hideMark/>
          </w:tcPr>
          <w:p w14:paraId="7E987221" w14:textId="77777777" w:rsidR="007828CA" w:rsidRPr="004A3F1C" w:rsidRDefault="007828CA" w:rsidP="007828CA">
            <w:pPr>
              <w:contextualSpacing/>
              <w:rPr>
                <w:rFonts w:cs="Arial"/>
                <w:i/>
                <w:sz w:val="20"/>
                <w:szCs w:val="20"/>
              </w:rPr>
            </w:pPr>
            <w:r w:rsidRPr="004A3F1C">
              <w:rPr>
                <w:rFonts w:cs="Arial"/>
                <w:i/>
                <w:sz w:val="20"/>
                <w:szCs w:val="20"/>
              </w:rPr>
              <w:t>05_23_044</w:t>
            </w:r>
          </w:p>
        </w:tc>
        <w:tc>
          <w:tcPr>
            <w:tcW w:w="2320" w:type="dxa"/>
            <w:tcBorders>
              <w:top w:val="nil"/>
              <w:left w:val="nil"/>
              <w:bottom w:val="single" w:sz="4" w:space="0" w:color="auto"/>
              <w:right w:val="single" w:sz="8" w:space="0" w:color="auto"/>
            </w:tcBorders>
            <w:noWrap/>
            <w:vAlign w:val="bottom"/>
            <w:hideMark/>
          </w:tcPr>
          <w:p w14:paraId="395F45CA" w14:textId="77777777" w:rsidR="007828CA" w:rsidRPr="004A3F1C" w:rsidRDefault="007828CA" w:rsidP="007828CA">
            <w:pPr>
              <w:contextualSpacing/>
              <w:rPr>
                <w:rFonts w:cs="Arial"/>
                <w:i/>
                <w:sz w:val="20"/>
                <w:szCs w:val="20"/>
              </w:rPr>
            </w:pPr>
            <w:r w:rsidRPr="004A3F1C">
              <w:rPr>
                <w:rFonts w:cs="Arial"/>
                <w:i/>
                <w:sz w:val="20"/>
                <w:szCs w:val="20"/>
              </w:rPr>
              <w:t>254,49</w:t>
            </w:r>
          </w:p>
        </w:tc>
      </w:tr>
      <w:tr w:rsidR="007828CA" w:rsidRPr="007828CA" w14:paraId="4E0ABE5F" w14:textId="77777777" w:rsidTr="00331623">
        <w:trPr>
          <w:trHeight w:val="315"/>
        </w:trPr>
        <w:tc>
          <w:tcPr>
            <w:tcW w:w="5880" w:type="dxa"/>
            <w:gridSpan w:val="2"/>
            <w:tcBorders>
              <w:top w:val="single" w:sz="4" w:space="0" w:color="auto"/>
              <w:left w:val="single" w:sz="8" w:space="0" w:color="auto"/>
              <w:bottom w:val="single" w:sz="8" w:space="0" w:color="auto"/>
              <w:right w:val="single" w:sz="4" w:space="0" w:color="000000"/>
            </w:tcBorders>
            <w:shd w:val="clear" w:color="auto" w:fill="A6A6A6" w:themeFill="background1" w:themeFillShade="A6"/>
            <w:noWrap/>
            <w:vAlign w:val="bottom"/>
            <w:hideMark/>
          </w:tcPr>
          <w:p w14:paraId="3A156F0A" w14:textId="77777777" w:rsidR="007828CA" w:rsidRPr="007828CA" w:rsidRDefault="007828CA" w:rsidP="007828CA">
            <w:pPr>
              <w:contextualSpacing/>
              <w:rPr>
                <w:b/>
                <w:bCs/>
                <w:i/>
              </w:rPr>
            </w:pPr>
            <w:r w:rsidRPr="007828CA">
              <w:rPr>
                <w:b/>
                <w:bCs/>
                <w:i/>
              </w:rPr>
              <w:t>SC 1.4 (1.4.4, 1.4.5) celkem</w:t>
            </w:r>
          </w:p>
        </w:tc>
        <w:tc>
          <w:tcPr>
            <w:tcW w:w="2320" w:type="dxa"/>
            <w:tcBorders>
              <w:top w:val="nil"/>
              <w:left w:val="nil"/>
              <w:bottom w:val="single" w:sz="8" w:space="0" w:color="auto"/>
              <w:right w:val="single" w:sz="8" w:space="0" w:color="auto"/>
            </w:tcBorders>
            <w:shd w:val="clear" w:color="auto" w:fill="A6A6A6" w:themeFill="background1" w:themeFillShade="A6"/>
            <w:noWrap/>
            <w:vAlign w:val="bottom"/>
            <w:hideMark/>
          </w:tcPr>
          <w:p w14:paraId="6351A3EE" w14:textId="77777777" w:rsidR="007828CA" w:rsidRPr="007828CA" w:rsidRDefault="007828CA" w:rsidP="007828CA">
            <w:pPr>
              <w:contextualSpacing/>
              <w:rPr>
                <w:b/>
                <w:bCs/>
                <w:i/>
              </w:rPr>
            </w:pPr>
            <w:r w:rsidRPr="007828CA">
              <w:rPr>
                <w:b/>
                <w:bCs/>
                <w:i/>
              </w:rPr>
              <w:t>650,87</w:t>
            </w:r>
          </w:p>
        </w:tc>
      </w:tr>
      <w:tr w:rsidR="007828CA" w:rsidRPr="007828CA" w14:paraId="4266E46B" w14:textId="77777777" w:rsidTr="00331623">
        <w:trPr>
          <w:trHeight w:val="300"/>
        </w:trPr>
        <w:tc>
          <w:tcPr>
            <w:tcW w:w="5880" w:type="dxa"/>
            <w:gridSpan w:val="2"/>
            <w:tcBorders>
              <w:top w:val="single" w:sz="8" w:space="0" w:color="auto"/>
              <w:left w:val="single" w:sz="8" w:space="0" w:color="auto"/>
              <w:bottom w:val="nil"/>
              <w:right w:val="single" w:sz="4" w:space="0" w:color="000000"/>
            </w:tcBorders>
            <w:shd w:val="clear" w:color="auto" w:fill="A6A6A6" w:themeFill="background1" w:themeFillShade="A6"/>
            <w:noWrap/>
            <w:vAlign w:val="bottom"/>
            <w:hideMark/>
          </w:tcPr>
          <w:p w14:paraId="0D362558" w14:textId="77777777" w:rsidR="007828CA" w:rsidRPr="007828CA" w:rsidRDefault="007828CA" w:rsidP="007828CA">
            <w:pPr>
              <w:contextualSpacing/>
              <w:rPr>
                <w:b/>
                <w:bCs/>
                <w:i/>
                <w:iCs/>
              </w:rPr>
            </w:pPr>
            <w:r w:rsidRPr="007828CA">
              <w:rPr>
                <w:b/>
                <w:bCs/>
                <w:i/>
                <w:iCs/>
              </w:rPr>
              <w:t>Celkem SC 1.3</w:t>
            </w:r>
          </w:p>
        </w:tc>
        <w:tc>
          <w:tcPr>
            <w:tcW w:w="2320" w:type="dxa"/>
            <w:tcBorders>
              <w:top w:val="nil"/>
              <w:left w:val="nil"/>
              <w:bottom w:val="nil"/>
              <w:right w:val="single" w:sz="8" w:space="0" w:color="auto"/>
            </w:tcBorders>
            <w:shd w:val="clear" w:color="auto" w:fill="A6A6A6" w:themeFill="background1" w:themeFillShade="A6"/>
            <w:noWrap/>
            <w:vAlign w:val="bottom"/>
            <w:hideMark/>
          </w:tcPr>
          <w:p w14:paraId="71436AD8" w14:textId="77777777" w:rsidR="007828CA" w:rsidRPr="007828CA" w:rsidRDefault="007828CA" w:rsidP="007828CA">
            <w:pPr>
              <w:contextualSpacing/>
              <w:rPr>
                <w:b/>
                <w:bCs/>
                <w:i/>
                <w:iCs/>
              </w:rPr>
            </w:pPr>
            <w:r w:rsidRPr="007828CA">
              <w:rPr>
                <w:b/>
                <w:bCs/>
                <w:i/>
                <w:iCs/>
              </w:rPr>
              <w:t>728,48</w:t>
            </w:r>
          </w:p>
        </w:tc>
      </w:tr>
      <w:tr w:rsidR="007828CA" w:rsidRPr="007828CA" w14:paraId="52A812FD" w14:textId="77777777" w:rsidTr="00331623">
        <w:trPr>
          <w:trHeight w:val="300"/>
        </w:trPr>
        <w:tc>
          <w:tcPr>
            <w:tcW w:w="588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hideMark/>
          </w:tcPr>
          <w:p w14:paraId="0055B1C5" w14:textId="77777777" w:rsidR="007828CA" w:rsidRPr="007828CA" w:rsidRDefault="007828CA" w:rsidP="007828CA">
            <w:pPr>
              <w:contextualSpacing/>
              <w:rPr>
                <w:b/>
                <w:bCs/>
                <w:i/>
                <w:iCs/>
              </w:rPr>
            </w:pPr>
            <w:r w:rsidRPr="007828CA">
              <w:rPr>
                <w:b/>
                <w:bCs/>
                <w:i/>
                <w:iCs/>
              </w:rPr>
              <w:t>Celkem SC 1.4</w:t>
            </w:r>
          </w:p>
        </w:tc>
        <w:tc>
          <w:tcPr>
            <w:tcW w:w="2320"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14:paraId="72917E52" w14:textId="77777777" w:rsidR="007828CA" w:rsidRPr="007828CA" w:rsidRDefault="007828CA" w:rsidP="007828CA">
            <w:pPr>
              <w:contextualSpacing/>
              <w:rPr>
                <w:b/>
                <w:bCs/>
                <w:i/>
                <w:iCs/>
              </w:rPr>
            </w:pPr>
            <w:r w:rsidRPr="007828CA">
              <w:rPr>
                <w:b/>
                <w:bCs/>
                <w:i/>
                <w:iCs/>
              </w:rPr>
              <w:t>3 024,66</w:t>
            </w:r>
          </w:p>
        </w:tc>
      </w:tr>
      <w:tr w:rsidR="007828CA" w:rsidRPr="007828CA" w14:paraId="7D505891" w14:textId="77777777" w:rsidTr="00331623">
        <w:trPr>
          <w:trHeight w:val="315"/>
        </w:trPr>
        <w:tc>
          <w:tcPr>
            <w:tcW w:w="5880" w:type="dxa"/>
            <w:gridSpan w:val="2"/>
            <w:tcBorders>
              <w:top w:val="nil"/>
              <w:left w:val="single" w:sz="8" w:space="0" w:color="auto"/>
              <w:bottom w:val="single" w:sz="8" w:space="0" w:color="auto"/>
              <w:right w:val="single" w:sz="4" w:space="0" w:color="000000"/>
            </w:tcBorders>
            <w:shd w:val="clear" w:color="auto" w:fill="A6A6A6" w:themeFill="background1" w:themeFillShade="A6"/>
            <w:noWrap/>
            <w:vAlign w:val="bottom"/>
            <w:hideMark/>
          </w:tcPr>
          <w:p w14:paraId="14ED5E3D" w14:textId="77777777" w:rsidR="007828CA" w:rsidRPr="007828CA" w:rsidRDefault="007828CA" w:rsidP="007828CA">
            <w:pPr>
              <w:contextualSpacing/>
              <w:rPr>
                <w:b/>
                <w:bCs/>
                <w:i/>
                <w:iCs/>
              </w:rPr>
            </w:pPr>
            <w:r w:rsidRPr="007828CA">
              <w:rPr>
                <w:b/>
                <w:bCs/>
                <w:i/>
                <w:iCs/>
              </w:rPr>
              <w:t xml:space="preserve">CELKEM </w:t>
            </w:r>
          </w:p>
        </w:tc>
        <w:tc>
          <w:tcPr>
            <w:tcW w:w="2320" w:type="dxa"/>
            <w:tcBorders>
              <w:top w:val="nil"/>
              <w:left w:val="nil"/>
              <w:bottom w:val="single" w:sz="8" w:space="0" w:color="auto"/>
              <w:right w:val="single" w:sz="8" w:space="0" w:color="auto"/>
            </w:tcBorders>
            <w:shd w:val="clear" w:color="auto" w:fill="A6A6A6" w:themeFill="background1" w:themeFillShade="A6"/>
            <w:noWrap/>
            <w:vAlign w:val="bottom"/>
            <w:hideMark/>
          </w:tcPr>
          <w:p w14:paraId="7144F3F8" w14:textId="77777777" w:rsidR="007828CA" w:rsidRPr="007828CA" w:rsidRDefault="007828CA" w:rsidP="007828CA">
            <w:pPr>
              <w:contextualSpacing/>
              <w:rPr>
                <w:b/>
                <w:bCs/>
                <w:i/>
                <w:iCs/>
              </w:rPr>
            </w:pPr>
            <w:r w:rsidRPr="007828CA">
              <w:rPr>
                <w:b/>
                <w:bCs/>
                <w:i/>
                <w:iCs/>
              </w:rPr>
              <w:t>3 753,16</w:t>
            </w:r>
          </w:p>
        </w:tc>
      </w:tr>
    </w:tbl>
    <w:p w14:paraId="7A94FD92" w14:textId="77777777" w:rsidR="007828CA" w:rsidRPr="007828CA" w:rsidRDefault="007828CA" w:rsidP="007828CA">
      <w:pPr>
        <w:contextualSpacing/>
        <w:rPr>
          <w:i/>
          <w:iCs/>
        </w:rPr>
      </w:pPr>
      <w:r w:rsidRPr="007828CA">
        <w:rPr>
          <w:i/>
          <w:iCs/>
        </w:rPr>
        <w:t xml:space="preserve">Pramen: SFŽP </w:t>
      </w:r>
    </w:p>
    <w:p w14:paraId="40D0B8EF" w14:textId="77777777" w:rsidR="007828CA" w:rsidRPr="007828CA" w:rsidRDefault="007828CA" w:rsidP="007828CA">
      <w:pPr>
        <w:contextualSpacing/>
        <w:rPr>
          <w:i/>
          <w:iCs/>
        </w:rPr>
      </w:pPr>
    </w:p>
    <w:p w14:paraId="22537C12" w14:textId="77777777" w:rsidR="007828CA" w:rsidRPr="007828CA" w:rsidRDefault="007828CA" w:rsidP="007828CA">
      <w:pPr>
        <w:contextualSpacing/>
        <w:rPr>
          <w:i/>
        </w:rPr>
      </w:pPr>
      <w:r w:rsidRPr="007828CA">
        <w:rPr>
          <w:i/>
        </w:rPr>
        <w:t>Z toho bylo čerpáno v rámci Grantového schématu Operačního programu Životní prostředí 2021–2027 ve specifickém cíli 1.4, v oblasti odpadní voda (25. výzva) 96,5 mil. Kč, a v oblasti pitná voda (25. výzva) 15,7 mil. Kč pro příjemce podpory Státní fond životního prostředí České republiky za účelem financování projektů konečných příjemců v rámci výzev Národního programu Životní prostředí.</w:t>
      </w:r>
    </w:p>
    <w:p w14:paraId="5C55C4A0" w14:textId="77777777" w:rsidR="004878BB" w:rsidRPr="00104F7D" w:rsidRDefault="004878BB" w:rsidP="007C4955">
      <w:pPr>
        <w:contextualSpacing/>
        <w:rPr>
          <w:b/>
          <w:i/>
          <w:color w:val="FF0000"/>
          <w:highlight w:val="yellow"/>
        </w:rPr>
      </w:pPr>
    </w:p>
    <w:p w14:paraId="306BD325" w14:textId="3E3FE0FF" w:rsidR="00376878" w:rsidRPr="004E3AD7" w:rsidRDefault="00376878" w:rsidP="007C4955">
      <w:pPr>
        <w:contextualSpacing/>
        <w:rPr>
          <w:b/>
          <w:i/>
        </w:rPr>
      </w:pPr>
      <w:r w:rsidRPr="004E3AD7">
        <w:rPr>
          <w:b/>
          <w:i/>
        </w:rPr>
        <w:t>Státní fond životního prostředí České republiky</w:t>
      </w:r>
      <w:r w:rsidRPr="004E3AD7">
        <w:rPr>
          <w:b/>
          <w:i/>
        </w:rPr>
        <w:tab/>
      </w:r>
    </w:p>
    <w:p w14:paraId="3CB75968" w14:textId="77777777" w:rsidR="009E1A1A" w:rsidRPr="00104F7D" w:rsidRDefault="009E1A1A" w:rsidP="007C4955">
      <w:pPr>
        <w:pStyle w:val="bn-text"/>
        <w:spacing w:before="0" w:after="0"/>
        <w:ind w:firstLine="0"/>
        <w:contextualSpacing/>
        <w:rPr>
          <w:rFonts w:ascii="Arial" w:hAnsi="Arial" w:cs="Arial"/>
          <w:b/>
          <w:color w:val="FF0000"/>
          <w:sz w:val="22"/>
          <w:szCs w:val="22"/>
          <w:highlight w:val="yellow"/>
        </w:rPr>
      </w:pPr>
    </w:p>
    <w:p w14:paraId="1FAB759C" w14:textId="77777777" w:rsidR="00AA2321" w:rsidRPr="00AA2321" w:rsidRDefault="00AA2321" w:rsidP="00AA2321">
      <w:pPr>
        <w:contextualSpacing/>
        <w:rPr>
          <w:rFonts w:eastAsia="Times New Roman" w:cs="Arial"/>
          <w:b/>
          <w:lang w:eastAsia="cs-CZ"/>
        </w:rPr>
      </w:pPr>
      <w:r w:rsidRPr="00AA2321">
        <w:rPr>
          <w:rFonts w:eastAsia="Times New Roman" w:cs="Arial"/>
          <w:b/>
          <w:lang w:eastAsia="cs-CZ"/>
        </w:rPr>
        <w:t>Státní fond životního prostředí České republiky, který byl zřízen zákonem č. 388/1991 Sb., je jinou státní organizací se specifickým zaměřením, která je významným finančním zdrojem pro podporu realizace opatření k ochraně a zlepšování stavu životního prostředí v jeho jednotlivých složkách.</w:t>
      </w:r>
    </w:p>
    <w:p w14:paraId="0FCBAE8D" w14:textId="77777777" w:rsidR="00AA2321" w:rsidRPr="00AA2321" w:rsidRDefault="00AA2321" w:rsidP="00AA2321">
      <w:pPr>
        <w:contextualSpacing/>
        <w:rPr>
          <w:rFonts w:eastAsia="Times New Roman" w:cs="Arial"/>
          <w:b/>
          <w:lang w:eastAsia="cs-CZ"/>
        </w:rPr>
      </w:pPr>
    </w:p>
    <w:p w14:paraId="13F418A3" w14:textId="77777777" w:rsidR="00AA2321" w:rsidRPr="00AA2321" w:rsidRDefault="00AA2321" w:rsidP="00AA2321">
      <w:pPr>
        <w:contextualSpacing/>
        <w:rPr>
          <w:rFonts w:eastAsia="Times New Roman" w:cs="Arial"/>
          <w:bCs/>
          <w:lang w:eastAsia="cs-CZ"/>
        </w:rPr>
      </w:pPr>
      <w:r w:rsidRPr="00AA2321">
        <w:rPr>
          <w:rFonts w:eastAsia="Times New Roman" w:cs="Arial"/>
          <w:bCs/>
          <w:lang w:eastAsia="cs-CZ"/>
        </w:rPr>
        <w:t xml:space="preserve">Na celkových příjmech Státního fondu životního prostředí České republiky (dále jen „SFŽP ČR“) se podílely příjmy z poplatků za znečištění životního prostředí částkou 556,3 mil. Kč. Příjmy z pokut a finančních postihů dosáhly výše 10,8 mil. Kč. V oblasti ochrany vod se jedná o poplatek za vypouštění odpadních vod do vod povrchových a poplatek za odebrané množství podzemní vody, jak zobrazuje tabulka 11.1.2.7. </w:t>
      </w:r>
    </w:p>
    <w:p w14:paraId="7B6913C6" w14:textId="77777777" w:rsidR="002630B9" w:rsidRPr="00104F7D" w:rsidRDefault="002630B9" w:rsidP="007C4955">
      <w:pPr>
        <w:contextualSpacing/>
        <w:rPr>
          <w:rFonts w:cs="Arial"/>
          <w:b/>
          <w:i/>
          <w:highlight w:val="yellow"/>
        </w:rPr>
      </w:pPr>
    </w:p>
    <w:p w14:paraId="03AC33AA" w14:textId="46E45408" w:rsidR="00376878" w:rsidRPr="005D6064" w:rsidRDefault="00376878" w:rsidP="007C4955">
      <w:pPr>
        <w:contextualSpacing/>
        <w:rPr>
          <w:rFonts w:cs="Arial"/>
        </w:rPr>
      </w:pPr>
      <w:r w:rsidRPr="005D6064">
        <w:rPr>
          <w:rFonts w:cs="Arial"/>
          <w:b/>
          <w:i/>
        </w:rPr>
        <w:t xml:space="preserve">Tabulka </w:t>
      </w:r>
      <w:r w:rsidR="00661FC2" w:rsidRPr="005D6064">
        <w:rPr>
          <w:rFonts w:cs="Arial"/>
          <w:b/>
          <w:i/>
        </w:rPr>
        <w:t>11</w:t>
      </w:r>
      <w:r w:rsidRPr="005D6064">
        <w:rPr>
          <w:rFonts w:cs="Arial"/>
          <w:b/>
          <w:i/>
        </w:rPr>
        <w:t>.1.2.</w:t>
      </w:r>
      <w:r w:rsidR="008B61A9">
        <w:rPr>
          <w:rFonts w:cs="Arial"/>
          <w:b/>
          <w:i/>
        </w:rPr>
        <w:t>6</w:t>
      </w:r>
    </w:p>
    <w:p w14:paraId="4710E609" w14:textId="26257B0A" w:rsidR="00850B6F" w:rsidRDefault="00850B6F" w:rsidP="001C3A4C">
      <w:pPr>
        <w:rPr>
          <w:rFonts w:cs="Arial"/>
          <w:b/>
          <w:i/>
        </w:rPr>
      </w:pPr>
      <w:r w:rsidRPr="005D6064">
        <w:rPr>
          <w:rFonts w:cs="Arial"/>
          <w:b/>
          <w:i/>
        </w:rPr>
        <w:t>Státní fond životního prostředí – Struktura plnění příjmové části rozpočtu (pouze týkající se vody) – rok 2025</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5"/>
        <w:gridCol w:w="1763"/>
        <w:gridCol w:w="2137"/>
        <w:gridCol w:w="1242"/>
        <w:gridCol w:w="1431"/>
      </w:tblGrid>
      <w:tr w:rsidR="00052C78" w:rsidRPr="00052C78" w14:paraId="7ED623E1" w14:textId="77777777">
        <w:trPr>
          <w:trHeight w:val="20"/>
        </w:trPr>
        <w:tc>
          <w:tcPr>
            <w:tcW w:w="1586" w:type="pct"/>
            <w:vMerge w:val="restart"/>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3EF2EB83" w14:textId="77777777" w:rsidR="00052C78" w:rsidRPr="00961E19" w:rsidRDefault="00052C78" w:rsidP="00052C78">
            <w:pPr>
              <w:rPr>
                <w:rFonts w:cs="Arial"/>
                <w:b/>
                <w:iCs/>
                <w:sz w:val="18"/>
                <w:szCs w:val="18"/>
              </w:rPr>
            </w:pPr>
            <w:r w:rsidRPr="00961E19">
              <w:rPr>
                <w:rFonts w:cs="Arial"/>
                <w:b/>
                <w:iCs/>
                <w:sz w:val="18"/>
                <w:szCs w:val="18"/>
              </w:rPr>
              <w:t>Složka životního prostředí (oblast ochrany vod)</w:t>
            </w:r>
          </w:p>
        </w:tc>
        <w:tc>
          <w:tcPr>
            <w:tcW w:w="915" w:type="pct"/>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0841C78D" w14:textId="77777777" w:rsidR="00052C78" w:rsidRPr="00961E19" w:rsidRDefault="00052C78" w:rsidP="00052C78">
            <w:pPr>
              <w:rPr>
                <w:rFonts w:cs="Arial"/>
                <w:b/>
                <w:iCs/>
                <w:sz w:val="18"/>
                <w:szCs w:val="18"/>
              </w:rPr>
            </w:pPr>
            <w:r w:rsidRPr="00961E19">
              <w:rPr>
                <w:rFonts w:cs="Arial"/>
                <w:b/>
                <w:iCs/>
                <w:sz w:val="18"/>
                <w:szCs w:val="18"/>
              </w:rPr>
              <w:t>Rozpočet 2025</w:t>
            </w:r>
          </w:p>
        </w:tc>
        <w:tc>
          <w:tcPr>
            <w:tcW w:w="1109" w:type="pct"/>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5E912039" w14:textId="77777777" w:rsidR="00052C78" w:rsidRPr="00961E19" w:rsidRDefault="00052C78" w:rsidP="00052C78">
            <w:pPr>
              <w:rPr>
                <w:rFonts w:cs="Arial"/>
                <w:b/>
                <w:iCs/>
                <w:sz w:val="18"/>
                <w:szCs w:val="18"/>
              </w:rPr>
            </w:pPr>
            <w:r w:rsidRPr="00961E19">
              <w:rPr>
                <w:rFonts w:cs="Arial"/>
                <w:b/>
                <w:iCs/>
                <w:sz w:val="18"/>
                <w:szCs w:val="18"/>
              </w:rPr>
              <w:t>Příjmy</w:t>
            </w:r>
          </w:p>
          <w:p w14:paraId="008E06CC" w14:textId="77777777" w:rsidR="00052C78" w:rsidRPr="00961E19" w:rsidRDefault="00052C78" w:rsidP="00052C78">
            <w:pPr>
              <w:rPr>
                <w:rFonts w:cs="Arial"/>
                <w:b/>
                <w:iCs/>
                <w:sz w:val="18"/>
                <w:szCs w:val="18"/>
              </w:rPr>
            </w:pPr>
            <w:r w:rsidRPr="00961E19">
              <w:rPr>
                <w:rFonts w:cs="Arial"/>
                <w:b/>
                <w:iCs/>
                <w:sz w:val="18"/>
                <w:szCs w:val="18"/>
              </w:rPr>
              <w:t>k 31. 12. 2025</w:t>
            </w:r>
          </w:p>
        </w:tc>
        <w:tc>
          <w:tcPr>
            <w:tcW w:w="645" w:type="pct"/>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63A77CA6" w14:textId="77777777" w:rsidR="00052C78" w:rsidRPr="00961E19" w:rsidRDefault="00052C78" w:rsidP="00052C78">
            <w:pPr>
              <w:rPr>
                <w:rFonts w:cs="Arial"/>
                <w:b/>
                <w:iCs/>
                <w:sz w:val="18"/>
                <w:szCs w:val="18"/>
              </w:rPr>
            </w:pPr>
            <w:r w:rsidRPr="00961E19">
              <w:rPr>
                <w:rFonts w:cs="Arial"/>
                <w:b/>
                <w:iCs/>
                <w:sz w:val="18"/>
                <w:szCs w:val="18"/>
              </w:rPr>
              <w:t>Plnění</w:t>
            </w:r>
          </w:p>
        </w:tc>
        <w:tc>
          <w:tcPr>
            <w:tcW w:w="743" w:type="pct"/>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2B65E385" w14:textId="77777777" w:rsidR="00052C78" w:rsidRPr="00961E19" w:rsidRDefault="00052C78" w:rsidP="00052C78">
            <w:pPr>
              <w:rPr>
                <w:rFonts w:cs="Arial"/>
                <w:b/>
                <w:iCs/>
                <w:sz w:val="18"/>
                <w:szCs w:val="18"/>
              </w:rPr>
            </w:pPr>
            <w:r w:rsidRPr="00961E19">
              <w:rPr>
                <w:rFonts w:cs="Arial"/>
                <w:b/>
                <w:iCs/>
                <w:sz w:val="18"/>
                <w:szCs w:val="18"/>
              </w:rPr>
              <w:t>Rozdíl</w:t>
            </w:r>
          </w:p>
        </w:tc>
      </w:tr>
      <w:tr w:rsidR="00052C78" w:rsidRPr="00052C78" w14:paraId="38BDB58A" w14:textId="77777777">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2B6246" w14:textId="77777777" w:rsidR="00052C78" w:rsidRPr="00961E19" w:rsidRDefault="00052C78" w:rsidP="00052C78">
            <w:pPr>
              <w:rPr>
                <w:rFonts w:cs="Arial"/>
                <w:b/>
                <w:iCs/>
                <w:sz w:val="18"/>
                <w:szCs w:val="18"/>
              </w:rPr>
            </w:pPr>
          </w:p>
        </w:tc>
        <w:tc>
          <w:tcPr>
            <w:tcW w:w="2025" w:type="pct"/>
            <w:gridSpan w:val="2"/>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33661B3B" w14:textId="77777777" w:rsidR="00052C78" w:rsidRPr="00961E19" w:rsidRDefault="00052C78" w:rsidP="00052C78">
            <w:pPr>
              <w:rPr>
                <w:rFonts w:cs="Arial"/>
                <w:b/>
                <w:iCs/>
                <w:sz w:val="18"/>
                <w:szCs w:val="18"/>
              </w:rPr>
            </w:pPr>
            <w:r w:rsidRPr="00961E19">
              <w:rPr>
                <w:rFonts w:cs="Arial"/>
                <w:b/>
                <w:iCs/>
                <w:sz w:val="18"/>
                <w:szCs w:val="18"/>
              </w:rPr>
              <w:t>mil. Kč</w:t>
            </w:r>
          </w:p>
        </w:tc>
        <w:tc>
          <w:tcPr>
            <w:tcW w:w="645" w:type="pct"/>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6F2F6D63" w14:textId="77777777" w:rsidR="00052C78" w:rsidRPr="00961E19" w:rsidRDefault="00052C78" w:rsidP="00052C78">
            <w:pPr>
              <w:rPr>
                <w:rFonts w:cs="Arial"/>
                <w:b/>
                <w:iCs/>
                <w:sz w:val="18"/>
                <w:szCs w:val="18"/>
              </w:rPr>
            </w:pPr>
            <w:r w:rsidRPr="00961E19">
              <w:rPr>
                <w:rFonts w:cs="Arial"/>
                <w:b/>
                <w:iCs/>
                <w:sz w:val="18"/>
                <w:szCs w:val="18"/>
              </w:rPr>
              <w:t>%</w:t>
            </w:r>
          </w:p>
        </w:tc>
        <w:tc>
          <w:tcPr>
            <w:tcW w:w="743" w:type="pct"/>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09846FB2" w14:textId="77777777" w:rsidR="00052C78" w:rsidRPr="00961E19" w:rsidRDefault="00052C78" w:rsidP="00052C78">
            <w:pPr>
              <w:rPr>
                <w:rFonts w:cs="Arial"/>
                <w:b/>
                <w:iCs/>
                <w:sz w:val="18"/>
                <w:szCs w:val="18"/>
              </w:rPr>
            </w:pPr>
            <w:r w:rsidRPr="00961E19">
              <w:rPr>
                <w:rFonts w:cs="Arial"/>
                <w:b/>
                <w:iCs/>
                <w:sz w:val="18"/>
                <w:szCs w:val="18"/>
              </w:rPr>
              <w:t>mil. Kč</w:t>
            </w:r>
          </w:p>
        </w:tc>
      </w:tr>
      <w:tr w:rsidR="00052C78" w:rsidRPr="00052C78" w14:paraId="7C32CBDA" w14:textId="77777777">
        <w:trPr>
          <w:trHeight w:val="394"/>
        </w:trPr>
        <w:tc>
          <w:tcPr>
            <w:tcW w:w="1586" w:type="pct"/>
            <w:tcBorders>
              <w:top w:val="single" w:sz="4" w:space="0" w:color="000000"/>
              <w:left w:val="single" w:sz="4" w:space="0" w:color="000000"/>
              <w:bottom w:val="single" w:sz="4" w:space="0" w:color="000000"/>
              <w:right w:val="single" w:sz="4" w:space="0" w:color="000000"/>
            </w:tcBorders>
            <w:hideMark/>
          </w:tcPr>
          <w:p w14:paraId="60EA399C" w14:textId="77777777" w:rsidR="00052C78" w:rsidRPr="00961E19" w:rsidRDefault="00052C78" w:rsidP="00052C78">
            <w:pPr>
              <w:rPr>
                <w:rFonts w:cs="Arial"/>
                <w:bCs/>
                <w:iCs/>
                <w:sz w:val="18"/>
                <w:szCs w:val="18"/>
              </w:rPr>
            </w:pPr>
            <w:r w:rsidRPr="00961E19">
              <w:rPr>
                <w:rFonts w:cs="Arial"/>
                <w:bCs/>
                <w:iCs/>
                <w:sz w:val="18"/>
                <w:szCs w:val="18"/>
              </w:rPr>
              <w:t>Odpadní voda</w:t>
            </w:r>
          </w:p>
        </w:tc>
        <w:tc>
          <w:tcPr>
            <w:tcW w:w="915" w:type="pct"/>
            <w:tcBorders>
              <w:top w:val="single" w:sz="4" w:space="0" w:color="000000"/>
              <w:left w:val="single" w:sz="4" w:space="0" w:color="000000"/>
              <w:bottom w:val="single" w:sz="4" w:space="0" w:color="000000"/>
              <w:right w:val="single" w:sz="4" w:space="0" w:color="000000"/>
            </w:tcBorders>
            <w:vAlign w:val="center"/>
            <w:hideMark/>
          </w:tcPr>
          <w:p w14:paraId="14B104A5" w14:textId="77777777" w:rsidR="00052C78" w:rsidRPr="00961E19" w:rsidRDefault="00052C78" w:rsidP="00052C78">
            <w:pPr>
              <w:rPr>
                <w:rFonts w:cs="Arial"/>
                <w:bCs/>
                <w:iCs/>
                <w:sz w:val="18"/>
                <w:szCs w:val="18"/>
              </w:rPr>
            </w:pPr>
            <w:r w:rsidRPr="00961E19">
              <w:rPr>
                <w:rFonts w:cs="Arial"/>
                <w:bCs/>
                <w:iCs/>
                <w:sz w:val="18"/>
                <w:szCs w:val="18"/>
              </w:rPr>
              <w:t>175,0</w:t>
            </w:r>
          </w:p>
        </w:tc>
        <w:tc>
          <w:tcPr>
            <w:tcW w:w="1109" w:type="pct"/>
            <w:tcBorders>
              <w:top w:val="single" w:sz="4" w:space="0" w:color="000000"/>
              <w:left w:val="single" w:sz="4" w:space="0" w:color="000000"/>
              <w:bottom w:val="single" w:sz="4" w:space="0" w:color="000000"/>
              <w:right w:val="single" w:sz="4" w:space="0" w:color="000000"/>
            </w:tcBorders>
            <w:vAlign w:val="center"/>
            <w:hideMark/>
          </w:tcPr>
          <w:p w14:paraId="660BE1CA" w14:textId="77777777" w:rsidR="00052C78" w:rsidRPr="00961E19" w:rsidRDefault="00052C78" w:rsidP="00052C78">
            <w:pPr>
              <w:rPr>
                <w:rFonts w:cs="Arial"/>
                <w:bCs/>
                <w:iCs/>
                <w:sz w:val="18"/>
                <w:szCs w:val="18"/>
              </w:rPr>
            </w:pPr>
            <w:r w:rsidRPr="00961E19">
              <w:rPr>
                <w:rFonts w:cs="Arial"/>
                <w:bCs/>
                <w:iCs/>
                <w:sz w:val="18"/>
                <w:szCs w:val="18"/>
              </w:rPr>
              <w:t>193,2</w:t>
            </w:r>
          </w:p>
        </w:tc>
        <w:tc>
          <w:tcPr>
            <w:tcW w:w="645" w:type="pct"/>
            <w:tcBorders>
              <w:top w:val="single" w:sz="4" w:space="0" w:color="000000"/>
              <w:left w:val="single" w:sz="4" w:space="0" w:color="000000"/>
              <w:bottom w:val="single" w:sz="4" w:space="0" w:color="000000"/>
              <w:right w:val="single" w:sz="4" w:space="0" w:color="000000"/>
            </w:tcBorders>
            <w:vAlign w:val="center"/>
            <w:hideMark/>
          </w:tcPr>
          <w:p w14:paraId="70E1F6E5" w14:textId="77777777" w:rsidR="00052C78" w:rsidRPr="00961E19" w:rsidRDefault="00052C78" w:rsidP="00052C78">
            <w:pPr>
              <w:rPr>
                <w:rFonts w:cs="Arial"/>
                <w:bCs/>
                <w:iCs/>
                <w:sz w:val="18"/>
                <w:szCs w:val="18"/>
              </w:rPr>
            </w:pPr>
            <w:r w:rsidRPr="00961E19">
              <w:rPr>
                <w:rFonts w:cs="Arial"/>
                <w:bCs/>
                <w:iCs/>
                <w:sz w:val="18"/>
                <w:szCs w:val="18"/>
              </w:rPr>
              <w:t>110</w:t>
            </w:r>
          </w:p>
        </w:tc>
        <w:tc>
          <w:tcPr>
            <w:tcW w:w="743" w:type="pct"/>
            <w:tcBorders>
              <w:top w:val="single" w:sz="4" w:space="0" w:color="000000"/>
              <w:left w:val="single" w:sz="4" w:space="0" w:color="000000"/>
              <w:bottom w:val="single" w:sz="4" w:space="0" w:color="000000"/>
              <w:right w:val="single" w:sz="4" w:space="0" w:color="000000"/>
            </w:tcBorders>
            <w:vAlign w:val="center"/>
            <w:hideMark/>
          </w:tcPr>
          <w:p w14:paraId="27C99A57" w14:textId="77777777" w:rsidR="00052C78" w:rsidRPr="00961E19" w:rsidRDefault="00052C78" w:rsidP="00052C78">
            <w:pPr>
              <w:rPr>
                <w:rFonts w:cs="Arial"/>
                <w:bCs/>
                <w:iCs/>
                <w:sz w:val="18"/>
                <w:szCs w:val="18"/>
              </w:rPr>
            </w:pPr>
            <w:r w:rsidRPr="00961E19">
              <w:rPr>
                <w:rFonts w:cs="Arial"/>
                <w:bCs/>
                <w:iCs/>
                <w:sz w:val="18"/>
                <w:szCs w:val="18"/>
              </w:rPr>
              <w:t>18,2</w:t>
            </w:r>
          </w:p>
        </w:tc>
      </w:tr>
      <w:tr w:rsidR="00052C78" w:rsidRPr="00052C78" w14:paraId="59521B58" w14:textId="77777777">
        <w:trPr>
          <w:trHeight w:val="192"/>
        </w:trPr>
        <w:tc>
          <w:tcPr>
            <w:tcW w:w="1586" w:type="pct"/>
            <w:tcBorders>
              <w:top w:val="single" w:sz="4" w:space="0" w:color="000000"/>
              <w:left w:val="single" w:sz="4" w:space="0" w:color="000000"/>
              <w:bottom w:val="single" w:sz="4" w:space="0" w:color="000000"/>
              <w:right w:val="single" w:sz="4" w:space="0" w:color="000000"/>
            </w:tcBorders>
            <w:hideMark/>
          </w:tcPr>
          <w:p w14:paraId="43C358A4" w14:textId="77777777" w:rsidR="00052C78" w:rsidRPr="00961E19" w:rsidRDefault="00052C78" w:rsidP="00052C78">
            <w:pPr>
              <w:rPr>
                <w:rFonts w:cs="Arial"/>
                <w:bCs/>
                <w:iCs/>
                <w:sz w:val="18"/>
                <w:szCs w:val="18"/>
              </w:rPr>
            </w:pPr>
            <w:r w:rsidRPr="00961E19">
              <w:rPr>
                <w:rFonts w:cs="Arial"/>
                <w:bCs/>
                <w:iCs/>
                <w:sz w:val="18"/>
                <w:szCs w:val="18"/>
              </w:rPr>
              <w:t>Podzemní voda</w:t>
            </w:r>
          </w:p>
        </w:tc>
        <w:tc>
          <w:tcPr>
            <w:tcW w:w="915" w:type="pct"/>
            <w:tcBorders>
              <w:top w:val="single" w:sz="4" w:space="0" w:color="000000"/>
              <w:left w:val="single" w:sz="4" w:space="0" w:color="000000"/>
              <w:bottom w:val="single" w:sz="4" w:space="0" w:color="000000"/>
              <w:right w:val="single" w:sz="4" w:space="0" w:color="000000"/>
            </w:tcBorders>
            <w:vAlign w:val="center"/>
            <w:hideMark/>
          </w:tcPr>
          <w:p w14:paraId="382C5B87" w14:textId="77777777" w:rsidR="00052C78" w:rsidRPr="00961E19" w:rsidRDefault="00052C78" w:rsidP="00052C78">
            <w:pPr>
              <w:rPr>
                <w:rFonts w:cs="Arial"/>
                <w:bCs/>
                <w:iCs/>
                <w:sz w:val="18"/>
                <w:szCs w:val="18"/>
              </w:rPr>
            </w:pPr>
            <w:r w:rsidRPr="00961E19">
              <w:rPr>
                <w:rFonts w:cs="Arial"/>
                <w:bCs/>
                <w:iCs/>
                <w:sz w:val="18"/>
                <w:szCs w:val="18"/>
              </w:rPr>
              <w:t>330,0</w:t>
            </w:r>
          </w:p>
        </w:tc>
        <w:tc>
          <w:tcPr>
            <w:tcW w:w="1109" w:type="pct"/>
            <w:tcBorders>
              <w:top w:val="single" w:sz="4" w:space="0" w:color="000000"/>
              <w:left w:val="single" w:sz="4" w:space="0" w:color="000000"/>
              <w:bottom w:val="single" w:sz="4" w:space="0" w:color="000000"/>
              <w:right w:val="single" w:sz="4" w:space="0" w:color="000000"/>
            </w:tcBorders>
            <w:vAlign w:val="center"/>
            <w:hideMark/>
          </w:tcPr>
          <w:p w14:paraId="18C01C9E" w14:textId="77777777" w:rsidR="00052C78" w:rsidRPr="00961E19" w:rsidRDefault="00052C78" w:rsidP="00052C78">
            <w:pPr>
              <w:rPr>
                <w:rFonts w:cs="Arial"/>
                <w:bCs/>
                <w:iCs/>
                <w:sz w:val="18"/>
                <w:szCs w:val="18"/>
              </w:rPr>
            </w:pPr>
            <w:r w:rsidRPr="00961E19">
              <w:rPr>
                <w:rFonts w:cs="Arial"/>
                <w:bCs/>
                <w:iCs/>
                <w:sz w:val="18"/>
                <w:szCs w:val="18"/>
              </w:rPr>
              <w:t>363,1</w:t>
            </w:r>
          </w:p>
        </w:tc>
        <w:tc>
          <w:tcPr>
            <w:tcW w:w="645" w:type="pct"/>
            <w:tcBorders>
              <w:top w:val="single" w:sz="4" w:space="0" w:color="000000"/>
              <w:left w:val="single" w:sz="4" w:space="0" w:color="000000"/>
              <w:bottom w:val="single" w:sz="4" w:space="0" w:color="000000"/>
              <w:right w:val="single" w:sz="4" w:space="0" w:color="000000"/>
            </w:tcBorders>
            <w:vAlign w:val="center"/>
            <w:hideMark/>
          </w:tcPr>
          <w:p w14:paraId="1D169352" w14:textId="77777777" w:rsidR="00052C78" w:rsidRPr="00961E19" w:rsidRDefault="00052C78" w:rsidP="00052C78">
            <w:pPr>
              <w:rPr>
                <w:rFonts w:cs="Arial"/>
                <w:bCs/>
                <w:iCs/>
                <w:sz w:val="18"/>
                <w:szCs w:val="18"/>
              </w:rPr>
            </w:pPr>
            <w:r w:rsidRPr="00961E19">
              <w:rPr>
                <w:rFonts w:cs="Arial"/>
                <w:bCs/>
                <w:iCs/>
                <w:sz w:val="18"/>
                <w:szCs w:val="18"/>
              </w:rPr>
              <w:t>110</w:t>
            </w:r>
          </w:p>
        </w:tc>
        <w:tc>
          <w:tcPr>
            <w:tcW w:w="743" w:type="pct"/>
            <w:tcBorders>
              <w:top w:val="single" w:sz="4" w:space="0" w:color="000000"/>
              <w:left w:val="single" w:sz="4" w:space="0" w:color="000000"/>
              <w:bottom w:val="single" w:sz="4" w:space="0" w:color="000000"/>
              <w:right w:val="single" w:sz="4" w:space="0" w:color="000000"/>
            </w:tcBorders>
            <w:vAlign w:val="center"/>
            <w:hideMark/>
          </w:tcPr>
          <w:p w14:paraId="061E73EE" w14:textId="77777777" w:rsidR="00052C78" w:rsidRPr="00961E19" w:rsidRDefault="00052C78" w:rsidP="00052C78">
            <w:pPr>
              <w:rPr>
                <w:rFonts w:cs="Arial"/>
                <w:bCs/>
                <w:iCs/>
                <w:sz w:val="18"/>
                <w:szCs w:val="18"/>
              </w:rPr>
            </w:pPr>
            <w:r w:rsidRPr="00961E19">
              <w:rPr>
                <w:rFonts w:cs="Arial"/>
                <w:bCs/>
                <w:iCs/>
                <w:sz w:val="18"/>
                <w:szCs w:val="18"/>
              </w:rPr>
              <w:t>33,1</w:t>
            </w:r>
          </w:p>
        </w:tc>
      </w:tr>
    </w:tbl>
    <w:p w14:paraId="58A720E3" w14:textId="77777777" w:rsidR="004878BB" w:rsidRPr="00052C78" w:rsidRDefault="004878BB" w:rsidP="004878BB">
      <w:pPr>
        <w:contextualSpacing/>
        <w:rPr>
          <w:rFonts w:cs="Arial"/>
          <w:sz w:val="20"/>
          <w:szCs w:val="20"/>
        </w:rPr>
      </w:pPr>
      <w:r w:rsidRPr="00052C78">
        <w:rPr>
          <w:rFonts w:cs="Arial"/>
          <w:i/>
          <w:sz w:val="20"/>
          <w:szCs w:val="20"/>
        </w:rPr>
        <w:t>Pramen: SFŽP</w:t>
      </w:r>
    </w:p>
    <w:p w14:paraId="1A31FD5F" w14:textId="77777777" w:rsidR="006B1299" w:rsidRPr="00104F7D" w:rsidRDefault="006B1299" w:rsidP="00661FC2">
      <w:pPr>
        <w:contextualSpacing/>
        <w:rPr>
          <w:rFonts w:cs="Arial"/>
          <w:b/>
          <w:i/>
          <w:highlight w:val="yellow"/>
        </w:rPr>
      </w:pPr>
    </w:p>
    <w:p w14:paraId="47CB2CAF" w14:textId="36FCC583" w:rsidR="00661FC2" w:rsidRPr="00313E1F" w:rsidRDefault="00661FC2" w:rsidP="00661FC2">
      <w:pPr>
        <w:contextualSpacing/>
        <w:rPr>
          <w:rFonts w:cs="Arial"/>
          <w:b/>
          <w:i/>
        </w:rPr>
      </w:pPr>
      <w:r w:rsidRPr="00313E1F">
        <w:rPr>
          <w:rFonts w:cs="Arial"/>
          <w:b/>
          <w:i/>
        </w:rPr>
        <w:t>Graf 11.1.2.2</w:t>
      </w:r>
    </w:p>
    <w:p w14:paraId="03A28BBE" w14:textId="07CFF42A" w:rsidR="004878BB" w:rsidRPr="00313E1F" w:rsidRDefault="004878BB" w:rsidP="004878BB">
      <w:pPr>
        <w:contextualSpacing/>
        <w:rPr>
          <w:rFonts w:cs="Arial"/>
          <w:b/>
          <w:i/>
        </w:rPr>
      </w:pPr>
      <w:r w:rsidRPr="00313E1F">
        <w:rPr>
          <w:rFonts w:cs="Arial"/>
          <w:b/>
          <w:i/>
        </w:rPr>
        <w:t>Státní fond životního prostředí – Vývoj příjmů z poplatků ve složce odpadní voda v letech 20</w:t>
      </w:r>
      <w:r w:rsidR="00961E19">
        <w:rPr>
          <w:rFonts w:cs="Arial"/>
          <w:b/>
          <w:i/>
        </w:rPr>
        <w:t>22</w:t>
      </w:r>
      <w:r w:rsidRPr="00313E1F">
        <w:rPr>
          <w:rFonts w:cs="Arial"/>
          <w:b/>
          <w:i/>
        </w:rPr>
        <w:t>–202</w:t>
      </w:r>
      <w:r w:rsidR="00313E1F">
        <w:rPr>
          <w:rFonts w:cs="Arial"/>
          <w:b/>
          <w:i/>
        </w:rPr>
        <w:t>5</w:t>
      </w:r>
    </w:p>
    <w:p w14:paraId="34846C8C" w14:textId="7F8C9F40" w:rsidR="00313E1F" w:rsidRDefault="00313E1F" w:rsidP="004878BB">
      <w:pPr>
        <w:contextualSpacing/>
        <w:rPr>
          <w:rFonts w:cs="Arial"/>
          <w:b/>
          <w:i/>
          <w:highlight w:val="yellow"/>
        </w:rPr>
      </w:pPr>
      <w:r>
        <w:rPr>
          <w:noProof/>
        </w:rPr>
        <w:drawing>
          <wp:inline distT="0" distB="0" distL="0" distR="0" wp14:anchorId="50C6617F" wp14:editId="3A0F9742">
            <wp:extent cx="4552950" cy="2286000"/>
            <wp:effectExtent l="0" t="0" r="0" b="0"/>
            <wp:docPr id="1932696562" name="Graf 1">
              <a:extLst xmlns:a="http://schemas.openxmlformats.org/drawingml/2006/main">
                <a:ext uri="{FF2B5EF4-FFF2-40B4-BE49-F238E27FC236}">
                  <a16:creationId xmlns:a16="http://schemas.microsoft.com/office/drawing/2014/main" id="{748B0310-D767-4EA1-9596-44813801D5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1218CE26" w14:textId="198A6284" w:rsidR="00661FC2" w:rsidRPr="00C0073B" w:rsidRDefault="00661FC2" w:rsidP="00661FC2">
      <w:pPr>
        <w:contextualSpacing/>
        <w:rPr>
          <w:rFonts w:cs="Arial"/>
          <w:i/>
          <w:sz w:val="20"/>
          <w:szCs w:val="20"/>
        </w:rPr>
      </w:pPr>
      <w:r w:rsidRPr="00C0073B">
        <w:rPr>
          <w:rFonts w:cs="Arial"/>
          <w:i/>
          <w:sz w:val="20"/>
          <w:szCs w:val="20"/>
        </w:rPr>
        <w:t>Pramen: SFŽP</w:t>
      </w:r>
    </w:p>
    <w:p w14:paraId="6CF21799" w14:textId="1E804AE2" w:rsidR="00661FC2" w:rsidRPr="00104F7D" w:rsidRDefault="00661FC2" w:rsidP="00661FC2">
      <w:pPr>
        <w:contextualSpacing/>
        <w:rPr>
          <w:rFonts w:cs="Arial"/>
          <w:i/>
          <w:sz w:val="20"/>
          <w:szCs w:val="20"/>
          <w:highlight w:val="yellow"/>
        </w:rPr>
      </w:pPr>
    </w:p>
    <w:p w14:paraId="681A0557" w14:textId="77777777" w:rsidR="008A334D" w:rsidRPr="00104F7D" w:rsidRDefault="008A334D" w:rsidP="00661FC2">
      <w:pPr>
        <w:contextualSpacing/>
        <w:rPr>
          <w:rFonts w:cs="Arial"/>
          <w:b/>
          <w:i/>
          <w:highlight w:val="yellow"/>
        </w:rPr>
      </w:pPr>
    </w:p>
    <w:p w14:paraId="5C52634F" w14:textId="77777777" w:rsidR="004A3F1C" w:rsidRDefault="004A3F1C" w:rsidP="00661FC2">
      <w:pPr>
        <w:contextualSpacing/>
        <w:rPr>
          <w:rFonts w:cs="Arial"/>
          <w:b/>
          <w:i/>
        </w:rPr>
      </w:pPr>
    </w:p>
    <w:p w14:paraId="48F78C80" w14:textId="693CCB5B" w:rsidR="00661FC2" w:rsidRPr="00C0073B" w:rsidRDefault="00661FC2" w:rsidP="00661FC2">
      <w:pPr>
        <w:contextualSpacing/>
        <w:rPr>
          <w:rFonts w:cs="Arial"/>
          <w:b/>
          <w:i/>
        </w:rPr>
      </w:pPr>
      <w:r w:rsidRPr="00C0073B">
        <w:rPr>
          <w:rFonts w:cs="Arial"/>
          <w:b/>
          <w:i/>
        </w:rPr>
        <w:t>Graf 11.1.2.3</w:t>
      </w:r>
    </w:p>
    <w:p w14:paraId="22717384" w14:textId="7279DE51" w:rsidR="000C3A80" w:rsidRPr="00C0073B" w:rsidRDefault="000C3A80" w:rsidP="000C3A80">
      <w:pPr>
        <w:contextualSpacing/>
        <w:rPr>
          <w:rFonts w:cs="Arial"/>
          <w:b/>
          <w:i/>
        </w:rPr>
      </w:pPr>
      <w:r w:rsidRPr="00C0073B">
        <w:rPr>
          <w:rFonts w:cs="Arial"/>
          <w:b/>
          <w:i/>
        </w:rPr>
        <w:t>Státní fond životního prostředí – Vývoj příjmů z poplatků ve složce podzemní voda v letech 20</w:t>
      </w:r>
      <w:r w:rsidR="001137D0" w:rsidRPr="00C0073B">
        <w:rPr>
          <w:rFonts w:cs="Arial"/>
          <w:b/>
          <w:i/>
        </w:rPr>
        <w:t>22</w:t>
      </w:r>
      <w:r w:rsidRPr="00C0073B">
        <w:rPr>
          <w:rFonts w:cs="Arial"/>
          <w:b/>
          <w:i/>
        </w:rPr>
        <w:t>–202</w:t>
      </w:r>
      <w:r w:rsidR="001137D0" w:rsidRPr="00C0073B">
        <w:rPr>
          <w:rFonts w:cs="Arial"/>
          <w:b/>
          <w:i/>
        </w:rPr>
        <w:t>5</w:t>
      </w:r>
    </w:p>
    <w:p w14:paraId="43011BD6" w14:textId="7E156324" w:rsidR="00661FC2" w:rsidRPr="00104F7D" w:rsidRDefault="00534728" w:rsidP="00661FC2">
      <w:pPr>
        <w:contextualSpacing/>
        <w:rPr>
          <w:rFonts w:cs="Arial"/>
          <w:b/>
          <w:i/>
          <w:highlight w:val="yellow"/>
        </w:rPr>
      </w:pPr>
      <w:r>
        <w:rPr>
          <w:noProof/>
        </w:rPr>
        <w:drawing>
          <wp:inline distT="0" distB="0" distL="0" distR="0" wp14:anchorId="158951F1" wp14:editId="501959C0">
            <wp:extent cx="5124450" cy="2947670"/>
            <wp:effectExtent l="0" t="0" r="0" b="5080"/>
            <wp:docPr id="2057935091" name="Graf 1">
              <a:extLst xmlns:a="http://schemas.openxmlformats.org/drawingml/2006/main">
                <a:ext uri="{FF2B5EF4-FFF2-40B4-BE49-F238E27FC236}">
                  <a16:creationId xmlns:a16="http://schemas.microsoft.com/office/drawing/2014/main" id="{8EDC0ED7-FAE2-48BB-ABD1-3ABB17D471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r w:rsidR="00661FC2" w:rsidRPr="00104F7D">
        <w:rPr>
          <w:rFonts w:cs="Arial"/>
          <w:b/>
          <w:i/>
          <w:highlight w:val="yellow"/>
        </w:rPr>
        <w:t xml:space="preserve"> </w:t>
      </w:r>
    </w:p>
    <w:p w14:paraId="1C95BB1C" w14:textId="77777777" w:rsidR="00661FC2" w:rsidRPr="00C0073B" w:rsidRDefault="00661FC2" w:rsidP="00661FC2">
      <w:pPr>
        <w:contextualSpacing/>
        <w:rPr>
          <w:rFonts w:cs="Arial"/>
          <w:i/>
          <w:sz w:val="20"/>
          <w:szCs w:val="20"/>
        </w:rPr>
      </w:pPr>
      <w:r w:rsidRPr="00C0073B">
        <w:rPr>
          <w:rFonts w:cs="Arial"/>
          <w:i/>
          <w:sz w:val="20"/>
          <w:szCs w:val="20"/>
        </w:rPr>
        <w:t>Pramen: SFŽP</w:t>
      </w:r>
    </w:p>
    <w:p w14:paraId="483554EE" w14:textId="77777777" w:rsidR="00403719" w:rsidRPr="00104F7D" w:rsidRDefault="00403719" w:rsidP="000C3A80">
      <w:pPr>
        <w:contextualSpacing/>
        <w:rPr>
          <w:rFonts w:cs="Arial"/>
          <w:b/>
          <w:i/>
          <w:highlight w:val="yellow"/>
        </w:rPr>
      </w:pPr>
    </w:p>
    <w:p w14:paraId="102503F1" w14:textId="77777777" w:rsidR="002630B9" w:rsidRPr="00104F7D" w:rsidRDefault="002630B9" w:rsidP="000C3A80">
      <w:pPr>
        <w:contextualSpacing/>
        <w:rPr>
          <w:rFonts w:cs="Arial"/>
          <w:b/>
          <w:i/>
          <w:highlight w:val="yellow"/>
        </w:rPr>
      </w:pPr>
    </w:p>
    <w:p w14:paraId="45F85FC9" w14:textId="77777777" w:rsidR="00B60F77" w:rsidRPr="001312A0" w:rsidRDefault="00B60F77" w:rsidP="00B60F77">
      <w:pPr>
        <w:contextualSpacing/>
        <w:jc w:val="left"/>
        <w:rPr>
          <w:rFonts w:cs="Arial"/>
          <w:b/>
          <w:iCs/>
        </w:rPr>
      </w:pPr>
      <w:r w:rsidRPr="001312A0">
        <w:rPr>
          <w:rFonts w:cs="Arial"/>
          <w:b/>
          <w:iCs/>
        </w:rPr>
        <w:t>Programy financované a administrované Státním fondem životního prostředí České republiky</w:t>
      </w:r>
    </w:p>
    <w:p w14:paraId="647F7051" w14:textId="77777777" w:rsidR="00B60F77" w:rsidRPr="001312A0" w:rsidRDefault="00B60F77" w:rsidP="00B60F77">
      <w:pPr>
        <w:contextualSpacing/>
        <w:jc w:val="left"/>
        <w:rPr>
          <w:rFonts w:cs="Arial"/>
          <w:b/>
          <w:iCs/>
        </w:rPr>
      </w:pPr>
    </w:p>
    <w:p w14:paraId="0804CC83" w14:textId="77777777" w:rsidR="00B60F77" w:rsidRPr="001312A0" w:rsidRDefault="00B60F77" w:rsidP="00B60F77">
      <w:pPr>
        <w:contextualSpacing/>
        <w:jc w:val="left"/>
        <w:rPr>
          <w:rFonts w:cs="Arial"/>
          <w:b/>
          <w:iCs/>
        </w:rPr>
      </w:pPr>
      <w:r w:rsidRPr="001312A0">
        <w:rPr>
          <w:rFonts w:cs="Arial"/>
          <w:b/>
          <w:iCs/>
        </w:rPr>
        <w:t xml:space="preserve">Státní fond životního prostředí České republiky zajišťuje poskytování finančních prostředků z národních programů a ze strukturálních fondů Evropské unie pro sektor životního prostředí. Z vlastních prostředků poskytuje finanční podporu projektům Národního programu Životní prostředí. V rámci programů, které Státní fond životního prostředí České republiky v roce 2025 administroval (mimo OPŽP, které jsou účetně vykázány jako výdaje SR v kapitole 315 – MŽP.) bylo proplaceno cca 3 908,9 mil. Kč. </w:t>
      </w:r>
    </w:p>
    <w:p w14:paraId="791D82F9" w14:textId="401AC774" w:rsidR="000C3A80" w:rsidRPr="00104F7D" w:rsidRDefault="000C3A80" w:rsidP="000C3A80">
      <w:pPr>
        <w:contextualSpacing/>
        <w:jc w:val="left"/>
        <w:rPr>
          <w:rFonts w:cs="Arial"/>
          <w:b/>
          <w:i/>
          <w:color w:val="FF0000"/>
          <w:highlight w:val="yellow"/>
        </w:rPr>
      </w:pPr>
    </w:p>
    <w:p w14:paraId="660AB3EA" w14:textId="77777777" w:rsidR="00950DBF" w:rsidRPr="001312A0" w:rsidRDefault="00950DBF" w:rsidP="00950DBF">
      <w:pPr>
        <w:contextualSpacing/>
        <w:rPr>
          <w:rFonts w:cs="Arial"/>
          <w:b/>
          <w:i/>
        </w:rPr>
      </w:pPr>
      <w:r w:rsidRPr="001312A0">
        <w:rPr>
          <w:rFonts w:cs="Arial"/>
          <w:b/>
          <w:i/>
        </w:rPr>
        <w:t xml:space="preserve">Graf 11.1.2.4 </w:t>
      </w:r>
    </w:p>
    <w:p w14:paraId="013B56CE" w14:textId="0E5C0F0F" w:rsidR="000C3A80" w:rsidRPr="001312A0" w:rsidRDefault="000C3A80" w:rsidP="000C3A80">
      <w:pPr>
        <w:contextualSpacing/>
        <w:rPr>
          <w:rFonts w:cs="Arial"/>
          <w:b/>
          <w:i/>
        </w:rPr>
      </w:pPr>
      <w:r w:rsidRPr="001312A0">
        <w:rPr>
          <w:rFonts w:cs="Arial"/>
          <w:b/>
          <w:i/>
        </w:rPr>
        <w:t>Státní fond životního prostředí ČR – administrované programy (oblast vodní hospodářství) – čerpání finančních prostředků v roce 202</w:t>
      </w:r>
      <w:r w:rsidR="001312A0">
        <w:rPr>
          <w:rFonts w:cs="Arial"/>
          <w:b/>
          <w:i/>
        </w:rPr>
        <w:t>5</w:t>
      </w:r>
      <w:r w:rsidRPr="001312A0">
        <w:rPr>
          <w:rFonts w:cs="Arial"/>
          <w:b/>
          <w:i/>
        </w:rPr>
        <w:t xml:space="preserve"> v mil. Kč</w:t>
      </w:r>
    </w:p>
    <w:p w14:paraId="08C404EE" w14:textId="402C6063" w:rsidR="00376878" w:rsidRPr="00104F7D" w:rsidRDefault="00C618CE" w:rsidP="007C4955">
      <w:pPr>
        <w:contextualSpacing/>
        <w:rPr>
          <w:rFonts w:cs="Arial"/>
          <w:b/>
          <w:i/>
          <w:color w:val="FF0000"/>
          <w:sz w:val="18"/>
          <w:szCs w:val="18"/>
          <w:highlight w:val="yellow"/>
        </w:rPr>
      </w:pPr>
      <w:r>
        <w:rPr>
          <w:noProof/>
        </w:rPr>
        <w:drawing>
          <wp:inline distT="0" distB="0" distL="0" distR="0" wp14:anchorId="017A9461" wp14:editId="569AFB9E">
            <wp:extent cx="4819650" cy="2638425"/>
            <wp:effectExtent l="0" t="0" r="0" b="9525"/>
            <wp:docPr id="810314024" name="Graf 1">
              <a:extLst xmlns:a="http://schemas.openxmlformats.org/drawingml/2006/main">
                <a:ext uri="{FF2B5EF4-FFF2-40B4-BE49-F238E27FC236}">
                  <a16:creationId xmlns:a16="http://schemas.microsoft.com/office/drawing/2014/main" id="{96D88250-F252-8B97-4729-AD70857C8E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62FDC50C" w14:textId="77777777" w:rsidR="00376878" w:rsidRPr="00E640A8" w:rsidRDefault="00376878" w:rsidP="007C4955">
      <w:pPr>
        <w:contextualSpacing/>
        <w:rPr>
          <w:rFonts w:cs="Arial"/>
          <w:i/>
          <w:sz w:val="20"/>
          <w:szCs w:val="20"/>
        </w:rPr>
      </w:pPr>
      <w:r w:rsidRPr="00E640A8">
        <w:rPr>
          <w:rFonts w:cs="Arial"/>
          <w:i/>
          <w:sz w:val="20"/>
          <w:szCs w:val="20"/>
        </w:rPr>
        <w:t>Pramen: SFŽP</w:t>
      </w:r>
    </w:p>
    <w:p w14:paraId="2DDD6D1E" w14:textId="77777777" w:rsidR="00376878" w:rsidRPr="00E640A8" w:rsidRDefault="00376878" w:rsidP="007C4955">
      <w:pPr>
        <w:pStyle w:val="Normlnweb"/>
        <w:spacing w:before="0" w:beforeAutospacing="0" w:after="0" w:afterAutospacing="0"/>
        <w:contextualSpacing/>
        <w:rPr>
          <w:rFonts w:ascii="Arial" w:eastAsia="Calibri" w:hAnsi="Arial" w:cs="Arial"/>
          <w:sz w:val="22"/>
          <w:szCs w:val="22"/>
          <w:lang w:eastAsia="en-US"/>
        </w:rPr>
      </w:pPr>
    </w:p>
    <w:p w14:paraId="5B86A52C" w14:textId="77777777" w:rsidR="008A334D" w:rsidRPr="00104F7D" w:rsidRDefault="008A334D" w:rsidP="007C4955">
      <w:pPr>
        <w:contextualSpacing/>
        <w:rPr>
          <w:rFonts w:cs="Arial"/>
          <w:b/>
          <w:i/>
          <w:highlight w:val="yellow"/>
        </w:rPr>
      </w:pPr>
    </w:p>
    <w:p w14:paraId="22AFF26A" w14:textId="577B6525" w:rsidR="00D72472" w:rsidRPr="007E32C1" w:rsidRDefault="00D72472" w:rsidP="007C4955">
      <w:pPr>
        <w:contextualSpacing/>
        <w:rPr>
          <w:rFonts w:cs="Arial"/>
          <w:b/>
          <w:i/>
        </w:rPr>
      </w:pPr>
      <w:r w:rsidRPr="007E32C1">
        <w:rPr>
          <w:rFonts w:cs="Arial"/>
          <w:b/>
          <w:i/>
        </w:rPr>
        <w:t xml:space="preserve">Národní program Životní prostředí </w:t>
      </w:r>
    </w:p>
    <w:p w14:paraId="52F3902B" w14:textId="77777777" w:rsidR="00D72472" w:rsidRPr="007E32C1" w:rsidRDefault="00D72472" w:rsidP="007C4955">
      <w:pPr>
        <w:contextualSpacing/>
        <w:rPr>
          <w:rFonts w:cs="Arial"/>
          <w:b/>
          <w:i/>
          <w:color w:val="FF0000"/>
        </w:rPr>
      </w:pPr>
    </w:p>
    <w:p w14:paraId="2BCD1E10" w14:textId="77777777" w:rsidR="007E32C1" w:rsidRPr="007E32C1" w:rsidRDefault="007E32C1" w:rsidP="007E32C1">
      <w:pPr>
        <w:contextualSpacing/>
        <w:rPr>
          <w:rFonts w:cs="Arial"/>
        </w:rPr>
      </w:pPr>
      <w:r w:rsidRPr="007E32C1">
        <w:rPr>
          <w:rFonts w:cs="Arial"/>
        </w:rPr>
        <w:t>Národní program Životní prostředí podporuje projekty zaměřené na ochranu a zlepšování životního prostředí v ČR, především pro města a menší obce. Program je financován z prostředků SFŽP ČR, zejména z vybíraných poplatků, a zároveň jeho prostřednictvím dochází k financování vybraných projektů ze zdrojů Národního plánu obnovy (NPO), resp. z nástroje RRF. Program tak doplňují zdroje z dalších dotačních titulů zaměřené na ochranu vod, zejména OPŽP a NF.</w:t>
      </w:r>
    </w:p>
    <w:p w14:paraId="77070F9F" w14:textId="77777777" w:rsidR="007E32C1" w:rsidRPr="007E32C1" w:rsidRDefault="007E32C1" w:rsidP="007E32C1">
      <w:pPr>
        <w:contextualSpacing/>
        <w:rPr>
          <w:rFonts w:cs="Arial"/>
        </w:rPr>
      </w:pPr>
    </w:p>
    <w:p w14:paraId="64EF2F5C" w14:textId="56E57BFE" w:rsidR="007E32C1" w:rsidRPr="007E32C1" w:rsidRDefault="007E32C1" w:rsidP="007E32C1">
      <w:pPr>
        <w:contextualSpacing/>
        <w:rPr>
          <w:rFonts w:cs="Arial"/>
        </w:rPr>
      </w:pPr>
      <w:r w:rsidRPr="007E32C1">
        <w:rPr>
          <w:rFonts w:cs="Arial"/>
        </w:rPr>
        <w:t>SFŽP ČR v roce 2025 administroval v rámci tohoto programu celkem 8 výzev, podrobnosti k nim uvádí tabulka 11.1.2.</w:t>
      </w:r>
      <w:r w:rsidR="008B61A9">
        <w:rPr>
          <w:rFonts w:cs="Arial"/>
        </w:rPr>
        <w:t>7</w:t>
      </w:r>
      <w:r w:rsidRPr="007E32C1">
        <w:rPr>
          <w:rFonts w:cs="Arial"/>
        </w:rPr>
        <w:t xml:space="preserve">. V rámci vyhlášených výzev bylo proplaceno 305 žádostí s dotací ve výši 2 276,7 mil. Kč. </w:t>
      </w:r>
    </w:p>
    <w:p w14:paraId="2ADBBD5B" w14:textId="77777777" w:rsidR="008667AF" w:rsidRPr="00104F7D" w:rsidRDefault="008667AF" w:rsidP="000C3A80">
      <w:pPr>
        <w:contextualSpacing/>
        <w:rPr>
          <w:rFonts w:cs="Arial"/>
          <w:b/>
          <w:i/>
          <w:color w:val="FF0000"/>
          <w:highlight w:val="yellow"/>
        </w:rPr>
      </w:pPr>
    </w:p>
    <w:p w14:paraId="739A1A07" w14:textId="6C97DE15" w:rsidR="00FC03C5" w:rsidRPr="005C4293" w:rsidRDefault="00376878" w:rsidP="000C3A80">
      <w:pPr>
        <w:contextualSpacing/>
        <w:rPr>
          <w:rFonts w:cs="Arial"/>
          <w:b/>
          <w:i/>
        </w:rPr>
      </w:pPr>
      <w:r w:rsidRPr="005C4293">
        <w:rPr>
          <w:rFonts w:cs="Arial"/>
          <w:b/>
          <w:i/>
        </w:rPr>
        <w:t xml:space="preserve">Tabulka </w:t>
      </w:r>
      <w:r w:rsidR="00950DBF" w:rsidRPr="005C4293">
        <w:rPr>
          <w:rFonts w:cs="Arial"/>
          <w:b/>
          <w:i/>
        </w:rPr>
        <w:t>11</w:t>
      </w:r>
      <w:r w:rsidRPr="005C4293">
        <w:rPr>
          <w:rFonts w:cs="Arial"/>
          <w:b/>
          <w:i/>
        </w:rPr>
        <w:t>.1.2.</w:t>
      </w:r>
      <w:r w:rsidR="008B61A9">
        <w:rPr>
          <w:rFonts w:cs="Arial"/>
          <w:b/>
          <w:i/>
        </w:rPr>
        <w:t>7</w:t>
      </w:r>
    </w:p>
    <w:p w14:paraId="659F7E39" w14:textId="2E9009C3" w:rsidR="000C3A80" w:rsidRPr="005C4293" w:rsidRDefault="000C3A80" w:rsidP="000C3A80">
      <w:pPr>
        <w:contextualSpacing/>
        <w:rPr>
          <w:rFonts w:cs="Arial"/>
          <w:b/>
          <w:i/>
        </w:rPr>
      </w:pPr>
      <w:r w:rsidRPr="005C4293">
        <w:rPr>
          <w:b/>
          <w:i/>
        </w:rPr>
        <w:t xml:space="preserve">Výzvy administrované v rámci Národního programu Životní prostředí v roce </w:t>
      </w:r>
      <w:r w:rsidRPr="005C4293">
        <w:rPr>
          <w:rFonts w:cs="Arial"/>
          <w:b/>
          <w:i/>
        </w:rPr>
        <w:t>202</w:t>
      </w:r>
      <w:r w:rsidR="005C4293" w:rsidRPr="005C4293">
        <w:rPr>
          <w:rFonts w:cs="Arial"/>
          <w:b/>
          <w:i/>
        </w:rPr>
        <w:t>5</w:t>
      </w:r>
    </w:p>
    <w:tbl>
      <w:tblPr>
        <w:tblW w:w="9400" w:type="dxa"/>
        <w:tblCellMar>
          <w:left w:w="70" w:type="dxa"/>
          <w:right w:w="70" w:type="dxa"/>
        </w:tblCellMar>
        <w:tblLook w:val="04A0" w:firstRow="1" w:lastRow="0" w:firstColumn="1" w:lastColumn="0" w:noHBand="0" w:noVBand="1"/>
      </w:tblPr>
      <w:tblGrid>
        <w:gridCol w:w="1558"/>
        <w:gridCol w:w="4877"/>
        <w:gridCol w:w="1362"/>
        <w:gridCol w:w="1457"/>
        <w:gridCol w:w="146"/>
      </w:tblGrid>
      <w:tr w:rsidR="005C4293" w:rsidRPr="005C4293" w14:paraId="024CCE9E" w14:textId="77777777" w:rsidTr="00042D79">
        <w:trPr>
          <w:gridAfter w:val="1"/>
          <w:trHeight w:val="480"/>
        </w:trPr>
        <w:tc>
          <w:tcPr>
            <w:tcW w:w="1558" w:type="dxa"/>
            <w:vMerge w:val="restart"/>
            <w:tcBorders>
              <w:top w:val="single" w:sz="8" w:space="0" w:color="auto"/>
              <w:left w:val="single" w:sz="8" w:space="0" w:color="auto"/>
              <w:bottom w:val="single" w:sz="8" w:space="0" w:color="000000"/>
              <w:right w:val="single" w:sz="8" w:space="0" w:color="auto"/>
            </w:tcBorders>
            <w:shd w:val="clear" w:color="auto" w:fill="A6A6A6" w:themeFill="background1" w:themeFillShade="A6"/>
            <w:vAlign w:val="center"/>
            <w:hideMark/>
          </w:tcPr>
          <w:p w14:paraId="4199B478" w14:textId="77777777" w:rsidR="005C4293" w:rsidRPr="00042D79" w:rsidRDefault="005C4293" w:rsidP="005C4293">
            <w:pPr>
              <w:contextualSpacing/>
              <w:rPr>
                <w:rFonts w:cs="Arial"/>
                <w:iCs/>
                <w:sz w:val="20"/>
                <w:szCs w:val="20"/>
              </w:rPr>
            </w:pPr>
            <w:r w:rsidRPr="00042D79">
              <w:rPr>
                <w:rFonts w:cs="Arial"/>
                <w:iCs/>
                <w:sz w:val="20"/>
                <w:szCs w:val="20"/>
              </w:rPr>
              <w:t>Výzva</w:t>
            </w:r>
          </w:p>
        </w:tc>
        <w:tc>
          <w:tcPr>
            <w:tcW w:w="4877" w:type="dxa"/>
            <w:vMerge w:val="restart"/>
            <w:tcBorders>
              <w:top w:val="single" w:sz="8" w:space="0" w:color="auto"/>
              <w:left w:val="single" w:sz="8" w:space="0" w:color="auto"/>
              <w:bottom w:val="single" w:sz="8" w:space="0" w:color="000000"/>
              <w:right w:val="single" w:sz="8" w:space="0" w:color="auto"/>
            </w:tcBorders>
            <w:shd w:val="clear" w:color="auto" w:fill="A6A6A6" w:themeFill="background1" w:themeFillShade="A6"/>
            <w:vAlign w:val="center"/>
            <w:hideMark/>
          </w:tcPr>
          <w:p w14:paraId="40AD2F8B" w14:textId="77777777" w:rsidR="005C4293" w:rsidRPr="00042D79" w:rsidRDefault="005C4293" w:rsidP="005C4293">
            <w:pPr>
              <w:contextualSpacing/>
              <w:rPr>
                <w:rFonts w:cs="Arial"/>
                <w:iCs/>
                <w:sz w:val="20"/>
                <w:szCs w:val="20"/>
              </w:rPr>
            </w:pPr>
            <w:r w:rsidRPr="00042D79">
              <w:rPr>
                <w:rFonts w:cs="Arial"/>
                <w:iCs/>
                <w:sz w:val="20"/>
                <w:szCs w:val="20"/>
              </w:rPr>
              <w:t>Název výzvy</w:t>
            </w:r>
          </w:p>
        </w:tc>
        <w:tc>
          <w:tcPr>
            <w:tcW w:w="1362" w:type="dxa"/>
            <w:vMerge w:val="restart"/>
            <w:tcBorders>
              <w:top w:val="single" w:sz="8" w:space="0" w:color="auto"/>
              <w:left w:val="single" w:sz="8" w:space="0" w:color="auto"/>
              <w:bottom w:val="single" w:sz="8" w:space="0" w:color="000000"/>
              <w:right w:val="single" w:sz="8" w:space="0" w:color="auto"/>
            </w:tcBorders>
            <w:shd w:val="clear" w:color="auto" w:fill="A6A6A6" w:themeFill="background1" w:themeFillShade="A6"/>
            <w:vAlign w:val="center"/>
            <w:hideMark/>
          </w:tcPr>
          <w:p w14:paraId="4F05BA11" w14:textId="77777777" w:rsidR="005C4293" w:rsidRPr="00042D79" w:rsidRDefault="005C4293" w:rsidP="005C4293">
            <w:pPr>
              <w:contextualSpacing/>
              <w:rPr>
                <w:rFonts w:cs="Arial"/>
                <w:iCs/>
                <w:sz w:val="20"/>
                <w:szCs w:val="20"/>
              </w:rPr>
            </w:pPr>
            <w:r w:rsidRPr="00042D79">
              <w:rPr>
                <w:rFonts w:cs="Arial"/>
                <w:iCs/>
                <w:sz w:val="20"/>
                <w:szCs w:val="20"/>
              </w:rPr>
              <w:t>Počet žádostí (ks)</w:t>
            </w:r>
          </w:p>
        </w:tc>
        <w:tc>
          <w:tcPr>
            <w:tcW w:w="1457" w:type="dxa"/>
            <w:vMerge w:val="restart"/>
            <w:tcBorders>
              <w:top w:val="single" w:sz="8" w:space="0" w:color="auto"/>
              <w:left w:val="single" w:sz="8" w:space="0" w:color="auto"/>
              <w:bottom w:val="single" w:sz="8" w:space="0" w:color="000000"/>
              <w:right w:val="single" w:sz="8" w:space="0" w:color="auto"/>
            </w:tcBorders>
            <w:shd w:val="clear" w:color="auto" w:fill="A6A6A6" w:themeFill="background1" w:themeFillShade="A6"/>
            <w:vAlign w:val="center"/>
            <w:hideMark/>
          </w:tcPr>
          <w:p w14:paraId="29BFFE76" w14:textId="77777777" w:rsidR="005C4293" w:rsidRPr="00042D79" w:rsidRDefault="005C4293" w:rsidP="005C4293">
            <w:pPr>
              <w:contextualSpacing/>
              <w:rPr>
                <w:rFonts w:cs="Arial"/>
                <w:iCs/>
                <w:sz w:val="20"/>
                <w:szCs w:val="20"/>
              </w:rPr>
            </w:pPr>
            <w:r w:rsidRPr="00042D79">
              <w:rPr>
                <w:rFonts w:cs="Arial"/>
                <w:iCs/>
                <w:sz w:val="20"/>
                <w:szCs w:val="20"/>
              </w:rPr>
              <w:t>Požadovaná dotace 2025</w:t>
            </w:r>
          </w:p>
          <w:p w14:paraId="4591B801" w14:textId="77777777" w:rsidR="005C4293" w:rsidRPr="00042D79" w:rsidRDefault="005C4293" w:rsidP="005C4293">
            <w:pPr>
              <w:contextualSpacing/>
              <w:rPr>
                <w:rFonts w:cs="Arial"/>
                <w:iCs/>
                <w:sz w:val="20"/>
                <w:szCs w:val="20"/>
              </w:rPr>
            </w:pPr>
            <w:r w:rsidRPr="00042D79">
              <w:rPr>
                <w:rFonts w:cs="Arial"/>
                <w:iCs/>
                <w:sz w:val="20"/>
                <w:szCs w:val="20"/>
              </w:rPr>
              <w:t>mil. Kč</w:t>
            </w:r>
          </w:p>
        </w:tc>
      </w:tr>
      <w:tr w:rsidR="005C4293" w:rsidRPr="005C4293" w14:paraId="02267FCE" w14:textId="77777777" w:rsidTr="00042D79">
        <w:trPr>
          <w:trHeight w:val="408"/>
        </w:trPr>
        <w:tc>
          <w:tcPr>
            <w:tcW w:w="0" w:type="auto"/>
            <w:vMerge/>
            <w:tcBorders>
              <w:top w:val="single" w:sz="8" w:space="0" w:color="auto"/>
              <w:left w:val="single" w:sz="8" w:space="0" w:color="auto"/>
              <w:bottom w:val="single" w:sz="8" w:space="0" w:color="000000"/>
              <w:right w:val="single" w:sz="8" w:space="0" w:color="auto"/>
            </w:tcBorders>
            <w:shd w:val="clear" w:color="auto" w:fill="A6A6A6" w:themeFill="background1" w:themeFillShade="A6"/>
            <w:vAlign w:val="center"/>
            <w:hideMark/>
          </w:tcPr>
          <w:p w14:paraId="579F251D" w14:textId="77777777" w:rsidR="005C4293" w:rsidRPr="00042D79" w:rsidRDefault="005C4293" w:rsidP="005C4293">
            <w:pPr>
              <w:contextualSpacing/>
              <w:rPr>
                <w:rFonts w:cs="Arial"/>
                <w:iCs/>
                <w:sz w:val="20"/>
                <w:szCs w:val="20"/>
              </w:rPr>
            </w:pPr>
          </w:p>
        </w:tc>
        <w:tc>
          <w:tcPr>
            <w:tcW w:w="0" w:type="auto"/>
            <w:vMerge/>
            <w:tcBorders>
              <w:top w:val="single" w:sz="8" w:space="0" w:color="auto"/>
              <w:left w:val="single" w:sz="8" w:space="0" w:color="auto"/>
              <w:bottom w:val="single" w:sz="8" w:space="0" w:color="000000"/>
              <w:right w:val="single" w:sz="8" w:space="0" w:color="auto"/>
            </w:tcBorders>
            <w:shd w:val="clear" w:color="auto" w:fill="A6A6A6" w:themeFill="background1" w:themeFillShade="A6"/>
            <w:vAlign w:val="center"/>
            <w:hideMark/>
          </w:tcPr>
          <w:p w14:paraId="0F5FBFB4" w14:textId="77777777" w:rsidR="005C4293" w:rsidRPr="00042D79" w:rsidRDefault="005C4293" w:rsidP="005C4293">
            <w:pPr>
              <w:contextualSpacing/>
              <w:rPr>
                <w:rFonts w:cs="Arial"/>
                <w:iCs/>
                <w:sz w:val="20"/>
                <w:szCs w:val="20"/>
              </w:rPr>
            </w:pPr>
          </w:p>
        </w:tc>
        <w:tc>
          <w:tcPr>
            <w:tcW w:w="0" w:type="auto"/>
            <w:vMerge/>
            <w:tcBorders>
              <w:top w:val="single" w:sz="8" w:space="0" w:color="auto"/>
              <w:left w:val="single" w:sz="8" w:space="0" w:color="auto"/>
              <w:bottom w:val="single" w:sz="8" w:space="0" w:color="000000"/>
              <w:right w:val="single" w:sz="8" w:space="0" w:color="auto"/>
            </w:tcBorders>
            <w:shd w:val="clear" w:color="auto" w:fill="A6A6A6" w:themeFill="background1" w:themeFillShade="A6"/>
            <w:vAlign w:val="center"/>
            <w:hideMark/>
          </w:tcPr>
          <w:p w14:paraId="674A11AA" w14:textId="77777777" w:rsidR="005C4293" w:rsidRPr="00042D79" w:rsidRDefault="005C4293" w:rsidP="005C4293">
            <w:pPr>
              <w:contextualSpacing/>
              <w:rPr>
                <w:rFonts w:cs="Arial"/>
                <w:iCs/>
                <w:sz w:val="20"/>
                <w:szCs w:val="20"/>
              </w:rPr>
            </w:pPr>
          </w:p>
        </w:tc>
        <w:tc>
          <w:tcPr>
            <w:tcW w:w="0" w:type="auto"/>
            <w:vMerge/>
            <w:tcBorders>
              <w:top w:val="single" w:sz="8" w:space="0" w:color="auto"/>
              <w:left w:val="single" w:sz="8" w:space="0" w:color="auto"/>
              <w:bottom w:val="single" w:sz="8" w:space="0" w:color="000000"/>
              <w:right w:val="single" w:sz="8" w:space="0" w:color="auto"/>
            </w:tcBorders>
            <w:shd w:val="clear" w:color="auto" w:fill="A6A6A6" w:themeFill="background1" w:themeFillShade="A6"/>
            <w:vAlign w:val="center"/>
            <w:hideMark/>
          </w:tcPr>
          <w:p w14:paraId="1F948638" w14:textId="77777777" w:rsidR="005C4293" w:rsidRPr="00042D79" w:rsidRDefault="005C4293" w:rsidP="005C4293">
            <w:pPr>
              <w:contextualSpacing/>
              <w:rPr>
                <w:rFonts w:cs="Arial"/>
                <w:iCs/>
                <w:sz w:val="20"/>
                <w:szCs w:val="20"/>
              </w:rPr>
            </w:pPr>
          </w:p>
        </w:tc>
        <w:tc>
          <w:tcPr>
            <w:tcW w:w="0" w:type="auto"/>
            <w:vAlign w:val="center"/>
            <w:hideMark/>
          </w:tcPr>
          <w:p w14:paraId="1FEDD58F" w14:textId="77777777" w:rsidR="005C4293" w:rsidRPr="005C4293" w:rsidRDefault="005C4293" w:rsidP="005C4293">
            <w:pPr>
              <w:contextualSpacing/>
              <w:rPr>
                <w:rFonts w:cs="Arial"/>
                <w:b/>
                <w:bCs/>
                <w:i/>
              </w:rPr>
            </w:pPr>
          </w:p>
        </w:tc>
      </w:tr>
      <w:tr w:rsidR="005C4293" w:rsidRPr="005C4293" w14:paraId="6ADD3DBB" w14:textId="77777777">
        <w:trPr>
          <w:trHeight w:val="315"/>
        </w:trPr>
        <w:tc>
          <w:tcPr>
            <w:tcW w:w="1558" w:type="dxa"/>
            <w:tcBorders>
              <w:top w:val="nil"/>
              <w:left w:val="single" w:sz="8" w:space="0" w:color="auto"/>
              <w:bottom w:val="single" w:sz="8" w:space="0" w:color="auto"/>
              <w:right w:val="single" w:sz="8" w:space="0" w:color="auto"/>
            </w:tcBorders>
            <w:noWrap/>
            <w:vAlign w:val="bottom"/>
            <w:hideMark/>
          </w:tcPr>
          <w:p w14:paraId="1A01C5CC" w14:textId="77777777" w:rsidR="005C4293" w:rsidRPr="00042D79" w:rsidRDefault="005C4293" w:rsidP="005C4293">
            <w:pPr>
              <w:contextualSpacing/>
              <w:rPr>
                <w:rFonts w:cs="Arial"/>
                <w:iCs/>
                <w:sz w:val="20"/>
                <w:szCs w:val="20"/>
              </w:rPr>
            </w:pPr>
            <w:r w:rsidRPr="00042D79">
              <w:rPr>
                <w:rFonts w:cs="Arial"/>
                <w:iCs/>
                <w:sz w:val="20"/>
                <w:szCs w:val="20"/>
              </w:rPr>
              <w:t>4/2019</w:t>
            </w:r>
          </w:p>
        </w:tc>
        <w:tc>
          <w:tcPr>
            <w:tcW w:w="4877" w:type="dxa"/>
            <w:tcBorders>
              <w:top w:val="nil"/>
              <w:left w:val="nil"/>
              <w:bottom w:val="single" w:sz="8" w:space="0" w:color="auto"/>
              <w:right w:val="single" w:sz="8" w:space="0" w:color="auto"/>
            </w:tcBorders>
            <w:vAlign w:val="bottom"/>
            <w:hideMark/>
          </w:tcPr>
          <w:p w14:paraId="510DF349" w14:textId="77777777" w:rsidR="005C4293" w:rsidRPr="00042D79" w:rsidRDefault="005C4293" w:rsidP="005C4293">
            <w:pPr>
              <w:contextualSpacing/>
              <w:rPr>
                <w:rFonts w:cs="Arial"/>
                <w:iCs/>
                <w:sz w:val="20"/>
                <w:szCs w:val="20"/>
              </w:rPr>
            </w:pPr>
            <w:r w:rsidRPr="00042D79">
              <w:rPr>
                <w:rFonts w:cs="Arial"/>
                <w:iCs/>
                <w:sz w:val="20"/>
                <w:szCs w:val="20"/>
              </w:rPr>
              <w:t>Vodovody a kanalizace</w:t>
            </w:r>
          </w:p>
        </w:tc>
        <w:tc>
          <w:tcPr>
            <w:tcW w:w="1362" w:type="dxa"/>
            <w:tcBorders>
              <w:top w:val="nil"/>
              <w:left w:val="nil"/>
              <w:bottom w:val="single" w:sz="8" w:space="0" w:color="auto"/>
              <w:right w:val="single" w:sz="8" w:space="0" w:color="auto"/>
            </w:tcBorders>
            <w:vAlign w:val="bottom"/>
            <w:hideMark/>
          </w:tcPr>
          <w:p w14:paraId="1F3B0FA3" w14:textId="77777777" w:rsidR="005C4293" w:rsidRPr="00042D79" w:rsidRDefault="005C4293" w:rsidP="005C4293">
            <w:pPr>
              <w:contextualSpacing/>
              <w:rPr>
                <w:rFonts w:cs="Arial"/>
                <w:iCs/>
                <w:sz w:val="20"/>
                <w:szCs w:val="20"/>
              </w:rPr>
            </w:pPr>
            <w:r w:rsidRPr="00042D79">
              <w:rPr>
                <w:rFonts w:cs="Arial"/>
                <w:iCs/>
                <w:sz w:val="20"/>
                <w:szCs w:val="20"/>
              </w:rPr>
              <w:t>14</w:t>
            </w:r>
          </w:p>
        </w:tc>
        <w:tc>
          <w:tcPr>
            <w:tcW w:w="1457" w:type="dxa"/>
            <w:tcBorders>
              <w:top w:val="nil"/>
              <w:left w:val="nil"/>
              <w:bottom w:val="single" w:sz="8" w:space="0" w:color="auto"/>
              <w:right w:val="single" w:sz="8" w:space="0" w:color="auto"/>
            </w:tcBorders>
            <w:noWrap/>
            <w:vAlign w:val="bottom"/>
            <w:hideMark/>
          </w:tcPr>
          <w:p w14:paraId="37D3AB12" w14:textId="77777777" w:rsidR="005C4293" w:rsidRPr="00042D79" w:rsidRDefault="005C4293" w:rsidP="005C4293">
            <w:pPr>
              <w:contextualSpacing/>
              <w:rPr>
                <w:rFonts w:cs="Arial"/>
                <w:iCs/>
                <w:sz w:val="20"/>
                <w:szCs w:val="20"/>
              </w:rPr>
            </w:pPr>
            <w:r w:rsidRPr="00042D79">
              <w:rPr>
                <w:rFonts w:cs="Arial"/>
                <w:iCs/>
                <w:sz w:val="20"/>
                <w:szCs w:val="20"/>
              </w:rPr>
              <w:t>57,5</w:t>
            </w:r>
          </w:p>
        </w:tc>
        <w:tc>
          <w:tcPr>
            <w:tcW w:w="0" w:type="auto"/>
            <w:vAlign w:val="center"/>
            <w:hideMark/>
          </w:tcPr>
          <w:p w14:paraId="4E56969F" w14:textId="77777777" w:rsidR="005C4293" w:rsidRPr="005C4293" w:rsidRDefault="005C4293" w:rsidP="005C4293">
            <w:pPr>
              <w:contextualSpacing/>
              <w:rPr>
                <w:rFonts w:cs="Arial"/>
                <w:b/>
                <w:i/>
              </w:rPr>
            </w:pPr>
          </w:p>
        </w:tc>
      </w:tr>
      <w:tr w:rsidR="005C4293" w:rsidRPr="005C4293" w14:paraId="077BEF8A" w14:textId="77777777">
        <w:trPr>
          <w:trHeight w:val="315"/>
        </w:trPr>
        <w:tc>
          <w:tcPr>
            <w:tcW w:w="1558" w:type="dxa"/>
            <w:tcBorders>
              <w:top w:val="nil"/>
              <w:left w:val="single" w:sz="8" w:space="0" w:color="auto"/>
              <w:bottom w:val="single" w:sz="8" w:space="0" w:color="auto"/>
              <w:right w:val="single" w:sz="8" w:space="0" w:color="auto"/>
            </w:tcBorders>
            <w:noWrap/>
            <w:vAlign w:val="bottom"/>
            <w:hideMark/>
          </w:tcPr>
          <w:p w14:paraId="44962552" w14:textId="77777777" w:rsidR="005C4293" w:rsidRPr="00042D79" w:rsidRDefault="005C4293" w:rsidP="005C4293">
            <w:pPr>
              <w:contextualSpacing/>
              <w:rPr>
                <w:rFonts w:cs="Arial"/>
                <w:iCs/>
                <w:sz w:val="20"/>
                <w:szCs w:val="20"/>
              </w:rPr>
            </w:pPr>
            <w:r w:rsidRPr="00042D79">
              <w:rPr>
                <w:rFonts w:cs="Arial"/>
                <w:iCs/>
                <w:sz w:val="20"/>
                <w:szCs w:val="20"/>
              </w:rPr>
              <w:t>12/2019</w:t>
            </w:r>
          </w:p>
        </w:tc>
        <w:tc>
          <w:tcPr>
            <w:tcW w:w="4877" w:type="dxa"/>
            <w:tcBorders>
              <w:top w:val="nil"/>
              <w:left w:val="nil"/>
              <w:bottom w:val="single" w:sz="8" w:space="0" w:color="auto"/>
              <w:right w:val="single" w:sz="8" w:space="0" w:color="auto"/>
            </w:tcBorders>
            <w:vAlign w:val="bottom"/>
            <w:hideMark/>
          </w:tcPr>
          <w:p w14:paraId="4F229454" w14:textId="77777777" w:rsidR="005C4293" w:rsidRPr="00042D79" w:rsidRDefault="005C4293" w:rsidP="005C4293">
            <w:pPr>
              <w:contextualSpacing/>
              <w:rPr>
                <w:rFonts w:cs="Arial"/>
                <w:iCs/>
                <w:sz w:val="20"/>
                <w:szCs w:val="20"/>
              </w:rPr>
            </w:pPr>
            <w:r w:rsidRPr="00042D79">
              <w:rPr>
                <w:rFonts w:cs="Arial"/>
                <w:iCs/>
                <w:sz w:val="20"/>
                <w:szCs w:val="20"/>
              </w:rPr>
              <w:t>Domovní čistírny odpadních vod</w:t>
            </w:r>
          </w:p>
        </w:tc>
        <w:tc>
          <w:tcPr>
            <w:tcW w:w="1362" w:type="dxa"/>
            <w:tcBorders>
              <w:top w:val="nil"/>
              <w:left w:val="nil"/>
              <w:bottom w:val="single" w:sz="8" w:space="0" w:color="auto"/>
              <w:right w:val="single" w:sz="8" w:space="0" w:color="auto"/>
            </w:tcBorders>
            <w:vAlign w:val="bottom"/>
            <w:hideMark/>
          </w:tcPr>
          <w:p w14:paraId="7CA136AD" w14:textId="77777777" w:rsidR="005C4293" w:rsidRPr="00042D79" w:rsidRDefault="005C4293" w:rsidP="005C4293">
            <w:pPr>
              <w:contextualSpacing/>
              <w:rPr>
                <w:rFonts w:cs="Arial"/>
                <w:iCs/>
                <w:sz w:val="20"/>
                <w:szCs w:val="20"/>
              </w:rPr>
            </w:pPr>
            <w:r w:rsidRPr="00042D79">
              <w:rPr>
                <w:rFonts w:cs="Arial"/>
                <w:iCs/>
                <w:sz w:val="20"/>
                <w:szCs w:val="20"/>
              </w:rPr>
              <w:t>4</w:t>
            </w:r>
          </w:p>
        </w:tc>
        <w:tc>
          <w:tcPr>
            <w:tcW w:w="1457" w:type="dxa"/>
            <w:tcBorders>
              <w:top w:val="nil"/>
              <w:left w:val="nil"/>
              <w:bottom w:val="single" w:sz="8" w:space="0" w:color="auto"/>
              <w:right w:val="single" w:sz="8" w:space="0" w:color="auto"/>
            </w:tcBorders>
            <w:noWrap/>
            <w:vAlign w:val="bottom"/>
            <w:hideMark/>
          </w:tcPr>
          <w:p w14:paraId="4FBB74B9" w14:textId="77777777" w:rsidR="005C4293" w:rsidRPr="00042D79" w:rsidRDefault="005C4293" w:rsidP="005C4293">
            <w:pPr>
              <w:contextualSpacing/>
              <w:rPr>
                <w:rFonts w:cs="Arial"/>
                <w:iCs/>
                <w:sz w:val="20"/>
                <w:szCs w:val="20"/>
              </w:rPr>
            </w:pPr>
            <w:r w:rsidRPr="00042D79">
              <w:rPr>
                <w:rFonts w:cs="Arial"/>
                <w:iCs/>
                <w:sz w:val="20"/>
                <w:szCs w:val="20"/>
              </w:rPr>
              <w:t>3,8</w:t>
            </w:r>
          </w:p>
        </w:tc>
        <w:tc>
          <w:tcPr>
            <w:tcW w:w="0" w:type="auto"/>
            <w:vAlign w:val="center"/>
            <w:hideMark/>
          </w:tcPr>
          <w:p w14:paraId="6579AA02" w14:textId="77777777" w:rsidR="005C4293" w:rsidRPr="005C4293" w:rsidRDefault="005C4293" w:rsidP="005C4293">
            <w:pPr>
              <w:contextualSpacing/>
              <w:rPr>
                <w:rFonts w:cs="Arial"/>
                <w:b/>
                <w:i/>
              </w:rPr>
            </w:pPr>
          </w:p>
        </w:tc>
      </w:tr>
      <w:tr w:rsidR="005C4293" w:rsidRPr="005C4293" w14:paraId="29C15CD9" w14:textId="77777777">
        <w:trPr>
          <w:trHeight w:val="315"/>
        </w:trPr>
        <w:tc>
          <w:tcPr>
            <w:tcW w:w="1558" w:type="dxa"/>
            <w:tcBorders>
              <w:top w:val="nil"/>
              <w:left w:val="single" w:sz="8" w:space="0" w:color="auto"/>
              <w:bottom w:val="single" w:sz="8" w:space="0" w:color="auto"/>
              <w:right w:val="single" w:sz="8" w:space="0" w:color="auto"/>
            </w:tcBorders>
            <w:noWrap/>
            <w:vAlign w:val="bottom"/>
            <w:hideMark/>
          </w:tcPr>
          <w:p w14:paraId="38A12852" w14:textId="77777777" w:rsidR="005C4293" w:rsidRPr="00042D79" w:rsidRDefault="005C4293" w:rsidP="005C4293">
            <w:pPr>
              <w:contextualSpacing/>
              <w:rPr>
                <w:rFonts w:cs="Arial"/>
                <w:iCs/>
                <w:sz w:val="20"/>
                <w:szCs w:val="20"/>
              </w:rPr>
            </w:pPr>
            <w:r w:rsidRPr="00042D79">
              <w:rPr>
                <w:rFonts w:cs="Arial"/>
                <w:iCs/>
                <w:sz w:val="20"/>
                <w:szCs w:val="20"/>
              </w:rPr>
              <w:t>9/2021</w:t>
            </w:r>
          </w:p>
        </w:tc>
        <w:tc>
          <w:tcPr>
            <w:tcW w:w="4877" w:type="dxa"/>
            <w:tcBorders>
              <w:top w:val="nil"/>
              <w:left w:val="nil"/>
              <w:bottom w:val="single" w:sz="8" w:space="0" w:color="auto"/>
              <w:right w:val="single" w:sz="8" w:space="0" w:color="auto"/>
            </w:tcBorders>
            <w:vAlign w:val="center"/>
            <w:hideMark/>
          </w:tcPr>
          <w:p w14:paraId="1994AB8E" w14:textId="77777777" w:rsidR="005C4293" w:rsidRPr="00042D79" w:rsidRDefault="005C4293" w:rsidP="005C4293">
            <w:pPr>
              <w:contextualSpacing/>
              <w:rPr>
                <w:rFonts w:cs="Arial"/>
                <w:iCs/>
                <w:sz w:val="20"/>
                <w:szCs w:val="20"/>
              </w:rPr>
            </w:pPr>
            <w:r w:rsidRPr="00042D79">
              <w:rPr>
                <w:rFonts w:cs="Arial"/>
                <w:iCs/>
                <w:sz w:val="20"/>
                <w:szCs w:val="20"/>
              </w:rPr>
              <w:t>Zdroje pitné vody</w:t>
            </w:r>
          </w:p>
        </w:tc>
        <w:tc>
          <w:tcPr>
            <w:tcW w:w="1362" w:type="dxa"/>
            <w:tcBorders>
              <w:top w:val="nil"/>
              <w:left w:val="nil"/>
              <w:bottom w:val="single" w:sz="8" w:space="0" w:color="auto"/>
              <w:right w:val="single" w:sz="8" w:space="0" w:color="auto"/>
            </w:tcBorders>
            <w:vAlign w:val="bottom"/>
            <w:hideMark/>
          </w:tcPr>
          <w:p w14:paraId="77863149" w14:textId="77777777" w:rsidR="005C4293" w:rsidRPr="00042D79" w:rsidRDefault="005C4293" w:rsidP="005C4293">
            <w:pPr>
              <w:contextualSpacing/>
              <w:rPr>
                <w:rFonts w:cs="Arial"/>
                <w:iCs/>
                <w:sz w:val="20"/>
                <w:szCs w:val="20"/>
              </w:rPr>
            </w:pPr>
            <w:r w:rsidRPr="00042D79">
              <w:rPr>
                <w:rFonts w:cs="Arial"/>
                <w:iCs/>
                <w:sz w:val="20"/>
                <w:szCs w:val="20"/>
              </w:rPr>
              <w:t>35</w:t>
            </w:r>
          </w:p>
        </w:tc>
        <w:tc>
          <w:tcPr>
            <w:tcW w:w="1457" w:type="dxa"/>
            <w:tcBorders>
              <w:top w:val="nil"/>
              <w:left w:val="nil"/>
              <w:bottom w:val="single" w:sz="8" w:space="0" w:color="auto"/>
              <w:right w:val="single" w:sz="8" w:space="0" w:color="auto"/>
            </w:tcBorders>
            <w:noWrap/>
            <w:vAlign w:val="bottom"/>
            <w:hideMark/>
          </w:tcPr>
          <w:p w14:paraId="721DC164" w14:textId="77777777" w:rsidR="005C4293" w:rsidRPr="00042D79" w:rsidRDefault="005C4293" w:rsidP="005C4293">
            <w:pPr>
              <w:contextualSpacing/>
              <w:rPr>
                <w:rFonts w:cs="Arial"/>
                <w:iCs/>
                <w:sz w:val="20"/>
                <w:szCs w:val="20"/>
              </w:rPr>
            </w:pPr>
            <w:r w:rsidRPr="00042D79">
              <w:rPr>
                <w:rFonts w:cs="Arial"/>
                <w:iCs/>
                <w:sz w:val="20"/>
                <w:szCs w:val="20"/>
              </w:rPr>
              <w:t>47,5</w:t>
            </w:r>
          </w:p>
        </w:tc>
        <w:tc>
          <w:tcPr>
            <w:tcW w:w="0" w:type="auto"/>
            <w:vAlign w:val="center"/>
            <w:hideMark/>
          </w:tcPr>
          <w:p w14:paraId="7A910D8A" w14:textId="77777777" w:rsidR="005C4293" w:rsidRPr="005C4293" w:rsidRDefault="005C4293" w:rsidP="005C4293">
            <w:pPr>
              <w:contextualSpacing/>
              <w:rPr>
                <w:rFonts w:cs="Arial"/>
                <w:b/>
                <w:i/>
              </w:rPr>
            </w:pPr>
          </w:p>
        </w:tc>
      </w:tr>
      <w:tr w:rsidR="005C4293" w:rsidRPr="005C4293" w14:paraId="1AFFCD56" w14:textId="77777777">
        <w:trPr>
          <w:trHeight w:val="315"/>
        </w:trPr>
        <w:tc>
          <w:tcPr>
            <w:tcW w:w="1558" w:type="dxa"/>
            <w:tcBorders>
              <w:top w:val="nil"/>
              <w:left w:val="single" w:sz="8" w:space="0" w:color="auto"/>
              <w:bottom w:val="single" w:sz="8" w:space="0" w:color="auto"/>
              <w:right w:val="single" w:sz="8" w:space="0" w:color="auto"/>
            </w:tcBorders>
            <w:noWrap/>
            <w:vAlign w:val="bottom"/>
            <w:hideMark/>
          </w:tcPr>
          <w:p w14:paraId="7A13B217" w14:textId="77777777" w:rsidR="005C4293" w:rsidRPr="00042D79" w:rsidRDefault="005C4293" w:rsidP="005C4293">
            <w:pPr>
              <w:contextualSpacing/>
              <w:rPr>
                <w:rFonts w:cs="Arial"/>
                <w:iCs/>
                <w:sz w:val="20"/>
                <w:szCs w:val="20"/>
              </w:rPr>
            </w:pPr>
            <w:r w:rsidRPr="00042D79">
              <w:rPr>
                <w:rFonts w:cs="Arial"/>
                <w:iCs/>
                <w:sz w:val="20"/>
                <w:szCs w:val="20"/>
              </w:rPr>
              <w:t>10/2021*</w:t>
            </w:r>
          </w:p>
        </w:tc>
        <w:tc>
          <w:tcPr>
            <w:tcW w:w="4877" w:type="dxa"/>
            <w:tcBorders>
              <w:top w:val="nil"/>
              <w:left w:val="nil"/>
              <w:bottom w:val="single" w:sz="8" w:space="0" w:color="auto"/>
              <w:right w:val="single" w:sz="8" w:space="0" w:color="auto"/>
            </w:tcBorders>
            <w:vAlign w:val="center"/>
            <w:hideMark/>
          </w:tcPr>
          <w:p w14:paraId="60A42493" w14:textId="77777777" w:rsidR="005C4293" w:rsidRPr="00042D79" w:rsidRDefault="005C4293" w:rsidP="005C4293">
            <w:pPr>
              <w:contextualSpacing/>
              <w:rPr>
                <w:rFonts w:cs="Arial"/>
                <w:iCs/>
                <w:sz w:val="20"/>
                <w:szCs w:val="20"/>
              </w:rPr>
            </w:pPr>
            <w:r w:rsidRPr="00042D79">
              <w:rPr>
                <w:rFonts w:cs="Arial"/>
                <w:iCs/>
                <w:sz w:val="20"/>
                <w:szCs w:val="20"/>
              </w:rPr>
              <w:t>Hospodaření s vodou v obcích</w:t>
            </w:r>
          </w:p>
        </w:tc>
        <w:tc>
          <w:tcPr>
            <w:tcW w:w="1362" w:type="dxa"/>
            <w:tcBorders>
              <w:top w:val="nil"/>
              <w:left w:val="nil"/>
              <w:bottom w:val="single" w:sz="8" w:space="0" w:color="auto"/>
              <w:right w:val="single" w:sz="8" w:space="0" w:color="auto"/>
            </w:tcBorders>
            <w:vAlign w:val="bottom"/>
            <w:hideMark/>
          </w:tcPr>
          <w:p w14:paraId="141BFDF0" w14:textId="77777777" w:rsidR="005C4293" w:rsidRPr="00042D79" w:rsidRDefault="005C4293" w:rsidP="005C4293">
            <w:pPr>
              <w:contextualSpacing/>
              <w:rPr>
                <w:rFonts w:cs="Arial"/>
                <w:iCs/>
                <w:sz w:val="20"/>
                <w:szCs w:val="20"/>
              </w:rPr>
            </w:pPr>
            <w:r w:rsidRPr="00042D79">
              <w:rPr>
                <w:rFonts w:cs="Arial"/>
                <w:iCs/>
                <w:sz w:val="20"/>
                <w:szCs w:val="20"/>
              </w:rPr>
              <w:t>52</w:t>
            </w:r>
          </w:p>
        </w:tc>
        <w:tc>
          <w:tcPr>
            <w:tcW w:w="1457" w:type="dxa"/>
            <w:tcBorders>
              <w:top w:val="nil"/>
              <w:left w:val="nil"/>
              <w:bottom w:val="single" w:sz="8" w:space="0" w:color="auto"/>
              <w:right w:val="single" w:sz="8" w:space="0" w:color="auto"/>
            </w:tcBorders>
            <w:noWrap/>
            <w:vAlign w:val="bottom"/>
            <w:hideMark/>
          </w:tcPr>
          <w:p w14:paraId="10E98E32" w14:textId="77777777" w:rsidR="005C4293" w:rsidRPr="00042D79" w:rsidRDefault="005C4293" w:rsidP="005C4293">
            <w:pPr>
              <w:contextualSpacing/>
              <w:rPr>
                <w:rFonts w:cs="Arial"/>
                <w:iCs/>
                <w:sz w:val="20"/>
                <w:szCs w:val="20"/>
              </w:rPr>
            </w:pPr>
            <w:r w:rsidRPr="00042D79">
              <w:rPr>
                <w:rFonts w:cs="Arial"/>
                <w:iCs/>
                <w:sz w:val="20"/>
                <w:szCs w:val="20"/>
              </w:rPr>
              <w:t>360,9</w:t>
            </w:r>
          </w:p>
        </w:tc>
        <w:tc>
          <w:tcPr>
            <w:tcW w:w="0" w:type="auto"/>
            <w:vAlign w:val="center"/>
            <w:hideMark/>
          </w:tcPr>
          <w:p w14:paraId="6B00DBDE" w14:textId="77777777" w:rsidR="005C4293" w:rsidRPr="005C4293" w:rsidRDefault="005C4293" w:rsidP="005C4293">
            <w:pPr>
              <w:contextualSpacing/>
              <w:rPr>
                <w:rFonts w:cs="Arial"/>
                <w:b/>
                <w:i/>
              </w:rPr>
            </w:pPr>
          </w:p>
        </w:tc>
      </w:tr>
      <w:tr w:rsidR="005C4293" w:rsidRPr="005C4293" w14:paraId="57F91021" w14:textId="77777777">
        <w:trPr>
          <w:trHeight w:val="315"/>
        </w:trPr>
        <w:tc>
          <w:tcPr>
            <w:tcW w:w="1558" w:type="dxa"/>
            <w:tcBorders>
              <w:top w:val="nil"/>
              <w:left w:val="single" w:sz="8" w:space="0" w:color="auto"/>
              <w:bottom w:val="single" w:sz="8" w:space="0" w:color="auto"/>
              <w:right w:val="single" w:sz="8" w:space="0" w:color="auto"/>
            </w:tcBorders>
            <w:noWrap/>
            <w:vAlign w:val="center"/>
            <w:hideMark/>
          </w:tcPr>
          <w:p w14:paraId="62750F1E" w14:textId="77777777" w:rsidR="005C4293" w:rsidRPr="00042D79" w:rsidRDefault="005C4293" w:rsidP="005C4293">
            <w:pPr>
              <w:contextualSpacing/>
              <w:rPr>
                <w:rFonts w:cs="Arial"/>
                <w:iCs/>
                <w:sz w:val="20"/>
                <w:szCs w:val="20"/>
              </w:rPr>
            </w:pPr>
            <w:r w:rsidRPr="00042D79">
              <w:rPr>
                <w:rFonts w:cs="Arial"/>
                <w:iCs/>
                <w:sz w:val="20"/>
                <w:szCs w:val="20"/>
              </w:rPr>
              <w:t>NPŽP-NPO</w:t>
            </w:r>
          </w:p>
          <w:p w14:paraId="3FD1D88D" w14:textId="77777777" w:rsidR="005C4293" w:rsidRPr="00042D79" w:rsidRDefault="005C4293" w:rsidP="005C4293">
            <w:pPr>
              <w:contextualSpacing/>
              <w:rPr>
                <w:rFonts w:cs="Arial"/>
                <w:iCs/>
                <w:sz w:val="20"/>
                <w:szCs w:val="20"/>
              </w:rPr>
            </w:pPr>
            <w:r w:rsidRPr="00042D79">
              <w:rPr>
                <w:rFonts w:cs="Arial"/>
                <w:iCs/>
                <w:sz w:val="20"/>
                <w:szCs w:val="20"/>
              </w:rPr>
              <w:t>4/2023</w:t>
            </w:r>
          </w:p>
        </w:tc>
        <w:tc>
          <w:tcPr>
            <w:tcW w:w="4877" w:type="dxa"/>
            <w:tcBorders>
              <w:top w:val="nil"/>
              <w:left w:val="nil"/>
              <w:bottom w:val="single" w:sz="8" w:space="0" w:color="auto"/>
              <w:right w:val="single" w:sz="8" w:space="0" w:color="auto"/>
            </w:tcBorders>
            <w:vAlign w:val="center"/>
            <w:hideMark/>
          </w:tcPr>
          <w:p w14:paraId="706D6D37" w14:textId="77777777" w:rsidR="005C4293" w:rsidRPr="00042D79" w:rsidRDefault="005C4293" w:rsidP="005C4293">
            <w:pPr>
              <w:contextualSpacing/>
              <w:rPr>
                <w:rFonts w:cs="Arial"/>
                <w:iCs/>
                <w:sz w:val="20"/>
                <w:szCs w:val="20"/>
              </w:rPr>
            </w:pPr>
            <w:r w:rsidRPr="00042D79">
              <w:rPr>
                <w:rFonts w:cs="Arial"/>
                <w:iCs/>
                <w:sz w:val="20"/>
                <w:szCs w:val="20"/>
              </w:rPr>
              <w:t>Adaptace vodních, nelesních a lesních ekosystémů na změnu klimatu – správci vodních toků</w:t>
            </w:r>
          </w:p>
        </w:tc>
        <w:tc>
          <w:tcPr>
            <w:tcW w:w="1362" w:type="dxa"/>
            <w:tcBorders>
              <w:top w:val="nil"/>
              <w:left w:val="nil"/>
              <w:bottom w:val="single" w:sz="8" w:space="0" w:color="auto"/>
              <w:right w:val="single" w:sz="8" w:space="0" w:color="auto"/>
            </w:tcBorders>
            <w:vAlign w:val="center"/>
            <w:hideMark/>
          </w:tcPr>
          <w:p w14:paraId="3103C893" w14:textId="77777777" w:rsidR="005C4293" w:rsidRPr="00042D79" w:rsidRDefault="005C4293" w:rsidP="005C4293">
            <w:pPr>
              <w:contextualSpacing/>
              <w:rPr>
                <w:rFonts w:cs="Arial"/>
                <w:iCs/>
                <w:sz w:val="20"/>
                <w:szCs w:val="20"/>
              </w:rPr>
            </w:pPr>
            <w:r w:rsidRPr="00042D79">
              <w:rPr>
                <w:rFonts w:cs="Arial"/>
                <w:iCs/>
                <w:sz w:val="20"/>
                <w:szCs w:val="20"/>
              </w:rPr>
              <w:t>17</w:t>
            </w:r>
          </w:p>
        </w:tc>
        <w:tc>
          <w:tcPr>
            <w:tcW w:w="1457" w:type="dxa"/>
            <w:tcBorders>
              <w:top w:val="nil"/>
              <w:left w:val="nil"/>
              <w:bottom w:val="single" w:sz="8" w:space="0" w:color="auto"/>
              <w:right w:val="single" w:sz="8" w:space="0" w:color="auto"/>
            </w:tcBorders>
            <w:noWrap/>
            <w:vAlign w:val="center"/>
            <w:hideMark/>
          </w:tcPr>
          <w:p w14:paraId="793270F6" w14:textId="77777777" w:rsidR="005C4293" w:rsidRPr="00042D79" w:rsidRDefault="005C4293" w:rsidP="005C4293">
            <w:pPr>
              <w:contextualSpacing/>
              <w:rPr>
                <w:rFonts w:cs="Arial"/>
                <w:iCs/>
                <w:sz w:val="20"/>
                <w:szCs w:val="20"/>
              </w:rPr>
            </w:pPr>
            <w:r w:rsidRPr="00042D79">
              <w:rPr>
                <w:rFonts w:cs="Arial"/>
                <w:iCs/>
                <w:sz w:val="20"/>
                <w:szCs w:val="20"/>
              </w:rPr>
              <w:t>110,9</w:t>
            </w:r>
          </w:p>
        </w:tc>
        <w:tc>
          <w:tcPr>
            <w:tcW w:w="0" w:type="auto"/>
            <w:vAlign w:val="center"/>
            <w:hideMark/>
          </w:tcPr>
          <w:p w14:paraId="1F248B19" w14:textId="77777777" w:rsidR="005C4293" w:rsidRPr="005C4293" w:rsidRDefault="005C4293" w:rsidP="005C4293">
            <w:pPr>
              <w:contextualSpacing/>
              <w:rPr>
                <w:rFonts w:cs="Arial"/>
                <w:b/>
                <w:i/>
              </w:rPr>
            </w:pPr>
          </w:p>
        </w:tc>
      </w:tr>
      <w:tr w:rsidR="005C4293" w:rsidRPr="005C4293" w14:paraId="3362B7C4" w14:textId="77777777">
        <w:trPr>
          <w:trHeight w:val="315"/>
        </w:trPr>
        <w:tc>
          <w:tcPr>
            <w:tcW w:w="1558" w:type="dxa"/>
            <w:tcBorders>
              <w:top w:val="nil"/>
              <w:left w:val="single" w:sz="8" w:space="0" w:color="auto"/>
              <w:bottom w:val="single" w:sz="8" w:space="0" w:color="auto"/>
              <w:right w:val="single" w:sz="8" w:space="0" w:color="auto"/>
            </w:tcBorders>
            <w:noWrap/>
            <w:vAlign w:val="center"/>
            <w:hideMark/>
          </w:tcPr>
          <w:p w14:paraId="08EC97DC" w14:textId="77777777" w:rsidR="005C4293" w:rsidRPr="00042D79" w:rsidRDefault="005C4293" w:rsidP="005C4293">
            <w:pPr>
              <w:contextualSpacing/>
              <w:rPr>
                <w:rFonts w:cs="Arial"/>
                <w:iCs/>
                <w:sz w:val="20"/>
                <w:szCs w:val="20"/>
              </w:rPr>
            </w:pPr>
            <w:r w:rsidRPr="00042D79">
              <w:rPr>
                <w:rFonts w:cs="Arial"/>
                <w:iCs/>
                <w:sz w:val="20"/>
                <w:szCs w:val="20"/>
              </w:rPr>
              <w:t>NPŽP-NPO</w:t>
            </w:r>
          </w:p>
          <w:p w14:paraId="778A8C8A" w14:textId="77777777" w:rsidR="005C4293" w:rsidRPr="00042D79" w:rsidRDefault="005C4293" w:rsidP="005C4293">
            <w:pPr>
              <w:contextualSpacing/>
              <w:rPr>
                <w:rFonts w:cs="Arial"/>
                <w:iCs/>
                <w:sz w:val="20"/>
                <w:szCs w:val="20"/>
              </w:rPr>
            </w:pPr>
            <w:r w:rsidRPr="00042D79">
              <w:rPr>
                <w:rFonts w:cs="Arial"/>
                <w:iCs/>
                <w:sz w:val="20"/>
                <w:szCs w:val="20"/>
              </w:rPr>
              <w:t>5/2023</w:t>
            </w:r>
          </w:p>
        </w:tc>
        <w:tc>
          <w:tcPr>
            <w:tcW w:w="4877" w:type="dxa"/>
            <w:tcBorders>
              <w:top w:val="nil"/>
              <w:left w:val="nil"/>
              <w:bottom w:val="single" w:sz="8" w:space="0" w:color="auto"/>
              <w:right w:val="single" w:sz="8" w:space="0" w:color="auto"/>
            </w:tcBorders>
            <w:vAlign w:val="center"/>
            <w:hideMark/>
          </w:tcPr>
          <w:p w14:paraId="193E7E20" w14:textId="260289B9" w:rsidR="005C4293" w:rsidRPr="00042D79" w:rsidRDefault="005C4293" w:rsidP="005C4293">
            <w:pPr>
              <w:contextualSpacing/>
              <w:rPr>
                <w:rFonts w:cs="Arial"/>
                <w:iCs/>
                <w:sz w:val="20"/>
                <w:szCs w:val="20"/>
              </w:rPr>
            </w:pPr>
            <w:r w:rsidRPr="00042D79">
              <w:rPr>
                <w:rFonts w:cs="Arial"/>
                <w:iCs/>
                <w:sz w:val="20"/>
                <w:szCs w:val="20"/>
              </w:rPr>
              <w:t xml:space="preserve">Adaptace vodních, nelesních a lesních ekosystémů na změnu </w:t>
            </w:r>
            <w:r w:rsidR="008946A5" w:rsidRPr="00042D79">
              <w:rPr>
                <w:rFonts w:cs="Arial"/>
                <w:iCs/>
                <w:sz w:val="20"/>
                <w:szCs w:val="20"/>
              </w:rPr>
              <w:t>klimatu – obce</w:t>
            </w:r>
          </w:p>
        </w:tc>
        <w:tc>
          <w:tcPr>
            <w:tcW w:w="1362" w:type="dxa"/>
            <w:tcBorders>
              <w:top w:val="nil"/>
              <w:left w:val="nil"/>
              <w:bottom w:val="single" w:sz="8" w:space="0" w:color="auto"/>
              <w:right w:val="single" w:sz="8" w:space="0" w:color="auto"/>
            </w:tcBorders>
            <w:vAlign w:val="center"/>
            <w:hideMark/>
          </w:tcPr>
          <w:p w14:paraId="0D794BFF" w14:textId="77777777" w:rsidR="005C4293" w:rsidRPr="00042D79" w:rsidRDefault="005C4293" w:rsidP="005C4293">
            <w:pPr>
              <w:contextualSpacing/>
              <w:rPr>
                <w:rFonts w:cs="Arial"/>
                <w:iCs/>
                <w:sz w:val="20"/>
                <w:szCs w:val="20"/>
              </w:rPr>
            </w:pPr>
            <w:r w:rsidRPr="00042D79">
              <w:rPr>
                <w:rFonts w:cs="Arial"/>
                <w:iCs/>
                <w:sz w:val="20"/>
                <w:szCs w:val="20"/>
              </w:rPr>
              <w:t>8</w:t>
            </w:r>
          </w:p>
        </w:tc>
        <w:tc>
          <w:tcPr>
            <w:tcW w:w="1457" w:type="dxa"/>
            <w:tcBorders>
              <w:top w:val="nil"/>
              <w:left w:val="nil"/>
              <w:bottom w:val="single" w:sz="8" w:space="0" w:color="auto"/>
              <w:right w:val="single" w:sz="8" w:space="0" w:color="auto"/>
            </w:tcBorders>
            <w:noWrap/>
            <w:vAlign w:val="center"/>
            <w:hideMark/>
          </w:tcPr>
          <w:p w14:paraId="01653C39" w14:textId="77777777" w:rsidR="005C4293" w:rsidRPr="00042D79" w:rsidRDefault="005C4293" w:rsidP="005C4293">
            <w:pPr>
              <w:contextualSpacing/>
              <w:rPr>
                <w:rFonts w:cs="Arial"/>
                <w:iCs/>
                <w:sz w:val="20"/>
                <w:szCs w:val="20"/>
              </w:rPr>
            </w:pPr>
            <w:r w:rsidRPr="00042D79">
              <w:rPr>
                <w:rFonts w:cs="Arial"/>
                <w:iCs/>
                <w:sz w:val="20"/>
                <w:szCs w:val="20"/>
              </w:rPr>
              <w:t>42,0</w:t>
            </w:r>
          </w:p>
        </w:tc>
        <w:tc>
          <w:tcPr>
            <w:tcW w:w="0" w:type="auto"/>
            <w:vAlign w:val="center"/>
            <w:hideMark/>
          </w:tcPr>
          <w:p w14:paraId="23C40E3B" w14:textId="77777777" w:rsidR="005C4293" w:rsidRPr="005C4293" w:rsidRDefault="005C4293" w:rsidP="005C4293">
            <w:pPr>
              <w:contextualSpacing/>
              <w:rPr>
                <w:rFonts w:cs="Arial"/>
                <w:b/>
                <w:i/>
              </w:rPr>
            </w:pPr>
          </w:p>
        </w:tc>
      </w:tr>
      <w:tr w:rsidR="005C4293" w:rsidRPr="005C4293" w14:paraId="55388E1C" w14:textId="77777777">
        <w:trPr>
          <w:trHeight w:val="315"/>
        </w:trPr>
        <w:tc>
          <w:tcPr>
            <w:tcW w:w="1558" w:type="dxa"/>
            <w:tcBorders>
              <w:top w:val="nil"/>
              <w:left w:val="single" w:sz="8" w:space="0" w:color="auto"/>
              <w:bottom w:val="single" w:sz="8" w:space="0" w:color="auto"/>
              <w:right w:val="single" w:sz="8" w:space="0" w:color="auto"/>
            </w:tcBorders>
            <w:noWrap/>
            <w:vAlign w:val="bottom"/>
            <w:hideMark/>
          </w:tcPr>
          <w:p w14:paraId="6D30A05F" w14:textId="77777777" w:rsidR="005C4293" w:rsidRPr="00042D79" w:rsidRDefault="005C4293" w:rsidP="005C4293">
            <w:pPr>
              <w:contextualSpacing/>
              <w:rPr>
                <w:rFonts w:cs="Arial"/>
                <w:iCs/>
                <w:sz w:val="20"/>
                <w:szCs w:val="20"/>
              </w:rPr>
            </w:pPr>
            <w:r w:rsidRPr="00042D79">
              <w:rPr>
                <w:rFonts w:cs="Arial"/>
                <w:iCs/>
                <w:sz w:val="20"/>
                <w:szCs w:val="20"/>
              </w:rPr>
              <w:t>9/2023</w:t>
            </w:r>
          </w:p>
        </w:tc>
        <w:tc>
          <w:tcPr>
            <w:tcW w:w="4877" w:type="dxa"/>
            <w:tcBorders>
              <w:top w:val="nil"/>
              <w:left w:val="nil"/>
              <w:bottom w:val="single" w:sz="8" w:space="0" w:color="auto"/>
              <w:right w:val="single" w:sz="8" w:space="0" w:color="auto"/>
            </w:tcBorders>
            <w:vAlign w:val="center"/>
            <w:hideMark/>
          </w:tcPr>
          <w:p w14:paraId="7D854D9D" w14:textId="77777777" w:rsidR="005C4293" w:rsidRPr="00042D79" w:rsidRDefault="005C4293" w:rsidP="005C4293">
            <w:pPr>
              <w:contextualSpacing/>
              <w:rPr>
                <w:rFonts w:cs="Arial"/>
                <w:iCs/>
                <w:sz w:val="20"/>
                <w:szCs w:val="20"/>
              </w:rPr>
            </w:pPr>
            <w:r w:rsidRPr="00042D79">
              <w:rPr>
                <w:rFonts w:cs="Arial"/>
                <w:iCs/>
                <w:sz w:val="20"/>
                <w:szCs w:val="20"/>
              </w:rPr>
              <w:t>Vodovody a úpravny vody</w:t>
            </w:r>
          </w:p>
        </w:tc>
        <w:tc>
          <w:tcPr>
            <w:tcW w:w="1362" w:type="dxa"/>
            <w:tcBorders>
              <w:top w:val="nil"/>
              <w:left w:val="nil"/>
              <w:bottom w:val="single" w:sz="8" w:space="0" w:color="auto"/>
              <w:right w:val="single" w:sz="8" w:space="0" w:color="auto"/>
            </w:tcBorders>
            <w:vAlign w:val="bottom"/>
            <w:hideMark/>
          </w:tcPr>
          <w:p w14:paraId="7DFF743F" w14:textId="77777777" w:rsidR="005C4293" w:rsidRPr="00042D79" w:rsidRDefault="005C4293" w:rsidP="005C4293">
            <w:pPr>
              <w:contextualSpacing/>
              <w:rPr>
                <w:rFonts w:cs="Arial"/>
                <w:iCs/>
                <w:sz w:val="20"/>
                <w:szCs w:val="20"/>
              </w:rPr>
            </w:pPr>
            <w:r w:rsidRPr="00042D79">
              <w:rPr>
                <w:rFonts w:cs="Arial"/>
                <w:iCs/>
                <w:sz w:val="20"/>
                <w:szCs w:val="20"/>
              </w:rPr>
              <w:t>23</w:t>
            </w:r>
          </w:p>
        </w:tc>
        <w:tc>
          <w:tcPr>
            <w:tcW w:w="1457" w:type="dxa"/>
            <w:tcBorders>
              <w:top w:val="nil"/>
              <w:left w:val="nil"/>
              <w:bottom w:val="single" w:sz="8" w:space="0" w:color="auto"/>
              <w:right w:val="single" w:sz="8" w:space="0" w:color="auto"/>
            </w:tcBorders>
            <w:noWrap/>
            <w:vAlign w:val="bottom"/>
            <w:hideMark/>
          </w:tcPr>
          <w:p w14:paraId="4C1B8A99" w14:textId="77777777" w:rsidR="005C4293" w:rsidRPr="00042D79" w:rsidRDefault="005C4293" w:rsidP="005C4293">
            <w:pPr>
              <w:contextualSpacing/>
              <w:rPr>
                <w:rFonts w:cs="Arial"/>
                <w:iCs/>
                <w:sz w:val="20"/>
                <w:szCs w:val="20"/>
              </w:rPr>
            </w:pPr>
            <w:r w:rsidRPr="00042D79">
              <w:rPr>
                <w:rFonts w:cs="Arial"/>
                <w:iCs/>
                <w:sz w:val="20"/>
                <w:szCs w:val="20"/>
              </w:rPr>
              <w:t>323,2</w:t>
            </w:r>
          </w:p>
        </w:tc>
        <w:tc>
          <w:tcPr>
            <w:tcW w:w="0" w:type="auto"/>
            <w:vAlign w:val="center"/>
            <w:hideMark/>
          </w:tcPr>
          <w:p w14:paraId="57A0F735" w14:textId="77777777" w:rsidR="005C4293" w:rsidRPr="005C4293" w:rsidRDefault="005C4293" w:rsidP="005C4293">
            <w:pPr>
              <w:contextualSpacing/>
              <w:rPr>
                <w:rFonts w:cs="Arial"/>
                <w:b/>
                <w:i/>
              </w:rPr>
            </w:pPr>
          </w:p>
        </w:tc>
      </w:tr>
      <w:tr w:rsidR="005C4293" w:rsidRPr="005C4293" w14:paraId="276FF11E" w14:textId="77777777">
        <w:trPr>
          <w:trHeight w:val="315"/>
        </w:trPr>
        <w:tc>
          <w:tcPr>
            <w:tcW w:w="1558" w:type="dxa"/>
            <w:tcBorders>
              <w:top w:val="nil"/>
              <w:left w:val="single" w:sz="8" w:space="0" w:color="auto"/>
              <w:bottom w:val="single" w:sz="8" w:space="0" w:color="auto"/>
              <w:right w:val="single" w:sz="8" w:space="0" w:color="auto"/>
            </w:tcBorders>
            <w:noWrap/>
            <w:vAlign w:val="bottom"/>
            <w:hideMark/>
          </w:tcPr>
          <w:p w14:paraId="75B0AA8D" w14:textId="77777777" w:rsidR="005C4293" w:rsidRPr="00042D79" w:rsidRDefault="005C4293" w:rsidP="005C4293">
            <w:pPr>
              <w:contextualSpacing/>
              <w:rPr>
                <w:rFonts w:cs="Arial"/>
                <w:iCs/>
                <w:sz w:val="20"/>
                <w:szCs w:val="20"/>
              </w:rPr>
            </w:pPr>
            <w:r w:rsidRPr="00042D79">
              <w:rPr>
                <w:rFonts w:cs="Arial"/>
                <w:iCs/>
                <w:sz w:val="20"/>
                <w:szCs w:val="20"/>
              </w:rPr>
              <w:t>6/2024</w:t>
            </w:r>
          </w:p>
        </w:tc>
        <w:tc>
          <w:tcPr>
            <w:tcW w:w="4877" w:type="dxa"/>
            <w:tcBorders>
              <w:top w:val="nil"/>
              <w:left w:val="nil"/>
              <w:bottom w:val="single" w:sz="8" w:space="0" w:color="auto"/>
              <w:right w:val="single" w:sz="8" w:space="0" w:color="auto"/>
            </w:tcBorders>
            <w:vAlign w:val="center"/>
            <w:hideMark/>
          </w:tcPr>
          <w:p w14:paraId="158BD005" w14:textId="77777777" w:rsidR="005C4293" w:rsidRPr="00042D79" w:rsidRDefault="005C4293" w:rsidP="005C4293">
            <w:pPr>
              <w:contextualSpacing/>
              <w:rPr>
                <w:rFonts w:cs="Arial"/>
                <w:iCs/>
                <w:sz w:val="20"/>
                <w:szCs w:val="20"/>
              </w:rPr>
            </w:pPr>
            <w:r w:rsidRPr="00042D79">
              <w:rPr>
                <w:rFonts w:cs="Arial"/>
                <w:iCs/>
                <w:sz w:val="20"/>
                <w:szCs w:val="20"/>
              </w:rPr>
              <w:t>Vodovody a úpravny vody</w:t>
            </w:r>
          </w:p>
        </w:tc>
        <w:tc>
          <w:tcPr>
            <w:tcW w:w="1362" w:type="dxa"/>
            <w:tcBorders>
              <w:top w:val="nil"/>
              <w:left w:val="nil"/>
              <w:bottom w:val="single" w:sz="8" w:space="0" w:color="auto"/>
              <w:right w:val="single" w:sz="8" w:space="0" w:color="auto"/>
            </w:tcBorders>
            <w:vAlign w:val="bottom"/>
            <w:hideMark/>
          </w:tcPr>
          <w:p w14:paraId="2FB81FC4" w14:textId="77777777" w:rsidR="005C4293" w:rsidRPr="00042D79" w:rsidRDefault="005C4293" w:rsidP="005C4293">
            <w:pPr>
              <w:contextualSpacing/>
              <w:rPr>
                <w:rFonts w:cs="Arial"/>
                <w:iCs/>
                <w:sz w:val="20"/>
                <w:szCs w:val="20"/>
              </w:rPr>
            </w:pPr>
            <w:r w:rsidRPr="00042D79">
              <w:rPr>
                <w:rFonts w:cs="Arial"/>
                <w:iCs/>
                <w:sz w:val="20"/>
                <w:szCs w:val="20"/>
              </w:rPr>
              <w:t>55</w:t>
            </w:r>
          </w:p>
        </w:tc>
        <w:tc>
          <w:tcPr>
            <w:tcW w:w="1457" w:type="dxa"/>
            <w:tcBorders>
              <w:top w:val="nil"/>
              <w:left w:val="nil"/>
              <w:bottom w:val="single" w:sz="8" w:space="0" w:color="auto"/>
              <w:right w:val="single" w:sz="8" w:space="0" w:color="auto"/>
            </w:tcBorders>
            <w:noWrap/>
            <w:vAlign w:val="bottom"/>
            <w:hideMark/>
          </w:tcPr>
          <w:p w14:paraId="45A774C6" w14:textId="77777777" w:rsidR="005C4293" w:rsidRPr="00042D79" w:rsidRDefault="005C4293" w:rsidP="005C4293">
            <w:pPr>
              <w:contextualSpacing/>
              <w:rPr>
                <w:rFonts w:cs="Arial"/>
                <w:iCs/>
                <w:sz w:val="20"/>
                <w:szCs w:val="20"/>
              </w:rPr>
            </w:pPr>
            <w:r w:rsidRPr="00042D79">
              <w:rPr>
                <w:rFonts w:cs="Arial"/>
                <w:iCs/>
                <w:sz w:val="20"/>
                <w:szCs w:val="20"/>
              </w:rPr>
              <w:t>524,7</w:t>
            </w:r>
          </w:p>
        </w:tc>
        <w:tc>
          <w:tcPr>
            <w:tcW w:w="0" w:type="auto"/>
            <w:vAlign w:val="center"/>
            <w:hideMark/>
          </w:tcPr>
          <w:p w14:paraId="4437B036" w14:textId="77777777" w:rsidR="005C4293" w:rsidRPr="005C4293" w:rsidRDefault="005C4293" w:rsidP="005C4293">
            <w:pPr>
              <w:contextualSpacing/>
              <w:rPr>
                <w:rFonts w:cs="Arial"/>
                <w:b/>
                <w:i/>
              </w:rPr>
            </w:pPr>
          </w:p>
        </w:tc>
      </w:tr>
      <w:tr w:rsidR="005C4293" w:rsidRPr="005C4293" w14:paraId="34EF66D8" w14:textId="77777777">
        <w:trPr>
          <w:trHeight w:val="315"/>
        </w:trPr>
        <w:tc>
          <w:tcPr>
            <w:tcW w:w="1558" w:type="dxa"/>
            <w:tcBorders>
              <w:top w:val="nil"/>
              <w:left w:val="single" w:sz="8" w:space="0" w:color="auto"/>
              <w:bottom w:val="single" w:sz="8" w:space="0" w:color="auto"/>
              <w:right w:val="single" w:sz="8" w:space="0" w:color="auto"/>
            </w:tcBorders>
            <w:noWrap/>
            <w:vAlign w:val="bottom"/>
            <w:hideMark/>
          </w:tcPr>
          <w:p w14:paraId="0C81DC26" w14:textId="77777777" w:rsidR="005C4293" w:rsidRPr="00042D79" w:rsidRDefault="005C4293" w:rsidP="005C4293">
            <w:pPr>
              <w:contextualSpacing/>
              <w:rPr>
                <w:rFonts w:cs="Arial"/>
                <w:iCs/>
                <w:sz w:val="20"/>
                <w:szCs w:val="20"/>
              </w:rPr>
            </w:pPr>
            <w:r w:rsidRPr="00042D79">
              <w:rPr>
                <w:rFonts w:cs="Arial"/>
                <w:iCs/>
                <w:sz w:val="20"/>
                <w:szCs w:val="20"/>
              </w:rPr>
              <w:t>7/2024</w:t>
            </w:r>
          </w:p>
        </w:tc>
        <w:tc>
          <w:tcPr>
            <w:tcW w:w="4877" w:type="dxa"/>
            <w:tcBorders>
              <w:top w:val="nil"/>
              <w:left w:val="nil"/>
              <w:bottom w:val="single" w:sz="8" w:space="0" w:color="auto"/>
              <w:right w:val="single" w:sz="8" w:space="0" w:color="auto"/>
            </w:tcBorders>
            <w:vAlign w:val="center"/>
            <w:hideMark/>
          </w:tcPr>
          <w:p w14:paraId="6CE765E2" w14:textId="77777777" w:rsidR="005C4293" w:rsidRPr="00042D79" w:rsidRDefault="005C4293" w:rsidP="005C4293">
            <w:pPr>
              <w:contextualSpacing/>
              <w:rPr>
                <w:rFonts w:cs="Arial"/>
                <w:iCs/>
                <w:sz w:val="20"/>
                <w:szCs w:val="20"/>
              </w:rPr>
            </w:pPr>
            <w:r w:rsidRPr="00042D79">
              <w:rPr>
                <w:rFonts w:cs="Arial"/>
                <w:iCs/>
                <w:sz w:val="20"/>
                <w:szCs w:val="20"/>
              </w:rPr>
              <w:t>Kanalizace a čistírny odpadních vod</w:t>
            </w:r>
          </w:p>
        </w:tc>
        <w:tc>
          <w:tcPr>
            <w:tcW w:w="1362" w:type="dxa"/>
            <w:tcBorders>
              <w:top w:val="nil"/>
              <w:left w:val="nil"/>
              <w:bottom w:val="single" w:sz="8" w:space="0" w:color="auto"/>
              <w:right w:val="single" w:sz="8" w:space="0" w:color="auto"/>
            </w:tcBorders>
            <w:vAlign w:val="bottom"/>
            <w:hideMark/>
          </w:tcPr>
          <w:p w14:paraId="043C8544" w14:textId="77777777" w:rsidR="005C4293" w:rsidRPr="00042D79" w:rsidRDefault="005C4293" w:rsidP="005C4293">
            <w:pPr>
              <w:contextualSpacing/>
              <w:rPr>
                <w:rFonts w:cs="Arial"/>
                <w:iCs/>
                <w:sz w:val="20"/>
                <w:szCs w:val="20"/>
              </w:rPr>
            </w:pPr>
            <w:r w:rsidRPr="00042D79">
              <w:rPr>
                <w:rFonts w:cs="Arial"/>
                <w:iCs/>
                <w:sz w:val="20"/>
                <w:szCs w:val="20"/>
              </w:rPr>
              <w:t>112</w:t>
            </w:r>
          </w:p>
        </w:tc>
        <w:tc>
          <w:tcPr>
            <w:tcW w:w="1457" w:type="dxa"/>
            <w:tcBorders>
              <w:top w:val="nil"/>
              <w:left w:val="nil"/>
              <w:bottom w:val="single" w:sz="8" w:space="0" w:color="auto"/>
              <w:right w:val="single" w:sz="8" w:space="0" w:color="auto"/>
            </w:tcBorders>
            <w:noWrap/>
            <w:vAlign w:val="bottom"/>
            <w:hideMark/>
          </w:tcPr>
          <w:p w14:paraId="20D1466A" w14:textId="77777777" w:rsidR="005C4293" w:rsidRPr="00042D79" w:rsidRDefault="005C4293" w:rsidP="005C4293">
            <w:pPr>
              <w:contextualSpacing/>
              <w:rPr>
                <w:rFonts w:cs="Arial"/>
                <w:iCs/>
                <w:sz w:val="20"/>
                <w:szCs w:val="20"/>
              </w:rPr>
            </w:pPr>
            <w:r w:rsidRPr="00042D79">
              <w:rPr>
                <w:rFonts w:cs="Arial"/>
                <w:iCs/>
                <w:sz w:val="20"/>
                <w:szCs w:val="20"/>
              </w:rPr>
              <w:t>1 557,7</w:t>
            </w:r>
          </w:p>
        </w:tc>
        <w:tc>
          <w:tcPr>
            <w:tcW w:w="0" w:type="auto"/>
            <w:vAlign w:val="center"/>
            <w:hideMark/>
          </w:tcPr>
          <w:p w14:paraId="178719A4" w14:textId="77777777" w:rsidR="005C4293" w:rsidRPr="005C4293" w:rsidRDefault="005C4293" w:rsidP="005C4293">
            <w:pPr>
              <w:contextualSpacing/>
              <w:rPr>
                <w:rFonts w:cs="Arial"/>
                <w:b/>
                <w:i/>
              </w:rPr>
            </w:pPr>
          </w:p>
        </w:tc>
      </w:tr>
      <w:tr w:rsidR="005C4293" w:rsidRPr="005C4293" w14:paraId="08F07BDC" w14:textId="77777777">
        <w:trPr>
          <w:trHeight w:val="315"/>
        </w:trPr>
        <w:tc>
          <w:tcPr>
            <w:tcW w:w="1558" w:type="dxa"/>
            <w:tcBorders>
              <w:top w:val="nil"/>
              <w:left w:val="single" w:sz="8" w:space="0" w:color="auto"/>
              <w:bottom w:val="single" w:sz="8" w:space="0" w:color="auto"/>
              <w:right w:val="single" w:sz="8" w:space="0" w:color="auto"/>
            </w:tcBorders>
            <w:noWrap/>
            <w:vAlign w:val="bottom"/>
            <w:hideMark/>
          </w:tcPr>
          <w:p w14:paraId="5F494422" w14:textId="77777777" w:rsidR="005C4293" w:rsidRPr="00042D79" w:rsidRDefault="005C4293" w:rsidP="005C4293">
            <w:pPr>
              <w:contextualSpacing/>
              <w:rPr>
                <w:rFonts w:cs="Arial"/>
                <w:iCs/>
                <w:sz w:val="20"/>
                <w:szCs w:val="20"/>
              </w:rPr>
            </w:pPr>
            <w:r w:rsidRPr="00042D79">
              <w:rPr>
                <w:rFonts w:cs="Arial"/>
                <w:iCs/>
                <w:sz w:val="20"/>
                <w:szCs w:val="20"/>
              </w:rPr>
              <w:t>V2/2024</w:t>
            </w:r>
          </w:p>
        </w:tc>
        <w:tc>
          <w:tcPr>
            <w:tcW w:w="4877" w:type="dxa"/>
            <w:tcBorders>
              <w:top w:val="nil"/>
              <w:left w:val="nil"/>
              <w:bottom w:val="single" w:sz="8" w:space="0" w:color="auto"/>
              <w:right w:val="single" w:sz="8" w:space="0" w:color="auto"/>
            </w:tcBorders>
            <w:vAlign w:val="center"/>
            <w:hideMark/>
          </w:tcPr>
          <w:p w14:paraId="18C7BA20" w14:textId="77777777" w:rsidR="005C4293" w:rsidRPr="00042D79" w:rsidRDefault="005C4293" w:rsidP="005C4293">
            <w:pPr>
              <w:contextualSpacing/>
              <w:rPr>
                <w:rFonts w:cs="Arial"/>
                <w:iCs/>
                <w:sz w:val="20"/>
                <w:szCs w:val="20"/>
              </w:rPr>
            </w:pPr>
            <w:r w:rsidRPr="00042D79">
              <w:rPr>
                <w:rFonts w:cs="Arial"/>
                <w:iCs/>
                <w:sz w:val="20"/>
                <w:szCs w:val="20"/>
              </w:rPr>
              <w:t>Obnova infrastruktury pro ŽP po povodni 2024</w:t>
            </w:r>
          </w:p>
        </w:tc>
        <w:tc>
          <w:tcPr>
            <w:tcW w:w="1362" w:type="dxa"/>
            <w:tcBorders>
              <w:top w:val="nil"/>
              <w:left w:val="nil"/>
              <w:bottom w:val="single" w:sz="8" w:space="0" w:color="auto"/>
              <w:right w:val="single" w:sz="8" w:space="0" w:color="auto"/>
            </w:tcBorders>
            <w:vAlign w:val="bottom"/>
            <w:hideMark/>
          </w:tcPr>
          <w:p w14:paraId="413C1512" w14:textId="77777777" w:rsidR="005C4293" w:rsidRPr="00042D79" w:rsidRDefault="005C4293" w:rsidP="005C4293">
            <w:pPr>
              <w:contextualSpacing/>
              <w:rPr>
                <w:rFonts w:cs="Arial"/>
                <w:iCs/>
                <w:sz w:val="20"/>
                <w:szCs w:val="20"/>
              </w:rPr>
            </w:pPr>
            <w:r w:rsidRPr="00042D79">
              <w:rPr>
                <w:rFonts w:cs="Arial"/>
                <w:iCs/>
                <w:sz w:val="20"/>
                <w:szCs w:val="20"/>
              </w:rPr>
              <w:t>41</w:t>
            </w:r>
          </w:p>
        </w:tc>
        <w:tc>
          <w:tcPr>
            <w:tcW w:w="1457" w:type="dxa"/>
            <w:tcBorders>
              <w:top w:val="nil"/>
              <w:left w:val="nil"/>
              <w:bottom w:val="single" w:sz="8" w:space="0" w:color="auto"/>
              <w:right w:val="single" w:sz="8" w:space="0" w:color="auto"/>
            </w:tcBorders>
            <w:noWrap/>
            <w:vAlign w:val="bottom"/>
            <w:hideMark/>
          </w:tcPr>
          <w:p w14:paraId="39013D43" w14:textId="77777777" w:rsidR="005C4293" w:rsidRPr="00042D79" w:rsidRDefault="005C4293" w:rsidP="005C4293">
            <w:pPr>
              <w:contextualSpacing/>
              <w:rPr>
                <w:rFonts w:cs="Arial"/>
                <w:iCs/>
                <w:sz w:val="20"/>
                <w:szCs w:val="20"/>
              </w:rPr>
            </w:pPr>
            <w:r w:rsidRPr="00042D79">
              <w:rPr>
                <w:rFonts w:cs="Arial"/>
                <w:iCs/>
                <w:sz w:val="20"/>
                <w:szCs w:val="20"/>
              </w:rPr>
              <w:t>241,2</w:t>
            </w:r>
          </w:p>
        </w:tc>
        <w:tc>
          <w:tcPr>
            <w:tcW w:w="0" w:type="auto"/>
            <w:vAlign w:val="center"/>
            <w:hideMark/>
          </w:tcPr>
          <w:p w14:paraId="7F98187D" w14:textId="77777777" w:rsidR="005C4293" w:rsidRPr="005C4293" w:rsidRDefault="005C4293" w:rsidP="005C4293">
            <w:pPr>
              <w:contextualSpacing/>
              <w:rPr>
                <w:rFonts w:cs="Arial"/>
                <w:b/>
                <w:i/>
              </w:rPr>
            </w:pPr>
          </w:p>
        </w:tc>
      </w:tr>
      <w:tr w:rsidR="005C4293" w:rsidRPr="005C4293" w14:paraId="411FB67A" w14:textId="77777777">
        <w:trPr>
          <w:trHeight w:val="315"/>
        </w:trPr>
        <w:tc>
          <w:tcPr>
            <w:tcW w:w="1558" w:type="dxa"/>
            <w:tcBorders>
              <w:top w:val="nil"/>
              <w:left w:val="single" w:sz="8" w:space="0" w:color="auto"/>
              <w:bottom w:val="single" w:sz="8" w:space="0" w:color="auto"/>
              <w:right w:val="single" w:sz="8" w:space="0" w:color="auto"/>
            </w:tcBorders>
            <w:noWrap/>
            <w:hideMark/>
          </w:tcPr>
          <w:p w14:paraId="0CCC518F" w14:textId="77777777" w:rsidR="005C4293" w:rsidRPr="00042D79" w:rsidRDefault="005C4293" w:rsidP="005C4293">
            <w:pPr>
              <w:contextualSpacing/>
              <w:rPr>
                <w:rFonts w:cs="Arial"/>
                <w:iCs/>
                <w:sz w:val="20"/>
                <w:szCs w:val="20"/>
              </w:rPr>
            </w:pPr>
            <w:r w:rsidRPr="00042D79">
              <w:rPr>
                <w:rFonts w:cs="Arial"/>
                <w:iCs/>
                <w:sz w:val="20"/>
                <w:szCs w:val="20"/>
              </w:rPr>
              <w:t>3/2025</w:t>
            </w:r>
          </w:p>
        </w:tc>
        <w:tc>
          <w:tcPr>
            <w:tcW w:w="4877" w:type="dxa"/>
            <w:tcBorders>
              <w:top w:val="nil"/>
              <w:left w:val="nil"/>
              <w:bottom w:val="single" w:sz="8" w:space="0" w:color="auto"/>
              <w:right w:val="single" w:sz="8" w:space="0" w:color="auto"/>
            </w:tcBorders>
            <w:hideMark/>
          </w:tcPr>
          <w:p w14:paraId="15619BFD" w14:textId="77777777" w:rsidR="005C4293" w:rsidRPr="00042D79" w:rsidRDefault="005C4293" w:rsidP="005C4293">
            <w:pPr>
              <w:contextualSpacing/>
              <w:rPr>
                <w:rFonts w:cs="Arial"/>
                <w:iCs/>
                <w:sz w:val="20"/>
                <w:szCs w:val="20"/>
              </w:rPr>
            </w:pPr>
            <w:r w:rsidRPr="00042D79">
              <w:rPr>
                <w:rFonts w:cs="Arial"/>
                <w:iCs/>
                <w:sz w:val="20"/>
                <w:szCs w:val="20"/>
              </w:rPr>
              <w:t>Čištění odpadních vod v krasových oblastech</w:t>
            </w:r>
          </w:p>
        </w:tc>
        <w:tc>
          <w:tcPr>
            <w:tcW w:w="1362" w:type="dxa"/>
            <w:tcBorders>
              <w:top w:val="nil"/>
              <w:left w:val="nil"/>
              <w:bottom w:val="single" w:sz="8" w:space="0" w:color="auto"/>
              <w:right w:val="single" w:sz="8" w:space="0" w:color="auto"/>
            </w:tcBorders>
            <w:hideMark/>
          </w:tcPr>
          <w:p w14:paraId="5CAA05DC" w14:textId="77777777" w:rsidR="005C4293" w:rsidRPr="00042D79" w:rsidRDefault="005C4293" w:rsidP="005C4293">
            <w:pPr>
              <w:contextualSpacing/>
              <w:rPr>
                <w:rFonts w:cs="Arial"/>
                <w:iCs/>
                <w:sz w:val="20"/>
                <w:szCs w:val="20"/>
              </w:rPr>
            </w:pPr>
            <w:r w:rsidRPr="00042D79">
              <w:rPr>
                <w:rFonts w:cs="Arial"/>
                <w:iCs/>
                <w:sz w:val="20"/>
                <w:szCs w:val="20"/>
              </w:rPr>
              <w:t>1</w:t>
            </w:r>
          </w:p>
        </w:tc>
        <w:tc>
          <w:tcPr>
            <w:tcW w:w="1457" w:type="dxa"/>
            <w:tcBorders>
              <w:top w:val="nil"/>
              <w:left w:val="nil"/>
              <w:bottom w:val="single" w:sz="8" w:space="0" w:color="auto"/>
              <w:right w:val="single" w:sz="8" w:space="0" w:color="auto"/>
            </w:tcBorders>
            <w:noWrap/>
            <w:hideMark/>
          </w:tcPr>
          <w:p w14:paraId="01AFB7AC" w14:textId="77777777" w:rsidR="005C4293" w:rsidRPr="00042D79" w:rsidRDefault="005C4293" w:rsidP="005C4293">
            <w:pPr>
              <w:contextualSpacing/>
              <w:rPr>
                <w:rFonts w:cs="Arial"/>
                <w:iCs/>
                <w:sz w:val="20"/>
                <w:szCs w:val="20"/>
              </w:rPr>
            </w:pPr>
            <w:r w:rsidRPr="00042D79">
              <w:rPr>
                <w:rFonts w:cs="Arial"/>
                <w:iCs/>
                <w:sz w:val="20"/>
                <w:szCs w:val="20"/>
              </w:rPr>
              <w:t>2,3</w:t>
            </w:r>
          </w:p>
        </w:tc>
        <w:tc>
          <w:tcPr>
            <w:tcW w:w="0" w:type="auto"/>
            <w:vAlign w:val="center"/>
            <w:hideMark/>
          </w:tcPr>
          <w:p w14:paraId="4D25E06E" w14:textId="77777777" w:rsidR="005C4293" w:rsidRPr="005C4293" w:rsidRDefault="005C4293" w:rsidP="005C4293">
            <w:pPr>
              <w:contextualSpacing/>
              <w:rPr>
                <w:rFonts w:cs="Arial"/>
                <w:b/>
                <w:i/>
              </w:rPr>
            </w:pPr>
          </w:p>
        </w:tc>
      </w:tr>
      <w:tr w:rsidR="005C4293" w:rsidRPr="005C4293" w14:paraId="44CCA723" w14:textId="77777777" w:rsidTr="00042D79">
        <w:trPr>
          <w:trHeight w:val="315"/>
        </w:trPr>
        <w:tc>
          <w:tcPr>
            <w:tcW w:w="1558" w:type="dxa"/>
            <w:tcBorders>
              <w:top w:val="nil"/>
              <w:left w:val="single" w:sz="8" w:space="0" w:color="auto"/>
              <w:bottom w:val="single" w:sz="8" w:space="0" w:color="auto"/>
              <w:right w:val="single" w:sz="8" w:space="0" w:color="auto"/>
            </w:tcBorders>
            <w:shd w:val="clear" w:color="auto" w:fill="A6A6A6" w:themeFill="background1" w:themeFillShade="A6"/>
            <w:noWrap/>
            <w:vAlign w:val="center"/>
            <w:hideMark/>
          </w:tcPr>
          <w:p w14:paraId="78A840FB" w14:textId="77777777" w:rsidR="005C4293" w:rsidRPr="00042D79" w:rsidRDefault="005C4293" w:rsidP="005C4293">
            <w:pPr>
              <w:contextualSpacing/>
              <w:rPr>
                <w:rFonts w:cs="Arial"/>
                <w:iCs/>
                <w:sz w:val="20"/>
                <w:szCs w:val="20"/>
              </w:rPr>
            </w:pPr>
            <w:r w:rsidRPr="00042D79">
              <w:rPr>
                <w:rFonts w:cs="Arial"/>
                <w:iCs/>
                <w:sz w:val="20"/>
                <w:szCs w:val="20"/>
              </w:rPr>
              <w:t>Celkem</w:t>
            </w:r>
          </w:p>
        </w:tc>
        <w:tc>
          <w:tcPr>
            <w:tcW w:w="4877" w:type="dxa"/>
            <w:tcBorders>
              <w:top w:val="nil"/>
              <w:left w:val="nil"/>
              <w:bottom w:val="single" w:sz="8" w:space="0" w:color="auto"/>
              <w:right w:val="single" w:sz="8" w:space="0" w:color="auto"/>
            </w:tcBorders>
            <w:shd w:val="clear" w:color="auto" w:fill="A6A6A6" w:themeFill="background1" w:themeFillShade="A6"/>
            <w:vAlign w:val="center"/>
            <w:hideMark/>
          </w:tcPr>
          <w:p w14:paraId="69D1D524" w14:textId="77777777" w:rsidR="005C4293" w:rsidRPr="00042D79" w:rsidRDefault="005C4293" w:rsidP="005C4293">
            <w:pPr>
              <w:contextualSpacing/>
              <w:rPr>
                <w:rFonts w:cs="Arial"/>
                <w:iCs/>
                <w:sz w:val="20"/>
                <w:szCs w:val="20"/>
              </w:rPr>
            </w:pPr>
            <w:r w:rsidRPr="00042D79">
              <w:rPr>
                <w:rFonts w:cs="Arial"/>
                <w:iCs/>
                <w:sz w:val="20"/>
                <w:szCs w:val="20"/>
              </w:rPr>
              <w:t> </w:t>
            </w:r>
          </w:p>
        </w:tc>
        <w:tc>
          <w:tcPr>
            <w:tcW w:w="1362" w:type="dxa"/>
            <w:tcBorders>
              <w:top w:val="nil"/>
              <w:left w:val="nil"/>
              <w:bottom w:val="single" w:sz="8" w:space="0" w:color="auto"/>
              <w:right w:val="single" w:sz="8" w:space="0" w:color="auto"/>
            </w:tcBorders>
            <w:shd w:val="clear" w:color="auto" w:fill="A6A6A6" w:themeFill="background1" w:themeFillShade="A6"/>
            <w:vAlign w:val="center"/>
            <w:hideMark/>
          </w:tcPr>
          <w:p w14:paraId="31EABEF0" w14:textId="77777777" w:rsidR="005C4293" w:rsidRPr="00042D79" w:rsidRDefault="005C4293" w:rsidP="005C4293">
            <w:pPr>
              <w:contextualSpacing/>
              <w:rPr>
                <w:rFonts w:cs="Arial"/>
                <w:iCs/>
                <w:sz w:val="20"/>
                <w:szCs w:val="20"/>
              </w:rPr>
            </w:pPr>
            <w:r w:rsidRPr="00042D79">
              <w:rPr>
                <w:rFonts w:cs="Arial"/>
                <w:iCs/>
                <w:sz w:val="20"/>
                <w:szCs w:val="20"/>
              </w:rPr>
              <w:t>362</w:t>
            </w:r>
          </w:p>
        </w:tc>
        <w:tc>
          <w:tcPr>
            <w:tcW w:w="1457" w:type="dxa"/>
            <w:tcBorders>
              <w:top w:val="nil"/>
              <w:left w:val="nil"/>
              <w:bottom w:val="single" w:sz="8" w:space="0" w:color="auto"/>
              <w:right w:val="single" w:sz="8" w:space="0" w:color="auto"/>
            </w:tcBorders>
            <w:shd w:val="clear" w:color="auto" w:fill="A6A6A6" w:themeFill="background1" w:themeFillShade="A6"/>
            <w:vAlign w:val="center"/>
            <w:hideMark/>
          </w:tcPr>
          <w:p w14:paraId="15ABD681" w14:textId="77777777" w:rsidR="005C4293" w:rsidRPr="00042D79" w:rsidRDefault="005C4293" w:rsidP="005C4293">
            <w:pPr>
              <w:contextualSpacing/>
              <w:rPr>
                <w:rFonts w:cs="Arial"/>
                <w:iCs/>
                <w:sz w:val="20"/>
                <w:szCs w:val="20"/>
              </w:rPr>
            </w:pPr>
            <w:r w:rsidRPr="00042D79">
              <w:rPr>
                <w:rFonts w:cs="Arial"/>
                <w:iCs/>
                <w:sz w:val="20"/>
                <w:szCs w:val="20"/>
              </w:rPr>
              <w:t>3 271,7</w:t>
            </w:r>
          </w:p>
        </w:tc>
        <w:tc>
          <w:tcPr>
            <w:tcW w:w="0" w:type="auto"/>
            <w:vAlign w:val="center"/>
            <w:hideMark/>
          </w:tcPr>
          <w:p w14:paraId="7C50DA1E" w14:textId="77777777" w:rsidR="005C4293" w:rsidRPr="005C4293" w:rsidRDefault="005C4293" w:rsidP="005C4293">
            <w:pPr>
              <w:contextualSpacing/>
              <w:rPr>
                <w:rFonts w:cs="Arial"/>
                <w:b/>
                <w:i/>
              </w:rPr>
            </w:pPr>
          </w:p>
        </w:tc>
      </w:tr>
    </w:tbl>
    <w:p w14:paraId="3CDAEE97" w14:textId="0CBDD22C" w:rsidR="00376878" w:rsidRPr="005C4293" w:rsidRDefault="00376878" w:rsidP="007C4955">
      <w:pPr>
        <w:contextualSpacing/>
        <w:rPr>
          <w:i/>
          <w:sz w:val="20"/>
          <w:szCs w:val="20"/>
        </w:rPr>
      </w:pPr>
      <w:r w:rsidRPr="005C4293">
        <w:rPr>
          <w:i/>
          <w:sz w:val="20"/>
          <w:szCs w:val="20"/>
        </w:rPr>
        <w:t>Pramen: SFŽP</w:t>
      </w:r>
    </w:p>
    <w:p w14:paraId="66B0FD38" w14:textId="77777777" w:rsidR="005D6792" w:rsidRPr="005C4293" w:rsidRDefault="005D6792" w:rsidP="000C3A80">
      <w:pPr>
        <w:rPr>
          <w:i/>
          <w:sz w:val="20"/>
          <w:szCs w:val="20"/>
        </w:rPr>
      </w:pPr>
    </w:p>
    <w:p w14:paraId="27546868" w14:textId="03244AAB" w:rsidR="00950DBF" w:rsidRDefault="00161AE7" w:rsidP="00950DBF">
      <w:pPr>
        <w:contextualSpacing/>
        <w:rPr>
          <w:rFonts w:cs="Segoe UI"/>
        </w:rPr>
      </w:pPr>
      <w:r w:rsidRPr="00161AE7">
        <w:rPr>
          <w:rFonts w:cs="Segoe UI"/>
        </w:rPr>
        <w:t>Výše uvedená tabulka obsahuje mimořádnou výzvu, kterou MŽP prostřednictvím SFŽP ČR v roce 2024 vyhlásilo v rámci NPŽP na podporu oblastí zasažených povodněmi v roce 2024. Jedná se o výzvu V2/2024 – Obnova infrastruktury pro ŽP – kanalizace a vodovody, kde bylo celkově vyplaceno 1 311,568 mil Kč z toho v roce 2025 bylo vyplaceno 241,2 mil. Kč.</w:t>
      </w:r>
    </w:p>
    <w:p w14:paraId="49495F27" w14:textId="77777777" w:rsidR="00161AE7" w:rsidRPr="00104F7D" w:rsidRDefault="00161AE7" w:rsidP="00950DBF">
      <w:pPr>
        <w:contextualSpacing/>
        <w:rPr>
          <w:rFonts w:cs="Arial"/>
          <w:b/>
          <w:i/>
          <w:highlight w:val="yellow"/>
        </w:rPr>
      </w:pPr>
    </w:p>
    <w:p w14:paraId="3BFA8C7C" w14:textId="1DFF8BE5" w:rsidR="000C3A80" w:rsidRPr="00FD5E19" w:rsidRDefault="000C3A80" w:rsidP="000C3A80">
      <w:pPr>
        <w:contextualSpacing/>
        <w:rPr>
          <w:rFonts w:cs="Arial"/>
          <w:b/>
          <w:i/>
        </w:rPr>
      </w:pPr>
      <w:r w:rsidRPr="00FD5E19">
        <w:rPr>
          <w:rFonts w:cs="Arial"/>
          <w:b/>
          <w:i/>
        </w:rPr>
        <w:t xml:space="preserve">Zápůjčky SFŽP ČR </w:t>
      </w:r>
    </w:p>
    <w:p w14:paraId="618EE126" w14:textId="52B39239" w:rsidR="00E52837" w:rsidRPr="00FD5E19" w:rsidRDefault="00E52837" w:rsidP="00E52837">
      <w:pPr>
        <w:contextualSpacing/>
        <w:rPr>
          <w:rFonts w:cs="Arial"/>
        </w:rPr>
      </w:pPr>
      <w:bookmarkStart w:id="178" w:name="_Hlk130559453"/>
    </w:p>
    <w:p w14:paraId="660BBBFE" w14:textId="77777777" w:rsidR="00FD5E19" w:rsidRPr="00FD5E19" w:rsidRDefault="00FD5E19" w:rsidP="00FD5E19">
      <w:pPr>
        <w:contextualSpacing/>
        <w:rPr>
          <w:rFonts w:cs="Arial"/>
          <w:bCs/>
          <w:iCs/>
        </w:rPr>
      </w:pPr>
      <w:r w:rsidRPr="00FD5E19">
        <w:rPr>
          <w:rFonts w:cs="Arial"/>
          <w:bCs/>
          <w:iCs/>
        </w:rPr>
        <w:t xml:space="preserve">Cílem zvýhodněných půjček z prostředků SFŽP ČR je kofinancování projektů, které obdržely dotaci na realizaci z jiných programů podpory. </w:t>
      </w:r>
    </w:p>
    <w:p w14:paraId="50961E01" w14:textId="77777777" w:rsidR="00FD5E19" w:rsidRPr="00FD5E19" w:rsidRDefault="00FD5E19" w:rsidP="00FD5E19">
      <w:pPr>
        <w:contextualSpacing/>
        <w:rPr>
          <w:rFonts w:cs="Arial"/>
          <w:bCs/>
          <w:iCs/>
        </w:rPr>
      </w:pPr>
    </w:p>
    <w:p w14:paraId="6B37DBBC" w14:textId="15ED6DB3" w:rsidR="00FD5E19" w:rsidRPr="00FD5E19" w:rsidRDefault="00FD5E19" w:rsidP="00FD5E19">
      <w:pPr>
        <w:contextualSpacing/>
        <w:rPr>
          <w:rFonts w:cs="Arial"/>
          <w:bCs/>
          <w:iCs/>
        </w:rPr>
      </w:pPr>
      <w:r w:rsidRPr="00FD5E19">
        <w:rPr>
          <w:rFonts w:cs="Arial"/>
          <w:bCs/>
          <w:iCs/>
        </w:rPr>
        <w:t>V roce 2024 byla vypsána výzva č. 1/2024 na kofinancování projektů vodohospodářské infrastruktury NPŽP a program ministerstva zemědělství formou půjčky s celkovou alokací 2 000 mil. Kč. Příjem žádostí byl ukončen 16. 9. 2024.</w:t>
      </w:r>
    </w:p>
    <w:p w14:paraId="59B44058" w14:textId="77777777" w:rsidR="00FD5E19" w:rsidRPr="00FD5E19" w:rsidRDefault="00FD5E19" w:rsidP="00FD5E19">
      <w:pPr>
        <w:contextualSpacing/>
        <w:rPr>
          <w:rFonts w:cs="Arial"/>
          <w:bCs/>
          <w:iCs/>
        </w:rPr>
      </w:pPr>
    </w:p>
    <w:p w14:paraId="58F5A851" w14:textId="77777777" w:rsidR="00FD5E19" w:rsidRPr="00FD5E19" w:rsidRDefault="00FD5E19" w:rsidP="00FD5E19">
      <w:pPr>
        <w:numPr>
          <w:ilvl w:val="0"/>
          <w:numId w:val="38"/>
        </w:numPr>
        <w:contextualSpacing/>
        <w:rPr>
          <w:rFonts w:cs="Arial"/>
          <w:bCs/>
          <w:iCs/>
        </w:rPr>
      </w:pPr>
      <w:r w:rsidRPr="00FD5E19">
        <w:rPr>
          <w:rFonts w:cs="Arial"/>
          <w:bCs/>
          <w:iCs/>
        </w:rPr>
        <w:t>1/2024 PU Půjčka pro úspěšné projekty ve výzvě NPŽP 6/2024 a 7/2024 a programu podpory Ministerstva zemědělství</w:t>
      </w:r>
    </w:p>
    <w:p w14:paraId="15A01AA3" w14:textId="77777777" w:rsidR="00FD5E19" w:rsidRPr="00FD5E19" w:rsidRDefault="00FD5E19" w:rsidP="00FD5E19">
      <w:pPr>
        <w:contextualSpacing/>
        <w:rPr>
          <w:rFonts w:cs="Arial"/>
          <w:bCs/>
          <w:iCs/>
        </w:rPr>
      </w:pPr>
    </w:p>
    <w:p w14:paraId="6347105A" w14:textId="73155D10" w:rsidR="00FD5E19" w:rsidRPr="00FD5E19" w:rsidRDefault="00FD5E19" w:rsidP="00FD5E19">
      <w:pPr>
        <w:contextualSpacing/>
        <w:rPr>
          <w:rFonts w:cs="Arial"/>
          <w:bCs/>
          <w:iCs/>
        </w:rPr>
      </w:pPr>
      <w:r w:rsidRPr="00FD5E19">
        <w:rPr>
          <w:rFonts w:cs="Arial"/>
          <w:bCs/>
          <w:iCs/>
        </w:rPr>
        <w:t>V roce 2025 pak bylo vydáno 7 rozhodnutí ministra, celkem bylo uzavřeno 88 smluv na půjčky v objemu 1 083,6 mil. Kč, na účty příjemců bylo v roce 2025 proplaceno 403,8 mil. Kč.</w:t>
      </w:r>
    </w:p>
    <w:p w14:paraId="103E5186" w14:textId="77777777" w:rsidR="00E14798" w:rsidRPr="00FD5E19" w:rsidRDefault="00E14798" w:rsidP="000C3A80">
      <w:pPr>
        <w:contextualSpacing/>
        <w:rPr>
          <w:rFonts w:cs="Arial"/>
          <w:b/>
          <w:i/>
        </w:rPr>
      </w:pPr>
    </w:p>
    <w:bookmarkEnd w:id="178"/>
    <w:p w14:paraId="1582DA5D" w14:textId="3EA1A9A8" w:rsidR="000C3A80" w:rsidRPr="00C524D0" w:rsidRDefault="000C3A80" w:rsidP="000C3A80">
      <w:pPr>
        <w:rPr>
          <w:rFonts w:cs="Arial"/>
          <w:b/>
          <w:i/>
        </w:rPr>
      </w:pPr>
      <w:r w:rsidRPr="00C524D0">
        <w:rPr>
          <w:rFonts w:cs="Arial"/>
          <w:b/>
          <w:i/>
        </w:rPr>
        <w:t>Národní plán obnovy</w:t>
      </w:r>
    </w:p>
    <w:p w14:paraId="57FFF002" w14:textId="77777777" w:rsidR="000C3A80" w:rsidRPr="00104F7D" w:rsidRDefault="000C3A80" w:rsidP="000C3A80">
      <w:pPr>
        <w:rPr>
          <w:rFonts w:cs="Arial"/>
          <w:b/>
          <w:i/>
          <w:highlight w:val="yellow"/>
        </w:rPr>
      </w:pPr>
    </w:p>
    <w:p w14:paraId="17F228B4" w14:textId="77777777" w:rsidR="00C524D0" w:rsidRDefault="00C524D0" w:rsidP="00C524D0">
      <w:r>
        <w:t xml:space="preserve">Národní plán obnovy (dále NPO) představuje soubor reforem a investic České republiky zaměřený na zmírnění ekonomických a sociálních dopadů pandemie COVID-19, posílení zelené transformace a podporu digitální transformace s cílem oživení ekonomiky. </w:t>
      </w:r>
    </w:p>
    <w:p w14:paraId="40103EC2" w14:textId="77777777" w:rsidR="00C524D0" w:rsidRDefault="00C524D0" w:rsidP="00C524D0"/>
    <w:p w14:paraId="4A446940" w14:textId="77777777" w:rsidR="00C524D0" w:rsidRDefault="00C524D0" w:rsidP="00C524D0">
      <w:r>
        <w:t xml:space="preserve">Role SFŽP ČR při implementaci vybraných aktivit vychází ze směrnice MŽP č. 9/2023 o realizaci Národního plánu obnovy v rámci aktivit, u kterých plní Ministerstvo životního prostředí funkci vlastníka komponenty, a dále ze závazných metodických pokynů pro NPO. Spočívá zejména v administraci projektů konečných příjemců podpory. </w:t>
      </w:r>
    </w:p>
    <w:p w14:paraId="3D868EBF" w14:textId="77777777" w:rsidR="00C524D0" w:rsidRDefault="00C524D0" w:rsidP="00C524D0"/>
    <w:p w14:paraId="78499B18" w14:textId="4CA2A77E" w:rsidR="000C3A80" w:rsidRDefault="00C524D0" w:rsidP="00C524D0">
      <w:r>
        <w:t>V roce 2021 byla vyhlášena výzva na hospodaření s vodou v obcích s celkovou alokací 1 754 mil. Kč (výzva č. 10/2021, aktivity 2.9.1, 2.9.2 a 2.6.1). V roce 2023 následně dvě výzvy v oblasti adaptace ekosystémů na změnu klimatu zaměřené na projekty zadržování vody v krajině, s celkovou alokací 758,4 mil. Kč (výzvy č. 4/2023 a 5/2023, aktivita 2.9.4).</w:t>
      </w:r>
    </w:p>
    <w:p w14:paraId="43546E09" w14:textId="77777777" w:rsidR="00C524D0" w:rsidRPr="00104F7D" w:rsidRDefault="00C524D0" w:rsidP="00C524D0">
      <w:pPr>
        <w:rPr>
          <w:highlight w:val="yellow"/>
        </w:rPr>
      </w:pPr>
    </w:p>
    <w:p w14:paraId="3ACFE4C6" w14:textId="634C9E73" w:rsidR="000C3A80" w:rsidRPr="00FF463E" w:rsidRDefault="000C3A80" w:rsidP="000C3A80">
      <w:pPr>
        <w:contextualSpacing/>
        <w:rPr>
          <w:rFonts w:cs="Arial"/>
          <w:b/>
          <w:i/>
        </w:rPr>
      </w:pPr>
      <w:r w:rsidRPr="00FF463E">
        <w:rPr>
          <w:rFonts w:cs="Arial"/>
          <w:b/>
          <w:i/>
        </w:rPr>
        <w:t>Tabulka 11.1.2.</w:t>
      </w:r>
      <w:r w:rsidR="008B61A9">
        <w:rPr>
          <w:rFonts w:cs="Arial"/>
          <w:b/>
          <w:i/>
        </w:rPr>
        <w:t>8</w:t>
      </w:r>
    </w:p>
    <w:p w14:paraId="799C08DE" w14:textId="1B1BBADF" w:rsidR="00CF5F9D" w:rsidRPr="00FF463E" w:rsidRDefault="00A230F8" w:rsidP="000C3A80">
      <w:pPr>
        <w:contextualSpacing/>
        <w:rPr>
          <w:rFonts w:cs="Arial"/>
          <w:b/>
          <w:i/>
        </w:rPr>
      </w:pPr>
      <w:r w:rsidRPr="00FF463E">
        <w:rPr>
          <w:rFonts w:cs="Arial"/>
          <w:b/>
          <w:i/>
        </w:rPr>
        <w:t>Přehled aktivit NPO a proplacených finančních prostředků v roce 2025 v mil. Kč</w:t>
      </w:r>
    </w:p>
    <w:tbl>
      <w:tblPr>
        <w:tblW w:w="9209" w:type="dxa"/>
        <w:tblInd w:w="-5" w:type="dxa"/>
        <w:tblCellMar>
          <w:left w:w="70" w:type="dxa"/>
          <w:right w:w="70" w:type="dxa"/>
        </w:tblCellMar>
        <w:tblLook w:val="04A0" w:firstRow="1" w:lastRow="0" w:firstColumn="1" w:lastColumn="0" w:noHBand="0" w:noVBand="1"/>
      </w:tblPr>
      <w:tblGrid>
        <w:gridCol w:w="6799"/>
        <w:gridCol w:w="1134"/>
        <w:gridCol w:w="1276"/>
      </w:tblGrid>
      <w:tr w:rsidR="000C3A80" w:rsidRPr="00FF463E" w14:paraId="3268D7CA" w14:textId="77777777" w:rsidTr="002630B9">
        <w:trPr>
          <w:trHeight w:val="780"/>
        </w:trPr>
        <w:tc>
          <w:tcPr>
            <w:tcW w:w="6799" w:type="dxa"/>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0ED461A3" w14:textId="77777777" w:rsidR="000C3A80" w:rsidRPr="00FF463E" w:rsidRDefault="000C3A80" w:rsidP="00EC1043">
            <w:pPr>
              <w:jc w:val="center"/>
              <w:rPr>
                <w:rFonts w:eastAsia="Times New Roman" w:cs="Arial"/>
                <w:b/>
                <w:bCs/>
                <w:color w:val="000000"/>
                <w:sz w:val="18"/>
                <w:szCs w:val="18"/>
                <w:lang w:eastAsia="cs-CZ"/>
              </w:rPr>
            </w:pPr>
            <w:r w:rsidRPr="00FF463E">
              <w:rPr>
                <w:rFonts w:eastAsia="Times New Roman" w:cs="Arial"/>
                <w:b/>
                <w:bCs/>
                <w:color w:val="000000"/>
                <w:sz w:val="18"/>
                <w:szCs w:val="18"/>
                <w:lang w:eastAsia="cs-CZ"/>
              </w:rPr>
              <w:t>Přehled aktivit NPO administrovaných SFŽP ČR</w:t>
            </w:r>
          </w:p>
        </w:tc>
        <w:tc>
          <w:tcPr>
            <w:tcW w:w="1134" w:type="dxa"/>
            <w:tcBorders>
              <w:top w:val="single" w:sz="4" w:space="0" w:color="auto"/>
              <w:left w:val="nil"/>
              <w:bottom w:val="single" w:sz="4" w:space="0" w:color="auto"/>
              <w:right w:val="single" w:sz="4" w:space="0" w:color="auto"/>
            </w:tcBorders>
            <w:shd w:val="clear" w:color="000000" w:fill="AEAAAA"/>
            <w:vAlign w:val="center"/>
            <w:hideMark/>
          </w:tcPr>
          <w:p w14:paraId="04B26497" w14:textId="77777777" w:rsidR="000C3A80" w:rsidRPr="00FF463E" w:rsidRDefault="000C3A80" w:rsidP="00EC1043">
            <w:pPr>
              <w:jc w:val="center"/>
              <w:rPr>
                <w:rFonts w:eastAsia="Times New Roman" w:cs="Arial"/>
                <w:b/>
                <w:bCs/>
                <w:color w:val="000000"/>
                <w:sz w:val="18"/>
                <w:szCs w:val="18"/>
                <w:lang w:eastAsia="cs-CZ"/>
              </w:rPr>
            </w:pPr>
            <w:r w:rsidRPr="00FF463E">
              <w:rPr>
                <w:rFonts w:eastAsia="Times New Roman" w:cs="Arial"/>
                <w:b/>
                <w:bCs/>
                <w:color w:val="000000"/>
                <w:sz w:val="18"/>
                <w:szCs w:val="18"/>
                <w:lang w:eastAsia="cs-CZ"/>
              </w:rPr>
              <w:t>Alokace mil. Kč</w:t>
            </w:r>
          </w:p>
        </w:tc>
        <w:tc>
          <w:tcPr>
            <w:tcW w:w="1276" w:type="dxa"/>
            <w:tcBorders>
              <w:top w:val="single" w:sz="4" w:space="0" w:color="auto"/>
              <w:left w:val="nil"/>
              <w:bottom w:val="single" w:sz="4" w:space="0" w:color="auto"/>
              <w:right w:val="single" w:sz="4" w:space="0" w:color="auto"/>
            </w:tcBorders>
            <w:shd w:val="clear" w:color="000000" w:fill="AEAAAA"/>
            <w:vAlign w:val="bottom"/>
            <w:hideMark/>
          </w:tcPr>
          <w:p w14:paraId="4AC99513" w14:textId="5D96189C" w:rsidR="000C3A80" w:rsidRPr="00FF463E" w:rsidRDefault="000C3A80" w:rsidP="00EC1043">
            <w:pPr>
              <w:jc w:val="center"/>
              <w:rPr>
                <w:rFonts w:eastAsia="Times New Roman" w:cs="Arial"/>
                <w:b/>
                <w:bCs/>
                <w:color w:val="000000"/>
                <w:sz w:val="18"/>
                <w:szCs w:val="18"/>
                <w:lang w:eastAsia="cs-CZ"/>
              </w:rPr>
            </w:pPr>
            <w:r w:rsidRPr="00FF463E">
              <w:rPr>
                <w:rFonts w:eastAsia="Times New Roman" w:cs="Arial"/>
                <w:b/>
                <w:bCs/>
                <w:color w:val="000000"/>
                <w:sz w:val="18"/>
                <w:szCs w:val="18"/>
                <w:lang w:eastAsia="cs-CZ"/>
              </w:rPr>
              <w:t>Proplaceno v roce 202</w:t>
            </w:r>
            <w:r w:rsidR="00FF463E" w:rsidRPr="00FF463E">
              <w:rPr>
                <w:rFonts w:eastAsia="Times New Roman" w:cs="Arial"/>
                <w:b/>
                <w:bCs/>
                <w:color w:val="000000"/>
                <w:sz w:val="18"/>
                <w:szCs w:val="18"/>
                <w:lang w:eastAsia="cs-CZ"/>
              </w:rPr>
              <w:t>5</w:t>
            </w:r>
            <w:r w:rsidRPr="00FF463E">
              <w:rPr>
                <w:rFonts w:eastAsia="Times New Roman" w:cs="Arial"/>
                <w:b/>
                <w:bCs/>
                <w:color w:val="000000"/>
                <w:sz w:val="18"/>
                <w:szCs w:val="18"/>
                <w:lang w:eastAsia="cs-CZ"/>
              </w:rPr>
              <w:t xml:space="preserve"> </w:t>
            </w:r>
            <w:proofErr w:type="spellStart"/>
            <w:proofErr w:type="gramStart"/>
            <w:r w:rsidRPr="00FF463E">
              <w:rPr>
                <w:rFonts w:eastAsia="Times New Roman" w:cs="Arial"/>
                <w:b/>
                <w:bCs/>
                <w:color w:val="000000"/>
                <w:sz w:val="18"/>
                <w:szCs w:val="18"/>
                <w:lang w:eastAsia="cs-CZ"/>
              </w:rPr>
              <w:t>mil.Kč</w:t>
            </w:r>
            <w:proofErr w:type="spellEnd"/>
            <w:proofErr w:type="gramEnd"/>
          </w:p>
        </w:tc>
      </w:tr>
      <w:tr w:rsidR="002A54B6" w:rsidRPr="00FF463E" w14:paraId="01CAEC9E" w14:textId="77777777" w:rsidTr="0085332B">
        <w:trPr>
          <w:trHeight w:val="300"/>
        </w:trPr>
        <w:tc>
          <w:tcPr>
            <w:tcW w:w="6799" w:type="dxa"/>
            <w:tcBorders>
              <w:top w:val="single" w:sz="4" w:space="0" w:color="auto"/>
              <w:left w:val="single" w:sz="4" w:space="0" w:color="auto"/>
              <w:bottom w:val="single" w:sz="4" w:space="0" w:color="auto"/>
              <w:right w:val="single" w:sz="4" w:space="0" w:color="auto"/>
            </w:tcBorders>
            <w:noWrap/>
          </w:tcPr>
          <w:p w14:paraId="7B2B2AB5" w14:textId="67640F75" w:rsidR="002A54B6" w:rsidRPr="002A54B6" w:rsidRDefault="002A54B6" w:rsidP="002A54B6">
            <w:pPr>
              <w:jc w:val="left"/>
              <w:rPr>
                <w:rFonts w:cs="Arial"/>
                <w:b/>
                <w:color w:val="000000"/>
                <w:sz w:val="18"/>
                <w:szCs w:val="18"/>
              </w:rPr>
            </w:pPr>
            <w:r w:rsidRPr="002A54B6">
              <w:rPr>
                <w:rFonts w:cs="Arial"/>
                <w:kern w:val="2"/>
                <w:sz w:val="18"/>
                <w:szCs w:val="18"/>
                <w14:ligatures w14:val="standardContextual"/>
              </w:rPr>
              <w:t>2.9.1 Zajistit ochranu proti suchu a přírodně blízkou povodňovou ochranu intravilánu města Brna</w:t>
            </w:r>
          </w:p>
        </w:tc>
        <w:tc>
          <w:tcPr>
            <w:tcW w:w="1134" w:type="dxa"/>
            <w:tcBorders>
              <w:top w:val="single" w:sz="4" w:space="0" w:color="auto"/>
              <w:left w:val="nil"/>
              <w:bottom w:val="single" w:sz="4" w:space="0" w:color="auto"/>
              <w:right w:val="single" w:sz="4" w:space="0" w:color="auto"/>
            </w:tcBorders>
            <w:noWrap/>
            <w:vAlign w:val="bottom"/>
          </w:tcPr>
          <w:p w14:paraId="42126926" w14:textId="39013839" w:rsidR="002A54B6" w:rsidRPr="002A54B6" w:rsidRDefault="002A54B6" w:rsidP="002A54B6">
            <w:pPr>
              <w:jc w:val="right"/>
              <w:rPr>
                <w:rFonts w:cs="Arial"/>
                <w:sz w:val="18"/>
                <w:szCs w:val="18"/>
              </w:rPr>
            </w:pPr>
            <w:r w:rsidRPr="002A54B6">
              <w:rPr>
                <w:rFonts w:cs="Arial"/>
                <w:kern w:val="2"/>
                <w:sz w:val="18"/>
                <w:szCs w:val="18"/>
                <w14:ligatures w14:val="standardContextual"/>
              </w:rPr>
              <w:t>762,0</w:t>
            </w:r>
          </w:p>
        </w:tc>
        <w:tc>
          <w:tcPr>
            <w:tcW w:w="1276" w:type="dxa"/>
            <w:tcBorders>
              <w:top w:val="single" w:sz="4" w:space="0" w:color="auto"/>
              <w:left w:val="nil"/>
              <w:bottom w:val="single" w:sz="4" w:space="0" w:color="auto"/>
              <w:right w:val="single" w:sz="4" w:space="0" w:color="auto"/>
            </w:tcBorders>
            <w:noWrap/>
            <w:vAlign w:val="bottom"/>
          </w:tcPr>
          <w:p w14:paraId="5758B956" w14:textId="0DA1E8D4" w:rsidR="002A54B6" w:rsidRPr="002A54B6" w:rsidRDefault="002A54B6" w:rsidP="002A54B6">
            <w:pPr>
              <w:jc w:val="right"/>
              <w:rPr>
                <w:rFonts w:cs="Arial"/>
                <w:b/>
                <w:color w:val="000000"/>
                <w:sz w:val="18"/>
                <w:szCs w:val="18"/>
              </w:rPr>
            </w:pPr>
            <w:r w:rsidRPr="002A54B6">
              <w:rPr>
                <w:rFonts w:cs="Arial"/>
                <w:kern w:val="2"/>
                <w:sz w:val="18"/>
                <w:szCs w:val="18"/>
                <w14:ligatures w14:val="standardContextual"/>
              </w:rPr>
              <w:t>117,2</w:t>
            </w:r>
          </w:p>
        </w:tc>
      </w:tr>
      <w:tr w:rsidR="002A54B6" w:rsidRPr="00FF463E" w14:paraId="231F7334" w14:textId="77777777" w:rsidTr="002630B9">
        <w:trPr>
          <w:trHeight w:val="182"/>
        </w:trPr>
        <w:tc>
          <w:tcPr>
            <w:tcW w:w="6799" w:type="dxa"/>
            <w:tcBorders>
              <w:top w:val="single" w:sz="4" w:space="0" w:color="auto"/>
              <w:left w:val="single" w:sz="4" w:space="0" w:color="auto"/>
              <w:bottom w:val="single" w:sz="4" w:space="0" w:color="auto"/>
              <w:right w:val="single" w:sz="4" w:space="0" w:color="auto"/>
            </w:tcBorders>
            <w:noWrap/>
          </w:tcPr>
          <w:p w14:paraId="60E40ABD" w14:textId="6B80D0C9" w:rsidR="002A54B6" w:rsidRPr="002A54B6" w:rsidRDefault="002A54B6" w:rsidP="002A54B6">
            <w:pPr>
              <w:jc w:val="left"/>
              <w:rPr>
                <w:rFonts w:cs="Arial"/>
                <w:b/>
                <w:color w:val="000000"/>
                <w:sz w:val="18"/>
                <w:szCs w:val="18"/>
              </w:rPr>
            </w:pPr>
            <w:r w:rsidRPr="002A54B6">
              <w:rPr>
                <w:rFonts w:cs="Arial"/>
                <w:kern w:val="2"/>
                <w:sz w:val="18"/>
                <w:szCs w:val="18"/>
                <w14:ligatures w14:val="standardContextual"/>
              </w:rPr>
              <w:t>2.9.2 Zajistit hospodaření se srážkovými vodami v městských aglomeracích</w:t>
            </w:r>
          </w:p>
        </w:tc>
        <w:tc>
          <w:tcPr>
            <w:tcW w:w="1134" w:type="dxa"/>
            <w:tcBorders>
              <w:top w:val="single" w:sz="4" w:space="0" w:color="auto"/>
              <w:left w:val="nil"/>
              <w:bottom w:val="single" w:sz="4" w:space="0" w:color="auto"/>
              <w:right w:val="single" w:sz="4" w:space="0" w:color="auto"/>
            </w:tcBorders>
            <w:noWrap/>
            <w:vAlign w:val="bottom"/>
          </w:tcPr>
          <w:p w14:paraId="277CEE59" w14:textId="0D72647B" w:rsidR="002A54B6" w:rsidRPr="002A54B6" w:rsidRDefault="002A54B6" w:rsidP="002A54B6">
            <w:pPr>
              <w:jc w:val="right"/>
              <w:rPr>
                <w:rFonts w:cs="Arial"/>
                <w:sz w:val="18"/>
                <w:szCs w:val="18"/>
              </w:rPr>
            </w:pPr>
            <w:r w:rsidRPr="002A54B6">
              <w:rPr>
                <w:rFonts w:cs="Arial"/>
                <w:kern w:val="2"/>
                <w:sz w:val="18"/>
                <w:szCs w:val="18"/>
                <w14:ligatures w14:val="standardContextual"/>
              </w:rPr>
              <w:t>814,0</w:t>
            </w:r>
          </w:p>
        </w:tc>
        <w:tc>
          <w:tcPr>
            <w:tcW w:w="1276" w:type="dxa"/>
            <w:tcBorders>
              <w:top w:val="single" w:sz="4" w:space="0" w:color="auto"/>
              <w:left w:val="nil"/>
              <w:bottom w:val="single" w:sz="4" w:space="0" w:color="auto"/>
              <w:right w:val="single" w:sz="4" w:space="0" w:color="auto"/>
            </w:tcBorders>
            <w:noWrap/>
            <w:vAlign w:val="bottom"/>
          </w:tcPr>
          <w:p w14:paraId="7ED09635" w14:textId="344C2679" w:rsidR="002A54B6" w:rsidRPr="002A54B6" w:rsidRDefault="002A54B6" w:rsidP="002A54B6">
            <w:pPr>
              <w:jc w:val="right"/>
              <w:rPr>
                <w:rFonts w:eastAsia="Times New Roman" w:cs="Arial"/>
                <w:color w:val="000000"/>
                <w:sz w:val="18"/>
                <w:szCs w:val="18"/>
              </w:rPr>
            </w:pPr>
            <w:r w:rsidRPr="002A54B6">
              <w:rPr>
                <w:rFonts w:cs="Arial"/>
                <w:kern w:val="2"/>
                <w:sz w:val="18"/>
                <w:szCs w:val="18"/>
                <w14:ligatures w14:val="standardContextual"/>
              </w:rPr>
              <w:t>243,8</w:t>
            </w:r>
          </w:p>
        </w:tc>
      </w:tr>
      <w:tr w:rsidR="002A54B6" w:rsidRPr="00FF463E" w14:paraId="62ACC0DE" w14:textId="77777777" w:rsidTr="0085332B">
        <w:trPr>
          <w:trHeight w:val="300"/>
        </w:trPr>
        <w:tc>
          <w:tcPr>
            <w:tcW w:w="6799" w:type="dxa"/>
            <w:tcBorders>
              <w:top w:val="single" w:sz="4" w:space="0" w:color="auto"/>
              <w:left w:val="single" w:sz="4" w:space="0" w:color="auto"/>
              <w:bottom w:val="single" w:sz="4" w:space="0" w:color="auto"/>
              <w:right w:val="single" w:sz="4" w:space="0" w:color="auto"/>
            </w:tcBorders>
            <w:noWrap/>
          </w:tcPr>
          <w:p w14:paraId="089366CA" w14:textId="2C649860" w:rsidR="002A54B6" w:rsidRPr="002A54B6" w:rsidRDefault="002A54B6" w:rsidP="002A54B6">
            <w:pPr>
              <w:jc w:val="left"/>
              <w:rPr>
                <w:rFonts w:cs="Arial"/>
                <w:b/>
                <w:color w:val="000000"/>
                <w:sz w:val="18"/>
                <w:szCs w:val="18"/>
              </w:rPr>
            </w:pPr>
            <w:r w:rsidRPr="002A54B6">
              <w:rPr>
                <w:rFonts w:cs="Arial"/>
                <w:kern w:val="2"/>
                <w:sz w:val="18"/>
                <w:szCs w:val="18"/>
                <w14:ligatures w14:val="standardContextual"/>
              </w:rPr>
              <w:t>2.9.4 Adaptace vodních, nelesních a lesních ekosystémů na změnu klimatu</w:t>
            </w:r>
          </w:p>
        </w:tc>
        <w:tc>
          <w:tcPr>
            <w:tcW w:w="1134" w:type="dxa"/>
            <w:tcBorders>
              <w:top w:val="single" w:sz="4" w:space="0" w:color="auto"/>
              <w:left w:val="nil"/>
              <w:bottom w:val="single" w:sz="4" w:space="0" w:color="auto"/>
              <w:right w:val="single" w:sz="4" w:space="0" w:color="auto"/>
            </w:tcBorders>
            <w:noWrap/>
            <w:vAlign w:val="bottom"/>
          </w:tcPr>
          <w:p w14:paraId="19DAFF25" w14:textId="036541F8" w:rsidR="002A54B6" w:rsidRPr="002A54B6" w:rsidRDefault="002A54B6" w:rsidP="002A54B6">
            <w:pPr>
              <w:jc w:val="right"/>
              <w:rPr>
                <w:rFonts w:cs="Arial"/>
                <w:sz w:val="18"/>
                <w:szCs w:val="18"/>
              </w:rPr>
            </w:pPr>
            <w:r w:rsidRPr="002A54B6">
              <w:rPr>
                <w:rFonts w:cs="Arial"/>
                <w:kern w:val="2"/>
                <w:sz w:val="18"/>
                <w:szCs w:val="18"/>
                <w14:ligatures w14:val="standardContextual"/>
              </w:rPr>
              <w:t>598,4</w:t>
            </w:r>
          </w:p>
        </w:tc>
        <w:tc>
          <w:tcPr>
            <w:tcW w:w="1276" w:type="dxa"/>
            <w:tcBorders>
              <w:top w:val="single" w:sz="4" w:space="0" w:color="auto"/>
              <w:left w:val="nil"/>
              <w:bottom w:val="single" w:sz="4" w:space="0" w:color="auto"/>
              <w:right w:val="single" w:sz="4" w:space="0" w:color="auto"/>
            </w:tcBorders>
            <w:noWrap/>
            <w:vAlign w:val="bottom"/>
          </w:tcPr>
          <w:p w14:paraId="017AE4EB" w14:textId="4FEC694B" w:rsidR="002A54B6" w:rsidRPr="002A54B6" w:rsidRDefault="002A54B6" w:rsidP="002A54B6">
            <w:pPr>
              <w:jc w:val="right"/>
              <w:rPr>
                <w:rFonts w:cs="Arial"/>
                <w:b/>
                <w:color w:val="000000"/>
                <w:sz w:val="18"/>
                <w:szCs w:val="18"/>
              </w:rPr>
            </w:pPr>
            <w:r w:rsidRPr="002A54B6">
              <w:rPr>
                <w:rFonts w:cs="Arial"/>
                <w:kern w:val="2"/>
                <w:sz w:val="18"/>
                <w:szCs w:val="18"/>
                <w14:ligatures w14:val="standardContextual"/>
              </w:rPr>
              <w:t>152,9</w:t>
            </w:r>
          </w:p>
        </w:tc>
      </w:tr>
      <w:tr w:rsidR="002A54B6" w:rsidRPr="00FF463E" w14:paraId="5BE9AAB9" w14:textId="77777777" w:rsidTr="0085332B">
        <w:trPr>
          <w:trHeight w:val="300"/>
        </w:trPr>
        <w:tc>
          <w:tcPr>
            <w:tcW w:w="6799"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tcPr>
          <w:p w14:paraId="7F52FD65" w14:textId="289A1B71" w:rsidR="002A54B6" w:rsidRPr="002A54B6" w:rsidRDefault="002A54B6" w:rsidP="002A54B6">
            <w:pPr>
              <w:jc w:val="left"/>
              <w:rPr>
                <w:rFonts w:eastAsia="Times New Roman" w:cs="Arial"/>
                <w:b/>
                <w:bCs/>
                <w:color w:val="000000"/>
                <w:sz w:val="18"/>
                <w:szCs w:val="18"/>
                <w:lang w:eastAsia="cs-CZ"/>
              </w:rPr>
            </w:pPr>
            <w:r w:rsidRPr="002A54B6">
              <w:rPr>
                <w:rFonts w:cs="Arial"/>
                <w:b/>
                <w:bCs/>
                <w:kern w:val="2"/>
                <w:sz w:val="18"/>
                <w:szCs w:val="18"/>
                <w14:ligatures w14:val="standardContextual"/>
              </w:rPr>
              <w:t>CELKEM</w:t>
            </w:r>
          </w:p>
        </w:tc>
        <w:tc>
          <w:tcPr>
            <w:tcW w:w="1134" w:type="dxa"/>
            <w:tcBorders>
              <w:top w:val="single" w:sz="4" w:space="0" w:color="auto"/>
              <w:left w:val="nil"/>
              <w:bottom w:val="single" w:sz="4" w:space="0" w:color="auto"/>
              <w:right w:val="single" w:sz="4" w:space="0" w:color="auto"/>
            </w:tcBorders>
            <w:shd w:val="clear" w:color="auto" w:fill="AEAAAA" w:themeFill="background2" w:themeFillShade="BF"/>
            <w:noWrap/>
            <w:vAlign w:val="bottom"/>
          </w:tcPr>
          <w:p w14:paraId="2DCFF737" w14:textId="27DC0E56" w:rsidR="002A54B6" w:rsidRPr="002A54B6" w:rsidRDefault="002A54B6" w:rsidP="002A54B6">
            <w:pPr>
              <w:jc w:val="right"/>
              <w:rPr>
                <w:rFonts w:eastAsia="Times New Roman" w:cs="Arial"/>
                <w:b/>
                <w:bCs/>
                <w:color w:val="000000"/>
                <w:sz w:val="18"/>
                <w:szCs w:val="18"/>
                <w:lang w:eastAsia="cs-CZ"/>
              </w:rPr>
            </w:pPr>
            <w:r w:rsidRPr="002A54B6">
              <w:rPr>
                <w:rFonts w:eastAsia="Times New Roman" w:cs="Arial"/>
                <w:b/>
                <w:bCs/>
                <w:color w:val="000000"/>
                <w:kern w:val="2"/>
                <w:sz w:val="18"/>
                <w:szCs w:val="18"/>
                <w:lang w:eastAsia="cs-CZ"/>
                <w14:ligatures w14:val="standardContextual"/>
              </w:rPr>
              <w:t>2 174,4</w:t>
            </w:r>
          </w:p>
        </w:tc>
        <w:tc>
          <w:tcPr>
            <w:tcW w:w="1276" w:type="dxa"/>
            <w:tcBorders>
              <w:top w:val="single" w:sz="4" w:space="0" w:color="auto"/>
              <w:left w:val="nil"/>
              <w:bottom w:val="single" w:sz="4" w:space="0" w:color="auto"/>
              <w:right w:val="single" w:sz="4" w:space="0" w:color="auto"/>
            </w:tcBorders>
            <w:shd w:val="clear" w:color="auto" w:fill="AEAAAA" w:themeFill="background2" w:themeFillShade="BF"/>
            <w:noWrap/>
            <w:vAlign w:val="bottom"/>
          </w:tcPr>
          <w:p w14:paraId="1E4BC5A2" w14:textId="76E87D14" w:rsidR="002A54B6" w:rsidRPr="002A54B6" w:rsidRDefault="002A54B6" w:rsidP="002A54B6">
            <w:pPr>
              <w:jc w:val="right"/>
              <w:rPr>
                <w:rFonts w:eastAsia="Times New Roman" w:cs="Arial"/>
                <w:b/>
                <w:bCs/>
                <w:color w:val="000000"/>
                <w:sz w:val="18"/>
                <w:szCs w:val="18"/>
                <w:lang w:eastAsia="cs-CZ"/>
              </w:rPr>
            </w:pPr>
            <w:r w:rsidRPr="002A54B6">
              <w:rPr>
                <w:rFonts w:cs="Arial"/>
                <w:b/>
                <w:bCs/>
                <w:kern w:val="2"/>
                <w:sz w:val="18"/>
                <w:szCs w:val="18"/>
                <w14:ligatures w14:val="standardContextual"/>
              </w:rPr>
              <w:t>513,9</w:t>
            </w:r>
          </w:p>
        </w:tc>
      </w:tr>
    </w:tbl>
    <w:p w14:paraId="7B6F2C12" w14:textId="77777777" w:rsidR="000C3A80" w:rsidRPr="00FF463E" w:rsidRDefault="000C3A80" w:rsidP="000C3A80">
      <w:pPr>
        <w:contextualSpacing/>
        <w:rPr>
          <w:rFonts w:cs="Arial"/>
          <w:i/>
          <w:sz w:val="18"/>
          <w:szCs w:val="18"/>
        </w:rPr>
      </w:pPr>
      <w:r w:rsidRPr="00FF463E">
        <w:rPr>
          <w:rFonts w:cs="Arial"/>
          <w:i/>
          <w:sz w:val="18"/>
          <w:szCs w:val="18"/>
        </w:rPr>
        <w:t>Pramen: SFŽP</w:t>
      </w:r>
    </w:p>
    <w:p w14:paraId="3E3C59B6" w14:textId="77777777" w:rsidR="004737D1" w:rsidRDefault="004737D1" w:rsidP="00E14798">
      <w:pPr>
        <w:contextualSpacing/>
        <w:rPr>
          <w:b/>
          <w:i/>
        </w:rPr>
      </w:pPr>
    </w:p>
    <w:p w14:paraId="54F0DCE1" w14:textId="7C936952" w:rsidR="00E14798" w:rsidRPr="00C86D77" w:rsidRDefault="00E14798" w:rsidP="00E14798">
      <w:pPr>
        <w:contextualSpacing/>
        <w:rPr>
          <w:b/>
          <w:i/>
        </w:rPr>
      </w:pPr>
      <w:r w:rsidRPr="00C86D77">
        <w:rPr>
          <w:b/>
          <w:i/>
        </w:rPr>
        <w:t>Agentura ochrany přírody a krajiny České republiky</w:t>
      </w:r>
    </w:p>
    <w:p w14:paraId="375683CC" w14:textId="77777777" w:rsidR="00E14798" w:rsidRPr="00C86D77" w:rsidRDefault="00E14798" w:rsidP="00E14798">
      <w:pPr>
        <w:pStyle w:val="bn-text"/>
        <w:spacing w:before="0" w:after="0"/>
        <w:ind w:firstLine="0"/>
        <w:contextualSpacing/>
        <w:rPr>
          <w:rFonts w:ascii="Arial" w:hAnsi="Arial" w:cs="Arial"/>
          <w:b/>
          <w:color w:val="FF0000"/>
          <w:sz w:val="22"/>
          <w:szCs w:val="22"/>
        </w:rPr>
      </w:pPr>
    </w:p>
    <w:p w14:paraId="611E4573" w14:textId="79E90165" w:rsidR="00C86D77" w:rsidRPr="00C86D77" w:rsidRDefault="00C86D77" w:rsidP="00C86D77">
      <w:pPr>
        <w:contextualSpacing/>
        <w:rPr>
          <w:b/>
        </w:rPr>
      </w:pPr>
      <w:r w:rsidRPr="00C86D77">
        <w:rPr>
          <w:b/>
        </w:rPr>
        <w:t>AOPK ČR je v OPŽP 2021–2027 příjemcem dotace Projektového schématu, v </w:t>
      </w:r>
      <w:proofErr w:type="gramStart"/>
      <w:r w:rsidRPr="00C86D77">
        <w:rPr>
          <w:b/>
        </w:rPr>
        <w:t>rámci</w:t>
      </w:r>
      <w:proofErr w:type="gramEnd"/>
      <w:r w:rsidRPr="00C86D77">
        <w:rPr>
          <w:b/>
        </w:rPr>
        <w:t xml:space="preserve"> </w:t>
      </w:r>
      <w:r>
        <w:rPr>
          <w:b/>
        </w:rPr>
        <w:t>něhož</w:t>
      </w:r>
      <w:r w:rsidRPr="00C86D77">
        <w:rPr>
          <w:b/>
        </w:rPr>
        <w:t xml:space="preserve"> administruje projekty konečných příjemců spadajících pod zjednodušené metody vykazování. Jedná se o vybrané typy projektů s celkovými výdaji nepřesahujícími 200 tis. EUR.</w:t>
      </w:r>
    </w:p>
    <w:p w14:paraId="2893A144" w14:textId="77777777" w:rsidR="00C86D77" w:rsidRDefault="00C86D77" w:rsidP="00C86D77">
      <w:pPr>
        <w:contextualSpacing/>
        <w:rPr>
          <w:b/>
        </w:rPr>
      </w:pPr>
    </w:p>
    <w:p w14:paraId="0277BAF8" w14:textId="538E147F" w:rsidR="00C86D77" w:rsidRPr="00C86D77" w:rsidRDefault="00C86D77" w:rsidP="00C86D77">
      <w:pPr>
        <w:contextualSpacing/>
        <w:rPr>
          <w:bCs/>
        </w:rPr>
      </w:pPr>
      <w:r w:rsidRPr="00C86D77">
        <w:rPr>
          <w:bCs/>
        </w:rPr>
        <w:t>Vůči konečným příjemcům AOPK ČR vystupuje jako poskytovatel dotace.</w:t>
      </w:r>
      <w:r>
        <w:rPr>
          <w:bCs/>
        </w:rPr>
        <w:t xml:space="preserve"> </w:t>
      </w:r>
      <w:r w:rsidRPr="00C86D77">
        <w:rPr>
          <w:bCs/>
        </w:rPr>
        <w:t>Výzvy AOPK ČR probíhající v roce 2025 – tyto výzvy byly zaměřené nejen na vodní prvky, ale například i na výsadby dřevin.</w:t>
      </w:r>
    </w:p>
    <w:p w14:paraId="192BFFC5" w14:textId="77777777" w:rsidR="00C86D77" w:rsidRDefault="00C86D77" w:rsidP="00E14798">
      <w:pPr>
        <w:contextualSpacing/>
        <w:rPr>
          <w:rFonts w:cs="Arial"/>
          <w:b/>
          <w:i/>
          <w:highlight w:val="yellow"/>
        </w:rPr>
      </w:pPr>
    </w:p>
    <w:p w14:paraId="39E4474B" w14:textId="3318C2B5" w:rsidR="00E14798" w:rsidRPr="005F4C38" w:rsidRDefault="00E14798" w:rsidP="00E14798">
      <w:pPr>
        <w:contextualSpacing/>
        <w:rPr>
          <w:rFonts w:cs="Arial"/>
          <w:b/>
          <w:i/>
        </w:rPr>
      </w:pPr>
      <w:r w:rsidRPr="005F4C38">
        <w:rPr>
          <w:rFonts w:cs="Arial"/>
          <w:b/>
          <w:i/>
        </w:rPr>
        <w:t>Tabulka 11.1.2.</w:t>
      </w:r>
      <w:r w:rsidR="00612D57">
        <w:rPr>
          <w:rFonts w:cs="Arial"/>
          <w:b/>
          <w:i/>
        </w:rPr>
        <w:t>9</w:t>
      </w:r>
    </w:p>
    <w:p w14:paraId="058FEBAE" w14:textId="11DDA807" w:rsidR="00E14798" w:rsidRPr="005F4C38" w:rsidRDefault="00F25890" w:rsidP="00F25890">
      <w:pPr>
        <w:rPr>
          <w:b/>
          <w:iCs/>
        </w:rPr>
      </w:pPr>
      <w:r w:rsidRPr="005F4C38">
        <w:rPr>
          <w:b/>
          <w:iCs/>
        </w:rPr>
        <w:t>Přehled vyhlášených výzev zaměřených na opatření 1.3.1 OPŽP od roku 202</w:t>
      </w:r>
      <w:r w:rsidR="005F4C38">
        <w:rPr>
          <w:b/>
          <w:iCs/>
        </w:rPr>
        <w:t>5</w:t>
      </w:r>
      <w:r w:rsidRPr="005F4C38">
        <w:rPr>
          <w:b/>
          <w:iCs/>
        </w:rPr>
        <w:t xml:space="preserve"> v rámci Projektového schématu AOPK ČR v mil. Kč</w:t>
      </w:r>
    </w:p>
    <w:tbl>
      <w:tblPr>
        <w:tblW w:w="9007" w:type="dxa"/>
        <w:tblCellMar>
          <w:left w:w="70" w:type="dxa"/>
          <w:right w:w="70" w:type="dxa"/>
        </w:tblCellMar>
        <w:tblLook w:val="04A0" w:firstRow="1" w:lastRow="0" w:firstColumn="1" w:lastColumn="0" w:noHBand="0" w:noVBand="1"/>
      </w:tblPr>
      <w:tblGrid>
        <w:gridCol w:w="1702"/>
        <w:gridCol w:w="1660"/>
        <w:gridCol w:w="2096"/>
        <w:gridCol w:w="1826"/>
        <w:gridCol w:w="1723"/>
      </w:tblGrid>
      <w:tr w:rsidR="006271BA" w:rsidRPr="005F4C38" w14:paraId="6F5B5DA9" w14:textId="77777777" w:rsidTr="0024611C">
        <w:trPr>
          <w:trHeight w:val="290"/>
        </w:trPr>
        <w:tc>
          <w:tcPr>
            <w:tcW w:w="1702" w:type="dxa"/>
            <w:tcBorders>
              <w:top w:val="single" w:sz="8" w:space="0" w:color="auto"/>
              <w:left w:val="single" w:sz="8" w:space="0" w:color="auto"/>
              <w:bottom w:val="single" w:sz="4" w:space="0" w:color="auto"/>
              <w:right w:val="single" w:sz="4" w:space="0" w:color="auto"/>
            </w:tcBorders>
            <w:shd w:val="clear" w:color="auto" w:fill="A6A6A6" w:themeFill="background1" w:themeFillShade="A6"/>
            <w:noWrap/>
            <w:vAlign w:val="center"/>
            <w:hideMark/>
          </w:tcPr>
          <w:p w14:paraId="24948376" w14:textId="77777777" w:rsidR="006271BA" w:rsidRPr="005F4C38" w:rsidRDefault="006271BA" w:rsidP="0024611C">
            <w:pPr>
              <w:jc w:val="left"/>
              <w:rPr>
                <w:rFonts w:eastAsia="Times New Roman" w:cs="Arial"/>
                <w:b/>
                <w:bCs/>
                <w:color w:val="000000"/>
                <w:sz w:val="20"/>
                <w:szCs w:val="20"/>
                <w:lang w:eastAsia="cs-CZ"/>
              </w:rPr>
            </w:pPr>
            <w:r w:rsidRPr="005F4C38">
              <w:rPr>
                <w:rFonts w:eastAsia="Times New Roman" w:cs="Arial"/>
                <w:b/>
                <w:bCs/>
                <w:color w:val="000000"/>
                <w:sz w:val="20"/>
                <w:szCs w:val="20"/>
                <w:lang w:eastAsia="cs-CZ"/>
              </w:rPr>
              <w:t>Název výzvy</w:t>
            </w:r>
          </w:p>
        </w:tc>
        <w:tc>
          <w:tcPr>
            <w:tcW w:w="1660" w:type="dxa"/>
            <w:tcBorders>
              <w:top w:val="single" w:sz="8" w:space="0" w:color="auto"/>
              <w:left w:val="nil"/>
              <w:bottom w:val="single" w:sz="4" w:space="0" w:color="auto"/>
              <w:right w:val="single" w:sz="4" w:space="0" w:color="auto"/>
            </w:tcBorders>
            <w:shd w:val="clear" w:color="auto" w:fill="A6A6A6" w:themeFill="background1" w:themeFillShade="A6"/>
            <w:noWrap/>
            <w:vAlign w:val="center"/>
            <w:hideMark/>
          </w:tcPr>
          <w:p w14:paraId="7084173D" w14:textId="77777777" w:rsidR="006271BA" w:rsidRPr="005F4C38" w:rsidRDefault="006271BA" w:rsidP="0024611C">
            <w:pPr>
              <w:jc w:val="left"/>
              <w:rPr>
                <w:rFonts w:eastAsia="Times New Roman" w:cs="Arial"/>
                <w:b/>
                <w:bCs/>
                <w:color w:val="000000"/>
                <w:sz w:val="20"/>
                <w:szCs w:val="20"/>
                <w:lang w:eastAsia="cs-CZ"/>
              </w:rPr>
            </w:pPr>
            <w:r w:rsidRPr="005F4C38">
              <w:rPr>
                <w:rFonts w:eastAsia="Times New Roman" w:cs="Arial"/>
                <w:b/>
                <w:bCs/>
                <w:color w:val="000000"/>
                <w:sz w:val="20"/>
                <w:szCs w:val="20"/>
                <w:lang w:eastAsia="cs-CZ"/>
              </w:rPr>
              <w:t>Číslo SC a opatření</w:t>
            </w:r>
          </w:p>
        </w:tc>
        <w:tc>
          <w:tcPr>
            <w:tcW w:w="2096" w:type="dxa"/>
            <w:tcBorders>
              <w:top w:val="single" w:sz="8" w:space="0" w:color="auto"/>
              <w:left w:val="nil"/>
              <w:bottom w:val="single" w:sz="4" w:space="0" w:color="auto"/>
              <w:right w:val="single" w:sz="4" w:space="0" w:color="auto"/>
            </w:tcBorders>
            <w:shd w:val="clear" w:color="auto" w:fill="A6A6A6" w:themeFill="background1" w:themeFillShade="A6"/>
            <w:noWrap/>
            <w:vAlign w:val="center"/>
            <w:hideMark/>
          </w:tcPr>
          <w:p w14:paraId="167C630B" w14:textId="77777777" w:rsidR="006271BA" w:rsidRPr="005F4C38" w:rsidRDefault="006271BA" w:rsidP="0024611C">
            <w:pPr>
              <w:jc w:val="left"/>
              <w:rPr>
                <w:rFonts w:eastAsia="Times New Roman" w:cs="Arial"/>
                <w:b/>
                <w:bCs/>
                <w:color w:val="000000"/>
                <w:sz w:val="20"/>
                <w:szCs w:val="20"/>
                <w:lang w:eastAsia="cs-CZ"/>
              </w:rPr>
            </w:pPr>
            <w:r w:rsidRPr="005F4C38">
              <w:rPr>
                <w:rFonts w:eastAsia="Times New Roman" w:cs="Arial"/>
                <w:b/>
                <w:bCs/>
                <w:color w:val="000000"/>
                <w:sz w:val="20"/>
                <w:szCs w:val="20"/>
                <w:lang w:eastAsia="cs-CZ"/>
              </w:rPr>
              <w:t>Alokace prostředků Evropské unie</w:t>
            </w:r>
          </w:p>
        </w:tc>
        <w:tc>
          <w:tcPr>
            <w:tcW w:w="1826" w:type="dxa"/>
            <w:tcBorders>
              <w:top w:val="single" w:sz="8" w:space="0" w:color="auto"/>
              <w:left w:val="nil"/>
              <w:bottom w:val="single" w:sz="4" w:space="0" w:color="auto"/>
              <w:right w:val="single" w:sz="4" w:space="0" w:color="auto"/>
            </w:tcBorders>
            <w:shd w:val="clear" w:color="auto" w:fill="A6A6A6" w:themeFill="background1" w:themeFillShade="A6"/>
            <w:noWrap/>
            <w:vAlign w:val="center"/>
            <w:hideMark/>
          </w:tcPr>
          <w:p w14:paraId="3CF0556B" w14:textId="77777777" w:rsidR="006271BA" w:rsidRPr="005F4C38" w:rsidRDefault="006271BA" w:rsidP="0024611C">
            <w:pPr>
              <w:jc w:val="left"/>
              <w:rPr>
                <w:rFonts w:eastAsia="Times New Roman" w:cs="Arial"/>
                <w:b/>
                <w:bCs/>
                <w:color w:val="000000"/>
                <w:sz w:val="20"/>
                <w:szCs w:val="20"/>
                <w:lang w:eastAsia="cs-CZ"/>
              </w:rPr>
            </w:pPr>
            <w:r w:rsidRPr="005F4C38">
              <w:rPr>
                <w:rFonts w:eastAsia="Times New Roman" w:cs="Arial"/>
                <w:b/>
                <w:bCs/>
                <w:color w:val="000000"/>
                <w:sz w:val="20"/>
                <w:szCs w:val="20"/>
                <w:lang w:eastAsia="cs-CZ"/>
              </w:rPr>
              <w:t>Zahájení příjmu žádostí</w:t>
            </w:r>
          </w:p>
        </w:tc>
        <w:tc>
          <w:tcPr>
            <w:tcW w:w="1723" w:type="dxa"/>
            <w:tcBorders>
              <w:top w:val="single" w:sz="8" w:space="0" w:color="auto"/>
              <w:left w:val="nil"/>
              <w:bottom w:val="single" w:sz="4" w:space="0" w:color="auto"/>
              <w:right w:val="single" w:sz="8" w:space="0" w:color="auto"/>
            </w:tcBorders>
            <w:shd w:val="clear" w:color="auto" w:fill="A6A6A6" w:themeFill="background1" w:themeFillShade="A6"/>
            <w:noWrap/>
            <w:vAlign w:val="center"/>
            <w:hideMark/>
          </w:tcPr>
          <w:p w14:paraId="6B09BB17" w14:textId="77777777" w:rsidR="006271BA" w:rsidRPr="005F4C38" w:rsidRDefault="006271BA" w:rsidP="0024611C">
            <w:pPr>
              <w:jc w:val="left"/>
              <w:rPr>
                <w:rFonts w:eastAsia="Times New Roman" w:cs="Arial"/>
                <w:b/>
                <w:bCs/>
                <w:color w:val="000000"/>
                <w:sz w:val="20"/>
                <w:szCs w:val="20"/>
                <w:lang w:eastAsia="cs-CZ"/>
              </w:rPr>
            </w:pPr>
            <w:r w:rsidRPr="005F4C38">
              <w:rPr>
                <w:rFonts w:eastAsia="Times New Roman" w:cs="Arial"/>
                <w:b/>
                <w:bCs/>
                <w:color w:val="000000"/>
                <w:sz w:val="20"/>
                <w:szCs w:val="20"/>
                <w:lang w:eastAsia="cs-CZ"/>
              </w:rPr>
              <w:t>Konec příjmu žádostí</w:t>
            </w:r>
          </w:p>
        </w:tc>
      </w:tr>
      <w:tr w:rsidR="006271BA" w:rsidRPr="005F4C38" w14:paraId="3D1ED174" w14:textId="77777777" w:rsidTr="0024611C">
        <w:trPr>
          <w:trHeight w:val="290"/>
        </w:trPr>
        <w:tc>
          <w:tcPr>
            <w:tcW w:w="1702" w:type="dxa"/>
            <w:tcBorders>
              <w:top w:val="single" w:sz="8" w:space="0" w:color="auto"/>
              <w:left w:val="single" w:sz="8" w:space="0" w:color="auto"/>
              <w:bottom w:val="single" w:sz="4" w:space="0" w:color="auto"/>
              <w:right w:val="single" w:sz="4" w:space="0" w:color="auto"/>
            </w:tcBorders>
            <w:shd w:val="clear" w:color="auto" w:fill="A6A6A6" w:themeFill="background1" w:themeFillShade="A6"/>
            <w:noWrap/>
            <w:vAlign w:val="center"/>
            <w:hideMark/>
          </w:tcPr>
          <w:p w14:paraId="1F25036C" w14:textId="77777777" w:rsidR="006271BA" w:rsidRPr="005F4C38" w:rsidRDefault="006271BA" w:rsidP="0024611C">
            <w:pPr>
              <w:jc w:val="left"/>
              <w:rPr>
                <w:rFonts w:eastAsia="Times New Roman" w:cs="Arial"/>
                <w:b/>
                <w:bCs/>
                <w:color w:val="000000"/>
                <w:sz w:val="20"/>
                <w:szCs w:val="20"/>
                <w:lang w:eastAsia="cs-CZ"/>
              </w:rPr>
            </w:pPr>
          </w:p>
        </w:tc>
        <w:tc>
          <w:tcPr>
            <w:tcW w:w="1660" w:type="dxa"/>
            <w:tcBorders>
              <w:top w:val="single" w:sz="8" w:space="0" w:color="auto"/>
              <w:left w:val="nil"/>
              <w:bottom w:val="single" w:sz="4" w:space="0" w:color="auto"/>
              <w:right w:val="single" w:sz="4" w:space="0" w:color="auto"/>
            </w:tcBorders>
            <w:shd w:val="clear" w:color="auto" w:fill="A6A6A6" w:themeFill="background1" w:themeFillShade="A6"/>
            <w:noWrap/>
            <w:vAlign w:val="center"/>
            <w:hideMark/>
          </w:tcPr>
          <w:p w14:paraId="6A0116C8" w14:textId="77777777" w:rsidR="006271BA" w:rsidRPr="005F4C38" w:rsidRDefault="006271BA" w:rsidP="0024611C">
            <w:pPr>
              <w:jc w:val="left"/>
              <w:rPr>
                <w:rFonts w:eastAsia="Times New Roman" w:cs="Arial"/>
                <w:b/>
                <w:bCs/>
                <w:color w:val="000000"/>
                <w:sz w:val="20"/>
                <w:szCs w:val="20"/>
                <w:lang w:eastAsia="cs-CZ"/>
              </w:rPr>
            </w:pPr>
          </w:p>
        </w:tc>
        <w:tc>
          <w:tcPr>
            <w:tcW w:w="2096" w:type="dxa"/>
            <w:tcBorders>
              <w:top w:val="single" w:sz="8" w:space="0" w:color="auto"/>
              <w:left w:val="nil"/>
              <w:bottom w:val="single" w:sz="4" w:space="0" w:color="auto"/>
              <w:right w:val="single" w:sz="4" w:space="0" w:color="auto"/>
            </w:tcBorders>
            <w:shd w:val="clear" w:color="auto" w:fill="A6A6A6" w:themeFill="background1" w:themeFillShade="A6"/>
            <w:noWrap/>
            <w:vAlign w:val="center"/>
            <w:hideMark/>
          </w:tcPr>
          <w:p w14:paraId="46D3DA9C" w14:textId="77777777" w:rsidR="006271BA" w:rsidRPr="005F4C38" w:rsidRDefault="006271BA" w:rsidP="0024611C">
            <w:pPr>
              <w:jc w:val="left"/>
              <w:rPr>
                <w:rFonts w:eastAsia="Times New Roman" w:cs="Arial"/>
                <w:b/>
                <w:bCs/>
                <w:color w:val="000000"/>
                <w:sz w:val="20"/>
                <w:szCs w:val="20"/>
                <w:lang w:eastAsia="cs-CZ"/>
              </w:rPr>
            </w:pPr>
            <w:r w:rsidRPr="005F4C38">
              <w:rPr>
                <w:rFonts w:eastAsia="Times New Roman" w:cs="Arial"/>
                <w:b/>
                <w:bCs/>
                <w:color w:val="000000"/>
                <w:sz w:val="20"/>
                <w:szCs w:val="20"/>
                <w:lang w:eastAsia="cs-CZ"/>
              </w:rPr>
              <w:t>mil. Kč</w:t>
            </w:r>
          </w:p>
        </w:tc>
        <w:tc>
          <w:tcPr>
            <w:tcW w:w="1826" w:type="dxa"/>
            <w:tcBorders>
              <w:top w:val="single" w:sz="8" w:space="0" w:color="auto"/>
              <w:left w:val="nil"/>
              <w:bottom w:val="single" w:sz="4" w:space="0" w:color="auto"/>
              <w:right w:val="single" w:sz="4" w:space="0" w:color="auto"/>
            </w:tcBorders>
            <w:shd w:val="clear" w:color="auto" w:fill="A6A6A6" w:themeFill="background1" w:themeFillShade="A6"/>
            <w:noWrap/>
            <w:vAlign w:val="center"/>
            <w:hideMark/>
          </w:tcPr>
          <w:p w14:paraId="48767859" w14:textId="77777777" w:rsidR="006271BA" w:rsidRPr="005F4C38" w:rsidRDefault="006271BA" w:rsidP="0024611C">
            <w:pPr>
              <w:jc w:val="left"/>
              <w:rPr>
                <w:rFonts w:eastAsia="Times New Roman" w:cs="Arial"/>
                <w:b/>
                <w:bCs/>
                <w:color w:val="000000"/>
                <w:sz w:val="20"/>
                <w:szCs w:val="20"/>
                <w:lang w:eastAsia="cs-CZ"/>
              </w:rPr>
            </w:pPr>
          </w:p>
        </w:tc>
        <w:tc>
          <w:tcPr>
            <w:tcW w:w="1723" w:type="dxa"/>
            <w:tcBorders>
              <w:top w:val="single" w:sz="8" w:space="0" w:color="auto"/>
              <w:left w:val="nil"/>
              <w:bottom w:val="single" w:sz="4" w:space="0" w:color="auto"/>
              <w:right w:val="single" w:sz="8" w:space="0" w:color="auto"/>
            </w:tcBorders>
            <w:shd w:val="clear" w:color="auto" w:fill="A6A6A6" w:themeFill="background1" w:themeFillShade="A6"/>
            <w:noWrap/>
            <w:vAlign w:val="center"/>
            <w:hideMark/>
          </w:tcPr>
          <w:p w14:paraId="03F3DAD5" w14:textId="77777777" w:rsidR="006271BA" w:rsidRPr="005F4C38" w:rsidRDefault="006271BA" w:rsidP="0024611C">
            <w:pPr>
              <w:jc w:val="left"/>
              <w:rPr>
                <w:rFonts w:eastAsia="Times New Roman" w:cs="Arial"/>
                <w:b/>
                <w:bCs/>
                <w:color w:val="000000"/>
                <w:sz w:val="20"/>
                <w:szCs w:val="20"/>
                <w:lang w:eastAsia="cs-CZ"/>
              </w:rPr>
            </w:pPr>
          </w:p>
        </w:tc>
      </w:tr>
      <w:tr w:rsidR="00DE1DB4" w:rsidRPr="005F4C38" w14:paraId="0BF45EDF" w14:textId="77777777" w:rsidTr="0024611C">
        <w:trPr>
          <w:trHeight w:val="290"/>
        </w:trPr>
        <w:tc>
          <w:tcPr>
            <w:tcW w:w="1702" w:type="dxa"/>
            <w:tcBorders>
              <w:top w:val="single" w:sz="8" w:space="0" w:color="auto"/>
              <w:left w:val="single" w:sz="8" w:space="0" w:color="auto"/>
              <w:bottom w:val="single" w:sz="4" w:space="0" w:color="auto"/>
              <w:right w:val="single" w:sz="4" w:space="0" w:color="auto"/>
            </w:tcBorders>
            <w:noWrap/>
            <w:vAlign w:val="center"/>
            <w:hideMark/>
          </w:tcPr>
          <w:p w14:paraId="62563232" w14:textId="6823CEA9" w:rsidR="00DE1DB4" w:rsidRPr="005F4C38" w:rsidRDefault="00DE1DB4" w:rsidP="00DE1DB4">
            <w:pPr>
              <w:jc w:val="left"/>
              <w:rPr>
                <w:rFonts w:eastAsia="Times New Roman" w:cs="Arial"/>
                <w:color w:val="000000"/>
                <w:sz w:val="20"/>
                <w:szCs w:val="20"/>
                <w:lang w:eastAsia="cs-CZ"/>
              </w:rPr>
            </w:pPr>
            <w:r>
              <w:rPr>
                <w:rFonts w:cs="Arial"/>
                <w:i/>
                <w:kern w:val="2"/>
                <w:sz w:val="20"/>
                <w:szCs w:val="20"/>
                <w14:ligatures w14:val="standardContextual"/>
              </w:rPr>
              <w:t>AOPK OPŽP ZMV_9. výzva SC 1.3</w:t>
            </w:r>
          </w:p>
        </w:tc>
        <w:tc>
          <w:tcPr>
            <w:tcW w:w="1660" w:type="dxa"/>
            <w:tcBorders>
              <w:top w:val="single" w:sz="8" w:space="0" w:color="auto"/>
              <w:left w:val="nil"/>
              <w:bottom w:val="single" w:sz="4" w:space="0" w:color="auto"/>
              <w:right w:val="single" w:sz="4" w:space="0" w:color="auto"/>
            </w:tcBorders>
            <w:noWrap/>
            <w:vAlign w:val="center"/>
            <w:hideMark/>
          </w:tcPr>
          <w:p w14:paraId="1FD086F3" w14:textId="0B80DC2F" w:rsidR="00DE1DB4" w:rsidRPr="005F4C38" w:rsidRDefault="00DE1DB4" w:rsidP="00DE1DB4">
            <w:pPr>
              <w:jc w:val="left"/>
              <w:rPr>
                <w:rFonts w:eastAsia="Times New Roman" w:cs="Arial"/>
                <w:color w:val="000000"/>
                <w:sz w:val="20"/>
                <w:szCs w:val="20"/>
                <w:lang w:eastAsia="cs-CZ"/>
              </w:rPr>
            </w:pPr>
            <w:r>
              <w:rPr>
                <w:rFonts w:eastAsia="Times New Roman" w:cs="Arial"/>
                <w:color w:val="000000"/>
                <w:kern w:val="2"/>
                <w:sz w:val="20"/>
                <w:szCs w:val="20"/>
                <w:lang w:eastAsia="cs-CZ"/>
                <w14:ligatures w14:val="standardContextual"/>
              </w:rPr>
              <w:t>SC 1.3, opatření 1.3.1</w:t>
            </w:r>
          </w:p>
        </w:tc>
        <w:tc>
          <w:tcPr>
            <w:tcW w:w="2096" w:type="dxa"/>
            <w:tcBorders>
              <w:top w:val="single" w:sz="8" w:space="0" w:color="auto"/>
              <w:left w:val="nil"/>
              <w:bottom w:val="single" w:sz="4" w:space="0" w:color="auto"/>
              <w:right w:val="single" w:sz="4" w:space="0" w:color="auto"/>
            </w:tcBorders>
            <w:noWrap/>
            <w:vAlign w:val="center"/>
            <w:hideMark/>
          </w:tcPr>
          <w:p w14:paraId="1DD5E981" w14:textId="2D4E9E14" w:rsidR="00DE1DB4" w:rsidRPr="005F4C38" w:rsidRDefault="00DE1DB4" w:rsidP="00DE1DB4">
            <w:pPr>
              <w:jc w:val="center"/>
              <w:rPr>
                <w:rFonts w:eastAsia="Times New Roman" w:cs="Arial"/>
                <w:color w:val="000000"/>
                <w:sz w:val="20"/>
                <w:szCs w:val="20"/>
                <w:lang w:eastAsia="cs-CZ"/>
              </w:rPr>
            </w:pPr>
            <w:r>
              <w:rPr>
                <w:rFonts w:eastAsia="Times New Roman" w:cs="Arial"/>
                <w:color w:val="000000"/>
                <w:kern w:val="2"/>
                <w:sz w:val="20"/>
                <w:szCs w:val="20"/>
                <w:lang w:eastAsia="cs-CZ"/>
                <w14:ligatures w14:val="standardContextual"/>
              </w:rPr>
              <w:t>400</w:t>
            </w:r>
          </w:p>
        </w:tc>
        <w:tc>
          <w:tcPr>
            <w:tcW w:w="1826" w:type="dxa"/>
            <w:tcBorders>
              <w:top w:val="single" w:sz="8" w:space="0" w:color="auto"/>
              <w:left w:val="nil"/>
              <w:bottom w:val="single" w:sz="4" w:space="0" w:color="auto"/>
              <w:right w:val="single" w:sz="4" w:space="0" w:color="auto"/>
            </w:tcBorders>
            <w:noWrap/>
            <w:vAlign w:val="center"/>
            <w:hideMark/>
          </w:tcPr>
          <w:p w14:paraId="326BA972" w14:textId="2AC40452" w:rsidR="00DE1DB4" w:rsidRPr="005F4C38" w:rsidRDefault="00DE1DB4" w:rsidP="00DE1DB4">
            <w:pPr>
              <w:jc w:val="center"/>
              <w:rPr>
                <w:rFonts w:eastAsia="Times New Roman" w:cs="Arial"/>
                <w:color w:val="000000"/>
                <w:sz w:val="20"/>
                <w:szCs w:val="20"/>
                <w:lang w:eastAsia="cs-CZ"/>
              </w:rPr>
            </w:pPr>
            <w:r>
              <w:rPr>
                <w:rFonts w:eastAsia="Times New Roman" w:cs="Arial"/>
                <w:color w:val="000000"/>
                <w:kern w:val="2"/>
                <w:sz w:val="20"/>
                <w:szCs w:val="20"/>
                <w:lang w:eastAsia="cs-CZ"/>
                <w14:ligatures w14:val="standardContextual"/>
              </w:rPr>
              <w:t>5. 11. 2024</w:t>
            </w:r>
          </w:p>
        </w:tc>
        <w:tc>
          <w:tcPr>
            <w:tcW w:w="1723" w:type="dxa"/>
            <w:tcBorders>
              <w:top w:val="single" w:sz="8" w:space="0" w:color="auto"/>
              <w:left w:val="nil"/>
              <w:bottom w:val="single" w:sz="4" w:space="0" w:color="auto"/>
              <w:right w:val="single" w:sz="8" w:space="0" w:color="auto"/>
            </w:tcBorders>
            <w:noWrap/>
            <w:vAlign w:val="center"/>
            <w:hideMark/>
          </w:tcPr>
          <w:p w14:paraId="67503B00" w14:textId="73992113" w:rsidR="00DE1DB4" w:rsidRPr="005F4C38" w:rsidRDefault="00DE1DB4" w:rsidP="00DE1DB4">
            <w:pPr>
              <w:jc w:val="center"/>
              <w:rPr>
                <w:rFonts w:eastAsia="Times New Roman" w:cs="Arial"/>
                <w:color w:val="000000"/>
                <w:sz w:val="20"/>
                <w:szCs w:val="20"/>
                <w:lang w:eastAsia="cs-CZ"/>
              </w:rPr>
            </w:pPr>
            <w:r>
              <w:rPr>
                <w:rFonts w:eastAsia="Times New Roman" w:cs="Arial"/>
                <w:color w:val="000000"/>
                <w:kern w:val="2"/>
                <w:sz w:val="20"/>
                <w:szCs w:val="20"/>
                <w:lang w:eastAsia="cs-CZ"/>
                <w14:ligatures w14:val="standardContextual"/>
              </w:rPr>
              <w:t>30. 6. 2025</w:t>
            </w:r>
          </w:p>
        </w:tc>
      </w:tr>
      <w:tr w:rsidR="00DE1DB4" w:rsidRPr="005F4C38" w14:paraId="576482A7" w14:textId="77777777" w:rsidTr="0024611C">
        <w:trPr>
          <w:trHeight w:val="290"/>
        </w:trPr>
        <w:tc>
          <w:tcPr>
            <w:tcW w:w="1702" w:type="dxa"/>
            <w:tcBorders>
              <w:top w:val="single" w:sz="8" w:space="0" w:color="auto"/>
              <w:left w:val="single" w:sz="8" w:space="0" w:color="auto"/>
              <w:bottom w:val="single" w:sz="8" w:space="0" w:color="auto"/>
              <w:right w:val="single" w:sz="4" w:space="0" w:color="auto"/>
            </w:tcBorders>
            <w:noWrap/>
            <w:vAlign w:val="center"/>
            <w:hideMark/>
          </w:tcPr>
          <w:p w14:paraId="38E84BC2" w14:textId="2630984E" w:rsidR="00DE1DB4" w:rsidRPr="005F4C38" w:rsidRDefault="00DE1DB4" w:rsidP="00DE1DB4">
            <w:pPr>
              <w:jc w:val="left"/>
              <w:rPr>
                <w:rFonts w:eastAsia="Times New Roman" w:cs="Arial"/>
                <w:color w:val="000000"/>
                <w:sz w:val="20"/>
                <w:szCs w:val="20"/>
                <w:lang w:eastAsia="cs-CZ"/>
              </w:rPr>
            </w:pPr>
            <w:r>
              <w:rPr>
                <w:rFonts w:cs="Arial"/>
                <w:i/>
                <w:kern w:val="2"/>
                <w:sz w:val="20"/>
                <w:szCs w:val="20"/>
                <w14:ligatures w14:val="standardContextual"/>
              </w:rPr>
              <w:t>AOPK OPŽP ZMV_12. výzva SC 1.3</w:t>
            </w:r>
          </w:p>
        </w:tc>
        <w:tc>
          <w:tcPr>
            <w:tcW w:w="1660" w:type="dxa"/>
            <w:tcBorders>
              <w:top w:val="single" w:sz="8" w:space="0" w:color="auto"/>
              <w:left w:val="nil"/>
              <w:bottom w:val="single" w:sz="8" w:space="0" w:color="auto"/>
              <w:right w:val="single" w:sz="4" w:space="0" w:color="auto"/>
            </w:tcBorders>
            <w:noWrap/>
            <w:vAlign w:val="center"/>
            <w:hideMark/>
          </w:tcPr>
          <w:p w14:paraId="42AF148A" w14:textId="58B9EDF9" w:rsidR="00DE1DB4" w:rsidRPr="005F4C38" w:rsidRDefault="00DE1DB4" w:rsidP="00DE1DB4">
            <w:pPr>
              <w:jc w:val="left"/>
              <w:rPr>
                <w:rFonts w:eastAsia="Times New Roman" w:cs="Arial"/>
                <w:color w:val="000000"/>
                <w:sz w:val="20"/>
                <w:szCs w:val="20"/>
                <w:lang w:eastAsia="cs-CZ"/>
              </w:rPr>
            </w:pPr>
            <w:r>
              <w:rPr>
                <w:rFonts w:eastAsia="Times New Roman" w:cs="Arial"/>
                <w:color w:val="000000"/>
                <w:kern w:val="2"/>
                <w:sz w:val="20"/>
                <w:szCs w:val="20"/>
                <w:lang w:eastAsia="cs-CZ"/>
                <w14:ligatures w14:val="standardContextual"/>
              </w:rPr>
              <w:t>SC 1.3, opatření 1.3.1</w:t>
            </w:r>
          </w:p>
        </w:tc>
        <w:tc>
          <w:tcPr>
            <w:tcW w:w="2096" w:type="dxa"/>
            <w:tcBorders>
              <w:top w:val="single" w:sz="8" w:space="0" w:color="auto"/>
              <w:left w:val="nil"/>
              <w:bottom w:val="single" w:sz="8" w:space="0" w:color="auto"/>
              <w:right w:val="single" w:sz="4" w:space="0" w:color="auto"/>
            </w:tcBorders>
            <w:noWrap/>
            <w:vAlign w:val="center"/>
            <w:hideMark/>
          </w:tcPr>
          <w:p w14:paraId="51B3BB69" w14:textId="2EA7161D" w:rsidR="00DE1DB4" w:rsidRPr="005F4C38" w:rsidRDefault="00DE1DB4" w:rsidP="00DE1DB4">
            <w:pPr>
              <w:jc w:val="center"/>
              <w:rPr>
                <w:rFonts w:eastAsia="Times New Roman" w:cs="Arial"/>
                <w:color w:val="000000"/>
                <w:sz w:val="20"/>
                <w:szCs w:val="20"/>
                <w:lang w:eastAsia="cs-CZ"/>
              </w:rPr>
            </w:pPr>
            <w:r>
              <w:rPr>
                <w:rFonts w:eastAsia="Times New Roman" w:cs="Arial"/>
                <w:color w:val="000000"/>
                <w:kern w:val="2"/>
                <w:sz w:val="20"/>
                <w:szCs w:val="20"/>
                <w:lang w:eastAsia="cs-CZ"/>
                <w14:ligatures w14:val="standardContextual"/>
              </w:rPr>
              <w:t>300</w:t>
            </w:r>
          </w:p>
        </w:tc>
        <w:tc>
          <w:tcPr>
            <w:tcW w:w="1826" w:type="dxa"/>
            <w:tcBorders>
              <w:top w:val="single" w:sz="8" w:space="0" w:color="auto"/>
              <w:left w:val="nil"/>
              <w:bottom w:val="single" w:sz="8" w:space="0" w:color="auto"/>
              <w:right w:val="single" w:sz="4" w:space="0" w:color="auto"/>
            </w:tcBorders>
            <w:noWrap/>
            <w:vAlign w:val="center"/>
            <w:hideMark/>
          </w:tcPr>
          <w:p w14:paraId="77299DB5" w14:textId="36EEBA98" w:rsidR="00DE1DB4" w:rsidRPr="005F4C38" w:rsidRDefault="00DE1DB4" w:rsidP="00DE1DB4">
            <w:pPr>
              <w:jc w:val="center"/>
              <w:rPr>
                <w:rFonts w:eastAsia="Times New Roman" w:cs="Arial"/>
                <w:color w:val="000000"/>
                <w:sz w:val="20"/>
                <w:szCs w:val="20"/>
                <w:lang w:eastAsia="cs-CZ"/>
              </w:rPr>
            </w:pPr>
            <w:r>
              <w:rPr>
                <w:rFonts w:eastAsia="Times New Roman" w:cs="Arial"/>
                <w:color w:val="000000"/>
                <w:kern w:val="2"/>
                <w:sz w:val="20"/>
                <w:szCs w:val="20"/>
                <w:lang w:eastAsia="cs-CZ"/>
                <w14:ligatures w14:val="standardContextual"/>
              </w:rPr>
              <w:t>1. 7. 2025</w:t>
            </w:r>
          </w:p>
        </w:tc>
        <w:tc>
          <w:tcPr>
            <w:tcW w:w="1723" w:type="dxa"/>
            <w:tcBorders>
              <w:top w:val="single" w:sz="8" w:space="0" w:color="auto"/>
              <w:left w:val="nil"/>
              <w:bottom w:val="single" w:sz="8" w:space="0" w:color="auto"/>
              <w:right w:val="single" w:sz="8" w:space="0" w:color="auto"/>
            </w:tcBorders>
            <w:noWrap/>
            <w:vAlign w:val="center"/>
            <w:hideMark/>
          </w:tcPr>
          <w:p w14:paraId="12941E8B" w14:textId="6760BB5A" w:rsidR="00DE1DB4" w:rsidRPr="005F4C38" w:rsidRDefault="00DE1DB4" w:rsidP="00DE1DB4">
            <w:pPr>
              <w:jc w:val="center"/>
              <w:rPr>
                <w:rFonts w:eastAsia="Times New Roman" w:cs="Arial"/>
                <w:color w:val="000000"/>
                <w:sz w:val="20"/>
                <w:szCs w:val="20"/>
                <w:lang w:eastAsia="cs-CZ"/>
              </w:rPr>
            </w:pPr>
            <w:r>
              <w:rPr>
                <w:rFonts w:eastAsia="Times New Roman" w:cs="Arial"/>
                <w:color w:val="000000"/>
                <w:kern w:val="2"/>
                <w:sz w:val="20"/>
                <w:szCs w:val="20"/>
                <w:lang w:eastAsia="cs-CZ"/>
                <w14:ligatures w14:val="standardContextual"/>
              </w:rPr>
              <w:t>31. 10. 2025</w:t>
            </w:r>
          </w:p>
        </w:tc>
      </w:tr>
      <w:tr w:rsidR="00DE1DB4" w:rsidRPr="005F4C38" w14:paraId="0EB84032" w14:textId="77777777" w:rsidTr="0024611C">
        <w:trPr>
          <w:trHeight w:val="290"/>
        </w:trPr>
        <w:tc>
          <w:tcPr>
            <w:tcW w:w="1702" w:type="dxa"/>
            <w:tcBorders>
              <w:top w:val="single" w:sz="8" w:space="0" w:color="auto"/>
              <w:left w:val="single" w:sz="8" w:space="0" w:color="auto"/>
              <w:bottom w:val="single" w:sz="4" w:space="0" w:color="auto"/>
              <w:right w:val="single" w:sz="4" w:space="0" w:color="auto"/>
            </w:tcBorders>
            <w:noWrap/>
            <w:vAlign w:val="center"/>
          </w:tcPr>
          <w:p w14:paraId="45F5176F" w14:textId="3C26564C" w:rsidR="00DE1DB4" w:rsidRPr="005F4C38" w:rsidRDefault="00DE1DB4" w:rsidP="00DE1DB4">
            <w:pPr>
              <w:jc w:val="left"/>
              <w:rPr>
                <w:rFonts w:cs="Arial"/>
                <w:i/>
                <w:sz w:val="20"/>
                <w:szCs w:val="20"/>
              </w:rPr>
            </w:pPr>
            <w:r>
              <w:rPr>
                <w:rFonts w:cs="Arial"/>
                <w:i/>
                <w:kern w:val="2"/>
                <w:sz w:val="20"/>
                <w:szCs w:val="20"/>
                <w14:ligatures w14:val="standardContextual"/>
              </w:rPr>
              <w:t>AOPK OPŽP ZMV_15. výzva SC 1.3</w:t>
            </w:r>
          </w:p>
        </w:tc>
        <w:tc>
          <w:tcPr>
            <w:tcW w:w="1660" w:type="dxa"/>
            <w:tcBorders>
              <w:top w:val="single" w:sz="8" w:space="0" w:color="auto"/>
              <w:left w:val="nil"/>
              <w:bottom w:val="single" w:sz="4" w:space="0" w:color="auto"/>
              <w:right w:val="single" w:sz="4" w:space="0" w:color="auto"/>
            </w:tcBorders>
            <w:noWrap/>
            <w:vAlign w:val="center"/>
          </w:tcPr>
          <w:p w14:paraId="6690E433" w14:textId="3E15F680" w:rsidR="00DE1DB4" w:rsidRPr="005F4C38" w:rsidRDefault="00DE1DB4" w:rsidP="00DE1DB4">
            <w:pPr>
              <w:jc w:val="left"/>
              <w:rPr>
                <w:rFonts w:eastAsia="Times New Roman" w:cs="Arial"/>
                <w:color w:val="000000"/>
                <w:sz w:val="20"/>
                <w:szCs w:val="20"/>
                <w:lang w:eastAsia="cs-CZ"/>
              </w:rPr>
            </w:pPr>
            <w:r>
              <w:rPr>
                <w:rFonts w:eastAsia="Times New Roman" w:cs="Arial"/>
                <w:color w:val="000000"/>
                <w:kern w:val="2"/>
                <w:sz w:val="20"/>
                <w:szCs w:val="20"/>
                <w:lang w:eastAsia="cs-CZ"/>
                <w14:ligatures w14:val="standardContextual"/>
              </w:rPr>
              <w:t>SC 1.3, opatření 1.3.1</w:t>
            </w:r>
          </w:p>
        </w:tc>
        <w:tc>
          <w:tcPr>
            <w:tcW w:w="2096" w:type="dxa"/>
            <w:tcBorders>
              <w:top w:val="single" w:sz="8" w:space="0" w:color="auto"/>
              <w:left w:val="nil"/>
              <w:bottom w:val="single" w:sz="4" w:space="0" w:color="auto"/>
              <w:right w:val="single" w:sz="4" w:space="0" w:color="auto"/>
            </w:tcBorders>
            <w:noWrap/>
            <w:vAlign w:val="center"/>
          </w:tcPr>
          <w:p w14:paraId="5F8F616D" w14:textId="370DE62D" w:rsidR="00DE1DB4" w:rsidRPr="005F4C38" w:rsidRDefault="00DE1DB4" w:rsidP="00DE1DB4">
            <w:pPr>
              <w:jc w:val="center"/>
              <w:rPr>
                <w:rFonts w:eastAsia="Times New Roman" w:cs="Arial"/>
                <w:color w:val="000000"/>
                <w:sz w:val="20"/>
                <w:szCs w:val="20"/>
                <w:lang w:eastAsia="cs-CZ"/>
              </w:rPr>
            </w:pPr>
            <w:r>
              <w:rPr>
                <w:rFonts w:eastAsia="Times New Roman" w:cs="Arial"/>
                <w:color w:val="000000"/>
                <w:kern w:val="2"/>
                <w:sz w:val="20"/>
                <w:szCs w:val="20"/>
                <w:lang w:eastAsia="cs-CZ"/>
                <w14:ligatures w14:val="standardContextual"/>
              </w:rPr>
              <w:t>200</w:t>
            </w:r>
          </w:p>
        </w:tc>
        <w:tc>
          <w:tcPr>
            <w:tcW w:w="1826" w:type="dxa"/>
            <w:tcBorders>
              <w:top w:val="single" w:sz="8" w:space="0" w:color="auto"/>
              <w:left w:val="nil"/>
              <w:bottom w:val="single" w:sz="4" w:space="0" w:color="auto"/>
              <w:right w:val="single" w:sz="4" w:space="0" w:color="auto"/>
            </w:tcBorders>
            <w:noWrap/>
            <w:vAlign w:val="center"/>
          </w:tcPr>
          <w:p w14:paraId="1A9977D4" w14:textId="56910582" w:rsidR="00DE1DB4" w:rsidRPr="005F4C38" w:rsidRDefault="00DE1DB4" w:rsidP="00DE1DB4">
            <w:pPr>
              <w:jc w:val="center"/>
              <w:rPr>
                <w:rFonts w:eastAsia="Times New Roman" w:cs="Arial"/>
                <w:color w:val="000000"/>
                <w:sz w:val="20"/>
                <w:szCs w:val="20"/>
                <w:lang w:eastAsia="cs-CZ"/>
              </w:rPr>
            </w:pPr>
            <w:r>
              <w:rPr>
                <w:rFonts w:eastAsia="Times New Roman" w:cs="Arial"/>
                <w:color w:val="000000"/>
                <w:kern w:val="2"/>
                <w:sz w:val="20"/>
                <w:szCs w:val="20"/>
                <w:lang w:eastAsia="cs-CZ"/>
                <w14:ligatures w14:val="standardContextual"/>
              </w:rPr>
              <w:t>4. 11. 2025</w:t>
            </w:r>
          </w:p>
        </w:tc>
        <w:tc>
          <w:tcPr>
            <w:tcW w:w="1723" w:type="dxa"/>
            <w:tcBorders>
              <w:top w:val="single" w:sz="8" w:space="0" w:color="auto"/>
              <w:left w:val="nil"/>
              <w:bottom w:val="single" w:sz="4" w:space="0" w:color="auto"/>
              <w:right w:val="single" w:sz="8" w:space="0" w:color="auto"/>
            </w:tcBorders>
            <w:noWrap/>
            <w:vAlign w:val="center"/>
          </w:tcPr>
          <w:p w14:paraId="0C96C2B5" w14:textId="7A5AFDB1" w:rsidR="00DE1DB4" w:rsidRPr="005F4C38" w:rsidRDefault="00DE1DB4" w:rsidP="00DE1DB4">
            <w:pPr>
              <w:jc w:val="center"/>
              <w:rPr>
                <w:rFonts w:eastAsia="Times New Roman" w:cs="Arial"/>
                <w:color w:val="000000"/>
                <w:sz w:val="20"/>
                <w:szCs w:val="20"/>
                <w:lang w:eastAsia="cs-CZ"/>
              </w:rPr>
            </w:pPr>
            <w:r>
              <w:rPr>
                <w:rFonts w:eastAsia="Times New Roman" w:cs="Arial"/>
                <w:color w:val="000000"/>
                <w:kern w:val="2"/>
                <w:sz w:val="20"/>
                <w:szCs w:val="20"/>
                <w:lang w:eastAsia="cs-CZ"/>
                <w14:ligatures w14:val="standardContextual"/>
              </w:rPr>
              <w:t>30. 6. 2026</w:t>
            </w:r>
          </w:p>
        </w:tc>
      </w:tr>
    </w:tbl>
    <w:p w14:paraId="07153DCF" w14:textId="45A5491D" w:rsidR="00E14798" w:rsidRPr="005F4C38" w:rsidRDefault="00E14798" w:rsidP="00F25890">
      <w:pPr>
        <w:contextualSpacing/>
        <w:rPr>
          <w:rFonts w:cs="Arial"/>
          <w:bCs/>
          <w:i/>
          <w:sz w:val="20"/>
          <w:szCs w:val="20"/>
        </w:rPr>
      </w:pPr>
      <w:r w:rsidRPr="005F4C38">
        <w:rPr>
          <w:rFonts w:cs="Arial"/>
          <w:bCs/>
          <w:i/>
          <w:sz w:val="20"/>
          <w:szCs w:val="20"/>
        </w:rPr>
        <w:t>Pramen: AOPK ČR</w:t>
      </w:r>
    </w:p>
    <w:p w14:paraId="3BAB2909" w14:textId="77777777" w:rsidR="002630B9" w:rsidRPr="00104F7D" w:rsidRDefault="002630B9" w:rsidP="00013107">
      <w:pPr>
        <w:rPr>
          <w:b/>
          <w:i/>
          <w:highlight w:val="yellow"/>
        </w:rPr>
      </w:pPr>
    </w:p>
    <w:p w14:paraId="788102F6" w14:textId="77777777" w:rsidR="004A3F1C" w:rsidRDefault="004A3F1C" w:rsidP="00013107">
      <w:pPr>
        <w:rPr>
          <w:b/>
          <w:i/>
        </w:rPr>
      </w:pPr>
    </w:p>
    <w:p w14:paraId="429C89A1" w14:textId="0CD7D913" w:rsidR="00013107" w:rsidRPr="00D33402" w:rsidRDefault="00013107" w:rsidP="00013107">
      <w:pPr>
        <w:rPr>
          <w:b/>
          <w:i/>
        </w:rPr>
      </w:pPr>
      <w:r w:rsidRPr="00D33402">
        <w:rPr>
          <w:b/>
          <w:i/>
        </w:rPr>
        <w:t>Tabulka 11.1.2.</w:t>
      </w:r>
      <w:r w:rsidR="00612D57">
        <w:rPr>
          <w:b/>
          <w:i/>
        </w:rPr>
        <w:t>10</w:t>
      </w:r>
    </w:p>
    <w:p w14:paraId="0A58CF24" w14:textId="647C158F" w:rsidR="00013107" w:rsidRPr="00D33402" w:rsidRDefault="00013107" w:rsidP="00475169">
      <w:pPr>
        <w:rPr>
          <w:rFonts w:cs="Arial"/>
          <w:b/>
          <w:bCs/>
          <w:i/>
          <w:iCs/>
        </w:rPr>
      </w:pPr>
      <w:r w:rsidRPr="00D33402">
        <w:rPr>
          <w:rFonts w:cs="Arial"/>
          <w:b/>
          <w:bCs/>
          <w:i/>
          <w:iCs/>
        </w:rPr>
        <w:t>Projekty podané v roce 202</w:t>
      </w:r>
      <w:r w:rsidR="00C03C1F" w:rsidRPr="00D33402">
        <w:rPr>
          <w:rFonts w:cs="Arial"/>
          <w:b/>
          <w:bCs/>
          <w:i/>
          <w:iCs/>
        </w:rPr>
        <w:t>5</w:t>
      </w:r>
      <w:r w:rsidRPr="00D33402">
        <w:rPr>
          <w:rFonts w:cs="Arial"/>
          <w:b/>
          <w:bCs/>
          <w:i/>
          <w:iCs/>
        </w:rPr>
        <w:t xml:space="preserve"> s vydaným </w:t>
      </w:r>
      <w:r w:rsidR="00A5592D" w:rsidRPr="00D33402">
        <w:rPr>
          <w:rFonts w:cs="Arial"/>
          <w:b/>
          <w:bCs/>
          <w:i/>
          <w:iCs/>
        </w:rPr>
        <w:t xml:space="preserve">Rozhodnutím o poskytnutí </w:t>
      </w:r>
      <w:r w:rsidR="000052E9" w:rsidRPr="00D33402">
        <w:rPr>
          <w:rFonts w:cs="Arial"/>
          <w:b/>
          <w:bCs/>
          <w:i/>
          <w:iCs/>
        </w:rPr>
        <w:t xml:space="preserve">dotace </w:t>
      </w:r>
      <w:r w:rsidRPr="00D33402">
        <w:rPr>
          <w:rFonts w:cs="Arial"/>
          <w:b/>
          <w:bCs/>
          <w:i/>
          <w:iCs/>
        </w:rPr>
        <w:t>– pouze aktivity 1.3.1.1. a 1.3.1.5</w:t>
      </w:r>
    </w:p>
    <w:tbl>
      <w:tblPr>
        <w:tblW w:w="8997" w:type="dxa"/>
        <w:tblCellMar>
          <w:left w:w="70" w:type="dxa"/>
          <w:right w:w="70" w:type="dxa"/>
        </w:tblCellMar>
        <w:tblLook w:val="04A0" w:firstRow="1" w:lastRow="0" w:firstColumn="1" w:lastColumn="0" w:noHBand="0" w:noVBand="1"/>
      </w:tblPr>
      <w:tblGrid>
        <w:gridCol w:w="1700"/>
        <w:gridCol w:w="1658"/>
        <w:gridCol w:w="2094"/>
        <w:gridCol w:w="1824"/>
        <w:gridCol w:w="1721"/>
      </w:tblGrid>
      <w:tr w:rsidR="00475169" w:rsidRPr="00D33402" w14:paraId="6B12BF78" w14:textId="77777777" w:rsidTr="0024611C">
        <w:trPr>
          <w:trHeight w:val="296"/>
        </w:trPr>
        <w:tc>
          <w:tcPr>
            <w:tcW w:w="1700" w:type="dxa"/>
            <w:tcBorders>
              <w:top w:val="single" w:sz="8" w:space="0" w:color="auto"/>
              <w:left w:val="single" w:sz="8" w:space="0" w:color="auto"/>
              <w:bottom w:val="single" w:sz="4" w:space="0" w:color="auto"/>
              <w:right w:val="single" w:sz="4" w:space="0" w:color="auto"/>
            </w:tcBorders>
            <w:shd w:val="clear" w:color="auto" w:fill="A6A6A6" w:themeFill="background1" w:themeFillShade="A6"/>
            <w:noWrap/>
            <w:vAlign w:val="center"/>
            <w:hideMark/>
          </w:tcPr>
          <w:p w14:paraId="02C6C682" w14:textId="77777777" w:rsidR="00475169" w:rsidRPr="00D33402" w:rsidRDefault="00475169" w:rsidP="0024611C">
            <w:pPr>
              <w:jc w:val="left"/>
              <w:rPr>
                <w:rFonts w:eastAsia="Times New Roman" w:cs="Arial"/>
                <w:b/>
                <w:bCs/>
                <w:color w:val="000000"/>
                <w:sz w:val="20"/>
                <w:szCs w:val="20"/>
                <w:lang w:eastAsia="cs-CZ"/>
              </w:rPr>
            </w:pPr>
            <w:r w:rsidRPr="00D33402">
              <w:rPr>
                <w:rFonts w:eastAsia="Times New Roman" w:cs="Arial"/>
                <w:b/>
                <w:bCs/>
                <w:color w:val="000000"/>
                <w:sz w:val="20"/>
                <w:szCs w:val="20"/>
                <w:lang w:eastAsia="cs-CZ"/>
              </w:rPr>
              <w:t>Oblast podpory</w:t>
            </w:r>
          </w:p>
        </w:tc>
        <w:tc>
          <w:tcPr>
            <w:tcW w:w="1658" w:type="dxa"/>
            <w:tcBorders>
              <w:top w:val="single" w:sz="8" w:space="0" w:color="auto"/>
              <w:left w:val="nil"/>
              <w:bottom w:val="single" w:sz="4" w:space="0" w:color="auto"/>
              <w:right w:val="single" w:sz="4" w:space="0" w:color="auto"/>
            </w:tcBorders>
            <w:shd w:val="clear" w:color="auto" w:fill="A6A6A6" w:themeFill="background1" w:themeFillShade="A6"/>
            <w:noWrap/>
            <w:vAlign w:val="center"/>
            <w:hideMark/>
          </w:tcPr>
          <w:p w14:paraId="1EBA2DDD" w14:textId="4CD2AE08" w:rsidR="00475169" w:rsidRPr="00D33402" w:rsidRDefault="00475169" w:rsidP="0024611C">
            <w:pPr>
              <w:jc w:val="left"/>
              <w:rPr>
                <w:rFonts w:eastAsia="Times New Roman" w:cs="Arial"/>
                <w:b/>
                <w:bCs/>
                <w:color w:val="000000"/>
                <w:sz w:val="20"/>
                <w:szCs w:val="20"/>
                <w:lang w:eastAsia="cs-CZ"/>
              </w:rPr>
            </w:pPr>
            <w:r w:rsidRPr="00D33402">
              <w:rPr>
                <w:rFonts w:eastAsia="Times New Roman" w:cs="Arial"/>
                <w:b/>
                <w:bCs/>
                <w:color w:val="000000"/>
                <w:sz w:val="20"/>
                <w:szCs w:val="20"/>
                <w:lang w:eastAsia="cs-CZ"/>
              </w:rPr>
              <w:t>Počet podaných projektů v roce 202</w:t>
            </w:r>
            <w:r w:rsidR="00F44B1A">
              <w:rPr>
                <w:rFonts w:eastAsia="Times New Roman" w:cs="Arial"/>
                <w:b/>
                <w:bCs/>
                <w:color w:val="000000"/>
                <w:sz w:val="20"/>
                <w:szCs w:val="20"/>
                <w:lang w:eastAsia="cs-CZ"/>
              </w:rPr>
              <w:t xml:space="preserve">5 </w:t>
            </w:r>
            <w:r w:rsidRPr="00D33402">
              <w:rPr>
                <w:rFonts w:eastAsia="Times New Roman" w:cs="Arial"/>
                <w:b/>
                <w:bCs/>
                <w:color w:val="000000"/>
                <w:sz w:val="20"/>
                <w:szCs w:val="20"/>
                <w:lang w:eastAsia="cs-CZ"/>
              </w:rPr>
              <w:t>s</w:t>
            </w:r>
            <w:r w:rsidR="005D48D8" w:rsidRPr="00D33402">
              <w:rPr>
                <w:rFonts w:eastAsia="Times New Roman" w:cs="Arial"/>
                <w:b/>
                <w:bCs/>
                <w:color w:val="000000"/>
                <w:sz w:val="20"/>
                <w:szCs w:val="20"/>
                <w:lang w:eastAsia="cs-CZ"/>
              </w:rPr>
              <w:t> </w:t>
            </w:r>
            <w:r w:rsidRPr="00D33402">
              <w:rPr>
                <w:rFonts w:eastAsia="Times New Roman" w:cs="Arial"/>
                <w:b/>
                <w:bCs/>
                <w:color w:val="000000"/>
                <w:sz w:val="20"/>
                <w:szCs w:val="20"/>
                <w:lang w:eastAsia="cs-CZ"/>
              </w:rPr>
              <w:t>R</w:t>
            </w:r>
            <w:r w:rsidR="005D48D8" w:rsidRPr="00D33402">
              <w:rPr>
                <w:rFonts w:eastAsia="Times New Roman" w:cs="Arial"/>
                <w:b/>
                <w:bCs/>
                <w:color w:val="000000"/>
                <w:sz w:val="20"/>
                <w:szCs w:val="20"/>
                <w:lang w:eastAsia="cs-CZ"/>
              </w:rPr>
              <w:t>ozhodnutím o poskytnutí dotace</w:t>
            </w:r>
          </w:p>
        </w:tc>
        <w:tc>
          <w:tcPr>
            <w:tcW w:w="2094" w:type="dxa"/>
            <w:tcBorders>
              <w:top w:val="single" w:sz="8" w:space="0" w:color="auto"/>
              <w:left w:val="nil"/>
              <w:bottom w:val="single" w:sz="4" w:space="0" w:color="auto"/>
              <w:right w:val="single" w:sz="4" w:space="0" w:color="auto"/>
            </w:tcBorders>
            <w:shd w:val="clear" w:color="auto" w:fill="A6A6A6" w:themeFill="background1" w:themeFillShade="A6"/>
            <w:noWrap/>
            <w:vAlign w:val="center"/>
            <w:hideMark/>
          </w:tcPr>
          <w:p w14:paraId="677E3972" w14:textId="77777777" w:rsidR="00475169" w:rsidRPr="00D33402" w:rsidRDefault="00475169" w:rsidP="0024611C">
            <w:pPr>
              <w:jc w:val="left"/>
              <w:rPr>
                <w:rFonts w:eastAsia="Times New Roman" w:cs="Arial"/>
                <w:b/>
                <w:bCs/>
                <w:color w:val="000000"/>
                <w:sz w:val="20"/>
                <w:szCs w:val="20"/>
                <w:lang w:eastAsia="cs-CZ"/>
              </w:rPr>
            </w:pPr>
            <w:r w:rsidRPr="00D33402">
              <w:rPr>
                <w:rFonts w:eastAsia="Times New Roman" w:cs="Arial"/>
                <w:b/>
                <w:bCs/>
                <w:color w:val="000000"/>
                <w:sz w:val="20"/>
                <w:szCs w:val="20"/>
                <w:lang w:eastAsia="cs-CZ"/>
              </w:rPr>
              <w:t>Celkové náklady (mil. Kč)</w:t>
            </w:r>
          </w:p>
        </w:tc>
        <w:tc>
          <w:tcPr>
            <w:tcW w:w="1824" w:type="dxa"/>
            <w:tcBorders>
              <w:top w:val="single" w:sz="8" w:space="0" w:color="auto"/>
              <w:left w:val="nil"/>
              <w:bottom w:val="single" w:sz="4" w:space="0" w:color="auto"/>
              <w:right w:val="single" w:sz="4" w:space="0" w:color="auto"/>
            </w:tcBorders>
            <w:shd w:val="clear" w:color="auto" w:fill="A6A6A6" w:themeFill="background1" w:themeFillShade="A6"/>
            <w:noWrap/>
            <w:vAlign w:val="center"/>
            <w:hideMark/>
          </w:tcPr>
          <w:p w14:paraId="706ECA2A" w14:textId="77777777" w:rsidR="00475169" w:rsidRPr="00D33402" w:rsidRDefault="00475169" w:rsidP="0024611C">
            <w:pPr>
              <w:jc w:val="left"/>
              <w:rPr>
                <w:rFonts w:eastAsia="Times New Roman" w:cs="Arial"/>
                <w:b/>
                <w:bCs/>
                <w:color w:val="000000"/>
                <w:sz w:val="20"/>
                <w:szCs w:val="20"/>
                <w:lang w:eastAsia="cs-CZ"/>
              </w:rPr>
            </w:pPr>
            <w:r w:rsidRPr="00D33402">
              <w:rPr>
                <w:rFonts w:eastAsia="Times New Roman" w:cs="Arial"/>
                <w:b/>
                <w:bCs/>
                <w:color w:val="000000"/>
                <w:sz w:val="20"/>
                <w:szCs w:val="20"/>
                <w:lang w:eastAsia="cs-CZ"/>
              </w:rPr>
              <w:t>Celkové způsobilé výdaje (mil. Kč)</w:t>
            </w:r>
          </w:p>
        </w:tc>
        <w:tc>
          <w:tcPr>
            <w:tcW w:w="1721" w:type="dxa"/>
            <w:tcBorders>
              <w:top w:val="single" w:sz="8" w:space="0" w:color="auto"/>
              <w:left w:val="nil"/>
              <w:bottom w:val="single" w:sz="4" w:space="0" w:color="auto"/>
              <w:right w:val="single" w:sz="8" w:space="0" w:color="auto"/>
            </w:tcBorders>
            <w:shd w:val="clear" w:color="auto" w:fill="A6A6A6" w:themeFill="background1" w:themeFillShade="A6"/>
            <w:noWrap/>
            <w:vAlign w:val="center"/>
            <w:hideMark/>
          </w:tcPr>
          <w:p w14:paraId="654EA1D8" w14:textId="77777777" w:rsidR="00475169" w:rsidRPr="00D33402" w:rsidRDefault="00475169" w:rsidP="0024611C">
            <w:pPr>
              <w:jc w:val="left"/>
              <w:rPr>
                <w:rFonts w:eastAsia="Times New Roman" w:cs="Arial"/>
                <w:b/>
                <w:bCs/>
                <w:color w:val="000000"/>
                <w:sz w:val="20"/>
                <w:szCs w:val="20"/>
                <w:lang w:eastAsia="cs-CZ"/>
              </w:rPr>
            </w:pPr>
            <w:r w:rsidRPr="00D33402">
              <w:rPr>
                <w:rFonts w:eastAsia="Times New Roman" w:cs="Arial"/>
                <w:b/>
                <w:bCs/>
                <w:color w:val="000000"/>
                <w:sz w:val="20"/>
                <w:szCs w:val="20"/>
                <w:lang w:eastAsia="cs-CZ"/>
              </w:rPr>
              <w:t>Příspěvek EU</w:t>
            </w:r>
          </w:p>
          <w:p w14:paraId="14A3CD96" w14:textId="77777777" w:rsidR="00475169" w:rsidRPr="00D33402" w:rsidRDefault="00475169" w:rsidP="0024611C">
            <w:pPr>
              <w:jc w:val="left"/>
              <w:rPr>
                <w:rFonts w:eastAsia="Times New Roman" w:cs="Arial"/>
                <w:b/>
                <w:bCs/>
                <w:color w:val="000000"/>
                <w:sz w:val="20"/>
                <w:szCs w:val="20"/>
                <w:lang w:eastAsia="cs-CZ"/>
              </w:rPr>
            </w:pPr>
            <w:r w:rsidRPr="00D33402">
              <w:rPr>
                <w:rFonts w:eastAsia="Times New Roman" w:cs="Arial"/>
                <w:b/>
                <w:bCs/>
                <w:color w:val="000000"/>
                <w:sz w:val="20"/>
                <w:szCs w:val="20"/>
                <w:lang w:eastAsia="cs-CZ"/>
              </w:rPr>
              <w:t>(mil. Kč)</w:t>
            </w:r>
          </w:p>
        </w:tc>
      </w:tr>
      <w:tr w:rsidR="00D33402" w:rsidRPr="00D33402" w14:paraId="654C0036" w14:textId="77777777" w:rsidTr="0024611C">
        <w:trPr>
          <w:trHeight w:val="296"/>
        </w:trPr>
        <w:tc>
          <w:tcPr>
            <w:tcW w:w="1700" w:type="dxa"/>
            <w:tcBorders>
              <w:top w:val="nil"/>
              <w:left w:val="single" w:sz="8" w:space="0" w:color="auto"/>
              <w:bottom w:val="single" w:sz="4" w:space="0" w:color="auto"/>
              <w:right w:val="single" w:sz="4" w:space="0" w:color="auto"/>
            </w:tcBorders>
            <w:noWrap/>
            <w:vAlign w:val="bottom"/>
            <w:hideMark/>
          </w:tcPr>
          <w:p w14:paraId="49483F7A" w14:textId="67EBA25A" w:rsidR="00D33402" w:rsidRPr="00D33402" w:rsidRDefault="00D33402" w:rsidP="00D33402">
            <w:pPr>
              <w:jc w:val="center"/>
              <w:rPr>
                <w:rFonts w:eastAsia="Times New Roman" w:cs="Arial"/>
                <w:color w:val="000000"/>
                <w:sz w:val="20"/>
                <w:szCs w:val="20"/>
                <w:lang w:eastAsia="cs-CZ"/>
              </w:rPr>
            </w:pPr>
            <w:r w:rsidRPr="00D33402">
              <w:rPr>
                <w:rFonts w:eastAsia="Times New Roman" w:cs="Arial"/>
                <w:color w:val="000000"/>
                <w:kern w:val="2"/>
                <w:sz w:val="20"/>
                <w:szCs w:val="20"/>
                <w:lang w:eastAsia="cs-CZ"/>
                <w14:ligatures w14:val="standardContextual"/>
              </w:rPr>
              <w:t>1.3.1.1 a 1.3.1.5</w:t>
            </w:r>
          </w:p>
        </w:tc>
        <w:tc>
          <w:tcPr>
            <w:tcW w:w="1658" w:type="dxa"/>
            <w:tcBorders>
              <w:top w:val="nil"/>
              <w:left w:val="nil"/>
              <w:bottom w:val="single" w:sz="4" w:space="0" w:color="auto"/>
              <w:right w:val="single" w:sz="4" w:space="0" w:color="auto"/>
            </w:tcBorders>
            <w:noWrap/>
            <w:vAlign w:val="bottom"/>
            <w:hideMark/>
          </w:tcPr>
          <w:p w14:paraId="73B7FFE9" w14:textId="4D8AD5F8" w:rsidR="00D33402" w:rsidRPr="00D33402" w:rsidRDefault="00D33402" w:rsidP="00D33402">
            <w:pPr>
              <w:jc w:val="center"/>
              <w:rPr>
                <w:rFonts w:eastAsia="Times New Roman" w:cs="Arial"/>
                <w:color w:val="000000"/>
                <w:sz w:val="20"/>
                <w:szCs w:val="20"/>
                <w:lang w:eastAsia="cs-CZ"/>
              </w:rPr>
            </w:pPr>
            <w:r w:rsidRPr="00D33402">
              <w:rPr>
                <w:rFonts w:eastAsia="Times New Roman" w:cs="Arial"/>
                <w:color w:val="000000"/>
                <w:kern w:val="2"/>
                <w:sz w:val="20"/>
                <w:szCs w:val="20"/>
                <w:lang w:eastAsia="cs-CZ"/>
                <w14:ligatures w14:val="standardContextual"/>
              </w:rPr>
              <w:t>63</w:t>
            </w:r>
          </w:p>
        </w:tc>
        <w:tc>
          <w:tcPr>
            <w:tcW w:w="2094" w:type="dxa"/>
            <w:tcBorders>
              <w:top w:val="nil"/>
              <w:left w:val="nil"/>
              <w:bottom w:val="single" w:sz="4" w:space="0" w:color="auto"/>
              <w:right w:val="single" w:sz="4" w:space="0" w:color="auto"/>
            </w:tcBorders>
            <w:noWrap/>
            <w:vAlign w:val="bottom"/>
            <w:hideMark/>
          </w:tcPr>
          <w:p w14:paraId="74E1909E" w14:textId="3668E6FA" w:rsidR="00D33402" w:rsidRPr="00D33402" w:rsidRDefault="00D33402" w:rsidP="00D33402">
            <w:pPr>
              <w:jc w:val="center"/>
              <w:rPr>
                <w:rFonts w:eastAsia="Times New Roman" w:cs="Arial"/>
                <w:sz w:val="20"/>
                <w:szCs w:val="20"/>
                <w:lang w:eastAsia="cs-CZ"/>
              </w:rPr>
            </w:pPr>
            <w:r w:rsidRPr="00D33402">
              <w:rPr>
                <w:rFonts w:eastAsia="Times New Roman" w:cs="Arial"/>
                <w:kern w:val="2"/>
                <w:sz w:val="20"/>
                <w:szCs w:val="20"/>
                <w:lang w:eastAsia="cs-CZ"/>
                <w14:ligatures w14:val="standardContextual"/>
              </w:rPr>
              <w:t>132,869</w:t>
            </w:r>
          </w:p>
        </w:tc>
        <w:tc>
          <w:tcPr>
            <w:tcW w:w="1824" w:type="dxa"/>
            <w:tcBorders>
              <w:top w:val="nil"/>
              <w:left w:val="nil"/>
              <w:bottom w:val="single" w:sz="4" w:space="0" w:color="auto"/>
              <w:right w:val="single" w:sz="4" w:space="0" w:color="auto"/>
            </w:tcBorders>
            <w:noWrap/>
            <w:vAlign w:val="bottom"/>
            <w:hideMark/>
          </w:tcPr>
          <w:p w14:paraId="0C75EAB9" w14:textId="3907849A" w:rsidR="00D33402" w:rsidRPr="00D33402" w:rsidRDefault="00D33402" w:rsidP="00D33402">
            <w:pPr>
              <w:jc w:val="center"/>
              <w:rPr>
                <w:rFonts w:eastAsia="Times New Roman" w:cs="Arial"/>
                <w:color w:val="000000"/>
                <w:sz w:val="20"/>
                <w:szCs w:val="20"/>
                <w:lang w:eastAsia="cs-CZ"/>
              </w:rPr>
            </w:pPr>
            <w:r w:rsidRPr="00D33402">
              <w:rPr>
                <w:rFonts w:eastAsia="Times New Roman" w:cs="Arial"/>
                <w:color w:val="000000"/>
                <w:kern w:val="2"/>
                <w:sz w:val="20"/>
                <w:szCs w:val="20"/>
                <w:lang w:eastAsia="cs-CZ"/>
                <w14:ligatures w14:val="standardContextual"/>
              </w:rPr>
              <w:t>129,783</w:t>
            </w:r>
          </w:p>
        </w:tc>
        <w:tc>
          <w:tcPr>
            <w:tcW w:w="1721" w:type="dxa"/>
            <w:tcBorders>
              <w:top w:val="nil"/>
              <w:left w:val="nil"/>
              <w:bottom w:val="single" w:sz="4" w:space="0" w:color="auto"/>
              <w:right w:val="single" w:sz="8" w:space="0" w:color="auto"/>
            </w:tcBorders>
            <w:noWrap/>
            <w:vAlign w:val="bottom"/>
            <w:hideMark/>
          </w:tcPr>
          <w:p w14:paraId="22BA6F49" w14:textId="198D470B" w:rsidR="00D33402" w:rsidRPr="00D33402" w:rsidRDefault="00D33402" w:rsidP="00D33402">
            <w:pPr>
              <w:jc w:val="center"/>
              <w:rPr>
                <w:rFonts w:eastAsia="Times New Roman" w:cs="Arial"/>
                <w:color w:val="000000"/>
                <w:sz w:val="20"/>
                <w:szCs w:val="20"/>
                <w:lang w:eastAsia="cs-CZ"/>
              </w:rPr>
            </w:pPr>
            <w:r w:rsidRPr="00D33402">
              <w:rPr>
                <w:rFonts w:eastAsia="Times New Roman" w:cs="Arial"/>
                <w:color w:val="000000"/>
                <w:kern w:val="2"/>
                <w:sz w:val="20"/>
                <w:szCs w:val="20"/>
                <w:lang w:eastAsia="cs-CZ"/>
                <w14:ligatures w14:val="standardContextual"/>
              </w:rPr>
              <w:t>103,420</w:t>
            </w:r>
          </w:p>
        </w:tc>
      </w:tr>
    </w:tbl>
    <w:p w14:paraId="35FA7EED" w14:textId="77777777" w:rsidR="005A2CF1" w:rsidRPr="00D33402" w:rsidRDefault="005A2CF1" w:rsidP="005A2CF1">
      <w:pPr>
        <w:rPr>
          <w:i/>
          <w:sz w:val="20"/>
        </w:rPr>
      </w:pPr>
      <w:r w:rsidRPr="00D33402">
        <w:rPr>
          <w:i/>
          <w:sz w:val="20"/>
        </w:rPr>
        <w:t>Pramen: AOPK ČR</w:t>
      </w:r>
    </w:p>
    <w:p w14:paraId="5A6462F1" w14:textId="77777777" w:rsidR="00A155E0" w:rsidRDefault="00A155E0" w:rsidP="00475169">
      <w:pPr>
        <w:contextualSpacing/>
        <w:rPr>
          <w:rFonts w:cs="Arial"/>
          <w:bCs/>
          <w:i/>
          <w:sz w:val="20"/>
          <w:szCs w:val="20"/>
          <w:highlight w:val="yellow"/>
        </w:rPr>
      </w:pPr>
    </w:p>
    <w:p w14:paraId="12F4F0A7" w14:textId="75AB1006" w:rsidR="00B002DC" w:rsidRPr="00B002DC" w:rsidRDefault="00B002DC" w:rsidP="00B002DC">
      <w:pPr>
        <w:contextualSpacing/>
        <w:rPr>
          <w:rFonts w:cs="Arial"/>
          <w:bCs/>
          <w:iCs/>
        </w:rPr>
      </w:pPr>
      <w:r w:rsidRPr="00B002DC">
        <w:rPr>
          <w:rFonts w:cs="Arial"/>
          <w:bCs/>
          <w:iCs/>
        </w:rPr>
        <w:t xml:space="preserve">V roce 2025 bylo schváleno k podpoře 63 projektů z oblasti podpory </w:t>
      </w:r>
      <w:r w:rsidR="00581982" w:rsidRPr="00B002DC">
        <w:rPr>
          <w:rFonts w:cs="Arial"/>
          <w:bCs/>
          <w:iCs/>
        </w:rPr>
        <w:t>1.3 přizpůsobení</w:t>
      </w:r>
      <w:r w:rsidRPr="00B002DC">
        <w:rPr>
          <w:rFonts w:cs="Arial"/>
          <w:bCs/>
          <w:iCs/>
        </w:rPr>
        <w:t xml:space="preserve"> se změně klimatu, konkrétně s aktivitami 1.3.1.1 Tvorba nových a obnova stávajících přírodě blízkých vodních prvků v krajině včetně sídel a 1.3.1.5 Odstranění či eliminace negativních funkcí odvodňovacích zařízení v krajině. Výše dotace přidělená v rámci výše zmíněných aktivit byla 103,420 mil. Kč. Jednalo se z</w:t>
      </w:r>
      <w:r w:rsidR="007D7C44">
        <w:rPr>
          <w:rFonts w:cs="Arial"/>
          <w:bCs/>
          <w:iCs/>
        </w:rPr>
        <w:t>ejména</w:t>
      </w:r>
      <w:r w:rsidRPr="00B002DC">
        <w:rPr>
          <w:rFonts w:cs="Arial"/>
          <w:bCs/>
          <w:iCs/>
        </w:rPr>
        <w:t xml:space="preserve"> o budování tůní, malých vodních nádrží a revitalizace toků. </w:t>
      </w:r>
    </w:p>
    <w:p w14:paraId="59C0FC5A" w14:textId="77777777" w:rsidR="00B002DC" w:rsidRPr="00B002DC" w:rsidRDefault="00B002DC" w:rsidP="00B002DC">
      <w:pPr>
        <w:contextualSpacing/>
        <w:rPr>
          <w:rFonts w:cs="Arial"/>
          <w:b/>
          <w:bCs/>
          <w:iCs/>
        </w:rPr>
      </w:pPr>
    </w:p>
    <w:p w14:paraId="1972BB53" w14:textId="11DB680A" w:rsidR="00B002DC" w:rsidRPr="00B002DC" w:rsidRDefault="00A141C1" w:rsidP="00B002DC">
      <w:pPr>
        <w:contextualSpacing/>
        <w:rPr>
          <w:rFonts w:cs="Arial"/>
          <w:bCs/>
          <w:iCs/>
        </w:rPr>
      </w:pPr>
      <w:r w:rsidRPr="00A141C1">
        <w:rPr>
          <w:rFonts w:cs="Arial"/>
          <w:b/>
          <w:bCs/>
          <w:iCs/>
        </w:rPr>
        <w:t xml:space="preserve">AOPK ČR je v rámci podprogramů 165, 166 a 167 (dle SMVS 115345, 115343 a 115344) Národního plánu </w:t>
      </w:r>
      <w:r w:rsidR="00F71BA9" w:rsidRPr="00A141C1">
        <w:rPr>
          <w:rFonts w:cs="Arial"/>
          <w:b/>
          <w:bCs/>
          <w:iCs/>
        </w:rPr>
        <w:t>obnovy – Podpora</w:t>
      </w:r>
      <w:r w:rsidRPr="00A141C1">
        <w:rPr>
          <w:rFonts w:cs="Arial"/>
          <w:b/>
          <w:bCs/>
          <w:iCs/>
        </w:rPr>
        <w:t xml:space="preserve"> obnovy přirozených funkcí krajiny (tzv. NPO-POPFK) poskytovatelem finanční podpory. V rámci podprogramu 165 - Adaptace vodních, nelesních a lesních ekosystémů na změnu klimatu byly v roce 2025 vyhlášeny výzvy 1/2025 s alokací 135,0 mil. Kč. V dalších podprogramech, vzhledem k ukončení programu na konci roku 2025 nebyly vyhlášeny další výzvy</w:t>
      </w:r>
    </w:p>
    <w:p w14:paraId="27CDD799" w14:textId="03060822" w:rsidR="00B002DC" w:rsidRPr="00B002DC" w:rsidRDefault="00B002DC" w:rsidP="00B002DC">
      <w:pPr>
        <w:contextualSpacing/>
        <w:rPr>
          <w:rFonts w:cs="Arial"/>
          <w:bCs/>
          <w:iCs/>
        </w:rPr>
      </w:pPr>
      <w:r w:rsidRPr="00B002DC">
        <w:rPr>
          <w:rFonts w:cs="Arial"/>
          <w:bCs/>
          <w:iCs/>
        </w:rPr>
        <w:t>Celkově v programu NPO – POPFK Agentura ochrany přírody a krajiny poskytla na realizaci opatření na tvorbu a obnovu mokřadů (vč. tůní a MVN) 97,1 mil. Kč v 647 projektech.</w:t>
      </w:r>
    </w:p>
    <w:p w14:paraId="41EDEFBE" w14:textId="77777777" w:rsidR="00F1762D" w:rsidRPr="00104F7D" w:rsidRDefault="00F1762D" w:rsidP="00F25890">
      <w:pPr>
        <w:contextualSpacing/>
        <w:rPr>
          <w:rFonts w:cs="Arial"/>
          <w:color w:val="FF0000"/>
          <w:highlight w:val="yellow"/>
        </w:rPr>
      </w:pPr>
    </w:p>
    <w:p w14:paraId="1BE2FE0C" w14:textId="77777777" w:rsidR="00FB3584" w:rsidRDefault="00FB3584" w:rsidP="007C4955">
      <w:pPr>
        <w:contextualSpacing/>
        <w:rPr>
          <w:b/>
          <w:color w:val="000000" w:themeColor="text1"/>
        </w:rPr>
      </w:pPr>
    </w:p>
    <w:p w14:paraId="3AA1A83F" w14:textId="38CC97A9" w:rsidR="00CB1175" w:rsidRPr="004D1331" w:rsidRDefault="00B3759D" w:rsidP="007C4955">
      <w:pPr>
        <w:contextualSpacing/>
        <w:rPr>
          <w:b/>
          <w:color w:val="000000" w:themeColor="text1"/>
        </w:rPr>
      </w:pPr>
      <w:r w:rsidRPr="004D1331">
        <w:rPr>
          <w:b/>
          <w:color w:val="000000" w:themeColor="text1"/>
        </w:rPr>
        <w:t>11</w:t>
      </w:r>
      <w:r w:rsidR="00CB1175" w:rsidRPr="004D1331">
        <w:rPr>
          <w:b/>
          <w:color w:val="000000" w:themeColor="text1"/>
        </w:rPr>
        <w:t>.1.3 Finanční podpory Ministerstva dopravy</w:t>
      </w:r>
    </w:p>
    <w:p w14:paraId="66C055DF" w14:textId="77777777" w:rsidR="0044484C" w:rsidRPr="004D1331" w:rsidRDefault="0044484C" w:rsidP="007C4955">
      <w:pPr>
        <w:contextualSpacing/>
        <w:rPr>
          <w:color w:val="000000" w:themeColor="text1"/>
        </w:rPr>
      </w:pPr>
    </w:p>
    <w:p w14:paraId="7BAB35CF" w14:textId="008CF444" w:rsidR="00E278CA" w:rsidRPr="004A3F1C" w:rsidRDefault="00E278CA" w:rsidP="007C4955">
      <w:pPr>
        <w:contextualSpacing/>
        <w:rPr>
          <w:b/>
          <w:color w:val="000000" w:themeColor="text1"/>
        </w:rPr>
      </w:pPr>
      <w:r w:rsidRPr="004D1331">
        <w:rPr>
          <w:b/>
          <w:color w:val="000000" w:themeColor="text1"/>
        </w:rPr>
        <w:t>V roce 202</w:t>
      </w:r>
      <w:r w:rsidR="00B219C3">
        <w:rPr>
          <w:b/>
          <w:color w:val="000000" w:themeColor="text1"/>
        </w:rPr>
        <w:t>5</w:t>
      </w:r>
      <w:r w:rsidRPr="004D1331">
        <w:rPr>
          <w:b/>
          <w:color w:val="000000" w:themeColor="text1"/>
        </w:rPr>
        <w:t xml:space="preserve"> byly vynaloženy na rozvoj, modernizaci a údržbu vodních cest dopravně významných prostřednictvím Ředitels</w:t>
      </w:r>
      <w:r w:rsidRPr="004A3F1C">
        <w:rPr>
          <w:b/>
          <w:color w:val="000000" w:themeColor="text1"/>
        </w:rPr>
        <w:t xml:space="preserve">tví vodních cest ČR finanční prostředky Státního fondu dopravní infrastruktury v celkové výši </w:t>
      </w:r>
      <w:r w:rsidR="002449A1" w:rsidRPr="004A3F1C">
        <w:rPr>
          <w:b/>
          <w:color w:val="000000" w:themeColor="text1"/>
        </w:rPr>
        <w:t>789</w:t>
      </w:r>
      <w:r w:rsidR="00D21655" w:rsidRPr="004A3F1C">
        <w:rPr>
          <w:b/>
          <w:color w:val="000000" w:themeColor="text1"/>
        </w:rPr>
        <w:t>,6</w:t>
      </w:r>
      <w:r w:rsidRPr="004A3F1C">
        <w:rPr>
          <w:b/>
          <w:color w:val="000000" w:themeColor="text1"/>
        </w:rPr>
        <w:t xml:space="preserve"> mil. Kč</w:t>
      </w:r>
      <w:r w:rsidR="006C5159" w:rsidRPr="004A3F1C">
        <w:rPr>
          <w:b/>
          <w:color w:val="000000" w:themeColor="text1"/>
        </w:rPr>
        <w:t>,</w:t>
      </w:r>
      <w:r w:rsidR="006C5159" w:rsidRPr="004A3F1C">
        <w:rPr>
          <w:color w:val="000000" w:themeColor="text1"/>
        </w:rPr>
        <w:t xml:space="preserve"> </w:t>
      </w:r>
      <w:r w:rsidR="006C5159" w:rsidRPr="004A3F1C">
        <w:rPr>
          <w:b/>
          <w:color w:val="000000" w:themeColor="text1"/>
        </w:rPr>
        <w:t xml:space="preserve">z toho investiční výdaje ve výši cca </w:t>
      </w:r>
      <w:r w:rsidR="00D21655" w:rsidRPr="004A3F1C">
        <w:rPr>
          <w:b/>
          <w:color w:val="000000" w:themeColor="text1"/>
        </w:rPr>
        <w:t>712,7</w:t>
      </w:r>
      <w:r w:rsidR="006C5159" w:rsidRPr="004A3F1C">
        <w:rPr>
          <w:b/>
          <w:color w:val="000000" w:themeColor="text1"/>
        </w:rPr>
        <w:t xml:space="preserve"> mil. Kč a neinvestiční výdaje ve výši cca </w:t>
      </w:r>
      <w:r w:rsidR="00D21655" w:rsidRPr="004A3F1C">
        <w:rPr>
          <w:b/>
          <w:color w:val="000000" w:themeColor="text1"/>
        </w:rPr>
        <w:t>76,</w:t>
      </w:r>
      <w:r w:rsidR="005C782F">
        <w:rPr>
          <w:b/>
          <w:color w:val="000000" w:themeColor="text1"/>
        </w:rPr>
        <w:t>9</w:t>
      </w:r>
      <w:r w:rsidR="006C5159" w:rsidRPr="004A3F1C">
        <w:rPr>
          <w:b/>
          <w:color w:val="000000" w:themeColor="text1"/>
        </w:rPr>
        <w:t xml:space="preserve"> mil. Kč</w:t>
      </w:r>
      <w:r w:rsidR="00BC7E7F" w:rsidRPr="004A3F1C">
        <w:rPr>
          <w:b/>
          <w:color w:val="000000" w:themeColor="text1"/>
        </w:rPr>
        <w:t>.</w:t>
      </w:r>
    </w:p>
    <w:p w14:paraId="723C3251" w14:textId="77777777" w:rsidR="006C5159" w:rsidRPr="00104F7D" w:rsidRDefault="006C5159" w:rsidP="007C4955">
      <w:pPr>
        <w:suppressAutoHyphens/>
        <w:overflowPunct w:val="0"/>
        <w:autoSpaceDE w:val="0"/>
        <w:autoSpaceDN w:val="0"/>
        <w:adjustRightInd w:val="0"/>
        <w:contextualSpacing/>
        <w:textAlignment w:val="baseline"/>
        <w:rPr>
          <w:rFonts w:cs="Arial"/>
          <w:color w:val="FF0000"/>
          <w:highlight w:val="yellow"/>
          <w:lang w:eastAsia="cs-CZ"/>
        </w:rPr>
      </w:pPr>
    </w:p>
    <w:p w14:paraId="0A6351D4" w14:textId="77777777" w:rsidR="008C7FB2" w:rsidRPr="008D54C9" w:rsidRDefault="006C5159" w:rsidP="007C4955">
      <w:pPr>
        <w:suppressAutoHyphens/>
        <w:overflowPunct w:val="0"/>
        <w:autoSpaceDE w:val="0"/>
        <w:autoSpaceDN w:val="0"/>
        <w:adjustRightInd w:val="0"/>
        <w:contextualSpacing/>
        <w:textAlignment w:val="baseline"/>
        <w:rPr>
          <w:rFonts w:cs="Arial"/>
          <w:b/>
          <w:i/>
          <w:color w:val="000000" w:themeColor="text1"/>
          <w:lang w:eastAsia="cs-CZ"/>
        </w:rPr>
      </w:pPr>
      <w:r w:rsidRPr="008D54C9">
        <w:rPr>
          <w:rFonts w:cs="Arial"/>
          <w:b/>
          <w:i/>
          <w:color w:val="000000" w:themeColor="text1"/>
          <w:lang w:eastAsia="cs-CZ"/>
        </w:rPr>
        <w:t>Státní fond dopravní infrastruktury</w:t>
      </w:r>
    </w:p>
    <w:p w14:paraId="0DD23712" w14:textId="77777777" w:rsidR="00166F27" w:rsidRPr="008D54C9" w:rsidRDefault="00166F27" w:rsidP="007C4955">
      <w:pPr>
        <w:suppressAutoHyphens/>
        <w:overflowPunct w:val="0"/>
        <w:autoSpaceDE w:val="0"/>
        <w:autoSpaceDN w:val="0"/>
        <w:adjustRightInd w:val="0"/>
        <w:contextualSpacing/>
        <w:textAlignment w:val="baseline"/>
        <w:rPr>
          <w:rFonts w:cs="Arial"/>
          <w:b/>
          <w:i/>
          <w:color w:val="000000" w:themeColor="text1"/>
          <w:lang w:eastAsia="cs-CZ"/>
        </w:rPr>
      </w:pPr>
    </w:p>
    <w:p w14:paraId="4AF5D696" w14:textId="77777777" w:rsidR="003149EA" w:rsidRPr="008D54C9" w:rsidRDefault="003149EA" w:rsidP="003149EA">
      <w:pPr>
        <w:suppressAutoHyphens/>
        <w:overflowPunct w:val="0"/>
        <w:autoSpaceDE w:val="0"/>
        <w:autoSpaceDN w:val="0"/>
        <w:adjustRightInd w:val="0"/>
        <w:contextualSpacing/>
        <w:textAlignment w:val="baseline"/>
        <w:rPr>
          <w:rFonts w:cs="Arial"/>
          <w:bCs/>
          <w:iCs/>
          <w:color w:val="000000" w:themeColor="text1"/>
          <w:lang w:eastAsia="cs-CZ"/>
        </w:rPr>
      </w:pPr>
      <w:r w:rsidRPr="008D54C9">
        <w:rPr>
          <w:rFonts w:cs="Arial"/>
          <w:bCs/>
          <w:iCs/>
          <w:color w:val="000000" w:themeColor="text1"/>
          <w:lang w:eastAsia="cs-CZ"/>
        </w:rPr>
        <w:t xml:space="preserve">Státní fond dopravní infrastruktury („dále jen „SFDI“) byl zřízen zákonem č. 104/2000 Sb., </w:t>
      </w:r>
      <w:r w:rsidRPr="008D54C9">
        <w:rPr>
          <w:rFonts w:cs="Arial"/>
          <w:bCs/>
          <w:iCs/>
          <w:color w:val="000000" w:themeColor="text1"/>
          <w:lang w:eastAsia="cs-CZ"/>
        </w:rPr>
        <w:br/>
        <w:t xml:space="preserve">o Státním fondu dopravní infrastruktury, v platném znění. Zástupci resortu dopravy jsou zastoupeni ve výboru SFDI. SFDI je právnickou osobou v působnosti Ministerstva dopravy. Účelem SFDI je financování výstavby, modernizace, oprav a údržby silnic a dálnic, celostátních a regionálních drah a dopravně významných vnitrozemských vodních cest v rozsahu stanoveném citovaným zákonem. </w:t>
      </w:r>
    </w:p>
    <w:p w14:paraId="37536115" w14:textId="77777777" w:rsidR="008D54C9" w:rsidRPr="008D54C9" w:rsidRDefault="008D54C9" w:rsidP="003149EA">
      <w:pPr>
        <w:suppressAutoHyphens/>
        <w:overflowPunct w:val="0"/>
        <w:autoSpaceDE w:val="0"/>
        <w:autoSpaceDN w:val="0"/>
        <w:adjustRightInd w:val="0"/>
        <w:contextualSpacing/>
        <w:textAlignment w:val="baseline"/>
        <w:rPr>
          <w:rFonts w:cs="Arial"/>
          <w:b/>
          <w:bCs/>
          <w:iCs/>
          <w:color w:val="000000" w:themeColor="text1"/>
          <w:lang w:eastAsia="cs-CZ"/>
        </w:rPr>
      </w:pPr>
    </w:p>
    <w:p w14:paraId="54361B06" w14:textId="61272F6D" w:rsidR="003149EA" w:rsidRPr="008D54C9" w:rsidRDefault="003149EA" w:rsidP="003149EA">
      <w:pPr>
        <w:suppressAutoHyphens/>
        <w:overflowPunct w:val="0"/>
        <w:autoSpaceDE w:val="0"/>
        <w:autoSpaceDN w:val="0"/>
        <w:adjustRightInd w:val="0"/>
        <w:contextualSpacing/>
        <w:textAlignment w:val="baseline"/>
        <w:rPr>
          <w:rFonts w:cs="Arial"/>
          <w:b/>
          <w:bCs/>
          <w:iCs/>
          <w:color w:val="000000" w:themeColor="text1"/>
          <w:lang w:eastAsia="cs-CZ"/>
        </w:rPr>
      </w:pPr>
      <w:r w:rsidRPr="008D54C9">
        <w:rPr>
          <w:rFonts w:cs="Arial"/>
          <w:b/>
          <w:bCs/>
          <w:iCs/>
          <w:color w:val="000000" w:themeColor="text1"/>
          <w:lang w:eastAsia="cs-CZ"/>
        </w:rPr>
        <w:t xml:space="preserve">Ředitelství vodních cest ČR </w:t>
      </w:r>
    </w:p>
    <w:p w14:paraId="44C6670C" w14:textId="77777777" w:rsidR="008D54C9" w:rsidRPr="008D54C9" w:rsidRDefault="008D54C9" w:rsidP="003149EA">
      <w:pPr>
        <w:suppressAutoHyphens/>
        <w:overflowPunct w:val="0"/>
        <w:autoSpaceDE w:val="0"/>
        <w:autoSpaceDN w:val="0"/>
        <w:adjustRightInd w:val="0"/>
        <w:contextualSpacing/>
        <w:textAlignment w:val="baseline"/>
        <w:rPr>
          <w:rFonts w:cs="Arial"/>
          <w:bCs/>
          <w:iCs/>
          <w:color w:val="000000" w:themeColor="text1"/>
          <w:lang w:eastAsia="cs-CZ"/>
        </w:rPr>
      </w:pPr>
    </w:p>
    <w:p w14:paraId="3AB7898D" w14:textId="61148C1F" w:rsidR="003149EA" w:rsidRPr="008D54C9" w:rsidRDefault="003149EA" w:rsidP="003149EA">
      <w:pPr>
        <w:suppressAutoHyphens/>
        <w:overflowPunct w:val="0"/>
        <w:autoSpaceDE w:val="0"/>
        <w:autoSpaceDN w:val="0"/>
        <w:adjustRightInd w:val="0"/>
        <w:contextualSpacing/>
        <w:textAlignment w:val="baseline"/>
        <w:rPr>
          <w:rFonts w:cs="Arial"/>
          <w:bCs/>
          <w:iCs/>
          <w:color w:val="000000" w:themeColor="text1"/>
          <w:lang w:eastAsia="cs-CZ"/>
        </w:rPr>
      </w:pPr>
      <w:r w:rsidRPr="008D54C9">
        <w:rPr>
          <w:rFonts w:cs="Arial"/>
          <w:bCs/>
          <w:iCs/>
          <w:color w:val="000000" w:themeColor="text1"/>
          <w:lang w:eastAsia="cs-CZ"/>
        </w:rPr>
        <w:t xml:space="preserve">Ředitelství vodních cest ČR bylo zřízeno Ministerstvem dopravy a spojů ČR 1. dubna 1998 dle </w:t>
      </w:r>
      <w:r w:rsidRPr="008D54C9">
        <w:rPr>
          <w:rFonts w:cs="Arial"/>
          <w:bCs/>
          <w:iCs/>
          <w:color w:val="000000" w:themeColor="text1"/>
          <w:lang w:eastAsia="cs-CZ"/>
        </w:rPr>
        <w:br/>
        <w:t>§ 51 odst. 1</w:t>
      </w:r>
      <w:r w:rsidR="00D51E1A">
        <w:rPr>
          <w:rFonts w:cs="Arial"/>
          <w:bCs/>
          <w:iCs/>
          <w:color w:val="000000" w:themeColor="text1"/>
          <w:lang w:eastAsia="cs-CZ"/>
        </w:rPr>
        <w:t xml:space="preserve"> </w:t>
      </w:r>
      <w:r w:rsidRPr="008D54C9">
        <w:rPr>
          <w:rFonts w:cs="Arial"/>
          <w:bCs/>
          <w:iCs/>
          <w:color w:val="000000" w:themeColor="text1"/>
          <w:lang w:eastAsia="cs-CZ"/>
        </w:rPr>
        <w:t xml:space="preserve">zákona č. 219/2000 Sb., o majetku České republiky a jejím vystupování v právních vztazích, ve znění pozdějších předpisů, jako organizační složka státu. Hlavní činností této složky je zajišťovat rozvoj infrastruktury vodních cest České republiky z prostředků SFDI. Jedná se tak  </w:t>
      </w:r>
      <w:r w:rsidRPr="008D54C9">
        <w:rPr>
          <w:rFonts w:cs="Arial"/>
          <w:bCs/>
          <w:iCs/>
          <w:color w:val="000000" w:themeColor="text1"/>
          <w:lang w:eastAsia="cs-CZ"/>
        </w:rPr>
        <w:br/>
        <w:t xml:space="preserve">o investorskou organizaci </w:t>
      </w:r>
      <w:r w:rsidR="00EB4A54" w:rsidRPr="008D54C9">
        <w:rPr>
          <w:rFonts w:cs="Arial"/>
          <w:bCs/>
          <w:iCs/>
          <w:color w:val="000000" w:themeColor="text1"/>
          <w:lang w:eastAsia="cs-CZ"/>
        </w:rPr>
        <w:t>resortu</w:t>
      </w:r>
      <w:r w:rsidRPr="008D54C9">
        <w:rPr>
          <w:rFonts w:cs="Arial"/>
          <w:bCs/>
          <w:iCs/>
          <w:color w:val="000000" w:themeColor="text1"/>
          <w:lang w:eastAsia="cs-CZ"/>
        </w:rPr>
        <w:t xml:space="preserve"> dopravy. </w:t>
      </w:r>
    </w:p>
    <w:p w14:paraId="4DD00FE3" w14:textId="77777777" w:rsidR="008D54C9" w:rsidRDefault="008D54C9" w:rsidP="003149EA">
      <w:pPr>
        <w:suppressAutoHyphens/>
        <w:overflowPunct w:val="0"/>
        <w:autoSpaceDE w:val="0"/>
        <w:autoSpaceDN w:val="0"/>
        <w:adjustRightInd w:val="0"/>
        <w:contextualSpacing/>
        <w:textAlignment w:val="baseline"/>
        <w:rPr>
          <w:rFonts w:cs="Arial"/>
          <w:bCs/>
          <w:iCs/>
          <w:color w:val="000000" w:themeColor="text1"/>
          <w:lang w:eastAsia="cs-CZ"/>
        </w:rPr>
      </w:pPr>
    </w:p>
    <w:p w14:paraId="2E24ADEE" w14:textId="576EB985" w:rsidR="003149EA" w:rsidRPr="008D54C9" w:rsidRDefault="003149EA" w:rsidP="003149EA">
      <w:pPr>
        <w:suppressAutoHyphens/>
        <w:overflowPunct w:val="0"/>
        <w:autoSpaceDE w:val="0"/>
        <w:autoSpaceDN w:val="0"/>
        <w:adjustRightInd w:val="0"/>
        <w:contextualSpacing/>
        <w:textAlignment w:val="baseline"/>
        <w:rPr>
          <w:rFonts w:cs="Arial"/>
          <w:bCs/>
          <w:iCs/>
          <w:color w:val="000000" w:themeColor="text1"/>
          <w:lang w:eastAsia="cs-CZ"/>
        </w:rPr>
      </w:pPr>
      <w:r w:rsidRPr="008D54C9">
        <w:rPr>
          <w:rFonts w:cs="Arial"/>
          <w:bCs/>
          <w:iCs/>
          <w:color w:val="000000" w:themeColor="text1"/>
          <w:lang w:eastAsia="cs-CZ"/>
        </w:rPr>
        <w:t xml:space="preserve">V roce 2025 byly vynaloženy na výše uvedený rozvoj, modernizaci a údržbu vodních cest dopravně významných prostřednictvím podřízené organizace Ministerstva dopravy Ředitelství vodních cest ČR finanční prostředky SFDI v celkové výši cca 789,62 mil. Kč, z toho investiční výdaje ve výši cca 712,74 mil. Kč a neinvestiční výdaje ve výši cca 76,88 mil. Kč.  </w:t>
      </w:r>
    </w:p>
    <w:p w14:paraId="169F6D16" w14:textId="77777777" w:rsidR="008D54C9" w:rsidRDefault="008D54C9" w:rsidP="003149EA">
      <w:pPr>
        <w:suppressAutoHyphens/>
        <w:overflowPunct w:val="0"/>
        <w:autoSpaceDE w:val="0"/>
        <w:autoSpaceDN w:val="0"/>
        <w:adjustRightInd w:val="0"/>
        <w:contextualSpacing/>
        <w:textAlignment w:val="baseline"/>
        <w:rPr>
          <w:rFonts w:cs="Arial"/>
          <w:bCs/>
          <w:iCs/>
          <w:color w:val="000000" w:themeColor="text1"/>
          <w:lang w:eastAsia="cs-CZ"/>
        </w:rPr>
      </w:pPr>
    </w:p>
    <w:p w14:paraId="503156C8" w14:textId="6338D710" w:rsidR="003149EA" w:rsidRPr="008D54C9" w:rsidRDefault="003149EA" w:rsidP="003149EA">
      <w:pPr>
        <w:suppressAutoHyphens/>
        <w:overflowPunct w:val="0"/>
        <w:autoSpaceDE w:val="0"/>
        <w:autoSpaceDN w:val="0"/>
        <w:adjustRightInd w:val="0"/>
        <w:contextualSpacing/>
        <w:textAlignment w:val="baseline"/>
        <w:rPr>
          <w:rFonts w:cs="Arial"/>
          <w:bCs/>
          <w:iCs/>
          <w:color w:val="000000" w:themeColor="text1"/>
          <w:lang w:eastAsia="cs-CZ"/>
        </w:rPr>
      </w:pPr>
      <w:r w:rsidRPr="008D54C9">
        <w:rPr>
          <w:rFonts w:cs="Arial"/>
          <w:bCs/>
          <w:iCs/>
          <w:color w:val="000000" w:themeColor="text1"/>
          <w:lang w:eastAsia="cs-CZ"/>
        </w:rPr>
        <w:t xml:space="preserve">Na čerpání výše uvedených finančních prostředků ze SFDI se v roce 2025 podílely převážně akce „Prodloužení splavnosti vodní cesty </w:t>
      </w:r>
      <w:proofErr w:type="gramStart"/>
      <w:r w:rsidRPr="008D54C9">
        <w:rPr>
          <w:rFonts w:cs="Arial"/>
          <w:bCs/>
          <w:iCs/>
          <w:color w:val="000000" w:themeColor="text1"/>
          <w:lang w:eastAsia="cs-CZ"/>
        </w:rPr>
        <w:t>Otrokovice - Rohatec</w:t>
      </w:r>
      <w:proofErr w:type="gramEnd"/>
      <w:r w:rsidRPr="008D54C9">
        <w:rPr>
          <w:rFonts w:cs="Arial"/>
          <w:bCs/>
          <w:iCs/>
          <w:color w:val="000000" w:themeColor="text1"/>
          <w:lang w:eastAsia="cs-CZ"/>
        </w:rPr>
        <w:t xml:space="preserve"> – plavební komora Rohatec“ ve výši 104,15 mil. Kč, „Čekací stání pro malá plavidla na Vltavě“ ve výši cca 135,10 mil. Kč, „Servisní plavidla Praha, Slapy, Orlík“ ve výši 101,65 mil. Kč a „Plavební okruh Veselí nad Moravou-Vnorovy“ ve výši 80,62 mil. Kč. Významná je rovněž do zkušebního provozu uvedená akce „Servisní centrum Roudnice nad Labem“, kde bylo čerpáno cca 26,02 mil. Kč. V neposlední řadě se pak jednalo o nově zahájené akce „Ochranná stání na labské vodní cestě“ s čerpáním finančních prostředků ve výši cca 18,96 mil. Kč a „Rekreační přístav Kamýk nad Vltavou“ s náklady ve výši 5,93 mil. Kč.  </w:t>
      </w:r>
    </w:p>
    <w:p w14:paraId="1C22C61A" w14:textId="77777777" w:rsidR="008D54C9" w:rsidRDefault="008D54C9" w:rsidP="003149EA">
      <w:pPr>
        <w:suppressAutoHyphens/>
        <w:overflowPunct w:val="0"/>
        <w:autoSpaceDE w:val="0"/>
        <w:autoSpaceDN w:val="0"/>
        <w:adjustRightInd w:val="0"/>
        <w:contextualSpacing/>
        <w:textAlignment w:val="baseline"/>
        <w:rPr>
          <w:rFonts w:cs="Arial"/>
          <w:bCs/>
          <w:iCs/>
          <w:color w:val="000000" w:themeColor="text1"/>
          <w:lang w:eastAsia="cs-CZ"/>
        </w:rPr>
      </w:pPr>
    </w:p>
    <w:p w14:paraId="0FDB0FE6" w14:textId="7D28AA86" w:rsidR="003149EA" w:rsidRPr="008D54C9" w:rsidRDefault="003149EA" w:rsidP="003149EA">
      <w:pPr>
        <w:suppressAutoHyphens/>
        <w:overflowPunct w:val="0"/>
        <w:autoSpaceDE w:val="0"/>
        <w:autoSpaceDN w:val="0"/>
        <w:adjustRightInd w:val="0"/>
        <w:contextualSpacing/>
        <w:textAlignment w:val="baseline"/>
        <w:rPr>
          <w:rFonts w:cs="Arial"/>
          <w:bCs/>
          <w:iCs/>
          <w:color w:val="000000" w:themeColor="text1"/>
          <w:lang w:eastAsia="cs-CZ"/>
        </w:rPr>
      </w:pPr>
      <w:r w:rsidRPr="008D54C9">
        <w:rPr>
          <w:rFonts w:cs="Arial"/>
          <w:bCs/>
          <w:iCs/>
          <w:color w:val="000000" w:themeColor="text1"/>
          <w:lang w:eastAsia="cs-CZ"/>
        </w:rPr>
        <w:t xml:space="preserve">V rámci globální položky Investiční akce s rozpočtovými náklady do 100 mil. Kč byla v roce 2025 čerpána v podobě menších akcí celková částka 161,96 mil. Kč. Z konkrétních akcí uvádíme například „Ochranný přístav Nymburk - stání pro sportovní plavidla a osobní lodní dopravu“ </w:t>
      </w:r>
      <w:r w:rsidRPr="008D54C9">
        <w:rPr>
          <w:rFonts w:cs="Arial"/>
          <w:bCs/>
          <w:iCs/>
          <w:color w:val="000000" w:themeColor="text1"/>
          <w:lang w:eastAsia="cs-CZ"/>
        </w:rPr>
        <w:br/>
        <w:t xml:space="preserve">s čerpáním 32,64 mil. Kč, „Stání plavidel Brandýs nad Labem“ s čerpáním 35,71 mil. Kč, „Ochranné stání služebních plavidel </w:t>
      </w:r>
      <w:proofErr w:type="spellStart"/>
      <w:r w:rsidRPr="008D54C9">
        <w:rPr>
          <w:rFonts w:cs="Arial"/>
          <w:bCs/>
          <w:iCs/>
          <w:color w:val="000000" w:themeColor="text1"/>
          <w:lang w:eastAsia="cs-CZ"/>
        </w:rPr>
        <w:t>Brná</w:t>
      </w:r>
      <w:proofErr w:type="spellEnd"/>
      <w:r w:rsidRPr="008D54C9">
        <w:rPr>
          <w:rFonts w:cs="Arial"/>
          <w:bCs/>
          <w:iCs/>
          <w:color w:val="000000" w:themeColor="text1"/>
          <w:lang w:eastAsia="cs-CZ"/>
        </w:rPr>
        <w:t>“ s čerpáním 39,16 mil. Kč, „Přístaviště Strážnice-zvýšení přístavní kapacity“ s čerpáním 5,99 mil. Kč, „Rozšíření provozního zázemí rekreačního přístavu Petrov“ s čerpáním 25,28 mil. Kč, „Doplnění provozního zázemí Strážnice“ s čerpáním 6,00 mil. Kč a v neposlední řadě „Zvýšení přístavní kapacity ve zdrži jezu Hodonín“ s čerpáním 6,72 mil. Kč.</w:t>
      </w:r>
    </w:p>
    <w:p w14:paraId="64D856AE" w14:textId="77777777" w:rsidR="008D54C9" w:rsidRDefault="008D54C9" w:rsidP="003149EA">
      <w:pPr>
        <w:suppressAutoHyphens/>
        <w:overflowPunct w:val="0"/>
        <w:autoSpaceDE w:val="0"/>
        <w:autoSpaceDN w:val="0"/>
        <w:adjustRightInd w:val="0"/>
        <w:contextualSpacing/>
        <w:textAlignment w:val="baseline"/>
        <w:rPr>
          <w:rFonts w:cs="Arial"/>
          <w:bCs/>
          <w:iCs/>
          <w:color w:val="000000" w:themeColor="text1"/>
          <w:lang w:eastAsia="cs-CZ"/>
        </w:rPr>
      </w:pPr>
    </w:p>
    <w:p w14:paraId="61FDAAD7" w14:textId="7D168AD0" w:rsidR="003149EA" w:rsidRDefault="003149EA" w:rsidP="003149EA">
      <w:pPr>
        <w:suppressAutoHyphens/>
        <w:overflowPunct w:val="0"/>
        <w:autoSpaceDE w:val="0"/>
        <w:autoSpaceDN w:val="0"/>
        <w:adjustRightInd w:val="0"/>
        <w:contextualSpacing/>
        <w:textAlignment w:val="baseline"/>
        <w:rPr>
          <w:rFonts w:cs="Arial"/>
          <w:bCs/>
          <w:iCs/>
          <w:color w:val="000000" w:themeColor="text1"/>
          <w:lang w:eastAsia="cs-CZ"/>
        </w:rPr>
      </w:pPr>
      <w:r w:rsidRPr="008D54C9">
        <w:rPr>
          <w:rFonts w:cs="Arial"/>
          <w:bCs/>
          <w:iCs/>
          <w:color w:val="000000" w:themeColor="text1"/>
          <w:lang w:eastAsia="cs-CZ"/>
        </w:rPr>
        <w:t>Významné finanční prostředky cca ve výši 48,46 mil. Kč byly také vynaloženy na intenzivní přípravu dalších investičních akcí komplexního rozvoje celé sítě dopravně významných vodních cest. Hlavními záměry jsou „Plavební stupeň Děčín“ a „Stupeň Přelouč II“, kde probíhala přípravná fáze hodnocení EIA. Dále bylo v přípravě dalších investičních akcí získáno stavební povolení záměru „Čekací stání pro malá plavidla na Vltavě“ v lokalitě Praha – Podbaba, společné povolení záměru „Sjezdy do vody na Vltavě“ v lokalitě Staré Ouholice, komunikace v rámci záměru „Plavební okruh Veselí nad Moravou - Vnorovy“ a v neposlední řadě probíhala příprava opatření na dopravní infrastrukturu pro přepravu nadrozměrných těžkých komponent pro jadernou elektrárnu Temelín, kde bylo získáno územní rozhodnutí záměrů „Kamýk I, II, překladiště“, „Objezd hráze VD Kamýk“ a „Týn nad Vltavou, překladiště“.</w:t>
      </w:r>
    </w:p>
    <w:p w14:paraId="63FF1239" w14:textId="77777777" w:rsidR="009A4CAD" w:rsidRDefault="009A4CAD" w:rsidP="003149EA">
      <w:pPr>
        <w:suppressAutoHyphens/>
        <w:overflowPunct w:val="0"/>
        <w:autoSpaceDE w:val="0"/>
        <w:autoSpaceDN w:val="0"/>
        <w:adjustRightInd w:val="0"/>
        <w:contextualSpacing/>
        <w:textAlignment w:val="baseline"/>
        <w:rPr>
          <w:rFonts w:cs="Arial"/>
          <w:bCs/>
          <w:iCs/>
          <w:color w:val="000000" w:themeColor="text1"/>
          <w:lang w:eastAsia="cs-CZ"/>
        </w:rPr>
      </w:pPr>
    </w:p>
    <w:p w14:paraId="78EAD814" w14:textId="5B8F111F" w:rsidR="00E2179D" w:rsidRPr="00BC7E7F" w:rsidRDefault="00E2179D" w:rsidP="007C4955">
      <w:pPr>
        <w:contextualSpacing/>
        <w:rPr>
          <w:b/>
          <w:i/>
          <w:color w:val="000000" w:themeColor="text1"/>
        </w:rPr>
      </w:pPr>
      <w:r w:rsidRPr="00BC7E7F">
        <w:rPr>
          <w:b/>
          <w:i/>
          <w:color w:val="000000" w:themeColor="text1"/>
        </w:rPr>
        <w:t xml:space="preserve">Graf </w:t>
      </w:r>
      <w:r w:rsidR="00E1445C" w:rsidRPr="00BC7E7F">
        <w:rPr>
          <w:b/>
          <w:i/>
          <w:color w:val="000000" w:themeColor="text1"/>
        </w:rPr>
        <w:t>11.</w:t>
      </w:r>
      <w:r w:rsidRPr="00BC7E7F">
        <w:rPr>
          <w:b/>
          <w:i/>
          <w:color w:val="000000" w:themeColor="text1"/>
        </w:rPr>
        <w:t>1.3.1</w:t>
      </w:r>
    </w:p>
    <w:p w14:paraId="6470742B" w14:textId="242E6F3D" w:rsidR="00E2179D" w:rsidRPr="00BC7E7F" w:rsidRDefault="00E2179D" w:rsidP="007C4955">
      <w:pPr>
        <w:contextualSpacing/>
        <w:rPr>
          <w:b/>
          <w:i/>
          <w:color w:val="000000" w:themeColor="text1"/>
        </w:rPr>
      </w:pPr>
      <w:r w:rsidRPr="00BC7E7F">
        <w:rPr>
          <w:b/>
          <w:i/>
          <w:color w:val="000000" w:themeColor="text1"/>
        </w:rPr>
        <w:t>Ředitelství vodních cest – čerpání finančních prostředků v roce 20</w:t>
      </w:r>
      <w:r w:rsidR="00E278CA" w:rsidRPr="00BC7E7F">
        <w:rPr>
          <w:b/>
          <w:i/>
          <w:color w:val="000000" w:themeColor="text1"/>
        </w:rPr>
        <w:t>2</w:t>
      </w:r>
      <w:r w:rsidR="001726E2" w:rsidRPr="00BC7E7F">
        <w:rPr>
          <w:b/>
          <w:i/>
          <w:color w:val="000000" w:themeColor="text1"/>
        </w:rPr>
        <w:t>5</w:t>
      </w:r>
    </w:p>
    <w:p w14:paraId="49258E08" w14:textId="35BB158A" w:rsidR="00E2179D" w:rsidRPr="00BC7E7F" w:rsidRDefault="004D1331" w:rsidP="007C4955">
      <w:pPr>
        <w:contextualSpacing/>
        <w:rPr>
          <w:b/>
          <w:i/>
          <w:color w:val="000000" w:themeColor="text1"/>
        </w:rPr>
      </w:pPr>
      <w:r w:rsidRPr="00BC7E7F">
        <w:rPr>
          <w:noProof/>
        </w:rPr>
        <w:drawing>
          <wp:inline distT="0" distB="0" distL="0" distR="0" wp14:anchorId="65361C15" wp14:editId="779C3D59">
            <wp:extent cx="4076700" cy="2108200"/>
            <wp:effectExtent l="0" t="0" r="0" b="6350"/>
            <wp:docPr id="524775034" name="Graf 1">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1EC5F1EA" w14:textId="719FED41" w:rsidR="00E2179D" w:rsidRPr="00BC7E7F" w:rsidRDefault="00E2179D" w:rsidP="006130D6">
      <w:pPr>
        <w:contextualSpacing/>
        <w:rPr>
          <w:i/>
          <w:color w:val="000000" w:themeColor="text1"/>
          <w:sz w:val="20"/>
          <w:szCs w:val="20"/>
        </w:rPr>
      </w:pPr>
      <w:r w:rsidRPr="00BC7E7F">
        <w:rPr>
          <w:i/>
          <w:color w:val="000000" w:themeColor="text1"/>
          <w:sz w:val="20"/>
          <w:szCs w:val="20"/>
        </w:rPr>
        <w:t>Pramen: Ministerstvo dopravy</w:t>
      </w:r>
    </w:p>
    <w:p w14:paraId="41AA8FE8" w14:textId="77777777" w:rsidR="00281BFA" w:rsidRPr="00104F7D" w:rsidRDefault="00281BFA" w:rsidP="007C4955">
      <w:pPr>
        <w:contextualSpacing/>
        <w:rPr>
          <w:b/>
          <w:color w:val="000000" w:themeColor="text1"/>
          <w:highlight w:val="yellow"/>
        </w:rPr>
      </w:pPr>
    </w:p>
    <w:p w14:paraId="2ADE6BA3" w14:textId="5D1B9F36" w:rsidR="00D77CDF" w:rsidRPr="0063064F" w:rsidRDefault="000719CA" w:rsidP="007C4955">
      <w:pPr>
        <w:contextualSpacing/>
        <w:rPr>
          <w:b/>
          <w:color w:val="000000" w:themeColor="text1"/>
        </w:rPr>
      </w:pPr>
      <w:r w:rsidRPr="0063064F">
        <w:rPr>
          <w:b/>
          <w:color w:val="000000" w:themeColor="text1"/>
        </w:rPr>
        <w:t>Státní podniky Povodí v</w:t>
      </w:r>
      <w:r w:rsidR="00630AE8" w:rsidRPr="0063064F">
        <w:rPr>
          <w:b/>
          <w:color w:val="000000" w:themeColor="text1"/>
        </w:rPr>
        <w:t xml:space="preserve"> roce </w:t>
      </w:r>
      <w:r w:rsidR="00C01A01" w:rsidRPr="0063064F">
        <w:rPr>
          <w:b/>
          <w:color w:val="000000" w:themeColor="text1"/>
        </w:rPr>
        <w:t>202</w:t>
      </w:r>
      <w:r w:rsidR="00BC7E7F" w:rsidRPr="0063064F">
        <w:rPr>
          <w:b/>
          <w:color w:val="000000" w:themeColor="text1"/>
        </w:rPr>
        <w:t>5</w:t>
      </w:r>
      <w:r w:rsidR="00C01A01" w:rsidRPr="0063064F">
        <w:rPr>
          <w:b/>
          <w:color w:val="000000" w:themeColor="text1"/>
        </w:rPr>
        <w:t xml:space="preserve"> </w:t>
      </w:r>
      <w:r w:rsidR="00630AE8" w:rsidRPr="0063064F">
        <w:rPr>
          <w:b/>
          <w:color w:val="000000" w:themeColor="text1"/>
        </w:rPr>
        <w:t>vynaložily na</w:t>
      </w:r>
      <w:r w:rsidRPr="0063064F">
        <w:rPr>
          <w:b/>
          <w:color w:val="000000" w:themeColor="text1"/>
        </w:rPr>
        <w:t xml:space="preserve"> provoz a údržbu vodních cest finanční prostředky ve výši </w:t>
      </w:r>
      <w:r w:rsidR="007A6CDE" w:rsidRPr="0063064F">
        <w:rPr>
          <w:b/>
          <w:color w:val="000000" w:themeColor="text1"/>
        </w:rPr>
        <w:t>42</w:t>
      </w:r>
      <w:r w:rsidR="000C44E7">
        <w:rPr>
          <w:b/>
          <w:color w:val="000000" w:themeColor="text1"/>
        </w:rPr>
        <w:t>7</w:t>
      </w:r>
      <w:r w:rsidR="00C01A01" w:rsidRPr="0063064F">
        <w:rPr>
          <w:b/>
          <w:color w:val="000000" w:themeColor="text1"/>
        </w:rPr>
        <w:t xml:space="preserve"> </w:t>
      </w:r>
      <w:r w:rsidRPr="0063064F">
        <w:rPr>
          <w:b/>
          <w:color w:val="000000" w:themeColor="text1"/>
        </w:rPr>
        <w:t xml:space="preserve">mil. Kč, </w:t>
      </w:r>
      <w:r w:rsidR="00C01A01" w:rsidRPr="0063064F">
        <w:rPr>
          <w:b/>
          <w:color w:val="000000" w:themeColor="text1"/>
        </w:rPr>
        <w:t xml:space="preserve">z toho více než </w:t>
      </w:r>
      <w:r w:rsidR="0063064F" w:rsidRPr="0063064F">
        <w:rPr>
          <w:b/>
          <w:color w:val="000000" w:themeColor="text1"/>
        </w:rPr>
        <w:t>142</w:t>
      </w:r>
      <w:r w:rsidR="00630AE8" w:rsidRPr="0063064F">
        <w:rPr>
          <w:b/>
          <w:color w:val="000000" w:themeColor="text1"/>
        </w:rPr>
        <w:t xml:space="preserve"> </w:t>
      </w:r>
      <w:r w:rsidRPr="0063064F">
        <w:rPr>
          <w:b/>
          <w:color w:val="000000" w:themeColor="text1"/>
        </w:rPr>
        <w:t>mil. Kč financovaly z vlastních zdrojů</w:t>
      </w:r>
      <w:r w:rsidR="00630AE8" w:rsidRPr="0063064F">
        <w:rPr>
          <w:b/>
          <w:color w:val="000000" w:themeColor="text1"/>
        </w:rPr>
        <w:t xml:space="preserve"> a</w:t>
      </w:r>
      <w:r w:rsidR="00086FB9" w:rsidRPr="0063064F">
        <w:rPr>
          <w:b/>
          <w:color w:val="000000" w:themeColor="text1"/>
        </w:rPr>
        <w:t> </w:t>
      </w:r>
      <w:r w:rsidR="00EA0BC0" w:rsidRPr="0063064F">
        <w:rPr>
          <w:b/>
          <w:color w:val="000000" w:themeColor="text1"/>
        </w:rPr>
        <w:t xml:space="preserve">více než </w:t>
      </w:r>
      <w:r w:rsidR="0063064F" w:rsidRPr="0063064F">
        <w:rPr>
          <w:b/>
          <w:color w:val="000000" w:themeColor="text1"/>
        </w:rPr>
        <w:t>285</w:t>
      </w:r>
      <w:r w:rsidR="00C01A01" w:rsidRPr="0063064F">
        <w:rPr>
          <w:b/>
          <w:color w:val="000000" w:themeColor="text1"/>
        </w:rPr>
        <w:t> </w:t>
      </w:r>
      <w:r w:rsidRPr="0063064F">
        <w:rPr>
          <w:b/>
          <w:color w:val="000000" w:themeColor="text1"/>
        </w:rPr>
        <w:t>mil</w:t>
      </w:r>
      <w:r w:rsidR="00630AE8" w:rsidRPr="0063064F">
        <w:rPr>
          <w:b/>
          <w:color w:val="000000" w:themeColor="text1"/>
        </w:rPr>
        <w:t>. </w:t>
      </w:r>
      <w:r w:rsidRPr="0063064F">
        <w:rPr>
          <w:b/>
          <w:color w:val="000000" w:themeColor="text1"/>
        </w:rPr>
        <w:t xml:space="preserve">Kč z dotací. </w:t>
      </w:r>
      <w:r w:rsidR="00C01A01" w:rsidRPr="0063064F">
        <w:rPr>
          <w:b/>
          <w:color w:val="000000" w:themeColor="text1"/>
        </w:rPr>
        <w:t>D</w:t>
      </w:r>
      <w:r w:rsidRPr="0063064F">
        <w:rPr>
          <w:b/>
          <w:color w:val="000000" w:themeColor="text1"/>
        </w:rPr>
        <w:t xml:space="preserve">otace </w:t>
      </w:r>
      <w:r w:rsidR="00C01A01" w:rsidRPr="0063064F">
        <w:rPr>
          <w:b/>
          <w:color w:val="000000" w:themeColor="text1"/>
        </w:rPr>
        <w:t xml:space="preserve">čerpaly státní podniky Povodí </w:t>
      </w:r>
      <w:r w:rsidRPr="0063064F">
        <w:rPr>
          <w:b/>
          <w:color w:val="000000" w:themeColor="text1"/>
        </w:rPr>
        <w:t>ze Státního fondu dopravní infrastruktury.</w:t>
      </w:r>
      <w:r w:rsidR="00D77CDF" w:rsidRPr="0063064F">
        <w:rPr>
          <w:b/>
          <w:color w:val="000000" w:themeColor="text1"/>
        </w:rPr>
        <w:t xml:space="preserve"> </w:t>
      </w:r>
    </w:p>
    <w:p w14:paraId="31D40696" w14:textId="77777777" w:rsidR="00D77CDF" w:rsidRPr="00104F7D" w:rsidRDefault="00D77CDF" w:rsidP="007C4955">
      <w:pPr>
        <w:contextualSpacing/>
        <w:rPr>
          <w:b/>
          <w:color w:val="FF0000"/>
          <w:highlight w:val="yellow"/>
        </w:rPr>
      </w:pPr>
    </w:p>
    <w:p w14:paraId="2E0D6F13" w14:textId="34C33791" w:rsidR="00813570" w:rsidRPr="00104F7D" w:rsidRDefault="00E004E5" w:rsidP="007C4955">
      <w:pPr>
        <w:contextualSpacing/>
        <w:rPr>
          <w:color w:val="000000" w:themeColor="text1"/>
          <w:highlight w:val="yellow"/>
        </w:rPr>
      </w:pPr>
      <w:r w:rsidRPr="005A6CFC">
        <w:rPr>
          <w:color w:val="000000" w:themeColor="text1"/>
        </w:rPr>
        <w:t xml:space="preserve">V rámci své činnosti čerpaly </w:t>
      </w:r>
      <w:r w:rsidR="00691EE9">
        <w:rPr>
          <w:color w:val="000000" w:themeColor="text1"/>
        </w:rPr>
        <w:t xml:space="preserve">státní podniky </w:t>
      </w:r>
      <w:r w:rsidRPr="005A6CFC">
        <w:rPr>
          <w:color w:val="000000" w:themeColor="text1"/>
        </w:rPr>
        <w:t xml:space="preserve">Povodí Vltavy, </w:t>
      </w:r>
      <w:r w:rsidR="0029347D" w:rsidRPr="005A6CFC">
        <w:rPr>
          <w:color w:val="000000" w:themeColor="text1"/>
        </w:rPr>
        <w:t xml:space="preserve">Povodí </w:t>
      </w:r>
      <w:r w:rsidRPr="005A6CFC">
        <w:rPr>
          <w:color w:val="000000" w:themeColor="text1"/>
        </w:rPr>
        <w:t xml:space="preserve">Labe a </w:t>
      </w:r>
      <w:r w:rsidR="0029347D" w:rsidRPr="005A6CFC">
        <w:rPr>
          <w:color w:val="000000" w:themeColor="text1"/>
        </w:rPr>
        <w:t xml:space="preserve">Povodí </w:t>
      </w:r>
      <w:r w:rsidRPr="005A6CFC">
        <w:rPr>
          <w:color w:val="000000" w:themeColor="text1"/>
        </w:rPr>
        <w:t xml:space="preserve">Moravy finanční prostředky na rekonstrukci, provoz a údržbu vodních cest ve své kompetenci. Dotace čerpaly ze SFDI </w:t>
      </w:r>
      <w:r w:rsidR="004B1B6F" w:rsidRPr="005A6CFC">
        <w:rPr>
          <w:color w:val="000000" w:themeColor="text1"/>
        </w:rPr>
        <w:t xml:space="preserve">v celkové výši </w:t>
      </w:r>
      <w:r w:rsidR="0063064F" w:rsidRPr="005A6CFC">
        <w:rPr>
          <w:color w:val="000000" w:themeColor="text1"/>
        </w:rPr>
        <w:t>285</w:t>
      </w:r>
      <w:r w:rsidR="004B1B6F" w:rsidRPr="005A6CFC">
        <w:rPr>
          <w:color w:val="000000" w:themeColor="text1"/>
        </w:rPr>
        <w:t xml:space="preserve"> mil. Kč, z toho </w:t>
      </w:r>
      <w:r w:rsidRPr="005A6CFC">
        <w:rPr>
          <w:color w:val="000000" w:themeColor="text1"/>
        </w:rPr>
        <w:t>in</w:t>
      </w:r>
      <w:r w:rsidR="00D77CDF" w:rsidRPr="005A6CFC">
        <w:rPr>
          <w:color w:val="000000" w:themeColor="text1"/>
        </w:rPr>
        <w:t>vestiční</w:t>
      </w:r>
      <w:r w:rsidR="004B1B6F" w:rsidRPr="005A6CFC">
        <w:rPr>
          <w:color w:val="000000" w:themeColor="text1"/>
        </w:rPr>
        <w:t xml:space="preserve"> dotace ve výši </w:t>
      </w:r>
      <w:r w:rsidR="005A6CFC" w:rsidRPr="005A6CFC">
        <w:rPr>
          <w:color w:val="000000" w:themeColor="text1"/>
        </w:rPr>
        <w:t>116</w:t>
      </w:r>
      <w:r w:rsidR="004B1B6F" w:rsidRPr="005A6CFC">
        <w:rPr>
          <w:color w:val="000000" w:themeColor="text1"/>
        </w:rPr>
        <w:t xml:space="preserve"> mil. Kč a</w:t>
      </w:r>
      <w:r w:rsidR="00D77CDF" w:rsidRPr="005A6CFC">
        <w:rPr>
          <w:color w:val="000000" w:themeColor="text1"/>
        </w:rPr>
        <w:t xml:space="preserve"> účelové neinvestiční</w:t>
      </w:r>
      <w:r w:rsidR="004B1B6F" w:rsidRPr="005A6CFC">
        <w:rPr>
          <w:color w:val="000000" w:themeColor="text1"/>
        </w:rPr>
        <w:t xml:space="preserve"> ve výši </w:t>
      </w:r>
      <w:r w:rsidR="005A6CFC" w:rsidRPr="005A6CFC">
        <w:rPr>
          <w:color w:val="000000" w:themeColor="text1"/>
        </w:rPr>
        <w:t>169</w:t>
      </w:r>
      <w:r w:rsidR="004002FB" w:rsidRPr="005A6CFC">
        <w:rPr>
          <w:color w:val="000000" w:themeColor="text1"/>
        </w:rPr>
        <w:t xml:space="preserve"> </w:t>
      </w:r>
      <w:r w:rsidRPr="005A6CFC">
        <w:rPr>
          <w:color w:val="000000" w:themeColor="text1"/>
        </w:rPr>
        <w:t>mil. Kč.</w:t>
      </w:r>
    </w:p>
    <w:p w14:paraId="36C04286" w14:textId="77777777" w:rsidR="000D11B5" w:rsidRPr="00104F7D" w:rsidRDefault="000D11B5" w:rsidP="007C4955">
      <w:pPr>
        <w:contextualSpacing/>
        <w:rPr>
          <w:b/>
          <w:i/>
          <w:color w:val="000000" w:themeColor="text1"/>
          <w:highlight w:val="yellow"/>
        </w:rPr>
      </w:pPr>
    </w:p>
    <w:p w14:paraId="296354B7" w14:textId="55A1DC9E" w:rsidR="00DD39B5" w:rsidRPr="00644EE3" w:rsidRDefault="00DD39B5" w:rsidP="007C4955">
      <w:pPr>
        <w:contextualSpacing/>
        <w:rPr>
          <w:b/>
          <w:i/>
          <w:color w:val="000000" w:themeColor="text1"/>
        </w:rPr>
      </w:pPr>
      <w:r w:rsidRPr="00644EE3">
        <w:rPr>
          <w:b/>
          <w:i/>
          <w:color w:val="000000" w:themeColor="text1"/>
        </w:rPr>
        <w:t>G</w:t>
      </w:r>
      <w:r w:rsidR="00E2179D" w:rsidRPr="00644EE3">
        <w:rPr>
          <w:b/>
          <w:i/>
          <w:color w:val="000000" w:themeColor="text1"/>
        </w:rPr>
        <w:t xml:space="preserve">raf </w:t>
      </w:r>
      <w:r w:rsidR="006130D6" w:rsidRPr="00644EE3">
        <w:rPr>
          <w:b/>
          <w:i/>
          <w:color w:val="000000" w:themeColor="text1"/>
        </w:rPr>
        <w:t>11</w:t>
      </w:r>
      <w:r w:rsidR="00E2179D" w:rsidRPr="00644EE3">
        <w:rPr>
          <w:b/>
          <w:i/>
          <w:color w:val="000000" w:themeColor="text1"/>
        </w:rPr>
        <w:t>.1.3</w:t>
      </w:r>
      <w:r w:rsidR="00C92AF4" w:rsidRPr="00644EE3">
        <w:rPr>
          <w:b/>
          <w:i/>
          <w:color w:val="000000" w:themeColor="text1"/>
        </w:rPr>
        <w:t>.</w:t>
      </w:r>
      <w:r w:rsidR="00E2179D" w:rsidRPr="00644EE3">
        <w:rPr>
          <w:b/>
          <w:i/>
          <w:color w:val="000000" w:themeColor="text1"/>
        </w:rPr>
        <w:t>2</w:t>
      </w:r>
      <w:r w:rsidR="00763128" w:rsidRPr="00644EE3">
        <w:rPr>
          <w:b/>
          <w:i/>
          <w:color w:val="000000" w:themeColor="text1"/>
        </w:rPr>
        <w:t xml:space="preserve"> </w:t>
      </w:r>
    </w:p>
    <w:p w14:paraId="62B5AB26" w14:textId="019DE779" w:rsidR="00DD39B5" w:rsidRPr="00644EE3" w:rsidRDefault="00DD39B5" w:rsidP="007C4955">
      <w:pPr>
        <w:contextualSpacing/>
        <w:rPr>
          <w:b/>
          <w:i/>
          <w:color w:val="000000" w:themeColor="text1"/>
        </w:rPr>
      </w:pPr>
      <w:r w:rsidRPr="00644EE3">
        <w:rPr>
          <w:b/>
          <w:i/>
          <w:color w:val="000000" w:themeColor="text1"/>
        </w:rPr>
        <w:t xml:space="preserve">Čerpání finančních prostředků Státního fondu dopravní infrastruktury v roce </w:t>
      </w:r>
      <w:r w:rsidR="000C60F0" w:rsidRPr="00644EE3">
        <w:rPr>
          <w:b/>
          <w:i/>
          <w:color w:val="000000" w:themeColor="text1"/>
        </w:rPr>
        <w:t>20</w:t>
      </w:r>
      <w:r w:rsidR="003A5259" w:rsidRPr="00644EE3">
        <w:rPr>
          <w:b/>
          <w:i/>
          <w:color w:val="000000" w:themeColor="text1"/>
        </w:rPr>
        <w:t>2</w:t>
      </w:r>
      <w:r w:rsidR="00644EE3">
        <w:rPr>
          <w:b/>
          <w:i/>
          <w:color w:val="000000" w:themeColor="text1"/>
        </w:rPr>
        <w:t>5</w:t>
      </w:r>
    </w:p>
    <w:p w14:paraId="2C5711F6" w14:textId="5CE4D2E1" w:rsidR="00644EE3" w:rsidRDefault="00644EE3" w:rsidP="007C4955">
      <w:pPr>
        <w:contextualSpacing/>
        <w:rPr>
          <w:b/>
          <w:i/>
          <w:color w:val="000000" w:themeColor="text1"/>
          <w:highlight w:val="yellow"/>
        </w:rPr>
      </w:pPr>
      <w:r>
        <w:rPr>
          <w:noProof/>
        </w:rPr>
        <w:drawing>
          <wp:inline distT="0" distB="0" distL="0" distR="0" wp14:anchorId="517AEBEA" wp14:editId="6D93E6D9">
            <wp:extent cx="3810000" cy="1666875"/>
            <wp:effectExtent l="0" t="0" r="0" b="9525"/>
            <wp:docPr id="1697060745" name="Graf 1">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67B0DEBD" w14:textId="77777777" w:rsidR="00DD39B5" w:rsidRPr="00E230AE" w:rsidRDefault="0044074F" w:rsidP="007C4955">
      <w:pPr>
        <w:contextualSpacing/>
        <w:rPr>
          <w:i/>
          <w:color w:val="000000" w:themeColor="text1"/>
          <w:sz w:val="20"/>
          <w:szCs w:val="20"/>
        </w:rPr>
      </w:pPr>
      <w:r w:rsidRPr="00E230AE">
        <w:rPr>
          <w:i/>
          <w:color w:val="000000" w:themeColor="text1"/>
          <w:sz w:val="20"/>
          <w:szCs w:val="20"/>
        </w:rPr>
        <w:t xml:space="preserve">Pramen: </w:t>
      </w:r>
      <w:r w:rsidR="0032254E" w:rsidRPr="00E230AE">
        <w:rPr>
          <w:i/>
          <w:color w:val="000000" w:themeColor="text1"/>
          <w:sz w:val="20"/>
          <w:szCs w:val="20"/>
        </w:rPr>
        <w:t xml:space="preserve">MZe z podkladů </w:t>
      </w:r>
      <w:r w:rsidRPr="00E230AE">
        <w:rPr>
          <w:i/>
          <w:color w:val="000000" w:themeColor="text1"/>
          <w:sz w:val="20"/>
          <w:szCs w:val="20"/>
        </w:rPr>
        <w:t>Ministerstv</w:t>
      </w:r>
      <w:r w:rsidR="0032254E" w:rsidRPr="00E230AE">
        <w:rPr>
          <w:i/>
          <w:color w:val="000000" w:themeColor="text1"/>
          <w:sz w:val="20"/>
          <w:szCs w:val="20"/>
        </w:rPr>
        <w:t>a</w:t>
      </w:r>
      <w:r w:rsidRPr="00E230AE">
        <w:rPr>
          <w:i/>
          <w:color w:val="000000" w:themeColor="text1"/>
          <w:sz w:val="20"/>
          <w:szCs w:val="20"/>
        </w:rPr>
        <w:t xml:space="preserve"> dopravy</w:t>
      </w:r>
      <w:r w:rsidR="0032254E" w:rsidRPr="00E230AE">
        <w:rPr>
          <w:i/>
          <w:color w:val="000000" w:themeColor="text1"/>
          <w:sz w:val="20"/>
          <w:szCs w:val="20"/>
        </w:rPr>
        <w:t xml:space="preserve"> a s. p. Povodí</w:t>
      </w:r>
    </w:p>
    <w:p w14:paraId="1AA8F17A" w14:textId="77777777" w:rsidR="00A64EE8" w:rsidRPr="00104F7D" w:rsidRDefault="00A64EE8" w:rsidP="007C4955">
      <w:pPr>
        <w:pStyle w:val="MDSR"/>
        <w:spacing w:before="0"/>
        <w:ind w:firstLine="0"/>
        <w:contextualSpacing/>
        <w:rPr>
          <w:rFonts w:ascii="Arial" w:hAnsi="Arial" w:cs="Arial"/>
          <w:b/>
          <w:i/>
          <w:color w:val="FF0000"/>
          <w:sz w:val="22"/>
          <w:szCs w:val="22"/>
          <w:highlight w:val="yellow"/>
        </w:rPr>
      </w:pPr>
    </w:p>
    <w:p w14:paraId="71C649B9" w14:textId="77777777" w:rsidR="008F0B14" w:rsidRDefault="008F0B14" w:rsidP="007C4955">
      <w:pPr>
        <w:pStyle w:val="MDSR"/>
        <w:spacing w:before="0"/>
        <w:ind w:firstLine="0"/>
        <w:contextualSpacing/>
        <w:rPr>
          <w:rFonts w:ascii="Arial" w:hAnsi="Arial" w:cs="Arial"/>
          <w:b/>
          <w:i/>
          <w:color w:val="000000" w:themeColor="text1"/>
          <w:sz w:val="22"/>
          <w:szCs w:val="22"/>
        </w:rPr>
      </w:pPr>
    </w:p>
    <w:p w14:paraId="34EC28B7" w14:textId="77777777" w:rsidR="008F0B14" w:rsidRDefault="008F0B14" w:rsidP="007C4955">
      <w:pPr>
        <w:pStyle w:val="MDSR"/>
        <w:spacing w:before="0"/>
        <w:ind w:firstLine="0"/>
        <w:contextualSpacing/>
        <w:rPr>
          <w:rFonts w:ascii="Arial" w:hAnsi="Arial" w:cs="Arial"/>
          <w:b/>
          <w:i/>
          <w:color w:val="000000" w:themeColor="text1"/>
          <w:sz w:val="22"/>
          <w:szCs w:val="22"/>
        </w:rPr>
      </w:pPr>
    </w:p>
    <w:p w14:paraId="321A9113" w14:textId="77777777" w:rsidR="008F0B14" w:rsidRDefault="008F0B14" w:rsidP="007C4955">
      <w:pPr>
        <w:pStyle w:val="MDSR"/>
        <w:spacing w:before="0"/>
        <w:ind w:firstLine="0"/>
        <w:contextualSpacing/>
        <w:rPr>
          <w:rFonts w:ascii="Arial" w:hAnsi="Arial" w:cs="Arial"/>
          <w:b/>
          <w:i/>
          <w:color w:val="000000" w:themeColor="text1"/>
          <w:sz w:val="22"/>
          <w:szCs w:val="22"/>
        </w:rPr>
      </w:pPr>
    </w:p>
    <w:p w14:paraId="654643CF" w14:textId="77777777" w:rsidR="008F0B14" w:rsidRDefault="008F0B14" w:rsidP="007C4955">
      <w:pPr>
        <w:pStyle w:val="MDSR"/>
        <w:spacing w:before="0"/>
        <w:ind w:firstLine="0"/>
        <w:contextualSpacing/>
        <w:rPr>
          <w:rFonts w:ascii="Arial" w:hAnsi="Arial" w:cs="Arial"/>
          <w:b/>
          <w:i/>
          <w:color w:val="000000" w:themeColor="text1"/>
          <w:sz w:val="22"/>
          <w:szCs w:val="22"/>
        </w:rPr>
      </w:pPr>
    </w:p>
    <w:p w14:paraId="5FC7F7A3" w14:textId="77777777" w:rsidR="008F0B14" w:rsidRDefault="008F0B14" w:rsidP="007C4955">
      <w:pPr>
        <w:pStyle w:val="MDSR"/>
        <w:spacing w:before="0"/>
        <w:ind w:firstLine="0"/>
        <w:contextualSpacing/>
        <w:rPr>
          <w:rFonts w:ascii="Arial" w:hAnsi="Arial" w:cs="Arial"/>
          <w:b/>
          <w:i/>
          <w:color w:val="000000" w:themeColor="text1"/>
          <w:sz w:val="22"/>
          <w:szCs w:val="22"/>
        </w:rPr>
      </w:pPr>
    </w:p>
    <w:p w14:paraId="20656EE7" w14:textId="77777777" w:rsidR="008F0B14" w:rsidRDefault="008F0B14" w:rsidP="007C4955">
      <w:pPr>
        <w:pStyle w:val="MDSR"/>
        <w:spacing w:before="0"/>
        <w:ind w:firstLine="0"/>
        <w:contextualSpacing/>
        <w:rPr>
          <w:rFonts w:ascii="Arial" w:hAnsi="Arial" w:cs="Arial"/>
          <w:b/>
          <w:i/>
          <w:color w:val="000000" w:themeColor="text1"/>
          <w:sz w:val="22"/>
          <w:szCs w:val="22"/>
        </w:rPr>
      </w:pPr>
    </w:p>
    <w:p w14:paraId="69F72824" w14:textId="77777777" w:rsidR="008F0B14" w:rsidRDefault="008F0B14" w:rsidP="007C4955">
      <w:pPr>
        <w:pStyle w:val="MDSR"/>
        <w:spacing w:before="0"/>
        <w:ind w:firstLine="0"/>
        <w:contextualSpacing/>
        <w:rPr>
          <w:rFonts w:ascii="Arial" w:hAnsi="Arial" w:cs="Arial"/>
          <w:b/>
          <w:i/>
          <w:color w:val="000000" w:themeColor="text1"/>
          <w:sz w:val="22"/>
          <w:szCs w:val="22"/>
        </w:rPr>
      </w:pPr>
    </w:p>
    <w:p w14:paraId="2A4D2F07" w14:textId="77777777" w:rsidR="008F0B14" w:rsidRDefault="008F0B14" w:rsidP="007C4955">
      <w:pPr>
        <w:pStyle w:val="MDSR"/>
        <w:spacing w:before="0"/>
        <w:ind w:firstLine="0"/>
        <w:contextualSpacing/>
        <w:rPr>
          <w:rFonts w:ascii="Arial" w:hAnsi="Arial" w:cs="Arial"/>
          <w:b/>
          <w:i/>
          <w:color w:val="000000" w:themeColor="text1"/>
          <w:sz w:val="22"/>
          <w:szCs w:val="22"/>
        </w:rPr>
      </w:pPr>
    </w:p>
    <w:p w14:paraId="3EBC22C3" w14:textId="77777777" w:rsidR="008F0B14" w:rsidRDefault="008F0B14" w:rsidP="007C4955">
      <w:pPr>
        <w:pStyle w:val="MDSR"/>
        <w:spacing w:before="0"/>
        <w:ind w:firstLine="0"/>
        <w:contextualSpacing/>
        <w:rPr>
          <w:rFonts w:ascii="Arial" w:hAnsi="Arial" w:cs="Arial"/>
          <w:b/>
          <w:i/>
          <w:color w:val="000000" w:themeColor="text1"/>
          <w:sz w:val="22"/>
          <w:szCs w:val="22"/>
        </w:rPr>
      </w:pPr>
    </w:p>
    <w:p w14:paraId="390A6003" w14:textId="6E11DF9B" w:rsidR="00011DBB" w:rsidRPr="004D23BA" w:rsidRDefault="00011DBB" w:rsidP="007C4955">
      <w:pPr>
        <w:pStyle w:val="MDSR"/>
        <w:spacing w:before="0"/>
        <w:ind w:firstLine="0"/>
        <w:contextualSpacing/>
        <w:rPr>
          <w:rFonts w:ascii="Arial" w:hAnsi="Arial" w:cs="Arial"/>
          <w:b/>
          <w:i/>
          <w:color w:val="000000" w:themeColor="text1"/>
          <w:sz w:val="22"/>
          <w:szCs w:val="22"/>
        </w:rPr>
      </w:pPr>
      <w:r w:rsidRPr="004D23BA">
        <w:rPr>
          <w:rFonts w:ascii="Arial" w:hAnsi="Arial" w:cs="Arial"/>
          <w:b/>
          <w:i/>
          <w:color w:val="000000" w:themeColor="text1"/>
          <w:sz w:val="22"/>
          <w:szCs w:val="22"/>
        </w:rPr>
        <w:t xml:space="preserve">Graf </w:t>
      </w:r>
      <w:r w:rsidR="006130D6" w:rsidRPr="004D23BA">
        <w:rPr>
          <w:rFonts w:ascii="Arial" w:hAnsi="Arial" w:cs="Arial"/>
          <w:b/>
          <w:i/>
          <w:color w:val="000000" w:themeColor="text1"/>
          <w:sz w:val="22"/>
          <w:szCs w:val="22"/>
        </w:rPr>
        <w:t>11</w:t>
      </w:r>
      <w:r w:rsidRPr="004D23BA">
        <w:rPr>
          <w:rFonts w:ascii="Arial" w:hAnsi="Arial" w:cs="Arial"/>
          <w:b/>
          <w:i/>
          <w:color w:val="000000" w:themeColor="text1"/>
          <w:sz w:val="22"/>
          <w:szCs w:val="22"/>
        </w:rPr>
        <w:t>.1.3.</w:t>
      </w:r>
      <w:r w:rsidR="00AB1147" w:rsidRPr="004D23BA">
        <w:rPr>
          <w:rFonts w:ascii="Arial" w:hAnsi="Arial" w:cs="Arial"/>
          <w:b/>
          <w:i/>
          <w:color w:val="000000" w:themeColor="text1"/>
          <w:sz w:val="22"/>
          <w:szCs w:val="22"/>
        </w:rPr>
        <w:t>3</w:t>
      </w:r>
    </w:p>
    <w:p w14:paraId="00DE8F0D" w14:textId="3E8B75E1" w:rsidR="004D23BA" w:rsidRDefault="00011DBB" w:rsidP="007C4955">
      <w:pPr>
        <w:pStyle w:val="MDSR"/>
        <w:spacing w:before="0"/>
        <w:ind w:firstLine="0"/>
        <w:contextualSpacing/>
        <w:rPr>
          <w:noProof/>
        </w:rPr>
      </w:pPr>
      <w:r w:rsidRPr="004D23BA">
        <w:rPr>
          <w:rFonts w:ascii="Arial" w:hAnsi="Arial" w:cs="Arial"/>
          <w:b/>
          <w:i/>
          <w:color w:val="000000" w:themeColor="text1"/>
          <w:sz w:val="22"/>
          <w:szCs w:val="22"/>
        </w:rPr>
        <w:t xml:space="preserve">Finanční prostředky vynaložené na dopravně významné vodní cesty </w:t>
      </w:r>
      <w:r w:rsidR="004D23BA" w:rsidRPr="004D23BA">
        <w:rPr>
          <w:rFonts w:ascii="Arial" w:hAnsi="Arial" w:cs="Arial"/>
          <w:b/>
          <w:i/>
          <w:color w:val="000000" w:themeColor="text1"/>
          <w:sz w:val="22"/>
          <w:szCs w:val="22"/>
        </w:rPr>
        <w:t>prostřednictvím Ministerstva</w:t>
      </w:r>
      <w:r w:rsidR="0027684A" w:rsidRPr="004D23BA">
        <w:rPr>
          <w:rFonts w:ascii="Arial" w:hAnsi="Arial" w:cs="Arial"/>
          <w:b/>
          <w:i/>
          <w:color w:val="000000" w:themeColor="text1"/>
          <w:sz w:val="22"/>
          <w:szCs w:val="22"/>
        </w:rPr>
        <w:t xml:space="preserve"> dopravy </w:t>
      </w:r>
      <w:r w:rsidRPr="004D23BA">
        <w:rPr>
          <w:rFonts w:ascii="Arial" w:hAnsi="Arial" w:cs="Arial"/>
          <w:b/>
          <w:i/>
          <w:color w:val="000000" w:themeColor="text1"/>
          <w:sz w:val="22"/>
          <w:szCs w:val="22"/>
        </w:rPr>
        <w:t>v roce 20</w:t>
      </w:r>
      <w:r w:rsidR="003A5259" w:rsidRPr="004D23BA">
        <w:rPr>
          <w:rFonts w:ascii="Arial" w:hAnsi="Arial" w:cs="Arial"/>
          <w:b/>
          <w:i/>
          <w:color w:val="000000" w:themeColor="text1"/>
          <w:sz w:val="22"/>
          <w:szCs w:val="22"/>
        </w:rPr>
        <w:t>2</w:t>
      </w:r>
      <w:r w:rsidR="004D23BA">
        <w:rPr>
          <w:rFonts w:ascii="Arial" w:hAnsi="Arial" w:cs="Arial"/>
          <w:b/>
          <w:i/>
          <w:color w:val="000000" w:themeColor="text1"/>
          <w:sz w:val="22"/>
          <w:szCs w:val="22"/>
        </w:rPr>
        <w:t>5</w:t>
      </w:r>
      <w:r w:rsidR="004546B8" w:rsidRPr="004546B8">
        <w:rPr>
          <w:noProof/>
        </w:rPr>
        <w:t xml:space="preserve"> </w:t>
      </w:r>
    </w:p>
    <w:p w14:paraId="7A247A33" w14:textId="145B7C1A" w:rsidR="00011DBB" w:rsidRPr="00FF7FFB" w:rsidRDefault="004546B8" w:rsidP="007C4955">
      <w:pPr>
        <w:pStyle w:val="MDSR"/>
        <w:spacing w:before="0"/>
        <w:ind w:firstLine="0"/>
        <w:contextualSpacing/>
        <w:rPr>
          <w:rFonts w:ascii="Arial" w:hAnsi="Arial" w:cs="Arial"/>
          <w:b/>
          <w:i/>
          <w:color w:val="000000" w:themeColor="text1"/>
          <w:sz w:val="22"/>
          <w:szCs w:val="22"/>
          <w:highlight w:val="yellow"/>
        </w:rPr>
      </w:pPr>
      <w:r>
        <w:rPr>
          <w:noProof/>
        </w:rPr>
        <w:drawing>
          <wp:inline distT="0" distB="0" distL="0" distR="0" wp14:anchorId="3B606A14" wp14:editId="740F6208">
            <wp:extent cx="2844800" cy="2209800"/>
            <wp:effectExtent l="0" t="0" r="0" b="0"/>
            <wp:docPr id="1166929579" name="Graf 1">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6470EB7D" w14:textId="77777777" w:rsidR="00011DBB" w:rsidRPr="004D23BA" w:rsidRDefault="00011DBB" w:rsidP="007C4955">
      <w:pPr>
        <w:pStyle w:val="MDSR"/>
        <w:spacing w:before="0"/>
        <w:ind w:firstLine="0"/>
        <w:contextualSpacing/>
        <w:rPr>
          <w:rFonts w:ascii="Arial" w:hAnsi="Arial" w:cs="Arial"/>
          <w:i/>
          <w:color w:val="000000" w:themeColor="text1"/>
          <w:sz w:val="20"/>
        </w:rPr>
      </w:pPr>
      <w:r w:rsidRPr="004D23BA">
        <w:rPr>
          <w:rFonts w:ascii="Arial" w:hAnsi="Arial" w:cs="Arial"/>
          <w:i/>
          <w:noProof/>
          <w:color w:val="000000" w:themeColor="text1"/>
          <w:sz w:val="20"/>
        </w:rPr>
        <w:t>Pramen: MZe, ze zdrojů s. p. Povodí a Ministerstva dopravy</w:t>
      </w:r>
    </w:p>
    <w:p w14:paraId="04FEBD82" w14:textId="77777777" w:rsidR="002630B9" w:rsidRPr="00104F7D" w:rsidRDefault="002630B9" w:rsidP="007C4955">
      <w:pPr>
        <w:contextualSpacing/>
        <w:rPr>
          <w:rFonts w:cs="Arial"/>
          <w:b/>
          <w:i/>
          <w:highlight w:val="yellow"/>
        </w:rPr>
      </w:pPr>
      <w:bookmarkStart w:id="179" w:name="_Hlk168562329"/>
    </w:p>
    <w:p w14:paraId="6C7F23B3" w14:textId="36EEDF71" w:rsidR="00907C6F" w:rsidRPr="004D23BA" w:rsidRDefault="00907C6F" w:rsidP="007C4955">
      <w:pPr>
        <w:contextualSpacing/>
        <w:rPr>
          <w:rFonts w:cs="Arial"/>
          <w:b/>
          <w:i/>
        </w:rPr>
      </w:pPr>
      <w:r w:rsidRPr="004D23BA">
        <w:rPr>
          <w:rFonts w:cs="Arial"/>
          <w:b/>
          <w:i/>
        </w:rPr>
        <w:t xml:space="preserve">Tabulka </w:t>
      </w:r>
      <w:r w:rsidR="006130D6" w:rsidRPr="004D23BA">
        <w:rPr>
          <w:rFonts w:cs="Arial"/>
          <w:b/>
          <w:i/>
        </w:rPr>
        <w:t>11</w:t>
      </w:r>
      <w:r w:rsidRPr="004D23BA">
        <w:rPr>
          <w:rFonts w:cs="Arial"/>
          <w:b/>
          <w:i/>
        </w:rPr>
        <w:t xml:space="preserve">.1.3.1 </w:t>
      </w:r>
    </w:p>
    <w:p w14:paraId="64896EF4" w14:textId="6A20E9F1" w:rsidR="00907C6F" w:rsidRPr="004D23BA" w:rsidRDefault="00907C6F" w:rsidP="007C4955">
      <w:pPr>
        <w:contextualSpacing/>
        <w:rPr>
          <w:rFonts w:cs="Arial"/>
          <w:b/>
          <w:i/>
        </w:rPr>
      </w:pPr>
      <w:r w:rsidRPr="004D23BA">
        <w:rPr>
          <w:rFonts w:cs="Arial"/>
          <w:b/>
          <w:i/>
        </w:rPr>
        <w:t xml:space="preserve">Vodní cesty – vybrané akce státních podniků Povodí v roce </w:t>
      </w:r>
      <w:r w:rsidR="000C60F0" w:rsidRPr="004D23BA">
        <w:rPr>
          <w:rFonts w:cs="Arial"/>
          <w:b/>
          <w:i/>
        </w:rPr>
        <w:t>20</w:t>
      </w:r>
      <w:r w:rsidR="002713DD" w:rsidRPr="004D23BA">
        <w:rPr>
          <w:rFonts w:cs="Arial"/>
          <w:b/>
          <w:i/>
        </w:rPr>
        <w:t>2</w:t>
      </w:r>
      <w:r w:rsidR="004D23BA">
        <w:rPr>
          <w:rFonts w:cs="Arial"/>
          <w:b/>
          <w:i/>
        </w:rPr>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827"/>
        <w:gridCol w:w="1701"/>
        <w:gridCol w:w="2300"/>
      </w:tblGrid>
      <w:tr w:rsidR="00186037" w:rsidRPr="00104F7D" w14:paraId="591D82B1" w14:textId="77777777" w:rsidTr="00A55400">
        <w:trPr>
          <w:trHeight w:val="20"/>
        </w:trPr>
        <w:tc>
          <w:tcPr>
            <w:tcW w:w="127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07727A42" w14:textId="77777777" w:rsidR="00907C6F" w:rsidRPr="004D23BA" w:rsidRDefault="00907C6F" w:rsidP="007C4955">
            <w:pPr>
              <w:contextualSpacing/>
              <w:jc w:val="center"/>
              <w:rPr>
                <w:rFonts w:cs="Arial"/>
                <w:b/>
                <w:sz w:val="18"/>
                <w:szCs w:val="18"/>
              </w:rPr>
            </w:pPr>
            <w:r w:rsidRPr="004D23BA">
              <w:rPr>
                <w:rFonts w:cs="Arial"/>
                <w:b/>
                <w:sz w:val="18"/>
                <w:szCs w:val="18"/>
              </w:rPr>
              <w:t>Státní podnik Povodí</w:t>
            </w:r>
          </w:p>
        </w:tc>
        <w:tc>
          <w:tcPr>
            <w:tcW w:w="3827"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4DC8F3DE" w14:textId="77777777" w:rsidR="00907C6F" w:rsidRPr="004D23BA" w:rsidRDefault="00907C6F" w:rsidP="007C4955">
            <w:pPr>
              <w:contextualSpacing/>
              <w:jc w:val="center"/>
              <w:rPr>
                <w:rFonts w:cs="Arial"/>
                <w:b/>
                <w:sz w:val="18"/>
                <w:szCs w:val="18"/>
              </w:rPr>
            </w:pPr>
            <w:r w:rsidRPr="004D23BA">
              <w:rPr>
                <w:rFonts w:cs="Arial"/>
                <w:b/>
                <w:sz w:val="18"/>
                <w:szCs w:val="18"/>
              </w:rPr>
              <w:t>Název akce</w:t>
            </w:r>
          </w:p>
        </w:tc>
        <w:tc>
          <w:tcPr>
            <w:tcW w:w="1701"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14066D6" w14:textId="77777777" w:rsidR="00907C6F" w:rsidRPr="004D23BA" w:rsidRDefault="00907C6F" w:rsidP="007C4955">
            <w:pPr>
              <w:contextualSpacing/>
              <w:jc w:val="center"/>
              <w:rPr>
                <w:rFonts w:cs="Arial"/>
                <w:b/>
                <w:sz w:val="18"/>
                <w:szCs w:val="18"/>
              </w:rPr>
            </w:pPr>
            <w:r w:rsidRPr="004D23BA">
              <w:rPr>
                <w:rFonts w:cs="Arial"/>
                <w:b/>
                <w:sz w:val="18"/>
                <w:szCs w:val="18"/>
              </w:rPr>
              <w:t>Celkové náklady</w:t>
            </w:r>
          </w:p>
          <w:p w14:paraId="0EB5FBC2" w14:textId="77777777" w:rsidR="00907C6F" w:rsidRPr="004D23BA" w:rsidRDefault="00325F2D" w:rsidP="007C4955">
            <w:pPr>
              <w:contextualSpacing/>
              <w:jc w:val="center"/>
              <w:rPr>
                <w:rFonts w:cs="Arial"/>
                <w:b/>
                <w:sz w:val="18"/>
                <w:szCs w:val="18"/>
              </w:rPr>
            </w:pPr>
            <w:r w:rsidRPr="004D23BA">
              <w:rPr>
                <w:rFonts w:cs="Arial"/>
                <w:b/>
                <w:sz w:val="18"/>
                <w:szCs w:val="18"/>
              </w:rPr>
              <w:t>mil</w:t>
            </w:r>
            <w:r w:rsidR="00907C6F" w:rsidRPr="004D23BA">
              <w:rPr>
                <w:rFonts w:cs="Arial"/>
                <w:b/>
                <w:sz w:val="18"/>
                <w:szCs w:val="18"/>
              </w:rPr>
              <w:t>. Kč</w:t>
            </w:r>
          </w:p>
        </w:tc>
        <w:tc>
          <w:tcPr>
            <w:tcW w:w="2300" w:type="dxa"/>
            <w:tcBorders>
              <w:top w:val="single" w:sz="4" w:space="0" w:color="auto"/>
              <w:left w:val="single" w:sz="4" w:space="0" w:color="auto"/>
              <w:bottom w:val="single" w:sz="4" w:space="0" w:color="auto"/>
              <w:right w:val="single" w:sz="4" w:space="0" w:color="auto"/>
            </w:tcBorders>
            <w:shd w:val="clear" w:color="auto" w:fill="A6A6A6"/>
            <w:vAlign w:val="center"/>
          </w:tcPr>
          <w:p w14:paraId="7687F70C" w14:textId="77777777" w:rsidR="00907C6F" w:rsidRPr="004D23BA" w:rsidRDefault="00907C6F" w:rsidP="007C4955">
            <w:pPr>
              <w:contextualSpacing/>
              <w:jc w:val="center"/>
              <w:rPr>
                <w:rFonts w:cs="Arial"/>
                <w:b/>
                <w:sz w:val="18"/>
                <w:szCs w:val="18"/>
              </w:rPr>
            </w:pPr>
            <w:r w:rsidRPr="004D23BA">
              <w:rPr>
                <w:rFonts w:cs="Arial"/>
                <w:b/>
                <w:sz w:val="18"/>
                <w:szCs w:val="18"/>
              </w:rPr>
              <w:t>Zdroj financování</w:t>
            </w:r>
          </w:p>
        </w:tc>
      </w:tr>
      <w:tr w:rsidR="000D11B5" w:rsidRPr="00104F7D" w14:paraId="6C6AE722" w14:textId="77777777" w:rsidTr="00A55400">
        <w:trPr>
          <w:trHeight w:val="20"/>
        </w:trPr>
        <w:tc>
          <w:tcPr>
            <w:tcW w:w="1276" w:type="dxa"/>
            <w:vMerge w:val="restart"/>
            <w:tcBorders>
              <w:top w:val="single" w:sz="4" w:space="0" w:color="auto"/>
              <w:left w:val="single" w:sz="4" w:space="0" w:color="auto"/>
              <w:right w:val="single" w:sz="4" w:space="0" w:color="auto"/>
            </w:tcBorders>
            <w:vAlign w:val="center"/>
            <w:hideMark/>
          </w:tcPr>
          <w:p w14:paraId="5C2B998A" w14:textId="77777777" w:rsidR="000D11B5" w:rsidRPr="00104F7D" w:rsidRDefault="000D11B5" w:rsidP="007C4955">
            <w:pPr>
              <w:contextualSpacing/>
              <w:rPr>
                <w:rFonts w:cs="Arial"/>
                <w:sz w:val="18"/>
                <w:szCs w:val="18"/>
                <w:highlight w:val="yellow"/>
              </w:rPr>
            </w:pPr>
            <w:r w:rsidRPr="00D56282">
              <w:rPr>
                <w:rFonts w:cs="Arial"/>
                <w:sz w:val="18"/>
                <w:szCs w:val="18"/>
              </w:rPr>
              <w:t>Labe</w:t>
            </w:r>
          </w:p>
        </w:tc>
        <w:tc>
          <w:tcPr>
            <w:tcW w:w="3827" w:type="dxa"/>
            <w:tcBorders>
              <w:top w:val="single" w:sz="4" w:space="0" w:color="auto"/>
              <w:left w:val="single" w:sz="4" w:space="0" w:color="auto"/>
              <w:bottom w:val="single" w:sz="4" w:space="0" w:color="auto"/>
              <w:right w:val="single" w:sz="4" w:space="0" w:color="auto"/>
            </w:tcBorders>
          </w:tcPr>
          <w:p w14:paraId="0FAE29CA" w14:textId="72B2B741" w:rsidR="000D11B5" w:rsidRPr="00104F7D" w:rsidRDefault="00A45B54" w:rsidP="007C4955">
            <w:pPr>
              <w:contextualSpacing/>
              <w:rPr>
                <w:rFonts w:cs="Arial"/>
                <w:sz w:val="18"/>
                <w:szCs w:val="18"/>
                <w:highlight w:val="yellow"/>
              </w:rPr>
            </w:pPr>
            <w:r w:rsidRPr="00A45B54">
              <w:rPr>
                <w:rFonts w:cs="Arial"/>
                <w:sz w:val="18"/>
                <w:szCs w:val="18"/>
              </w:rPr>
              <w:t>VD Kostomlátky, rekonstrukce dělících zdí PK</w:t>
            </w:r>
          </w:p>
        </w:tc>
        <w:tc>
          <w:tcPr>
            <w:tcW w:w="1701" w:type="dxa"/>
            <w:tcBorders>
              <w:top w:val="single" w:sz="4" w:space="0" w:color="auto"/>
              <w:left w:val="single" w:sz="4" w:space="0" w:color="auto"/>
              <w:bottom w:val="single" w:sz="4" w:space="0" w:color="auto"/>
              <w:right w:val="single" w:sz="4" w:space="0" w:color="auto"/>
            </w:tcBorders>
            <w:vAlign w:val="center"/>
          </w:tcPr>
          <w:p w14:paraId="2785D804" w14:textId="5273F055" w:rsidR="000D11B5" w:rsidRPr="00C83936" w:rsidRDefault="005C6A1C" w:rsidP="007C4955">
            <w:pPr>
              <w:contextualSpacing/>
              <w:jc w:val="right"/>
              <w:rPr>
                <w:rFonts w:cs="Arial"/>
                <w:sz w:val="18"/>
                <w:szCs w:val="18"/>
              </w:rPr>
            </w:pPr>
            <w:r w:rsidRPr="00C83936">
              <w:rPr>
                <w:rFonts w:cs="Arial"/>
                <w:sz w:val="18"/>
              </w:rPr>
              <w:t>18,2</w:t>
            </w:r>
          </w:p>
        </w:tc>
        <w:tc>
          <w:tcPr>
            <w:tcW w:w="2300" w:type="dxa"/>
            <w:tcBorders>
              <w:top w:val="single" w:sz="4" w:space="0" w:color="auto"/>
              <w:left w:val="single" w:sz="4" w:space="0" w:color="auto"/>
              <w:bottom w:val="single" w:sz="4" w:space="0" w:color="auto"/>
              <w:right w:val="single" w:sz="4" w:space="0" w:color="auto"/>
            </w:tcBorders>
            <w:vAlign w:val="center"/>
          </w:tcPr>
          <w:p w14:paraId="54BCDCAE" w14:textId="218EB0DF" w:rsidR="000D11B5" w:rsidRPr="00C83936" w:rsidRDefault="000D11B5" w:rsidP="007C4955">
            <w:pPr>
              <w:contextualSpacing/>
              <w:jc w:val="center"/>
              <w:rPr>
                <w:rFonts w:cs="Arial"/>
                <w:sz w:val="18"/>
                <w:szCs w:val="18"/>
              </w:rPr>
            </w:pPr>
            <w:r w:rsidRPr="00C83936">
              <w:rPr>
                <w:rFonts w:cs="Arial"/>
                <w:sz w:val="18"/>
                <w:szCs w:val="18"/>
              </w:rPr>
              <w:t>SFDI</w:t>
            </w:r>
            <w:r w:rsidR="005C6A1C" w:rsidRPr="00C83936">
              <w:rPr>
                <w:rFonts w:cs="Arial"/>
                <w:sz w:val="18"/>
                <w:szCs w:val="18"/>
              </w:rPr>
              <w:t xml:space="preserve"> + vlastní zdroje</w:t>
            </w:r>
          </w:p>
        </w:tc>
      </w:tr>
      <w:tr w:rsidR="000D11B5" w:rsidRPr="00104F7D" w14:paraId="393434DB" w14:textId="77777777" w:rsidTr="00A55400">
        <w:trPr>
          <w:trHeight w:val="20"/>
        </w:trPr>
        <w:tc>
          <w:tcPr>
            <w:tcW w:w="1276" w:type="dxa"/>
            <w:vMerge/>
            <w:tcBorders>
              <w:left w:val="single" w:sz="4" w:space="0" w:color="auto"/>
              <w:right w:val="single" w:sz="4" w:space="0" w:color="auto"/>
            </w:tcBorders>
            <w:vAlign w:val="center"/>
          </w:tcPr>
          <w:p w14:paraId="5C320114" w14:textId="77777777" w:rsidR="000D11B5" w:rsidRPr="00104F7D" w:rsidRDefault="000D11B5" w:rsidP="007C4955">
            <w:pPr>
              <w:contextualSpacing/>
              <w:rPr>
                <w:rFonts w:cs="Arial"/>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056054AE" w14:textId="0E03AD80" w:rsidR="000D11B5" w:rsidRPr="00104F7D" w:rsidRDefault="00C83936" w:rsidP="007C4955">
            <w:pPr>
              <w:contextualSpacing/>
              <w:rPr>
                <w:rFonts w:cs="Arial"/>
                <w:sz w:val="18"/>
                <w:szCs w:val="18"/>
                <w:highlight w:val="yellow"/>
              </w:rPr>
            </w:pPr>
            <w:r w:rsidRPr="00C83936">
              <w:rPr>
                <w:rFonts w:cs="Arial"/>
                <w:sz w:val="20"/>
              </w:rPr>
              <w:t>VD Obříství, oprava vrat, stavítek obtoků a provizorního hrazení PK</w:t>
            </w:r>
          </w:p>
        </w:tc>
        <w:tc>
          <w:tcPr>
            <w:tcW w:w="1701" w:type="dxa"/>
            <w:tcBorders>
              <w:top w:val="single" w:sz="4" w:space="0" w:color="auto"/>
              <w:left w:val="single" w:sz="4" w:space="0" w:color="auto"/>
              <w:bottom w:val="single" w:sz="4" w:space="0" w:color="auto"/>
              <w:right w:val="single" w:sz="4" w:space="0" w:color="auto"/>
            </w:tcBorders>
            <w:vAlign w:val="center"/>
          </w:tcPr>
          <w:p w14:paraId="5B9D46B7" w14:textId="5FE04AED" w:rsidR="000D11B5" w:rsidRPr="00C83936" w:rsidRDefault="00C83936" w:rsidP="00B36BB6">
            <w:pPr>
              <w:contextualSpacing/>
              <w:jc w:val="right"/>
              <w:rPr>
                <w:rFonts w:cs="Arial"/>
                <w:sz w:val="18"/>
                <w:szCs w:val="18"/>
              </w:rPr>
            </w:pPr>
            <w:r w:rsidRPr="00C83936">
              <w:rPr>
                <w:rFonts w:cs="Arial"/>
                <w:sz w:val="18"/>
                <w:szCs w:val="18"/>
              </w:rPr>
              <w:t>6,9</w:t>
            </w:r>
          </w:p>
        </w:tc>
        <w:tc>
          <w:tcPr>
            <w:tcW w:w="2300" w:type="dxa"/>
            <w:tcBorders>
              <w:top w:val="single" w:sz="4" w:space="0" w:color="auto"/>
              <w:left w:val="single" w:sz="4" w:space="0" w:color="auto"/>
              <w:bottom w:val="single" w:sz="4" w:space="0" w:color="auto"/>
              <w:right w:val="single" w:sz="4" w:space="0" w:color="auto"/>
            </w:tcBorders>
            <w:vAlign w:val="center"/>
          </w:tcPr>
          <w:p w14:paraId="3BAEBA77" w14:textId="0B4B4CEF" w:rsidR="000D11B5" w:rsidRPr="00C83936" w:rsidRDefault="000D11B5" w:rsidP="007C4955">
            <w:pPr>
              <w:contextualSpacing/>
              <w:jc w:val="center"/>
              <w:rPr>
                <w:rFonts w:cs="Arial"/>
                <w:sz w:val="18"/>
                <w:szCs w:val="18"/>
              </w:rPr>
            </w:pPr>
            <w:r w:rsidRPr="00C83936">
              <w:rPr>
                <w:rFonts w:cs="Arial"/>
                <w:sz w:val="18"/>
                <w:szCs w:val="18"/>
              </w:rPr>
              <w:t>SFDI</w:t>
            </w:r>
            <w:r w:rsidR="00C83936" w:rsidRPr="00C83936">
              <w:rPr>
                <w:rFonts w:cs="Arial"/>
                <w:sz w:val="18"/>
                <w:szCs w:val="18"/>
              </w:rPr>
              <w:t xml:space="preserve"> + vlastní zdroje</w:t>
            </w:r>
          </w:p>
        </w:tc>
      </w:tr>
      <w:tr w:rsidR="000D11B5" w:rsidRPr="00104F7D" w14:paraId="65A4D0EB" w14:textId="77777777" w:rsidTr="00EC1043">
        <w:trPr>
          <w:trHeight w:val="20"/>
        </w:trPr>
        <w:tc>
          <w:tcPr>
            <w:tcW w:w="1276" w:type="dxa"/>
            <w:vMerge/>
            <w:tcBorders>
              <w:left w:val="single" w:sz="4" w:space="0" w:color="auto"/>
              <w:right w:val="single" w:sz="4" w:space="0" w:color="auto"/>
            </w:tcBorders>
            <w:vAlign w:val="center"/>
          </w:tcPr>
          <w:p w14:paraId="22DC964B" w14:textId="77777777" w:rsidR="000D11B5" w:rsidRPr="00104F7D" w:rsidRDefault="000D11B5" w:rsidP="007C4955">
            <w:pPr>
              <w:contextualSpacing/>
              <w:rPr>
                <w:rFonts w:cs="Arial"/>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037E81D5" w14:textId="7917B4B1" w:rsidR="000D11B5" w:rsidRPr="00104F7D" w:rsidRDefault="00D56282" w:rsidP="007C4955">
            <w:pPr>
              <w:contextualSpacing/>
              <w:rPr>
                <w:rFonts w:cs="Arial"/>
                <w:sz w:val="18"/>
                <w:szCs w:val="18"/>
                <w:highlight w:val="yellow"/>
              </w:rPr>
            </w:pPr>
            <w:r w:rsidRPr="00D56282">
              <w:rPr>
                <w:rFonts w:cs="Arial"/>
                <w:sz w:val="20"/>
              </w:rPr>
              <w:t>VD Brandýs n. L., oprava protikorozní ochrany vrat PK</w:t>
            </w:r>
          </w:p>
        </w:tc>
        <w:tc>
          <w:tcPr>
            <w:tcW w:w="1701" w:type="dxa"/>
            <w:tcBorders>
              <w:top w:val="single" w:sz="4" w:space="0" w:color="auto"/>
              <w:left w:val="single" w:sz="4" w:space="0" w:color="auto"/>
              <w:bottom w:val="single" w:sz="4" w:space="0" w:color="auto"/>
              <w:right w:val="single" w:sz="4" w:space="0" w:color="auto"/>
            </w:tcBorders>
            <w:vAlign w:val="center"/>
          </w:tcPr>
          <w:p w14:paraId="27477FE7" w14:textId="6F763103" w:rsidR="000D11B5" w:rsidRPr="00D56282" w:rsidRDefault="00D56282" w:rsidP="007C4955">
            <w:pPr>
              <w:contextualSpacing/>
              <w:jc w:val="right"/>
              <w:rPr>
                <w:rFonts w:cs="Arial"/>
                <w:sz w:val="18"/>
                <w:szCs w:val="18"/>
              </w:rPr>
            </w:pPr>
            <w:r w:rsidRPr="00D56282">
              <w:rPr>
                <w:rFonts w:cs="Arial"/>
                <w:sz w:val="18"/>
                <w:szCs w:val="18"/>
              </w:rPr>
              <w:t>5,6</w:t>
            </w:r>
          </w:p>
        </w:tc>
        <w:tc>
          <w:tcPr>
            <w:tcW w:w="2300" w:type="dxa"/>
            <w:tcBorders>
              <w:top w:val="single" w:sz="4" w:space="0" w:color="auto"/>
              <w:left w:val="single" w:sz="4" w:space="0" w:color="auto"/>
              <w:bottom w:val="single" w:sz="4" w:space="0" w:color="auto"/>
              <w:right w:val="single" w:sz="4" w:space="0" w:color="auto"/>
            </w:tcBorders>
            <w:vAlign w:val="center"/>
          </w:tcPr>
          <w:p w14:paraId="7D028B3E" w14:textId="77777777" w:rsidR="000D11B5" w:rsidRPr="00D56282" w:rsidRDefault="000D11B5" w:rsidP="007C4955">
            <w:pPr>
              <w:contextualSpacing/>
              <w:jc w:val="center"/>
              <w:rPr>
                <w:rFonts w:cs="Arial"/>
                <w:sz w:val="18"/>
                <w:szCs w:val="18"/>
              </w:rPr>
            </w:pPr>
            <w:r w:rsidRPr="00D56282">
              <w:rPr>
                <w:rFonts w:cs="Arial"/>
                <w:sz w:val="18"/>
                <w:szCs w:val="18"/>
              </w:rPr>
              <w:t>SFDI</w:t>
            </w:r>
          </w:p>
        </w:tc>
      </w:tr>
      <w:tr w:rsidR="000D11B5" w:rsidRPr="00104F7D" w14:paraId="29A372B0" w14:textId="77777777" w:rsidTr="00EC1043">
        <w:trPr>
          <w:trHeight w:val="20"/>
        </w:trPr>
        <w:tc>
          <w:tcPr>
            <w:tcW w:w="1276" w:type="dxa"/>
            <w:vMerge/>
            <w:tcBorders>
              <w:left w:val="single" w:sz="4" w:space="0" w:color="auto"/>
              <w:right w:val="single" w:sz="4" w:space="0" w:color="auto"/>
            </w:tcBorders>
            <w:vAlign w:val="center"/>
          </w:tcPr>
          <w:p w14:paraId="703C122C" w14:textId="77777777" w:rsidR="000D11B5" w:rsidRPr="00104F7D" w:rsidRDefault="000D11B5" w:rsidP="007C4955">
            <w:pPr>
              <w:contextualSpacing/>
              <w:rPr>
                <w:rFonts w:cs="Arial"/>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4B9220C3" w14:textId="7CD16370" w:rsidR="000D11B5" w:rsidRPr="00104F7D" w:rsidRDefault="005D683F" w:rsidP="007C4955">
            <w:pPr>
              <w:contextualSpacing/>
              <w:rPr>
                <w:rFonts w:cs="Arial"/>
                <w:sz w:val="18"/>
                <w:szCs w:val="18"/>
                <w:highlight w:val="yellow"/>
              </w:rPr>
            </w:pPr>
            <w:r w:rsidRPr="005D683F">
              <w:rPr>
                <w:rFonts w:cs="Arial"/>
                <w:sz w:val="20"/>
              </w:rPr>
              <w:t>VD Týnec n. L., oprava vzpěrných vrat PK</w:t>
            </w:r>
          </w:p>
        </w:tc>
        <w:tc>
          <w:tcPr>
            <w:tcW w:w="1701" w:type="dxa"/>
            <w:tcBorders>
              <w:top w:val="single" w:sz="4" w:space="0" w:color="auto"/>
              <w:left w:val="single" w:sz="4" w:space="0" w:color="auto"/>
              <w:bottom w:val="single" w:sz="4" w:space="0" w:color="auto"/>
              <w:right w:val="single" w:sz="4" w:space="0" w:color="auto"/>
            </w:tcBorders>
            <w:vAlign w:val="center"/>
          </w:tcPr>
          <w:p w14:paraId="3FFFBF91" w14:textId="309D4D9A" w:rsidR="000D11B5" w:rsidRPr="005D683F" w:rsidRDefault="005D683F" w:rsidP="007C4955">
            <w:pPr>
              <w:contextualSpacing/>
              <w:jc w:val="right"/>
              <w:rPr>
                <w:rFonts w:cs="Arial"/>
                <w:sz w:val="18"/>
                <w:szCs w:val="18"/>
              </w:rPr>
            </w:pPr>
            <w:r w:rsidRPr="005D683F">
              <w:rPr>
                <w:rFonts w:cs="Arial"/>
                <w:sz w:val="18"/>
                <w:szCs w:val="18"/>
              </w:rPr>
              <w:t>5,8</w:t>
            </w:r>
          </w:p>
        </w:tc>
        <w:tc>
          <w:tcPr>
            <w:tcW w:w="2300" w:type="dxa"/>
            <w:tcBorders>
              <w:top w:val="single" w:sz="4" w:space="0" w:color="auto"/>
              <w:left w:val="single" w:sz="4" w:space="0" w:color="auto"/>
              <w:bottom w:val="single" w:sz="4" w:space="0" w:color="auto"/>
              <w:right w:val="single" w:sz="4" w:space="0" w:color="auto"/>
            </w:tcBorders>
            <w:vAlign w:val="center"/>
          </w:tcPr>
          <w:p w14:paraId="5164F8A3" w14:textId="414C79A2" w:rsidR="000D11B5" w:rsidRPr="005D683F" w:rsidRDefault="002A565C" w:rsidP="007C4955">
            <w:pPr>
              <w:contextualSpacing/>
              <w:jc w:val="center"/>
              <w:rPr>
                <w:rFonts w:cs="Arial"/>
                <w:sz w:val="18"/>
                <w:szCs w:val="18"/>
              </w:rPr>
            </w:pPr>
            <w:r w:rsidRPr="005D683F">
              <w:rPr>
                <w:rFonts w:cs="Arial"/>
                <w:sz w:val="18"/>
                <w:szCs w:val="18"/>
              </w:rPr>
              <w:t>SFDI + vlastní zdroje</w:t>
            </w:r>
          </w:p>
        </w:tc>
      </w:tr>
      <w:tr w:rsidR="00F14378" w:rsidRPr="00104F7D" w14:paraId="5B02105E" w14:textId="77777777" w:rsidTr="00A55400">
        <w:trPr>
          <w:trHeight w:val="20"/>
        </w:trPr>
        <w:tc>
          <w:tcPr>
            <w:tcW w:w="1276" w:type="dxa"/>
            <w:vMerge w:val="restart"/>
            <w:tcBorders>
              <w:top w:val="single" w:sz="4" w:space="0" w:color="auto"/>
              <w:left w:val="single" w:sz="4" w:space="0" w:color="auto"/>
              <w:right w:val="single" w:sz="4" w:space="0" w:color="auto"/>
            </w:tcBorders>
            <w:vAlign w:val="center"/>
            <w:hideMark/>
          </w:tcPr>
          <w:p w14:paraId="7EEFA9E6" w14:textId="77777777" w:rsidR="00F14378" w:rsidRPr="00104F7D" w:rsidRDefault="00F14378" w:rsidP="00225383">
            <w:pPr>
              <w:contextualSpacing/>
              <w:rPr>
                <w:rFonts w:cs="Arial"/>
                <w:color w:val="FF0000"/>
                <w:sz w:val="18"/>
                <w:szCs w:val="18"/>
                <w:highlight w:val="yellow"/>
              </w:rPr>
            </w:pPr>
            <w:r w:rsidRPr="0065612C">
              <w:rPr>
                <w:rFonts w:cs="Arial"/>
                <w:sz w:val="18"/>
                <w:szCs w:val="18"/>
              </w:rPr>
              <w:t>Vltavy</w:t>
            </w:r>
          </w:p>
        </w:tc>
        <w:tc>
          <w:tcPr>
            <w:tcW w:w="3827" w:type="dxa"/>
            <w:tcBorders>
              <w:top w:val="single" w:sz="4" w:space="0" w:color="auto"/>
              <w:left w:val="single" w:sz="4" w:space="0" w:color="auto"/>
              <w:bottom w:val="single" w:sz="4" w:space="0" w:color="auto"/>
              <w:right w:val="single" w:sz="4" w:space="0" w:color="auto"/>
            </w:tcBorders>
          </w:tcPr>
          <w:p w14:paraId="4B55D749" w14:textId="00627BB2" w:rsidR="00F14378" w:rsidRPr="00460EF6" w:rsidRDefault="00F14378" w:rsidP="00225383">
            <w:pPr>
              <w:contextualSpacing/>
              <w:rPr>
                <w:sz w:val="18"/>
                <w:szCs w:val="18"/>
              </w:rPr>
            </w:pPr>
            <w:r w:rsidRPr="00460EF6">
              <w:rPr>
                <w:sz w:val="18"/>
                <w:szCs w:val="18"/>
              </w:rPr>
              <w:t>PK Modřany – rekonstrukce</w:t>
            </w:r>
          </w:p>
        </w:tc>
        <w:tc>
          <w:tcPr>
            <w:tcW w:w="1701" w:type="dxa"/>
            <w:tcBorders>
              <w:top w:val="single" w:sz="4" w:space="0" w:color="auto"/>
              <w:left w:val="single" w:sz="4" w:space="0" w:color="auto"/>
              <w:bottom w:val="single" w:sz="4" w:space="0" w:color="auto"/>
              <w:right w:val="single" w:sz="4" w:space="0" w:color="auto"/>
            </w:tcBorders>
            <w:vAlign w:val="center"/>
          </w:tcPr>
          <w:p w14:paraId="3730F9BD" w14:textId="7A0F29E7" w:rsidR="00F14378" w:rsidRPr="00460EF6" w:rsidRDefault="00F14378" w:rsidP="00225383">
            <w:pPr>
              <w:contextualSpacing/>
              <w:jc w:val="right"/>
              <w:rPr>
                <w:sz w:val="18"/>
                <w:szCs w:val="18"/>
              </w:rPr>
            </w:pPr>
            <w:r w:rsidRPr="00460EF6">
              <w:rPr>
                <w:sz w:val="18"/>
                <w:szCs w:val="18"/>
              </w:rPr>
              <w:t>90,1</w:t>
            </w:r>
          </w:p>
        </w:tc>
        <w:tc>
          <w:tcPr>
            <w:tcW w:w="2300" w:type="dxa"/>
            <w:tcBorders>
              <w:top w:val="single" w:sz="4" w:space="0" w:color="auto"/>
              <w:left w:val="single" w:sz="4" w:space="0" w:color="auto"/>
              <w:bottom w:val="single" w:sz="4" w:space="0" w:color="auto"/>
              <w:right w:val="single" w:sz="4" w:space="0" w:color="auto"/>
            </w:tcBorders>
            <w:vAlign w:val="center"/>
          </w:tcPr>
          <w:p w14:paraId="6CE9A8EA" w14:textId="6254BD35" w:rsidR="00F14378" w:rsidRPr="00460EF6" w:rsidRDefault="00F14378" w:rsidP="00225383">
            <w:pPr>
              <w:contextualSpacing/>
              <w:jc w:val="center"/>
              <w:rPr>
                <w:rFonts w:cs="Arial"/>
                <w:sz w:val="18"/>
                <w:szCs w:val="18"/>
              </w:rPr>
            </w:pPr>
            <w:r w:rsidRPr="00460EF6">
              <w:rPr>
                <w:rFonts w:cs="Arial"/>
                <w:sz w:val="18"/>
                <w:szCs w:val="18"/>
              </w:rPr>
              <w:t>SFDI + vlastní zdroje</w:t>
            </w:r>
          </w:p>
        </w:tc>
      </w:tr>
      <w:tr w:rsidR="00F14378" w:rsidRPr="00104F7D" w14:paraId="2902F48F" w14:textId="77777777" w:rsidTr="00A55400">
        <w:trPr>
          <w:trHeight w:val="20"/>
        </w:trPr>
        <w:tc>
          <w:tcPr>
            <w:tcW w:w="1276" w:type="dxa"/>
            <w:vMerge/>
            <w:tcBorders>
              <w:left w:val="single" w:sz="4" w:space="0" w:color="auto"/>
              <w:right w:val="single" w:sz="4" w:space="0" w:color="auto"/>
            </w:tcBorders>
            <w:vAlign w:val="center"/>
          </w:tcPr>
          <w:p w14:paraId="793ACD9F" w14:textId="77777777" w:rsidR="00F14378" w:rsidRPr="00104F7D" w:rsidRDefault="00F14378" w:rsidP="00225383">
            <w:pPr>
              <w:contextualSpacing/>
              <w:rPr>
                <w:rFonts w:cs="Arial"/>
                <w:color w:val="FF0000"/>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5FEF470B" w14:textId="33BA7B41" w:rsidR="00F14378" w:rsidRPr="005E3709" w:rsidRDefault="00F14378" w:rsidP="00225383">
            <w:pPr>
              <w:contextualSpacing/>
              <w:rPr>
                <w:rFonts w:cs="Arial"/>
                <w:sz w:val="18"/>
                <w:szCs w:val="18"/>
              </w:rPr>
            </w:pPr>
            <w:r w:rsidRPr="005E3709">
              <w:rPr>
                <w:rFonts w:cs="Arial"/>
                <w:sz w:val="18"/>
                <w:szCs w:val="18"/>
              </w:rPr>
              <w:t>VD Štěchovice – oprava žebříků a odrazných dubových trámců v PK</w:t>
            </w:r>
          </w:p>
        </w:tc>
        <w:tc>
          <w:tcPr>
            <w:tcW w:w="1701" w:type="dxa"/>
            <w:tcBorders>
              <w:top w:val="single" w:sz="4" w:space="0" w:color="auto"/>
              <w:left w:val="single" w:sz="4" w:space="0" w:color="auto"/>
              <w:bottom w:val="single" w:sz="4" w:space="0" w:color="auto"/>
              <w:right w:val="single" w:sz="4" w:space="0" w:color="auto"/>
            </w:tcBorders>
            <w:vAlign w:val="center"/>
          </w:tcPr>
          <w:p w14:paraId="79855B9E" w14:textId="01E5F378" w:rsidR="00F14378" w:rsidRPr="005E3709" w:rsidRDefault="00F14378" w:rsidP="00225383">
            <w:pPr>
              <w:contextualSpacing/>
              <w:jc w:val="right"/>
              <w:rPr>
                <w:rFonts w:cs="Arial"/>
                <w:sz w:val="18"/>
                <w:szCs w:val="18"/>
              </w:rPr>
            </w:pPr>
            <w:r w:rsidRPr="005E3709">
              <w:rPr>
                <w:rFonts w:cs="Arial"/>
                <w:sz w:val="18"/>
                <w:szCs w:val="18"/>
              </w:rPr>
              <w:t>4,8</w:t>
            </w:r>
          </w:p>
        </w:tc>
        <w:tc>
          <w:tcPr>
            <w:tcW w:w="2300" w:type="dxa"/>
            <w:tcBorders>
              <w:top w:val="single" w:sz="4" w:space="0" w:color="auto"/>
              <w:left w:val="single" w:sz="4" w:space="0" w:color="auto"/>
              <w:bottom w:val="single" w:sz="4" w:space="0" w:color="auto"/>
              <w:right w:val="single" w:sz="4" w:space="0" w:color="auto"/>
            </w:tcBorders>
            <w:vAlign w:val="center"/>
          </w:tcPr>
          <w:p w14:paraId="0C18A873" w14:textId="5AB698E1" w:rsidR="00F14378" w:rsidRPr="005E3709" w:rsidRDefault="00F14378" w:rsidP="00225383">
            <w:pPr>
              <w:contextualSpacing/>
              <w:jc w:val="center"/>
              <w:rPr>
                <w:rFonts w:cs="Arial"/>
                <w:sz w:val="18"/>
                <w:szCs w:val="18"/>
              </w:rPr>
            </w:pPr>
            <w:r w:rsidRPr="005E3709">
              <w:rPr>
                <w:rFonts w:cs="Arial"/>
                <w:sz w:val="18"/>
                <w:szCs w:val="18"/>
              </w:rPr>
              <w:t>SFDI + vlastní zdroje</w:t>
            </w:r>
          </w:p>
        </w:tc>
      </w:tr>
      <w:tr w:rsidR="00F14378" w:rsidRPr="00104F7D" w14:paraId="51C4794F" w14:textId="77777777" w:rsidTr="00156ABB">
        <w:trPr>
          <w:trHeight w:val="20"/>
        </w:trPr>
        <w:tc>
          <w:tcPr>
            <w:tcW w:w="1276" w:type="dxa"/>
            <w:vMerge/>
            <w:tcBorders>
              <w:left w:val="single" w:sz="4" w:space="0" w:color="auto"/>
              <w:right w:val="single" w:sz="4" w:space="0" w:color="auto"/>
            </w:tcBorders>
            <w:vAlign w:val="center"/>
          </w:tcPr>
          <w:p w14:paraId="716CCEF0" w14:textId="77777777" w:rsidR="00F14378" w:rsidRPr="00104F7D" w:rsidRDefault="00F14378" w:rsidP="00225383">
            <w:pPr>
              <w:contextualSpacing/>
              <w:rPr>
                <w:rFonts w:cs="Arial"/>
                <w:color w:val="FF0000"/>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764BC7D8" w14:textId="301400FE" w:rsidR="00F14378" w:rsidRPr="00F14378" w:rsidRDefault="00F14378" w:rsidP="00225383">
            <w:pPr>
              <w:contextualSpacing/>
              <w:rPr>
                <w:rFonts w:cs="Arial"/>
                <w:sz w:val="18"/>
                <w:szCs w:val="18"/>
              </w:rPr>
            </w:pPr>
            <w:r w:rsidRPr="00F14378">
              <w:rPr>
                <w:sz w:val="18"/>
                <w:szCs w:val="18"/>
              </w:rPr>
              <w:t>VD Vrané – oprava povrchových ochran a těsnění dolních vrat MPK</w:t>
            </w:r>
          </w:p>
        </w:tc>
        <w:tc>
          <w:tcPr>
            <w:tcW w:w="1701" w:type="dxa"/>
            <w:tcBorders>
              <w:top w:val="single" w:sz="4" w:space="0" w:color="auto"/>
              <w:left w:val="single" w:sz="4" w:space="0" w:color="auto"/>
              <w:bottom w:val="single" w:sz="4" w:space="0" w:color="auto"/>
              <w:right w:val="single" w:sz="4" w:space="0" w:color="auto"/>
            </w:tcBorders>
            <w:vAlign w:val="center"/>
          </w:tcPr>
          <w:p w14:paraId="543E90A5" w14:textId="5B6C9D16" w:rsidR="00F14378" w:rsidRPr="00F14378" w:rsidRDefault="00F14378" w:rsidP="00225383">
            <w:pPr>
              <w:contextualSpacing/>
              <w:jc w:val="right"/>
              <w:rPr>
                <w:rFonts w:cs="Arial"/>
                <w:sz w:val="18"/>
                <w:szCs w:val="18"/>
              </w:rPr>
            </w:pPr>
            <w:r w:rsidRPr="00F14378">
              <w:rPr>
                <w:rFonts w:cs="Arial"/>
                <w:sz w:val="18"/>
                <w:szCs w:val="18"/>
              </w:rPr>
              <w:t>17,1</w:t>
            </w:r>
          </w:p>
        </w:tc>
        <w:tc>
          <w:tcPr>
            <w:tcW w:w="2300" w:type="dxa"/>
            <w:tcBorders>
              <w:top w:val="single" w:sz="4" w:space="0" w:color="auto"/>
              <w:left w:val="single" w:sz="4" w:space="0" w:color="auto"/>
              <w:bottom w:val="single" w:sz="4" w:space="0" w:color="auto"/>
              <w:right w:val="single" w:sz="4" w:space="0" w:color="auto"/>
            </w:tcBorders>
            <w:vAlign w:val="center"/>
          </w:tcPr>
          <w:p w14:paraId="7F3FE86C" w14:textId="440613E5" w:rsidR="00F14378" w:rsidRPr="00F14378" w:rsidRDefault="00F14378" w:rsidP="00225383">
            <w:pPr>
              <w:contextualSpacing/>
              <w:jc w:val="center"/>
              <w:rPr>
                <w:rFonts w:cs="Arial"/>
                <w:sz w:val="18"/>
                <w:szCs w:val="18"/>
              </w:rPr>
            </w:pPr>
            <w:r w:rsidRPr="00F14378">
              <w:rPr>
                <w:rFonts w:cs="Arial"/>
                <w:sz w:val="18"/>
                <w:szCs w:val="18"/>
              </w:rPr>
              <w:t>SFDI + vlastní zdroje</w:t>
            </w:r>
          </w:p>
        </w:tc>
      </w:tr>
      <w:tr w:rsidR="00F14378" w:rsidRPr="00104F7D" w14:paraId="14245E25" w14:textId="77777777" w:rsidTr="00A55400">
        <w:trPr>
          <w:trHeight w:val="20"/>
        </w:trPr>
        <w:tc>
          <w:tcPr>
            <w:tcW w:w="1276" w:type="dxa"/>
            <w:vMerge/>
            <w:tcBorders>
              <w:left w:val="single" w:sz="4" w:space="0" w:color="auto"/>
              <w:bottom w:val="single" w:sz="4" w:space="0" w:color="auto"/>
              <w:right w:val="single" w:sz="4" w:space="0" w:color="auto"/>
            </w:tcBorders>
            <w:vAlign w:val="center"/>
          </w:tcPr>
          <w:p w14:paraId="5FCB3285" w14:textId="77777777" w:rsidR="00F14378" w:rsidRPr="00104F7D" w:rsidRDefault="00F14378" w:rsidP="00225383">
            <w:pPr>
              <w:contextualSpacing/>
              <w:rPr>
                <w:rFonts w:cs="Arial"/>
                <w:color w:val="FF0000"/>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115E06C4" w14:textId="57EFF711" w:rsidR="00F14378" w:rsidRPr="00F14378" w:rsidRDefault="0065612C" w:rsidP="00225383">
            <w:pPr>
              <w:contextualSpacing/>
              <w:rPr>
                <w:sz w:val="18"/>
                <w:szCs w:val="18"/>
              </w:rPr>
            </w:pPr>
            <w:r w:rsidRPr="0065612C">
              <w:rPr>
                <w:sz w:val="18"/>
                <w:szCs w:val="18"/>
              </w:rPr>
              <w:t>VD Štvanice, PK Dolánky – oprava a výměna hydraulických válců</w:t>
            </w:r>
          </w:p>
        </w:tc>
        <w:tc>
          <w:tcPr>
            <w:tcW w:w="1701" w:type="dxa"/>
            <w:tcBorders>
              <w:top w:val="single" w:sz="4" w:space="0" w:color="auto"/>
              <w:left w:val="single" w:sz="4" w:space="0" w:color="auto"/>
              <w:bottom w:val="single" w:sz="4" w:space="0" w:color="auto"/>
              <w:right w:val="single" w:sz="4" w:space="0" w:color="auto"/>
            </w:tcBorders>
            <w:vAlign w:val="center"/>
          </w:tcPr>
          <w:p w14:paraId="5F3636A3" w14:textId="4675E1A7" w:rsidR="00F14378" w:rsidRPr="00F14378" w:rsidRDefault="0065612C" w:rsidP="00225383">
            <w:pPr>
              <w:contextualSpacing/>
              <w:jc w:val="right"/>
              <w:rPr>
                <w:rFonts w:cs="Arial"/>
                <w:sz w:val="18"/>
                <w:szCs w:val="18"/>
              </w:rPr>
            </w:pPr>
            <w:r>
              <w:rPr>
                <w:rFonts w:cs="Arial"/>
                <w:sz w:val="18"/>
                <w:szCs w:val="18"/>
              </w:rPr>
              <w:t>0,5</w:t>
            </w:r>
          </w:p>
        </w:tc>
        <w:tc>
          <w:tcPr>
            <w:tcW w:w="2300" w:type="dxa"/>
            <w:tcBorders>
              <w:top w:val="single" w:sz="4" w:space="0" w:color="auto"/>
              <w:left w:val="single" w:sz="4" w:space="0" w:color="auto"/>
              <w:bottom w:val="single" w:sz="4" w:space="0" w:color="auto"/>
              <w:right w:val="single" w:sz="4" w:space="0" w:color="auto"/>
            </w:tcBorders>
            <w:vAlign w:val="center"/>
          </w:tcPr>
          <w:p w14:paraId="3DDAF637" w14:textId="0E701017" w:rsidR="00F14378" w:rsidRPr="00F14378" w:rsidRDefault="0065612C" w:rsidP="00225383">
            <w:pPr>
              <w:contextualSpacing/>
              <w:jc w:val="center"/>
              <w:rPr>
                <w:rFonts w:cs="Arial"/>
                <w:sz w:val="18"/>
                <w:szCs w:val="18"/>
              </w:rPr>
            </w:pPr>
            <w:r>
              <w:rPr>
                <w:rFonts w:cs="Arial"/>
                <w:sz w:val="18"/>
                <w:szCs w:val="18"/>
              </w:rPr>
              <w:t>SFDI</w:t>
            </w:r>
          </w:p>
        </w:tc>
      </w:tr>
      <w:tr w:rsidR="00186037" w:rsidRPr="00104F7D" w14:paraId="649E2448" w14:textId="77777777" w:rsidTr="00A55400">
        <w:trPr>
          <w:trHeight w:val="20"/>
        </w:trPr>
        <w:tc>
          <w:tcPr>
            <w:tcW w:w="1276" w:type="dxa"/>
            <w:vMerge w:val="restart"/>
            <w:tcBorders>
              <w:top w:val="single" w:sz="4" w:space="0" w:color="auto"/>
              <w:left w:val="single" w:sz="4" w:space="0" w:color="auto"/>
              <w:right w:val="single" w:sz="4" w:space="0" w:color="auto"/>
            </w:tcBorders>
            <w:vAlign w:val="center"/>
            <w:hideMark/>
          </w:tcPr>
          <w:p w14:paraId="796EB21F" w14:textId="77777777" w:rsidR="00907C6F" w:rsidRPr="000E02F2" w:rsidRDefault="00907C6F" w:rsidP="007C4955">
            <w:pPr>
              <w:contextualSpacing/>
              <w:rPr>
                <w:rFonts w:cs="Arial"/>
                <w:color w:val="000000" w:themeColor="text1"/>
                <w:sz w:val="18"/>
                <w:szCs w:val="18"/>
              </w:rPr>
            </w:pPr>
            <w:r w:rsidRPr="000E02F2">
              <w:rPr>
                <w:rFonts w:cs="Arial"/>
                <w:color w:val="000000" w:themeColor="text1"/>
                <w:sz w:val="18"/>
                <w:szCs w:val="18"/>
              </w:rPr>
              <w:t>Moravy</w:t>
            </w:r>
          </w:p>
        </w:tc>
        <w:tc>
          <w:tcPr>
            <w:tcW w:w="3827" w:type="dxa"/>
            <w:tcBorders>
              <w:top w:val="single" w:sz="4" w:space="0" w:color="auto"/>
              <w:left w:val="single" w:sz="4" w:space="0" w:color="auto"/>
              <w:bottom w:val="single" w:sz="4" w:space="0" w:color="auto"/>
              <w:right w:val="single" w:sz="4" w:space="0" w:color="auto"/>
            </w:tcBorders>
          </w:tcPr>
          <w:p w14:paraId="26B45B14" w14:textId="2711D5C9" w:rsidR="00907C6F" w:rsidRPr="000E02F2" w:rsidRDefault="00E05296" w:rsidP="007C4955">
            <w:pPr>
              <w:contextualSpacing/>
              <w:rPr>
                <w:rFonts w:cs="Arial"/>
                <w:color w:val="000000" w:themeColor="text1"/>
                <w:sz w:val="18"/>
                <w:szCs w:val="18"/>
              </w:rPr>
            </w:pPr>
            <w:r w:rsidRPr="000E02F2">
              <w:rPr>
                <w:rFonts w:cs="Arial"/>
                <w:color w:val="000000" w:themeColor="text1"/>
                <w:sz w:val="16"/>
                <w:szCs w:val="16"/>
              </w:rPr>
              <w:t>Baťův kanál, PK Spytihněv, PK Veselí n. M. - komplexní oprava</w:t>
            </w:r>
          </w:p>
        </w:tc>
        <w:tc>
          <w:tcPr>
            <w:tcW w:w="1701" w:type="dxa"/>
            <w:tcBorders>
              <w:top w:val="single" w:sz="4" w:space="0" w:color="auto"/>
              <w:left w:val="single" w:sz="4" w:space="0" w:color="auto"/>
              <w:bottom w:val="single" w:sz="4" w:space="0" w:color="auto"/>
              <w:right w:val="single" w:sz="4" w:space="0" w:color="auto"/>
            </w:tcBorders>
            <w:vAlign w:val="center"/>
          </w:tcPr>
          <w:p w14:paraId="7016E601" w14:textId="303BF7FF" w:rsidR="00907C6F" w:rsidRPr="000E02F2" w:rsidRDefault="00484F47" w:rsidP="007C4955">
            <w:pPr>
              <w:contextualSpacing/>
              <w:jc w:val="right"/>
              <w:rPr>
                <w:rFonts w:cs="Arial"/>
                <w:color w:val="000000" w:themeColor="text1"/>
                <w:sz w:val="18"/>
                <w:szCs w:val="18"/>
              </w:rPr>
            </w:pPr>
            <w:r w:rsidRPr="000E02F2">
              <w:rPr>
                <w:rFonts w:cs="Arial"/>
                <w:color w:val="000000" w:themeColor="text1"/>
                <w:sz w:val="18"/>
                <w:szCs w:val="18"/>
              </w:rPr>
              <w:t>13,3</w:t>
            </w:r>
          </w:p>
        </w:tc>
        <w:tc>
          <w:tcPr>
            <w:tcW w:w="2300" w:type="dxa"/>
            <w:tcBorders>
              <w:top w:val="single" w:sz="4" w:space="0" w:color="auto"/>
              <w:left w:val="single" w:sz="4" w:space="0" w:color="auto"/>
              <w:bottom w:val="single" w:sz="4" w:space="0" w:color="auto"/>
              <w:right w:val="single" w:sz="4" w:space="0" w:color="auto"/>
            </w:tcBorders>
            <w:vAlign w:val="center"/>
          </w:tcPr>
          <w:p w14:paraId="3982A91A" w14:textId="77777777" w:rsidR="00907C6F" w:rsidRPr="000E02F2" w:rsidRDefault="00CE744E" w:rsidP="007C4955">
            <w:pPr>
              <w:contextualSpacing/>
              <w:jc w:val="center"/>
              <w:rPr>
                <w:rFonts w:cs="Arial"/>
                <w:sz w:val="18"/>
                <w:szCs w:val="18"/>
              </w:rPr>
            </w:pPr>
            <w:r w:rsidRPr="000E02F2">
              <w:rPr>
                <w:rFonts w:cs="Arial"/>
                <w:sz w:val="18"/>
                <w:szCs w:val="18"/>
              </w:rPr>
              <w:t>SFDI</w:t>
            </w:r>
          </w:p>
        </w:tc>
      </w:tr>
      <w:tr w:rsidR="00186037" w:rsidRPr="00104F7D" w14:paraId="59072896" w14:textId="77777777" w:rsidTr="00772385">
        <w:trPr>
          <w:trHeight w:val="20"/>
        </w:trPr>
        <w:tc>
          <w:tcPr>
            <w:tcW w:w="1276" w:type="dxa"/>
            <w:vMerge/>
            <w:tcBorders>
              <w:left w:val="single" w:sz="4" w:space="0" w:color="auto"/>
              <w:right w:val="single" w:sz="4" w:space="0" w:color="auto"/>
            </w:tcBorders>
          </w:tcPr>
          <w:p w14:paraId="21E2D632" w14:textId="77777777" w:rsidR="00CE744E" w:rsidRPr="000E02F2" w:rsidRDefault="00CE744E" w:rsidP="00CE744E">
            <w:pPr>
              <w:contextualSpacing/>
              <w:rPr>
                <w:rFonts w:cs="Arial"/>
                <w:color w:val="000000" w:themeColor="text1"/>
                <w:sz w:val="18"/>
                <w:szCs w:val="18"/>
              </w:rPr>
            </w:pPr>
          </w:p>
        </w:tc>
        <w:tc>
          <w:tcPr>
            <w:tcW w:w="3827" w:type="dxa"/>
            <w:tcBorders>
              <w:top w:val="single" w:sz="4" w:space="0" w:color="auto"/>
              <w:left w:val="single" w:sz="4" w:space="0" w:color="auto"/>
              <w:bottom w:val="single" w:sz="4" w:space="0" w:color="auto"/>
              <w:right w:val="single" w:sz="4" w:space="0" w:color="auto"/>
            </w:tcBorders>
          </w:tcPr>
          <w:p w14:paraId="163FEF31" w14:textId="320D955E" w:rsidR="00CE744E" w:rsidRPr="000E02F2" w:rsidRDefault="0070443E" w:rsidP="00CE744E">
            <w:pPr>
              <w:contextualSpacing/>
              <w:rPr>
                <w:rFonts w:cs="Arial"/>
                <w:color w:val="000000" w:themeColor="text1"/>
                <w:sz w:val="18"/>
                <w:szCs w:val="18"/>
              </w:rPr>
            </w:pPr>
            <w:r w:rsidRPr="000E02F2">
              <w:rPr>
                <w:rFonts w:cs="Arial"/>
                <w:color w:val="000000" w:themeColor="text1"/>
                <w:sz w:val="16"/>
                <w:szCs w:val="16"/>
              </w:rPr>
              <w:t>Baťův kanál, PK Nedakonice, PK Vnorovy I. - komplexní oprava</w:t>
            </w:r>
          </w:p>
        </w:tc>
        <w:tc>
          <w:tcPr>
            <w:tcW w:w="1701" w:type="dxa"/>
            <w:tcBorders>
              <w:top w:val="single" w:sz="4" w:space="0" w:color="auto"/>
              <w:left w:val="single" w:sz="4" w:space="0" w:color="auto"/>
              <w:bottom w:val="single" w:sz="4" w:space="0" w:color="auto"/>
              <w:right w:val="single" w:sz="4" w:space="0" w:color="auto"/>
            </w:tcBorders>
            <w:vAlign w:val="center"/>
          </w:tcPr>
          <w:p w14:paraId="2DC7F907" w14:textId="49564EDB" w:rsidR="00CE744E" w:rsidRPr="000E02F2" w:rsidRDefault="0070443E" w:rsidP="00CE744E">
            <w:pPr>
              <w:contextualSpacing/>
              <w:jc w:val="right"/>
              <w:rPr>
                <w:rFonts w:cs="Arial"/>
                <w:color w:val="000000" w:themeColor="text1"/>
                <w:sz w:val="18"/>
                <w:szCs w:val="18"/>
              </w:rPr>
            </w:pPr>
            <w:r w:rsidRPr="000E02F2">
              <w:rPr>
                <w:rFonts w:cs="Arial"/>
                <w:color w:val="000000" w:themeColor="text1"/>
                <w:sz w:val="18"/>
                <w:szCs w:val="18"/>
              </w:rPr>
              <w:t>19,7</w:t>
            </w:r>
          </w:p>
        </w:tc>
        <w:tc>
          <w:tcPr>
            <w:tcW w:w="2300" w:type="dxa"/>
            <w:tcBorders>
              <w:top w:val="single" w:sz="4" w:space="0" w:color="auto"/>
              <w:left w:val="single" w:sz="4" w:space="0" w:color="auto"/>
              <w:bottom w:val="single" w:sz="4" w:space="0" w:color="auto"/>
              <w:right w:val="single" w:sz="4" w:space="0" w:color="auto"/>
            </w:tcBorders>
          </w:tcPr>
          <w:p w14:paraId="6BA94D4B" w14:textId="70EF9FA7" w:rsidR="00CE744E" w:rsidRPr="000E02F2" w:rsidRDefault="0074327E" w:rsidP="00CE744E">
            <w:pPr>
              <w:contextualSpacing/>
              <w:jc w:val="center"/>
              <w:rPr>
                <w:rFonts w:cs="Arial"/>
                <w:sz w:val="18"/>
                <w:szCs w:val="18"/>
              </w:rPr>
            </w:pPr>
            <w:r w:rsidRPr="000E02F2">
              <w:rPr>
                <w:rFonts w:cs="Arial"/>
                <w:sz w:val="18"/>
                <w:szCs w:val="18"/>
              </w:rPr>
              <w:t>SFDI</w:t>
            </w:r>
          </w:p>
        </w:tc>
      </w:tr>
      <w:tr w:rsidR="00186037" w:rsidRPr="00104F7D" w14:paraId="08FD9EE4" w14:textId="77777777" w:rsidTr="00772385">
        <w:trPr>
          <w:trHeight w:val="20"/>
        </w:trPr>
        <w:tc>
          <w:tcPr>
            <w:tcW w:w="1276" w:type="dxa"/>
            <w:vMerge/>
            <w:tcBorders>
              <w:left w:val="single" w:sz="4" w:space="0" w:color="auto"/>
              <w:bottom w:val="single" w:sz="4" w:space="0" w:color="auto"/>
              <w:right w:val="single" w:sz="4" w:space="0" w:color="auto"/>
            </w:tcBorders>
          </w:tcPr>
          <w:p w14:paraId="02ACE387" w14:textId="77777777" w:rsidR="00CE744E" w:rsidRPr="000E02F2" w:rsidRDefault="00CE744E" w:rsidP="00CE744E">
            <w:pPr>
              <w:contextualSpacing/>
              <w:rPr>
                <w:rFonts w:cs="Arial"/>
                <w:color w:val="000000" w:themeColor="text1"/>
                <w:sz w:val="18"/>
                <w:szCs w:val="18"/>
              </w:rPr>
            </w:pPr>
          </w:p>
        </w:tc>
        <w:tc>
          <w:tcPr>
            <w:tcW w:w="3827" w:type="dxa"/>
            <w:tcBorders>
              <w:top w:val="single" w:sz="4" w:space="0" w:color="auto"/>
              <w:left w:val="single" w:sz="4" w:space="0" w:color="auto"/>
              <w:bottom w:val="single" w:sz="4" w:space="0" w:color="auto"/>
              <w:right w:val="single" w:sz="4" w:space="0" w:color="auto"/>
            </w:tcBorders>
          </w:tcPr>
          <w:p w14:paraId="3DA16E23" w14:textId="735F6ABC" w:rsidR="00CE744E" w:rsidRPr="000E02F2" w:rsidRDefault="000E02F2" w:rsidP="00CE744E">
            <w:pPr>
              <w:contextualSpacing/>
              <w:rPr>
                <w:rFonts w:cs="Arial"/>
                <w:color w:val="000000" w:themeColor="text1"/>
                <w:sz w:val="18"/>
                <w:szCs w:val="18"/>
              </w:rPr>
            </w:pPr>
            <w:r w:rsidRPr="000E02F2">
              <w:rPr>
                <w:rFonts w:cs="Arial"/>
                <w:color w:val="000000" w:themeColor="text1"/>
                <w:sz w:val="16"/>
                <w:szCs w:val="16"/>
              </w:rPr>
              <w:t>Modernizace řídících systémů Baťova kanálu</w:t>
            </w:r>
          </w:p>
        </w:tc>
        <w:tc>
          <w:tcPr>
            <w:tcW w:w="1701" w:type="dxa"/>
            <w:tcBorders>
              <w:top w:val="single" w:sz="4" w:space="0" w:color="auto"/>
              <w:left w:val="single" w:sz="4" w:space="0" w:color="auto"/>
              <w:bottom w:val="single" w:sz="4" w:space="0" w:color="auto"/>
              <w:right w:val="single" w:sz="4" w:space="0" w:color="auto"/>
            </w:tcBorders>
            <w:vAlign w:val="center"/>
          </w:tcPr>
          <w:p w14:paraId="750B021D" w14:textId="432811D9" w:rsidR="00CE744E" w:rsidRPr="000E02F2" w:rsidRDefault="000E02F2" w:rsidP="00CE744E">
            <w:pPr>
              <w:contextualSpacing/>
              <w:jc w:val="right"/>
              <w:rPr>
                <w:rFonts w:cs="Arial"/>
                <w:color w:val="000000" w:themeColor="text1"/>
                <w:sz w:val="18"/>
                <w:szCs w:val="18"/>
              </w:rPr>
            </w:pPr>
            <w:r w:rsidRPr="000E02F2">
              <w:rPr>
                <w:rFonts w:cs="Arial"/>
                <w:color w:val="000000" w:themeColor="text1"/>
                <w:sz w:val="18"/>
                <w:szCs w:val="18"/>
              </w:rPr>
              <w:t>5,2</w:t>
            </w:r>
          </w:p>
        </w:tc>
        <w:tc>
          <w:tcPr>
            <w:tcW w:w="2300" w:type="dxa"/>
            <w:tcBorders>
              <w:top w:val="single" w:sz="4" w:space="0" w:color="auto"/>
              <w:left w:val="single" w:sz="4" w:space="0" w:color="auto"/>
              <w:bottom w:val="single" w:sz="4" w:space="0" w:color="auto"/>
              <w:right w:val="single" w:sz="4" w:space="0" w:color="auto"/>
            </w:tcBorders>
          </w:tcPr>
          <w:p w14:paraId="425D1BBB" w14:textId="5EF60B30" w:rsidR="00CE744E" w:rsidRPr="000E02F2" w:rsidRDefault="00996EC3" w:rsidP="00CE744E">
            <w:pPr>
              <w:contextualSpacing/>
              <w:jc w:val="center"/>
              <w:rPr>
                <w:rFonts w:cs="Arial"/>
                <w:color w:val="000000" w:themeColor="text1"/>
                <w:sz w:val="18"/>
                <w:szCs w:val="18"/>
              </w:rPr>
            </w:pPr>
            <w:r w:rsidRPr="000E02F2">
              <w:rPr>
                <w:rFonts w:cs="Arial"/>
                <w:sz w:val="18"/>
                <w:szCs w:val="18"/>
              </w:rPr>
              <w:t>SFDI</w:t>
            </w:r>
          </w:p>
        </w:tc>
      </w:tr>
    </w:tbl>
    <w:p w14:paraId="04C54F06" w14:textId="77777777" w:rsidR="00907C6F" w:rsidRPr="0025065C" w:rsidRDefault="00907C6F" w:rsidP="007C4955">
      <w:pPr>
        <w:contextualSpacing/>
        <w:rPr>
          <w:rFonts w:cs="Arial"/>
          <w:i/>
          <w:sz w:val="20"/>
          <w:szCs w:val="20"/>
        </w:rPr>
      </w:pPr>
      <w:r w:rsidRPr="0025065C">
        <w:rPr>
          <w:rFonts w:cs="Arial"/>
          <w:i/>
          <w:sz w:val="20"/>
          <w:szCs w:val="20"/>
        </w:rPr>
        <w:t>Pramen: s. p. Povodí</w:t>
      </w:r>
    </w:p>
    <w:bookmarkEnd w:id="179"/>
    <w:p w14:paraId="1906D411" w14:textId="77777777" w:rsidR="00077BFB" w:rsidRPr="00104F7D" w:rsidRDefault="00077BFB" w:rsidP="007C4955">
      <w:pPr>
        <w:autoSpaceDE w:val="0"/>
        <w:autoSpaceDN w:val="0"/>
        <w:adjustRightInd w:val="0"/>
        <w:contextualSpacing/>
        <w:rPr>
          <w:rFonts w:cs="Arial"/>
          <w:b/>
          <w:i/>
          <w:color w:val="000000" w:themeColor="text1"/>
          <w:highlight w:val="yellow"/>
          <w:lang w:eastAsia="cs-CZ"/>
        </w:rPr>
      </w:pPr>
    </w:p>
    <w:p w14:paraId="0EE461CC" w14:textId="77777777" w:rsidR="00BF7598" w:rsidRDefault="00BF7598" w:rsidP="007C4955">
      <w:pPr>
        <w:autoSpaceDE w:val="0"/>
        <w:autoSpaceDN w:val="0"/>
        <w:adjustRightInd w:val="0"/>
        <w:contextualSpacing/>
        <w:rPr>
          <w:rFonts w:cs="Arial"/>
          <w:b/>
          <w:i/>
          <w:color w:val="000000" w:themeColor="text1"/>
          <w:lang w:eastAsia="cs-CZ"/>
        </w:rPr>
      </w:pPr>
    </w:p>
    <w:p w14:paraId="4DABEA7B" w14:textId="5E0C09E4" w:rsidR="00907C6F" w:rsidRPr="001C6765" w:rsidRDefault="00907C6F" w:rsidP="007C4955">
      <w:pPr>
        <w:autoSpaceDE w:val="0"/>
        <w:autoSpaceDN w:val="0"/>
        <w:adjustRightInd w:val="0"/>
        <w:contextualSpacing/>
        <w:rPr>
          <w:rFonts w:cs="Arial"/>
          <w:b/>
          <w:i/>
          <w:color w:val="000000" w:themeColor="text1"/>
          <w:lang w:eastAsia="cs-CZ"/>
        </w:rPr>
      </w:pPr>
      <w:r w:rsidRPr="001C6765">
        <w:rPr>
          <w:rFonts w:cs="Arial"/>
          <w:b/>
          <w:i/>
          <w:color w:val="000000" w:themeColor="text1"/>
          <w:lang w:eastAsia="cs-CZ"/>
        </w:rPr>
        <w:t xml:space="preserve">Tabulka </w:t>
      </w:r>
      <w:r w:rsidR="006130D6" w:rsidRPr="001C6765">
        <w:rPr>
          <w:rFonts w:cs="Arial"/>
          <w:b/>
          <w:i/>
          <w:color w:val="000000" w:themeColor="text1"/>
          <w:lang w:eastAsia="cs-CZ"/>
        </w:rPr>
        <w:t>11</w:t>
      </w:r>
      <w:r w:rsidRPr="001C6765">
        <w:rPr>
          <w:rFonts w:cs="Arial"/>
          <w:b/>
          <w:i/>
          <w:color w:val="000000" w:themeColor="text1"/>
          <w:lang w:eastAsia="cs-CZ"/>
        </w:rPr>
        <w:t>.1.3.</w:t>
      </w:r>
      <w:r w:rsidR="00011DBB" w:rsidRPr="001C6765">
        <w:rPr>
          <w:rFonts w:cs="Arial"/>
          <w:b/>
          <w:i/>
          <w:color w:val="000000" w:themeColor="text1"/>
          <w:lang w:eastAsia="cs-CZ"/>
        </w:rPr>
        <w:t>2</w:t>
      </w:r>
      <w:r w:rsidR="00763128" w:rsidRPr="001C6765">
        <w:rPr>
          <w:rFonts w:cs="Arial"/>
          <w:b/>
          <w:i/>
          <w:color w:val="000000" w:themeColor="text1"/>
          <w:lang w:eastAsia="cs-CZ"/>
        </w:rPr>
        <w:t xml:space="preserve"> </w:t>
      </w:r>
    </w:p>
    <w:p w14:paraId="574F4E1E" w14:textId="60D676F5" w:rsidR="00907C6F" w:rsidRPr="001C6765" w:rsidRDefault="00907C6F" w:rsidP="007C4955">
      <w:pPr>
        <w:autoSpaceDE w:val="0"/>
        <w:autoSpaceDN w:val="0"/>
        <w:adjustRightInd w:val="0"/>
        <w:contextualSpacing/>
        <w:rPr>
          <w:rFonts w:cs="Arial"/>
          <w:b/>
          <w:i/>
          <w:color w:val="000000" w:themeColor="text1"/>
          <w:lang w:eastAsia="cs-CZ"/>
        </w:rPr>
      </w:pPr>
      <w:r w:rsidRPr="001C6765">
        <w:rPr>
          <w:rFonts w:cs="Arial"/>
          <w:b/>
          <w:i/>
          <w:color w:val="000000" w:themeColor="text1"/>
          <w:lang w:eastAsia="cs-CZ"/>
        </w:rPr>
        <w:t>Finanční prostředky vynaložené státními podniky Povodí na opravy, údržbu, budování, rekonstrukce a modernizaci vodních cest ve své správě v roce 20</w:t>
      </w:r>
      <w:r w:rsidR="002713DD" w:rsidRPr="001C6765">
        <w:rPr>
          <w:rFonts w:cs="Arial"/>
          <w:b/>
          <w:i/>
          <w:color w:val="000000" w:themeColor="text1"/>
          <w:lang w:eastAsia="cs-CZ"/>
        </w:rPr>
        <w:t>2</w:t>
      </w:r>
      <w:r w:rsidR="00187561" w:rsidRPr="001C6765">
        <w:rPr>
          <w:rFonts w:cs="Arial"/>
          <w:b/>
          <w:i/>
          <w:color w:val="000000" w:themeColor="text1"/>
          <w:lang w:eastAsia="cs-CZ"/>
        </w:rPr>
        <w:t>5</w:t>
      </w:r>
    </w:p>
    <w:tbl>
      <w:tblPr>
        <w:tblW w:w="8455" w:type="dxa"/>
        <w:tblInd w:w="55" w:type="dxa"/>
        <w:tblLayout w:type="fixed"/>
        <w:tblCellMar>
          <w:left w:w="0" w:type="dxa"/>
          <w:right w:w="227" w:type="dxa"/>
        </w:tblCellMar>
        <w:tblLook w:val="04A0" w:firstRow="1" w:lastRow="0" w:firstColumn="1" w:lastColumn="0" w:noHBand="0" w:noVBand="1"/>
      </w:tblPr>
      <w:tblGrid>
        <w:gridCol w:w="1084"/>
        <w:gridCol w:w="1418"/>
        <w:gridCol w:w="1559"/>
        <w:gridCol w:w="1418"/>
        <w:gridCol w:w="1275"/>
        <w:gridCol w:w="1701"/>
      </w:tblGrid>
      <w:tr w:rsidR="001C52E2" w:rsidRPr="001C6765" w14:paraId="476110B5" w14:textId="77777777" w:rsidTr="004B1B6F">
        <w:trPr>
          <w:trHeight w:val="253"/>
        </w:trPr>
        <w:tc>
          <w:tcPr>
            <w:tcW w:w="1084" w:type="dxa"/>
            <w:vMerge w:val="restart"/>
            <w:tcBorders>
              <w:top w:val="single" w:sz="4" w:space="0" w:color="auto"/>
              <w:left w:val="single" w:sz="4" w:space="0" w:color="auto"/>
              <w:right w:val="single" w:sz="4" w:space="0" w:color="auto"/>
            </w:tcBorders>
            <w:shd w:val="clear" w:color="auto" w:fill="BFBFBF"/>
            <w:vAlign w:val="center"/>
            <w:hideMark/>
          </w:tcPr>
          <w:p w14:paraId="1874C226" w14:textId="77777777" w:rsidR="00B9375E" w:rsidRPr="008313DC" w:rsidRDefault="00B9375E" w:rsidP="007C4955">
            <w:pPr>
              <w:ind w:left="92"/>
              <w:contextualSpacing/>
              <w:rPr>
                <w:rFonts w:cs="Arial"/>
                <w:b/>
                <w:bCs/>
                <w:color w:val="000000" w:themeColor="text1"/>
                <w:sz w:val="20"/>
                <w:szCs w:val="20"/>
              </w:rPr>
            </w:pPr>
            <w:r w:rsidRPr="008313DC">
              <w:rPr>
                <w:rFonts w:cs="Arial"/>
                <w:b/>
                <w:bCs/>
                <w:color w:val="000000" w:themeColor="text1"/>
                <w:sz w:val="20"/>
                <w:szCs w:val="20"/>
              </w:rPr>
              <w:t>Státní podnik Povodí</w:t>
            </w:r>
          </w:p>
        </w:tc>
        <w:tc>
          <w:tcPr>
            <w:tcW w:w="1418" w:type="dxa"/>
            <w:vMerge w:val="restart"/>
            <w:tcBorders>
              <w:top w:val="single" w:sz="4" w:space="0" w:color="auto"/>
              <w:left w:val="nil"/>
              <w:right w:val="single" w:sz="4" w:space="0" w:color="auto"/>
            </w:tcBorders>
            <w:shd w:val="clear" w:color="auto" w:fill="BFBFBF"/>
            <w:vAlign w:val="center"/>
            <w:hideMark/>
          </w:tcPr>
          <w:p w14:paraId="5248D8D6" w14:textId="77777777" w:rsidR="00B9375E" w:rsidRPr="008313DC" w:rsidRDefault="00B9375E" w:rsidP="007C4955">
            <w:pPr>
              <w:tabs>
                <w:tab w:val="left" w:pos="1411"/>
              </w:tabs>
              <w:ind w:right="-194"/>
              <w:contextualSpacing/>
              <w:jc w:val="center"/>
              <w:rPr>
                <w:rFonts w:cs="Arial"/>
                <w:b/>
                <w:bCs/>
                <w:color w:val="000000" w:themeColor="text1"/>
                <w:sz w:val="20"/>
                <w:szCs w:val="20"/>
              </w:rPr>
            </w:pPr>
            <w:r w:rsidRPr="008313DC">
              <w:rPr>
                <w:rFonts w:cs="Arial"/>
                <w:b/>
                <w:bCs/>
                <w:color w:val="000000" w:themeColor="text1"/>
                <w:sz w:val="20"/>
                <w:szCs w:val="20"/>
              </w:rPr>
              <w:t>Vlastní zdroje</w:t>
            </w:r>
          </w:p>
        </w:tc>
        <w:tc>
          <w:tcPr>
            <w:tcW w:w="1559" w:type="dxa"/>
            <w:vMerge w:val="restart"/>
            <w:tcBorders>
              <w:top w:val="single" w:sz="4" w:space="0" w:color="auto"/>
              <w:left w:val="nil"/>
              <w:right w:val="single" w:sz="4" w:space="0" w:color="auto"/>
            </w:tcBorders>
            <w:shd w:val="clear" w:color="auto" w:fill="BFBFBF"/>
            <w:vAlign w:val="center"/>
            <w:hideMark/>
          </w:tcPr>
          <w:p w14:paraId="4FB369F3" w14:textId="77777777" w:rsidR="00B9375E" w:rsidRPr="008313DC" w:rsidRDefault="00B9375E" w:rsidP="007C4955">
            <w:pPr>
              <w:ind w:left="-20" w:right="-254"/>
              <w:contextualSpacing/>
              <w:jc w:val="center"/>
              <w:rPr>
                <w:rFonts w:cs="Arial"/>
                <w:b/>
                <w:bCs/>
                <w:color w:val="000000" w:themeColor="text1"/>
                <w:sz w:val="20"/>
                <w:szCs w:val="20"/>
              </w:rPr>
            </w:pPr>
            <w:r w:rsidRPr="008313DC">
              <w:rPr>
                <w:rFonts w:cs="Arial"/>
                <w:b/>
                <w:bCs/>
                <w:color w:val="000000" w:themeColor="text1"/>
                <w:sz w:val="20"/>
                <w:szCs w:val="20"/>
              </w:rPr>
              <w:t xml:space="preserve">Účelové neinvestiční dotace </w:t>
            </w:r>
            <w:r w:rsidRPr="008313DC">
              <w:rPr>
                <w:rFonts w:cs="Arial"/>
                <w:i/>
                <w:color w:val="000000" w:themeColor="text1"/>
                <w:sz w:val="20"/>
                <w:szCs w:val="20"/>
                <w:vertAlign w:val="superscript"/>
                <w:lang w:eastAsia="cs-CZ"/>
              </w:rPr>
              <w:t>*)</w:t>
            </w:r>
            <w:r w:rsidRPr="008313DC">
              <w:rPr>
                <w:rFonts w:cs="Arial"/>
                <w:b/>
                <w:bCs/>
                <w:color w:val="000000" w:themeColor="text1"/>
                <w:sz w:val="20"/>
                <w:szCs w:val="20"/>
              </w:rPr>
              <w:t xml:space="preserve"> </w:t>
            </w:r>
          </w:p>
        </w:tc>
        <w:tc>
          <w:tcPr>
            <w:tcW w:w="1418" w:type="dxa"/>
            <w:vMerge w:val="restart"/>
            <w:tcBorders>
              <w:top w:val="single" w:sz="4" w:space="0" w:color="auto"/>
              <w:left w:val="nil"/>
              <w:bottom w:val="single" w:sz="4" w:space="0" w:color="auto"/>
              <w:right w:val="single" w:sz="4" w:space="0" w:color="auto"/>
            </w:tcBorders>
            <w:shd w:val="clear" w:color="auto" w:fill="BFBFBF"/>
            <w:vAlign w:val="center"/>
          </w:tcPr>
          <w:p w14:paraId="30F471CF" w14:textId="77777777" w:rsidR="00B9375E" w:rsidRPr="008313DC" w:rsidRDefault="00B9375E" w:rsidP="007C4955">
            <w:pPr>
              <w:contextualSpacing/>
              <w:jc w:val="center"/>
              <w:rPr>
                <w:rFonts w:cs="Arial"/>
                <w:b/>
                <w:bCs/>
                <w:color w:val="000000" w:themeColor="text1"/>
                <w:sz w:val="20"/>
                <w:szCs w:val="20"/>
              </w:rPr>
            </w:pPr>
            <w:r w:rsidRPr="008313DC">
              <w:rPr>
                <w:rFonts w:cs="Arial"/>
                <w:b/>
                <w:bCs/>
                <w:color w:val="000000" w:themeColor="text1"/>
                <w:sz w:val="20"/>
                <w:szCs w:val="20"/>
              </w:rPr>
              <w:t>Investiční dotace</w:t>
            </w:r>
            <w:r w:rsidRPr="008313DC">
              <w:rPr>
                <w:rFonts w:cs="Arial"/>
                <w:i/>
                <w:color w:val="000000" w:themeColor="text1"/>
                <w:sz w:val="20"/>
                <w:szCs w:val="20"/>
                <w:vertAlign w:val="superscript"/>
                <w:lang w:eastAsia="cs-CZ"/>
              </w:rPr>
              <w:t>*)</w:t>
            </w:r>
          </w:p>
        </w:tc>
        <w:tc>
          <w:tcPr>
            <w:tcW w:w="1275" w:type="dxa"/>
            <w:vMerge w:val="restart"/>
            <w:tcBorders>
              <w:top w:val="single" w:sz="4" w:space="0" w:color="auto"/>
              <w:left w:val="single" w:sz="4" w:space="0" w:color="auto"/>
              <w:right w:val="single" w:sz="4" w:space="0" w:color="auto"/>
            </w:tcBorders>
            <w:shd w:val="clear" w:color="auto" w:fill="BFBFBF"/>
            <w:vAlign w:val="center"/>
            <w:hideMark/>
          </w:tcPr>
          <w:p w14:paraId="2CBEE692" w14:textId="77777777" w:rsidR="00B9375E" w:rsidRPr="008313DC" w:rsidRDefault="00B9375E" w:rsidP="007C4955">
            <w:pPr>
              <w:contextualSpacing/>
              <w:jc w:val="center"/>
              <w:rPr>
                <w:rFonts w:cs="Arial"/>
                <w:b/>
                <w:bCs/>
                <w:color w:val="000000" w:themeColor="text1"/>
                <w:sz w:val="20"/>
                <w:szCs w:val="20"/>
              </w:rPr>
            </w:pPr>
            <w:r w:rsidRPr="008313DC">
              <w:rPr>
                <w:rFonts w:cs="Arial"/>
                <w:b/>
                <w:bCs/>
                <w:color w:val="000000" w:themeColor="text1"/>
                <w:sz w:val="20"/>
                <w:szCs w:val="20"/>
              </w:rPr>
              <w:t>Dotace celkem</w:t>
            </w:r>
          </w:p>
        </w:tc>
        <w:tc>
          <w:tcPr>
            <w:tcW w:w="1701" w:type="dxa"/>
            <w:vMerge w:val="restart"/>
            <w:tcBorders>
              <w:top w:val="single" w:sz="4" w:space="0" w:color="auto"/>
              <w:left w:val="nil"/>
              <w:right w:val="single" w:sz="4" w:space="0" w:color="auto"/>
            </w:tcBorders>
            <w:shd w:val="clear" w:color="auto" w:fill="BFBFBF"/>
            <w:vAlign w:val="center"/>
          </w:tcPr>
          <w:p w14:paraId="32A036BF" w14:textId="77777777" w:rsidR="00B9375E" w:rsidRPr="008313DC" w:rsidRDefault="00B9375E" w:rsidP="007C4955">
            <w:pPr>
              <w:contextualSpacing/>
              <w:jc w:val="center"/>
              <w:rPr>
                <w:rFonts w:cs="Arial"/>
                <w:b/>
                <w:bCs/>
                <w:color w:val="000000" w:themeColor="text1"/>
                <w:sz w:val="20"/>
                <w:szCs w:val="20"/>
              </w:rPr>
            </w:pPr>
            <w:r w:rsidRPr="008313DC">
              <w:rPr>
                <w:rFonts w:cs="Arial"/>
                <w:b/>
                <w:bCs/>
                <w:color w:val="000000" w:themeColor="text1"/>
                <w:sz w:val="20"/>
                <w:szCs w:val="20"/>
              </w:rPr>
              <w:t>Celkem vlastní zdroje a dotace</w:t>
            </w:r>
          </w:p>
        </w:tc>
      </w:tr>
      <w:tr w:rsidR="001C52E2" w:rsidRPr="001C6765" w14:paraId="1CFFE598" w14:textId="77777777" w:rsidTr="004B1B6F">
        <w:trPr>
          <w:trHeight w:val="230"/>
        </w:trPr>
        <w:tc>
          <w:tcPr>
            <w:tcW w:w="1084" w:type="dxa"/>
            <w:vMerge/>
            <w:tcBorders>
              <w:left w:val="single" w:sz="4" w:space="0" w:color="auto"/>
              <w:right w:val="single" w:sz="4" w:space="0" w:color="auto"/>
            </w:tcBorders>
            <w:shd w:val="clear" w:color="auto" w:fill="BFBFBF"/>
            <w:vAlign w:val="center"/>
          </w:tcPr>
          <w:p w14:paraId="71CAC8FE" w14:textId="77777777" w:rsidR="00B9375E" w:rsidRPr="008313DC" w:rsidRDefault="00B9375E" w:rsidP="007C4955">
            <w:pPr>
              <w:ind w:left="92"/>
              <w:contextualSpacing/>
              <w:rPr>
                <w:rFonts w:cs="Arial"/>
                <w:b/>
                <w:bCs/>
                <w:color w:val="000000" w:themeColor="text1"/>
                <w:sz w:val="20"/>
                <w:szCs w:val="20"/>
              </w:rPr>
            </w:pPr>
          </w:p>
        </w:tc>
        <w:tc>
          <w:tcPr>
            <w:tcW w:w="1418" w:type="dxa"/>
            <w:vMerge/>
            <w:tcBorders>
              <w:left w:val="nil"/>
              <w:bottom w:val="single" w:sz="4" w:space="0" w:color="auto"/>
              <w:right w:val="single" w:sz="4" w:space="0" w:color="auto"/>
            </w:tcBorders>
            <w:shd w:val="clear" w:color="auto" w:fill="BFBFBF"/>
            <w:vAlign w:val="center"/>
          </w:tcPr>
          <w:p w14:paraId="0B8D9EEE" w14:textId="77777777" w:rsidR="00B9375E" w:rsidRPr="008313DC" w:rsidRDefault="00B9375E" w:rsidP="007C4955">
            <w:pPr>
              <w:tabs>
                <w:tab w:val="left" w:pos="1411"/>
              </w:tabs>
              <w:ind w:right="-194"/>
              <w:contextualSpacing/>
              <w:jc w:val="center"/>
              <w:rPr>
                <w:rFonts w:cs="Arial"/>
                <w:b/>
                <w:bCs/>
                <w:color w:val="000000" w:themeColor="text1"/>
                <w:sz w:val="20"/>
                <w:szCs w:val="20"/>
              </w:rPr>
            </w:pPr>
          </w:p>
        </w:tc>
        <w:tc>
          <w:tcPr>
            <w:tcW w:w="1559" w:type="dxa"/>
            <w:vMerge/>
            <w:tcBorders>
              <w:left w:val="nil"/>
              <w:bottom w:val="single" w:sz="4" w:space="0" w:color="auto"/>
              <w:right w:val="single" w:sz="4" w:space="0" w:color="auto"/>
            </w:tcBorders>
            <w:shd w:val="clear" w:color="auto" w:fill="BFBFBF"/>
            <w:vAlign w:val="center"/>
          </w:tcPr>
          <w:p w14:paraId="5316BE3E" w14:textId="77777777" w:rsidR="00B9375E" w:rsidRPr="008313DC" w:rsidRDefault="00B9375E" w:rsidP="007C4955">
            <w:pPr>
              <w:contextualSpacing/>
              <w:jc w:val="center"/>
              <w:rPr>
                <w:rFonts w:cs="Arial"/>
                <w:b/>
                <w:bCs/>
                <w:color w:val="000000" w:themeColor="text1"/>
                <w:sz w:val="20"/>
                <w:szCs w:val="20"/>
              </w:rPr>
            </w:pPr>
          </w:p>
        </w:tc>
        <w:tc>
          <w:tcPr>
            <w:tcW w:w="1418" w:type="dxa"/>
            <w:vMerge/>
            <w:tcBorders>
              <w:top w:val="single" w:sz="4" w:space="0" w:color="auto"/>
              <w:left w:val="nil"/>
              <w:bottom w:val="single" w:sz="4" w:space="0" w:color="auto"/>
              <w:right w:val="single" w:sz="4" w:space="0" w:color="auto"/>
            </w:tcBorders>
            <w:shd w:val="clear" w:color="auto" w:fill="BFBFBF"/>
          </w:tcPr>
          <w:p w14:paraId="2A8D29B1" w14:textId="77777777" w:rsidR="00B9375E" w:rsidRPr="008313DC" w:rsidRDefault="00B9375E" w:rsidP="007C4955">
            <w:pPr>
              <w:contextualSpacing/>
              <w:jc w:val="center"/>
              <w:rPr>
                <w:rFonts w:cs="Arial"/>
                <w:b/>
                <w:bCs/>
                <w:color w:val="000000" w:themeColor="text1"/>
                <w:sz w:val="20"/>
                <w:szCs w:val="20"/>
              </w:rPr>
            </w:pPr>
          </w:p>
        </w:tc>
        <w:tc>
          <w:tcPr>
            <w:tcW w:w="1275" w:type="dxa"/>
            <w:vMerge/>
            <w:tcBorders>
              <w:left w:val="single" w:sz="4" w:space="0" w:color="auto"/>
              <w:bottom w:val="single" w:sz="4" w:space="0" w:color="auto"/>
              <w:right w:val="single" w:sz="4" w:space="0" w:color="auto"/>
            </w:tcBorders>
            <w:shd w:val="clear" w:color="auto" w:fill="BFBFBF"/>
            <w:vAlign w:val="center"/>
          </w:tcPr>
          <w:p w14:paraId="048524A0" w14:textId="77777777" w:rsidR="00B9375E" w:rsidRPr="008313DC" w:rsidRDefault="00B9375E" w:rsidP="007C4955">
            <w:pPr>
              <w:contextualSpacing/>
              <w:jc w:val="center"/>
              <w:rPr>
                <w:rFonts w:cs="Arial"/>
                <w:b/>
                <w:bCs/>
                <w:color w:val="000000" w:themeColor="text1"/>
                <w:sz w:val="20"/>
                <w:szCs w:val="20"/>
              </w:rPr>
            </w:pPr>
          </w:p>
        </w:tc>
        <w:tc>
          <w:tcPr>
            <w:tcW w:w="1701" w:type="dxa"/>
            <w:vMerge/>
            <w:tcBorders>
              <w:left w:val="nil"/>
              <w:bottom w:val="single" w:sz="4" w:space="0" w:color="auto"/>
              <w:right w:val="single" w:sz="4" w:space="0" w:color="auto"/>
            </w:tcBorders>
            <w:shd w:val="clear" w:color="auto" w:fill="BFBFBF"/>
            <w:vAlign w:val="center"/>
          </w:tcPr>
          <w:p w14:paraId="02DABFE2" w14:textId="77777777" w:rsidR="00B9375E" w:rsidRPr="008313DC" w:rsidRDefault="00B9375E" w:rsidP="007C4955">
            <w:pPr>
              <w:contextualSpacing/>
              <w:jc w:val="center"/>
              <w:rPr>
                <w:rFonts w:cs="Arial"/>
                <w:b/>
                <w:bCs/>
                <w:color w:val="000000" w:themeColor="text1"/>
                <w:sz w:val="20"/>
                <w:szCs w:val="20"/>
              </w:rPr>
            </w:pPr>
          </w:p>
        </w:tc>
      </w:tr>
      <w:tr w:rsidR="001C52E2" w:rsidRPr="001C6765" w14:paraId="5410723C" w14:textId="77777777" w:rsidTr="004B1B6F">
        <w:trPr>
          <w:trHeight w:val="20"/>
        </w:trPr>
        <w:tc>
          <w:tcPr>
            <w:tcW w:w="1084" w:type="dxa"/>
            <w:vMerge/>
            <w:tcBorders>
              <w:left w:val="single" w:sz="4" w:space="0" w:color="auto"/>
              <w:bottom w:val="single" w:sz="4" w:space="0" w:color="auto"/>
              <w:right w:val="single" w:sz="4" w:space="0" w:color="auto"/>
            </w:tcBorders>
            <w:shd w:val="clear" w:color="auto" w:fill="BFBFBF"/>
            <w:vAlign w:val="center"/>
          </w:tcPr>
          <w:p w14:paraId="2017BD4F" w14:textId="77777777" w:rsidR="00B9375E" w:rsidRPr="008313DC" w:rsidRDefault="00B9375E" w:rsidP="007C4955">
            <w:pPr>
              <w:ind w:left="92"/>
              <w:contextualSpacing/>
              <w:rPr>
                <w:rFonts w:cs="Arial"/>
                <w:b/>
                <w:bCs/>
                <w:color w:val="000000" w:themeColor="text1"/>
                <w:sz w:val="20"/>
                <w:szCs w:val="20"/>
              </w:rPr>
            </w:pPr>
          </w:p>
        </w:tc>
        <w:tc>
          <w:tcPr>
            <w:tcW w:w="7371" w:type="dxa"/>
            <w:gridSpan w:val="5"/>
            <w:tcBorders>
              <w:left w:val="nil"/>
              <w:bottom w:val="single" w:sz="4" w:space="0" w:color="auto"/>
              <w:right w:val="single" w:sz="4" w:space="0" w:color="auto"/>
            </w:tcBorders>
            <w:shd w:val="clear" w:color="auto" w:fill="BFBFBF"/>
            <w:vAlign w:val="center"/>
          </w:tcPr>
          <w:p w14:paraId="49C635F2" w14:textId="77777777" w:rsidR="00B9375E" w:rsidRPr="008313DC" w:rsidRDefault="00B9375E" w:rsidP="007C4955">
            <w:pPr>
              <w:contextualSpacing/>
              <w:jc w:val="center"/>
              <w:rPr>
                <w:rFonts w:cs="Arial"/>
                <w:b/>
                <w:bCs/>
                <w:color w:val="000000" w:themeColor="text1"/>
                <w:sz w:val="20"/>
                <w:szCs w:val="20"/>
              </w:rPr>
            </w:pPr>
            <w:r w:rsidRPr="008313DC">
              <w:rPr>
                <w:rFonts w:cs="Arial"/>
                <w:b/>
                <w:bCs/>
                <w:color w:val="000000" w:themeColor="text1"/>
                <w:sz w:val="20"/>
                <w:szCs w:val="20"/>
              </w:rPr>
              <w:t>tis. Kč</w:t>
            </w:r>
          </w:p>
        </w:tc>
      </w:tr>
      <w:tr w:rsidR="00EA232B" w:rsidRPr="001C6765" w14:paraId="51F1223E" w14:textId="77777777" w:rsidTr="00997263">
        <w:trPr>
          <w:trHeight w:val="20"/>
        </w:trPr>
        <w:tc>
          <w:tcPr>
            <w:tcW w:w="1084" w:type="dxa"/>
            <w:tcBorders>
              <w:top w:val="nil"/>
              <w:left w:val="single" w:sz="4" w:space="0" w:color="auto"/>
              <w:bottom w:val="single" w:sz="4" w:space="0" w:color="auto"/>
              <w:right w:val="single" w:sz="4" w:space="0" w:color="auto"/>
            </w:tcBorders>
            <w:vAlign w:val="center"/>
            <w:hideMark/>
          </w:tcPr>
          <w:p w14:paraId="15FB422A" w14:textId="77777777" w:rsidR="00EA232B" w:rsidRPr="008313DC" w:rsidRDefault="00EA232B" w:rsidP="00EA232B">
            <w:pPr>
              <w:ind w:left="92"/>
              <w:contextualSpacing/>
              <w:rPr>
                <w:rFonts w:cs="Arial"/>
                <w:b/>
                <w:color w:val="000000" w:themeColor="text1"/>
                <w:sz w:val="20"/>
                <w:szCs w:val="20"/>
              </w:rPr>
            </w:pPr>
            <w:r w:rsidRPr="008313DC">
              <w:rPr>
                <w:rFonts w:cs="Arial"/>
                <w:b/>
                <w:color w:val="000000" w:themeColor="text1"/>
                <w:sz w:val="20"/>
                <w:szCs w:val="20"/>
              </w:rPr>
              <w:t>Labe</w:t>
            </w:r>
          </w:p>
        </w:tc>
        <w:tc>
          <w:tcPr>
            <w:tcW w:w="1418" w:type="dxa"/>
            <w:tcBorders>
              <w:top w:val="nil"/>
              <w:left w:val="nil"/>
              <w:bottom w:val="single" w:sz="4" w:space="0" w:color="auto"/>
              <w:right w:val="single" w:sz="4" w:space="0" w:color="auto"/>
            </w:tcBorders>
            <w:vAlign w:val="center"/>
          </w:tcPr>
          <w:p w14:paraId="6325FAFB" w14:textId="4E330DB8" w:rsidR="00EA232B" w:rsidRPr="008313DC" w:rsidRDefault="00EA232B" w:rsidP="00EA232B">
            <w:pPr>
              <w:contextualSpacing/>
              <w:jc w:val="right"/>
              <w:rPr>
                <w:rFonts w:ascii="Calibri" w:hAnsi="Calibri"/>
                <w:color w:val="000000" w:themeColor="text1"/>
                <w:sz w:val="20"/>
                <w:szCs w:val="20"/>
                <w:lang w:eastAsia="cs-CZ"/>
              </w:rPr>
            </w:pPr>
            <w:r w:rsidRPr="008313DC">
              <w:rPr>
                <w:rFonts w:cs="Arial"/>
                <w:color w:val="000000"/>
                <w:sz w:val="20"/>
                <w:szCs w:val="20"/>
              </w:rPr>
              <w:t>99 927</w:t>
            </w:r>
          </w:p>
        </w:tc>
        <w:tc>
          <w:tcPr>
            <w:tcW w:w="1559" w:type="dxa"/>
            <w:tcBorders>
              <w:top w:val="nil"/>
              <w:left w:val="nil"/>
              <w:bottom w:val="single" w:sz="4" w:space="0" w:color="auto"/>
              <w:right w:val="single" w:sz="4" w:space="0" w:color="auto"/>
            </w:tcBorders>
            <w:vAlign w:val="center"/>
          </w:tcPr>
          <w:p w14:paraId="431A5217" w14:textId="45BE476A" w:rsidR="00EA232B" w:rsidRPr="008313DC" w:rsidRDefault="00EA232B" w:rsidP="00EA232B">
            <w:pPr>
              <w:contextualSpacing/>
              <w:jc w:val="right"/>
              <w:rPr>
                <w:color w:val="000000" w:themeColor="text1"/>
                <w:sz w:val="20"/>
                <w:szCs w:val="20"/>
              </w:rPr>
            </w:pPr>
            <w:r w:rsidRPr="008313DC">
              <w:rPr>
                <w:rFonts w:cs="Arial"/>
                <w:color w:val="000000"/>
                <w:sz w:val="20"/>
                <w:szCs w:val="20"/>
              </w:rPr>
              <w:t>99 327</w:t>
            </w:r>
          </w:p>
        </w:tc>
        <w:tc>
          <w:tcPr>
            <w:tcW w:w="1418" w:type="dxa"/>
            <w:tcBorders>
              <w:top w:val="single" w:sz="4" w:space="0" w:color="auto"/>
              <w:left w:val="single" w:sz="4" w:space="0" w:color="auto"/>
              <w:bottom w:val="single" w:sz="4" w:space="0" w:color="auto"/>
              <w:right w:val="single" w:sz="4" w:space="0" w:color="auto"/>
            </w:tcBorders>
            <w:vAlign w:val="center"/>
          </w:tcPr>
          <w:p w14:paraId="63CC0D34" w14:textId="70319CC2" w:rsidR="00EA232B" w:rsidRPr="008313DC" w:rsidRDefault="00EA232B" w:rsidP="00EA232B">
            <w:pPr>
              <w:contextualSpacing/>
              <w:jc w:val="right"/>
              <w:rPr>
                <w:color w:val="000000" w:themeColor="text1"/>
                <w:sz w:val="20"/>
                <w:szCs w:val="20"/>
              </w:rPr>
            </w:pPr>
            <w:r w:rsidRPr="008313DC">
              <w:rPr>
                <w:rFonts w:cs="Arial"/>
                <w:color w:val="000000"/>
                <w:sz w:val="20"/>
                <w:szCs w:val="20"/>
              </w:rPr>
              <w:t>18 013</w:t>
            </w:r>
          </w:p>
        </w:tc>
        <w:tc>
          <w:tcPr>
            <w:tcW w:w="1275" w:type="dxa"/>
            <w:tcBorders>
              <w:top w:val="nil"/>
              <w:left w:val="single" w:sz="4" w:space="0" w:color="auto"/>
              <w:bottom w:val="single" w:sz="4" w:space="0" w:color="auto"/>
              <w:right w:val="single" w:sz="4" w:space="0" w:color="auto"/>
            </w:tcBorders>
            <w:shd w:val="clear" w:color="auto" w:fill="BFBFBF"/>
            <w:vAlign w:val="center"/>
          </w:tcPr>
          <w:p w14:paraId="26235D5B" w14:textId="506C4B4A" w:rsidR="00EA232B" w:rsidRPr="008313DC" w:rsidRDefault="00EA232B" w:rsidP="00EA232B">
            <w:pPr>
              <w:ind w:right="57"/>
              <w:contextualSpacing/>
              <w:jc w:val="right"/>
              <w:rPr>
                <w:b/>
                <w:bCs/>
                <w:color w:val="000000" w:themeColor="text1"/>
                <w:sz w:val="20"/>
                <w:szCs w:val="20"/>
              </w:rPr>
            </w:pPr>
            <w:r w:rsidRPr="008313DC">
              <w:rPr>
                <w:rFonts w:cs="Arial"/>
                <w:b/>
                <w:bCs/>
                <w:color w:val="000000"/>
                <w:sz w:val="20"/>
                <w:szCs w:val="20"/>
              </w:rPr>
              <w:t>117 340</w:t>
            </w:r>
          </w:p>
        </w:tc>
        <w:tc>
          <w:tcPr>
            <w:tcW w:w="1701" w:type="dxa"/>
            <w:tcBorders>
              <w:top w:val="nil"/>
              <w:left w:val="nil"/>
              <w:bottom w:val="single" w:sz="4" w:space="0" w:color="auto"/>
              <w:right w:val="single" w:sz="4" w:space="0" w:color="auto"/>
            </w:tcBorders>
            <w:shd w:val="clear" w:color="auto" w:fill="BFBFBF"/>
            <w:vAlign w:val="bottom"/>
          </w:tcPr>
          <w:p w14:paraId="35C14141" w14:textId="7D379489" w:rsidR="00EA232B" w:rsidRPr="007A6CDE" w:rsidRDefault="00EA232B" w:rsidP="00EA232B">
            <w:pPr>
              <w:ind w:right="232"/>
              <w:contextualSpacing/>
              <w:jc w:val="right"/>
              <w:rPr>
                <w:b/>
                <w:bCs/>
                <w:color w:val="000000" w:themeColor="text1"/>
                <w:sz w:val="20"/>
                <w:szCs w:val="20"/>
              </w:rPr>
            </w:pPr>
            <w:r w:rsidRPr="007A6CDE">
              <w:rPr>
                <w:rFonts w:cs="Arial"/>
                <w:b/>
                <w:bCs/>
                <w:color w:val="000000"/>
                <w:sz w:val="20"/>
                <w:szCs w:val="20"/>
              </w:rPr>
              <w:t xml:space="preserve">217 267 </w:t>
            </w:r>
          </w:p>
        </w:tc>
      </w:tr>
      <w:tr w:rsidR="00EA232B" w:rsidRPr="001C6765" w14:paraId="019DBC93" w14:textId="77777777" w:rsidTr="00997263">
        <w:trPr>
          <w:trHeight w:val="20"/>
        </w:trPr>
        <w:tc>
          <w:tcPr>
            <w:tcW w:w="1084" w:type="dxa"/>
            <w:tcBorders>
              <w:top w:val="nil"/>
              <w:left w:val="single" w:sz="4" w:space="0" w:color="auto"/>
              <w:bottom w:val="single" w:sz="4" w:space="0" w:color="auto"/>
              <w:right w:val="single" w:sz="4" w:space="0" w:color="auto"/>
            </w:tcBorders>
            <w:vAlign w:val="center"/>
            <w:hideMark/>
          </w:tcPr>
          <w:p w14:paraId="2ABB973E" w14:textId="77777777" w:rsidR="00EA232B" w:rsidRPr="008313DC" w:rsidRDefault="00EA232B" w:rsidP="00EA232B">
            <w:pPr>
              <w:ind w:left="92"/>
              <w:contextualSpacing/>
              <w:rPr>
                <w:rFonts w:cs="Arial"/>
                <w:b/>
                <w:color w:val="000000" w:themeColor="text1"/>
                <w:sz w:val="20"/>
                <w:szCs w:val="20"/>
              </w:rPr>
            </w:pPr>
            <w:r w:rsidRPr="008313DC">
              <w:rPr>
                <w:rFonts w:cs="Arial"/>
                <w:b/>
                <w:color w:val="000000" w:themeColor="text1"/>
                <w:sz w:val="20"/>
                <w:szCs w:val="20"/>
              </w:rPr>
              <w:t>Vltavy</w:t>
            </w:r>
          </w:p>
        </w:tc>
        <w:tc>
          <w:tcPr>
            <w:tcW w:w="1418" w:type="dxa"/>
            <w:tcBorders>
              <w:top w:val="nil"/>
              <w:left w:val="nil"/>
              <w:bottom w:val="single" w:sz="4" w:space="0" w:color="auto"/>
              <w:right w:val="single" w:sz="4" w:space="0" w:color="auto"/>
            </w:tcBorders>
            <w:vAlign w:val="center"/>
          </w:tcPr>
          <w:p w14:paraId="79A5DC85" w14:textId="0E05FC33" w:rsidR="00EA232B" w:rsidRPr="008313DC" w:rsidRDefault="00EA232B" w:rsidP="00EA232B">
            <w:pPr>
              <w:contextualSpacing/>
              <w:jc w:val="right"/>
              <w:rPr>
                <w:color w:val="000000" w:themeColor="text1"/>
                <w:sz w:val="20"/>
                <w:szCs w:val="20"/>
              </w:rPr>
            </w:pPr>
            <w:r w:rsidRPr="008313DC">
              <w:rPr>
                <w:rFonts w:cs="Arial"/>
                <w:color w:val="000000"/>
                <w:sz w:val="20"/>
                <w:szCs w:val="20"/>
              </w:rPr>
              <w:t>37 570</w:t>
            </w:r>
          </w:p>
        </w:tc>
        <w:tc>
          <w:tcPr>
            <w:tcW w:w="1559" w:type="dxa"/>
            <w:tcBorders>
              <w:top w:val="nil"/>
              <w:left w:val="nil"/>
              <w:bottom w:val="single" w:sz="4" w:space="0" w:color="auto"/>
              <w:right w:val="single" w:sz="4" w:space="0" w:color="auto"/>
            </w:tcBorders>
            <w:vAlign w:val="center"/>
          </w:tcPr>
          <w:p w14:paraId="6B09C097" w14:textId="6BA6C4D9" w:rsidR="00EA232B" w:rsidRPr="008313DC" w:rsidRDefault="00EA232B" w:rsidP="00EA232B">
            <w:pPr>
              <w:contextualSpacing/>
              <w:jc w:val="right"/>
              <w:rPr>
                <w:color w:val="000000" w:themeColor="text1"/>
                <w:sz w:val="20"/>
                <w:szCs w:val="20"/>
              </w:rPr>
            </w:pPr>
            <w:r w:rsidRPr="008313DC">
              <w:rPr>
                <w:rFonts w:cs="Arial"/>
                <w:color w:val="000000"/>
                <w:sz w:val="20"/>
                <w:szCs w:val="20"/>
              </w:rPr>
              <w:t>37 194</w:t>
            </w:r>
          </w:p>
        </w:tc>
        <w:tc>
          <w:tcPr>
            <w:tcW w:w="1418" w:type="dxa"/>
            <w:tcBorders>
              <w:top w:val="nil"/>
              <w:left w:val="single" w:sz="4" w:space="0" w:color="auto"/>
              <w:bottom w:val="single" w:sz="4" w:space="0" w:color="auto"/>
              <w:right w:val="single" w:sz="4" w:space="0" w:color="auto"/>
            </w:tcBorders>
            <w:vAlign w:val="center"/>
          </w:tcPr>
          <w:p w14:paraId="702E5ECF" w14:textId="19C06510" w:rsidR="00EA232B" w:rsidRPr="008313DC" w:rsidRDefault="00EA232B" w:rsidP="00EA232B">
            <w:pPr>
              <w:contextualSpacing/>
              <w:jc w:val="right"/>
              <w:rPr>
                <w:color w:val="000000" w:themeColor="text1"/>
                <w:sz w:val="20"/>
                <w:szCs w:val="20"/>
              </w:rPr>
            </w:pPr>
            <w:r w:rsidRPr="008313DC">
              <w:rPr>
                <w:rFonts w:cs="Arial"/>
                <w:color w:val="000000"/>
                <w:sz w:val="20"/>
                <w:szCs w:val="20"/>
              </w:rPr>
              <w:t>88 868</w:t>
            </w:r>
          </w:p>
        </w:tc>
        <w:tc>
          <w:tcPr>
            <w:tcW w:w="1275"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3DF81214" w14:textId="49E1D674" w:rsidR="00EA232B" w:rsidRPr="008313DC" w:rsidRDefault="00EA232B" w:rsidP="00EA232B">
            <w:pPr>
              <w:ind w:right="57"/>
              <w:contextualSpacing/>
              <w:jc w:val="right"/>
              <w:rPr>
                <w:b/>
                <w:bCs/>
                <w:color w:val="000000" w:themeColor="text1"/>
                <w:sz w:val="20"/>
                <w:szCs w:val="20"/>
              </w:rPr>
            </w:pPr>
            <w:r w:rsidRPr="008313DC">
              <w:rPr>
                <w:rFonts w:cs="Arial"/>
                <w:b/>
                <w:bCs/>
                <w:color w:val="000000"/>
                <w:sz w:val="20"/>
                <w:szCs w:val="20"/>
              </w:rPr>
              <w:t>126 062</w:t>
            </w:r>
          </w:p>
        </w:tc>
        <w:tc>
          <w:tcPr>
            <w:tcW w:w="1701" w:type="dxa"/>
            <w:tcBorders>
              <w:top w:val="nil"/>
              <w:left w:val="nil"/>
              <w:bottom w:val="single" w:sz="4" w:space="0" w:color="auto"/>
              <w:right w:val="single" w:sz="4" w:space="0" w:color="auto"/>
            </w:tcBorders>
            <w:shd w:val="clear" w:color="auto" w:fill="BFBFBF" w:themeFill="background1" w:themeFillShade="BF"/>
            <w:vAlign w:val="bottom"/>
          </w:tcPr>
          <w:p w14:paraId="70DA4BE0" w14:textId="0BC98CBD" w:rsidR="00EA232B" w:rsidRPr="007A6CDE" w:rsidRDefault="00EA232B" w:rsidP="00EA232B">
            <w:pPr>
              <w:ind w:right="232"/>
              <w:contextualSpacing/>
              <w:jc w:val="right"/>
              <w:rPr>
                <w:b/>
                <w:bCs/>
                <w:color w:val="000000" w:themeColor="text1"/>
                <w:sz w:val="20"/>
                <w:szCs w:val="20"/>
              </w:rPr>
            </w:pPr>
            <w:r w:rsidRPr="007A6CDE">
              <w:rPr>
                <w:rFonts w:cs="Arial"/>
                <w:b/>
                <w:bCs/>
                <w:color w:val="000000"/>
                <w:sz w:val="20"/>
                <w:szCs w:val="20"/>
              </w:rPr>
              <w:t>163 632</w:t>
            </w:r>
          </w:p>
        </w:tc>
      </w:tr>
      <w:tr w:rsidR="00EA232B" w:rsidRPr="001C6765" w14:paraId="5D592E27" w14:textId="77777777" w:rsidTr="00997263">
        <w:trPr>
          <w:trHeight w:val="20"/>
        </w:trPr>
        <w:tc>
          <w:tcPr>
            <w:tcW w:w="1084" w:type="dxa"/>
            <w:tcBorders>
              <w:top w:val="nil"/>
              <w:left w:val="single" w:sz="4" w:space="0" w:color="auto"/>
              <w:bottom w:val="single" w:sz="4" w:space="0" w:color="auto"/>
              <w:right w:val="single" w:sz="4" w:space="0" w:color="auto"/>
            </w:tcBorders>
            <w:vAlign w:val="center"/>
            <w:hideMark/>
          </w:tcPr>
          <w:p w14:paraId="1B5811F8" w14:textId="77777777" w:rsidR="00EA232B" w:rsidRPr="008313DC" w:rsidRDefault="00EA232B" w:rsidP="00EA232B">
            <w:pPr>
              <w:ind w:left="92"/>
              <w:contextualSpacing/>
              <w:rPr>
                <w:rFonts w:cs="Arial"/>
                <w:b/>
                <w:color w:val="000000" w:themeColor="text1"/>
                <w:sz w:val="20"/>
                <w:szCs w:val="20"/>
              </w:rPr>
            </w:pPr>
            <w:r w:rsidRPr="008313DC">
              <w:rPr>
                <w:rFonts w:cs="Arial"/>
                <w:b/>
                <w:color w:val="000000" w:themeColor="text1"/>
                <w:sz w:val="20"/>
                <w:szCs w:val="20"/>
              </w:rPr>
              <w:t>Moravy</w:t>
            </w:r>
          </w:p>
        </w:tc>
        <w:tc>
          <w:tcPr>
            <w:tcW w:w="1418" w:type="dxa"/>
            <w:tcBorders>
              <w:top w:val="nil"/>
              <w:left w:val="nil"/>
              <w:bottom w:val="single" w:sz="4" w:space="0" w:color="auto"/>
              <w:right w:val="single" w:sz="4" w:space="0" w:color="auto"/>
            </w:tcBorders>
            <w:vAlign w:val="center"/>
          </w:tcPr>
          <w:p w14:paraId="1CB62446" w14:textId="58812C64" w:rsidR="00EA232B" w:rsidRPr="008313DC" w:rsidRDefault="00EA232B" w:rsidP="00EA232B">
            <w:pPr>
              <w:contextualSpacing/>
              <w:jc w:val="right"/>
              <w:rPr>
                <w:color w:val="000000" w:themeColor="text1"/>
                <w:sz w:val="20"/>
                <w:szCs w:val="20"/>
                <w:lang w:eastAsia="cs-CZ"/>
              </w:rPr>
            </w:pPr>
            <w:r w:rsidRPr="008313DC">
              <w:rPr>
                <w:rFonts w:cs="Arial"/>
                <w:color w:val="000000"/>
                <w:sz w:val="20"/>
                <w:szCs w:val="20"/>
              </w:rPr>
              <w:t>5 091</w:t>
            </w:r>
          </w:p>
        </w:tc>
        <w:tc>
          <w:tcPr>
            <w:tcW w:w="1559" w:type="dxa"/>
            <w:tcBorders>
              <w:top w:val="nil"/>
              <w:left w:val="nil"/>
              <w:bottom w:val="single" w:sz="4" w:space="0" w:color="auto"/>
              <w:right w:val="single" w:sz="4" w:space="0" w:color="auto"/>
            </w:tcBorders>
            <w:vAlign w:val="center"/>
          </w:tcPr>
          <w:p w14:paraId="129A53DB" w14:textId="454E881F" w:rsidR="00EA232B" w:rsidRPr="008313DC" w:rsidRDefault="00EA232B" w:rsidP="00EA232B">
            <w:pPr>
              <w:contextualSpacing/>
              <w:jc w:val="right"/>
              <w:rPr>
                <w:color w:val="000000" w:themeColor="text1"/>
                <w:sz w:val="20"/>
                <w:szCs w:val="20"/>
              </w:rPr>
            </w:pPr>
            <w:r w:rsidRPr="008313DC">
              <w:rPr>
                <w:rFonts w:cs="Arial"/>
                <w:color w:val="000000"/>
                <w:sz w:val="20"/>
                <w:szCs w:val="20"/>
              </w:rPr>
              <w:t>32 937</w:t>
            </w:r>
          </w:p>
        </w:tc>
        <w:tc>
          <w:tcPr>
            <w:tcW w:w="1418" w:type="dxa"/>
            <w:tcBorders>
              <w:top w:val="nil"/>
              <w:left w:val="single" w:sz="4" w:space="0" w:color="auto"/>
              <w:bottom w:val="single" w:sz="4" w:space="0" w:color="auto"/>
              <w:right w:val="single" w:sz="4" w:space="0" w:color="auto"/>
            </w:tcBorders>
            <w:vAlign w:val="center"/>
          </w:tcPr>
          <w:p w14:paraId="458FC027" w14:textId="6496364A" w:rsidR="00EA232B" w:rsidRPr="008313DC" w:rsidRDefault="00EA232B" w:rsidP="00EA232B">
            <w:pPr>
              <w:contextualSpacing/>
              <w:jc w:val="right"/>
              <w:rPr>
                <w:color w:val="000000" w:themeColor="text1"/>
                <w:sz w:val="20"/>
                <w:szCs w:val="20"/>
              </w:rPr>
            </w:pPr>
            <w:r w:rsidRPr="008313DC">
              <w:rPr>
                <w:rFonts w:cs="Arial"/>
                <w:color w:val="000000"/>
                <w:sz w:val="20"/>
                <w:szCs w:val="20"/>
              </w:rPr>
              <w:t>9 003</w:t>
            </w:r>
          </w:p>
        </w:tc>
        <w:tc>
          <w:tcPr>
            <w:tcW w:w="1275" w:type="dxa"/>
            <w:tcBorders>
              <w:top w:val="nil"/>
              <w:left w:val="single" w:sz="4" w:space="0" w:color="auto"/>
              <w:bottom w:val="single" w:sz="4" w:space="0" w:color="auto"/>
              <w:right w:val="single" w:sz="4" w:space="0" w:color="auto"/>
            </w:tcBorders>
            <w:shd w:val="clear" w:color="auto" w:fill="BFBFBF"/>
            <w:vAlign w:val="center"/>
          </w:tcPr>
          <w:p w14:paraId="36CB7438" w14:textId="2E98EF38" w:rsidR="00EA232B" w:rsidRPr="008313DC" w:rsidRDefault="00EA232B" w:rsidP="00EA232B">
            <w:pPr>
              <w:ind w:right="57"/>
              <w:contextualSpacing/>
              <w:jc w:val="right"/>
              <w:rPr>
                <w:b/>
                <w:bCs/>
                <w:color w:val="000000" w:themeColor="text1"/>
                <w:sz w:val="20"/>
                <w:szCs w:val="20"/>
              </w:rPr>
            </w:pPr>
            <w:r w:rsidRPr="008313DC">
              <w:rPr>
                <w:rFonts w:cs="Arial"/>
                <w:b/>
                <w:bCs/>
                <w:color w:val="000000"/>
                <w:sz w:val="20"/>
                <w:szCs w:val="20"/>
              </w:rPr>
              <w:t>41 940</w:t>
            </w:r>
          </w:p>
        </w:tc>
        <w:tc>
          <w:tcPr>
            <w:tcW w:w="1701" w:type="dxa"/>
            <w:tcBorders>
              <w:top w:val="nil"/>
              <w:left w:val="nil"/>
              <w:bottom w:val="single" w:sz="4" w:space="0" w:color="auto"/>
              <w:right w:val="single" w:sz="4" w:space="0" w:color="auto"/>
            </w:tcBorders>
            <w:shd w:val="clear" w:color="auto" w:fill="BFBFBF"/>
            <w:vAlign w:val="bottom"/>
          </w:tcPr>
          <w:p w14:paraId="3636549F" w14:textId="0AF26364" w:rsidR="00EA232B" w:rsidRPr="007A6CDE" w:rsidRDefault="00EA232B" w:rsidP="00EA232B">
            <w:pPr>
              <w:ind w:right="232"/>
              <w:contextualSpacing/>
              <w:jc w:val="right"/>
              <w:rPr>
                <w:b/>
                <w:bCs/>
                <w:color w:val="000000" w:themeColor="text1"/>
                <w:sz w:val="20"/>
                <w:szCs w:val="20"/>
              </w:rPr>
            </w:pPr>
            <w:r w:rsidRPr="007A6CDE">
              <w:rPr>
                <w:rFonts w:cs="Arial"/>
                <w:b/>
                <w:bCs/>
                <w:color w:val="000000"/>
                <w:sz w:val="20"/>
                <w:szCs w:val="20"/>
              </w:rPr>
              <w:t>47 031</w:t>
            </w:r>
          </w:p>
        </w:tc>
      </w:tr>
      <w:tr w:rsidR="00EA232B" w:rsidRPr="001C6765" w14:paraId="02BEB294" w14:textId="77777777" w:rsidTr="00997263">
        <w:trPr>
          <w:trHeight w:val="289"/>
        </w:trPr>
        <w:tc>
          <w:tcPr>
            <w:tcW w:w="1084" w:type="dxa"/>
            <w:tcBorders>
              <w:top w:val="nil"/>
              <w:left w:val="single" w:sz="4" w:space="0" w:color="auto"/>
              <w:bottom w:val="single" w:sz="4" w:space="0" w:color="auto"/>
              <w:right w:val="single" w:sz="4" w:space="0" w:color="auto"/>
            </w:tcBorders>
            <w:shd w:val="clear" w:color="auto" w:fill="BFBFBF"/>
            <w:hideMark/>
          </w:tcPr>
          <w:p w14:paraId="414C7891" w14:textId="77777777" w:rsidR="00EA232B" w:rsidRPr="008313DC" w:rsidRDefault="00EA232B" w:rsidP="00EA232B">
            <w:pPr>
              <w:ind w:left="92"/>
              <w:contextualSpacing/>
              <w:rPr>
                <w:rFonts w:cs="Arial"/>
                <w:b/>
                <w:bCs/>
                <w:color w:val="000000" w:themeColor="text1"/>
                <w:sz w:val="20"/>
                <w:szCs w:val="20"/>
              </w:rPr>
            </w:pPr>
            <w:r w:rsidRPr="008313DC">
              <w:rPr>
                <w:rFonts w:cs="Arial"/>
                <w:b/>
                <w:bCs/>
                <w:color w:val="000000" w:themeColor="text1"/>
                <w:sz w:val="20"/>
                <w:szCs w:val="20"/>
              </w:rPr>
              <w:t>Celkem</w:t>
            </w:r>
          </w:p>
        </w:tc>
        <w:tc>
          <w:tcPr>
            <w:tcW w:w="1418" w:type="dxa"/>
            <w:tcBorders>
              <w:top w:val="nil"/>
              <w:left w:val="nil"/>
              <w:bottom w:val="single" w:sz="4" w:space="0" w:color="auto"/>
              <w:right w:val="single" w:sz="4" w:space="0" w:color="auto"/>
            </w:tcBorders>
            <w:shd w:val="clear" w:color="auto" w:fill="BFBFBF"/>
            <w:vAlign w:val="center"/>
          </w:tcPr>
          <w:p w14:paraId="2DBA29D2" w14:textId="670A9AD1" w:rsidR="00EA232B" w:rsidRPr="008313DC" w:rsidRDefault="00EA232B" w:rsidP="00EA232B">
            <w:pPr>
              <w:ind w:firstLine="180"/>
              <w:contextualSpacing/>
              <w:jc w:val="right"/>
              <w:rPr>
                <w:b/>
                <w:bCs/>
                <w:color w:val="000000" w:themeColor="text1"/>
                <w:sz w:val="20"/>
                <w:szCs w:val="20"/>
                <w:lang w:eastAsia="cs-CZ"/>
              </w:rPr>
            </w:pPr>
            <w:r w:rsidRPr="008313DC">
              <w:rPr>
                <w:rFonts w:cs="Arial"/>
                <w:b/>
                <w:bCs/>
                <w:color w:val="000000"/>
                <w:sz w:val="20"/>
                <w:szCs w:val="20"/>
              </w:rPr>
              <w:t>142 588</w:t>
            </w:r>
          </w:p>
        </w:tc>
        <w:tc>
          <w:tcPr>
            <w:tcW w:w="1559" w:type="dxa"/>
            <w:tcBorders>
              <w:top w:val="nil"/>
              <w:left w:val="nil"/>
              <w:bottom w:val="single" w:sz="4" w:space="0" w:color="auto"/>
              <w:right w:val="single" w:sz="4" w:space="0" w:color="auto"/>
            </w:tcBorders>
            <w:shd w:val="clear" w:color="auto" w:fill="BFBFBF"/>
            <w:vAlign w:val="center"/>
          </w:tcPr>
          <w:p w14:paraId="59E31A48" w14:textId="2A93EEC1" w:rsidR="00EA232B" w:rsidRPr="008313DC" w:rsidRDefault="00EA232B" w:rsidP="00EA232B">
            <w:pPr>
              <w:contextualSpacing/>
              <w:jc w:val="right"/>
              <w:rPr>
                <w:b/>
                <w:bCs/>
                <w:color w:val="000000" w:themeColor="text1"/>
                <w:sz w:val="20"/>
                <w:szCs w:val="20"/>
              </w:rPr>
            </w:pPr>
            <w:r w:rsidRPr="008313DC">
              <w:rPr>
                <w:rFonts w:cs="Arial"/>
                <w:b/>
                <w:bCs/>
                <w:color w:val="000000"/>
                <w:sz w:val="20"/>
                <w:szCs w:val="20"/>
              </w:rPr>
              <w:t>169 458</w:t>
            </w:r>
          </w:p>
        </w:tc>
        <w:tc>
          <w:tcPr>
            <w:tcW w:w="1418" w:type="dxa"/>
            <w:tcBorders>
              <w:top w:val="nil"/>
              <w:left w:val="single" w:sz="4" w:space="0" w:color="auto"/>
              <w:bottom w:val="single" w:sz="4" w:space="0" w:color="auto"/>
              <w:right w:val="single" w:sz="4" w:space="0" w:color="auto"/>
            </w:tcBorders>
            <w:shd w:val="clear" w:color="auto" w:fill="BFBFBF"/>
            <w:vAlign w:val="center"/>
          </w:tcPr>
          <w:p w14:paraId="78741073" w14:textId="6207E1DD" w:rsidR="00EA232B" w:rsidRPr="008313DC" w:rsidRDefault="00EA232B" w:rsidP="00EA232B">
            <w:pPr>
              <w:ind w:firstLine="180"/>
              <w:contextualSpacing/>
              <w:jc w:val="right"/>
              <w:rPr>
                <w:b/>
                <w:bCs/>
                <w:color w:val="000000" w:themeColor="text1"/>
                <w:sz w:val="20"/>
                <w:szCs w:val="20"/>
              </w:rPr>
            </w:pPr>
            <w:r w:rsidRPr="008313DC">
              <w:rPr>
                <w:rFonts w:cs="Arial"/>
                <w:b/>
                <w:bCs/>
                <w:color w:val="000000"/>
                <w:sz w:val="20"/>
                <w:szCs w:val="20"/>
              </w:rPr>
              <w:t>115 884</w:t>
            </w:r>
          </w:p>
        </w:tc>
        <w:tc>
          <w:tcPr>
            <w:tcW w:w="1275" w:type="dxa"/>
            <w:tcBorders>
              <w:top w:val="nil"/>
              <w:left w:val="single" w:sz="4" w:space="0" w:color="auto"/>
              <w:bottom w:val="single" w:sz="4" w:space="0" w:color="auto"/>
              <w:right w:val="single" w:sz="4" w:space="0" w:color="auto"/>
            </w:tcBorders>
            <w:shd w:val="clear" w:color="auto" w:fill="BFBFBF"/>
            <w:vAlign w:val="center"/>
          </w:tcPr>
          <w:p w14:paraId="17A7F2E2" w14:textId="7A1FED69" w:rsidR="00EA232B" w:rsidRPr="008313DC" w:rsidRDefault="00EA232B" w:rsidP="00EA232B">
            <w:pPr>
              <w:ind w:firstLine="180"/>
              <w:contextualSpacing/>
              <w:jc w:val="right"/>
              <w:rPr>
                <w:b/>
                <w:bCs/>
                <w:color w:val="000000" w:themeColor="text1"/>
                <w:sz w:val="20"/>
                <w:szCs w:val="20"/>
              </w:rPr>
            </w:pPr>
            <w:r w:rsidRPr="008313DC">
              <w:rPr>
                <w:rFonts w:cs="Arial"/>
                <w:b/>
                <w:bCs/>
                <w:color w:val="000000"/>
                <w:sz w:val="20"/>
                <w:szCs w:val="20"/>
              </w:rPr>
              <w:t>285 342</w:t>
            </w:r>
          </w:p>
        </w:tc>
        <w:tc>
          <w:tcPr>
            <w:tcW w:w="1701" w:type="dxa"/>
            <w:tcBorders>
              <w:top w:val="nil"/>
              <w:left w:val="nil"/>
              <w:bottom w:val="single" w:sz="4" w:space="0" w:color="auto"/>
              <w:right w:val="single" w:sz="4" w:space="0" w:color="auto"/>
            </w:tcBorders>
            <w:shd w:val="clear" w:color="auto" w:fill="BFBFBF"/>
            <w:vAlign w:val="bottom"/>
          </w:tcPr>
          <w:p w14:paraId="211D792F" w14:textId="6D41B7B8" w:rsidR="00EA232B" w:rsidRPr="007A6CDE" w:rsidRDefault="00EA232B" w:rsidP="00EA232B">
            <w:pPr>
              <w:ind w:right="232" w:firstLine="180"/>
              <w:contextualSpacing/>
              <w:jc w:val="right"/>
              <w:rPr>
                <w:b/>
                <w:bCs/>
                <w:color w:val="000000" w:themeColor="text1"/>
                <w:sz w:val="20"/>
                <w:szCs w:val="20"/>
              </w:rPr>
            </w:pPr>
            <w:r w:rsidRPr="007A6CDE">
              <w:rPr>
                <w:rFonts w:cs="Arial"/>
                <w:b/>
                <w:bCs/>
                <w:color w:val="000000"/>
                <w:sz w:val="20"/>
                <w:szCs w:val="20"/>
              </w:rPr>
              <w:t>427 930</w:t>
            </w:r>
          </w:p>
        </w:tc>
      </w:tr>
    </w:tbl>
    <w:p w14:paraId="68D59B93" w14:textId="77777777" w:rsidR="00907C6F" w:rsidRPr="001C6765" w:rsidRDefault="00907C6F" w:rsidP="007C4955">
      <w:pPr>
        <w:contextualSpacing/>
        <w:rPr>
          <w:i/>
          <w:color w:val="000000" w:themeColor="text1"/>
          <w:sz w:val="20"/>
          <w:szCs w:val="20"/>
          <w:lang w:eastAsia="cs-CZ"/>
        </w:rPr>
      </w:pPr>
      <w:r w:rsidRPr="001C6765">
        <w:rPr>
          <w:i/>
          <w:color w:val="000000" w:themeColor="text1"/>
          <w:sz w:val="20"/>
          <w:szCs w:val="20"/>
          <w:lang w:eastAsia="cs-CZ"/>
        </w:rPr>
        <w:t>Pramen: s. p. Povodí</w:t>
      </w:r>
    </w:p>
    <w:p w14:paraId="3C3D9872" w14:textId="27D00659" w:rsidR="00DB1F6F" w:rsidRPr="001C6765" w:rsidRDefault="00907C6F" w:rsidP="007C4955">
      <w:pPr>
        <w:contextualSpacing/>
        <w:rPr>
          <w:i/>
          <w:color w:val="000000" w:themeColor="text1"/>
          <w:sz w:val="20"/>
          <w:szCs w:val="20"/>
          <w:lang w:eastAsia="cs-CZ"/>
        </w:rPr>
      </w:pPr>
      <w:r w:rsidRPr="001C6765">
        <w:rPr>
          <w:i/>
          <w:color w:val="000000" w:themeColor="text1"/>
          <w:sz w:val="20"/>
          <w:szCs w:val="20"/>
          <w:lang w:eastAsia="cs-CZ"/>
        </w:rPr>
        <w:t xml:space="preserve">Pozn.: </w:t>
      </w:r>
      <w:r w:rsidR="008D779D" w:rsidRPr="001C6765">
        <w:rPr>
          <w:i/>
          <w:color w:val="000000" w:themeColor="text1"/>
          <w:sz w:val="20"/>
          <w:szCs w:val="20"/>
          <w:vertAlign w:val="superscript"/>
          <w:lang w:eastAsia="cs-CZ"/>
        </w:rPr>
        <w:t>*</w:t>
      </w:r>
      <w:r w:rsidR="00281BFA" w:rsidRPr="001C6765">
        <w:rPr>
          <w:i/>
          <w:color w:val="000000" w:themeColor="text1"/>
          <w:sz w:val="20"/>
          <w:szCs w:val="20"/>
          <w:vertAlign w:val="superscript"/>
          <w:lang w:eastAsia="cs-CZ"/>
        </w:rPr>
        <w:t>)</w:t>
      </w:r>
      <w:r w:rsidR="008D779D" w:rsidRPr="001C6765">
        <w:rPr>
          <w:i/>
          <w:color w:val="000000" w:themeColor="text1"/>
          <w:sz w:val="20"/>
          <w:szCs w:val="20"/>
          <w:vertAlign w:val="superscript"/>
          <w:lang w:eastAsia="cs-CZ"/>
        </w:rPr>
        <w:t xml:space="preserve"> </w:t>
      </w:r>
      <w:r w:rsidRPr="001C6765">
        <w:rPr>
          <w:i/>
          <w:color w:val="000000" w:themeColor="text1"/>
          <w:sz w:val="20"/>
          <w:szCs w:val="20"/>
          <w:lang w:eastAsia="cs-CZ"/>
        </w:rPr>
        <w:t>Poskytovatel dotace – SFDI.</w:t>
      </w:r>
      <w:bookmarkStart w:id="180" w:name="_Hlk138334721"/>
    </w:p>
    <w:p w14:paraId="4E83E9B8" w14:textId="77777777" w:rsidR="006D56BD" w:rsidRPr="00104F7D" w:rsidRDefault="006D56BD" w:rsidP="007C4955">
      <w:pPr>
        <w:contextualSpacing/>
        <w:rPr>
          <w:i/>
          <w:color w:val="FF0000"/>
          <w:sz w:val="20"/>
          <w:szCs w:val="20"/>
          <w:highlight w:val="yellow"/>
          <w:lang w:eastAsia="cs-CZ"/>
        </w:rPr>
      </w:pPr>
      <w:bookmarkStart w:id="181" w:name="_Hlk138337009"/>
    </w:p>
    <w:p w14:paraId="35AA2850" w14:textId="16A5F301" w:rsidR="00547C0E" w:rsidRPr="00EF782B" w:rsidRDefault="007373CE" w:rsidP="007373CE">
      <w:pPr>
        <w:pStyle w:val="Nadpis2"/>
        <w:spacing w:before="0"/>
        <w:contextualSpacing/>
      </w:pPr>
      <w:bookmarkStart w:id="182" w:name="_Toc10183433"/>
      <w:bookmarkStart w:id="183" w:name="_Toc236991639"/>
      <w:bookmarkStart w:id="184" w:name="_Hlk138331999"/>
      <w:r>
        <w:t xml:space="preserve">11. </w:t>
      </w:r>
      <w:r w:rsidR="00B03ECF">
        <w:t>2</w:t>
      </w:r>
      <w:r>
        <w:t xml:space="preserve"> </w:t>
      </w:r>
      <w:r w:rsidR="00547C0E" w:rsidRPr="00EF782B">
        <w:t>Finanční podpory ze zahraniční spolupráce a EU</w:t>
      </w:r>
      <w:bookmarkEnd w:id="182"/>
      <w:bookmarkEnd w:id="183"/>
    </w:p>
    <w:p w14:paraId="758397D7" w14:textId="77777777" w:rsidR="00260B88" w:rsidRPr="00EF782B" w:rsidRDefault="00260B88" w:rsidP="007C4955">
      <w:pPr>
        <w:contextualSpacing/>
        <w:rPr>
          <w:rFonts w:cs="Arial"/>
          <w:b/>
          <w:i/>
          <w:color w:val="FF0000"/>
        </w:rPr>
      </w:pPr>
    </w:p>
    <w:p w14:paraId="4085E09B" w14:textId="0C99713B" w:rsidR="003937A7" w:rsidRPr="00EF782B" w:rsidRDefault="003937A7" w:rsidP="003937A7">
      <w:pPr>
        <w:rPr>
          <w:b/>
          <w:bCs/>
          <w:i/>
          <w:iCs/>
        </w:rPr>
      </w:pPr>
      <w:r w:rsidRPr="00EF782B">
        <w:rPr>
          <w:b/>
          <w:bCs/>
          <w:i/>
          <w:iCs/>
        </w:rPr>
        <w:t>Projekty zaměřené na oblast vodohospodářství v programovém období 2021–2027</w:t>
      </w:r>
    </w:p>
    <w:p w14:paraId="29DA9057" w14:textId="77777777" w:rsidR="003E0B18" w:rsidRPr="00104F7D" w:rsidRDefault="003E0B18" w:rsidP="007376E5">
      <w:pPr>
        <w:pStyle w:val="Normlnweb"/>
        <w:spacing w:before="0" w:beforeAutospacing="0" w:after="0" w:afterAutospacing="0"/>
        <w:contextualSpacing/>
        <w:rPr>
          <w:rFonts w:asciiTheme="minorHAnsi" w:hAnsiTheme="minorHAnsi" w:cstheme="minorHAnsi"/>
          <w:highlight w:val="yellow"/>
          <w:lang w:eastAsia="en-US"/>
        </w:rPr>
      </w:pPr>
    </w:p>
    <w:p w14:paraId="1D3AA1B1" w14:textId="0D53D726" w:rsidR="007376E5" w:rsidRPr="00EF782B" w:rsidRDefault="007376E5" w:rsidP="007376E5">
      <w:pPr>
        <w:pStyle w:val="Normlnweb"/>
        <w:spacing w:before="0" w:beforeAutospacing="0" w:after="0" w:afterAutospacing="0"/>
        <w:contextualSpacing/>
        <w:rPr>
          <w:rFonts w:ascii="Arial" w:hAnsi="Arial" w:cs="Arial"/>
          <w:sz w:val="22"/>
          <w:szCs w:val="22"/>
          <w:lang w:eastAsia="en-US"/>
        </w:rPr>
      </w:pPr>
      <w:r w:rsidRPr="00EF782B">
        <w:rPr>
          <w:rFonts w:ascii="Arial" w:hAnsi="Arial" w:cs="Arial"/>
          <w:sz w:val="22"/>
          <w:szCs w:val="22"/>
          <w:lang w:eastAsia="en-US"/>
        </w:rPr>
        <w:t>Všechny programy v programovém období 2021</w:t>
      </w:r>
      <w:r w:rsidR="003E0B18" w:rsidRPr="00EF782B">
        <w:rPr>
          <w:rFonts w:ascii="Arial" w:eastAsia="Times New Roman" w:hAnsi="Arial" w:cs="Arial"/>
          <w:sz w:val="22"/>
          <w:szCs w:val="22"/>
        </w:rPr>
        <w:t>–</w:t>
      </w:r>
      <w:r w:rsidRPr="00EF782B">
        <w:rPr>
          <w:rFonts w:ascii="Arial" w:hAnsi="Arial" w:cs="Arial"/>
          <w:sz w:val="22"/>
          <w:szCs w:val="22"/>
          <w:lang w:eastAsia="en-US"/>
        </w:rPr>
        <w:t>2027 jsou úspěšně realizovány. Konkrétně se jedná o tyto programy</w:t>
      </w:r>
      <w:r w:rsidR="003E0B18" w:rsidRPr="00EF782B">
        <w:rPr>
          <w:rFonts w:ascii="Arial" w:hAnsi="Arial" w:cs="Arial"/>
          <w:sz w:val="22"/>
          <w:szCs w:val="22"/>
          <w:lang w:eastAsia="en-US"/>
        </w:rPr>
        <w:t>:</w:t>
      </w:r>
      <w:r w:rsidRPr="00EF782B">
        <w:rPr>
          <w:rFonts w:ascii="Arial" w:hAnsi="Arial" w:cs="Arial"/>
          <w:sz w:val="22"/>
          <w:szCs w:val="22"/>
          <w:lang w:eastAsia="en-US"/>
        </w:rPr>
        <w:t xml:space="preserve"> </w:t>
      </w:r>
    </w:p>
    <w:p w14:paraId="209EE234" w14:textId="77777777" w:rsidR="00E55290" w:rsidRPr="00EF782B" w:rsidRDefault="00E55290" w:rsidP="003937A7">
      <w:pPr>
        <w:rPr>
          <w:b/>
          <w:bCs/>
          <w:i/>
          <w:iCs/>
        </w:rPr>
      </w:pPr>
    </w:p>
    <w:p w14:paraId="40EC8511" w14:textId="77777777" w:rsidR="00E55290" w:rsidRPr="00EF782B" w:rsidRDefault="00E55290" w:rsidP="00E55290">
      <w:pPr>
        <w:pStyle w:val="Normlnweb"/>
        <w:spacing w:before="0" w:beforeAutospacing="0" w:after="0" w:afterAutospacing="0"/>
        <w:contextualSpacing/>
        <w:rPr>
          <w:rFonts w:ascii="Arial" w:hAnsi="Arial" w:cs="Arial"/>
          <w:sz w:val="22"/>
          <w:szCs w:val="22"/>
          <w:lang w:eastAsia="en-US"/>
        </w:rPr>
      </w:pPr>
      <w:r w:rsidRPr="00EF782B">
        <w:rPr>
          <w:rFonts w:ascii="Arial" w:hAnsi="Arial" w:cs="Arial"/>
          <w:sz w:val="22"/>
          <w:szCs w:val="22"/>
          <w:lang w:eastAsia="en-US"/>
        </w:rPr>
        <w:t>Přeshraniční spolupráce:</w:t>
      </w:r>
    </w:p>
    <w:p w14:paraId="4CB9C301" w14:textId="77777777" w:rsidR="00E55290" w:rsidRPr="00EF782B" w:rsidRDefault="00E55290">
      <w:pPr>
        <w:numPr>
          <w:ilvl w:val="0"/>
          <w:numId w:val="23"/>
        </w:numPr>
        <w:rPr>
          <w:rFonts w:eastAsia="Times New Roman" w:cs="Arial"/>
        </w:rPr>
      </w:pPr>
      <w:proofErr w:type="spellStart"/>
      <w:r w:rsidRPr="00EF782B">
        <w:rPr>
          <w:rFonts w:eastAsia="Times New Roman" w:cs="Arial"/>
        </w:rPr>
        <w:t>Interreg</w:t>
      </w:r>
      <w:proofErr w:type="spellEnd"/>
      <w:r w:rsidRPr="00EF782B">
        <w:rPr>
          <w:rFonts w:eastAsia="Times New Roman" w:cs="Arial"/>
        </w:rPr>
        <w:t xml:space="preserve"> V-A Česká republika – Polsko</w:t>
      </w:r>
    </w:p>
    <w:p w14:paraId="0D7AD170" w14:textId="77777777" w:rsidR="00E55290" w:rsidRPr="00EF782B" w:rsidRDefault="00E55290">
      <w:pPr>
        <w:numPr>
          <w:ilvl w:val="0"/>
          <w:numId w:val="23"/>
        </w:numPr>
        <w:rPr>
          <w:rFonts w:eastAsia="Times New Roman" w:cs="Arial"/>
        </w:rPr>
      </w:pPr>
      <w:proofErr w:type="spellStart"/>
      <w:r w:rsidRPr="00EF782B">
        <w:rPr>
          <w:rFonts w:eastAsia="Times New Roman" w:cs="Arial"/>
        </w:rPr>
        <w:t>Interreg</w:t>
      </w:r>
      <w:proofErr w:type="spellEnd"/>
      <w:r w:rsidRPr="00EF782B">
        <w:rPr>
          <w:rFonts w:eastAsia="Times New Roman" w:cs="Arial"/>
        </w:rPr>
        <w:t xml:space="preserve"> V-A Slovenská republika – Česká republika</w:t>
      </w:r>
    </w:p>
    <w:p w14:paraId="3BC16185" w14:textId="77777777" w:rsidR="00E55290" w:rsidRPr="00EF782B" w:rsidRDefault="00E55290">
      <w:pPr>
        <w:numPr>
          <w:ilvl w:val="0"/>
          <w:numId w:val="23"/>
        </w:numPr>
        <w:rPr>
          <w:rFonts w:eastAsia="Times New Roman" w:cs="Arial"/>
        </w:rPr>
      </w:pPr>
      <w:proofErr w:type="spellStart"/>
      <w:r w:rsidRPr="00EF782B">
        <w:rPr>
          <w:rFonts w:eastAsia="Times New Roman" w:cs="Arial"/>
        </w:rPr>
        <w:t>Interreg</w:t>
      </w:r>
      <w:proofErr w:type="spellEnd"/>
      <w:r w:rsidRPr="00EF782B">
        <w:rPr>
          <w:rFonts w:eastAsia="Times New Roman" w:cs="Arial"/>
        </w:rPr>
        <w:t xml:space="preserve"> V-A Rakousko – Česká republika</w:t>
      </w:r>
    </w:p>
    <w:p w14:paraId="04C70F20" w14:textId="77777777" w:rsidR="00E55290" w:rsidRPr="00EF782B" w:rsidRDefault="00E55290">
      <w:pPr>
        <w:numPr>
          <w:ilvl w:val="0"/>
          <w:numId w:val="23"/>
        </w:numPr>
        <w:rPr>
          <w:rFonts w:eastAsia="Times New Roman" w:cs="Arial"/>
        </w:rPr>
      </w:pPr>
      <w:r w:rsidRPr="00EF782B">
        <w:rPr>
          <w:rFonts w:eastAsia="Times New Roman" w:cs="Arial"/>
        </w:rPr>
        <w:t>Program spolupráce Svobodný stát Sasko – Česká republika 2014–2020</w:t>
      </w:r>
    </w:p>
    <w:p w14:paraId="639BF000" w14:textId="77777777" w:rsidR="00E55290" w:rsidRPr="00EF782B" w:rsidRDefault="00E55290">
      <w:pPr>
        <w:pStyle w:val="Odstavecseseznamem"/>
        <w:numPr>
          <w:ilvl w:val="0"/>
          <w:numId w:val="23"/>
        </w:numPr>
        <w:rPr>
          <w:rFonts w:ascii="Arial" w:hAnsi="Arial" w:cs="Arial"/>
          <w:sz w:val="22"/>
          <w:szCs w:val="22"/>
        </w:rPr>
      </w:pPr>
      <w:r w:rsidRPr="00EF782B">
        <w:rPr>
          <w:rFonts w:ascii="Arial" w:hAnsi="Arial" w:cs="Arial"/>
          <w:sz w:val="22"/>
          <w:szCs w:val="22"/>
        </w:rPr>
        <w:t>Program přeshraniční spolupráce Česká republika – Svobodný stát Bavorsko Cíl EÚS 2014–2020</w:t>
      </w:r>
    </w:p>
    <w:p w14:paraId="705324BC" w14:textId="121DDC7E" w:rsidR="00E55290" w:rsidRPr="00EF782B" w:rsidRDefault="00E55290">
      <w:pPr>
        <w:pStyle w:val="Odstavecseseznamem"/>
        <w:numPr>
          <w:ilvl w:val="0"/>
          <w:numId w:val="23"/>
        </w:numPr>
        <w:rPr>
          <w:rFonts w:ascii="Arial" w:hAnsi="Arial" w:cs="Arial"/>
          <w:sz w:val="22"/>
          <w:szCs w:val="22"/>
        </w:rPr>
      </w:pPr>
      <w:r w:rsidRPr="00EF782B">
        <w:rPr>
          <w:rFonts w:ascii="Arial" w:hAnsi="Arial" w:cs="Arial"/>
          <w:sz w:val="22"/>
          <w:szCs w:val="22"/>
        </w:rPr>
        <w:t xml:space="preserve">Program INTERREG </w:t>
      </w:r>
      <w:proofErr w:type="gramStart"/>
      <w:r w:rsidRPr="00EF782B">
        <w:rPr>
          <w:rFonts w:ascii="Arial" w:hAnsi="Arial" w:cs="Arial"/>
          <w:sz w:val="22"/>
          <w:szCs w:val="22"/>
        </w:rPr>
        <w:t>Bavorsko - Česko</w:t>
      </w:r>
      <w:proofErr w:type="gramEnd"/>
      <w:r w:rsidRPr="00EF782B">
        <w:rPr>
          <w:rFonts w:ascii="Arial" w:hAnsi="Arial" w:cs="Arial"/>
          <w:sz w:val="22"/>
          <w:szCs w:val="22"/>
        </w:rPr>
        <w:t xml:space="preserve"> 2021</w:t>
      </w:r>
      <w:r w:rsidR="00441D66" w:rsidRPr="00EF782B">
        <w:rPr>
          <w:rFonts w:ascii="Arial" w:hAnsi="Arial" w:cs="Arial"/>
          <w:sz w:val="22"/>
          <w:szCs w:val="22"/>
        </w:rPr>
        <w:t>–</w:t>
      </w:r>
      <w:r w:rsidRPr="00EF782B">
        <w:rPr>
          <w:rFonts w:ascii="Arial" w:hAnsi="Arial" w:cs="Arial"/>
          <w:sz w:val="22"/>
          <w:szCs w:val="22"/>
        </w:rPr>
        <w:t>2027</w:t>
      </w:r>
    </w:p>
    <w:p w14:paraId="7283CE1E" w14:textId="77777777" w:rsidR="003E0B18" w:rsidRPr="00EF782B" w:rsidRDefault="003E0B18" w:rsidP="00E55290">
      <w:pPr>
        <w:rPr>
          <w:rFonts w:cs="Arial"/>
        </w:rPr>
      </w:pPr>
    </w:p>
    <w:p w14:paraId="04728082" w14:textId="64718839" w:rsidR="00E55290" w:rsidRPr="00EF782B" w:rsidRDefault="00E55290" w:rsidP="00E55290">
      <w:pPr>
        <w:rPr>
          <w:rFonts w:cs="Arial"/>
        </w:rPr>
      </w:pPr>
      <w:r w:rsidRPr="00EF782B">
        <w:rPr>
          <w:rFonts w:cs="Arial"/>
        </w:rPr>
        <w:t>Nadnárodní a meziregionální spolupráce:</w:t>
      </w:r>
    </w:p>
    <w:p w14:paraId="37B8BD77" w14:textId="77777777" w:rsidR="00E55290" w:rsidRPr="00EF782B" w:rsidRDefault="00E55290">
      <w:pPr>
        <w:numPr>
          <w:ilvl w:val="0"/>
          <w:numId w:val="24"/>
        </w:numPr>
        <w:rPr>
          <w:rFonts w:eastAsia="Times New Roman" w:cs="Arial"/>
        </w:rPr>
      </w:pPr>
      <w:proofErr w:type="spellStart"/>
      <w:r w:rsidRPr="00EF782B">
        <w:rPr>
          <w:rFonts w:eastAsia="Times New Roman" w:cs="Arial"/>
        </w:rPr>
        <w:t>Interreg</w:t>
      </w:r>
      <w:proofErr w:type="spellEnd"/>
      <w:r w:rsidRPr="00EF782B">
        <w:rPr>
          <w:rFonts w:eastAsia="Times New Roman" w:cs="Arial"/>
        </w:rPr>
        <w:t xml:space="preserve"> CENTRAL EUROPE</w:t>
      </w:r>
    </w:p>
    <w:p w14:paraId="45494796" w14:textId="77777777" w:rsidR="00E55290" w:rsidRPr="00EF782B" w:rsidRDefault="00E55290">
      <w:pPr>
        <w:numPr>
          <w:ilvl w:val="0"/>
          <w:numId w:val="24"/>
        </w:numPr>
        <w:rPr>
          <w:rFonts w:eastAsia="Times New Roman" w:cs="Arial"/>
        </w:rPr>
      </w:pPr>
      <w:proofErr w:type="spellStart"/>
      <w:r w:rsidRPr="00EF782B">
        <w:rPr>
          <w:rFonts w:eastAsia="Times New Roman" w:cs="Arial"/>
        </w:rPr>
        <w:t>Interreg</w:t>
      </w:r>
      <w:proofErr w:type="spellEnd"/>
      <w:r w:rsidRPr="00EF782B">
        <w:rPr>
          <w:rFonts w:eastAsia="Times New Roman" w:cs="Arial"/>
        </w:rPr>
        <w:t xml:space="preserve"> DANUBE </w:t>
      </w:r>
    </w:p>
    <w:p w14:paraId="2D5AFD10" w14:textId="2DEA35D0" w:rsidR="00E55290" w:rsidRPr="00EF782B" w:rsidRDefault="00E55290">
      <w:pPr>
        <w:numPr>
          <w:ilvl w:val="0"/>
          <w:numId w:val="24"/>
        </w:numPr>
        <w:rPr>
          <w:rFonts w:eastAsia="Times New Roman" w:cs="Arial"/>
        </w:rPr>
      </w:pPr>
      <w:proofErr w:type="spellStart"/>
      <w:r w:rsidRPr="00EF782B">
        <w:rPr>
          <w:rFonts w:eastAsia="Times New Roman" w:cs="Arial"/>
        </w:rPr>
        <w:t>Interreg</w:t>
      </w:r>
      <w:proofErr w:type="spellEnd"/>
      <w:r w:rsidRPr="00EF782B">
        <w:rPr>
          <w:rFonts w:eastAsia="Times New Roman" w:cs="Arial"/>
        </w:rPr>
        <w:t xml:space="preserve"> EUROPE </w:t>
      </w:r>
    </w:p>
    <w:p w14:paraId="16AB1759" w14:textId="77777777" w:rsidR="00E55290" w:rsidRPr="00EF782B" w:rsidRDefault="00E55290" w:rsidP="00E55290">
      <w:pPr>
        <w:rPr>
          <w:rFonts w:cs="Arial"/>
        </w:rPr>
      </w:pPr>
      <w:r w:rsidRPr="00EF782B">
        <w:rPr>
          <w:rFonts w:cs="Arial"/>
        </w:rPr>
        <w:t>V rámci výše uvedených programů byly předloženy, schváleny a následně i podpořeny projekty, které přispívají ke zlepšení životního prostředí a předcházení rizikům (přírodní i technologická rizika včetně změny klimatu a vlivu na vodohospodářství atd.).</w:t>
      </w:r>
    </w:p>
    <w:bookmarkEnd w:id="180"/>
    <w:p w14:paraId="4512ED32" w14:textId="77777777" w:rsidR="00EE7CB7" w:rsidRPr="00104F7D" w:rsidRDefault="00EE7CB7" w:rsidP="007C4955">
      <w:pPr>
        <w:contextualSpacing/>
        <w:rPr>
          <w:rFonts w:cs="Arial"/>
          <w:color w:val="FF0000"/>
          <w:highlight w:val="yellow"/>
        </w:rPr>
      </w:pPr>
    </w:p>
    <w:p w14:paraId="63CD0820" w14:textId="1F5CD132" w:rsidR="008E5AB5" w:rsidRPr="00071E2F" w:rsidRDefault="008E5AB5" w:rsidP="005D0F03">
      <w:pPr>
        <w:pStyle w:val="Odstavecseseznamem"/>
        <w:numPr>
          <w:ilvl w:val="0"/>
          <w:numId w:val="4"/>
        </w:numPr>
        <w:rPr>
          <w:rFonts w:ascii="Arial" w:hAnsi="Arial" w:cs="Arial"/>
          <w:b/>
          <w:bCs/>
          <w:sz w:val="22"/>
          <w:szCs w:val="22"/>
        </w:rPr>
      </w:pPr>
      <w:r w:rsidRPr="00071E2F">
        <w:rPr>
          <w:rFonts w:ascii="Arial" w:hAnsi="Arial" w:cs="Arial"/>
          <w:b/>
          <w:bCs/>
          <w:sz w:val="22"/>
          <w:szCs w:val="22"/>
        </w:rPr>
        <w:t xml:space="preserve">Program INTERREG </w:t>
      </w:r>
      <w:proofErr w:type="gramStart"/>
      <w:r w:rsidRPr="00071E2F">
        <w:rPr>
          <w:rFonts w:ascii="Arial" w:hAnsi="Arial" w:cs="Arial"/>
          <w:b/>
          <w:bCs/>
          <w:sz w:val="22"/>
          <w:szCs w:val="22"/>
        </w:rPr>
        <w:t>Bavorsko - Česko</w:t>
      </w:r>
      <w:proofErr w:type="gramEnd"/>
      <w:r w:rsidRPr="00071E2F">
        <w:rPr>
          <w:rFonts w:ascii="Arial" w:hAnsi="Arial" w:cs="Arial"/>
          <w:b/>
          <w:bCs/>
          <w:sz w:val="22"/>
          <w:szCs w:val="22"/>
        </w:rPr>
        <w:t xml:space="preserve"> 2021</w:t>
      </w:r>
      <w:r w:rsidR="008D3B16" w:rsidRPr="00EF782B">
        <w:rPr>
          <w:rFonts w:ascii="Arial" w:hAnsi="Arial" w:cs="Arial"/>
          <w:sz w:val="22"/>
          <w:szCs w:val="22"/>
        </w:rPr>
        <w:t>–</w:t>
      </w:r>
      <w:r w:rsidRPr="00071E2F">
        <w:rPr>
          <w:rFonts w:ascii="Arial" w:hAnsi="Arial" w:cs="Arial"/>
          <w:b/>
          <w:bCs/>
          <w:sz w:val="22"/>
          <w:szCs w:val="22"/>
        </w:rPr>
        <w:t>2027</w:t>
      </w:r>
    </w:p>
    <w:p w14:paraId="4BBD9E3F" w14:textId="77777777" w:rsidR="008E5AB5" w:rsidRPr="00071E2F" w:rsidRDefault="008E5AB5" w:rsidP="008E5AB5">
      <w:pPr>
        <w:rPr>
          <w:b/>
          <w:bCs/>
          <w:u w:val="single"/>
        </w:rPr>
      </w:pPr>
    </w:p>
    <w:p w14:paraId="446CC2EF" w14:textId="77777777" w:rsidR="008E5AB5" w:rsidRPr="00071E2F" w:rsidRDefault="008E5AB5">
      <w:pPr>
        <w:pStyle w:val="Odstavecseseznamem"/>
        <w:numPr>
          <w:ilvl w:val="0"/>
          <w:numId w:val="19"/>
        </w:numPr>
        <w:ind w:left="284" w:hanging="284"/>
        <w:jc w:val="left"/>
        <w:rPr>
          <w:rFonts w:ascii="Arial" w:hAnsi="Arial" w:cs="Arial"/>
          <w:b/>
          <w:bCs/>
          <w:sz w:val="22"/>
          <w:szCs w:val="22"/>
        </w:rPr>
      </w:pPr>
      <w:r w:rsidRPr="00071E2F">
        <w:rPr>
          <w:rFonts w:ascii="Arial" w:hAnsi="Arial" w:cs="Arial"/>
          <w:b/>
          <w:bCs/>
          <w:sz w:val="22"/>
          <w:szCs w:val="22"/>
        </w:rPr>
        <w:t>Živé klenoty pod vodní hladinou Šumavy, projekt č. BYCZ01-020</w:t>
      </w:r>
    </w:p>
    <w:p w14:paraId="1B7F21D2" w14:textId="77777777" w:rsidR="008E5AB5" w:rsidRPr="00071E2F" w:rsidRDefault="008E5AB5" w:rsidP="008E5AB5">
      <w:bookmarkStart w:id="185" w:name="_Hlk157418585"/>
      <w:r w:rsidRPr="00071E2F">
        <w:t>Partneři na české straně: 2</w:t>
      </w:r>
    </w:p>
    <w:p w14:paraId="77412457" w14:textId="77777777" w:rsidR="008E5AB5" w:rsidRPr="00071E2F" w:rsidRDefault="008E5AB5" w:rsidP="008E5AB5">
      <w:r w:rsidRPr="00071E2F">
        <w:t>Rozpočet partnera:</w:t>
      </w:r>
    </w:p>
    <w:p w14:paraId="191C2082" w14:textId="77777777" w:rsidR="008E5AB5" w:rsidRPr="00071E2F" w:rsidRDefault="008E5AB5" w:rsidP="008E5AB5">
      <w:r w:rsidRPr="00071E2F">
        <w:t xml:space="preserve">1) Biologické centrum AV ČR, </w:t>
      </w:r>
      <w:proofErr w:type="spellStart"/>
      <w:r w:rsidRPr="00071E2F">
        <w:t>v.v.i</w:t>
      </w:r>
      <w:proofErr w:type="spellEnd"/>
      <w:r w:rsidRPr="00071E2F">
        <w:t>.: 637 045,00 €</w:t>
      </w:r>
    </w:p>
    <w:p w14:paraId="6717DB4A" w14:textId="77777777" w:rsidR="008E5AB5" w:rsidRPr="00071E2F" w:rsidRDefault="008E5AB5" w:rsidP="008E5AB5">
      <w:r w:rsidRPr="00071E2F">
        <w:t>2) Jihočeská univerzita v Českých Budějovicích: 628 111,00 €</w:t>
      </w:r>
    </w:p>
    <w:bookmarkEnd w:id="185"/>
    <w:p w14:paraId="4A8178FD" w14:textId="77777777" w:rsidR="00077BFB" w:rsidRPr="00071E2F" w:rsidRDefault="00077BFB" w:rsidP="008E5AB5"/>
    <w:p w14:paraId="19448B57" w14:textId="1D61C2F8" w:rsidR="008E5AB5" w:rsidRPr="00071E2F" w:rsidRDefault="008E5AB5" w:rsidP="008E5AB5">
      <w:r w:rsidRPr="00071E2F">
        <w:t>Hlavním cílem projektu je získat přesné poznatky na základě moderních a šetrných metod monitoringu. Na základě těchto údajů vypracovat společné dokumenty k nastolení koordinované koncepce ochrany přirozených populací indikačního druhu pstruha obecného ve volných vodách. Tímto dojde k posílení odolnosti populací vůči klimatickým změnám, zajištění zachování fungujících ekosystémů pro další generace a naplnění dlouhodobých cílů a koncepce programových oblastí (např. zásady hospodaření v obou národních parcích).</w:t>
      </w:r>
    </w:p>
    <w:p w14:paraId="75A239D5" w14:textId="77777777" w:rsidR="008E5AB5" w:rsidRPr="00071E2F" w:rsidRDefault="008E5AB5" w:rsidP="008E5AB5">
      <w:r w:rsidRPr="00071E2F">
        <w:t>Tyto výstupy projektu budou komunikovány s institucemi odpovědným za správu vodních toků v programové oblasti za účelem zvýšení efektivity managementu. Obdobně budou výsledky projektu šířeny prostřednictvím médií rybářským podnikům, rybářským spolkům a sdružením, jakožto i široké veřejnosti a vzdělávacími institucemi.</w:t>
      </w:r>
    </w:p>
    <w:p w14:paraId="6B91872E" w14:textId="77777777" w:rsidR="008E5AB5" w:rsidRPr="00C86FB5" w:rsidRDefault="008E5AB5" w:rsidP="008E5AB5"/>
    <w:p w14:paraId="48FBD1A4" w14:textId="77777777" w:rsidR="008E5AB5" w:rsidRPr="00C86FB5" w:rsidRDefault="008E5AB5">
      <w:pPr>
        <w:pStyle w:val="Odstavecseseznamem"/>
        <w:numPr>
          <w:ilvl w:val="0"/>
          <w:numId w:val="19"/>
        </w:numPr>
        <w:ind w:left="284" w:hanging="284"/>
        <w:jc w:val="left"/>
        <w:rPr>
          <w:rFonts w:ascii="Arial" w:hAnsi="Arial" w:cs="Arial"/>
          <w:b/>
          <w:bCs/>
          <w:sz w:val="22"/>
          <w:szCs w:val="22"/>
        </w:rPr>
      </w:pPr>
      <w:r w:rsidRPr="00C86FB5">
        <w:rPr>
          <w:rFonts w:ascii="Arial" w:hAnsi="Arial" w:cs="Arial"/>
          <w:b/>
          <w:bCs/>
          <w:sz w:val="22"/>
          <w:szCs w:val="22"/>
        </w:rPr>
        <w:t>Země, voda, klima, projekt č. BYCZ01-080</w:t>
      </w:r>
    </w:p>
    <w:p w14:paraId="7FA66A00" w14:textId="77777777" w:rsidR="008E5AB5" w:rsidRPr="00C86FB5" w:rsidRDefault="008E5AB5" w:rsidP="008E5AB5">
      <w:r w:rsidRPr="00C86FB5">
        <w:t>Partner na české straně: 1</w:t>
      </w:r>
    </w:p>
    <w:p w14:paraId="166C955B" w14:textId="77777777" w:rsidR="008E5AB5" w:rsidRPr="00C86FB5" w:rsidRDefault="008E5AB5" w:rsidP="008E5AB5">
      <w:r w:rsidRPr="00C86FB5">
        <w:t xml:space="preserve">Rozpočet partnera: </w:t>
      </w:r>
    </w:p>
    <w:p w14:paraId="2E3D71A5" w14:textId="48962D08" w:rsidR="008E5AB5" w:rsidRPr="00C86FB5" w:rsidRDefault="008E5AB5" w:rsidP="008E5AB5">
      <w:r w:rsidRPr="00C86FB5">
        <w:t>1) Nadační fond Zelený poklad: 150 840,24 €</w:t>
      </w:r>
    </w:p>
    <w:p w14:paraId="21A393BF" w14:textId="77777777" w:rsidR="00077BFB" w:rsidRPr="00C86FB5" w:rsidRDefault="00077BFB" w:rsidP="008E5AB5"/>
    <w:p w14:paraId="063D934C" w14:textId="640B5408" w:rsidR="008E5AB5" w:rsidRPr="00C86FB5" w:rsidRDefault="008E5AB5" w:rsidP="008E5AB5">
      <w:r w:rsidRPr="00C86FB5">
        <w:t>Hlavním cílem projektu je rozšíření a obohacení nabídky environmentálního vzdělávání. Chceme se zaměřit na pedagogy všech stupňů s důrazem na koordinátory EVVO, neziskové organizace činné v životním prostředí a zástupce obcí a nabídnout jim vzdělávání v současných trendech EVVO spojené s výměnou zkušeností v této oblasti. Tematicky zaměříme vzdělávání na změny klimatu, téma vody a také půdy a geologie.</w:t>
      </w:r>
    </w:p>
    <w:p w14:paraId="1717DB6F" w14:textId="77777777" w:rsidR="00C86FB5" w:rsidRPr="00D641AD" w:rsidRDefault="00C86FB5" w:rsidP="008E5AB5"/>
    <w:p w14:paraId="5AA4A94A" w14:textId="64C38BE2" w:rsidR="00DE2B6F" w:rsidRPr="00D641AD" w:rsidRDefault="00DE2B6F">
      <w:pPr>
        <w:pStyle w:val="Odstavecseseznamem"/>
        <w:numPr>
          <w:ilvl w:val="0"/>
          <w:numId w:val="19"/>
        </w:numPr>
        <w:ind w:left="284" w:hanging="284"/>
        <w:jc w:val="left"/>
        <w:rPr>
          <w:rFonts w:ascii="Arial" w:hAnsi="Arial" w:cs="Arial"/>
          <w:b/>
          <w:bCs/>
          <w:sz w:val="22"/>
          <w:szCs w:val="22"/>
        </w:rPr>
      </w:pPr>
      <w:r w:rsidRPr="00D641AD">
        <w:rPr>
          <w:rFonts w:ascii="Arial" w:hAnsi="Arial" w:cs="Arial"/>
          <w:b/>
          <w:bCs/>
          <w:sz w:val="22"/>
          <w:szCs w:val="22"/>
        </w:rPr>
        <w:t>Mezinárodní podpora infrastruktury rybničních ekosystémů prostřednictvím multiplikátorů s cílem uzavřít koloběh živin.</w:t>
      </w:r>
      <w:r w:rsidRPr="00D641AD">
        <w:rPr>
          <w:rFonts w:ascii="Arial" w:hAnsi="Arial" w:cs="Arial"/>
          <w:b/>
          <w:bCs/>
          <w:sz w:val="22"/>
          <w:szCs w:val="22"/>
        </w:rPr>
        <w:fldChar w:fldCharType="begin"/>
      </w:r>
      <w:r w:rsidRPr="00D641AD">
        <w:rPr>
          <w:rFonts w:ascii="Arial" w:hAnsi="Arial" w:cs="Arial"/>
          <w:b/>
          <w:bCs/>
          <w:sz w:val="22"/>
          <w:szCs w:val="22"/>
        </w:rPr>
        <w:instrText xml:space="preserve"> LINK Excel.Sheet.12 "\\\\crr.cz\\shares\\EUS\\Pobočkové disky\\Community_Jihozápad\\Programy\\INTERREG 2021-2027\\Rozdělení.xlsx" "List7!R14C1" \a \f 5 \h  \* MERGEFORMAT </w:instrText>
      </w:r>
      <w:r w:rsidRPr="00D641AD">
        <w:rPr>
          <w:rFonts w:ascii="Arial" w:hAnsi="Arial" w:cs="Arial"/>
          <w:b/>
          <w:bCs/>
          <w:sz w:val="22"/>
          <w:szCs w:val="22"/>
        </w:rPr>
        <w:fldChar w:fldCharType="separate"/>
      </w:r>
      <w:r w:rsidRPr="00D641AD">
        <w:rPr>
          <w:rFonts w:ascii="Arial" w:hAnsi="Arial" w:cs="Arial"/>
          <w:b/>
          <w:bCs/>
          <w:sz w:val="22"/>
          <w:szCs w:val="22"/>
        </w:rPr>
        <w:t xml:space="preserve"> BYCZ07-220</w:t>
      </w:r>
    </w:p>
    <w:p w14:paraId="584B350B" w14:textId="48336595" w:rsidR="00DE2B6F" w:rsidRPr="00D641AD" w:rsidRDefault="00DE2B6F" w:rsidP="003C33B8">
      <w:pPr>
        <w:rPr>
          <w:rFonts w:cs="Arial"/>
          <w:b/>
          <w:bCs/>
          <w:i/>
          <w:iCs/>
        </w:rPr>
      </w:pPr>
      <w:r w:rsidRPr="00D641AD">
        <w:rPr>
          <w:rFonts w:cs="Arial"/>
          <w:b/>
          <w:bCs/>
        </w:rPr>
        <w:fldChar w:fldCharType="end"/>
      </w:r>
      <w:r w:rsidRPr="00D641AD">
        <w:rPr>
          <w:rFonts w:cs="Arial"/>
        </w:rPr>
        <w:t>Partner na české straně: 1</w:t>
      </w:r>
    </w:p>
    <w:p w14:paraId="583ED1EB" w14:textId="77777777" w:rsidR="00DE2B6F" w:rsidRPr="00D641AD" w:rsidRDefault="00DE2B6F" w:rsidP="00DE2B6F">
      <w:pPr>
        <w:rPr>
          <w:rFonts w:cs="Arial"/>
        </w:rPr>
      </w:pPr>
      <w:r w:rsidRPr="00D641AD">
        <w:rPr>
          <w:rFonts w:cs="Arial"/>
        </w:rPr>
        <w:t>Rozpočet partnera: Jihočeská univerzita v Českých Budějovicích: 85 008,00 EUR</w:t>
      </w:r>
    </w:p>
    <w:p w14:paraId="37D841F8" w14:textId="695BEC36" w:rsidR="00DE2B6F" w:rsidRPr="00D641AD" w:rsidRDefault="00DE2B6F" w:rsidP="00DE2B6F">
      <w:pPr>
        <w:rPr>
          <w:rFonts w:cs="Arial"/>
        </w:rPr>
      </w:pPr>
      <w:r w:rsidRPr="00D641AD">
        <w:rPr>
          <w:rFonts w:cs="Arial"/>
        </w:rPr>
        <w:t>Realizace projektu 1.</w:t>
      </w:r>
      <w:r w:rsidR="003C33B8" w:rsidRPr="00D641AD">
        <w:rPr>
          <w:rFonts w:cs="Arial"/>
        </w:rPr>
        <w:t xml:space="preserve"> </w:t>
      </w:r>
      <w:r w:rsidRPr="00D641AD">
        <w:rPr>
          <w:rFonts w:cs="Arial"/>
        </w:rPr>
        <w:t>7.</w:t>
      </w:r>
      <w:r w:rsidR="003C33B8" w:rsidRPr="00D641AD">
        <w:rPr>
          <w:rFonts w:cs="Arial"/>
        </w:rPr>
        <w:t xml:space="preserve"> </w:t>
      </w:r>
      <w:r w:rsidRPr="00D641AD">
        <w:rPr>
          <w:rFonts w:cs="Arial"/>
        </w:rPr>
        <w:t>2025 – 30.</w:t>
      </w:r>
      <w:r w:rsidR="003C33B8" w:rsidRPr="00D641AD">
        <w:rPr>
          <w:rFonts w:cs="Arial"/>
        </w:rPr>
        <w:t xml:space="preserve"> </w:t>
      </w:r>
      <w:r w:rsidRPr="00D641AD">
        <w:rPr>
          <w:rFonts w:cs="Arial"/>
        </w:rPr>
        <w:t>6.</w:t>
      </w:r>
      <w:r w:rsidR="003C33B8" w:rsidRPr="00D641AD">
        <w:rPr>
          <w:rFonts w:cs="Arial"/>
        </w:rPr>
        <w:t xml:space="preserve"> </w:t>
      </w:r>
      <w:r w:rsidRPr="00D641AD">
        <w:rPr>
          <w:rFonts w:cs="Arial"/>
        </w:rPr>
        <w:t>2027</w:t>
      </w:r>
    </w:p>
    <w:p w14:paraId="7E679E15" w14:textId="77777777" w:rsidR="00DE2B6F" w:rsidRPr="00D641AD" w:rsidRDefault="00DE2B6F" w:rsidP="00DE2B6F">
      <w:pPr>
        <w:rPr>
          <w:rFonts w:cs="Arial"/>
        </w:rPr>
      </w:pPr>
    </w:p>
    <w:p w14:paraId="68288769" w14:textId="77777777" w:rsidR="00DE2B6F" w:rsidRPr="00D641AD" w:rsidRDefault="00DE2B6F" w:rsidP="00DE2B6F">
      <w:pPr>
        <w:rPr>
          <w:rFonts w:cs="Arial"/>
        </w:rPr>
      </w:pPr>
      <w:r w:rsidRPr="00D641AD">
        <w:rPr>
          <w:rFonts w:cs="Arial"/>
        </w:rPr>
        <w:t>Hlavním cílem projektu je snížení usazování sedimentů v rybnících pomocí přírodních sorbentů živin, potenciálně inhibitorů nitrifikace a pravidelného těžení sedimentu. Rybářské podniky tak můžou získat nový zdroj příjmů prodejem kvalitního bio hnojiva. Rybníky také budou lépe přispívat k regionálnímu vodnímu hospodářství. Mimo to bude méně emisí živin znečišťovat přeshraniční přírodní vody a ovzduší. To přispívá ke specifickému cíli 7 „Zlepšení ochrany […] přírody […]“, protože bude zachována přirozená infrastruktura rozsáhlých rybníků. Tyto rybníky jsou často základním kamenem pro oblasti Natura 2000 a FFH v bavorsko-českém pohraničí a někdy jsou domovem více druhů Červeného seznamu než říční nivy. Kvalita vody v rybnících a v recipientech (potoky, řeky) tak zůstane na vysoké úrovni, což může mít pozitivní vliv na citlivou faunu a flóru.</w:t>
      </w:r>
    </w:p>
    <w:p w14:paraId="1F37B583" w14:textId="77777777" w:rsidR="00F56685" w:rsidRPr="004C0B4A" w:rsidRDefault="00F56685" w:rsidP="00B454B5">
      <w:pPr>
        <w:contextualSpacing/>
        <w:rPr>
          <w:rFonts w:cs="Arial"/>
          <w:bCs/>
          <w:iCs/>
          <w:color w:val="FF0000"/>
        </w:rPr>
      </w:pPr>
    </w:p>
    <w:p w14:paraId="6E773155" w14:textId="77777777" w:rsidR="000325DD" w:rsidRPr="004C0B4A" w:rsidRDefault="000325DD" w:rsidP="005D0F03">
      <w:pPr>
        <w:pStyle w:val="Odstavecseseznamem"/>
        <w:numPr>
          <w:ilvl w:val="0"/>
          <w:numId w:val="4"/>
        </w:numPr>
        <w:rPr>
          <w:rFonts w:ascii="Arial" w:hAnsi="Arial" w:cs="Arial"/>
          <w:b/>
          <w:iCs/>
          <w:sz w:val="22"/>
          <w:szCs w:val="22"/>
          <w:u w:val="single"/>
        </w:rPr>
      </w:pPr>
      <w:proofErr w:type="spellStart"/>
      <w:r w:rsidRPr="004C0B4A">
        <w:rPr>
          <w:rFonts w:ascii="Arial" w:hAnsi="Arial" w:cs="Arial"/>
          <w:b/>
          <w:iCs/>
          <w:sz w:val="22"/>
          <w:szCs w:val="22"/>
          <w:u w:val="single"/>
        </w:rPr>
        <w:t>Interreg</w:t>
      </w:r>
      <w:proofErr w:type="spellEnd"/>
      <w:r w:rsidRPr="004C0B4A">
        <w:rPr>
          <w:rFonts w:ascii="Arial" w:hAnsi="Arial" w:cs="Arial"/>
          <w:b/>
          <w:iCs/>
          <w:sz w:val="22"/>
          <w:szCs w:val="22"/>
          <w:u w:val="single"/>
        </w:rPr>
        <w:t xml:space="preserve"> V-A Rakousko </w:t>
      </w:r>
      <w:r w:rsidR="008D779D" w:rsidRPr="004C0B4A">
        <w:rPr>
          <w:rFonts w:ascii="Arial" w:hAnsi="Arial" w:cs="Arial"/>
          <w:b/>
          <w:iCs/>
          <w:sz w:val="22"/>
          <w:szCs w:val="22"/>
          <w:u w:val="single"/>
        </w:rPr>
        <w:t>–</w:t>
      </w:r>
      <w:r w:rsidRPr="004C0B4A">
        <w:rPr>
          <w:rFonts w:ascii="Arial" w:hAnsi="Arial" w:cs="Arial"/>
          <w:b/>
          <w:iCs/>
          <w:sz w:val="22"/>
          <w:szCs w:val="22"/>
          <w:u w:val="single"/>
        </w:rPr>
        <w:t xml:space="preserve"> Česká republika</w:t>
      </w:r>
    </w:p>
    <w:p w14:paraId="6A3CC51E" w14:textId="77777777" w:rsidR="00822E94" w:rsidRPr="004C0B4A" w:rsidRDefault="00822E94" w:rsidP="00822E94">
      <w:pPr>
        <w:rPr>
          <w:rFonts w:ascii="Calibri" w:hAnsi="Calibri"/>
          <w:b/>
          <w:bCs/>
          <w:i/>
          <w:iCs/>
        </w:rPr>
      </w:pPr>
    </w:p>
    <w:p w14:paraId="386311FA" w14:textId="77777777" w:rsidR="00822E94" w:rsidRPr="004C0B4A" w:rsidRDefault="00822E94">
      <w:pPr>
        <w:pStyle w:val="Odstavecseseznamem"/>
        <w:numPr>
          <w:ilvl w:val="0"/>
          <w:numId w:val="18"/>
        </w:numPr>
        <w:ind w:left="284" w:hanging="284"/>
        <w:jc w:val="left"/>
        <w:rPr>
          <w:rFonts w:ascii="Arial" w:hAnsi="Arial" w:cs="Arial"/>
          <w:b/>
          <w:bCs/>
          <w:sz w:val="22"/>
          <w:szCs w:val="22"/>
        </w:rPr>
      </w:pPr>
      <w:proofErr w:type="gramStart"/>
      <w:r w:rsidRPr="004C0B4A">
        <w:rPr>
          <w:rFonts w:ascii="Arial" w:hAnsi="Arial" w:cs="Arial"/>
          <w:b/>
          <w:bCs/>
          <w:sz w:val="22"/>
          <w:szCs w:val="22"/>
        </w:rPr>
        <w:t>Plants4cooling - chladicí</w:t>
      </w:r>
      <w:proofErr w:type="gramEnd"/>
      <w:r w:rsidRPr="004C0B4A">
        <w:rPr>
          <w:rFonts w:ascii="Arial" w:hAnsi="Arial" w:cs="Arial"/>
          <w:b/>
          <w:bCs/>
          <w:sz w:val="22"/>
          <w:szCs w:val="22"/>
        </w:rPr>
        <w:t xml:space="preserve"> efekt rostlin a aplikace inovativních nástrojů pro přizpůsobení se změnám klimatu, projekt č. ATCZ00093</w:t>
      </w:r>
    </w:p>
    <w:p w14:paraId="4BB563E2" w14:textId="77777777" w:rsidR="00822E94" w:rsidRPr="004C0B4A" w:rsidRDefault="00822E94" w:rsidP="00822E94">
      <w:pPr>
        <w:rPr>
          <w:rFonts w:ascii="Calibri" w:hAnsi="Calibri" w:cs="Calibri"/>
        </w:rPr>
      </w:pPr>
      <w:r w:rsidRPr="004C0B4A">
        <w:t>Partneři na české straně: 5</w:t>
      </w:r>
    </w:p>
    <w:p w14:paraId="08C5BA8F" w14:textId="77777777" w:rsidR="00822E94" w:rsidRPr="004C0B4A" w:rsidRDefault="00822E94" w:rsidP="00822E94">
      <w:r w:rsidRPr="004C0B4A">
        <w:t>Rozpočet partnerů:</w:t>
      </w:r>
    </w:p>
    <w:p w14:paraId="2492B12E" w14:textId="7D7C96A0" w:rsidR="00822E94" w:rsidRPr="004C0B4A" w:rsidRDefault="00822E94" w:rsidP="00822E94">
      <w:r w:rsidRPr="004C0B4A">
        <w:t xml:space="preserve">1) Jihočeská Silva </w:t>
      </w:r>
      <w:proofErr w:type="spellStart"/>
      <w:r w:rsidRPr="004C0B4A">
        <w:t>Nortica</w:t>
      </w:r>
      <w:proofErr w:type="spellEnd"/>
      <w:r w:rsidRPr="004C0B4A">
        <w:t>: 3</w:t>
      </w:r>
      <w:r w:rsidR="001E00DB" w:rsidRPr="004C0B4A">
        <w:t xml:space="preserve">76 860,60 </w:t>
      </w:r>
      <w:r w:rsidRPr="004C0B4A">
        <w:t>€</w:t>
      </w:r>
    </w:p>
    <w:p w14:paraId="2AA3F227" w14:textId="77777777" w:rsidR="00822E94" w:rsidRPr="004C0B4A" w:rsidRDefault="00822E94" w:rsidP="00822E94">
      <w:r w:rsidRPr="004C0B4A">
        <w:t>2) ZO Českého svazu ochránců přírody Kněžice: 99 372,00 €</w:t>
      </w:r>
    </w:p>
    <w:p w14:paraId="6E8D7DBC" w14:textId="77777777" w:rsidR="00822E94" w:rsidRPr="004C0B4A" w:rsidRDefault="00822E94" w:rsidP="00822E94">
      <w:r w:rsidRPr="004C0B4A">
        <w:t xml:space="preserve">3) Přírodní zahrada, </w:t>
      </w:r>
      <w:proofErr w:type="spellStart"/>
      <w:r w:rsidRPr="004C0B4A">
        <w:t>z.s</w:t>
      </w:r>
      <w:proofErr w:type="spellEnd"/>
      <w:r w:rsidRPr="004C0B4A">
        <w:t>.: 70 826,41 €</w:t>
      </w:r>
    </w:p>
    <w:p w14:paraId="451D7EA5" w14:textId="77777777" w:rsidR="00822E94" w:rsidRPr="004C0B4A" w:rsidRDefault="00822E94" w:rsidP="00822E94">
      <w:r w:rsidRPr="004C0B4A">
        <w:t>4) Jihočeský kraj: 215 254,00 €</w:t>
      </w:r>
    </w:p>
    <w:p w14:paraId="179068C5" w14:textId="77777777" w:rsidR="00822E94" w:rsidRPr="004C0B4A" w:rsidRDefault="00822E94" w:rsidP="00822E94">
      <w:r w:rsidRPr="004C0B4A">
        <w:t>5) Krajské sdružení NS MAS ČR Jihomoravského kraje: 57 924,00 €</w:t>
      </w:r>
    </w:p>
    <w:p w14:paraId="1A100577" w14:textId="77777777" w:rsidR="00822E94" w:rsidRPr="004C0B4A" w:rsidRDefault="00822E94" w:rsidP="00822E94"/>
    <w:p w14:paraId="73AE6D09" w14:textId="763987EB" w:rsidR="00822E94" w:rsidRPr="004C0B4A" w:rsidRDefault="00822E94" w:rsidP="00822E94">
      <w:r w:rsidRPr="004C0B4A">
        <w:t>Realizace projektu 1.</w:t>
      </w:r>
      <w:r w:rsidR="00D774BE" w:rsidRPr="004C0B4A">
        <w:t xml:space="preserve"> </w:t>
      </w:r>
      <w:r w:rsidRPr="004C0B4A">
        <w:t>7.</w:t>
      </w:r>
      <w:r w:rsidR="00D774BE" w:rsidRPr="004C0B4A">
        <w:t xml:space="preserve"> </w:t>
      </w:r>
      <w:r w:rsidRPr="004C0B4A">
        <w:t>2023 – 31.12.</w:t>
      </w:r>
      <w:r w:rsidR="00D774BE" w:rsidRPr="004C0B4A">
        <w:t xml:space="preserve"> </w:t>
      </w:r>
      <w:r w:rsidRPr="004C0B4A">
        <w:t>2026</w:t>
      </w:r>
    </w:p>
    <w:p w14:paraId="0599E510" w14:textId="77777777" w:rsidR="00822E94" w:rsidRPr="00104F7D" w:rsidRDefault="00822E94" w:rsidP="00822E94">
      <w:pPr>
        <w:rPr>
          <w:highlight w:val="yellow"/>
        </w:rPr>
      </w:pPr>
    </w:p>
    <w:p w14:paraId="7BF554C6" w14:textId="77777777" w:rsidR="00822E94" w:rsidRPr="008208D1" w:rsidRDefault="00822E94" w:rsidP="00822E94">
      <w:r w:rsidRPr="008208D1">
        <w:t>Projekt Plants4cooling se zaměřuje na chladící efekt rostlin a klade si za cíl vytvoření vhodné a jednoduché metodiky, její praktické vyzkoušení na příkladu našeho různorodého přeshraničního česko-rakouského regionu ve spolupráci s městy a obcemi a její zpřístupnění veřejnosti. V jedné z dílčích aktivit má být vytvořen základ pro kvantitativní hodnocení hydrologické funkce systémů pro zasakování povrchových vod v městských oblastech. Kapacita akumulace vody, propustnost, odolnost vůči vstupu znečišťujících látek a energetický výdaj při výstavbě určují potenciál pro adaptaci na změnu klimatu. Výsledkem bude vědecky podložené doporučení způsobilosti k využití na základě hydrologické funkčnosti a přispěje ke komplexním postupům v hospodaření s dešťovou vodou ve městech. Inovativní přístup spočívá ve zlepšení dostupnosti dešťové vody pro zelenou infrastrukturu a s tím související úleva pro kanály.</w:t>
      </w:r>
    </w:p>
    <w:p w14:paraId="64C11B2C" w14:textId="77777777" w:rsidR="00822E94" w:rsidRPr="00104F7D" w:rsidRDefault="00822E94" w:rsidP="00822E94">
      <w:pPr>
        <w:rPr>
          <w:highlight w:val="yellow"/>
        </w:rPr>
      </w:pPr>
    </w:p>
    <w:p w14:paraId="5F3C56B3" w14:textId="77777777" w:rsidR="00822E94" w:rsidRPr="0016175F" w:rsidRDefault="00822E94">
      <w:pPr>
        <w:pStyle w:val="Odstavecseseznamem"/>
        <w:numPr>
          <w:ilvl w:val="0"/>
          <w:numId w:val="18"/>
        </w:numPr>
        <w:ind w:left="284" w:hanging="284"/>
        <w:rPr>
          <w:rFonts w:ascii="Arial" w:hAnsi="Arial" w:cs="Arial"/>
          <w:b/>
          <w:bCs/>
          <w:sz w:val="22"/>
          <w:szCs w:val="22"/>
        </w:rPr>
      </w:pPr>
      <w:r w:rsidRPr="0016175F">
        <w:rPr>
          <w:rFonts w:ascii="Arial" w:hAnsi="Arial" w:cs="Arial"/>
          <w:b/>
          <w:bCs/>
          <w:sz w:val="22"/>
          <w:szCs w:val="22"/>
        </w:rPr>
        <w:t>Snížení emisí v akvakultuře prostřednictvím udržitelného využívání odtokové vody a živin, projekt č. ATCZ00002</w:t>
      </w:r>
    </w:p>
    <w:p w14:paraId="28D70A90" w14:textId="77777777" w:rsidR="00822E94" w:rsidRPr="0016175F" w:rsidRDefault="00822E94" w:rsidP="00822E94">
      <w:pPr>
        <w:rPr>
          <w:rFonts w:cs="Arial"/>
        </w:rPr>
      </w:pPr>
      <w:r w:rsidRPr="0016175F">
        <w:rPr>
          <w:rFonts w:cs="Arial"/>
        </w:rPr>
        <w:t>Partner na české straně: 1</w:t>
      </w:r>
    </w:p>
    <w:p w14:paraId="5CBD019D" w14:textId="77777777" w:rsidR="00822E94" w:rsidRPr="0016175F" w:rsidRDefault="00822E94" w:rsidP="00822E94">
      <w:pPr>
        <w:rPr>
          <w:rFonts w:cs="Arial"/>
        </w:rPr>
      </w:pPr>
      <w:r w:rsidRPr="0016175F">
        <w:rPr>
          <w:rFonts w:cs="Arial"/>
        </w:rPr>
        <w:t>Rozpočet partnera:</w:t>
      </w:r>
    </w:p>
    <w:p w14:paraId="59F3D2EE" w14:textId="1748B2B9" w:rsidR="00822E94" w:rsidRPr="0016175F" w:rsidRDefault="00822E94" w:rsidP="00822E94">
      <w:pPr>
        <w:rPr>
          <w:rFonts w:cs="Arial"/>
        </w:rPr>
      </w:pPr>
      <w:r w:rsidRPr="0016175F">
        <w:rPr>
          <w:rFonts w:cs="Arial"/>
        </w:rPr>
        <w:t>1) Jihočeská univerzita v Českých Budějovicích: 376 689,60 €</w:t>
      </w:r>
    </w:p>
    <w:p w14:paraId="5EBB0706" w14:textId="77777777" w:rsidR="00B8345D" w:rsidRPr="0016175F" w:rsidRDefault="00B8345D" w:rsidP="00822E94">
      <w:pPr>
        <w:rPr>
          <w:rFonts w:cs="Arial"/>
        </w:rPr>
      </w:pPr>
    </w:p>
    <w:p w14:paraId="7ECD3D06" w14:textId="7F0ADC86" w:rsidR="00822E94" w:rsidRPr="0016175F" w:rsidRDefault="00822E94" w:rsidP="00822E94">
      <w:pPr>
        <w:rPr>
          <w:rFonts w:cs="Arial"/>
        </w:rPr>
      </w:pPr>
      <w:r w:rsidRPr="0016175F">
        <w:rPr>
          <w:rFonts w:cs="Arial"/>
        </w:rPr>
        <w:t>Realizace projektu 1.</w:t>
      </w:r>
      <w:r w:rsidR="00D774BE" w:rsidRPr="0016175F">
        <w:rPr>
          <w:rFonts w:cs="Arial"/>
        </w:rPr>
        <w:t xml:space="preserve"> </w:t>
      </w:r>
      <w:r w:rsidRPr="0016175F">
        <w:rPr>
          <w:rFonts w:cs="Arial"/>
        </w:rPr>
        <w:t>2.</w:t>
      </w:r>
      <w:r w:rsidR="00D774BE" w:rsidRPr="0016175F">
        <w:rPr>
          <w:rFonts w:cs="Arial"/>
        </w:rPr>
        <w:t xml:space="preserve"> </w:t>
      </w:r>
      <w:r w:rsidRPr="0016175F">
        <w:rPr>
          <w:rFonts w:cs="Arial"/>
        </w:rPr>
        <w:t>2024 – 31.</w:t>
      </w:r>
      <w:r w:rsidR="00D774BE" w:rsidRPr="0016175F">
        <w:rPr>
          <w:rFonts w:cs="Arial"/>
        </w:rPr>
        <w:t xml:space="preserve"> </w:t>
      </w:r>
      <w:r w:rsidRPr="0016175F">
        <w:rPr>
          <w:rFonts w:cs="Arial"/>
        </w:rPr>
        <w:t>1.</w:t>
      </w:r>
      <w:r w:rsidR="00D774BE" w:rsidRPr="0016175F">
        <w:rPr>
          <w:rFonts w:cs="Arial"/>
        </w:rPr>
        <w:t xml:space="preserve"> </w:t>
      </w:r>
      <w:r w:rsidRPr="0016175F">
        <w:rPr>
          <w:rFonts w:cs="Arial"/>
        </w:rPr>
        <w:t>2027</w:t>
      </w:r>
    </w:p>
    <w:p w14:paraId="22AAFA1B" w14:textId="77777777" w:rsidR="00822E94" w:rsidRPr="0016175F" w:rsidRDefault="00822E94" w:rsidP="00822E94">
      <w:pPr>
        <w:rPr>
          <w:rFonts w:cs="Arial"/>
        </w:rPr>
      </w:pPr>
    </w:p>
    <w:p w14:paraId="14499914" w14:textId="77777777" w:rsidR="00822E94" w:rsidRPr="0016175F" w:rsidRDefault="00822E94" w:rsidP="00822E94">
      <w:pPr>
        <w:rPr>
          <w:rFonts w:cs="Arial"/>
        </w:rPr>
      </w:pPr>
      <w:r w:rsidRPr="0016175F">
        <w:rPr>
          <w:rFonts w:cs="Arial"/>
        </w:rPr>
        <w:t xml:space="preserve">Cílem je vytvořit katalog opatření ke snížení emisí v akvakultuře. Hlavním cílem je přístup založený na oběhovém hospodářství s využitím odpadní vody a živin, což vede k úspoře až 70 % sladké vody, zamezení emisí živin do životního prostředí a snížení nákladů na likvidaci. Malé a střední podniky mohou své systémy využívat efektivněji tím, že zbytky zpracují na hnojiva, řasy, rostliny a energii díky optimalizovanému oddělování pevných a kapalných látek. </w:t>
      </w:r>
    </w:p>
    <w:p w14:paraId="32EC88D2" w14:textId="77777777" w:rsidR="00822E94" w:rsidRPr="00104F7D" w:rsidRDefault="00822E94" w:rsidP="00822E94">
      <w:pPr>
        <w:rPr>
          <w:rFonts w:cs="Arial"/>
          <w:highlight w:val="yellow"/>
        </w:rPr>
      </w:pPr>
    </w:p>
    <w:p w14:paraId="3749AF1D" w14:textId="77777777" w:rsidR="00822E94" w:rsidRPr="00E75769" w:rsidRDefault="00822E94">
      <w:pPr>
        <w:pStyle w:val="Odstavecseseznamem"/>
        <w:numPr>
          <w:ilvl w:val="0"/>
          <w:numId w:val="18"/>
        </w:numPr>
        <w:ind w:left="284" w:hanging="284"/>
        <w:jc w:val="left"/>
        <w:rPr>
          <w:rFonts w:ascii="Arial" w:hAnsi="Arial" w:cs="Arial"/>
          <w:b/>
          <w:bCs/>
          <w:sz w:val="22"/>
          <w:szCs w:val="22"/>
        </w:rPr>
      </w:pPr>
      <w:r w:rsidRPr="00E75769">
        <w:rPr>
          <w:rFonts w:ascii="Arial" w:hAnsi="Arial" w:cs="Arial"/>
          <w:b/>
          <w:bCs/>
          <w:sz w:val="22"/>
          <w:szCs w:val="22"/>
        </w:rPr>
        <w:t xml:space="preserve">Jak zajistit vodní zdroje při rostoucím riziku sucha v zemědělském příhraničním regionu </w:t>
      </w:r>
      <w:proofErr w:type="spellStart"/>
      <w:r w:rsidRPr="00E75769">
        <w:rPr>
          <w:rFonts w:ascii="Arial" w:hAnsi="Arial" w:cs="Arial"/>
          <w:b/>
          <w:bCs/>
          <w:sz w:val="22"/>
          <w:szCs w:val="22"/>
        </w:rPr>
        <w:t>Weinviertel</w:t>
      </w:r>
      <w:proofErr w:type="spellEnd"/>
      <w:r w:rsidRPr="00E75769">
        <w:rPr>
          <w:rFonts w:ascii="Arial" w:hAnsi="Arial" w:cs="Arial"/>
          <w:b/>
          <w:bCs/>
          <w:sz w:val="22"/>
          <w:szCs w:val="22"/>
        </w:rPr>
        <w:t xml:space="preserve"> a Jižní Moravy, projekt č. ATCZ00048</w:t>
      </w:r>
    </w:p>
    <w:p w14:paraId="20CFC8AC" w14:textId="77777777" w:rsidR="00822E94" w:rsidRPr="00E75769" w:rsidRDefault="00822E94" w:rsidP="00822E94">
      <w:pPr>
        <w:rPr>
          <w:rFonts w:cs="Arial"/>
        </w:rPr>
      </w:pPr>
      <w:r w:rsidRPr="00E75769">
        <w:rPr>
          <w:rFonts w:cs="Arial"/>
        </w:rPr>
        <w:t>Partner na české straně: 3</w:t>
      </w:r>
    </w:p>
    <w:p w14:paraId="5E523FDB" w14:textId="77777777" w:rsidR="00822E94" w:rsidRPr="00E75769" w:rsidRDefault="00822E94" w:rsidP="00822E94">
      <w:pPr>
        <w:rPr>
          <w:rFonts w:cs="Arial"/>
        </w:rPr>
      </w:pPr>
      <w:r w:rsidRPr="00E75769">
        <w:rPr>
          <w:rFonts w:cs="Arial"/>
        </w:rPr>
        <w:t>Rozpočet partnerů:</w:t>
      </w:r>
    </w:p>
    <w:p w14:paraId="14689871" w14:textId="2823B98C" w:rsidR="00822E94" w:rsidRPr="00E75769" w:rsidRDefault="00822E94" w:rsidP="00822E94">
      <w:pPr>
        <w:rPr>
          <w:rFonts w:cs="Arial"/>
        </w:rPr>
      </w:pPr>
      <w:r w:rsidRPr="00E75769">
        <w:rPr>
          <w:rFonts w:cs="Arial"/>
        </w:rPr>
        <w:t>1) Ústav výzkumu globální změny AV ČR, v. v. i.: 220 032,08 €</w:t>
      </w:r>
    </w:p>
    <w:p w14:paraId="0BACDF66" w14:textId="2BB268E0" w:rsidR="00822E94" w:rsidRPr="00E75769" w:rsidRDefault="00822E94" w:rsidP="00822E94">
      <w:pPr>
        <w:rPr>
          <w:rFonts w:cs="Arial"/>
        </w:rPr>
      </w:pPr>
      <w:r w:rsidRPr="00E75769">
        <w:rPr>
          <w:rFonts w:cs="Arial"/>
        </w:rPr>
        <w:t>2) Regionální agrární komora Jihomoravského kraje: 41 610,24 €</w:t>
      </w:r>
    </w:p>
    <w:p w14:paraId="02031650" w14:textId="56046D4C" w:rsidR="00822E94" w:rsidRPr="00E75769" w:rsidRDefault="00822E94" w:rsidP="00822E94">
      <w:pPr>
        <w:rPr>
          <w:rFonts w:cs="Arial"/>
        </w:rPr>
      </w:pPr>
      <w:r w:rsidRPr="00E75769">
        <w:rPr>
          <w:rFonts w:cs="Arial"/>
        </w:rPr>
        <w:t xml:space="preserve">3) Výzkumný ústav vodohospodářský T. G. Masaryka, </w:t>
      </w:r>
      <w:proofErr w:type="spellStart"/>
      <w:r w:rsidRPr="00E75769">
        <w:rPr>
          <w:rFonts w:cs="Arial"/>
        </w:rPr>
        <w:t>v.v.i</w:t>
      </w:r>
      <w:proofErr w:type="spellEnd"/>
      <w:r w:rsidRPr="00E75769">
        <w:rPr>
          <w:rFonts w:cs="Arial"/>
        </w:rPr>
        <w:t>.: 146 286,00 €</w:t>
      </w:r>
    </w:p>
    <w:p w14:paraId="4B7BAEC3" w14:textId="77777777" w:rsidR="00822E94" w:rsidRPr="00E75769" w:rsidRDefault="00822E94" w:rsidP="00822E94">
      <w:pPr>
        <w:rPr>
          <w:rFonts w:cs="Arial"/>
        </w:rPr>
      </w:pPr>
    </w:p>
    <w:p w14:paraId="62EC556B" w14:textId="614FBB09" w:rsidR="00822E94" w:rsidRPr="00E75769" w:rsidRDefault="00822E94" w:rsidP="00822E94">
      <w:pPr>
        <w:rPr>
          <w:rFonts w:cs="Arial"/>
        </w:rPr>
      </w:pPr>
      <w:r w:rsidRPr="00E75769">
        <w:rPr>
          <w:rFonts w:cs="Arial"/>
        </w:rPr>
        <w:t>Realizace projektu 1.</w:t>
      </w:r>
      <w:r w:rsidR="00D774BE" w:rsidRPr="00E75769">
        <w:rPr>
          <w:rFonts w:cs="Arial"/>
        </w:rPr>
        <w:t xml:space="preserve"> </w:t>
      </w:r>
      <w:r w:rsidR="00A30F14" w:rsidRPr="00E75769">
        <w:rPr>
          <w:rFonts w:cs="Arial"/>
        </w:rPr>
        <w:t>9</w:t>
      </w:r>
      <w:r w:rsidRPr="00E75769">
        <w:rPr>
          <w:rFonts w:cs="Arial"/>
        </w:rPr>
        <w:t>.</w:t>
      </w:r>
      <w:r w:rsidR="00D774BE" w:rsidRPr="00E75769">
        <w:rPr>
          <w:rFonts w:cs="Arial"/>
        </w:rPr>
        <w:t xml:space="preserve"> </w:t>
      </w:r>
      <w:r w:rsidRPr="00E75769">
        <w:rPr>
          <w:rFonts w:cs="Arial"/>
        </w:rPr>
        <w:t>2024 – 3</w:t>
      </w:r>
      <w:r w:rsidR="00A3156E" w:rsidRPr="00E75769">
        <w:rPr>
          <w:rFonts w:cs="Arial"/>
        </w:rPr>
        <w:t>1. 8</w:t>
      </w:r>
      <w:r w:rsidRPr="00E75769">
        <w:rPr>
          <w:rFonts w:cs="Arial"/>
        </w:rPr>
        <w:t>.</w:t>
      </w:r>
      <w:r w:rsidR="00D774BE" w:rsidRPr="00E75769">
        <w:rPr>
          <w:rFonts w:cs="Arial"/>
        </w:rPr>
        <w:t xml:space="preserve"> </w:t>
      </w:r>
      <w:r w:rsidRPr="00E75769">
        <w:rPr>
          <w:rFonts w:cs="Arial"/>
        </w:rPr>
        <w:t>2027</w:t>
      </w:r>
    </w:p>
    <w:p w14:paraId="1F95CDE7" w14:textId="77777777" w:rsidR="00822E94" w:rsidRPr="00E75769" w:rsidRDefault="00822E94" w:rsidP="00822E94">
      <w:pPr>
        <w:rPr>
          <w:rFonts w:cs="Arial"/>
        </w:rPr>
      </w:pPr>
    </w:p>
    <w:p w14:paraId="5108DD33" w14:textId="77777777" w:rsidR="00822E94" w:rsidRPr="00E75769" w:rsidRDefault="00822E94" w:rsidP="00822E94">
      <w:pPr>
        <w:rPr>
          <w:rFonts w:cs="Arial"/>
        </w:rPr>
      </w:pPr>
      <w:r w:rsidRPr="00E75769">
        <w:rPr>
          <w:rFonts w:cs="Arial"/>
        </w:rPr>
        <w:t>Projekt si klade tři základní cíle:</w:t>
      </w:r>
    </w:p>
    <w:p w14:paraId="5C1AD5E7" w14:textId="77777777" w:rsidR="00822E94" w:rsidRPr="00E75769" w:rsidRDefault="00822E94" w:rsidP="00822E94">
      <w:pPr>
        <w:rPr>
          <w:rFonts w:cs="Arial"/>
        </w:rPr>
      </w:pPr>
      <w:r w:rsidRPr="00E75769">
        <w:rPr>
          <w:rFonts w:cs="Arial"/>
        </w:rPr>
        <w:t>a) Ve spolupráci s oběma agrárními komorami a akademickými institucemi sestavit katalog opatření a příkladů dobré praxe zaměřené na konkrétní a z pohledu posílení vodních zdrojů vhodného hospodaření v krajině v rámci sledovaného území;</w:t>
      </w:r>
    </w:p>
    <w:p w14:paraId="0C8CD9BC" w14:textId="77777777" w:rsidR="00822E94" w:rsidRPr="00E75769" w:rsidRDefault="00822E94" w:rsidP="00822E94">
      <w:pPr>
        <w:rPr>
          <w:rFonts w:cs="Arial"/>
        </w:rPr>
      </w:pPr>
      <w:r w:rsidRPr="00E75769">
        <w:rPr>
          <w:rFonts w:cs="Arial"/>
        </w:rPr>
        <w:t xml:space="preserve">b) Navrhnout a kvantifikovat proveditelná a zemědělci realizovatelná opatření pro zvýšení jejich </w:t>
      </w:r>
      <w:proofErr w:type="spellStart"/>
      <w:r w:rsidRPr="00E75769">
        <w:rPr>
          <w:rFonts w:cs="Arial"/>
        </w:rPr>
        <w:t>resilience</w:t>
      </w:r>
      <w:proofErr w:type="spellEnd"/>
      <w:r w:rsidRPr="00E75769">
        <w:rPr>
          <w:rFonts w:cs="Arial"/>
        </w:rPr>
        <w:t xml:space="preserve"> vůči suchu a posoudit jejich dopad na vodní zdroje ve sledovaných povodích;</w:t>
      </w:r>
    </w:p>
    <w:p w14:paraId="2689CC34" w14:textId="1FCDB175" w:rsidR="00007DE1" w:rsidRDefault="00822E94" w:rsidP="00007DE1">
      <w:pPr>
        <w:rPr>
          <w:rFonts w:cs="Arial"/>
        </w:rPr>
      </w:pPr>
      <w:r w:rsidRPr="00E75769">
        <w:rPr>
          <w:rFonts w:cs="Arial"/>
        </w:rPr>
        <w:t>c) Navrhnout a prověřit proveditelnost inovativních a doposud neuvažovaných opatření na lepší hospodaření se stávajícími vodními zdroji a možné způsoby posílení těchto zdrojů v daném regionu.</w:t>
      </w:r>
    </w:p>
    <w:p w14:paraId="7C3D667E" w14:textId="77777777" w:rsidR="009E6777" w:rsidRDefault="009E6777" w:rsidP="00007DE1">
      <w:pPr>
        <w:rPr>
          <w:rFonts w:cs="Arial"/>
        </w:rPr>
      </w:pPr>
    </w:p>
    <w:p w14:paraId="51452B31" w14:textId="77777777" w:rsidR="009E6777" w:rsidRPr="009060F7" w:rsidRDefault="009E6777" w:rsidP="009E6777">
      <w:pPr>
        <w:pStyle w:val="Odstavecseseznamem"/>
        <w:numPr>
          <w:ilvl w:val="0"/>
          <w:numId w:val="27"/>
        </w:numPr>
        <w:ind w:left="284" w:hanging="284"/>
        <w:rPr>
          <w:rFonts w:ascii="Arial" w:hAnsi="Arial" w:cs="Arial"/>
          <w:b/>
          <w:bCs/>
          <w:i/>
          <w:iCs/>
          <w:sz w:val="22"/>
          <w:szCs w:val="22"/>
        </w:rPr>
      </w:pPr>
      <w:proofErr w:type="spellStart"/>
      <w:r w:rsidRPr="009060F7">
        <w:rPr>
          <w:rFonts w:ascii="Arial" w:hAnsi="Arial" w:cs="Arial"/>
          <w:b/>
          <w:bCs/>
          <w:i/>
          <w:iCs/>
          <w:sz w:val="22"/>
          <w:szCs w:val="22"/>
        </w:rPr>
        <w:t>Nature</w:t>
      </w:r>
      <w:proofErr w:type="spellEnd"/>
      <w:r w:rsidRPr="009060F7">
        <w:rPr>
          <w:rFonts w:ascii="Arial" w:hAnsi="Arial" w:cs="Arial"/>
          <w:b/>
          <w:bCs/>
          <w:i/>
          <w:iCs/>
          <w:sz w:val="22"/>
          <w:szCs w:val="22"/>
        </w:rPr>
        <w:t xml:space="preserve"> </w:t>
      </w:r>
      <w:proofErr w:type="spellStart"/>
      <w:r w:rsidRPr="009060F7">
        <w:rPr>
          <w:rFonts w:ascii="Arial" w:hAnsi="Arial" w:cs="Arial"/>
          <w:b/>
          <w:bCs/>
          <w:i/>
          <w:iCs/>
          <w:sz w:val="22"/>
          <w:szCs w:val="22"/>
        </w:rPr>
        <w:t>Connect</w:t>
      </w:r>
      <w:proofErr w:type="spellEnd"/>
      <w:r w:rsidRPr="009060F7">
        <w:rPr>
          <w:rFonts w:ascii="Arial" w:hAnsi="Arial" w:cs="Arial"/>
          <w:b/>
          <w:bCs/>
          <w:i/>
          <w:iCs/>
          <w:sz w:val="22"/>
          <w:szCs w:val="22"/>
        </w:rPr>
        <w:t xml:space="preserve"> Dyje/</w:t>
      </w:r>
      <w:proofErr w:type="spellStart"/>
      <w:r w:rsidRPr="009060F7">
        <w:rPr>
          <w:rFonts w:ascii="Arial" w:hAnsi="Arial" w:cs="Arial"/>
          <w:b/>
          <w:bCs/>
          <w:i/>
          <w:iCs/>
          <w:sz w:val="22"/>
          <w:szCs w:val="22"/>
        </w:rPr>
        <w:t>Thaya</w:t>
      </w:r>
      <w:proofErr w:type="spellEnd"/>
      <w:r w:rsidRPr="009060F7">
        <w:rPr>
          <w:rFonts w:ascii="Arial" w:hAnsi="Arial" w:cs="Arial"/>
          <w:b/>
          <w:bCs/>
          <w:i/>
          <w:iCs/>
          <w:sz w:val="22"/>
          <w:szCs w:val="22"/>
        </w:rPr>
        <w:t>, projekt č. ATCZ00167</w:t>
      </w:r>
    </w:p>
    <w:p w14:paraId="6596CAA5" w14:textId="77777777" w:rsidR="009E6777" w:rsidRPr="009060F7" w:rsidRDefault="009E6777" w:rsidP="009E6777">
      <w:pPr>
        <w:rPr>
          <w:rFonts w:cs="Arial"/>
        </w:rPr>
      </w:pPr>
      <w:r w:rsidRPr="009060F7">
        <w:rPr>
          <w:rFonts w:cs="Arial"/>
        </w:rPr>
        <w:t>Partner na české straně: 1</w:t>
      </w:r>
    </w:p>
    <w:p w14:paraId="64E8FF98" w14:textId="77777777" w:rsidR="009E6777" w:rsidRPr="009060F7" w:rsidRDefault="009E6777" w:rsidP="009E6777">
      <w:pPr>
        <w:rPr>
          <w:rFonts w:cs="Arial"/>
        </w:rPr>
      </w:pPr>
      <w:r w:rsidRPr="009060F7">
        <w:rPr>
          <w:rFonts w:cs="Arial"/>
        </w:rPr>
        <w:t>Rozpočet partnera:</w:t>
      </w:r>
    </w:p>
    <w:p w14:paraId="59A25A63" w14:textId="77777777" w:rsidR="009E6777" w:rsidRPr="009060F7" w:rsidRDefault="009E6777" w:rsidP="009E6777">
      <w:pPr>
        <w:rPr>
          <w:rFonts w:cs="Arial"/>
        </w:rPr>
      </w:pPr>
      <w:r w:rsidRPr="009060F7">
        <w:rPr>
          <w:rFonts w:cs="Arial"/>
        </w:rPr>
        <w:t xml:space="preserve">Povodí Moravy, </w:t>
      </w:r>
      <w:proofErr w:type="spellStart"/>
      <w:r w:rsidRPr="009060F7">
        <w:rPr>
          <w:rFonts w:cs="Arial"/>
        </w:rPr>
        <w:t>s.p</w:t>
      </w:r>
      <w:proofErr w:type="spellEnd"/>
      <w:r w:rsidRPr="009060F7">
        <w:rPr>
          <w:rFonts w:cs="Arial"/>
        </w:rPr>
        <w:t>.: 1 192 367,29 EUR</w:t>
      </w:r>
    </w:p>
    <w:p w14:paraId="44725E95" w14:textId="77777777" w:rsidR="009E6777" w:rsidRPr="009060F7" w:rsidRDefault="009E6777" w:rsidP="009E6777">
      <w:pPr>
        <w:rPr>
          <w:rFonts w:cs="Arial"/>
        </w:rPr>
      </w:pPr>
    </w:p>
    <w:p w14:paraId="72A35311" w14:textId="77777777" w:rsidR="009E6777" w:rsidRPr="009060F7" w:rsidRDefault="009E6777" w:rsidP="009E6777">
      <w:pPr>
        <w:rPr>
          <w:rFonts w:cs="Arial"/>
        </w:rPr>
      </w:pPr>
      <w:r w:rsidRPr="009060F7">
        <w:rPr>
          <w:rFonts w:cs="Arial"/>
        </w:rPr>
        <w:t>Realizace projektu: 1.5.2024 – 31.10.2027</w:t>
      </w:r>
    </w:p>
    <w:p w14:paraId="7EB6A450" w14:textId="77777777" w:rsidR="009E6777" w:rsidRPr="009060F7" w:rsidRDefault="009E6777" w:rsidP="009E6777">
      <w:pPr>
        <w:rPr>
          <w:rFonts w:cs="Arial"/>
        </w:rPr>
      </w:pPr>
    </w:p>
    <w:p w14:paraId="3FCA9C0E" w14:textId="77777777" w:rsidR="009E6777" w:rsidRPr="009060F7" w:rsidRDefault="009E6777" w:rsidP="009E6777">
      <w:pPr>
        <w:rPr>
          <w:rFonts w:cs="Arial"/>
        </w:rPr>
      </w:pPr>
      <w:r w:rsidRPr="009060F7">
        <w:rPr>
          <w:rFonts w:cs="Arial"/>
        </w:rPr>
        <w:t>Projekt si klade za cíl zlepšit připravenost a odolnost říčního systému Dyje na předpokládané scénáře klimatické změny. Jižní Morava a Dolní Rakousko patří k regionům, které jsou silně ohroženy suchem a dopady změny klimatu. Projekt se zaměřuje na zvýšení morfologické pestrosti a podporu morfologického vývoje, což povede k vytvoření pestrého systému biotopů s vysokou odolností vůči klimatické změně.</w:t>
      </w:r>
    </w:p>
    <w:p w14:paraId="4920730E" w14:textId="77777777" w:rsidR="009060F7" w:rsidRDefault="009060F7" w:rsidP="009E6777">
      <w:pPr>
        <w:rPr>
          <w:rFonts w:cs="Arial"/>
        </w:rPr>
      </w:pPr>
    </w:p>
    <w:p w14:paraId="5AD19CD3" w14:textId="0BF174F4" w:rsidR="009E6777" w:rsidRPr="009060F7" w:rsidRDefault="009E6777" w:rsidP="009E6777">
      <w:pPr>
        <w:rPr>
          <w:rFonts w:cs="Arial"/>
        </w:rPr>
      </w:pPr>
      <w:r w:rsidRPr="009060F7">
        <w:rPr>
          <w:rFonts w:cs="Arial"/>
        </w:rPr>
        <w:t>Mezi klíčové aktivity patří napojení odstaveného ramene řeky Dyje D13, které prodlouží vodní tok a propojí s ním rameno s poříční tůní. Stávající koryto řeky bude zachováno a bude podporována jeho samovolná revitalizace. Další aktivitou je realizace opatření na cca 1,6 km dlouhém úseku řeky Dyje, včetně odstranění opevnění a vytvoření stabilizace břehu s využitím říčního dřeva.</w:t>
      </w:r>
    </w:p>
    <w:p w14:paraId="367A3F64" w14:textId="77777777" w:rsidR="009E6777" w:rsidRPr="009060F7" w:rsidRDefault="009E6777" w:rsidP="009E6777">
      <w:pPr>
        <w:rPr>
          <w:rFonts w:cs="Arial"/>
        </w:rPr>
      </w:pPr>
      <w:r w:rsidRPr="009060F7">
        <w:rPr>
          <w:rFonts w:cs="Arial"/>
        </w:rPr>
        <w:t xml:space="preserve">Projekt využívá technologii zeleného laseru pro sledování teplotního vývoje biotopů a hodnocení adaptace na klimatickou změnu. Sledovány budou lokality s různým stupněm </w:t>
      </w:r>
      <w:proofErr w:type="spellStart"/>
      <w:r w:rsidRPr="009060F7">
        <w:rPr>
          <w:rFonts w:cs="Arial"/>
        </w:rPr>
        <w:t>renaturace</w:t>
      </w:r>
      <w:proofErr w:type="spellEnd"/>
      <w:r w:rsidRPr="009060F7">
        <w:rPr>
          <w:rFonts w:cs="Arial"/>
        </w:rPr>
        <w:t xml:space="preserve"> a revitalizace, což umožní získané výsledky zobecnit.</w:t>
      </w:r>
    </w:p>
    <w:p w14:paraId="55AED677" w14:textId="77777777" w:rsidR="009060F7" w:rsidRDefault="009060F7" w:rsidP="009E6777">
      <w:pPr>
        <w:rPr>
          <w:rFonts w:cs="Arial"/>
        </w:rPr>
      </w:pPr>
    </w:p>
    <w:p w14:paraId="0ADEB905" w14:textId="7CEAC5AF" w:rsidR="009E6777" w:rsidRDefault="009E6777" w:rsidP="009E6777">
      <w:pPr>
        <w:rPr>
          <w:rFonts w:cs="Arial"/>
        </w:rPr>
      </w:pPr>
      <w:r w:rsidRPr="009060F7">
        <w:rPr>
          <w:rFonts w:cs="Arial"/>
        </w:rPr>
        <w:t>Výsledky projektu budou zahrnovat vytvoření dvou prvků modro-zelené infrastruktury (napojené rameno s tůní a revitalizovaný úsek řeky) a vytvoření přeshraničního mechanismu pro analýzu vlivu biotopů na odolnost vůči klimatické změně.</w:t>
      </w:r>
    </w:p>
    <w:p w14:paraId="0B01980D" w14:textId="77777777" w:rsidR="00C74D10" w:rsidRDefault="00C74D10" w:rsidP="009E6777">
      <w:pPr>
        <w:rPr>
          <w:rFonts w:cs="Arial"/>
        </w:rPr>
      </w:pPr>
    </w:p>
    <w:p w14:paraId="77FB22DD" w14:textId="77777777" w:rsidR="00C74D10" w:rsidRPr="00C74D10" w:rsidRDefault="00C74D10" w:rsidP="00C74D10">
      <w:pPr>
        <w:pStyle w:val="Odstavecseseznamem"/>
        <w:numPr>
          <w:ilvl w:val="0"/>
          <w:numId w:val="27"/>
        </w:numPr>
        <w:ind w:left="284" w:hanging="284"/>
        <w:rPr>
          <w:rFonts w:ascii="Arial" w:hAnsi="Arial" w:cs="Arial"/>
          <w:b/>
          <w:bCs/>
          <w:i/>
          <w:iCs/>
          <w:sz w:val="22"/>
          <w:szCs w:val="22"/>
        </w:rPr>
      </w:pPr>
      <w:r w:rsidRPr="00C74D10">
        <w:rPr>
          <w:rFonts w:ascii="Arial" w:hAnsi="Arial" w:cs="Arial"/>
          <w:b/>
          <w:bCs/>
          <w:i/>
          <w:iCs/>
          <w:sz w:val="22"/>
          <w:szCs w:val="22"/>
        </w:rPr>
        <w:t>Komplexní hospodaření s řekou Dyjí a záplavovými oblastmi s cílem adaptace na změnu klimatu, projekt č. ATCZ00107</w:t>
      </w:r>
    </w:p>
    <w:p w14:paraId="7875642E" w14:textId="77777777" w:rsidR="00C74D10" w:rsidRPr="00C74D10" w:rsidRDefault="00C74D10" w:rsidP="00C74D10">
      <w:pPr>
        <w:rPr>
          <w:rFonts w:cs="Arial"/>
        </w:rPr>
      </w:pPr>
      <w:r w:rsidRPr="00C74D10">
        <w:rPr>
          <w:rFonts w:cs="Arial"/>
        </w:rPr>
        <w:t>Partner na české straně: 2</w:t>
      </w:r>
    </w:p>
    <w:p w14:paraId="4A912821" w14:textId="77777777" w:rsidR="00C74D10" w:rsidRPr="00C74D10" w:rsidRDefault="00C74D10" w:rsidP="00C74D10">
      <w:pPr>
        <w:rPr>
          <w:rFonts w:cs="Arial"/>
        </w:rPr>
      </w:pPr>
      <w:r w:rsidRPr="00C74D10">
        <w:rPr>
          <w:rFonts w:cs="Arial"/>
        </w:rPr>
        <w:t>Rozpočet partnera:</w:t>
      </w:r>
    </w:p>
    <w:p w14:paraId="3DBD57B9" w14:textId="77777777" w:rsidR="00C74D10" w:rsidRPr="00C74D10" w:rsidRDefault="00C74D10" w:rsidP="00C74D10">
      <w:pPr>
        <w:rPr>
          <w:rFonts w:cs="Arial"/>
        </w:rPr>
      </w:pPr>
      <w:r w:rsidRPr="00C74D10">
        <w:rPr>
          <w:rFonts w:cs="Arial"/>
        </w:rPr>
        <w:t>Vysoké učení technické v Brně: 315 001,61 EUR</w:t>
      </w:r>
    </w:p>
    <w:p w14:paraId="23DB36F7" w14:textId="77777777" w:rsidR="00C74D10" w:rsidRPr="00C74D10" w:rsidRDefault="00C74D10" w:rsidP="00C74D10">
      <w:pPr>
        <w:rPr>
          <w:rFonts w:cs="Arial"/>
        </w:rPr>
      </w:pPr>
      <w:r w:rsidRPr="00C74D10">
        <w:rPr>
          <w:rFonts w:cs="Arial"/>
        </w:rPr>
        <w:t xml:space="preserve">Povodí Moravy, </w:t>
      </w:r>
      <w:proofErr w:type="spellStart"/>
      <w:r w:rsidRPr="00C74D10">
        <w:rPr>
          <w:rFonts w:cs="Arial"/>
        </w:rPr>
        <w:t>s.p</w:t>
      </w:r>
      <w:proofErr w:type="spellEnd"/>
      <w:r w:rsidRPr="00C74D10">
        <w:rPr>
          <w:rFonts w:cs="Arial"/>
        </w:rPr>
        <w:t>.: 190 421,93 EUR</w:t>
      </w:r>
    </w:p>
    <w:p w14:paraId="2BD864A5" w14:textId="77777777" w:rsidR="00C74D10" w:rsidRPr="00C74D10" w:rsidRDefault="00C74D10" w:rsidP="00C74D10">
      <w:pPr>
        <w:rPr>
          <w:rFonts w:cs="Arial"/>
        </w:rPr>
      </w:pPr>
    </w:p>
    <w:p w14:paraId="2799C949" w14:textId="77777777" w:rsidR="00C74D10" w:rsidRPr="00C74D10" w:rsidRDefault="00C74D10" w:rsidP="00C74D10">
      <w:pPr>
        <w:rPr>
          <w:rFonts w:cs="Arial"/>
        </w:rPr>
      </w:pPr>
      <w:r w:rsidRPr="00C74D10">
        <w:rPr>
          <w:rFonts w:cs="Arial"/>
        </w:rPr>
        <w:t>Realizace projektu: 1.4.2025 – 31.3.2028</w:t>
      </w:r>
    </w:p>
    <w:p w14:paraId="51CBC9F7" w14:textId="77777777" w:rsidR="00C74D10" w:rsidRPr="00C74D10" w:rsidRDefault="00C74D10" w:rsidP="00C74D10">
      <w:pPr>
        <w:rPr>
          <w:rFonts w:cs="Arial"/>
        </w:rPr>
      </w:pPr>
    </w:p>
    <w:p w14:paraId="120FD769" w14:textId="77777777" w:rsidR="00C74D10" w:rsidRPr="00C74D10" w:rsidRDefault="00C74D10" w:rsidP="00C74D10">
      <w:pPr>
        <w:rPr>
          <w:rFonts w:cs="Arial"/>
        </w:rPr>
      </w:pPr>
      <w:r w:rsidRPr="00C74D10">
        <w:rPr>
          <w:rFonts w:cs="Arial"/>
        </w:rPr>
        <w:t>Hlavním cílem projektu je komplexní hospodaření s Dyjí zaměřené na adaptaci na změnu klimatu. Za tímto účelem budou vypracována a testována opatření na pilotních lokalitách řeky Dyje a jejich záplavových územích. Společně s osvětou a zvyšováním povědomí o dopadech klimatických změn bude pro Dyji vypracována přeshraniční strategie adaptace na změnu klimatu.</w:t>
      </w:r>
    </w:p>
    <w:p w14:paraId="521F861E" w14:textId="77777777" w:rsidR="00FD7037" w:rsidRPr="00104F7D" w:rsidRDefault="00FD7037" w:rsidP="00007DE1">
      <w:pPr>
        <w:rPr>
          <w:rFonts w:cs="Arial"/>
          <w:highlight w:val="yellow"/>
        </w:rPr>
      </w:pPr>
    </w:p>
    <w:p w14:paraId="22541792" w14:textId="77777777" w:rsidR="009C4EB4" w:rsidRPr="0080369E" w:rsidRDefault="009C4EB4">
      <w:pPr>
        <w:pStyle w:val="Odstavecseseznamem"/>
        <w:numPr>
          <w:ilvl w:val="0"/>
          <w:numId w:val="27"/>
        </w:numPr>
        <w:ind w:left="284" w:hanging="284"/>
        <w:rPr>
          <w:rFonts w:ascii="Arial" w:hAnsi="Arial" w:cs="Arial"/>
          <w:b/>
          <w:bCs/>
          <w:i/>
          <w:iCs/>
          <w:sz w:val="22"/>
          <w:szCs w:val="22"/>
        </w:rPr>
      </w:pPr>
      <w:r w:rsidRPr="0080369E">
        <w:rPr>
          <w:rFonts w:ascii="Arial" w:hAnsi="Arial" w:cs="Arial"/>
          <w:b/>
          <w:bCs/>
          <w:i/>
          <w:iCs/>
          <w:sz w:val="22"/>
          <w:szCs w:val="22"/>
        </w:rPr>
        <w:t>Udržitelné hospodaření s podzemními vodami v česko-rakouském příhraničí, projekt č. ATCZ00067</w:t>
      </w:r>
    </w:p>
    <w:p w14:paraId="0F190399" w14:textId="77777777" w:rsidR="009C4EB4" w:rsidRPr="0080369E" w:rsidRDefault="009C4EB4" w:rsidP="009C4EB4">
      <w:pPr>
        <w:rPr>
          <w:rFonts w:cs="Arial"/>
        </w:rPr>
      </w:pPr>
      <w:r w:rsidRPr="0080369E">
        <w:rPr>
          <w:rFonts w:cs="Arial"/>
        </w:rPr>
        <w:t>Partner na české straně: 2</w:t>
      </w:r>
    </w:p>
    <w:p w14:paraId="4DABC9F7" w14:textId="77777777" w:rsidR="009C4EB4" w:rsidRPr="0080369E" w:rsidRDefault="009C4EB4" w:rsidP="009C4EB4">
      <w:pPr>
        <w:rPr>
          <w:rFonts w:cs="Arial"/>
        </w:rPr>
      </w:pPr>
      <w:r w:rsidRPr="0080369E">
        <w:rPr>
          <w:rFonts w:cs="Arial"/>
        </w:rPr>
        <w:t>Rozpočet partnera:</w:t>
      </w:r>
    </w:p>
    <w:p w14:paraId="526FEA36" w14:textId="77777777" w:rsidR="009C4EB4" w:rsidRPr="0080369E" w:rsidRDefault="009C4EB4" w:rsidP="009C4EB4">
      <w:pPr>
        <w:rPr>
          <w:rFonts w:cs="Arial"/>
        </w:rPr>
      </w:pPr>
      <w:r w:rsidRPr="0080369E">
        <w:rPr>
          <w:rFonts w:cs="Arial"/>
        </w:rPr>
        <w:t>Masarykova univerzita: 577 607,48 EUR</w:t>
      </w:r>
    </w:p>
    <w:p w14:paraId="2A78FF85" w14:textId="77777777" w:rsidR="009C4EB4" w:rsidRPr="0080369E" w:rsidRDefault="009C4EB4" w:rsidP="009C4EB4">
      <w:pPr>
        <w:rPr>
          <w:rFonts w:cs="Arial"/>
        </w:rPr>
      </w:pPr>
      <w:r w:rsidRPr="0080369E">
        <w:rPr>
          <w:rFonts w:cs="Arial"/>
        </w:rPr>
        <w:t>Český hydrometeorologický ústav: 130 032,00 EUR</w:t>
      </w:r>
    </w:p>
    <w:p w14:paraId="421CAD22" w14:textId="77777777" w:rsidR="009C4EB4" w:rsidRPr="0080369E" w:rsidRDefault="009C4EB4" w:rsidP="009C4EB4">
      <w:pPr>
        <w:rPr>
          <w:rFonts w:cs="Arial"/>
        </w:rPr>
      </w:pPr>
      <w:r w:rsidRPr="0080369E">
        <w:rPr>
          <w:rFonts w:cs="Arial"/>
        </w:rPr>
        <w:t>Realizace projektu: 1. 7. 2024 – 30. 6. 2027</w:t>
      </w:r>
    </w:p>
    <w:p w14:paraId="612AD5AE" w14:textId="77777777" w:rsidR="009C4EB4" w:rsidRPr="0080369E" w:rsidRDefault="009C4EB4" w:rsidP="009C4EB4">
      <w:pPr>
        <w:rPr>
          <w:rFonts w:cs="Arial"/>
        </w:rPr>
      </w:pPr>
    </w:p>
    <w:p w14:paraId="3CB043CB" w14:textId="374F5307" w:rsidR="00FD7037" w:rsidRDefault="009C4EB4" w:rsidP="00007DE1">
      <w:pPr>
        <w:rPr>
          <w:rFonts w:cs="Arial"/>
        </w:rPr>
      </w:pPr>
      <w:r w:rsidRPr="0080369E">
        <w:rPr>
          <w:rFonts w:cs="Arial"/>
        </w:rPr>
        <w:t>Cílem realizovaného projektu, jehož zahájení je plánováno od 1.6.2024, je posílení výměny přeshraničních znalostí a dat na podporu přiměřeného a koordinovaného vodního hospodářství v přeshraničním regionu. Hlavního cíle bude dosaženo prostřednictvím: 1) analýzy stávajících i nově získaných dat, 2) posílením spolupráce klíčových aktérů pro lepší ochranu podzemních vod a 3) realizací společných vzdělávacích akcí k propagaci a využití společné znalostní základny.</w:t>
      </w:r>
    </w:p>
    <w:p w14:paraId="47BCCE55" w14:textId="77777777" w:rsidR="0080369E" w:rsidRDefault="0080369E" w:rsidP="00007DE1">
      <w:pPr>
        <w:rPr>
          <w:rFonts w:cs="Arial"/>
        </w:rPr>
      </w:pPr>
    </w:p>
    <w:p w14:paraId="02BBDE66" w14:textId="77777777" w:rsidR="0080369E" w:rsidRPr="0080369E" w:rsidRDefault="0080369E" w:rsidP="0080369E">
      <w:pPr>
        <w:pStyle w:val="Odstavecseseznamem"/>
        <w:numPr>
          <w:ilvl w:val="0"/>
          <w:numId w:val="27"/>
        </w:numPr>
        <w:ind w:left="357" w:hanging="357"/>
        <w:rPr>
          <w:rFonts w:ascii="Arial" w:hAnsi="Arial" w:cs="Arial"/>
          <w:b/>
          <w:bCs/>
          <w:i/>
          <w:iCs/>
          <w:sz w:val="22"/>
          <w:szCs w:val="22"/>
        </w:rPr>
      </w:pPr>
      <w:r w:rsidRPr="0080369E">
        <w:rPr>
          <w:rFonts w:ascii="Arial" w:hAnsi="Arial" w:cs="Arial"/>
          <w:b/>
          <w:bCs/>
          <w:i/>
          <w:iCs/>
          <w:sz w:val="22"/>
          <w:szCs w:val="22"/>
        </w:rPr>
        <w:t>Využití původních druhů panonských trávníků v sídelní zeleni a při ekologické obnově krajiny, projekt č. ATCZ00164</w:t>
      </w:r>
    </w:p>
    <w:p w14:paraId="7C4FAA9F" w14:textId="77777777" w:rsidR="0080369E" w:rsidRPr="0080369E" w:rsidRDefault="0080369E" w:rsidP="0080369E">
      <w:pPr>
        <w:rPr>
          <w:rFonts w:cs="Arial"/>
        </w:rPr>
      </w:pPr>
      <w:r w:rsidRPr="0080369E">
        <w:rPr>
          <w:rFonts w:cs="Arial"/>
        </w:rPr>
        <w:t>Partner na české straně: 3</w:t>
      </w:r>
    </w:p>
    <w:p w14:paraId="17517F1E" w14:textId="77777777" w:rsidR="0080369E" w:rsidRPr="0080369E" w:rsidRDefault="0080369E" w:rsidP="0080369E">
      <w:pPr>
        <w:rPr>
          <w:rFonts w:cs="Arial"/>
        </w:rPr>
      </w:pPr>
      <w:r w:rsidRPr="0080369E">
        <w:rPr>
          <w:rFonts w:cs="Arial"/>
        </w:rPr>
        <w:t>Rozpočet partnera:</w:t>
      </w:r>
    </w:p>
    <w:p w14:paraId="2C8654ED" w14:textId="77777777" w:rsidR="0080369E" w:rsidRPr="0080369E" w:rsidRDefault="0080369E" w:rsidP="0080369E">
      <w:pPr>
        <w:rPr>
          <w:rFonts w:cs="Arial"/>
        </w:rPr>
      </w:pPr>
      <w:r w:rsidRPr="0080369E">
        <w:rPr>
          <w:rFonts w:cs="Arial"/>
        </w:rPr>
        <w:t>Masarykova univerzita: 648 901,64 EUR</w:t>
      </w:r>
    </w:p>
    <w:p w14:paraId="3874D653" w14:textId="77777777" w:rsidR="0080369E" w:rsidRPr="0080369E" w:rsidRDefault="0080369E" w:rsidP="0080369E">
      <w:pPr>
        <w:rPr>
          <w:rFonts w:cs="Arial"/>
        </w:rPr>
      </w:pPr>
      <w:r w:rsidRPr="0080369E">
        <w:rPr>
          <w:rFonts w:cs="Arial"/>
        </w:rPr>
        <w:t>Zemědělský výzkum, spol. s.r.o.: 191 512,72 EUR</w:t>
      </w:r>
    </w:p>
    <w:p w14:paraId="754EF9E7" w14:textId="77777777" w:rsidR="0080369E" w:rsidRPr="0080369E" w:rsidRDefault="0080369E" w:rsidP="0080369E">
      <w:pPr>
        <w:rPr>
          <w:rFonts w:cs="Arial"/>
        </w:rPr>
      </w:pPr>
      <w:r w:rsidRPr="0080369E">
        <w:rPr>
          <w:rFonts w:cs="Arial"/>
        </w:rPr>
        <w:t>Mendelova univerzita v Brně: 179 978,68 EUR</w:t>
      </w:r>
    </w:p>
    <w:p w14:paraId="71D60541" w14:textId="77777777" w:rsidR="0080369E" w:rsidRPr="0080369E" w:rsidRDefault="0080369E" w:rsidP="0080369E">
      <w:pPr>
        <w:rPr>
          <w:rFonts w:cs="Arial"/>
        </w:rPr>
      </w:pPr>
    </w:p>
    <w:p w14:paraId="3A949602" w14:textId="77777777" w:rsidR="0080369E" w:rsidRPr="0080369E" w:rsidRDefault="0080369E" w:rsidP="0080369E">
      <w:pPr>
        <w:rPr>
          <w:rFonts w:cs="Arial"/>
        </w:rPr>
      </w:pPr>
      <w:r w:rsidRPr="0080369E">
        <w:rPr>
          <w:rFonts w:cs="Arial"/>
        </w:rPr>
        <w:t>Realizace projektu: 1.3.2025 – 31.12.2028</w:t>
      </w:r>
    </w:p>
    <w:p w14:paraId="714BAD41" w14:textId="77777777" w:rsidR="0080369E" w:rsidRPr="0080369E" w:rsidRDefault="0080369E" w:rsidP="0080369E">
      <w:pPr>
        <w:rPr>
          <w:rFonts w:cs="Arial"/>
        </w:rPr>
      </w:pPr>
    </w:p>
    <w:p w14:paraId="7F429158" w14:textId="77777777" w:rsidR="0080369E" w:rsidRDefault="0080369E" w:rsidP="0080369E">
      <w:pPr>
        <w:rPr>
          <w:rFonts w:cs="Arial"/>
        </w:rPr>
      </w:pPr>
      <w:r w:rsidRPr="0080369E">
        <w:rPr>
          <w:rFonts w:cs="Arial"/>
        </w:rPr>
        <w:t xml:space="preserve">Projekt reaguje na potřebu obnovy trávníků odolných vůči klimatickým změnám v panonské oblasti Česka a Rakouska, přináší komplexní přístup, který kombinuje ekologické principy a inovativní metody obnovy a zakládání trávníků. Využívá původní druhy přizpůsobené extrémům k zakládání a obnově udržitelných trávníků v krajině i městech. Zvýšení podílu vhodných travních porostů v krajině napomůže k její adaptaci na klimatickou změnu, konkrétně její schopnost zadržovat vodu. Projekt dále usiluje o přenos řešení do praxe díky vzniku pilotních ploch a vzdělávacím akcím.  </w:t>
      </w:r>
    </w:p>
    <w:p w14:paraId="261CB405" w14:textId="77777777" w:rsidR="00102AE4" w:rsidRDefault="00102AE4" w:rsidP="0080369E">
      <w:pPr>
        <w:rPr>
          <w:rFonts w:cs="Arial"/>
        </w:rPr>
      </w:pPr>
    </w:p>
    <w:p w14:paraId="44005471" w14:textId="77777777" w:rsidR="005B6192" w:rsidRPr="00222D67" w:rsidRDefault="005B6192" w:rsidP="005B6192">
      <w:pPr>
        <w:pStyle w:val="Odstavecseseznamem"/>
        <w:numPr>
          <w:ilvl w:val="0"/>
          <w:numId w:val="27"/>
        </w:numPr>
        <w:ind w:left="284" w:hanging="284"/>
        <w:rPr>
          <w:rFonts w:ascii="Calibri" w:hAnsi="Calibri" w:cs="Calibri"/>
          <w:b/>
          <w:bCs/>
          <w:i/>
          <w:iCs/>
        </w:rPr>
      </w:pPr>
      <w:r w:rsidRPr="00222D67">
        <w:rPr>
          <w:rFonts w:ascii="Calibri" w:hAnsi="Calibri" w:cs="Calibri"/>
          <w:b/>
          <w:bCs/>
          <w:i/>
          <w:iCs/>
        </w:rPr>
        <w:t>MALLIANCE – Malše aliance pro společné říční dědictví/</w:t>
      </w:r>
      <w:proofErr w:type="spellStart"/>
      <w:r w:rsidRPr="00222D67">
        <w:rPr>
          <w:rFonts w:ascii="Calibri" w:hAnsi="Calibri" w:cs="Calibri"/>
          <w:b/>
          <w:bCs/>
          <w:i/>
          <w:iCs/>
        </w:rPr>
        <w:t>Maltsch</w:t>
      </w:r>
      <w:proofErr w:type="spellEnd"/>
      <w:r w:rsidRPr="00222D67">
        <w:rPr>
          <w:rFonts w:ascii="Calibri" w:hAnsi="Calibri" w:cs="Calibri"/>
          <w:b/>
          <w:bCs/>
          <w:i/>
          <w:iCs/>
        </w:rPr>
        <w:t xml:space="preserve">-Allianz </w:t>
      </w:r>
      <w:proofErr w:type="spellStart"/>
      <w:r w:rsidRPr="00222D67">
        <w:rPr>
          <w:rFonts w:ascii="Calibri" w:hAnsi="Calibri" w:cs="Calibri"/>
          <w:b/>
          <w:bCs/>
          <w:i/>
          <w:iCs/>
        </w:rPr>
        <w:t>für</w:t>
      </w:r>
      <w:proofErr w:type="spellEnd"/>
      <w:r w:rsidRPr="00222D67">
        <w:rPr>
          <w:rFonts w:ascii="Calibri" w:hAnsi="Calibri" w:cs="Calibri"/>
          <w:b/>
          <w:bCs/>
          <w:i/>
          <w:iCs/>
        </w:rPr>
        <w:t xml:space="preserve"> </w:t>
      </w:r>
      <w:proofErr w:type="spellStart"/>
      <w:r w:rsidRPr="00222D67">
        <w:rPr>
          <w:rFonts w:ascii="Calibri" w:hAnsi="Calibri" w:cs="Calibri"/>
          <w:b/>
          <w:bCs/>
          <w:i/>
          <w:iCs/>
        </w:rPr>
        <w:t>ein</w:t>
      </w:r>
      <w:proofErr w:type="spellEnd"/>
      <w:r w:rsidRPr="00222D67">
        <w:rPr>
          <w:rFonts w:ascii="Calibri" w:hAnsi="Calibri" w:cs="Calibri"/>
          <w:b/>
          <w:bCs/>
          <w:i/>
          <w:iCs/>
        </w:rPr>
        <w:t xml:space="preserve"> </w:t>
      </w:r>
      <w:proofErr w:type="spellStart"/>
      <w:r w:rsidRPr="00222D67">
        <w:rPr>
          <w:rFonts w:ascii="Calibri" w:hAnsi="Calibri" w:cs="Calibri"/>
          <w:b/>
          <w:bCs/>
          <w:i/>
          <w:iCs/>
        </w:rPr>
        <w:t>gemeinsames</w:t>
      </w:r>
      <w:proofErr w:type="spellEnd"/>
      <w:r w:rsidRPr="00222D67">
        <w:rPr>
          <w:rFonts w:ascii="Calibri" w:hAnsi="Calibri" w:cs="Calibri"/>
          <w:b/>
          <w:bCs/>
          <w:i/>
          <w:iCs/>
        </w:rPr>
        <w:t xml:space="preserve"> </w:t>
      </w:r>
      <w:proofErr w:type="spellStart"/>
      <w:r w:rsidRPr="00222D67">
        <w:rPr>
          <w:rFonts w:ascii="Calibri" w:hAnsi="Calibri" w:cs="Calibri"/>
          <w:b/>
          <w:bCs/>
          <w:i/>
          <w:iCs/>
        </w:rPr>
        <w:t>Flusserbe</w:t>
      </w:r>
      <w:proofErr w:type="spellEnd"/>
      <w:r w:rsidRPr="00222D67">
        <w:rPr>
          <w:rFonts w:ascii="Calibri" w:hAnsi="Calibri" w:cs="Calibri"/>
          <w:b/>
          <w:bCs/>
          <w:i/>
          <w:iCs/>
        </w:rPr>
        <w:t>, projekt č. ATCZ00162</w:t>
      </w:r>
    </w:p>
    <w:p w14:paraId="5BB43F1A" w14:textId="77777777" w:rsidR="005B6192" w:rsidRPr="00CB5424" w:rsidRDefault="005B6192" w:rsidP="005B6192">
      <w:r w:rsidRPr="00CB5424">
        <w:t>Partner na české straně: 1</w:t>
      </w:r>
    </w:p>
    <w:p w14:paraId="2CE5B04C" w14:textId="77777777" w:rsidR="005B6192" w:rsidRPr="00CB5424" w:rsidRDefault="005B6192" w:rsidP="005B6192">
      <w:r w:rsidRPr="00CB5424">
        <w:t>Rozpočet partnera:</w:t>
      </w:r>
    </w:p>
    <w:p w14:paraId="02A92403" w14:textId="77777777" w:rsidR="005B6192" w:rsidRPr="00CB5424" w:rsidRDefault="005B6192" w:rsidP="005B6192">
      <w:r w:rsidRPr="00CB5424">
        <w:t>Ministerstvo životního prostředí ČR: 1.067.657,65 EUR</w:t>
      </w:r>
    </w:p>
    <w:p w14:paraId="2DD736BF" w14:textId="77777777" w:rsidR="005B6192" w:rsidRDefault="005B6192" w:rsidP="005B6192"/>
    <w:p w14:paraId="345C04F2" w14:textId="77777777" w:rsidR="005B6192" w:rsidRPr="00CB5424" w:rsidRDefault="005B6192" w:rsidP="005B6192">
      <w:r w:rsidRPr="00CB5424">
        <w:t>Realizace projektu: 1. 4. 2025 – 31. 12. 2028</w:t>
      </w:r>
    </w:p>
    <w:p w14:paraId="4936944D" w14:textId="77777777" w:rsidR="005B6192" w:rsidRPr="00CB5424" w:rsidRDefault="005B6192" w:rsidP="005B6192">
      <w:pPr>
        <w:rPr>
          <w:b/>
          <w:bCs/>
          <w:i/>
          <w:iCs/>
        </w:rPr>
      </w:pPr>
    </w:p>
    <w:p w14:paraId="4DE42663" w14:textId="77777777" w:rsidR="005B6192" w:rsidRPr="00CB5424" w:rsidRDefault="005B6192" w:rsidP="005B6192">
      <w:r w:rsidRPr="00CB5424">
        <w:t>Zastřešujícím cílem projektu je spojenectví za účelem dalšího rozvoje společného dědictví v regionu Horní Malše. Na jedné straně se plánují praktická řešení pro zlepšení životního prostředí a populací chráněných druhů a na druhé straně se má pracovat na zlepšení spolupráce mezi různými zúčastněnými stranami v regionu. Cílem je vytvořit stálý formát dialogu a také se dohodnout na společných cílech pro tuto oblast a vyřešit případné konflikty v oblasti ochrany přírody. Zapojeni mají být místní uživatelé půdy, zástupci obcí a zástupci institucionální i praktické ochrany přírody.</w:t>
      </w:r>
    </w:p>
    <w:p w14:paraId="44A18AB1" w14:textId="77777777" w:rsidR="005B6192" w:rsidRPr="00CB5424" w:rsidRDefault="005B6192" w:rsidP="005B6192"/>
    <w:p w14:paraId="04528345" w14:textId="77777777" w:rsidR="005B6192" w:rsidRPr="00CB5424" w:rsidRDefault="005B6192" w:rsidP="005B6192">
      <w:r w:rsidRPr="00CB5424">
        <w:t xml:space="preserve">Praktická opatření na ochranu a další rozvoj a udržení stanoviště a druhů (např. odchov perlorodky, zlepšení zadržování sedimentů a vody atd.) vycházejí z existujících a osvědčených poznatků, které je třeba v regionu dále upevňovat. Opatření jsou součástí plánu péče vypracovaného v rámci projektu </w:t>
      </w:r>
      <w:proofErr w:type="spellStart"/>
      <w:r w:rsidRPr="00CB5424">
        <w:t>Interreg</w:t>
      </w:r>
      <w:proofErr w:type="spellEnd"/>
      <w:r w:rsidRPr="00CB5424">
        <w:t xml:space="preserve"> </w:t>
      </w:r>
      <w:proofErr w:type="spellStart"/>
      <w:r w:rsidRPr="00CB5424">
        <w:t>Malšemuschel</w:t>
      </w:r>
      <w:proofErr w:type="spellEnd"/>
      <w:r w:rsidRPr="00CB5424">
        <w:t xml:space="preserve"> (2017-2020). Pilotní lokality pro tato opatření mají rovněž podpořit napodobování, a umožnit tak průběžné dosahování cílů v souladu s tímto předchozím projektem.</w:t>
      </w:r>
    </w:p>
    <w:p w14:paraId="2F7A5791" w14:textId="77777777" w:rsidR="00A527BE" w:rsidRPr="00CB5424" w:rsidRDefault="00A527BE" w:rsidP="00A527BE"/>
    <w:p w14:paraId="037E2361" w14:textId="77777777" w:rsidR="00A527BE" w:rsidRPr="00A527BE" w:rsidRDefault="00A527BE" w:rsidP="00A527BE">
      <w:pPr>
        <w:pStyle w:val="Odstavecseseznamem"/>
        <w:numPr>
          <w:ilvl w:val="0"/>
          <w:numId w:val="27"/>
        </w:numPr>
        <w:ind w:left="284" w:hanging="284"/>
        <w:rPr>
          <w:rFonts w:ascii="Arial" w:hAnsi="Arial" w:cs="Arial"/>
          <w:b/>
          <w:bCs/>
          <w:i/>
          <w:iCs/>
          <w:sz w:val="22"/>
          <w:szCs w:val="22"/>
        </w:rPr>
      </w:pPr>
      <w:r w:rsidRPr="00A527BE">
        <w:rPr>
          <w:rFonts w:ascii="Arial" w:hAnsi="Arial" w:cs="Arial"/>
          <w:b/>
          <w:bCs/>
          <w:i/>
          <w:iCs/>
          <w:sz w:val="22"/>
          <w:szCs w:val="22"/>
        </w:rPr>
        <w:t>Živé poklady bystřin a tůní, projekt č. ATCZ00180</w:t>
      </w:r>
    </w:p>
    <w:p w14:paraId="19200194" w14:textId="77777777" w:rsidR="00A527BE" w:rsidRPr="00A527BE" w:rsidRDefault="00A527BE" w:rsidP="00A527BE">
      <w:pPr>
        <w:rPr>
          <w:rFonts w:cs="Arial"/>
        </w:rPr>
      </w:pPr>
      <w:r w:rsidRPr="00A527BE">
        <w:rPr>
          <w:rFonts w:cs="Arial"/>
        </w:rPr>
        <w:t>Partner na české straně: 2</w:t>
      </w:r>
    </w:p>
    <w:p w14:paraId="7BE94D39" w14:textId="77777777" w:rsidR="00A527BE" w:rsidRPr="00A527BE" w:rsidRDefault="00A527BE" w:rsidP="00A527BE">
      <w:pPr>
        <w:rPr>
          <w:rFonts w:cs="Arial"/>
        </w:rPr>
      </w:pPr>
      <w:r w:rsidRPr="00A527BE">
        <w:rPr>
          <w:rFonts w:cs="Arial"/>
        </w:rPr>
        <w:t>Rozpočet partnera:</w:t>
      </w:r>
    </w:p>
    <w:p w14:paraId="40448855" w14:textId="4BF783DC" w:rsidR="00A527BE" w:rsidRPr="00A527BE" w:rsidRDefault="00A527BE" w:rsidP="00A527BE">
      <w:pPr>
        <w:rPr>
          <w:rFonts w:cs="Arial"/>
        </w:rPr>
      </w:pPr>
      <w:r w:rsidRPr="00A527BE">
        <w:rPr>
          <w:rFonts w:cs="Arial"/>
        </w:rPr>
        <w:t xml:space="preserve">Biologické centrum AV ČR, </w:t>
      </w:r>
      <w:proofErr w:type="spellStart"/>
      <w:r w:rsidRPr="00A527BE">
        <w:rPr>
          <w:rFonts w:cs="Arial"/>
        </w:rPr>
        <w:t>v.v.i</w:t>
      </w:r>
      <w:proofErr w:type="spellEnd"/>
      <w:r w:rsidRPr="00A527BE">
        <w:rPr>
          <w:rFonts w:cs="Arial"/>
        </w:rPr>
        <w:t>.: 366</w:t>
      </w:r>
      <w:r w:rsidR="00214E95">
        <w:rPr>
          <w:rFonts w:cs="Arial"/>
        </w:rPr>
        <w:t xml:space="preserve"> </w:t>
      </w:r>
      <w:r w:rsidRPr="00A527BE">
        <w:rPr>
          <w:rFonts w:cs="Arial"/>
        </w:rPr>
        <w:t>969,36 EUR</w:t>
      </w:r>
    </w:p>
    <w:p w14:paraId="202EEBD7" w14:textId="63C56AD3" w:rsidR="00A527BE" w:rsidRPr="00A527BE" w:rsidRDefault="00A527BE" w:rsidP="00A527BE">
      <w:pPr>
        <w:rPr>
          <w:rFonts w:cs="Arial"/>
        </w:rPr>
      </w:pPr>
      <w:r w:rsidRPr="00A527BE">
        <w:rPr>
          <w:rFonts w:cs="Arial"/>
        </w:rPr>
        <w:t>Jihočeská univerzita v Českých Budějovicích: 345</w:t>
      </w:r>
      <w:r w:rsidR="00214E95">
        <w:rPr>
          <w:rFonts w:cs="Arial"/>
        </w:rPr>
        <w:t xml:space="preserve"> </w:t>
      </w:r>
      <w:r w:rsidRPr="00A527BE">
        <w:rPr>
          <w:rFonts w:cs="Arial"/>
        </w:rPr>
        <w:t>962,96 EUR</w:t>
      </w:r>
    </w:p>
    <w:p w14:paraId="431A4B1B" w14:textId="77777777" w:rsidR="00A527BE" w:rsidRPr="00A527BE" w:rsidRDefault="00A527BE" w:rsidP="00A527BE">
      <w:pPr>
        <w:rPr>
          <w:rFonts w:cs="Arial"/>
        </w:rPr>
      </w:pPr>
    </w:p>
    <w:p w14:paraId="62C026E5" w14:textId="77777777" w:rsidR="00A527BE" w:rsidRPr="00A527BE" w:rsidRDefault="00A527BE" w:rsidP="00A527BE">
      <w:pPr>
        <w:rPr>
          <w:rFonts w:cs="Arial"/>
        </w:rPr>
      </w:pPr>
      <w:r w:rsidRPr="00A527BE">
        <w:rPr>
          <w:rFonts w:cs="Arial"/>
        </w:rPr>
        <w:t>Realizace projektu: 1. 4. 2025 – 31. 3. 2028</w:t>
      </w:r>
    </w:p>
    <w:p w14:paraId="00A1021A" w14:textId="77777777" w:rsidR="00A527BE" w:rsidRPr="00A527BE" w:rsidRDefault="00A527BE" w:rsidP="00A527BE">
      <w:pPr>
        <w:rPr>
          <w:rFonts w:cs="Arial"/>
          <w:b/>
          <w:bCs/>
          <w:i/>
          <w:iCs/>
        </w:rPr>
      </w:pPr>
    </w:p>
    <w:p w14:paraId="3BDA49EE" w14:textId="77777777" w:rsidR="00A527BE" w:rsidRPr="00A527BE" w:rsidRDefault="00A527BE" w:rsidP="00A527BE">
      <w:pPr>
        <w:rPr>
          <w:rFonts w:cs="Arial"/>
        </w:rPr>
      </w:pPr>
      <w:r w:rsidRPr="00A527BE">
        <w:rPr>
          <w:rFonts w:cs="Arial"/>
        </w:rPr>
        <w:t xml:space="preserve">Cílem projektu je podpora biologické rozmanitosti horních a středních toků i přilehlých tůní zaměřením na vlajkové druhy ryb v programovém území. Jako stěžejní modelová území si projekt vybírá toky Grosse </w:t>
      </w:r>
      <w:proofErr w:type="spellStart"/>
      <w:r w:rsidRPr="00A527BE">
        <w:rPr>
          <w:rFonts w:cs="Arial"/>
        </w:rPr>
        <w:t>Mühl</w:t>
      </w:r>
      <w:proofErr w:type="spellEnd"/>
      <w:r w:rsidRPr="00A527BE">
        <w:rPr>
          <w:rFonts w:cs="Arial"/>
        </w:rPr>
        <w:t xml:space="preserve">, Blanice a Lužnice. Zahrnuje dodržování Rámcové směrnice o vodách, rozšiřování společné znalostní základny o příklady dobré praxe při řešení stavu vodního prostředí, aktuální informace o jeho stavu a podporu spolupráce odborných týmů z ČR a Rakouska na řešených tocích se zástupci regionů a správců povodí. Projektový tým vychází z již probíhajícího detailního monitoringu a výchozí znalostní základny. Projekt podpoří sdílení těchto cenných databází a představí v programových regionech cílové skupině příklady dobré praxe péče o řešené toky, území a cílové druhy ryb. Cíl projektu a praktických příkladů pro uživatele z regionů je následná širší aplikace a zlepšená ochrana a odolnost ekosystémů řek a tůní. Implementace výsledků projektu povede k reálnému zlepšení stavu populací vlajkových druhů ryb v projektu (lipan podhorní, karas obecný). Realizovány budou 2 rozsáhlejší pilotní akce, jejichž ambicí je podpora ekologického hospodaření na řešených tocích. U těchto pilotních akcí budou úzce spolupracovat české a rakouské týmy, proběhne na nich řada společných exkurzí, workshopů a cílem je převzetí a přenos do širší praxe. Zároveň budou výsledky a výstupy z demonstrovaných příkladů péče v rámci pilotních akcí součástí </w:t>
      </w:r>
      <w:proofErr w:type="spellStart"/>
      <w:r w:rsidRPr="00A527BE">
        <w:rPr>
          <w:rFonts w:cs="Arial"/>
        </w:rPr>
        <w:t>managementových</w:t>
      </w:r>
      <w:proofErr w:type="spellEnd"/>
      <w:r w:rsidRPr="00A527BE">
        <w:rPr>
          <w:rFonts w:cs="Arial"/>
        </w:rPr>
        <w:t xml:space="preserve"> doporučení pro zapojené správce toků.</w:t>
      </w:r>
    </w:p>
    <w:p w14:paraId="7BA4D9B7" w14:textId="77777777" w:rsidR="008E5AB5" w:rsidRPr="00104F7D" w:rsidRDefault="008E5AB5" w:rsidP="00007DE1">
      <w:pPr>
        <w:rPr>
          <w:rFonts w:cs="Arial"/>
          <w:highlight w:val="yellow"/>
        </w:rPr>
      </w:pPr>
    </w:p>
    <w:p w14:paraId="72A79457" w14:textId="36A7EB30" w:rsidR="008E5AB5" w:rsidRPr="00214E95" w:rsidRDefault="008E5AB5" w:rsidP="005D0F03">
      <w:pPr>
        <w:pStyle w:val="Odstavecseseznamem"/>
        <w:numPr>
          <w:ilvl w:val="0"/>
          <w:numId w:val="4"/>
        </w:numPr>
        <w:rPr>
          <w:rFonts w:ascii="Arial" w:hAnsi="Arial" w:cs="Arial"/>
          <w:b/>
          <w:bCs/>
          <w:sz w:val="22"/>
          <w:szCs w:val="22"/>
          <w:u w:val="single"/>
        </w:rPr>
      </w:pPr>
      <w:r w:rsidRPr="00214E95">
        <w:rPr>
          <w:rFonts w:ascii="Arial" w:hAnsi="Arial" w:cs="Arial"/>
          <w:b/>
          <w:bCs/>
          <w:sz w:val="22"/>
          <w:szCs w:val="22"/>
          <w:u w:val="single"/>
        </w:rPr>
        <w:t xml:space="preserve">Program </w:t>
      </w:r>
      <w:proofErr w:type="spellStart"/>
      <w:r w:rsidRPr="00214E95">
        <w:rPr>
          <w:rFonts w:ascii="Arial" w:hAnsi="Arial" w:cs="Arial"/>
          <w:b/>
          <w:bCs/>
          <w:sz w:val="22"/>
          <w:szCs w:val="22"/>
          <w:u w:val="single"/>
        </w:rPr>
        <w:t>Interreg</w:t>
      </w:r>
      <w:proofErr w:type="spellEnd"/>
      <w:r w:rsidRPr="00214E95">
        <w:rPr>
          <w:rFonts w:ascii="Arial" w:hAnsi="Arial" w:cs="Arial"/>
          <w:b/>
          <w:bCs/>
          <w:sz w:val="22"/>
          <w:szCs w:val="22"/>
          <w:u w:val="single"/>
        </w:rPr>
        <w:t xml:space="preserve"> </w:t>
      </w:r>
      <w:proofErr w:type="gramStart"/>
      <w:r w:rsidRPr="00214E95">
        <w:rPr>
          <w:rFonts w:ascii="Arial" w:hAnsi="Arial" w:cs="Arial"/>
          <w:b/>
          <w:bCs/>
          <w:sz w:val="22"/>
          <w:szCs w:val="22"/>
          <w:u w:val="single"/>
        </w:rPr>
        <w:t>Sasko - Česko</w:t>
      </w:r>
      <w:proofErr w:type="gramEnd"/>
      <w:r w:rsidRPr="00214E95">
        <w:rPr>
          <w:rFonts w:ascii="Arial" w:hAnsi="Arial" w:cs="Arial"/>
          <w:b/>
          <w:bCs/>
          <w:sz w:val="22"/>
          <w:szCs w:val="22"/>
          <w:u w:val="single"/>
        </w:rPr>
        <w:t xml:space="preserve"> 2021</w:t>
      </w:r>
      <w:r w:rsidR="00D41B6F" w:rsidRPr="00214E95">
        <w:rPr>
          <w:rFonts w:ascii="Arial" w:hAnsi="Arial" w:cs="Arial"/>
          <w:b/>
          <w:bCs/>
          <w:sz w:val="22"/>
          <w:szCs w:val="22"/>
          <w:u w:val="single"/>
        </w:rPr>
        <w:t>–</w:t>
      </w:r>
      <w:r w:rsidRPr="00214E95">
        <w:rPr>
          <w:rFonts w:ascii="Arial" w:hAnsi="Arial" w:cs="Arial"/>
          <w:b/>
          <w:bCs/>
          <w:sz w:val="22"/>
          <w:szCs w:val="22"/>
          <w:u w:val="single"/>
        </w:rPr>
        <w:t>2027</w:t>
      </w:r>
    </w:p>
    <w:p w14:paraId="278A7372" w14:textId="77777777" w:rsidR="008E5AB5" w:rsidRPr="00104F7D" w:rsidRDefault="008E5AB5" w:rsidP="00007DE1">
      <w:pPr>
        <w:rPr>
          <w:rFonts w:cs="Arial"/>
          <w:highlight w:val="yellow"/>
        </w:rPr>
      </w:pPr>
    </w:p>
    <w:p w14:paraId="6B46B5AA" w14:textId="60117CB0" w:rsidR="008E5AB5" w:rsidRPr="00DC59DF" w:rsidRDefault="008E5AB5">
      <w:pPr>
        <w:pStyle w:val="Odstavecseseznamem"/>
        <w:numPr>
          <w:ilvl w:val="0"/>
          <w:numId w:val="20"/>
        </w:numPr>
        <w:jc w:val="left"/>
        <w:rPr>
          <w:rFonts w:ascii="Arial" w:hAnsi="Arial" w:cs="Arial"/>
          <w:b/>
          <w:bCs/>
          <w:sz w:val="22"/>
          <w:szCs w:val="22"/>
        </w:rPr>
      </w:pPr>
      <w:r w:rsidRPr="00DC59DF">
        <w:rPr>
          <w:rFonts w:ascii="Arial" w:hAnsi="Arial" w:cs="Arial"/>
          <w:b/>
          <w:bCs/>
          <w:sz w:val="22"/>
          <w:szCs w:val="22"/>
        </w:rPr>
        <w:t>Dopady změny klimatu na přeshraniční vodní útvary na CZ-SN hranici, projekt č.</w:t>
      </w:r>
      <w:r w:rsidR="008B070D" w:rsidRPr="00DC59DF">
        <w:rPr>
          <w:rFonts w:ascii="Arial" w:hAnsi="Arial" w:cs="Arial"/>
          <w:b/>
          <w:bCs/>
          <w:sz w:val="22"/>
          <w:szCs w:val="22"/>
        </w:rPr>
        <w:t> </w:t>
      </w:r>
      <w:r w:rsidRPr="00DC59DF">
        <w:rPr>
          <w:rFonts w:ascii="Arial" w:hAnsi="Arial" w:cs="Arial"/>
          <w:b/>
          <w:bCs/>
          <w:sz w:val="22"/>
          <w:szCs w:val="22"/>
        </w:rPr>
        <w:t>100694066</w:t>
      </w:r>
    </w:p>
    <w:p w14:paraId="12B43891" w14:textId="77777777" w:rsidR="008E5AB5" w:rsidRPr="00DC59DF" w:rsidRDefault="008E5AB5" w:rsidP="008E5AB5">
      <w:r w:rsidRPr="00DC59DF">
        <w:t>Partneři na české straně: 1</w:t>
      </w:r>
    </w:p>
    <w:p w14:paraId="26EAC541" w14:textId="77777777" w:rsidR="008E5AB5" w:rsidRPr="00DC59DF" w:rsidRDefault="008E5AB5" w:rsidP="008E5AB5">
      <w:r w:rsidRPr="00DC59DF">
        <w:t>Rozpočet partnera:</w:t>
      </w:r>
    </w:p>
    <w:p w14:paraId="179E1965" w14:textId="77777777" w:rsidR="008E5AB5" w:rsidRPr="00DC59DF" w:rsidRDefault="008E5AB5" w:rsidP="008E5AB5">
      <w:pPr>
        <w:rPr>
          <w:rFonts w:cs="Arial"/>
        </w:rPr>
      </w:pPr>
      <w:r w:rsidRPr="00DC59DF">
        <w:rPr>
          <w:rFonts w:cs="Arial"/>
        </w:rPr>
        <w:t xml:space="preserve">Výzkumný ústav vodohospodářský T. G. Masaryka, </w:t>
      </w:r>
      <w:proofErr w:type="spellStart"/>
      <w:r w:rsidRPr="00DC59DF">
        <w:rPr>
          <w:rFonts w:cs="Arial"/>
        </w:rPr>
        <w:t>v.v.i</w:t>
      </w:r>
      <w:proofErr w:type="spellEnd"/>
      <w:r w:rsidRPr="00DC59DF">
        <w:rPr>
          <w:rFonts w:cs="Arial"/>
        </w:rPr>
        <w:t>.: 628 099,12 €</w:t>
      </w:r>
    </w:p>
    <w:p w14:paraId="2740F5CF" w14:textId="77777777" w:rsidR="008E5AB5" w:rsidRPr="00DC59DF" w:rsidRDefault="008E5AB5" w:rsidP="008E5AB5">
      <w:pPr>
        <w:rPr>
          <w:rFonts w:cs="Arial"/>
        </w:rPr>
      </w:pPr>
    </w:p>
    <w:p w14:paraId="0222CFEF" w14:textId="265CDB58" w:rsidR="008E5AB5" w:rsidRPr="00DC59DF" w:rsidRDefault="008E5AB5" w:rsidP="008E5AB5">
      <w:r w:rsidRPr="00DC59DF">
        <w:t>Realizace projektu 1.</w:t>
      </w:r>
      <w:r w:rsidR="00D774BE" w:rsidRPr="00DC59DF">
        <w:t xml:space="preserve"> </w:t>
      </w:r>
      <w:r w:rsidRPr="00DC59DF">
        <w:t>1.</w:t>
      </w:r>
      <w:r w:rsidR="00D774BE" w:rsidRPr="00DC59DF">
        <w:t xml:space="preserve"> </w:t>
      </w:r>
      <w:r w:rsidRPr="00DC59DF">
        <w:t>2024 – 31.</w:t>
      </w:r>
      <w:r w:rsidR="00D774BE" w:rsidRPr="00DC59DF">
        <w:t xml:space="preserve"> </w:t>
      </w:r>
      <w:r w:rsidRPr="00DC59DF">
        <w:t>12.</w:t>
      </w:r>
      <w:r w:rsidR="00D774BE" w:rsidRPr="00DC59DF">
        <w:t xml:space="preserve"> </w:t>
      </w:r>
      <w:r w:rsidRPr="00DC59DF">
        <w:t>2026</w:t>
      </w:r>
    </w:p>
    <w:p w14:paraId="0C8FAD1D" w14:textId="77777777" w:rsidR="008E5AB5" w:rsidRPr="00DC59DF" w:rsidRDefault="008E5AB5" w:rsidP="008E5AB5"/>
    <w:p w14:paraId="7EF0E83B" w14:textId="77777777" w:rsidR="008E5AB5" w:rsidRPr="00DC59DF" w:rsidRDefault="008E5AB5" w:rsidP="008E5AB5">
      <w:pPr>
        <w:autoSpaceDE w:val="0"/>
        <w:autoSpaceDN w:val="0"/>
        <w:adjustRightInd w:val="0"/>
        <w:rPr>
          <w:rFonts w:cs="Arial"/>
          <w14:ligatures w14:val="standardContextual"/>
        </w:rPr>
      </w:pPr>
      <w:r w:rsidRPr="00DC59DF">
        <w:rPr>
          <w:rFonts w:cs="Arial"/>
          <w14:ligatures w14:val="standardContextual"/>
        </w:rPr>
        <w:t>Cílem projektu je identifikovat environmentální rizika způsobená změnou klimatu u znečištěných přeshraničních vodních toků a navrhnout vhodná opatření k jejich minimalizaci. Pro projekt bylo vybráno 6 zvláště znečištěných řek v příhraniční oblasti (</w:t>
      </w:r>
      <w:proofErr w:type="spellStart"/>
      <w:r w:rsidRPr="00DC59DF">
        <w:rPr>
          <w:rFonts w:cs="Arial"/>
          <w14:ligatures w14:val="standardContextual"/>
        </w:rPr>
        <w:t>Polava</w:t>
      </w:r>
      <w:proofErr w:type="spellEnd"/>
      <w:r w:rsidRPr="00DC59DF">
        <w:rPr>
          <w:rFonts w:cs="Arial"/>
          <w14:ligatures w14:val="standardContextual"/>
        </w:rPr>
        <w:t xml:space="preserve">, </w:t>
      </w:r>
      <w:proofErr w:type="spellStart"/>
      <w:r w:rsidRPr="00DC59DF">
        <w:rPr>
          <w:rFonts w:cs="Arial"/>
          <w14:ligatures w14:val="standardContextual"/>
        </w:rPr>
        <w:t>Rožanský</w:t>
      </w:r>
      <w:proofErr w:type="spellEnd"/>
      <w:r w:rsidRPr="00DC59DF">
        <w:rPr>
          <w:rFonts w:cs="Arial"/>
          <w14:ligatures w14:val="standardContextual"/>
        </w:rPr>
        <w:t xml:space="preserve"> potok, Jiříkovský potok, Spréva, </w:t>
      </w:r>
      <w:proofErr w:type="spellStart"/>
      <w:r w:rsidRPr="00DC59DF">
        <w:rPr>
          <w:rFonts w:cs="Arial"/>
          <w14:ligatures w14:val="standardContextual"/>
        </w:rPr>
        <w:t>Mandava</w:t>
      </w:r>
      <w:proofErr w:type="spellEnd"/>
      <w:r w:rsidRPr="00DC59DF">
        <w:rPr>
          <w:rFonts w:cs="Arial"/>
          <w14:ligatures w14:val="standardContextual"/>
        </w:rPr>
        <w:t xml:space="preserve"> a </w:t>
      </w:r>
      <w:proofErr w:type="spellStart"/>
      <w:r w:rsidRPr="00DC59DF">
        <w:rPr>
          <w:rFonts w:cs="Arial"/>
          <w14:ligatures w14:val="standardContextual"/>
        </w:rPr>
        <w:t>Lužnička</w:t>
      </w:r>
      <w:proofErr w:type="spellEnd"/>
      <w:r w:rsidRPr="00DC59DF">
        <w:rPr>
          <w:rFonts w:cs="Arial"/>
          <w14:ligatures w14:val="standardContextual"/>
        </w:rPr>
        <w:t>). Na několika místech každé řeky bude prováděn podrobný program měření za účelem zjištění druhu, rozsahu a příčin znečištění těchto řek. Následně budou navržena vhodná přeshraniční opatření, aby bylo možné poté odstranit zjištěné příčiny a zlepšit stav vodních toků. Budou probíhat přeshraniční semináře zaměřené na výměnu zkušenosti a osvětu.</w:t>
      </w:r>
    </w:p>
    <w:p w14:paraId="77460C3B" w14:textId="77777777" w:rsidR="00E546DF" w:rsidRPr="00421B81" w:rsidRDefault="00E546DF" w:rsidP="008E5AB5">
      <w:pPr>
        <w:autoSpaceDE w:val="0"/>
        <w:autoSpaceDN w:val="0"/>
        <w:adjustRightInd w:val="0"/>
        <w:rPr>
          <w:rFonts w:cs="Arial"/>
          <w14:ligatures w14:val="standardContextual"/>
        </w:rPr>
      </w:pPr>
    </w:p>
    <w:p w14:paraId="72EA3064" w14:textId="5828C454" w:rsidR="00E546DF" w:rsidRPr="00421B81" w:rsidRDefault="00E546DF">
      <w:pPr>
        <w:pStyle w:val="Odstavecseseznamem"/>
        <w:numPr>
          <w:ilvl w:val="0"/>
          <w:numId w:val="20"/>
        </w:numPr>
        <w:rPr>
          <w:rFonts w:ascii="Arial" w:hAnsi="Arial" w:cs="Arial"/>
          <w:b/>
          <w:bCs/>
          <w:i/>
          <w:iCs/>
          <w:sz w:val="22"/>
          <w:szCs w:val="22"/>
        </w:rPr>
      </w:pPr>
      <w:r w:rsidRPr="00421B81">
        <w:rPr>
          <w:rFonts w:ascii="Arial" w:hAnsi="Arial" w:cs="Arial"/>
          <w:b/>
          <w:bCs/>
          <w:i/>
          <w:iCs/>
          <w:sz w:val="22"/>
          <w:szCs w:val="22"/>
        </w:rPr>
        <w:t>Přeshraniční management bobřích hrází v kontextu změny klimatu č. 100743023</w:t>
      </w:r>
    </w:p>
    <w:p w14:paraId="1D4F638B" w14:textId="77777777" w:rsidR="00E546DF" w:rsidRPr="00421B81" w:rsidRDefault="00E546DF" w:rsidP="00E546DF">
      <w:pPr>
        <w:rPr>
          <w:rFonts w:cs="Arial"/>
        </w:rPr>
      </w:pPr>
      <w:r w:rsidRPr="00421B81">
        <w:rPr>
          <w:rFonts w:cs="Arial"/>
        </w:rPr>
        <w:t>Partneři na české straně: 3</w:t>
      </w:r>
    </w:p>
    <w:p w14:paraId="09AA7EAD" w14:textId="77777777" w:rsidR="00E546DF" w:rsidRPr="00421B81" w:rsidRDefault="00E546DF" w:rsidP="00E546DF">
      <w:pPr>
        <w:rPr>
          <w:rFonts w:cs="Arial"/>
        </w:rPr>
      </w:pPr>
      <w:r w:rsidRPr="00421B81">
        <w:rPr>
          <w:rFonts w:cs="Arial"/>
        </w:rPr>
        <w:t>Rozpočet partnera:</w:t>
      </w:r>
    </w:p>
    <w:p w14:paraId="6CCA68A5" w14:textId="77777777" w:rsidR="00E546DF" w:rsidRPr="00421B81" w:rsidRDefault="00E546DF" w:rsidP="00E546DF">
      <w:pPr>
        <w:rPr>
          <w:rFonts w:cs="Arial"/>
        </w:rPr>
      </w:pPr>
      <w:r w:rsidRPr="00421B81">
        <w:rPr>
          <w:rFonts w:cs="Arial"/>
        </w:rPr>
        <w:t xml:space="preserve">ALKA </w:t>
      </w:r>
      <w:proofErr w:type="spellStart"/>
      <w:r w:rsidRPr="00421B81">
        <w:rPr>
          <w:rFonts w:cs="Arial"/>
        </w:rPr>
        <w:t>Wildlife</w:t>
      </w:r>
      <w:proofErr w:type="spellEnd"/>
      <w:r w:rsidRPr="00421B81">
        <w:rPr>
          <w:rFonts w:cs="Arial"/>
        </w:rPr>
        <w:t>, o.p.s.: 46 338,43 EUR</w:t>
      </w:r>
    </w:p>
    <w:p w14:paraId="2C1D6BD1" w14:textId="77777777" w:rsidR="00E546DF" w:rsidRPr="00421B81" w:rsidRDefault="00E546DF" w:rsidP="00E546DF">
      <w:pPr>
        <w:rPr>
          <w:rFonts w:cs="Arial"/>
        </w:rPr>
      </w:pPr>
      <w:r w:rsidRPr="00421B81">
        <w:rPr>
          <w:rFonts w:cs="Arial"/>
        </w:rPr>
        <w:t>Česká zemědělská univerzita v Praze: 207 821,33 EUR</w:t>
      </w:r>
    </w:p>
    <w:p w14:paraId="7FBDFDB9" w14:textId="77777777" w:rsidR="00E546DF" w:rsidRPr="00421B81" w:rsidRDefault="00E546DF" w:rsidP="00E546DF">
      <w:pPr>
        <w:rPr>
          <w:rFonts w:cs="Arial"/>
        </w:rPr>
      </w:pPr>
      <w:r w:rsidRPr="00421B81">
        <w:rPr>
          <w:rFonts w:cs="Arial"/>
        </w:rPr>
        <w:t>České vysoké učení technické v Praze: 219 981,08 EUR</w:t>
      </w:r>
    </w:p>
    <w:p w14:paraId="36BBA961" w14:textId="77777777" w:rsidR="00E546DF" w:rsidRPr="00421B81" w:rsidRDefault="00E546DF" w:rsidP="00E546DF">
      <w:pPr>
        <w:rPr>
          <w:rFonts w:cs="Arial"/>
        </w:rPr>
      </w:pPr>
    </w:p>
    <w:p w14:paraId="585DBBCA" w14:textId="77777777" w:rsidR="00E546DF" w:rsidRPr="00421B81" w:rsidRDefault="00E546DF" w:rsidP="00E546DF">
      <w:pPr>
        <w:rPr>
          <w:rFonts w:cs="Arial"/>
        </w:rPr>
      </w:pPr>
      <w:r w:rsidRPr="00421B81">
        <w:rPr>
          <w:rFonts w:cs="Arial"/>
        </w:rPr>
        <w:t>Realizace projektu 28.6.2024 – 31.12.2027</w:t>
      </w:r>
    </w:p>
    <w:p w14:paraId="1EFA0E26" w14:textId="77777777" w:rsidR="00E546DF" w:rsidRPr="00421B81" w:rsidRDefault="00E546DF" w:rsidP="00E546DF">
      <w:pPr>
        <w:rPr>
          <w:rFonts w:cs="Arial"/>
        </w:rPr>
      </w:pPr>
    </w:p>
    <w:p w14:paraId="79FD9281" w14:textId="77777777" w:rsidR="00E546DF" w:rsidRPr="00421B81" w:rsidRDefault="00E546DF" w:rsidP="00E546DF">
      <w:pPr>
        <w:autoSpaceDE w:val="0"/>
        <w:autoSpaceDN w:val="0"/>
        <w:adjustRightInd w:val="0"/>
        <w:rPr>
          <w:rFonts w:cs="Arial"/>
          <w14:ligatures w14:val="standardContextual"/>
        </w:rPr>
      </w:pPr>
      <w:r w:rsidRPr="00421B81">
        <w:rPr>
          <w:rFonts w:cs="Arial"/>
          <w14:ligatures w14:val="standardContextual"/>
        </w:rPr>
        <w:t xml:space="preserve">Cílem projektu je navrhnout doporučení pro management bobřích hrází v příhraniční oblasti. Projekt se zaměřuje na zjištění současného stavu, modelovou analýzu hydraulických a hydrologických účinků hrází na útvary povrchových a podzemních vod, modelové aplikace pro oblast </w:t>
      </w:r>
      <w:proofErr w:type="spellStart"/>
      <w:r w:rsidRPr="00421B81">
        <w:rPr>
          <w:rFonts w:cs="Arial"/>
          <w14:ligatures w14:val="standardContextual"/>
        </w:rPr>
        <w:t>Bahre</w:t>
      </w:r>
      <w:proofErr w:type="spellEnd"/>
      <w:r w:rsidRPr="00421B81">
        <w:rPr>
          <w:rFonts w:cs="Arial"/>
          <w14:ligatures w14:val="standardContextual"/>
        </w:rPr>
        <w:t xml:space="preserve"> a </w:t>
      </w:r>
      <w:proofErr w:type="spellStart"/>
      <w:r w:rsidRPr="00421B81">
        <w:rPr>
          <w:rFonts w:cs="Arial"/>
          <w14:ligatures w14:val="standardContextual"/>
        </w:rPr>
        <w:t>Sebnitz</w:t>
      </w:r>
      <w:proofErr w:type="spellEnd"/>
      <w:r w:rsidRPr="00421B81">
        <w:rPr>
          <w:rFonts w:cs="Arial"/>
          <w14:ligatures w14:val="standardContextual"/>
        </w:rPr>
        <w:t>/Vilémovský potok. V rámci projektu budou shromážděna rozsáhlá data, která jsou cenná i pro další otázky týkající se vody a biotopů v příhraničním regionu.</w:t>
      </w:r>
    </w:p>
    <w:p w14:paraId="76D4AF0B" w14:textId="77777777" w:rsidR="008E5AB5" w:rsidRPr="00104F7D" w:rsidRDefault="008E5AB5" w:rsidP="00007DE1">
      <w:pPr>
        <w:rPr>
          <w:rFonts w:cs="Arial"/>
          <w:highlight w:val="yellow"/>
        </w:rPr>
      </w:pPr>
    </w:p>
    <w:p w14:paraId="0F6BAFF3" w14:textId="77777777" w:rsidR="000325DD" w:rsidRPr="005523E5" w:rsidRDefault="000325DD" w:rsidP="005D0F03">
      <w:pPr>
        <w:pStyle w:val="Odstavecseseznamem"/>
        <w:numPr>
          <w:ilvl w:val="0"/>
          <w:numId w:val="4"/>
        </w:numPr>
        <w:jc w:val="left"/>
        <w:rPr>
          <w:rFonts w:ascii="Arial" w:hAnsi="Arial" w:cs="Arial"/>
          <w:b/>
          <w:color w:val="000000" w:themeColor="text1"/>
          <w:sz w:val="22"/>
          <w:szCs w:val="22"/>
          <w:u w:val="single"/>
        </w:rPr>
      </w:pPr>
      <w:r w:rsidRPr="005523E5">
        <w:rPr>
          <w:rFonts w:ascii="Arial" w:hAnsi="Arial" w:cs="Arial"/>
          <w:b/>
          <w:color w:val="000000" w:themeColor="text1"/>
          <w:sz w:val="22"/>
          <w:szCs w:val="22"/>
          <w:u w:val="single"/>
        </w:rPr>
        <w:t xml:space="preserve">Program </w:t>
      </w:r>
      <w:proofErr w:type="spellStart"/>
      <w:r w:rsidRPr="005523E5">
        <w:rPr>
          <w:rFonts w:ascii="Arial" w:hAnsi="Arial" w:cs="Arial"/>
          <w:b/>
          <w:color w:val="000000" w:themeColor="text1"/>
          <w:sz w:val="22"/>
          <w:szCs w:val="22"/>
          <w:u w:val="single"/>
        </w:rPr>
        <w:t>Interreg</w:t>
      </w:r>
      <w:proofErr w:type="spellEnd"/>
      <w:r w:rsidRPr="005523E5">
        <w:rPr>
          <w:rFonts w:ascii="Arial" w:hAnsi="Arial" w:cs="Arial"/>
          <w:b/>
          <w:color w:val="000000" w:themeColor="text1"/>
          <w:sz w:val="22"/>
          <w:szCs w:val="22"/>
          <w:u w:val="single"/>
        </w:rPr>
        <w:t xml:space="preserve"> V-A Česká republika – Polsko</w:t>
      </w:r>
    </w:p>
    <w:p w14:paraId="3149B493" w14:textId="04995C5A" w:rsidR="00C41BE4" w:rsidRPr="005523E5" w:rsidRDefault="00C41BE4" w:rsidP="007C4955">
      <w:pPr>
        <w:pStyle w:val="Odstavecseseznamem"/>
        <w:ind w:left="1080"/>
        <w:rPr>
          <w:rFonts w:ascii="Arial" w:hAnsi="Arial" w:cs="Arial"/>
          <w:b/>
          <w:color w:val="000000" w:themeColor="text1"/>
          <w:sz w:val="22"/>
          <w:szCs w:val="22"/>
          <w:u w:val="single"/>
        </w:rPr>
      </w:pPr>
    </w:p>
    <w:p w14:paraId="73A14730" w14:textId="402319BF" w:rsidR="000325DD" w:rsidRPr="005523E5" w:rsidRDefault="00C44BE3">
      <w:pPr>
        <w:pStyle w:val="Odstavecseseznamem"/>
        <w:numPr>
          <w:ilvl w:val="0"/>
          <w:numId w:val="12"/>
        </w:numPr>
        <w:ind w:left="284"/>
        <w:jc w:val="left"/>
        <w:rPr>
          <w:rFonts w:ascii="Arial" w:hAnsi="Arial" w:cs="Arial"/>
          <w:b/>
          <w:i/>
          <w:color w:val="000000" w:themeColor="text1"/>
          <w:sz w:val="22"/>
          <w:szCs w:val="22"/>
        </w:rPr>
      </w:pPr>
      <w:r w:rsidRPr="005523E5">
        <w:rPr>
          <w:rFonts w:ascii="Arial" w:hAnsi="Arial" w:cs="Arial"/>
          <w:b/>
          <w:i/>
          <w:color w:val="000000" w:themeColor="text1"/>
          <w:sz w:val="22"/>
          <w:szCs w:val="22"/>
        </w:rPr>
        <w:t xml:space="preserve">CZ.11.02.01/00/23_004/0000046 </w:t>
      </w:r>
      <w:proofErr w:type="spellStart"/>
      <w:r w:rsidRPr="005523E5">
        <w:rPr>
          <w:rFonts w:ascii="Arial" w:hAnsi="Arial" w:cs="Arial"/>
          <w:b/>
          <w:i/>
          <w:color w:val="000000" w:themeColor="text1"/>
          <w:sz w:val="22"/>
          <w:szCs w:val="22"/>
        </w:rPr>
        <w:t>Balneum</w:t>
      </w:r>
      <w:proofErr w:type="spellEnd"/>
      <w:r w:rsidRPr="005523E5">
        <w:rPr>
          <w:rFonts w:ascii="Arial" w:hAnsi="Arial" w:cs="Arial"/>
          <w:b/>
          <w:i/>
          <w:color w:val="000000" w:themeColor="text1"/>
          <w:sz w:val="22"/>
          <w:szCs w:val="22"/>
        </w:rPr>
        <w:t xml:space="preserve"> </w:t>
      </w:r>
      <w:proofErr w:type="spellStart"/>
      <w:r w:rsidRPr="005523E5">
        <w:rPr>
          <w:rFonts w:ascii="Arial" w:hAnsi="Arial" w:cs="Arial"/>
          <w:b/>
          <w:i/>
          <w:color w:val="000000" w:themeColor="text1"/>
          <w:sz w:val="22"/>
          <w:szCs w:val="22"/>
        </w:rPr>
        <w:t>Glacensis</w:t>
      </w:r>
      <w:proofErr w:type="spellEnd"/>
    </w:p>
    <w:p w14:paraId="6E736640" w14:textId="77777777" w:rsidR="00C44BE3" w:rsidRPr="005523E5" w:rsidRDefault="00C44BE3" w:rsidP="00C44BE3">
      <w:pPr>
        <w:autoSpaceDE w:val="0"/>
        <w:autoSpaceDN w:val="0"/>
      </w:pPr>
      <w:r w:rsidRPr="005523E5">
        <w:t>partneři na české straně: 1</w:t>
      </w:r>
    </w:p>
    <w:p w14:paraId="5C26A66D" w14:textId="77777777" w:rsidR="00C44BE3" w:rsidRPr="005523E5" w:rsidRDefault="00C44BE3" w:rsidP="00C44BE3">
      <w:pPr>
        <w:autoSpaceDE w:val="0"/>
        <w:autoSpaceDN w:val="0"/>
      </w:pPr>
      <w:r w:rsidRPr="005523E5">
        <w:t>Rozpočet partnera:</w:t>
      </w:r>
    </w:p>
    <w:p w14:paraId="51CB8321" w14:textId="131E22D6" w:rsidR="00C44BE3" w:rsidRPr="005523E5" w:rsidRDefault="00C44BE3" w:rsidP="00C44BE3">
      <w:pPr>
        <w:autoSpaceDE w:val="0"/>
        <w:autoSpaceDN w:val="0"/>
      </w:pPr>
      <w:r w:rsidRPr="005523E5">
        <w:t>město Náchod</w:t>
      </w:r>
      <w:r w:rsidR="00C86BBC" w:rsidRPr="005523E5">
        <w:t>:</w:t>
      </w:r>
      <w:r w:rsidRPr="005523E5">
        <w:t xml:space="preserve"> 954 389 EUR</w:t>
      </w:r>
    </w:p>
    <w:p w14:paraId="4B6D469B" w14:textId="77777777" w:rsidR="00627102" w:rsidRPr="005523E5" w:rsidRDefault="00627102" w:rsidP="00C44BE3">
      <w:pPr>
        <w:autoSpaceDE w:val="0"/>
        <w:autoSpaceDN w:val="0"/>
      </w:pPr>
    </w:p>
    <w:p w14:paraId="08683278" w14:textId="2A48F1B4" w:rsidR="00822E94" w:rsidRPr="005523E5" w:rsidRDefault="00C44BE3" w:rsidP="00C44BE3">
      <w:pPr>
        <w:autoSpaceDE w:val="0"/>
        <w:autoSpaceDN w:val="0"/>
      </w:pPr>
      <w:r w:rsidRPr="005523E5">
        <w:t>Projekt je postaven na společném tématu lázeňství, k němuž mají partneři vazby. Na české straně bude zpřístupněna lázeňská kolonáda včetně pítka pramene IDA ve Velkých lázních v Bělovsi. U dvou polských partnerů dojde k rozvinutí lázeňské volnočasové infrastruktury. Uvedená místa budou sloužit pro cestovní ruch návštěvníkům a turistům.</w:t>
      </w:r>
    </w:p>
    <w:p w14:paraId="4B15BC17" w14:textId="77777777" w:rsidR="00C44BE3" w:rsidRPr="005523E5" w:rsidRDefault="00C44BE3" w:rsidP="00C44BE3">
      <w:pPr>
        <w:autoSpaceDE w:val="0"/>
        <w:autoSpaceDN w:val="0"/>
      </w:pPr>
    </w:p>
    <w:p w14:paraId="48A217D4" w14:textId="2D1406C8" w:rsidR="0019587A" w:rsidRPr="005523E5" w:rsidRDefault="00822E94" w:rsidP="0019587A">
      <w:pPr>
        <w:autoSpaceDE w:val="0"/>
        <w:autoSpaceDN w:val="0"/>
        <w:rPr>
          <w:rFonts w:eastAsia="Times New Roman" w:cs="Arial"/>
          <w:b/>
          <w:i/>
          <w:color w:val="000000" w:themeColor="text1"/>
          <w:lang w:eastAsia="cs-CZ"/>
        </w:rPr>
      </w:pPr>
      <w:r w:rsidRPr="005523E5">
        <w:rPr>
          <w:rFonts w:cs="Arial"/>
          <w:b/>
          <w:bCs/>
          <w:i/>
          <w:iCs/>
        </w:rPr>
        <w:t>2.   </w:t>
      </w:r>
      <w:r w:rsidRPr="005523E5">
        <w:rPr>
          <w:rFonts w:eastAsia="Times New Roman" w:cs="Arial"/>
          <w:b/>
          <w:i/>
          <w:color w:val="000000" w:themeColor="text1"/>
          <w:lang w:eastAsia="cs-CZ"/>
        </w:rPr>
        <w:t> </w:t>
      </w:r>
      <w:r w:rsidR="0019587A" w:rsidRPr="005523E5">
        <w:rPr>
          <w:rFonts w:eastAsia="Times New Roman" w:cs="Arial"/>
          <w:b/>
          <w:i/>
          <w:color w:val="000000" w:themeColor="text1"/>
          <w:lang w:eastAsia="cs-CZ"/>
        </w:rPr>
        <w:t xml:space="preserve">CZ.11.01.02/00/23_011/0000157 Průzkum vodního ekosystému v kladském </w:t>
      </w:r>
      <w:proofErr w:type="spellStart"/>
      <w:r w:rsidR="0019587A" w:rsidRPr="005523E5">
        <w:rPr>
          <w:rFonts w:eastAsia="Times New Roman" w:cs="Arial"/>
          <w:b/>
          <w:i/>
          <w:color w:val="000000" w:themeColor="text1"/>
          <w:lang w:eastAsia="cs-CZ"/>
        </w:rPr>
        <w:t>prolomu</w:t>
      </w:r>
      <w:proofErr w:type="spellEnd"/>
    </w:p>
    <w:p w14:paraId="0D7900E7" w14:textId="77777777" w:rsidR="0019587A" w:rsidRPr="005523E5" w:rsidRDefault="0019587A" w:rsidP="0019587A">
      <w:pPr>
        <w:autoSpaceDE w:val="0"/>
        <w:autoSpaceDN w:val="0"/>
        <w:rPr>
          <w:rFonts w:cs="Arial"/>
        </w:rPr>
      </w:pPr>
      <w:r w:rsidRPr="005523E5">
        <w:rPr>
          <w:rFonts w:cs="Arial"/>
        </w:rPr>
        <w:t>partneři na české straně: 1</w:t>
      </w:r>
    </w:p>
    <w:p w14:paraId="76244C12" w14:textId="77777777" w:rsidR="0019587A" w:rsidRPr="005523E5" w:rsidRDefault="0019587A" w:rsidP="0019587A">
      <w:pPr>
        <w:autoSpaceDE w:val="0"/>
        <w:autoSpaceDN w:val="0"/>
        <w:rPr>
          <w:rFonts w:cs="Arial"/>
        </w:rPr>
      </w:pPr>
      <w:r w:rsidRPr="005523E5">
        <w:rPr>
          <w:rFonts w:cs="Arial"/>
        </w:rPr>
        <w:t>Rozpočet partnera: 423940,02 EUR</w:t>
      </w:r>
    </w:p>
    <w:p w14:paraId="69874A8B" w14:textId="77777777" w:rsidR="0019587A" w:rsidRPr="005523E5" w:rsidRDefault="0019587A" w:rsidP="0019587A">
      <w:pPr>
        <w:autoSpaceDE w:val="0"/>
        <w:autoSpaceDN w:val="0"/>
        <w:rPr>
          <w:rFonts w:cs="Arial"/>
        </w:rPr>
      </w:pPr>
      <w:r w:rsidRPr="005523E5">
        <w:rPr>
          <w:rFonts w:cs="Arial"/>
        </w:rPr>
        <w:t>Pardubický kraj</w:t>
      </w:r>
    </w:p>
    <w:p w14:paraId="6C915C0B" w14:textId="77777777" w:rsidR="0019587A" w:rsidRPr="00104F7D" w:rsidRDefault="0019587A" w:rsidP="0019587A">
      <w:pPr>
        <w:autoSpaceDE w:val="0"/>
        <w:autoSpaceDN w:val="0"/>
        <w:rPr>
          <w:rFonts w:cs="Arial"/>
          <w:highlight w:val="yellow"/>
        </w:rPr>
      </w:pPr>
      <w:r w:rsidRPr="005523E5">
        <w:rPr>
          <w:rFonts w:cs="Arial"/>
        </w:rPr>
        <w:t xml:space="preserve">V rámci projektu bude zrealizován podrobnější výzkum geologické stavby území, tedy prostředí, kde se podzemní voda ve významném množství vytváří a akumuluje a dále bude provedena osvěta se zaměřením na péči o krajinu v době klimatických změn. Bude provedeno mapování stavu hladiny podzemní vody ve vazbě na charakter geologického podloží a identifikace znečišťujících látek ve vazbě na charakter užívání krajiny. Součástí řešení bude i předávání získávaných informací do územních plánů obcí a měst a do Plánů oblastí povodí. Výstupem projektu bude odborný dokument (studie) popisující režim proudění podzemních a povrchových vod v zájmovém území, bilance zásob podzemních vod a stanovení zásad pro jejich ochranu z hlediska množství a kvality. </w:t>
      </w:r>
    </w:p>
    <w:p w14:paraId="3DEEB958" w14:textId="77777777" w:rsidR="006E3FFE" w:rsidRPr="00104F7D" w:rsidRDefault="006E3FFE" w:rsidP="0019587A">
      <w:pPr>
        <w:autoSpaceDE w:val="0"/>
        <w:autoSpaceDN w:val="0"/>
        <w:rPr>
          <w:rFonts w:cs="Arial"/>
          <w:highlight w:val="yellow"/>
        </w:rPr>
      </w:pPr>
    </w:p>
    <w:p w14:paraId="1896B945" w14:textId="77777777" w:rsidR="00CB1BA7" w:rsidRPr="005071F4" w:rsidRDefault="00032474" w:rsidP="00CB1BA7">
      <w:pPr>
        <w:autoSpaceDE w:val="0"/>
        <w:autoSpaceDN w:val="0"/>
        <w:rPr>
          <w:rFonts w:eastAsia="Times New Roman" w:cs="Arial"/>
          <w:b/>
          <w:i/>
          <w:color w:val="000000" w:themeColor="text1"/>
          <w:lang w:eastAsia="cs-CZ"/>
        </w:rPr>
      </w:pPr>
      <w:r w:rsidRPr="005071F4">
        <w:rPr>
          <w:rFonts w:eastAsia="Times New Roman" w:cs="Arial"/>
          <w:b/>
          <w:i/>
          <w:color w:val="000000" w:themeColor="text1"/>
          <w:lang w:eastAsia="cs-CZ"/>
        </w:rPr>
        <w:t xml:space="preserve">3. </w:t>
      </w:r>
      <w:r w:rsidR="00CB1BA7" w:rsidRPr="005071F4">
        <w:rPr>
          <w:rFonts w:eastAsia="Times New Roman" w:cs="Arial"/>
          <w:b/>
          <w:i/>
          <w:color w:val="000000" w:themeColor="text1"/>
          <w:lang w:eastAsia="cs-CZ"/>
        </w:rPr>
        <w:t>CZ.11.01.02/00/23_011/0000161 Význam, změna a praktická ochrana rašelinišť</w:t>
      </w:r>
    </w:p>
    <w:p w14:paraId="694E3B0B" w14:textId="77777777" w:rsidR="00CB1BA7" w:rsidRPr="005071F4" w:rsidRDefault="00CB1BA7" w:rsidP="00CB1BA7">
      <w:pPr>
        <w:autoSpaceDE w:val="0"/>
        <w:autoSpaceDN w:val="0"/>
        <w:rPr>
          <w:rFonts w:cs="Arial"/>
        </w:rPr>
      </w:pPr>
      <w:r w:rsidRPr="005071F4">
        <w:rPr>
          <w:rFonts w:cs="Arial"/>
        </w:rPr>
        <w:t>partneři na české straně: 3</w:t>
      </w:r>
    </w:p>
    <w:p w14:paraId="793C10ED" w14:textId="77777777" w:rsidR="00CB1BA7" w:rsidRPr="005071F4" w:rsidRDefault="00CB1BA7" w:rsidP="00CB1BA7">
      <w:pPr>
        <w:autoSpaceDE w:val="0"/>
        <w:autoSpaceDN w:val="0"/>
        <w:rPr>
          <w:rFonts w:cs="Arial"/>
        </w:rPr>
      </w:pPr>
      <w:r w:rsidRPr="005071F4">
        <w:rPr>
          <w:rFonts w:cs="Arial"/>
        </w:rPr>
        <w:t>Rozpočet partnera: 389 211,31 EUR</w:t>
      </w:r>
    </w:p>
    <w:p w14:paraId="10623E93" w14:textId="26E9557E" w:rsidR="00CB1BA7" w:rsidRPr="005071F4" w:rsidRDefault="00CB1BA7" w:rsidP="00CB1BA7">
      <w:pPr>
        <w:autoSpaceDE w:val="0"/>
        <w:autoSpaceDN w:val="0"/>
        <w:rPr>
          <w:rFonts w:cs="Arial"/>
        </w:rPr>
      </w:pPr>
      <w:r w:rsidRPr="005071F4">
        <w:rPr>
          <w:rFonts w:cs="Arial"/>
        </w:rPr>
        <w:t>Správa Krkonošské</w:t>
      </w:r>
      <w:r w:rsidR="00971C65">
        <w:rPr>
          <w:rFonts w:cs="Arial"/>
        </w:rPr>
        <w:t>ho</w:t>
      </w:r>
      <w:r w:rsidRPr="005071F4">
        <w:rPr>
          <w:rFonts w:cs="Arial"/>
        </w:rPr>
        <w:t xml:space="preserve"> národního parku</w:t>
      </w:r>
    </w:p>
    <w:p w14:paraId="2407453A" w14:textId="77777777" w:rsidR="00CB1BA7" w:rsidRPr="005071F4" w:rsidRDefault="00CB1BA7" w:rsidP="00CB1BA7">
      <w:pPr>
        <w:autoSpaceDE w:val="0"/>
        <w:autoSpaceDN w:val="0"/>
        <w:rPr>
          <w:rFonts w:cs="Arial"/>
        </w:rPr>
      </w:pPr>
    </w:p>
    <w:p w14:paraId="45F781E9" w14:textId="77777777" w:rsidR="00CB1BA7" w:rsidRPr="005071F4" w:rsidRDefault="00CB1BA7" w:rsidP="00CB1BA7">
      <w:pPr>
        <w:autoSpaceDE w:val="0"/>
        <w:autoSpaceDN w:val="0"/>
        <w:rPr>
          <w:rFonts w:cs="Arial"/>
        </w:rPr>
      </w:pPr>
      <w:r w:rsidRPr="005071F4">
        <w:rPr>
          <w:rFonts w:cs="Arial"/>
        </w:rPr>
        <w:t>Rozpočet partnera: 369 716,90 EUR</w:t>
      </w:r>
    </w:p>
    <w:p w14:paraId="433F9831" w14:textId="77777777" w:rsidR="00CB1BA7" w:rsidRPr="005071F4" w:rsidRDefault="00CB1BA7" w:rsidP="00CB1BA7">
      <w:pPr>
        <w:autoSpaceDE w:val="0"/>
        <w:autoSpaceDN w:val="0"/>
        <w:rPr>
          <w:rFonts w:cs="Arial"/>
        </w:rPr>
      </w:pPr>
      <w:r w:rsidRPr="005071F4">
        <w:rPr>
          <w:rFonts w:cs="Arial"/>
        </w:rPr>
        <w:t>Univerzita Karlova</w:t>
      </w:r>
    </w:p>
    <w:p w14:paraId="79BE73C0" w14:textId="77777777" w:rsidR="00CB1BA7" w:rsidRPr="005071F4" w:rsidRDefault="00CB1BA7" w:rsidP="00CB1BA7">
      <w:pPr>
        <w:autoSpaceDE w:val="0"/>
        <w:autoSpaceDN w:val="0"/>
        <w:rPr>
          <w:rFonts w:cs="Arial"/>
        </w:rPr>
      </w:pPr>
    </w:p>
    <w:p w14:paraId="1A6B98CB" w14:textId="77777777" w:rsidR="00CB1BA7" w:rsidRPr="005071F4" w:rsidRDefault="00CB1BA7" w:rsidP="00CB1BA7">
      <w:pPr>
        <w:autoSpaceDE w:val="0"/>
        <w:autoSpaceDN w:val="0"/>
        <w:rPr>
          <w:rFonts w:cs="Arial"/>
        </w:rPr>
      </w:pPr>
      <w:r w:rsidRPr="005071F4">
        <w:rPr>
          <w:rFonts w:cs="Arial"/>
        </w:rPr>
        <w:t>Rozpočet partnera: 178 635,96 EUR</w:t>
      </w:r>
    </w:p>
    <w:p w14:paraId="2CD169F5" w14:textId="6A4EE81E" w:rsidR="00CB1BA7" w:rsidRPr="005071F4" w:rsidRDefault="00CB1BA7" w:rsidP="00CB1BA7">
      <w:pPr>
        <w:autoSpaceDE w:val="0"/>
        <w:autoSpaceDN w:val="0"/>
        <w:rPr>
          <w:rFonts w:cs="Arial"/>
        </w:rPr>
      </w:pPr>
      <w:r w:rsidRPr="005071F4">
        <w:rPr>
          <w:rFonts w:cs="Arial"/>
        </w:rPr>
        <w:t>Ústav pro hydrodynamiku AV ČR, v. v. i.</w:t>
      </w:r>
    </w:p>
    <w:p w14:paraId="78DA970B" w14:textId="77777777" w:rsidR="00CB1BA7" w:rsidRPr="005071F4" w:rsidRDefault="00CB1BA7" w:rsidP="00CB1BA7">
      <w:pPr>
        <w:autoSpaceDE w:val="0"/>
        <w:autoSpaceDN w:val="0"/>
        <w:rPr>
          <w:rFonts w:cs="Arial"/>
        </w:rPr>
      </w:pPr>
    </w:p>
    <w:p w14:paraId="74E1864A" w14:textId="77777777" w:rsidR="00CB1BA7" w:rsidRPr="005071F4" w:rsidRDefault="00CB1BA7" w:rsidP="00CB1BA7">
      <w:pPr>
        <w:autoSpaceDE w:val="0"/>
        <w:autoSpaceDN w:val="0"/>
        <w:rPr>
          <w:rFonts w:cs="Arial"/>
        </w:rPr>
      </w:pPr>
      <w:r w:rsidRPr="005071F4">
        <w:rPr>
          <w:rFonts w:cs="Arial"/>
        </w:rPr>
        <w:t>Projekt se zaměřuje na hodnocení stavu a zachovalosti hydrologického režimu a přírodního stavu rašelinišť a navrhování i realizaci opatření k jejich ochraně, zejména v kontextu probíhajících klimatických změn. Je nezbytné porozumět historickému i současnému vlivu člověka na tyto ekosystémy a přijmout odpovídající opatření, aby se zamezilo jejich další degradaci. Jelikož se jedná o přeshraniční problematiku na území dvou národních parků (KRNAP a KPN), je žádoucí hledat společná řešení. Provedeme podrobný průzkum zranitelných rašelinných biotopů. Výstupem je pasportizace rašelinišť v širokém spektru informací. Úkolem je zmapovat aktuální prostorový rozsah a typologii rašelinišť, provést podrobný průzkum biotických složek, komplexně zhodnotit hydrologický režim rašelinišť, kvantifikovat jejich podíl na akumulaci vod v povodích a posoudit změny rašelinišť v průběhu času vlivem změn klimatu a antropogenních vlivů. Současně budou provedeny terénní opatření na 5 lokalitách v ČR a 3 v PR.</w:t>
      </w:r>
    </w:p>
    <w:p w14:paraId="2AD6AC08" w14:textId="77777777" w:rsidR="00CB1BA7" w:rsidRPr="005071F4" w:rsidRDefault="00CB1BA7" w:rsidP="00CB1BA7">
      <w:pPr>
        <w:autoSpaceDE w:val="0"/>
        <w:autoSpaceDN w:val="0"/>
        <w:rPr>
          <w:rFonts w:cs="Arial"/>
        </w:rPr>
      </w:pPr>
    </w:p>
    <w:p w14:paraId="2CDF28B6" w14:textId="55C218D2" w:rsidR="00B1108F" w:rsidRPr="005C6850" w:rsidRDefault="00CB1BA7" w:rsidP="00B1108F">
      <w:pPr>
        <w:autoSpaceDE w:val="0"/>
        <w:autoSpaceDN w:val="0"/>
        <w:rPr>
          <w:rFonts w:eastAsia="Times New Roman" w:cs="Arial"/>
          <w:b/>
          <w:i/>
          <w:color w:val="000000" w:themeColor="text1"/>
          <w:lang w:eastAsia="cs-CZ"/>
        </w:rPr>
      </w:pPr>
      <w:r w:rsidRPr="005C6850">
        <w:rPr>
          <w:rFonts w:eastAsia="Times New Roman" w:cs="Arial"/>
          <w:b/>
          <w:i/>
          <w:color w:val="000000" w:themeColor="text1"/>
          <w:lang w:eastAsia="cs-CZ"/>
        </w:rPr>
        <w:t xml:space="preserve">4. </w:t>
      </w:r>
      <w:r w:rsidR="00B1108F" w:rsidRPr="005C6850">
        <w:rPr>
          <w:rFonts w:eastAsia="Times New Roman" w:cs="Arial"/>
          <w:b/>
          <w:i/>
          <w:color w:val="000000" w:themeColor="text1"/>
          <w:lang w:eastAsia="cs-CZ"/>
        </w:rPr>
        <w:t xml:space="preserve">CZ.11.01.02/00/23_011/0000164 Odpadní vody bez </w:t>
      </w:r>
      <w:r w:rsidR="00C86BBC" w:rsidRPr="005C6850">
        <w:rPr>
          <w:rFonts w:eastAsia="Times New Roman" w:cs="Arial"/>
          <w:b/>
          <w:i/>
          <w:color w:val="000000" w:themeColor="text1"/>
          <w:lang w:eastAsia="cs-CZ"/>
        </w:rPr>
        <w:t>hranic – problém</w:t>
      </w:r>
      <w:r w:rsidR="00B1108F" w:rsidRPr="005C6850">
        <w:rPr>
          <w:rFonts w:eastAsia="Times New Roman" w:cs="Arial"/>
          <w:b/>
          <w:i/>
          <w:color w:val="000000" w:themeColor="text1"/>
          <w:lang w:eastAsia="cs-CZ"/>
        </w:rPr>
        <w:t xml:space="preserve"> </w:t>
      </w:r>
      <w:proofErr w:type="spellStart"/>
      <w:r w:rsidR="00B1108F" w:rsidRPr="005C6850">
        <w:rPr>
          <w:rFonts w:eastAsia="Times New Roman" w:cs="Arial"/>
          <w:b/>
          <w:i/>
          <w:color w:val="000000" w:themeColor="text1"/>
          <w:lang w:eastAsia="cs-CZ"/>
        </w:rPr>
        <w:t>mikroznečištění</w:t>
      </w:r>
      <w:proofErr w:type="spellEnd"/>
    </w:p>
    <w:p w14:paraId="08298E69" w14:textId="77777777" w:rsidR="00B1108F" w:rsidRPr="005C6850" w:rsidRDefault="00B1108F" w:rsidP="00B1108F">
      <w:pPr>
        <w:autoSpaceDE w:val="0"/>
        <w:autoSpaceDN w:val="0"/>
        <w:rPr>
          <w:rFonts w:cs="Arial"/>
        </w:rPr>
      </w:pPr>
      <w:r w:rsidRPr="005C6850">
        <w:rPr>
          <w:rFonts w:cs="Arial"/>
        </w:rPr>
        <w:t>partneři na české straně: 1</w:t>
      </w:r>
    </w:p>
    <w:p w14:paraId="3D48FFC7" w14:textId="77777777" w:rsidR="00B1108F" w:rsidRPr="005C6850" w:rsidRDefault="00B1108F" w:rsidP="00B1108F">
      <w:pPr>
        <w:autoSpaceDE w:val="0"/>
        <w:autoSpaceDN w:val="0"/>
        <w:rPr>
          <w:rFonts w:cs="Arial"/>
        </w:rPr>
      </w:pPr>
      <w:r w:rsidRPr="005C6850">
        <w:rPr>
          <w:rFonts w:cs="Arial"/>
        </w:rPr>
        <w:t>Rozpočet partnera: 328 228,97 EUR</w:t>
      </w:r>
    </w:p>
    <w:p w14:paraId="34894086" w14:textId="77777777" w:rsidR="00B1108F" w:rsidRPr="005C6850" w:rsidRDefault="00B1108F" w:rsidP="00B1108F">
      <w:pPr>
        <w:autoSpaceDE w:val="0"/>
        <w:autoSpaceDN w:val="0"/>
        <w:rPr>
          <w:rFonts w:cs="Arial"/>
        </w:rPr>
      </w:pPr>
      <w:r w:rsidRPr="005C6850">
        <w:rPr>
          <w:rFonts w:cs="Arial"/>
        </w:rPr>
        <w:t>Technická univerzita v Liberci</w:t>
      </w:r>
    </w:p>
    <w:p w14:paraId="107D163F" w14:textId="77777777" w:rsidR="00B1108F" w:rsidRPr="005C6850" w:rsidRDefault="00B1108F" w:rsidP="00B1108F">
      <w:pPr>
        <w:autoSpaceDE w:val="0"/>
        <w:autoSpaceDN w:val="0"/>
        <w:rPr>
          <w:rFonts w:cs="Arial"/>
        </w:rPr>
      </w:pPr>
    </w:p>
    <w:p w14:paraId="29CB1FE4" w14:textId="77777777" w:rsidR="00B1108F" w:rsidRPr="005C6850" w:rsidRDefault="00B1108F" w:rsidP="00B1108F">
      <w:pPr>
        <w:autoSpaceDE w:val="0"/>
        <w:autoSpaceDN w:val="0"/>
        <w:rPr>
          <w:rFonts w:cs="Arial"/>
        </w:rPr>
      </w:pPr>
      <w:r w:rsidRPr="005C6850">
        <w:rPr>
          <w:rFonts w:cs="Arial"/>
        </w:rPr>
        <w:t xml:space="preserve">Projekt se zaměřuje na odstraňování </w:t>
      </w:r>
      <w:proofErr w:type="spellStart"/>
      <w:r w:rsidRPr="005C6850">
        <w:rPr>
          <w:rFonts w:cs="Arial"/>
        </w:rPr>
        <w:t>mikropolutantů</w:t>
      </w:r>
      <w:proofErr w:type="spellEnd"/>
      <w:r w:rsidRPr="005C6850">
        <w:rPr>
          <w:rFonts w:cs="Arial"/>
        </w:rPr>
        <w:t xml:space="preserve"> z odpadních vod, které budou muset být podle nových norem EU monitorovány a odstraňovány v čistírnách odpadních vod. Návrh zahrnuje: monitorování znečišťujících látek v odpadních vodách z obou stran hranice, vývoj účinných metod jejich odstraňování, vytvoření databáze a informační kampaně pro obyvatele a úřady. Naše výsledky budeme sdílet s místními orgány na česko-polské hranici, což podpoří koordinovanější opatření proti znečištění. Zlepšení řízení čistíren odpadních vod z hlediska odstraňování </w:t>
      </w:r>
      <w:proofErr w:type="spellStart"/>
      <w:r w:rsidRPr="005C6850">
        <w:rPr>
          <w:rFonts w:cs="Arial"/>
        </w:rPr>
        <w:t>mikropolutantů</w:t>
      </w:r>
      <w:proofErr w:type="spellEnd"/>
      <w:r w:rsidRPr="005C6850">
        <w:rPr>
          <w:rFonts w:cs="Arial"/>
        </w:rPr>
        <w:t xml:space="preserve"> povede ke zlepšení kvality povrchových vod, z nichž se získává pitná voda, a náš projekt tak přispěje k jednomu z cílů Evropské unie, tj. k přístupu k čisté pitné vodě pro všechny občany EU, a zároveň dokonale zapadne do aktivit v rámci Modré dohody EU.</w:t>
      </w:r>
    </w:p>
    <w:p w14:paraId="7EB1D65C" w14:textId="77777777" w:rsidR="0049316B" w:rsidRPr="00104F7D" w:rsidRDefault="0049316B" w:rsidP="00B1108F">
      <w:pPr>
        <w:autoSpaceDE w:val="0"/>
        <w:autoSpaceDN w:val="0"/>
        <w:rPr>
          <w:rFonts w:cs="Arial"/>
          <w:highlight w:val="yellow"/>
        </w:rPr>
      </w:pPr>
    </w:p>
    <w:p w14:paraId="7DA4FE45" w14:textId="77777777" w:rsidR="004C0684" w:rsidRPr="00583BBD" w:rsidRDefault="0049316B" w:rsidP="004C0684">
      <w:pPr>
        <w:autoSpaceDE w:val="0"/>
        <w:autoSpaceDN w:val="0"/>
        <w:rPr>
          <w:rFonts w:eastAsia="Times New Roman" w:cs="Arial"/>
          <w:b/>
          <w:i/>
          <w:color w:val="000000" w:themeColor="text1"/>
          <w:lang w:eastAsia="cs-CZ"/>
        </w:rPr>
      </w:pPr>
      <w:r w:rsidRPr="00583BBD">
        <w:rPr>
          <w:rFonts w:eastAsia="Times New Roman" w:cs="Arial"/>
          <w:b/>
          <w:i/>
          <w:color w:val="000000" w:themeColor="text1"/>
          <w:lang w:eastAsia="cs-CZ"/>
        </w:rPr>
        <w:t xml:space="preserve">5. </w:t>
      </w:r>
      <w:r w:rsidR="004C0684" w:rsidRPr="00583BBD">
        <w:rPr>
          <w:rFonts w:eastAsia="Times New Roman" w:cs="Arial"/>
          <w:b/>
          <w:i/>
          <w:color w:val="000000" w:themeColor="text1"/>
          <w:lang w:eastAsia="cs-CZ"/>
        </w:rPr>
        <w:t xml:space="preserve">CZ.11.01.02/00/23_011/0000165 </w:t>
      </w:r>
      <w:proofErr w:type="gramStart"/>
      <w:r w:rsidR="004C0684" w:rsidRPr="00583BBD">
        <w:rPr>
          <w:rFonts w:eastAsia="Times New Roman" w:cs="Arial"/>
          <w:b/>
          <w:i/>
          <w:color w:val="000000" w:themeColor="text1"/>
          <w:lang w:eastAsia="cs-CZ"/>
        </w:rPr>
        <w:t>Stěnava - Řeka</w:t>
      </w:r>
      <w:proofErr w:type="gramEnd"/>
      <w:r w:rsidR="004C0684" w:rsidRPr="00583BBD">
        <w:rPr>
          <w:rFonts w:eastAsia="Times New Roman" w:cs="Arial"/>
          <w:b/>
          <w:i/>
          <w:color w:val="000000" w:themeColor="text1"/>
          <w:lang w:eastAsia="cs-CZ"/>
        </w:rPr>
        <w:t>, která nezná hranic</w:t>
      </w:r>
    </w:p>
    <w:p w14:paraId="3DBB9195" w14:textId="77777777" w:rsidR="004C0684" w:rsidRPr="00583BBD" w:rsidRDefault="004C0684" w:rsidP="004C0684">
      <w:pPr>
        <w:autoSpaceDE w:val="0"/>
        <w:autoSpaceDN w:val="0"/>
        <w:rPr>
          <w:rFonts w:cs="Arial"/>
        </w:rPr>
      </w:pPr>
      <w:r w:rsidRPr="00583BBD">
        <w:rPr>
          <w:rFonts w:cs="Arial"/>
        </w:rPr>
        <w:t>partneři na české straně: 1</w:t>
      </w:r>
    </w:p>
    <w:p w14:paraId="5FCCC5FD" w14:textId="77777777" w:rsidR="004C0684" w:rsidRPr="00583BBD" w:rsidRDefault="004C0684" w:rsidP="004C0684">
      <w:pPr>
        <w:autoSpaceDE w:val="0"/>
        <w:autoSpaceDN w:val="0"/>
        <w:rPr>
          <w:rFonts w:cs="Arial"/>
        </w:rPr>
      </w:pPr>
      <w:r w:rsidRPr="00583BBD">
        <w:rPr>
          <w:rFonts w:cs="Arial"/>
        </w:rPr>
        <w:t>Rozpočet partnera: 233 262,09 EUR</w:t>
      </w:r>
    </w:p>
    <w:p w14:paraId="4DD451FA" w14:textId="77777777" w:rsidR="004C0684" w:rsidRPr="00583BBD" w:rsidRDefault="004C0684" w:rsidP="004C0684">
      <w:pPr>
        <w:autoSpaceDE w:val="0"/>
        <w:autoSpaceDN w:val="0"/>
        <w:rPr>
          <w:rFonts w:cs="Arial"/>
        </w:rPr>
      </w:pPr>
      <w:r w:rsidRPr="00583BBD">
        <w:rPr>
          <w:rFonts w:cs="Arial"/>
        </w:rPr>
        <w:t>Strategická rada regionu Broumovsko, o.p.s.</w:t>
      </w:r>
    </w:p>
    <w:p w14:paraId="6559C034" w14:textId="77777777" w:rsidR="004C0684" w:rsidRPr="00583BBD" w:rsidRDefault="004C0684" w:rsidP="004C0684">
      <w:pPr>
        <w:autoSpaceDE w:val="0"/>
        <w:autoSpaceDN w:val="0"/>
        <w:rPr>
          <w:rFonts w:cs="Arial"/>
        </w:rPr>
      </w:pPr>
    </w:p>
    <w:p w14:paraId="3F2F89AB" w14:textId="77777777" w:rsidR="004C0684" w:rsidRPr="00583BBD" w:rsidRDefault="004C0684" w:rsidP="004C0684">
      <w:pPr>
        <w:autoSpaceDE w:val="0"/>
        <w:autoSpaceDN w:val="0"/>
        <w:rPr>
          <w:rFonts w:cs="Arial"/>
        </w:rPr>
      </w:pPr>
      <w:r w:rsidRPr="00583BBD">
        <w:rPr>
          <w:rFonts w:cs="Arial"/>
        </w:rPr>
        <w:t xml:space="preserve">Řeka Stěnava pramení v polském pohoří </w:t>
      </w:r>
      <w:proofErr w:type="spellStart"/>
      <w:r w:rsidRPr="00583BBD">
        <w:rPr>
          <w:rFonts w:cs="Arial"/>
        </w:rPr>
        <w:t>Góry</w:t>
      </w:r>
      <w:proofErr w:type="spellEnd"/>
      <w:r w:rsidRPr="00583BBD">
        <w:rPr>
          <w:rFonts w:cs="Arial"/>
        </w:rPr>
        <w:t xml:space="preserve"> </w:t>
      </w:r>
      <w:proofErr w:type="spellStart"/>
      <w:r w:rsidRPr="00583BBD">
        <w:rPr>
          <w:rFonts w:cs="Arial"/>
        </w:rPr>
        <w:t>Wałbrzyskie</w:t>
      </w:r>
      <w:proofErr w:type="spellEnd"/>
      <w:r w:rsidRPr="00583BBD">
        <w:rPr>
          <w:rFonts w:cs="Arial"/>
        </w:rPr>
        <w:t xml:space="preserve">, polsko-českou hranici překračuje u </w:t>
      </w:r>
      <w:proofErr w:type="spellStart"/>
      <w:r w:rsidRPr="00583BBD">
        <w:rPr>
          <w:rFonts w:cs="Arial"/>
        </w:rPr>
        <w:t>Golińsku</w:t>
      </w:r>
      <w:proofErr w:type="spellEnd"/>
      <w:r w:rsidRPr="00583BBD">
        <w:rPr>
          <w:rFonts w:cs="Arial"/>
        </w:rPr>
        <w:t xml:space="preserve">/Meziměstí (část </w:t>
      </w:r>
      <w:proofErr w:type="spellStart"/>
      <w:r w:rsidRPr="00583BBD">
        <w:rPr>
          <w:rFonts w:cs="Arial"/>
        </w:rPr>
        <w:t>Starostín</w:t>
      </w:r>
      <w:proofErr w:type="spellEnd"/>
      <w:r w:rsidRPr="00583BBD">
        <w:rPr>
          <w:rFonts w:cs="Arial"/>
        </w:rPr>
        <w:t xml:space="preserve">), protéká celým Broumovskem, a znovu překračuje česko-polskou hranici u obcí Otovice a </w:t>
      </w:r>
      <w:proofErr w:type="spellStart"/>
      <w:r w:rsidRPr="00583BBD">
        <w:rPr>
          <w:rFonts w:cs="Arial"/>
        </w:rPr>
        <w:t>Tlumaczów</w:t>
      </w:r>
      <w:proofErr w:type="spellEnd"/>
      <w:r w:rsidRPr="00583BBD">
        <w:rPr>
          <w:rFonts w:cs="Arial"/>
        </w:rPr>
        <w:t xml:space="preserve">. Polské a české obce tak sdílí nejen řeku a její povodí, ale také problémy související s probíhající klimatickou změnou. Ty se projevují zejména ve formě silných přívalových dešťů a následných povodní, a dlouhých epizod sucha v letních měsících. Cílem projektu je identifikovat místa vhodná k realizaci protierozních a </w:t>
      </w:r>
      <w:proofErr w:type="spellStart"/>
      <w:r w:rsidRPr="00583BBD">
        <w:rPr>
          <w:rFonts w:cs="Arial"/>
        </w:rPr>
        <w:t>vodozádržných</w:t>
      </w:r>
      <w:proofErr w:type="spellEnd"/>
      <w:r w:rsidRPr="00583BBD">
        <w:rPr>
          <w:rFonts w:cs="Arial"/>
        </w:rPr>
        <w:t xml:space="preserve"> přírodě blízkých opatření v horní části toku při česko-polské hranici u Gmina </w:t>
      </w:r>
      <w:proofErr w:type="spellStart"/>
      <w:r w:rsidRPr="00583BBD">
        <w:rPr>
          <w:rFonts w:cs="Arial"/>
        </w:rPr>
        <w:t>Mieroszów</w:t>
      </w:r>
      <w:proofErr w:type="spellEnd"/>
      <w:r w:rsidRPr="00583BBD">
        <w:rPr>
          <w:rFonts w:cs="Arial"/>
        </w:rPr>
        <w:t xml:space="preserve"> a Meziměstí a realizace přírodě blízkého opatření v </w:t>
      </w:r>
      <w:proofErr w:type="spellStart"/>
      <w:r w:rsidRPr="00583BBD">
        <w:rPr>
          <w:rFonts w:cs="Arial"/>
        </w:rPr>
        <w:t>Mieroszówě</w:t>
      </w:r>
      <w:proofErr w:type="spellEnd"/>
      <w:r w:rsidRPr="00583BBD">
        <w:rPr>
          <w:rFonts w:cs="Arial"/>
        </w:rPr>
        <w:t>. Navrhovaná i realizovaná opatření budou mít pozitivní vliv na zpomalení případné povodňové vlny a současně zvýší schopnost krajiny zadržet vodu v celé ploše řešeného povodí.</w:t>
      </w:r>
    </w:p>
    <w:p w14:paraId="6CF0297C" w14:textId="1F8513D9" w:rsidR="00677E62" w:rsidRDefault="00677E62" w:rsidP="0019587A">
      <w:pPr>
        <w:autoSpaceDE w:val="0"/>
        <w:autoSpaceDN w:val="0"/>
        <w:rPr>
          <w:rFonts w:cs="Arial"/>
          <w:color w:val="FF0000"/>
          <w:highlight w:val="yellow"/>
        </w:rPr>
      </w:pPr>
    </w:p>
    <w:p w14:paraId="70104418" w14:textId="77777777" w:rsidR="001F0916" w:rsidRPr="001F0916" w:rsidRDefault="001F0916" w:rsidP="001F0916">
      <w:pPr>
        <w:autoSpaceDE w:val="0"/>
        <w:autoSpaceDN w:val="0"/>
        <w:rPr>
          <w:rFonts w:cs="Arial"/>
          <w:b/>
          <w:bCs/>
        </w:rPr>
      </w:pPr>
      <w:r w:rsidRPr="001F0916">
        <w:rPr>
          <w:rFonts w:cs="Arial"/>
          <w:b/>
          <w:bCs/>
        </w:rPr>
        <w:t>CZ.11.04.01/00/23_010/0000148 – Spolupráce v oblasti ochrany životního prostředí</w:t>
      </w:r>
    </w:p>
    <w:p w14:paraId="3B1140B5" w14:textId="77777777" w:rsidR="001F0916" w:rsidRPr="001F0916" w:rsidRDefault="001F0916" w:rsidP="001F0916">
      <w:pPr>
        <w:autoSpaceDE w:val="0"/>
        <w:autoSpaceDN w:val="0"/>
        <w:rPr>
          <w:rFonts w:cs="Arial"/>
        </w:rPr>
      </w:pPr>
      <w:r w:rsidRPr="001F0916">
        <w:rPr>
          <w:rFonts w:cs="Arial"/>
        </w:rPr>
        <w:t>partneři na české straně: 3</w:t>
      </w:r>
    </w:p>
    <w:p w14:paraId="1FEC407D" w14:textId="77777777" w:rsidR="001F0916" w:rsidRPr="001F0916" w:rsidRDefault="001F0916" w:rsidP="001F0916">
      <w:pPr>
        <w:autoSpaceDE w:val="0"/>
        <w:autoSpaceDN w:val="0"/>
        <w:rPr>
          <w:rFonts w:cs="Arial"/>
        </w:rPr>
      </w:pPr>
      <w:r w:rsidRPr="001F0916">
        <w:rPr>
          <w:rFonts w:cs="Arial"/>
        </w:rPr>
        <w:t>Rozpočet partnera: 35 638,30 EUR</w:t>
      </w:r>
    </w:p>
    <w:p w14:paraId="4572C1FE" w14:textId="77777777" w:rsidR="001F0916" w:rsidRPr="001F0916" w:rsidRDefault="001F0916" w:rsidP="001F0916">
      <w:pPr>
        <w:autoSpaceDE w:val="0"/>
        <w:autoSpaceDN w:val="0"/>
        <w:rPr>
          <w:rFonts w:cs="Arial"/>
        </w:rPr>
      </w:pPr>
      <w:r w:rsidRPr="001F0916">
        <w:rPr>
          <w:rFonts w:cs="Arial"/>
        </w:rPr>
        <w:t>Obec Šilheřovice</w:t>
      </w:r>
    </w:p>
    <w:p w14:paraId="5E890B28" w14:textId="77777777" w:rsidR="001F0916" w:rsidRPr="001F0916" w:rsidRDefault="001F0916" w:rsidP="001F0916">
      <w:pPr>
        <w:autoSpaceDE w:val="0"/>
        <w:autoSpaceDN w:val="0"/>
        <w:rPr>
          <w:rFonts w:cs="Arial"/>
        </w:rPr>
      </w:pPr>
    </w:p>
    <w:p w14:paraId="4A7DEE39" w14:textId="77777777" w:rsidR="001F0916" w:rsidRPr="001F0916" w:rsidRDefault="001F0916" w:rsidP="001F0916">
      <w:pPr>
        <w:autoSpaceDE w:val="0"/>
        <w:autoSpaceDN w:val="0"/>
        <w:rPr>
          <w:rFonts w:cs="Arial"/>
        </w:rPr>
      </w:pPr>
      <w:r w:rsidRPr="001F0916">
        <w:rPr>
          <w:rFonts w:cs="Arial"/>
        </w:rPr>
        <w:t>Rozpočet partnera: 18 468,42 EUR</w:t>
      </w:r>
    </w:p>
    <w:p w14:paraId="5C28E1BD" w14:textId="77777777" w:rsidR="001F0916" w:rsidRPr="001F0916" w:rsidRDefault="001F0916" w:rsidP="001F0916">
      <w:pPr>
        <w:autoSpaceDE w:val="0"/>
        <w:autoSpaceDN w:val="0"/>
        <w:rPr>
          <w:rFonts w:cs="Arial"/>
        </w:rPr>
      </w:pPr>
      <w:r w:rsidRPr="001F0916">
        <w:rPr>
          <w:rFonts w:cs="Arial"/>
        </w:rPr>
        <w:t>Obec Hať</w:t>
      </w:r>
    </w:p>
    <w:p w14:paraId="2768F21E" w14:textId="77777777" w:rsidR="001F0916" w:rsidRPr="001F0916" w:rsidRDefault="001F0916" w:rsidP="001F0916">
      <w:pPr>
        <w:autoSpaceDE w:val="0"/>
        <w:autoSpaceDN w:val="0"/>
        <w:rPr>
          <w:rFonts w:cs="Arial"/>
        </w:rPr>
      </w:pPr>
    </w:p>
    <w:p w14:paraId="001D364E" w14:textId="77777777" w:rsidR="001F0916" w:rsidRPr="001F0916" w:rsidRDefault="001F0916" w:rsidP="001F0916">
      <w:pPr>
        <w:autoSpaceDE w:val="0"/>
        <w:autoSpaceDN w:val="0"/>
        <w:rPr>
          <w:rFonts w:cs="Arial"/>
        </w:rPr>
      </w:pPr>
      <w:r w:rsidRPr="001F0916">
        <w:rPr>
          <w:rFonts w:cs="Arial"/>
        </w:rPr>
        <w:t>Rozpočet partnera: 18 468,42 EUR</w:t>
      </w:r>
    </w:p>
    <w:p w14:paraId="7BB8F3CC" w14:textId="77777777" w:rsidR="001F0916" w:rsidRPr="001F0916" w:rsidRDefault="001F0916" w:rsidP="001F0916">
      <w:pPr>
        <w:autoSpaceDE w:val="0"/>
        <w:autoSpaceDN w:val="0"/>
        <w:rPr>
          <w:rFonts w:cs="Arial"/>
        </w:rPr>
      </w:pPr>
      <w:r w:rsidRPr="001F0916">
        <w:rPr>
          <w:rFonts w:cs="Arial"/>
        </w:rPr>
        <w:t>Obec Píšť:</w:t>
      </w:r>
    </w:p>
    <w:p w14:paraId="016DD26D" w14:textId="77777777" w:rsidR="001F0916" w:rsidRPr="001F0916" w:rsidRDefault="001F0916" w:rsidP="001F0916">
      <w:pPr>
        <w:autoSpaceDE w:val="0"/>
        <w:autoSpaceDN w:val="0"/>
        <w:rPr>
          <w:rFonts w:cs="Arial"/>
        </w:rPr>
      </w:pPr>
    </w:p>
    <w:p w14:paraId="6D2E3E17" w14:textId="77777777" w:rsidR="001F0916" w:rsidRPr="001F0916" w:rsidRDefault="001F0916" w:rsidP="001F0916">
      <w:pPr>
        <w:autoSpaceDE w:val="0"/>
        <w:autoSpaceDN w:val="0"/>
        <w:rPr>
          <w:rFonts w:cs="Arial"/>
        </w:rPr>
      </w:pPr>
      <w:r w:rsidRPr="001F0916">
        <w:rPr>
          <w:rFonts w:cs="Arial"/>
        </w:rPr>
        <w:t>Projekt řeší dopady klimatické změny v přeshraniční oblasti Šilheřovice–Hať–Píšť–</w:t>
      </w:r>
      <w:proofErr w:type="spellStart"/>
      <w:r w:rsidRPr="001F0916">
        <w:rPr>
          <w:rFonts w:cs="Arial"/>
        </w:rPr>
        <w:t>Krzyżanowice</w:t>
      </w:r>
      <w:proofErr w:type="spellEnd"/>
      <w:r w:rsidRPr="001F0916">
        <w:rPr>
          <w:rFonts w:cs="Arial"/>
        </w:rPr>
        <w:t>, zejména nedostatek podzemní vody, přívalové srážky a omezené možnosti opětovného využití vyčištěné vody kvůli farmaceutickým látkám. Vznikne česko</w:t>
      </w:r>
      <w:r w:rsidRPr="001F0916">
        <w:rPr>
          <w:rFonts w:ascii="Cambria Math" w:hAnsi="Cambria Math" w:cs="Cambria Math"/>
        </w:rPr>
        <w:t>‑</w:t>
      </w:r>
      <w:r w:rsidRPr="001F0916">
        <w:rPr>
          <w:rFonts w:cs="Arial"/>
        </w:rPr>
        <w:t>polský expertní tým a Plán o stavu vodního hospodářství a nakládání s odpadními vodami v přeshraniční oblasti (včetně analýz, map přívalových dešťů a příkladů dobré praxe).</w:t>
      </w:r>
    </w:p>
    <w:p w14:paraId="2D796A61" w14:textId="77777777" w:rsidR="001F0916" w:rsidRDefault="001F0916" w:rsidP="001F0916">
      <w:pPr>
        <w:autoSpaceDE w:val="0"/>
        <w:autoSpaceDN w:val="0"/>
        <w:rPr>
          <w:rFonts w:cs="Arial"/>
        </w:rPr>
      </w:pPr>
    </w:p>
    <w:p w14:paraId="2210F5CA" w14:textId="5E9FA492" w:rsidR="001F0916" w:rsidRPr="001F0916" w:rsidRDefault="001F0916" w:rsidP="001F0916">
      <w:pPr>
        <w:autoSpaceDE w:val="0"/>
        <w:autoSpaceDN w:val="0"/>
        <w:rPr>
          <w:rFonts w:cs="Arial"/>
        </w:rPr>
      </w:pPr>
      <w:r w:rsidRPr="001F0916">
        <w:rPr>
          <w:rFonts w:cs="Arial"/>
        </w:rPr>
        <w:t>Součástí projektu bude úvodní workshop, série pěti odborných třídenních fór zaměřených na oběhové vodní hospodářství, odpadní vody, farmaceutické látky, nové technologie a predikci přívalových dešťů, a dále pětidenní stáže zaměstnanců obcí s laboratorními měřeními. Plán poskytne katalog nástrojů a opatření pro adaptaci na sucho, zvládání přívalových dešťů a omezování látek (např. farmak) ve vyčištěných vodách, se zaměřením na posílení retence vody v území a zvýšení připravenosti obcí na extrémní jevy. Cílem je sladit postupy obcí na obou stranách hranice. Výstupy budou sdíleny v regionu a projekt zakončí závěrečná konference.</w:t>
      </w:r>
    </w:p>
    <w:p w14:paraId="7FB207F1" w14:textId="77777777" w:rsidR="001F0916" w:rsidRPr="001F0916" w:rsidRDefault="001F0916" w:rsidP="001F0916">
      <w:pPr>
        <w:autoSpaceDE w:val="0"/>
        <w:autoSpaceDN w:val="0"/>
        <w:rPr>
          <w:rFonts w:cs="Arial"/>
        </w:rPr>
      </w:pPr>
    </w:p>
    <w:p w14:paraId="6BE7A647" w14:textId="77777777" w:rsidR="001F0916" w:rsidRPr="001F0916" w:rsidRDefault="001F0916" w:rsidP="001F0916">
      <w:pPr>
        <w:autoSpaceDE w:val="0"/>
        <w:autoSpaceDN w:val="0"/>
        <w:rPr>
          <w:rFonts w:cs="Arial"/>
        </w:rPr>
      </w:pPr>
    </w:p>
    <w:p w14:paraId="30E2EA34" w14:textId="77777777" w:rsidR="001F0916" w:rsidRPr="001F0916" w:rsidRDefault="001F0916" w:rsidP="001F0916">
      <w:pPr>
        <w:autoSpaceDE w:val="0"/>
        <w:autoSpaceDN w:val="0"/>
        <w:rPr>
          <w:rFonts w:cs="Arial"/>
          <w:b/>
          <w:bCs/>
        </w:rPr>
      </w:pPr>
      <w:r w:rsidRPr="001F0916">
        <w:rPr>
          <w:rFonts w:cs="Arial"/>
          <w:b/>
          <w:bCs/>
        </w:rPr>
        <w:t>CZ.11.04.01/00/24_017/0000186 - Water4all</w:t>
      </w:r>
    </w:p>
    <w:p w14:paraId="0C3FA2D6" w14:textId="77777777" w:rsidR="001F0916" w:rsidRPr="001F0916" w:rsidRDefault="001F0916" w:rsidP="001F0916">
      <w:pPr>
        <w:autoSpaceDE w:val="0"/>
        <w:autoSpaceDN w:val="0"/>
        <w:rPr>
          <w:rFonts w:cs="Arial"/>
        </w:rPr>
      </w:pPr>
      <w:r w:rsidRPr="001F0916">
        <w:rPr>
          <w:rFonts w:cs="Arial"/>
        </w:rPr>
        <w:t xml:space="preserve">partneři na české straně: 1 </w:t>
      </w:r>
    </w:p>
    <w:p w14:paraId="0056AC56" w14:textId="77777777" w:rsidR="001F0916" w:rsidRPr="001F0916" w:rsidRDefault="001F0916" w:rsidP="001F0916">
      <w:pPr>
        <w:autoSpaceDE w:val="0"/>
        <w:autoSpaceDN w:val="0"/>
        <w:rPr>
          <w:rFonts w:cs="Arial"/>
        </w:rPr>
      </w:pPr>
      <w:r w:rsidRPr="001F0916">
        <w:rPr>
          <w:rFonts w:cs="Arial"/>
        </w:rPr>
        <w:t>Rozpočet partnera: 223 573,46 EUR</w:t>
      </w:r>
    </w:p>
    <w:p w14:paraId="181E0263" w14:textId="77777777" w:rsidR="001F0916" w:rsidRPr="001F0916" w:rsidRDefault="001F0916" w:rsidP="001F0916">
      <w:pPr>
        <w:autoSpaceDE w:val="0"/>
        <w:autoSpaceDN w:val="0"/>
        <w:rPr>
          <w:rFonts w:cs="Arial"/>
        </w:rPr>
      </w:pPr>
      <w:r w:rsidRPr="001F0916">
        <w:rPr>
          <w:rFonts w:cs="Arial"/>
        </w:rPr>
        <w:t xml:space="preserve">Obec Šilheřovice </w:t>
      </w:r>
    </w:p>
    <w:p w14:paraId="524E4AB6" w14:textId="77777777" w:rsidR="001F0916" w:rsidRPr="001F0916" w:rsidRDefault="001F0916" w:rsidP="001F0916">
      <w:pPr>
        <w:autoSpaceDE w:val="0"/>
        <w:autoSpaceDN w:val="0"/>
        <w:rPr>
          <w:rFonts w:cs="Arial"/>
        </w:rPr>
      </w:pPr>
    </w:p>
    <w:p w14:paraId="2094F98C" w14:textId="77777777" w:rsidR="001F0916" w:rsidRPr="001F0916" w:rsidRDefault="001F0916" w:rsidP="001F0916">
      <w:pPr>
        <w:autoSpaceDE w:val="0"/>
        <w:autoSpaceDN w:val="0"/>
        <w:rPr>
          <w:rFonts w:cs="Arial"/>
        </w:rPr>
      </w:pPr>
      <w:r w:rsidRPr="001F0916">
        <w:rPr>
          <w:rFonts w:cs="Arial"/>
        </w:rPr>
        <w:t>Projekt reaguje na dlouhodobý nedostatek vodních zdrojů a dopady klimatické změny v česko</w:t>
      </w:r>
      <w:r w:rsidRPr="001F0916">
        <w:rPr>
          <w:rFonts w:cs="Arial"/>
        </w:rPr>
        <w:noBreakHyphen/>
        <w:t xml:space="preserve">polském pohraničí. Jeho cílem je vytvořit společnou přeshraniční koncepci udržitelného hospodaření s odpadními vodami, založenou na 12měsíčním monitoringu a podrobné analýze 96 parametrů vyčištěných vod, včetně </w:t>
      </w:r>
      <w:proofErr w:type="spellStart"/>
      <w:r w:rsidRPr="001F0916">
        <w:rPr>
          <w:rFonts w:cs="Arial"/>
        </w:rPr>
        <w:t>mikropolutantů</w:t>
      </w:r>
      <w:proofErr w:type="spellEnd"/>
      <w:r w:rsidRPr="001F0916">
        <w:rPr>
          <w:rFonts w:cs="Arial"/>
        </w:rPr>
        <w:t xml:space="preserve">, jako jsou léčiva, pesticidy, PFAS, hormony či </w:t>
      </w:r>
      <w:proofErr w:type="spellStart"/>
      <w:r w:rsidRPr="001F0916">
        <w:rPr>
          <w:rFonts w:cs="Arial"/>
        </w:rPr>
        <w:t>mikroplasty</w:t>
      </w:r>
      <w:proofErr w:type="spellEnd"/>
      <w:r w:rsidRPr="001F0916">
        <w:rPr>
          <w:rFonts w:cs="Arial"/>
        </w:rPr>
        <w:t xml:space="preserve">. Projekt zároveň ověřuje možnosti opětovného využití vyčištěné vody pro veřejné účely – například pro závlahu zeleně a zadržení vody v krajině – a posuzuje energetický potenciál procesu čištění, včetně varianty využití malé </w:t>
      </w:r>
      <w:proofErr w:type="spellStart"/>
      <w:r w:rsidRPr="001F0916">
        <w:rPr>
          <w:rFonts w:cs="Arial"/>
        </w:rPr>
        <w:t>hydroturbíny</w:t>
      </w:r>
      <w:proofErr w:type="spellEnd"/>
      <w:r w:rsidRPr="001F0916">
        <w:rPr>
          <w:rFonts w:cs="Arial"/>
        </w:rPr>
        <w:t xml:space="preserve">. Součástí návrhu je i mobilní kontejnerová čistička, která umožní technologické zásahy bez nutnosti rozsáhlých stavebních úprav a může sehrát roli například při povodních. Projekt zahrnuje také odborné exkurze zaměřené na odsolování, </w:t>
      </w:r>
      <w:proofErr w:type="spellStart"/>
      <w:r w:rsidRPr="001F0916">
        <w:rPr>
          <w:rFonts w:cs="Arial"/>
        </w:rPr>
        <w:t>biorafinerie</w:t>
      </w:r>
      <w:proofErr w:type="spellEnd"/>
      <w:r w:rsidRPr="001F0916">
        <w:rPr>
          <w:rFonts w:cs="Arial"/>
        </w:rPr>
        <w:t xml:space="preserve"> či rekuperaci vody. Výstupem budou souhrnná zpráva z analýz, </w:t>
      </w:r>
      <w:proofErr w:type="spellStart"/>
      <w:r w:rsidRPr="001F0916">
        <w:rPr>
          <w:rFonts w:cs="Arial"/>
        </w:rPr>
        <w:t>technicko</w:t>
      </w:r>
      <w:r w:rsidRPr="001F0916">
        <w:rPr>
          <w:rFonts w:cs="Arial"/>
        </w:rPr>
        <w:noBreakHyphen/>
        <w:t>technologická</w:t>
      </w:r>
      <w:proofErr w:type="spellEnd"/>
      <w:r w:rsidRPr="001F0916">
        <w:rPr>
          <w:rFonts w:cs="Arial"/>
        </w:rPr>
        <w:t xml:space="preserve"> dokumentace, přehled nových technologií, e</w:t>
      </w:r>
      <w:r w:rsidRPr="001F0916">
        <w:rPr>
          <w:rFonts w:cs="Arial"/>
        </w:rPr>
        <w:noBreakHyphen/>
        <w:t xml:space="preserve">kniha a akční plán, které naleznou využití také při přípravě nové čistírny v </w:t>
      </w:r>
      <w:proofErr w:type="spellStart"/>
      <w:r w:rsidRPr="001F0916">
        <w:rPr>
          <w:rFonts w:cs="Arial"/>
        </w:rPr>
        <w:t>Krzyżanowicích</w:t>
      </w:r>
      <w:proofErr w:type="spellEnd"/>
      <w:r w:rsidRPr="001F0916">
        <w:rPr>
          <w:rFonts w:cs="Arial"/>
        </w:rPr>
        <w:t>. Realizace významně posílí přeshraniční spolupráci obcí a výzkumných institucí a poskytne přenositelné know</w:t>
      </w:r>
      <w:r w:rsidRPr="001F0916">
        <w:rPr>
          <w:rFonts w:cs="Arial"/>
        </w:rPr>
        <w:noBreakHyphen/>
        <w:t>how pro další obce v ČR i Polsku.</w:t>
      </w:r>
    </w:p>
    <w:p w14:paraId="2E28D8C2" w14:textId="77777777" w:rsidR="001F0916" w:rsidRDefault="001F0916" w:rsidP="0019587A">
      <w:pPr>
        <w:autoSpaceDE w:val="0"/>
        <w:autoSpaceDN w:val="0"/>
        <w:rPr>
          <w:rFonts w:cs="Arial"/>
          <w:color w:val="FF0000"/>
          <w:highlight w:val="yellow"/>
        </w:rPr>
      </w:pPr>
    </w:p>
    <w:p w14:paraId="412E8486" w14:textId="77777777" w:rsidR="000325DD" w:rsidRPr="00135988" w:rsidRDefault="000325DD" w:rsidP="005D0F03">
      <w:pPr>
        <w:pStyle w:val="Odstavecseseznamem"/>
        <w:numPr>
          <w:ilvl w:val="0"/>
          <w:numId w:val="4"/>
        </w:numPr>
        <w:jc w:val="left"/>
        <w:rPr>
          <w:rFonts w:ascii="Arial" w:hAnsi="Arial" w:cs="Arial"/>
          <w:b/>
          <w:sz w:val="22"/>
          <w:szCs w:val="22"/>
          <w:u w:val="single"/>
        </w:rPr>
      </w:pPr>
      <w:r w:rsidRPr="00135988">
        <w:rPr>
          <w:rFonts w:ascii="Arial" w:hAnsi="Arial" w:cs="Arial"/>
          <w:b/>
          <w:sz w:val="22"/>
          <w:szCs w:val="22"/>
          <w:u w:val="single"/>
        </w:rPr>
        <w:t xml:space="preserve">Program </w:t>
      </w:r>
      <w:proofErr w:type="spellStart"/>
      <w:r w:rsidRPr="00135988">
        <w:rPr>
          <w:rFonts w:ascii="Arial" w:hAnsi="Arial" w:cs="Arial"/>
          <w:b/>
          <w:sz w:val="22"/>
          <w:szCs w:val="22"/>
          <w:u w:val="single"/>
        </w:rPr>
        <w:t>Interreg</w:t>
      </w:r>
      <w:proofErr w:type="spellEnd"/>
      <w:r w:rsidRPr="00135988">
        <w:rPr>
          <w:rFonts w:ascii="Arial" w:hAnsi="Arial" w:cs="Arial"/>
          <w:b/>
          <w:sz w:val="22"/>
          <w:szCs w:val="22"/>
          <w:u w:val="single"/>
        </w:rPr>
        <w:t xml:space="preserve"> V-A Slovenská republika – Česká republika</w:t>
      </w:r>
    </w:p>
    <w:p w14:paraId="309EDEB3" w14:textId="77EB3086" w:rsidR="000325DD" w:rsidRPr="00135988" w:rsidRDefault="000325DD" w:rsidP="007C4955">
      <w:pPr>
        <w:pStyle w:val="Odstavecseseznamem"/>
        <w:rPr>
          <w:rFonts w:ascii="Arial" w:hAnsi="Arial" w:cs="Arial"/>
          <w:b/>
          <w:sz w:val="22"/>
          <w:szCs w:val="22"/>
          <w:u w:val="single"/>
        </w:rPr>
      </w:pPr>
    </w:p>
    <w:p w14:paraId="650EC2B6" w14:textId="6412CB0D" w:rsidR="00E84FA4" w:rsidRPr="00135988" w:rsidRDefault="00E84FA4">
      <w:pPr>
        <w:pStyle w:val="Odstavecseseznamem"/>
        <w:numPr>
          <w:ilvl w:val="0"/>
          <w:numId w:val="21"/>
        </w:numPr>
        <w:jc w:val="left"/>
        <w:rPr>
          <w:rFonts w:ascii="Arial" w:hAnsi="Arial" w:cs="Arial"/>
          <w:b/>
          <w:bCs/>
          <w:i/>
          <w:iCs/>
          <w:sz w:val="22"/>
          <w:szCs w:val="22"/>
        </w:rPr>
      </w:pPr>
      <w:r w:rsidRPr="00135988">
        <w:rPr>
          <w:rFonts w:ascii="Arial" w:hAnsi="Arial" w:cs="Arial"/>
          <w:b/>
          <w:bCs/>
          <w:i/>
          <w:iCs/>
          <w:sz w:val="22"/>
          <w:szCs w:val="22"/>
        </w:rPr>
        <w:t>DML1   Vlára a toky Bílých Karpat</w:t>
      </w:r>
    </w:p>
    <w:p w14:paraId="02509E88" w14:textId="77777777" w:rsidR="00E84FA4" w:rsidRPr="00135988" w:rsidRDefault="00E84FA4" w:rsidP="00E84FA4">
      <w:pPr>
        <w:rPr>
          <w:rFonts w:cs="Arial"/>
        </w:rPr>
      </w:pPr>
      <w:r w:rsidRPr="00135988">
        <w:rPr>
          <w:rFonts w:cs="Arial"/>
        </w:rPr>
        <w:t>partneři na české straně: 1</w:t>
      </w:r>
    </w:p>
    <w:p w14:paraId="69DE75C9" w14:textId="77777777" w:rsidR="00E84FA4" w:rsidRPr="00135988" w:rsidRDefault="00E84FA4" w:rsidP="00E84FA4">
      <w:pPr>
        <w:rPr>
          <w:rFonts w:cs="Arial"/>
        </w:rPr>
      </w:pPr>
      <w:r w:rsidRPr="00135988">
        <w:rPr>
          <w:rFonts w:cs="Arial"/>
        </w:rPr>
        <w:t>Rozpočet partnera: 389 211,31 EUR</w:t>
      </w:r>
    </w:p>
    <w:p w14:paraId="16598A93" w14:textId="4B0578AB" w:rsidR="00E84FA4" w:rsidRPr="00135988" w:rsidRDefault="00E84FA4" w:rsidP="00E84FA4">
      <w:pPr>
        <w:rPr>
          <w:rFonts w:cs="Arial"/>
        </w:rPr>
      </w:pPr>
      <w:r w:rsidRPr="00135988">
        <w:rPr>
          <w:rFonts w:cs="Arial"/>
        </w:rPr>
        <w:t>Povodí Moravy</w:t>
      </w:r>
      <w:r w:rsidR="00416B8E" w:rsidRPr="00135988">
        <w:rPr>
          <w:rFonts w:cs="Arial"/>
        </w:rPr>
        <w:t xml:space="preserve">: </w:t>
      </w:r>
      <w:r w:rsidRPr="00135988">
        <w:rPr>
          <w:rFonts w:cs="Arial"/>
        </w:rPr>
        <w:t>192 154,91 EUR</w:t>
      </w:r>
    </w:p>
    <w:p w14:paraId="0425D8C3" w14:textId="77777777" w:rsidR="00E84FA4" w:rsidRPr="00135988" w:rsidRDefault="00E84FA4" w:rsidP="00E84FA4">
      <w:pPr>
        <w:rPr>
          <w:rFonts w:cs="Arial"/>
        </w:rPr>
      </w:pPr>
    </w:p>
    <w:p w14:paraId="59A0198D" w14:textId="3AF95C86" w:rsidR="008E5AB5" w:rsidRPr="00135988" w:rsidRDefault="00E84FA4" w:rsidP="00E84FA4">
      <w:pPr>
        <w:rPr>
          <w:rFonts w:cs="Arial"/>
        </w:rPr>
      </w:pPr>
      <w:r w:rsidRPr="00135988">
        <w:rPr>
          <w:rFonts w:cs="Arial"/>
        </w:rPr>
        <w:t>Řeka Vlára je významných a charakteristickým tokem Bílých Karpat. Problematika toků nezná hranice. Cílem projektu je koordinovat zvolené přístupy, a to hlavně v otázkách adaptace na změnu klima. Hlavním výstupem projektu byl akční plán stanovující krátkodobé, střednědobé a dlouhodobé cíle pro dosažení dobrého stavu a adaptace řeky Vláry a jejích vybraných přítoků na změnu klima. V projektu budou pro krátkodobé cíle zpracovány investiční záměry.</w:t>
      </w:r>
    </w:p>
    <w:p w14:paraId="29E45E9C" w14:textId="77777777" w:rsidR="00E84FA4" w:rsidRPr="00104F7D" w:rsidRDefault="00E84FA4" w:rsidP="00E84FA4">
      <w:pPr>
        <w:rPr>
          <w:rFonts w:cs="Arial"/>
          <w:highlight w:val="yellow"/>
        </w:rPr>
      </w:pPr>
    </w:p>
    <w:p w14:paraId="783F7EF0" w14:textId="5BBCC8BC" w:rsidR="00C9658F" w:rsidRPr="002D2EC6" w:rsidRDefault="00C9658F">
      <w:pPr>
        <w:numPr>
          <w:ilvl w:val="0"/>
          <w:numId w:val="21"/>
        </w:numPr>
        <w:ind w:left="426" w:hanging="426"/>
        <w:contextualSpacing/>
        <w:rPr>
          <w:rFonts w:cs="Arial"/>
        </w:rPr>
      </w:pPr>
      <w:r w:rsidRPr="002D2EC6">
        <w:rPr>
          <w:rFonts w:cs="Arial"/>
          <w:b/>
          <w:bCs/>
          <w:i/>
          <w:iCs/>
        </w:rPr>
        <w:t xml:space="preserve">DNJ4    Udržitelné hospodaření s podzemními vodami v česko-slovenském příhraničí </w:t>
      </w:r>
    </w:p>
    <w:p w14:paraId="36F5ACAF" w14:textId="77777777" w:rsidR="00C9658F" w:rsidRPr="002D2EC6" w:rsidRDefault="00C9658F" w:rsidP="00C9658F">
      <w:pPr>
        <w:contextualSpacing/>
        <w:rPr>
          <w:rFonts w:cs="Arial"/>
        </w:rPr>
      </w:pPr>
      <w:r w:rsidRPr="002D2EC6">
        <w:rPr>
          <w:rFonts w:cs="Arial"/>
        </w:rPr>
        <w:t>partneři na české straně: 3</w:t>
      </w:r>
    </w:p>
    <w:p w14:paraId="09EE73D8" w14:textId="77777777" w:rsidR="00C9658F" w:rsidRPr="002D2EC6" w:rsidRDefault="00C9658F" w:rsidP="00C9658F">
      <w:pPr>
        <w:contextualSpacing/>
        <w:rPr>
          <w:rFonts w:cs="Arial"/>
        </w:rPr>
      </w:pPr>
      <w:r w:rsidRPr="002D2EC6">
        <w:rPr>
          <w:rFonts w:cs="Arial"/>
        </w:rPr>
        <w:t>Rozpočet LP – Masarykova univerzita: 455 855,57 EUR</w:t>
      </w:r>
    </w:p>
    <w:p w14:paraId="1BDED6C6" w14:textId="3022C1D1" w:rsidR="00C9658F" w:rsidRPr="002D2EC6" w:rsidRDefault="00C9658F" w:rsidP="00C9658F">
      <w:pPr>
        <w:contextualSpacing/>
        <w:rPr>
          <w:rFonts w:cs="Arial"/>
        </w:rPr>
      </w:pPr>
      <w:r w:rsidRPr="002D2EC6">
        <w:rPr>
          <w:rFonts w:cs="Arial"/>
        </w:rPr>
        <w:t>Rozpočet PP1 – Český hydrometeorologický ústav: 62 790,12 EUR</w:t>
      </w:r>
    </w:p>
    <w:p w14:paraId="4EE23156" w14:textId="40723416" w:rsidR="00C9658F" w:rsidRPr="002D2EC6" w:rsidRDefault="00C9658F" w:rsidP="00C9658F">
      <w:pPr>
        <w:contextualSpacing/>
        <w:rPr>
          <w:rFonts w:cs="Arial"/>
        </w:rPr>
      </w:pPr>
      <w:r w:rsidRPr="002D2EC6">
        <w:rPr>
          <w:rFonts w:cs="Arial"/>
        </w:rPr>
        <w:t>Rozpočet PP2 – Jihomoravský kraj: bez rozpočtu EUR</w:t>
      </w:r>
    </w:p>
    <w:p w14:paraId="568B8E0D" w14:textId="77777777" w:rsidR="00C9658F" w:rsidRPr="002D2EC6" w:rsidRDefault="00C9658F" w:rsidP="00C9658F">
      <w:pPr>
        <w:contextualSpacing/>
        <w:rPr>
          <w:rFonts w:cs="Arial"/>
        </w:rPr>
      </w:pPr>
    </w:p>
    <w:p w14:paraId="047866DA" w14:textId="19ECC936" w:rsidR="00E84667" w:rsidRPr="002D2EC6" w:rsidRDefault="00C9658F" w:rsidP="00C9658F">
      <w:pPr>
        <w:contextualSpacing/>
        <w:rPr>
          <w:rFonts w:cs="Arial"/>
        </w:rPr>
      </w:pPr>
      <w:r w:rsidRPr="002D2EC6">
        <w:rPr>
          <w:rFonts w:cs="Arial"/>
        </w:rPr>
        <w:t xml:space="preserve">Jedním z nejvýznamnějších rizik probíhající změny klimatu je dlouhodobé sucho, jehož výskyt by mimořádně negativně ovlivnil zejména zemědělskou produkci a zásobování pitnou vodou. Období sucha v letech 2015 a 2018 byla krátká a srážková bilance byla v následujících letech vyrovnána. Projekt se soustředí na modelovou situaci, kdyby sucho bylo </w:t>
      </w:r>
      <w:r w:rsidR="00C86BBC" w:rsidRPr="002D2EC6">
        <w:rPr>
          <w:rFonts w:cs="Arial"/>
        </w:rPr>
        <w:t>dlouhodobé – trvalo</w:t>
      </w:r>
      <w:r w:rsidRPr="002D2EC6">
        <w:rPr>
          <w:rFonts w:cs="Arial"/>
        </w:rPr>
        <w:t xml:space="preserve"> několik let (jako v letech 1850-1870). Dominantním hydrologickým a hydrogeologickým prvkem v oblasti je řeka Morava. Na průtoku a výši hladiny Moravy závisí i hladina podzemní vody ve vrtech používaných pro zásobování obyvatelstva pitnou a užitkovou vodou. V rámci projektu budou studovány údaje o: • vývoji klimatu v oblasti povodí toku Moravy • údaje o průtocích a výšce hladiny v řece Moravě v příhraniční oblasti Jihomoravského kraje a Trnavského kraje • údaje o hladině podzemních vod ve vrtech v zájmové oblasti a údaje o kvalitě, složení a vydatnosti podzemní vody. Archivní údaje budou doplněny o geochemické a </w:t>
      </w:r>
      <w:proofErr w:type="gramStart"/>
      <w:r w:rsidRPr="002D2EC6">
        <w:rPr>
          <w:rFonts w:cs="Arial"/>
        </w:rPr>
        <w:t>isotopické</w:t>
      </w:r>
      <w:proofErr w:type="gramEnd"/>
      <w:r w:rsidRPr="002D2EC6">
        <w:rPr>
          <w:rFonts w:cs="Arial"/>
        </w:rPr>
        <w:t xml:space="preserve"> analýzy podzemních vod, umožňující řešit jejich původ a závislost na vývoji v řece Moravě či lokálních podmínkách. Analýza a zpracování archivních a nových dat pak umožní tvorbu modelu komplexního klimaticko-hydrologicko-hydrogeologického systému a jeho chování. Vytvořený model poskytne včasné varování před nastupujícím suchem a umožní orgánům státní správy a samosprávy přípravu a realizaci opatření ke zmírnění jeho dopadů. Jedním z kroků eliminující nedostatek kvalitní pitné vody je využití hlubších podzemních vod. Zájmová oblast má značný potenciál v možnosti zajištění tohoto zdroje. Celá oblast je pokryta prospekčními pracemi souvisejícími s vyhledáváním ropy a zemního plynu. Tato data budou využita pro identifikaci oblastí s potenciálním výskytem podzemních vod hlubšího oběhu, na které nemají změny klimatu přímý dopad. Jedním z výstupů projektu tak bude odhad možností využití zdrojů hlubších podzemních vod jako substituce klimatickou změnou ohrožených vod povrchových a mělce podpovrchových.</w:t>
      </w:r>
    </w:p>
    <w:p w14:paraId="7ECFE994" w14:textId="77777777" w:rsidR="004F5EFE" w:rsidRPr="00104F7D" w:rsidRDefault="004F5EFE" w:rsidP="00C9658F">
      <w:pPr>
        <w:contextualSpacing/>
        <w:rPr>
          <w:rFonts w:cs="Arial"/>
          <w:highlight w:val="yellow"/>
        </w:rPr>
      </w:pPr>
    </w:p>
    <w:p w14:paraId="58696FEF" w14:textId="77777777" w:rsidR="004F5EFE" w:rsidRPr="007B2874" w:rsidRDefault="004F5EFE" w:rsidP="004F5EFE">
      <w:pPr>
        <w:rPr>
          <w:rFonts w:cs="Arial"/>
          <w:b/>
          <w:bCs/>
          <w:i/>
          <w:iCs/>
        </w:rPr>
      </w:pPr>
      <w:r w:rsidRPr="007B2874">
        <w:rPr>
          <w:rFonts w:cs="Arial"/>
          <w:b/>
          <w:bCs/>
          <w:i/>
          <w:iCs/>
        </w:rPr>
        <w:t xml:space="preserve">3. DQV6   </w:t>
      </w:r>
      <w:proofErr w:type="spellStart"/>
      <w:r w:rsidRPr="007B2874">
        <w:rPr>
          <w:rFonts w:cs="Arial"/>
          <w:b/>
          <w:bCs/>
          <w:i/>
          <w:iCs/>
        </w:rPr>
        <w:t>Adaptačné</w:t>
      </w:r>
      <w:proofErr w:type="spellEnd"/>
      <w:r w:rsidRPr="007B2874">
        <w:rPr>
          <w:rFonts w:cs="Arial"/>
          <w:b/>
          <w:bCs/>
          <w:i/>
          <w:iCs/>
        </w:rPr>
        <w:t xml:space="preserve"> </w:t>
      </w:r>
      <w:proofErr w:type="spellStart"/>
      <w:r w:rsidRPr="007B2874">
        <w:rPr>
          <w:rFonts w:cs="Arial"/>
          <w:b/>
          <w:bCs/>
          <w:i/>
          <w:iCs/>
        </w:rPr>
        <w:t>opatrenia</w:t>
      </w:r>
      <w:proofErr w:type="spellEnd"/>
      <w:r w:rsidRPr="007B2874">
        <w:rPr>
          <w:rFonts w:cs="Arial"/>
          <w:b/>
          <w:bCs/>
          <w:i/>
          <w:iCs/>
        </w:rPr>
        <w:t xml:space="preserve"> na </w:t>
      </w:r>
      <w:proofErr w:type="spellStart"/>
      <w:r w:rsidRPr="007B2874">
        <w:rPr>
          <w:rFonts w:cs="Arial"/>
          <w:b/>
          <w:bCs/>
          <w:i/>
          <w:iCs/>
        </w:rPr>
        <w:t>zadržiavanie</w:t>
      </w:r>
      <w:proofErr w:type="spellEnd"/>
      <w:r w:rsidRPr="007B2874">
        <w:rPr>
          <w:rFonts w:cs="Arial"/>
          <w:b/>
          <w:bCs/>
          <w:i/>
          <w:iCs/>
        </w:rPr>
        <w:t xml:space="preserve"> vody v </w:t>
      </w:r>
      <w:proofErr w:type="spellStart"/>
      <w:r w:rsidRPr="007B2874">
        <w:rPr>
          <w:rFonts w:cs="Arial"/>
          <w:b/>
          <w:bCs/>
          <w:i/>
          <w:iCs/>
        </w:rPr>
        <w:t>poľnohospodárskej</w:t>
      </w:r>
      <w:proofErr w:type="spellEnd"/>
      <w:r w:rsidRPr="007B2874">
        <w:rPr>
          <w:rFonts w:cs="Arial"/>
          <w:b/>
          <w:bCs/>
          <w:i/>
          <w:iCs/>
        </w:rPr>
        <w:t xml:space="preserve"> </w:t>
      </w:r>
      <w:proofErr w:type="spellStart"/>
      <w:r w:rsidRPr="007B2874">
        <w:rPr>
          <w:rFonts w:cs="Arial"/>
          <w:b/>
          <w:bCs/>
          <w:i/>
          <w:iCs/>
        </w:rPr>
        <w:t>krajine</w:t>
      </w:r>
      <w:proofErr w:type="spellEnd"/>
      <w:r w:rsidRPr="007B2874">
        <w:rPr>
          <w:rFonts w:cs="Arial"/>
          <w:b/>
          <w:bCs/>
          <w:i/>
          <w:iCs/>
        </w:rPr>
        <w:t xml:space="preserve"> Mendelova Univerzita</w:t>
      </w:r>
      <w:r w:rsidRPr="007B2874">
        <w:rPr>
          <w:rFonts w:asciiTheme="minorHAnsi" w:hAnsiTheme="minorHAnsi" w:cstheme="minorHAnsi"/>
        </w:rPr>
        <w:t xml:space="preserve"> </w:t>
      </w:r>
      <w:r w:rsidRPr="007B2874">
        <w:rPr>
          <w:rFonts w:cs="Arial"/>
          <w:b/>
          <w:bCs/>
          <w:i/>
          <w:iCs/>
        </w:rPr>
        <w:t>v </w:t>
      </w:r>
      <w:proofErr w:type="spellStart"/>
      <w:r w:rsidRPr="007B2874">
        <w:rPr>
          <w:rFonts w:cs="Arial"/>
          <w:b/>
          <w:bCs/>
          <w:i/>
          <w:iCs/>
        </w:rPr>
        <w:t>Brne</w:t>
      </w:r>
      <w:proofErr w:type="spellEnd"/>
    </w:p>
    <w:p w14:paraId="47A0165F" w14:textId="77777777" w:rsidR="004F5EFE" w:rsidRPr="007B2874" w:rsidRDefault="004F5EFE" w:rsidP="004F5EFE">
      <w:pPr>
        <w:autoSpaceDE w:val="0"/>
        <w:autoSpaceDN w:val="0"/>
        <w:rPr>
          <w:rFonts w:cs="Arial"/>
        </w:rPr>
      </w:pPr>
      <w:r w:rsidRPr="007B2874">
        <w:rPr>
          <w:rFonts w:cs="Arial"/>
        </w:rPr>
        <w:t>partneři na české straně: 1</w:t>
      </w:r>
    </w:p>
    <w:p w14:paraId="638704FD" w14:textId="77777777" w:rsidR="004F5EFE" w:rsidRPr="007B2874" w:rsidRDefault="004F5EFE" w:rsidP="004F5EFE">
      <w:pPr>
        <w:autoSpaceDE w:val="0"/>
        <w:autoSpaceDN w:val="0"/>
        <w:rPr>
          <w:rFonts w:cs="Arial"/>
        </w:rPr>
      </w:pPr>
      <w:r w:rsidRPr="007B2874">
        <w:rPr>
          <w:rFonts w:cs="Arial"/>
        </w:rPr>
        <w:t>Rozpočet PP – Mendelova univerzita v Brně: 292 012,3 EUR</w:t>
      </w:r>
    </w:p>
    <w:p w14:paraId="4DD74CE1" w14:textId="77777777" w:rsidR="004F5EFE" w:rsidRPr="007B2874" w:rsidRDefault="004F5EFE" w:rsidP="004F5EFE">
      <w:pPr>
        <w:autoSpaceDE w:val="0"/>
        <w:autoSpaceDN w:val="0"/>
        <w:rPr>
          <w:rFonts w:cs="Arial"/>
        </w:rPr>
      </w:pPr>
    </w:p>
    <w:p w14:paraId="57AD2DF3" w14:textId="77777777" w:rsidR="004F5EFE" w:rsidRPr="007B2874" w:rsidRDefault="004F5EFE" w:rsidP="004F5EFE">
      <w:pPr>
        <w:autoSpaceDE w:val="0"/>
        <w:autoSpaceDN w:val="0"/>
        <w:rPr>
          <w:rFonts w:cs="Arial"/>
        </w:rPr>
      </w:pPr>
      <w:r w:rsidRPr="007B2874">
        <w:rPr>
          <w:rFonts w:cs="Arial"/>
        </w:rPr>
        <w:t xml:space="preserve">Hlavním cílem projektu jsou adaptační opatření na zdržování vody v zemědělské krajině pro zmírnění dopadu klimatické změny s ohledem na ekosystémové přístupy. Projektoví partneři se budou orientovat na sběr a výměnu dat a informací potřebných pro předcházení negativní dopadů na klimatické změny, na zmapování aktuální situace v této oblasti a transfer know-how v souvislosti s klimatickou změnou. </w:t>
      </w:r>
    </w:p>
    <w:p w14:paraId="29C8B7CB" w14:textId="77777777" w:rsidR="004F5EFE" w:rsidRPr="007B2874" w:rsidRDefault="004F5EFE" w:rsidP="004F5EFE">
      <w:pPr>
        <w:autoSpaceDE w:val="0"/>
        <w:autoSpaceDN w:val="0"/>
        <w:rPr>
          <w:rFonts w:cs="Arial"/>
        </w:rPr>
      </w:pPr>
      <w:r w:rsidRPr="007B2874">
        <w:rPr>
          <w:rFonts w:cs="Arial"/>
        </w:rPr>
        <w:t xml:space="preserve">V rámci výměny zkušeností se budou ověřovat nové způsoby zadržování vody v krajině, které budou využity při pilotních akcích na vlastních pokusech. Na obou stranách hranice se budou hodnotit riziková geografická a klimatická místa s potenciálem vytvoření povodňových vln. </w:t>
      </w:r>
    </w:p>
    <w:p w14:paraId="143FAB89" w14:textId="77777777" w:rsidR="004F5EFE" w:rsidRPr="007B2874" w:rsidRDefault="004F5EFE" w:rsidP="004F5EFE">
      <w:pPr>
        <w:autoSpaceDE w:val="0"/>
        <w:autoSpaceDN w:val="0"/>
        <w:rPr>
          <w:rFonts w:cs="Arial"/>
        </w:rPr>
      </w:pPr>
      <w:r w:rsidRPr="007B2874">
        <w:rPr>
          <w:rFonts w:cs="Arial"/>
        </w:rPr>
        <w:t xml:space="preserve">Partneři projektu na základě získaných dat, informací a zkušeností společně navrhnou a připraví řešení dopadů klimatické změny a krajinu v příhraničních regionech. </w:t>
      </w:r>
    </w:p>
    <w:p w14:paraId="69A45081" w14:textId="77777777" w:rsidR="004F5EFE" w:rsidRPr="007B2874" w:rsidRDefault="004F5EFE" w:rsidP="004F5EFE">
      <w:pPr>
        <w:rPr>
          <w:rFonts w:cs="Arial"/>
        </w:rPr>
      </w:pPr>
      <w:r w:rsidRPr="007B2874">
        <w:rPr>
          <w:rFonts w:cs="Arial"/>
        </w:rPr>
        <w:t xml:space="preserve">Součástí projektu jsou i aktivity směrem k veřejnosti a šíření informací. </w:t>
      </w:r>
    </w:p>
    <w:p w14:paraId="4142CAF9" w14:textId="77777777" w:rsidR="00487DAC" w:rsidRPr="00104F7D" w:rsidRDefault="00487DAC" w:rsidP="004F5EFE">
      <w:pPr>
        <w:rPr>
          <w:rFonts w:asciiTheme="minorHAnsi" w:hAnsiTheme="minorHAnsi" w:cstheme="minorHAnsi"/>
          <w:highlight w:val="yellow"/>
        </w:rPr>
      </w:pPr>
    </w:p>
    <w:p w14:paraId="2D4E49F3" w14:textId="77777777" w:rsidR="00944543" w:rsidRPr="00E3111F" w:rsidRDefault="00487DAC" w:rsidP="00944543">
      <w:pPr>
        <w:rPr>
          <w:rFonts w:cs="Arial"/>
          <w:b/>
          <w:bCs/>
          <w:i/>
          <w:iCs/>
        </w:rPr>
      </w:pPr>
      <w:r w:rsidRPr="00E3111F">
        <w:rPr>
          <w:rFonts w:cs="Arial"/>
          <w:b/>
          <w:bCs/>
          <w:i/>
          <w:iCs/>
        </w:rPr>
        <w:t xml:space="preserve">4. </w:t>
      </w:r>
      <w:r w:rsidR="00944543" w:rsidRPr="00E3111F">
        <w:rPr>
          <w:rFonts w:cs="Arial"/>
          <w:b/>
          <w:bCs/>
          <w:i/>
          <w:iCs/>
        </w:rPr>
        <w:t xml:space="preserve">DYA6 – </w:t>
      </w:r>
      <w:proofErr w:type="spellStart"/>
      <w:r w:rsidR="00944543" w:rsidRPr="00E3111F">
        <w:rPr>
          <w:rFonts w:cs="Arial"/>
          <w:b/>
          <w:bCs/>
          <w:i/>
          <w:iCs/>
        </w:rPr>
        <w:t>Zvýšenie</w:t>
      </w:r>
      <w:proofErr w:type="spellEnd"/>
      <w:r w:rsidR="00944543" w:rsidRPr="00E3111F">
        <w:rPr>
          <w:rFonts w:cs="Arial"/>
          <w:b/>
          <w:bCs/>
          <w:i/>
          <w:iCs/>
        </w:rPr>
        <w:t xml:space="preserve"> </w:t>
      </w:r>
      <w:proofErr w:type="spellStart"/>
      <w:r w:rsidR="00944543" w:rsidRPr="00E3111F">
        <w:rPr>
          <w:rFonts w:cs="Arial"/>
          <w:b/>
          <w:bCs/>
          <w:i/>
          <w:iCs/>
        </w:rPr>
        <w:t>úrovne</w:t>
      </w:r>
      <w:proofErr w:type="spellEnd"/>
      <w:r w:rsidR="00944543" w:rsidRPr="00E3111F">
        <w:rPr>
          <w:rFonts w:cs="Arial"/>
          <w:b/>
          <w:bCs/>
          <w:i/>
          <w:iCs/>
        </w:rPr>
        <w:t xml:space="preserve"> </w:t>
      </w:r>
      <w:proofErr w:type="spellStart"/>
      <w:r w:rsidR="00944543" w:rsidRPr="00E3111F">
        <w:rPr>
          <w:rFonts w:cs="Arial"/>
          <w:b/>
          <w:bCs/>
          <w:i/>
          <w:iCs/>
        </w:rPr>
        <w:t>pregraduálneho</w:t>
      </w:r>
      <w:proofErr w:type="spellEnd"/>
      <w:r w:rsidR="00944543" w:rsidRPr="00E3111F">
        <w:rPr>
          <w:rFonts w:cs="Arial"/>
          <w:b/>
          <w:bCs/>
          <w:i/>
          <w:iCs/>
        </w:rPr>
        <w:t xml:space="preserve"> a </w:t>
      </w:r>
      <w:proofErr w:type="spellStart"/>
      <w:r w:rsidR="00944543" w:rsidRPr="00E3111F">
        <w:rPr>
          <w:rFonts w:cs="Arial"/>
          <w:b/>
          <w:bCs/>
          <w:i/>
          <w:iCs/>
        </w:rPr>
        <w:t>postragudálneho</w:t>
      </w:r>
      <w:proofErr w:type="spellEnd"/>
      <w:r w:rsidR="00944543" w:rsidRPr="00E3111F">
        <w:rPr>
          <w:rFonts w:cs="Arial"/>
          <w:b/>
          <w:bCs/>
          <w:i/>
          <w:iCs/>
        </w:rPr>
        <w:t xml:space="preserve"> </w:t>
      </w:r>
      <w:proofErr w:type="spellStart"/>
      <w:r w:rsidR="00944543" w:rsidRPr="00E3111F">
        <w:rPr>
          <w:rFonts w:cs="Arial"/>
          <w:b/>
          <w:bCs/>
          <w:i/>
          <w:iCs/>
        </w:rPr>
        <w:t>vzdelávania</w:t>
      </w:r>
      <w:proofErr w:type="spellEnd"/>
      <w:r w:rsidR="00944543" w:rsidRPr="00E3111F">
        <w:rPr>
          <w:rFonts w:cs="Arial"/>
          <w:b/>
          <w:bCs/>
          <w:i/>
          <w:iCs/>
        </w:rPr>
        <w:t xml:space="preserve"> v </w:t>
      </w:r>
      <w:proofErr w:type="spellStart"/>
      <w:r w:rsidR="00944543" w:rsidRPr="00E3111F">
        <w:rPr>
          <w:rFonts w:cs="Arial"/>
          <w:b/>
          <w:bCs/>
          <w:i/>
          <w:iCs/>
        </w:rPr>
        <w:t>problematike</w:t>
      </w:r>
      <w:proofErr w:type="spellEnd"/>
      <w:r w:rsidR="00944543" w:rsidRPr="00E3111F">
        <w:rPr>
          <w:rFonts w:cs="Arial"/>
          <w:b/>
          <w:bCs/>
          <w:i/>
          <w:iCs/>
        </w:rPr>
        <w:t xml:space="preserve"> </w:t>
      </w:r>
      <w:proofErr w:type="spellStart"/>
      <w:r w:rsidR="00944543" w:rsidRPr="00E3111F">
        <w:rPr>
          <w:rFonts w:cs="Arial"/>
          <w:b/>
          <w:bCs/>
          <w:i/>
          <w:iCs/>
        </w:rPr>
        <w:t>verejnozdravotných</w:t>
      </w:r>
      <w:proofErr w:type="spellEnd"/>
      <w:r w:rsidR="00944543" w:rsidRPr="00E3111F">
        <w:rPr>
          <w:rFonts w:cs="Arial"/>
          <w:b/>
          <w:bCs/>
          <w:i/>
          <w:iCs/>
        </w:rPr>
        <w:t xml:space="preserve"> </w:t>
      </w:r>
      <w:proofErr w:type="spellStart"/>
      <w:r w:rsidR="00944543" w:rsidRPr="00E3111F">
        <w:rPr>
          <w:rFonts w:cs="Arial"/>
          <w:b/>
          <w:bCs/>
          <w:i/>
          <w:iCs/>
        </w:rPr>
        <w:t>aspektov</w:t>
      </w:r>
      <w:proofErr w:type="spellEnd"/>
      <w:r w:rsidR="00944543" w:rsidRPr="00E3111F">
        <w:rPr>
          <w:rFonts w:cs="Arial"/>
          <w:b/>
          <w:bCs/>
          <w:i/>
          <w:iCs/>
        </w:rPr>
        <w:t xml:space="preserve"> </w:t>
      </w:r>
      <w:proofErr w:type="spellStart"/>
      <w:r w:rsidR="00944543" w:rsidRPr="00E3111F">
        <w:rPr>
          <w:rFonts w:cs="Arial"/>
          <w:b/>
          <w:bCs/>
          <w:i/>
          <w:iCs/>
        </w:rPr>
        <w:t>kontaminácie</w:t>
      </w:r>
      <w:proofErr w:type="spellEnd"/>
      <w:r w:rsidR="00944543" w:rsidRPr="00E3111F">
        <w:rPr>
          <w:rFonts w:cs="Arial"/>
          <w:b/>
          <w:bCs/>
          <w:i/>
          <w:iCs/>
        </w:rPr>
        <w:t xml:space="preserve"> vody </w:t>
      </w:r>
    </w:p>
    <w:p w14:paraId="216B5593" w14:textId="77777777" w:rsidR="00944543" w:rsidRPr="00E3111F" w:rsidRDefault="00944543" w:rsidP="00944543">
      <w:pPr>
        <w:autoSpaceDE w:val="0"/>
        <w:autoSpaceDN w:val="0"/>
        <w:rPr>
          <w:rFonts w:cs="Arial"/>
        </w:rPr>
      </w:pPr>
      <w:r w:rsidRPr="00E3111F">
        <w:rPr>
          <w:rFonts w:cs="Arial"/>
        </w:rPr>
        <w:t>partneři na české straně: 1</w:t>
      </w:r>
    </w:p>
    <w:p w14:paraId="2DBE9B6E" w14:textId="64A37128" w:rsidR="00944543" w:rsidRPr="00E3111F" w:rsidRDefault="00944543" w:rsidP="00944543">
      <w:pPr>
        <w:autoSpaceDE w:val="0"/>
        <w:autoSpaceDN w:val="0"/>
        <w:rPr>
          <w:rFonts w:cs="Arial"/>
        </w:rPr>
      </w:pPr>
      <w:r w:rsidRPr="00E3111F">
        <w:rPr>
          <w:rFonts w:cs="Arial"/>
        </w:rPr>
        <w:t xml:space="preserve">Rozpočet PP – Ostravská </w:t>
      </w:r>
      <w:r w:rsidR="00E36A98" w:rsidRPr="00E3111F">
        <w:rPr>
          <w:rFonts w:cs="Arial"/>
        </w:rPr>
        <w:t>univerzita: 77</w:t>
      </w:r>
      <w:r w:rsidRPr="00E3111F">
        <w:rPr>
          <w:rFonts w:cs="Arial"/>
        </w:rPr>
        <w:t> 118,77 EUR</w:t>
      </w:r>
    </w:p>
    <w:p w14:paraId="045D9931" w14:textId="77777777" w:rsidR="00944543" w:rsidRPr="00E3111F" w:rsidRDefault="00944543" w:rsidP="00944543">
      <w:pPr>
        <w:rPr>
          <w:rFonts w:cs="Arial"/>
        </w:rPr>
      </w:pPr>
    </w:p>
    <w:p w14:paraId="15CA9231" w14:textId="77777777" w:rsidR="00944543" w:rsidRPr="00E3111F" w:rsidRDefault="00944543" w:rsidP="00944543">
      <w:pPr>
        <w:rPr>
          <w:rFonts w:cs="Arial"/>
        </w:rPr>
      </w:pPr>
      <w:r w:rsidRPr="00E3111F">
        <w:rPr>
          <w:rFonts w:cs="Arial"/>
        </w:rPr>
        <w:t xml:space="preserve">Projekt je zaměřen na téma vzdělávání v problematice veřejných zdravotních aspektů kontaminace vody. Hlavním cílem je zlepšení teoretických vědomostí a praktických dovedností studentů a pedagogů, a to i prostřednictvím teoretické i praktické výuky. Účast absolventů na vybraných aktivitách workshopu umožní vzájemnou výměnu informací a možnost prevence. Po absolvování projektu budou účastníci schopni správně identifkovat a vyhodnotit dopady na zdraví populace a při návrzích preventivních postupů. </w:t>
      </w:r>
    </w:p>
    <w:p w14:paraId="17572DC8" w14:textId="77777777" w:rsidR="00944543" w:rsidRPr="00E3111F" w:rsidRDefault="00944543" w:rsidP="00944543">
      <w:pPr>
        <w:rPr>
          <w:rFonts w:cs="Arial"/>
        </w:rPr>
      </w:pPr>
      <w:r w:rsidRPr="00E3111F">
        <w:rPr>
          <w:rFonts w:cs="Arial"/>
        </w:rPr>
        <w:t xml:space="preserve">V rámci projektu bude vytvořen multimediální interaktivní manuál. </w:t>
      </w:r>
    </w:p>
    <w:p w14:paraId="3EB531CA" w14:textId="77777777" w:rsidR="00E36A98" w:rsidRPr="00E3111F" w:rsidRDefault="00E36A98" w:rsidP="00944543">
      <w:pPr>
        <w:rPr>
          <w:rFonts w:asciiTheme="minorHAnsi" w:hAnsiTheme="minorHAnsi" w:cstheme="minorHAnsi"/>
        </w:rPr>
      </w:pPr>
    </w:p>
    <w:p w14:paraId="68B5BB84" w14:textId="77777777" w:rsidR="00FD3035" w:rsidRPr="00E3111F" w:rsidRDefault="00E36A98" w:rsidP="00FD3035">
      <w:pPr>
        <w:rPr>
          <w:rFonts w:cs="Arial"/>
          <w:b/>
          <w:bCs/>
          <w:i/>
          <w:iCs/>
        </w:rPr>
      </w:pPr>
      <w:r w:rsidRPr="00E3111F">
        <w:rPr>
          <w:rFonts w:cs="Arial"/>
          <w:b/>
          <w:bCs/>
          <w:i/>
          <w:iCs/>
        </w:rPr>
        <w:t xml:space="preserve">5. </w:t>
      </w:r>
      <w:r w:rsidR="00FD3035" w:rsidRPr="00E3111F">
        <w:rPr>
          <w:rFonts w:cs="Arial"/>
          <w:b/>
          <w:bCs/>
          <w:i/>
          <w:iCs/>
        </w:rPr>
        <w:t xml:space="preserve">DMN3 – Zborova </w:t>
      </w:r>
      <w:proofErr w:type="spellStart"/>
      <w:r w:rsidR="00FD3035" w:rsidRPr="00E3111F">
        <w:rPr>
          <w:rFonts w:cs="Arial"/>
          <w:b/>
          <w:bCs/>
          <w:i/>
          <w:iCs/>
        </w:rPr>
        <w:t>Rožňov</w:t>
      </w:r>
      <w:proofErr w:type="spellEnd"/>
      <w:r w:rsidR="00FD3035" w:rsidRPr="00E3111F">
        <w:rPr>
          <w:rFonts w:cs="Arial"/>
          <w:b/>
          <w:bCs/>
          <w:i/>
          <w:iCs/>
        </w:rPr>
        <w:t xml:space="preserve"> reagují na </w:t>
      </w:r>
      <w:proofErr w:type="spellStart"/>
      <w:r w:rsidR="00FD3035" w:rsidRPr="00E3111F">
        <w:rPr>
          <w:rFonts w:cs="Arial"/>
          <w:b/>
          <w:bCs/>
          <w:i/>
          <w:iCs/>
        </w:rPr>
        <w:t>zmenu</w:t>
      </w:r>
      <w:proofErr w:type="spellEnd"/>
      <w:r w:rsidR="00FD3035" w:rsidRPr="00E3111F">
        <w:rPr>
          <w:rFonts w:cs="Arial"/>
          <w:b/>
          <w:bCs/>
          <w:i/>
          <w:iCs/>
        </w:rPr>
        <w:t xml:space="preserve"> </w:t>
      </w:r>
      <w:proofErr w:type="spellStart"/>
      <w:r w:rsidR="00FD3035" w:rsidRPr="00E3111F">
        <w:rPr>
          <w:rFonts w:cs="Arial"/>
          <w:b/>
          <w:bCs/>
          <w:i/>
          <w:iCs/>
        </w:rPr>
        <w:t>klímy</w:t>
      </w:r>
      <w:proofErr w:type="spellEnd"/>
    </w:p>
    <w:p w14:paraId="38A41FA3" w14:textId="77777777" w:rsidR="00FD3035" w:rsidRPr="00E3111F" w:rsidRDefault="00FD3035" w:rsidP="00FD3035">
      <w:pPr>
        <w:autoSpaceDE w:val="0"/>
        <w:autoSpaceDN w:val="0"/>
        <w:rPr>
          <w:rFonts w:cs="Arial"/>
        </w:rPr>
      </w:pPr>
      <w:r w:rsidRPr="00E3111F">
        <w:rPr>
          <w:rFonts w:cs="Arial"/>
        </w:rPr>
        <w:t>partneři na české straně: 1</w:t>
      </w:r>
    </w:p>
    <w:p w14:paraId="0B5E888F" w14:textId="205401FF" w:rsidR="00FD3035" w:rsidRPr="00E3111F" w:rsidRDefault="00FD3035" w:rsidP="00FD3035">
      <w:pPr>
        <w:autoSpaceDE w:val="0"/>
        <w:autoSpaceDN w:val="0"/>
        <w:rPr>
          <w:rFonts w:cs="Arial"/>
        </w:rPr>
      </w:pPr>
      <w:r w:rsidRPr="00E3111F">
        <w:rPr>
          <w:rFonts w:cs="Arial"/>
        </w:rPr>
        <w:t xml:space="preserve">Rozpočet PP – Zdravý Rožnov, </w:t>
      </w:r>
      <w:proofErr w:type="spellStart"/>
      <w:r w:rsidRPr="00E3111F">
        <w:rPr>
          <w:rFonts w:cs="Arial"/>
        </w:rPr>
        <w:t>z.s</w:t>
      </w:r>
      <w:proofErr w:type="spellEnd"/>
      <w:r w:rsidRPr="00E3111F">
        <w:rPr>
          <w:rFonts w:cs="Arial"/>
        </w:rPr>
        <w:t>.:  127 209,97 EUR</w:t>
      </w:r>
    </w:p>
    <w:p w14:paraId="44A98F58" w14:textId="77777777" w:rsidR="00FD3035" w:rsidRPr="00E3111F" w:rsidRDefault="00FD3035" w:rsidP="00FD3035">
      <w:pPr>
        <w:rPr>
          <w:rFonts w:cs="Arial"/>
        </w:rPr>
      </w:pPr>
    </w:p>
    <w:p w14:paraId="37ED020E" w14:textId="77777777" w:rsidR="00FD3035" w:rsidRPr="00E3111F" w:rsidRDefault="00FD3035" w:rsidP="00FD3035">
      <w:pPr>
        <w:rPr>
          <w:rFonts w:cs="Arial"/>
        </w:rPr>
      </w:pPr>
      <w:r w:rsidRPr="00E3111F">
        <w:rPr>
          <w:rFonts w:cs="Arial"/>
        </w:rPr>
        <w:t xml:space="preserve">Teritorium obou přeshraničních partnerů čelí podobným problémům, a to devastaci krajiny z důvodu neodborného managementu a nedostatečného přizpůsobení se změnám klimatu. V projektu bude společně vytvořena a implementována Společná strategie a akční a plán managementu vybraných krajinných prvků – akční plán mokřadů, zemědělské půdy, sadů a stromořadí. Pro zmírnění dopadů změny klimatu a edukaci dětí a obyvatel regionu vytvoří oba partneři pilotní </w:t>
      </w:r>
      <w:proofErr w:type="spellStart"/>
      <w:r w:rsidRPr="00E3111F">
        <w:rPr>
          <w:rFonts w:cs="Arial"/>
        </w:rPr>
        <w:t>vodozádržené</w:t>
      </w:r>
      <w:proofErr w:type="spellEnd"/>
      <w:r w:rsidRPr="00E3111F">
        <w:rPr>
          <w:rFonts w:cs="Arial"/>
        </w:rPr>
        <w:t xml:space="preserve"> a krajinotvorné prvky. Dále budou vytvořeny společné vzdělávací materiály pro učitele. </w:t>
      </w:r>
    </w:p>
    <w:p w14:paraId="726DC57F" w14:textId="1A7499D2" w:rsidR="00E36A98" w:rsidRPr="00104F7D" w:rsidRDefault="00E36A98" w:rsidP="00944543">
      <w:pPr>
        <w:rPr>
          <w:rFonts w:asciiTheme="minorHAnsi" w:hAnsiTheme="minorHAnsi" w:cstheme="minorHAnsi"/>
          <w:highlight w:val="yellow"/>
        </w:rPr>
      </w:pPr>
    </w:p>
    <w:p w14:paraId="7A744CE2" w14:textId="77777777" w:rsidR="006B55D7" w:rsidRPr="00DB14A2" w:rsidRDefault="00C33A67" w:rsidP="006B55D7">
      <w:pPr>
        <w:rPr>
          <w:rFonts w:cs="Arial"/>
          <w:b/>
          <w:bCs/>
          <w:i/>
          <w:iCs/>
        </w:rPr>
      </w:pPr>
      <w:r w:rsidRPr="00DB14A2">
        <w:rPr>
          <w:rFonts w:cs="Arial"/>
          <w:b/>
          <w:bCs/>
          <w:i/>
          <w:iCs/>
        </w:rPr>
        <w:t xml:space="preserve">6. </w:t>
      </w:r>
      <w:r w:rsidR="006B55D7" w:rsidRPr="00DB14A2">
        <w:rPr>
          <w:rFonts w:cs="Arial"/>
          <w:b/>
          <w:bCs/>
          <w:i/>
          <w:iCs/>
        </w:rPr>
        <w:t xml:space="preserve">DNT2 – </w:t>
      </w:r>
      <w:proofErr w:type="spellStart"/>
      <w:r w:rsidR="006B55D7" w:rsidRPr="00DB14A2">
        <w:rPr>
          <w:rFonts w:cs="Arial"/>
          <w:b/>
          <w:bCs/>
          <w:i/>
          <w:iCs/>
        </w:rPr>
        <w:t>Pozrime</w:t>
      </w:r>
      <w:proofErr w:type="spellEnd"/>
      <w:r w:rsidR="006B55D7" w:rsidRPr="00DB14A2">
        <w:rPr>
          <w:rFonts w:cs="Arial"/>
          <w:b/>
          <w:bCs/>
          <w:i/>
          <w:iCs/>
        </w:rPr>
        <w:t xml:space="preserve"> </w:t>
      </w:r>
      <w:proofErr w:type="spellStart"/>
      <w:r w:rsidR="006B55D7" w:rsidRPr="00DB14A2">
        <w:rPr>
          <w:rFonts w:cs="Arial"/>
          <w:b/>
          <w:bCs/>
          <w:i/>
          <w:iCs/>
        </w:rPr>
        <w:t>sa</w:t>
      </w:r>
      <w:proofErr w:type="spellEnd"/>
      <w:r w:rsidR="006B55D7" w:rsidRPr="00DB14A2">
        <w:rPr>
          <w:rFonts w:cs="Arial"/>
          <w:b/>
          <w:bCs/>
          <w:i/>
          <w:iCs/>
        </w:rPr>
        <w:t xml:space="preserve"> spolu </w:t>
      </w:r>
      <w:proofErr w:type="spellStart"/>
      <w:r w:rsidR="006B55D7" w:rsidRPr="00DB14A2">
        <w:rPr>
          <w:rFonts w:cs="Arial"/>
          <w:b/>
          <w:bCs/>
          <w:i/>
          <w:iCs/>
        </w:rPr>
        <w:t>hlboko</w:t>
      </w:r>
      <w:proofErr w:type="spellEnd"/>
      <w:r w:rsidR="006B55D7" w:rsidRPr="00DB14A2">
        <w:rPr>
          <w:rFonts w:cs="Arial"/>
          <w:b/>
          <w:bCs/>
          <w:i/>
          <w:iCs/>
        </w:rPr>
        <w:t xml:space="preserve"> do přírody a </w:t>
      </w:r>
      <w:proofErr w:type="spellStart"/>
      <w:r w:rsidR="006B55D7" w:rsidRPr="00DB14A2">
        <w:rPr>
          <w:rFonts w:cs="Arial"/>
          <w:b/>
          <w:bCs/>
          <w:i/>
          <w:iCs/>
        </w:rPr>
        <w:t>potmo</w:t>
      </w:r>
      <w:proofErr w:type="spellEnd"/>
      <w:r w:rsidR="006B55D7" w:rsidRPr="00DB14A2">
        <w:rPr>
          <w:rFonts w:cs="Arial"/>
          <w:b/>
          <w:bCs/>
          <w:i/>
          <w:iCs/>
        </w:rPr>
        <w:t xml:space="preserve"> </w:t>
      </w:r>
      <w:proofErr w:type="spellStart"/>
      <w:r w:rsidR="006B55D7" w:rsidRPr="00DB14A2">
        <w:rPr>
          <w:rFonts w:cs="Arial"/>
          <w:b/>
          <w:bCs/>
          <w:i/>
          <w:iCs/>
        </w:rPr>
        <w:t>všetko</w:t>
      </w:r>
      <w:proofErr w:type="spellEnd"/>
      <w:r w:rsidR="006B55D7" w:rsidRPr="00DB14A2">
        <w:rPr>
          <w:rFonts w:cs="Arial"/>
          <w:b/>
          <w:bCs/>
          <w:i/>
          <w:iCs/>
        </w:rPr>
        <w:t xml:space="preserve"> </w:t>
      </w:r>
      <w:proofErr w:type="spellStart"/>
      <w:r w:rsidR="006B55D7" w:rsidRPr="00DB14A2">
        <w:rPr>
          <w:rFonts w:cs="Arial"/>
          <w:b/>
          <w:bCs/>
          <w:i/>
          <w:iCs/>
        </w:rPr>
        <w:t>lepšie</w:t>
      </w:r>
      <w:proofErr w:type="spellEnd"/>
      <w:r w:rsidR="006B55D7" w:rsidRPr="00DB14A2">
        <w:rPr>
          <w:rFonts w:cs="Arial"/>
          <w:b/>
          <w:bCs/>
          <w:i/>
          <w:iCs/>
        </w:rPr>
        <w:t xml:space="preserve"> pochopíme</w:t>
      </w:r>
    </w:p>
    <w:p w14:paraId="23CCC78A" w14:textId="77777777" w:rsidR="006B55D7" w:rsidRPr="00DB14A2" w:rsidRDefault="006B55D7" w:rsidP="006B55D7">
      <w:pPr>
        <w:autoSpaceDE w:val="0"/>
        <w:autoSpaceDN w:val="0"/>
        <w:rPr>
          <w:rFonts w:cs="Arial"/>
        </w:rPr>
      </w:pPr>
      <w:r w:rsidRPr="00DB14A2">
        <w:rPr>
          <w:rFonts w:cs="Arial"/>
        </w:rPr>
        <w:t>partneři na české straně: 1</w:t>
      </w:r>
    </w:p>
    <w:p w14:paraId="020FB4A1" w14:textId="35FEFC57" w:rsidR="006B55D7" w:rsidRPr="00DB14A2" w:rsidRDefault="006B55D7" w:rsidP="006B55D7">
      <w:pPr>
        <w:autoSpaceDE w:val="0"/>
        <w:autoSpaceDN w:val="0"/>
        <w:rPr>
          <w:rFonts w:cs="Arial"/>
        </w:rPr>
      </w:pPr>
      <w:r w:rsidRPr="00DB14A2">
        <w:rPr>
          <w:rFonts w:cs="Arial"/>
        </w:rPr>
        <w:t>Rozpočet PP – město Rožnov pod Radhoštěm: 44 726,75 EUR</w:t>
      </w:r>
    </w:p>
    <w:p w14:paraId="2F914082" w14:textId="77777777" w:rsidR="006B55D7" w:rsidRPr="00DB14A2" w:rsidRDefault="006B55D7" w:rsidP="006B55D7">
      <w:pPr>
        <w:rPr>
          <w:rFonts w:cs="Arial"/>
        </w:rPr>
      </w:pPr>
    </w:p>
    <w:p w14:paraId="726481A9" w14:textId="77777777" w:rsidR="006B55D7" w:rsidRPr="00DB14A2" w:rsidRDefault="006B55D7" w:rsidP="006B55D7">
      <w:pPr>
        <w:rPr>
          <w:rFonts w:cs="Arial"/>
        </w:rPr>
      </w:pPr>
      <w:r w:rsidRPr="00DB14A2">
        <w:rPr>
          <w:rFonts w:cs="Arial"/>
        </w:rPr>
        <w:t xml:space="preserve">Společným cílem projektu je prostřednictvím realizovaných nových interaktivních osvětových aktivit zábavnou a poutavou formou přispět ke zvýšení environmentálního povědomí, které může následně přispět nebo pomoci ke snižování negativních dopadů klimatických změn a životní prostředí a společnost. Cílem projektu je osvěta v environmentální oblasti se zaměřením na různé cílové skupiny. </w:t>
      </w:r>
    </w:p>
    <w:p w14:paraId="13608C48" w14:textId="77777777" w:rsidR="006B55D7" w:rsidRPr="00DB14A2" w:rsidRDefault="006B55D7" w:rsidP="006B55D7">
      <w:pPr>
        <w:rPr>
          <w:rFonts w:cs="Arial"/>
        </w:rPr>
      </w:pPr>
    </w:p>
    <w:p w14:paraId="5EB6BA90" w14:textId="77777777" w:rsidR="003B7609" w:rsidRPr="000F016B" w:rsidRDefault="006B55D7" w:rsidP="003B7609">
      <w:pPr>
        <w:rPr>
          <w:rFonts w:cs="Arial"/>
          <w:b/>
          <w:bCs/>
          <w:i/>
          <w:iCs/>
        </w:rPr>
      </w:pPr>
      <w:r w:rsidRPr="000F016B">
        <w:rPr>
          <w:rFonts w:cs="Arial"/>
          <w:b/>
          <w:bCs/>
          <w:i/>
          <w:iCs/>
        </w:rPr>
        <w:t xml:space="preserve">7. </w:t>
      </w:r>
      <w:r w:rsidR="003B7609" w:rsidRPr="000F016B">
        <w:rPr>
          <w:rFonts w:cs="Arial"/>
          <w:b/>
          <w:bCs/>
          <w:i/>
          <w:iCs/>
        </w:rPr>
        <w:t>DQF5 – Varovný a informační systém měst a obcí povodí Vláry</w:t>
      </w:r>
    </w:p>
    <w:p w14:paraId="218C9D7C" w14:textId="77777777" w:rsidR="003B7609" w:rsidRPr="000F016B" w:rsidRDefault="003B7609" w:rsidP="003B7609">
      <w:pPr>
        <w:autoSpaceDE w:val="0"/>
        <w:autoSpaceDN w:val="0"/>
        <w:rPr>
          <w:rFonts w:cs="Arial"/>
        </w:rPr>
      </w:pPr>
      <w:r w:rsidRPr="000F016B">
        <w:rPr>
          <w:rFonts w:cs="Arial"/>
        </w:rPr>
        <w:t>partneři na české straně: 5</w:t>
      </w:r>
    </w:p>
    <w:p w14:paraId="2A8256FE" w14:textId="67BE6173" w:rsidR="003B7609" w:rsidRPr="000F016B" w:rsidRDefault="003B7609" w:rsidP="003B7609">
      <w:pPr>
        <w:autoSpaceDE w:val="0"/>
        <w:autoSpaceDN w:val="0"/>
        <w:rPr>
          <w:rFonts w:cs="Arial"/>
        </w:rPr>
      </w:pPr>
      <w:r w:rsidRPr="000F016B">
        <w:rPr>
          <w:rFonts w:cs="Arial"/>
        </w:rPr>
        <w:t xml:space="preserve">Rozpočet LP – </w:t>
      </w:r>
      <w:r w:rsidR="00354C00">
        <w:rPr>
          <w:rFonts w:cs="Arial"/>
        </w:rPr>
        <w:t>m</w:t>
      </w:r>
      <w:r w:rsidRPr="000F016B">
        <w:rPr>
          <w:rFonts w:cs="Arial"/>
        </w:rPr>
        <w:t>ěsto Brumov-Bylnice: 483 589,77 EUR</w:t>
      </w:r>
    </w:p>
    <w:p w14:paraId="4F64AF1A" w14:textId="0DAD643A" w:rsidR="003B7609" w:rsidRPr="000F016B" w:rsidRDefault="003B7609" w:rsidP="003B7609">
      <w:pPr>
        <w:autoSpaceDE w:val="0"/>
        <w:autoSpaceDN w:val="0"/>
        <w:rPr>
          <w:rFonts w:cs="Arial"/>
        </w:rPr>
      </w:pPr>
      <w:r w:rsidRPr="000F016B">
        <w:rPr>
          <w:rFonts w:cs="Arial"/>
        </w:rPr>
        <w:t xml:space="preserve">Rozpočet PP2 – </w:t>
      </w:r>
      <w:r w:rsidR="00354C00">
        <w:rPr>
          <w:rFonts w:cs="Arial"/>
        </w:rPr>
        <w:t>m</w:t>
      </w:r>
      <w:r w:rsidRPr="000F016B">
        <w:rPr>
          <w:rFonts w:cs="Arial"/>
        </w:rPr>
        <w:t>ěsto Valašské Klobouky: 417 045,37 EUR</w:t>
      </w:r>
    </w:p>
    <w:p w14:paraId="2B233109" w14:textId="77777777" w:rsidR="003B7609" w:rsidRPr="000F016B" w:rsidRDefault="003B7609" w:rsidP="003B7609">
      <w:pPr>
        <w:autoSpaceDE w:val="0"/>
        <w:autoSpaceDN w:val="0"/>
        <w:rPr>
          <w:rFonts w:cs="Arial"/>
        </w:rPr>
      </w:pPr>
      <w:r w:rsidRPr="000F016B">
        <w:rPr>
          <w:rFonts w:cs="Arial"/>
        </w:rPr>
        <w:t>Rozpočet PP3 – obec Nedašov: 166 431,37 EUR</w:t>
      </w:r>
    </w:p>
    <w:p w14:paraId="7052A99B" w14:textId="75307C1B" w:rsidR="003B7609" w:rsidRPr="000F016B" w:rsidRDefault="003B7609" w:rsidP="003B7609">
      <w:pPr>
        <w:autoSpaceDE w:val="0"/>
        <w:autoSpaceDN w:val="0"/>
        <w:rPr>
          <w:rFonts w:cs="Arial"/>
        </w:rPr>
      </w:pPr>
      <w:r w:rsidRPr="000F016B">
        <w:rPr>
          <w:rFonts w:cs="Arial"/>
        </w:rPr>
        <w:t xml:space="preserve">Rozpočet PP4 – </w:t>
      </w:r>
      <w:r w:rsidR="00354C00">
        <w:rPr>
          <w:rFonts w:cs="Arial"/>
        </w:rPr>
        <w:t>o</w:t>
      </w:r>
      <w:r w:rsidRPr="000F016B">
        <w:rPr>
          <w:rFonts w:cs="Arial"/>
        </w:rPr>
        <w:t>bec Nedašova Lhota: 140 423,89 EUR</w:t>
      </w:r>
    </w:p>
    <w:p w14:paraId="22DCAF67" w14:textId="001B82ED" w:rsidR="003B7609" w:rsidRPr="000F016B" w:rsidRDefault="003B7609" w:rsidP="003B7609">
      <w:pPr>
        <w:autoSpaceDE w:val="0"/>
        <w:autoSpaceDN w:val="0"/>
        <w:rPr>
          <w:rFonts w:cs="Arial"/>
        </w:rPr>
      </w:pPr>
      <w:r w:rsidRPr="000F016B">
        <w:rPr>
          <w:rFonts w:cs="Arial"/>
        </w:rPr>
        <w:t xml:space="preserve">Rozpočet PP5 – </w:t>
      </w:r>
      <w:r w:rsidR="00354C00">
        <w:rPr>
          <w:rFonts w:cs="Arial"/>
        </w:rPr>
        <w:t>o</w:t>
      </w:r>
      <w:r w:rsidRPr="000F016B">
        <w:rPr>
          <w:rFonts w:cs="Arial"/>
        </w:rPr>
        <w:t>bec Poteč: 145 916,19 EUR</w:t>
      </w:r>
    </w:p>
    <w:p w14:paraId="0741C8DB" w14:textId="77777777" w:rsidR="003B7609" w:rsidRPr="000F016B" w:rsidRDefault="003B7609" w:rsidP="003B7609">
      <w:pPr>
        <w:autoSpaceDE w:val="0"/>
        <w:autoSpaceDN w:val="0"/>
        <w:rPr>
          <w:rFonts w:cs="Arial"/>
        </w:rPr>
      </w:pPr>
    </w:p>
    <w:p w14:paraId="01C32326" w14:textId="77777777" w:rsidR="003B7609" w:rsidRPr="000F016B" w:rsidRDefault="003B7609" w:rsidP="003B7609">
      <w:pPr>
        <w:autoSpaceDE w:val="0"/>
        <w:autoSpaceDN w:val="0"/>
        <w:rPr>
          <w:rFonts w:cs="Arial"/>
        </w:rPr>
      </w:pPr>
      <w:r w:rsidRPr="000F016B">
        <w:rPr>
          <w:rFonts w:cs="Arial"/>
        </w:rPr>
        <w:t xml:space="preserve">Cílem projektu je sběr a výměna dat a informací nezbytných pro předcházení negativním dopadům klimatických změn, pro mapování současné situace v dotčené oblasti a pro přenos know-how souvisejícího s řízením katastrof způsobených klimatickými změnami. V rámci realizace projektu dojde k instalaci moderního varovného systému dle platné legislativy pro obce v povodí řeky Vláry. Komplexní systém hladinoměrů fungující na základě koncepce </w:t>
      </w:r>
      <w:proofErr w:type="spellStart"/>
      <w:r w:rsidRPr="000F016B">
        <w:rPr>
          <w:rFonts w:cs="Arial"/>
        </w:rPr>
        <w:t>SmartCity</w:t>
      </w:r>
      <w:proofErr w:type="spellEnd"/>
      <w:r w:rsidRPr="000F016B">
        <w:rPr>
          <w:rFonts w:cs="Arial"/>
        </w:rPr>
        <w:t>, který bude rovněž součástí projektu, je schopen monitorovat vodní hladiny a informovat obce a občany prostřednictvím mobilních aplikací, e-mailů a SMS o povodních a jiných katastrofách, které by mohly ohrozit jejich majetek a životy. Důraz je kladen na rychlé a efektivní sdělování důležitých informací. Součástí je také zavedení digitálních povodňových plánů jednotlivým obcím. Projekt zároveň zahrnuje aktivity na zvýšení povědomí dětí a dalších obyvatel o klimatických změnách a praktických konkrétních krocích, kterými moou přispět ke snížení negativních dopadů klimatických změn. Rovněž je plánováno společné setkání obcí ke sdílení zkušeností, školení a možností rozšíření a dalšího využití nového systému. Cílovou skupinou jsou obyvatele a návštěvníci přeshraničního regionu.</w:t>
      </w:r>
    </w:p>
    <w:p w14:paraId="61C72920" w14:textId="36281503" w:rsidR="006B55D7" w:rsidRPr="00104F7D" w:rsidRDefault="006B55D7" w:rsidP="006B55D7">
      <w:pPr>
        <w:rPr>
          <w:rFonts w:cs="Arial"/>
          <w:highlight w:val="yellow"/>
        </w:rPr>
      </w:pPr>
    </w:p>
    <w:p w14:paraId="7BE48959" w14:textId="4C3885B1" w:rsidR="008B3CE0" w:rsidRPr="000F016B" w:rsidRDefault="008B3CE0" w:rsidP="008B3CE0">
      <w:pPr>
        <w:autoSpaceDE w:val="0"/>
        <w:autoSpaceDN w:val="0"/>
        <w:rPr>
          <w:rFonts w:cs="Arial"/>
          <w:b/>
          <w:bCs/>
          <w:i/>
          <w:iCs/>
        </w:rPr>
      </w:pPr>
      <w:r w:rsidRPr="000F016B">
        <w:rPr>
          <w:rFonts w:cs="Arial"/>
          <w:b/>
          <w:bCs/>
          <w:i/>
          <w:iCs/>
        </w:rPr>
        <w:t>8. DRJ5 – Zpracování společné strategie předcházení vysychání vodních zdrojů</w:t>
      </w:r>
    </w:p>
    <w:p w14:paraId="0FD50D82" w14:textId="77777777" w:rsidR="008B3CE0" w:rsidRPr="000F016B" w:rsidRDefault="008B3CE0" w:rsidP="008B3CE0">
      <w:pPr>
        <w:autoSpaceDE w:val="0"/>
        <w:autoSpaceDN w:val="0"/>
        <w:rPr>
          <w:rFonts w:cs="Arial"/>
        </w:rPr>
      </w:pPr>
      <w:r w:rsidRPr="000F016B">
        <w:rPr>
          <w:rFonts w:cs="Arial"/>
        </w:rPr>
        <w:t>partneři na české straně: 1</w:t>
      </w:r>
    </w:p>
    <w:p w14:paraId="7B73E394" w14:textId="017DA39E" w:rsidR="008B3CE0" w:rsidRPr="000F016B" w:rsidRDefault="008B3CE0" w:rsidP="008B3CE0">
      <w:pPr>
        <w:autoSpaceDE w:val="0"/>
        <w:autoSpaceDN w:val="0"/>
        <w:rPr>
          <w:rFonts w:cs="Arial"/>
        </w:rPr>
      </w:pPr>
      <w:r w:rsidRPr="000F016B">
        <w:rPr>
          <w:rFonts w:cs="Arial"/>
        </w:rPr>
        <w:t>Rozpočet LP – Okresní výbor Českého svazu ochránců přírody Vsetín: 171 905,47 EUR</w:t>
      </w:r>
    </w:p>
    <w:p w14:paraId="27EE9D2D" w14:textId="77777777" w:rsidR="008B3CE0" w:rsidRPr="000F016B" w:rsidRDefault="008B3CE0" w:rsidP="008B3CE0">
      <w:pPr>
        <w:autoSpaceDE w:val="0"/>
        <w:autoSpaceDN w:val="0"/>
        <w:rPr>
          <w:rFonts w:cs="Arial"/>
        </w:rPr>
      </w:pPr>
    </w:p>
    <w:p w14:paraId="08109D4B" w14:textId="4DA3A997" w:rsidR="008B3CE0" w:rsidRPr="000F016B" w:rsidRDefault="008B3CE0" w:rsidP="008B3CE0">
      <w:pPr>
        <w:autoSpaceDE w:val="0"/>
        <w:autoSpaceDN w:val="0"/>
        <w:rPr>
          <w:rFonts w:cs="Arial"/>
        </w:rPr>
      </w:pPr>
      <w:r w:rsidRPr="000F016B">
        <w:rPr>
          <w:rFonts w:cs="Arial"/>
        </w:rPr>
        <w:t xml:space="preserve">Projekt využívá předchozích zkušeností partnerů z oblasti péče o vodní ekosystémy a realizuje společná opatření – průzkum, zhodnocení a zpracování analýzy stavu vodních a mokřadních ekosystémů a nutných společných opatření na prevenci a odstraňování rizik vysychání vodních zdrojů a ekosystémů na </w:t>
      </w:r>
      <w:proofErr w:type="spellStart"/>
      <w:r w:rsidR="004360AF" w:rsidRPr="000F016B">
        <w:rPr>
          <w:rFonts w:cs="Arial"/>
        </w:rPr>
        <w:t>V</w:t>
      </w:r>
      <w:r w:rsidRPr="000F016B">
        <w:rPr>
          <w:rFonts w:cs="Arial"/>
        </w:rPr>
        <w:t>alašskomeziříčsku</w:t>
      </w:r>
      <w:proofErr w:type="spellEnd"/>
      <w:r w:rsidRPr="000F016B">
        <w:rPr>
          <w:rFonts w:cs="Arial"/>
        </w:rPr>
        <w:t xml:space="preserve"> a </w:t>
      </w:r>
      <w:proofErr w:type="spellStart"/>
      <w:r w:rsidR="004360AF" w:rsidRPr="000F016B">
        <w:rPr>
          <w:rFonts w:cs="Arial"/>
        </w:rPr>
        <w:t>Ž</w:t>
      </w:r>
      <w:r w:rsidRPr="000F016B">
        <w:rPr>
          <w:rFonts w:cs="Arial"/>
        </w:rPr>
        <w:t>ilinsku</w:t>
      </w:r>
      <w:proofErr w:type="spellEnd"/>
      <w:r w:rsidRPr="000F016B">
        <w:rPr>
          <w:rFonts w:cs="Arial"/>
        </w:rPr>
        <w:t>. Bude proveden průzkum a zhodnocení lokalit a zpracována společná strategie boje proti vysychání krajiny a ztráty vody z ní. Jako pilotní projekt demonstračního charakteru budou pak na Valašsku obnoveny či vyčištěny tři mokřadní lokality, což bude spojeno s mezinárodním seminářem určeným zejména zástupcům obcí, majitelům pozemků a lesů i veřejnosti. Většina těchto subjektů si totiž neuvědomuje potřebu a dopad revitalizačních opatření.</w:t>
      </w:r>
    </w:p>
    <w:p w14:paraId="2D7ABA5D" w14:textId="77777777" w:rsidR="00112490" w:rsidRPr="00104F7D" w:rsidRDefault="00112490" w:rsidP="008B3CE0">
      <w:pPr>
        <w:autoSpaceDE w:val="0"/>
        <w:autoSpaceDN w:val="0"/>
        <w:rPr>
          <w:rFonts w:cs="Arial"/>
          <w:highlight w:val="yellow"/>
        </w:rPr>
      </w:pPr>
    </w:p>
    <w:p w14:paraId="5F2A8820" w14:textId="77777777" w:rsidR="00A41CA5" w:rsidRPr="009177A8" w:rsidRDefault="00112490" w:rsidP="00A41CA5">
      <w:pPr>
        <w:rPr>
          <w:rFonts w:cs="Arial"/>
          <w:b/>
          <w:bCs/>
          <w:i/>
          <w:iCs/>
        </w:rPr>
      </w:pPr>
      <w:r w:rsidRPr="009177A8">
        <w:rPr>
          <w:rFonts w:cs="Arial"/>
          <w:b/>
          <w:bCs/>
          <w:i/>
          <w:iCs/>
        </w:rPr>
        <w:t xml:space="preserve">9. </w:t>
      </w:r>
      <w:r w:rsidR="00A41CA5" w:rsidRPr="009177A8">
        <w:rPr>
          <w:rFonts w:cs="Arial"/>
          <w:b/>
          <w:bCs/>
          <w:i/>
          <w:iCs/>
        </w:rPr>
        <w:t xml:space="preserve">DXW3 – </w:t>
      </w:r>
      <w:proofErr w:type="spellStart"/>
      <w:r w:rsidR="00A41CA5" w:rsidRPr="009177A8">
        <w:rPr>
          <w:rFonts w:cs="Arial"/>
          <w:b/>
          <w:bCs/>
          <w:i/>
          <w:iCs/>
        </w:rPr>
        <w:t>Zlepšenie</w:t>
      </w:r>
      <w:proofErr w:type="spellEnd"/>
      <w:r w:rsidR="00A41CA5" w:rsidRPr="009177A8">
        <w:rPr>
          <w:rFonts w:cs="Arial"/>
          <w:b/>
          <w:bCs/>
          <w:i/>
          <w:iCs/>
        </w:rPr>
        <w:t xml:space="preserve"> </w:t>
      </w:r>
      <w:proofErr w:type="spellStart"/>
      <w:r w:rsidR="00A41CA5" w:rsidRPr="009177A8">
        <w:rPr>
          <w:rFonts w:cs="Arial"/>
          <w:b/>
          <w:bCs/>
          <w:i/>
          <w:iCs/>
        </w:rPr>
        <w:t>podmienok</w:t>
      </w:r>
      <w:proofErr w:type="spellEnd"/>
      <w:r w:rsidR="00A41CA5" w:rsidRPr="009177A8">
        <w:rPr>
          <w:rFonts w:cs="Arial"/>
          <w:b/>
          <w:bCs/>
          <w:i/>
          <w:iCs/>
        </w:rPr>
        <w:t xml:space="preserve"> </w:t>
      </w:r>
      <w:proofErr w:type="spellStart"/>
      <w:r w:rsidR="00A41CA5" w:rsidRPr="009177A8">
        <w:rPr>
          <w:rFonts w:cs="Arial"/>
          <w:b/>
          <w:bCs/>
          <w:i/>
          <w:iCs/>
        </w:rPr>
        <w:t>pre</w:t>
      </w:r>
      <w:proofErr w:type="spellEnd"/>
      <w:r w:rsidR="00A41CA5" w:rsidRPr="009177A8">
        <w:rPr>
          <w:rFonts w:cs="Arial"/>
          <w:b/>
          <w:bCs/>
          <w:i/>
          <w:iCs/>
        </w:rPr>
        <w:t xml:space="preserve"> rozvoj biodiverzity a </w:t>
      </w:r>
      <w:proofErr w:type="spellStart"/>
      <w:r w:rsidR="00A41CA5" w:rsidRPr="009177A8">
        <w:rPr>
          <w:rFonts w:cs="Arial"/>
          <w:b/>
          <w:bCs/>
          <w:i/>
          <w:iCs/>
        </w:rPr>
        <w:t>znižovanie</w:t>
      </w:r>
      <w:proofErr w:type="spellEnd"/>
      <w:r w:rsidR="00A41CA5" w:rsidRPr="009177A8">
        <w:rPr>
          <w:rFonts w:cs="Arial"/>
          <w:b/>
          <w:bCs/>
          <w:i/>
          <w:iCs/>
        </w:rPr>
        <w:t xml:space="preserve"> </w:t>
      </w:r>
      <w:proofErr w:type="spellStart"/>
      <w:r w:rsidR="00A41CA5" w:rsidRPr="009177A8">
        <w:rPr>
          <w:rFonts w:cs="Arial"/>
          <w:b/>
          <w:bCs/>
          <w:i/>
          <w:iCs/>
        </w:rPr>
        <w:t>dopadov</w:t>
      </w:r>
      <w:proofErr w:type="spellEnd"/>
      <w:r w:rsidR="00A41CA5" w:rsidRPr="009177A8">
        <w:rPr>
          <w:rFonts w:cs="Arial"/>
          <w:b/>
          <w:bCs/>
          <w:i/>
          <w:iCs/>
        </w:rPr>
        <w:t xml:space="preserve"> </w:t>
      </w:r>
      <w:proofErr w:type="spellStart"/>
      <w:r w:rsidR="00A41CA5" w:rsidRPr="009177A8">
        <w:rPr>
          <w:rFonts w:cs="Arial"/>
          <w:b/>
          <w:bCs/>
          <w:i/>
          <w:iCs/>
        </w:rPr>
        <w:t>klimatickej</w:t>
      </w:r>
      <w:proofErr w:type="spellEnd"/>
      <w:r w:rsidR="00A41CA5" w:rsidRPr="009177A8">
        <w:rPr>
          <w:rFonts w:cs="Arial"/>
          <w:b/>
          <w:bCs/>
          <w:i/>
          <w:iCs/>
        </w:rPr>
        <w:t xml:space="preserve"> </w:t>
      </w:r>
      <w:proofErr w:type="spellStart"/>
      <w:r w:rsidR="00A41CA5" w:rsidRPr="009177A8">
        <w:rPr>
          <w:rFonts w:cs="Arial"/>
          <w:b/>
          <w:bCs/>
          <w:i/>
          <w:iCs/>
        </w:rPr>
        <w:t>zmeny</w:t>
      </w:r>
      <w:proofErr w:type="spellEnd"/>
      <w:r w:rsidR="00A41CA5" w:rsidRPr="009177A8">
        <w:rPr>
          <w:rFonts w:cs="Arial"/>
          <w:b/>
          <w:bCs/>
          <w:i/>
          <w:iCs/>
        </w:rPr>
        <w:t xml:space="preserve"> v </w:t>
      </w:r>
      <w:proofErr w:type="spellStart"/>
      <w:r w:rsidR="00A41CA5" w:rsidRPr="009177A8">
        <w:rPr>
          <w:rFonts w:cs="Arial"/>
          <w:b/>
          <w:bCs/>
          <w:i/>
          <w:iCs/>
        </w:rPr>
        <w:t>povodiach</w:t>
      </w:r>
      <w:proofErr w:type="spellEnd"/>
      <w:r w:rsidR="00A41CA5" w:rsidRPr="009177A8">
        <w:rPr>
          <w:rFonts w:cs="Arial"/>
          <w:b/>
          <w:bCs/>
          <w:i/>
          <w:iCs/>
        </w:rPr>
        <w:t xml:space="preserve"> urbanizovaných kanalizačních </w:t>
      </w:r>
      <w:proofErr w:type="spellStart"/>
      <w:r w:rsidR="00A41CA5" w:rsidRPr="009177A8">
        <w:rPr>
          <w:rFonts w:cs="Arial"/>
          <w:b/>
          <w:bCs/>
          <w:i/>
          <w:iCs/>
        </w:rPr>
        <w:t>systémov</w:t>
      </w:r>
      <w:proofErr w:type="spellEnd"/>
      <w:r w:rsidR="00A41CA5" w:rsidRPr="009177A8">
        <w:rPr>
          <w:rFonts w:cs="Arial"/>
          <w:b/>
          <w:bCs/>
          <w:i/>
          <w:iCs/>
        </w:rPr>
        <w:t xml:space="preserve"> v příhraničních regiónech</w:t>
      </w:r>
    </w:p>
    <w:p w14:paraId="28CEFD81" w14:textId="77777777" w:rsidR="00A41CA5" w:rsidRPr="009177A8" w:rsidRDefault="00A41CA5" w:rsidP="00A41CA5">
      <w:pPr>
        <w:autoSpaceDE w:val="0"/>
        <w:autoSpaceDN w:val="0"/>
        <w:rPr>
          <w:rFonts w:cs="Arial"/>
        </w:rPr>
      </w:pPr>
      <w:r w:rsidRPr="009177A8">
        <w:rPr>
          <w:rFonts w:cs="Arial"/>
        </w:rPr>
        <w:t>partneři na české straně: 2</w:t>
      </w:r>
    </w:p>
    <w:p w14:paraId="27E0013A" w14:textId="77777777" w:rsidR="00A41CA5" w:rsidRPr="009177A8" w:rsidRDefault="00A41CA5" w:rsidP="00A41CA5">
      <w:pPr>
        <w:autoSpaceDE w:val="0"/>
        <w:autoSpaceDN w:val="0"/>
        <w:rPr>
          <w:rFonts w:cs="Arial"/>
        </w:rPr>
      </w:pPr>
      <w:r w:rsidRPr="009177A8">
        <w:rPr>
          <w:rFonts w:cs="Arial"/>
        </w:rPr>
        <w:t>Rozpočet PP – Slovácké vodárny a kanalizace, a.s.:  566 122,62 EUR</w:t>
      </w:r>
    </w:p>
    <w:p w14:paraId="0F0EF602" w14:textId="77777777" w:rsidR="00A41CA5" w:rsidRPr="009177A8" w:rsidRDefault="00A41CA5" w:rsidP="00A41CA5">
      <w:pPr>
        <w:autoSpaceDE w:val="0"/>
        <w:autoSpaceDN w:val="0"/>
        <w:rPr>
          <w:rFonts w:cs="Arial"/>
        </w:rPr>
      </w:pPr>
      <w:r w:rsidRPr="009177A8">
        <w:rPr>
          <w:rFonts w:cs="Arial"/>
        </w:rPr>
        <w:t>Rozpočet PP – Vodovody a kanalizace Vsetín, a.s.:  759 885,20 EUR</w:t>
      </w:r>
    </w:p>
    <w:p w14:paraId="4C005549" w14:textId="77777777" w:rsidR="00A41CA5" w:rsidRPr="009177A8" w:rsidRDefault="00A41CA5" w:rsidP="00A41CA5">
      <w:pPr>
        <w:autoSpaceDE w:val="0"/>
        <w:autoSpaceDN w:val="0"/>
        <w:rPr>
          <w:rFonts w:cs="Arial"/>
        </w:rPr>
      </w:pPr>
    </w:p>
    <w:p w14:paraId="43D4B1F4" w14:textId="77777777" w:rsidR="00A41CA5" w:rsidRPr="009177A8" w:rsidRDefault="00A41CA5" w:rsidP="00A41CA5">
      <w:pPr>
        <w:rPr>
          <w:rFonts w:cs="Arial"/>
        </w:rPr>
      </w:pPr>
      <w:r w:rsidRPr="009177A8">
        <w:rPr>
          <w:rFonts w:cs="Arial"/>
        </w:rPr>
        <w:t xml:space="preserve">Hlavním cílem projektu je přispět ke zvýšení biodiverzity ve vodních tocích prostřednictvím snížení množství znečištění, které se do vodních toků dostává z kanalizačních sítí. V rámci projektu se vytvoří digitální matematický model stokové sítě a společná přeshraniční strategie, a to včetně akčních plánů na ochranu a podporu biodiverzity ve vodních tocích. </w:t>
      </w:r>
    </w:p>
    <w:p w14:paraId="59F5C6C5" w14:textId="77777777" w:rsidR="001F38D3" w:rsidRPr="009177A8" w:rsidRDefault="001F38D3" w:rsidP="007C4955">
      <w:pPr>
        <w:contextualSpacing/>
        <w:rPr>
          <w:rFonts w:cs="Arial"/>
          <w:color w:val="FF0000"/>
        </w:rPr>
      </w:pPr>
    </w:p>
    <w:p w14:paraId="01960897" w14:textId="573DC0F0" w:rsidR="000325DD" w:rsidRPr="003C0FB5" w:rsidRDefault="000325DD" w:rsidP="005D0F03">
      <w:pPr>
        <w:pStyle w:val="Odstavecseseznamem"/>
        <w:numPr>
          <w:ilvl w:val="0"/>
          <w:numId w:val="4"/>
        </w:numPr>
        <w:jc w:val="left"/>
        <w:rPr>
          <w:rFonts w:ascii="Arial" w:hAnsi="Arial" w:cs="Arial"/>
          <w:b/>
          <w:sz w:val="22"/>
          <w:szCs w:val="22"/>
          <w:u w:val="single"/>
        </w:rPr>
      </w:pPr>
      <w:r w:rsidRPr="003C0FB5">
        <w:rPr>
          <w:rFonts w:ascii="Arial" w:hAnsi="Arial" w:cs="Arial"/>
          <w:b/>
          <w:sz w:val="22"/>
          <w:szCs w:val="22"/>
          <w:u w:val="single"/>
        </w:rPr>
        <w:t xml:space="preserve">Program </w:t>
      </w:r>
      <w:proofErr w:type="spellStart"/>
      <w:r w:rsidRPr="003C0FB5">
        <w:rPr>
          <w:rFonts w:ascii="Arial" w:hAnsi="Arial" w:cs="Arial"/>
          <w:b/>
          <w:sz w:val="22"/>
          <w:szCs w:val="22"/>
          <w:u w:val="single"/>
        </w:rPr>
        <w:t>Interreg</w:t>
      </w:r>
      <w:proofErr w:type="spellEnd"/>
      <w:r w:rsidRPr="003C0FB5">
        <w:rPr>
          <w:rFonts w:ascii="Arial" w:hAnsi="Arial" w:cs="Arial"/>
          <w:b/>
          <w:sz w:val="22"/>
          <w:szCs w:val="22"/>
          <w:u w:val="single"/>
        </w:rPr>
        <w:t xml:space="preserve"> DANUBE</w:t>
      </w:r>
      <w:r w:rsidR="00B53EC2" w:rsidRPr="003C0FB5">
        <w:rPr>
          <w:rFonts w:ascii="Arial" w:hAnsi="Arial" w:cs="Arial"/>
          <w:b/>
          <w:sz w:val="22"/>
          <w:szCs w:val="22"/>
          <w:u w:val="single"/>
        </w:rPr>
        <w:t xml:space="preserve"> 2021</w:t>
      </w:r>
      <w:r w:rsidR="009517AE" w:rsidRPr="003C0FB5">
        <w:rPr>
          <w:rFonts w:ascii="Arial" w:hAnsi="Arial" w:cs="Arial"/>
          <w:b/>
          <w:sz w:val="22"/>
          <w:szCs w:val="22"/>
          <w:u w:val="single"/>
        </w:rPr>
        <w:t>+</w:t>
      </w:r>
    </w:p>
    <w:p w14:paraId="73D42879" w14:textId="77777777" w:rsidR="000325DD" w:rsidRPr="003C0FB5" w:rsidRDefault="000325DD" w:rsidP="007C4955">
      <w:pPr>
        <w:pStyle w:val="Odstavecseseznamem"/>
        <w:ind w:left="1080"/>
        <w:rPr>
          <w:rFonts w:ascii="Arial" w:hAnsi="Arial" w:cs="Arial"/>
          <w:b/>
          <w:color w:val="FF0000"/>
          <w:sz w:val="22"/>
          <w:szCs w:val="22"/>
          <w:u w:val="single"/>
        </w:rPr>
      </w:pPr>
    </w:p>
    <w:p w14:paraId="2D219CD3" w14:textId="1B01527D" w:rsidR="000325DD" w:rsidRPr="003C0FB5" w:rsidRDefault="00D620ED">
      <w:pPr>
        <w:pStyle w:val="Odstavecseseznamem"/>
        <w:numPr>
          <w:ilvl w:val="0"/>
          <w:numId w:val="14"/>
        </w:numPr>
        <w:ind w:left="284"/>
        <w:jc w:val="left"/>
        <w:rPr>
          <w:rFonts w:ascii="Arial" w:eastAsia="Calibri" w:hAnsi="Arial" w:cs="Arial"/>
          <w:b/>
          <w:bCs/>
          <w:i/>
          <w:iCs/>
          <w:sz w:val="22"/>
          <w:szCs w:val="22"/>
          <w:lang w:eastAsia="en-US"/>
        </w:rPr>
      </w:pPr>
      <w:proofErr w:type="spellStart"/>
      <w:r w:rsidRPr="003C0FB5">
        <w:rPr>
          <w:rFonts w:ascii="Arial" w:eastAsia="Calibri" w:hAnsi="Arial" w:cs="Arial"/>
          <w:b/>
          <w:bCs/>
          <w:i/>
          <w:iCs/>
          <w:sz w:val="22"/>
          <w:szCs w:val="22"/>
          <w:lang w:eastAsia="en-US"/>
        </w:rPr>
        <w:t>Improving</w:t>
      </w:r>
      <w:proofErr w:type="spellEnd"/>
      <w:r w:rsidRPr="003C0FB5">
        <w:rPr>
          <w:rFonts w:ascii="Arial" w:eastAsia="Calibri" w:hAnsi="Arial" w:cs="Arial"/>
          <w:b/>
          <w:bCs/>
          <w:i/>
          <w:iCs/>
          <w:sz w:val="22"/>
          <w:szCs w:val="22"/>
          <w:lang w:eastAsia="en-US"/>
        </w:rPr>
        <w:t xml:space="preserve"> </w:t>
      </w:r>
      <w:proofErr w:type="spellStart"/>
      <w:r w:rsidRPr="003C0FB5">
        <w:rPr>
          <w:rFonts w:ascii="Arial" w:eastAsia="Calibri" w:hAnsi="Arial" w:cs="Arial"/>
          <w:b/>
          <w:bCs/>
          <w:i/>
          <w:iCs/>
          <w:sz w:val="22"/>
          <w:szCs w:val="22"/>
          <w:lang w:eastAsia="en-US"/>
        </w:rPr>
        <w:t>urban</w:t>
      </w:r>
      <w:proofErr w:type="spellEnd"/>
      <w:r w:rsidRPr="003C0FB5">
        <w:rPr>
          <w:rFonts w:ascii="Arial" w:eastAsia="Calibri" w:hAnsi="Arial" w:cs="Arial"/>
          <w:b/>
          <w:bCs/>
          <w:i/>
          <w:iCs/>
          <w:sz w:val="22"/>
          <w:szCs w:val="22"/>
          <w:lang w:eastAsia="en-US"/>
        </w:rPr>
        <w:t xml:space="preserve"> </w:t>
      </w:r>
      <w:proofErr w:type="spellStart"/>
      <w:r w:rsidRPr="003C0FB5">
        <w:rPr>
          <w:rFonts w:ascii="Arial" w:eastAsia="Calibri" w:hAnsi="Arial" w:cs="Arial"/>
          <w:b/>
          <w:bCs/>
          <w:i/>
          <w:iCs/>
          <w:sz w:val="22"/>
          <w:szCs w:val="22"/>
          <w:lang w:eastAsia="en-US"/>
        </w:rPr>
        <w:t>climate</w:t>
      </w:r>
      <w:proofErr w:type="spellEnd"/>
      <w:r w:rsidRPr="003C0FB5">
        <w:rPr>
          <w:rFonts w:ascii="Arial" w:eastAsia="Calibri" w:hAnsi="Arial" w:cs="Arial"/>
          <w:b/>
          <w:bCs/>
          <w:i/>
          <w:iCs/>
          <w:sz w:val="22"/>
          <w:szCs w:val="22"/>
          <w:lang w:eastAsia="en-US"/>
        </w:rPr>
        <w:t xml:space="preserve"> </w:t>
      </w:r>
      <w:proofErr w:type="spellStart"/>
      <w:r w:rsidRPr="003C0FB5">
        <w:rPr>
          <w:rFonts w:ascii="Arial" w:eastAsia="Calibri" w:hAnsi="Arial" w:cs="Arial"/>
          <w:b/>
          <w:bCs/>
          <w:i/>
          <w:iCs/>
          <w:sz w:val="22"/>
          <w:szCs w:val="22"/>
          <w:lang w:eastAsia="en-US"/>
        </w:rPr>
        <w:t>change</w:t>
      </w:r>
      <w:proofErr w:type="spellEnd"/>
      <w:r w:rsidRPr="003C0FB5">
        <w:rPr>
          <w:rFonts w:ascii="Arial" w:eastAsia="Calibri" w:hAnsi="Arial" w:cs="Arial"/>
          <w:b/>
          <w:bCs/>
          <w:i/>
          <w:iCs/>
          <w:sz w:val="22"/>
          <w:szCs w:val="22"/>
          <w:lang w:eastAsia="en-US"/>
        </w:rPr>
        <w:t xml:space="preserve"> </w:t>
      </w:r>
      <w:proofErr w:type="spellStart"/>
      <w:r w:rsidRPr="003C0FB5">
        <w:rPr>
          <w:rFonts w:ascii="Arial" w:eastAsia="Calibri" w:hAnsi="Arial" w:cs="Arial"/>
          <w:b/>
          <w:bCs/>
          <w:i/>
          <w:iCs/>
          <w:sz w:val="22"/>
          <w:szCs w:val="22"/>
          <w:lang w:eastAsia="en-US"/>
        </w:rPr>
        <w:t>adaptation</w:t>
      </w:r>
      <w:proofErr w:type="spellEnd"/>
      <w:r w:rsidRPr="003C0FB5">
        <w:rPr>
          <w:rFonts w:ascii="Arial" w:eastAsia="Calibri" w:hAnsi="Arial" w:cs="Arial"/>
          <w:b/>
          <w:bCs/>
          <w:i/>
          <w:iCs/>
          <w:sz w:val="22"/>
          <w:szCs w:val="22"/>
          <w:lang w:eastAsia="en-US"/>
        </w:rPr>
        <w:t xml:space="preserve"> </w:t>
      </w:r>
      <w:proofErr w:type="spellStart"/>
      <w:r w:rsidRPr="003C0FB5">
        <w:rPr>
          <w:rFonts w:ascii="Arial" w:eastAsia="Calibri" w:hAnsi="Arial" w:cs="Arial"/>
          <w:b/>
          <w:bCs/>
          <w:i/>
          <w:iCs/>
          <w:sz w:val="22"/>
          <w:szCs w:val="22"/>
          <w:lang w:eastAsia="en-US"/>
        </w:rPr>
        <w:t>capacities</w:t>
      </w:r>
      <w:proofErr w:type="spellEnd"/>
      <w:r w:rsidRPr="003C0FB5">
        <w:rPr>
          <w:rFonts w:ascii="Arial" w:eastAsia="Calibri" w:hAnsi="Arial" w:cs="Arial"/>
          <w:b/>
          <w:bCs/>
          <w:i/>
          <w:iCs/>
          <w:sz w:val="22"/>
          <w:szCs w:val="22"/>
          <w:lang w:eastAsia="en-US"/>
        </w:rPr>
        <w:t xml:space="preserve"> by testing and </w:t>
      </w:r>
      <w:proofErr w:type="spellStart"/>
      <w:r w:rsidRPr="003C0FB5">
        <w:rPr>
          <w:rFonts w:ascii="Arial" w:eastAsia="Calibri" w:hAnsi="Arial" w:cs="Arial"/>
          <w:b/>
          <w:bCs/>
          <w:i/>
          <w:iCs/>
          <w:sz w:val="22"/>
          <w:szCs w:val="22"/>
          <w:lang w:eastAsia="en-US"/>
        </w:rPr>
        <w:t>promoting</w:t>
      </w:r>
      <w:proofErr w:type="spellEnd"/>
      <w:r w:rsidRPr="003C0FB5">
        <w:rPr>
          <w:rFonts w:ascii="Arial" w:eastAsia="Calibri" w:hAnsi="Arial" w:cs="Arial"/>
          <w:b/>
          <w:bCs/>
          <w:i/>
          <w:iCs/>
          <w:sz w:val="22"/>
          <w:szCs w:val="22"/>
          <w:lang w:eastAsia="en-US"/>
        </w:rPr>
        <w:t xml:space="preserve"> </w:t>
      </w:r>
      <w:proofErr w:type="spellStart"/>
      <w:r w:rsidRPr="003C0FB5">
        <w:rPr>
          <w:rFonts w:ascii="Arial" w:eastAsia="Calibri" w:hAnsi="Arial" w:cs="Arial"/>
          <w:b/>
          <w:bCs/>
          <w:i/>
          <w:iCs/>
          <w:sz w:val="22"/>
          <w:szCs w:val="22"/>
          <w:lang w:eastAsia="en-US"/>
        </w:rPr>
        <w:t>the</w:t>
      </w:r>
      <w:proofErr w:type="spellEnd"/>
      <w:r w:rsidRPr="003C0FB5">
        <w:rPr>
          <w:rFonts w:ascii="Arial" w:eastAsia="Calibri" w:hAnsi="Arial" w:cs="Arial"/>
          <w:b/>
          <w:bCs/>
          <w:i/>
          <w:iCs/>
          <w:sz w:val="22"/>
          <w:szCs w:val="22"/>
          <w:lang w:eastAsia="en-US"/>
        </w:rPr>
        <w:t xml:space="preserve"> ‘</w:t>
      </w:r>
      <w:proofErr w:type="spellStart"/>
      <w:r w:rsidRPr="003C0FB5">
        <w:rPr>
          <w:rFonts w:ascii="Arial" w:eastAsia="Calibri" w:hAnsi="Arial" w:cs="Arial"/>
          <w:b/>
          <w:bCs/>
          <w:i/>
          <w:iCs/>
          <w:sz w:val="22"/>
          <w:szCs w:val="22"/>
          <w:lang w:eastAsia="en-US"/>
        </w:rPr>
        <w:t>sponge</w:t>
      </w:r>
      <w:proofErr w:type="spellEnd"/>
      <w:r w:rsidRPr="003C0FB5">
        <w:rPr>
          <w:rFonts w:ascii="Arial" w:eastAsia="Calibri" w:hAnsi="Arial" w:cs="Arial"/>
          <w:b/>
          <w:bCs/>
          <w:i/>
          <w:iCs/>
          <w:sz w:val="22"/>
          <w:szCs w:val="22"/>
          <w:lang w:eastAsia="en-US"/>
        </w:rPr>
        <w:t xml:space="preserve"> city’ </w:t>
      </w:r>
      <w:proofErr w:type="spellStart"/>
      <w:r w:rsidRPr="003C0FB5">
        <w:rPr>
          <w:rFonts w:ascii="Arial" w:eastAsia="Calibri" w:hAnsi="Arial" w:cs="Arial"/>
          <w:b/>
          <w:bCs/>
          <w:i/>
          <w:iCs/>
          <w:sz w:val="22"/>
          <w:szCs w:val="22"/>
          <w:lang w:eastAsia="en-US"/>
        </w:rPr>
        <w:t>methodology</w:t>
      </w:r>
      <w:proofErr w:type="spellEnd"/>
      <w:r w:rsidRPr="003C0FB5">
        <w:rPr>
          <w:rFonts w:ascii="Arial" w:eastAsia="Calibri" w:hAnsi="Arial" w:cs="Arial"/>
          <w:b/>
          <w:bCs/>
          <w:i/>
          <w:iCs/>
          <w:sz w:val="22"/>
          <w:szCs w:val="22"/>
          <w:lang w:eastAsia="en-US"/>
        </w:rPr>
        <w:t xml:space="preserve"> on </w:t>
      </w:r>
      <w:proofErr w:type="spellStart"/>
      <w:r w:rsidRPr="003C0FB5">
        <w:rPr>
          <w:rFonts w:ascii="Arial" w:eastAsia="Calibri" w:hAnsi="Arial" w:cs="Arial"/>
          <w:b/>
          <w:bCs/>
          <w:i/>
          <w:iCs/>
          <w:sz w:val="22"/>
          <w:szCs w:val="22"/>
          <w:lang w:eastAsia="en-US"/>
        </w:rPr>
        <w:t>transnational</w:t>
      </w:r>
      <w:proofErr w:type="spellEnd"/>
      <w:r w:rsidRPr="003C0FB5">
        <w:rPr>
          <w:rFonts w:ascii="Arial" w:eastAsia="Calibri" w:hAnsi="Arial" w:cs="Arial"/>
          <w:b/>
          <w:bCs/>
          <w:i/>
          <w:iCs/>
          <w:sz w:val="22"/>
          <w:szCs w:val="22"/>
          <w:lang w:eastAsia="en-US"/>
        </w:rPr>
        <w:t xml:space="preserve"> level (DRP0200159 </w:t>
      </w:r>
      <w:proofErr w:type="spellStart"/>
      <w:r w:rsidRPr="003C0FB5">
        <w:rPr>
          <w:rFonts w:ascii="Arial" w:eastAsia="Calibri" w:hAnsi="Arial" w:cs="Arial"/>
          <w:b/>
          <w:bCs/>
          <w:i/>
          <w:iCs/>
          <w:sz w:val="22"/>
          <w:szCs w:val="22"/>
          <w:lang w:eastAsia="en-US"/>
        </w:rPr>
        <w:t>SpongeCity</w:t>
      </w:r>
      <w:proofErr w:type="spellEnd"/>
      <w:r w:rsidRPr="003C0FB5">
        <w:rPr>
          <w:rFonts w:ascii="Arial" w:eastAsia="Calibri" w:hAnsi="Arial" w:cs="Arial"/>
          <w:b/>
          <w:bCs/>
          <w:i/>
          <w:iCs/>
          <w:sz w:val="22"/>
          <w:szCs w:val="22"/>
          <w:lang w:eastAsia="en-US"/>
        </w:rPr>
        <w:t>)</w:t>
      </w:r>
      <w:r w:rsidR="000325DD" w:rsidRPr="003C0FB5">
        <w:rPr>
          <w:rFonts w:ascii="Arial" w:eastAsia="Calibri" w:hAnsi="Arial" w:cs="Arial"/>
          <w:b/>
          <w:bCs/>
          <w:i/>
          <w:iCs/>
          <w:sz w:val="22"/>
          <w:szCs w:val="22"/>
          <w:lang w:eastAsia="en-US"/>
        </w:rPr>
        <w:t xml:space="preserve"> </w:t>
      </w:r>
    </w:p>
    <w:p w14:paraId="51226A36" w14:textId="77777777" w:rsidR="00D620ED" w:rsidRPr="003C0FB5" w:rsidRDefault="00D620ED" w:rsidP="00D620ED">
      <w:pPr>
        <w:shd w:val="clear" w:color="auto" w:fill="FFFFFF"/>
        <w:contextualSpacing/>
        <w:rPr>
          <w:rFonts w:cs="Arial"/>
        </w:rPr>
      </w:pPr>
      <w:r w:rsidRPr="003C0FB5">
        <w:rPr>
          <w:rFonts w:cs="Arial"/>
        </w:rPr>
        <w:t xml:space="preserve">Partneři na české straně: 1 </w:t>
      </w:r>
    </w:p>
    <w:p w14:paraId="30516F7C" w14:textId="77777777" w:rsidR="00D620ED" w:rsidRPr="003C0FB5" w:rsidRDefault="00D620ED" w:rsidP="00D620ED">
      <w:pPr>
        <w:shd w:val="clear" w:color="auto" w:fill="FFFFFF"/>
        <w:contextualSpacing/>
        <w:rPr>
          <w:rFonts w:cs="Arial"/>
        </w:rPr>
      </w:pPr>
      <w:r w:rsidRPr="003C0FB5">
        <w:rPr>
          <w:rFonts w:cs="Arial"/>
        </w:rPr>
        <w:t>Rozpočet partnera: PP5 – Praha 9: 129 500,- EUR</w:t>
      </w:r>
    </w:p>
    <w:p w14:paraId="3F2EC808" w14:textId="77777777" w:rsidR="00D620ED" w:rsidRPr="003C0FB5" w:rsidRDefault="00D620ED" w:rsidP="00D620ED">
      <w:pPr>
        <w:shd w:val="clear" w:color="auto" w:fill="FFFFFF"/>
        <w:contextualSpacing/>
        <w:rPr>
          <w:rFonts w:cs="Arial"/>
        </w:rPr>
      </w:pPr>
    </w:p>
    <w:p w14:paraId="782F4D96" w14:textId="00BCA889" w:rsidR="00CB1175" w:rsidRPr="003C0FB5" w:rsidRDefault="00D620ED" w:rsidP="00D620ED">
      <w:pPr>
        <w:shd w:val="clear" w:color="auto" w:fill="FFFFFF"/>
        <w:contextualSpacing/>
        <w:rPr>
          <w:rFonts w:cs="Arial"/>
        </w:rPr>
      </w:pPr>
      <w:r w:rsidRPr="003C0FB5">
        <w:rPr>
          <w:rFonts w:cs="Arial"/>
        </w:rPr>
        <w:t>„</w:t>
      </w:r>
      <w:proofErr w:type="spellStart"/>
      <w:r w:rsidRPr="003C0FB5">
        <w:rPr>
          <w:rFonts w:cs="Arial"/>
        </w:rPr>
        <w:t>Sponge</w:t>
      </w:r>
      <w:proofErr w:type="spellEnd"/>
      <w:r w:rsidRPr="003C0FB5">
        <w:rPr>
          <w:rFonts w:cs="Arial"/>
        </w:rPr>
        <w:t xml:space="preserve"> city“ je městská oblast, která byla navržena tak, aby se vyrovnala s nadměrnými srážkami pomocí různých technik. Zmírňuje/předchází městským povodním tím, že poskytuje oblasti schopnost přirozeně absorbovat vodu. Snižuje rozsah nepropustných povrchů a zvyšuje množství savých ploch: zelené plochy, zelené stěny, </w:t>
      </w:r>
      <w:proofErr w:type="spellStart"/>
      <w:r w:rsidRPr="003C0FB5">
        <w:rPr>
          <w:rFonts w:cs="Arial"/>
        </w:rPr>
        <w:t>biosvahy</w:t>
      </w:r>
      <w:proofErr w:type="spellEnd"/>
      <w:r w:rsidRPr="003C0FB5">
        <w:rPr>
          <w:rFonts w:cs="Arial"/>
        </w:rPr>
        <w:t xml:space="preserve">, jezírka v centru města, dešťové zahrady, propustné chodníky. Doplnění tohoto přístupu o systémy kanálů a zadržení vody také pomáhá čelit nedostatku vody. Projekt analyzuje </w:t>
      </w:r>
      <w:proofErr w:type="spellStart"/>
      <w:r w:rsidRPr="003C0FB5">
        <w:rPr>
          <w:rFonts w:cs="Arial"/>
        </w:rPr>
        <w:t>hydroklimatické</w:t>
      </w:r>
      <w:proofErr w:type="spellEnd"/>
      <w:r w:rsidRPr="003C0FB5">
        <w:rPr>
          <w:rFonts w:cs="Arial"/>
        </w:rPr>
        <w:t xml:space="preserve"> charakteristiky a vodohospodářské postupy 12 pilotních osad, vytváří soubor nástrojů na podporu plánování opatření „</w:t>
      </w:r>
      <w:proofErr w:type="spellStart"/>
      <w:r w:rsidRPr="003C0FB5">
        <w:rPr>
          <w:rFonts w:cs="Arial"/>
        </w:rPr>
        <w:t>sponge</w:t>
      </w:r>
      <w:proofErr w:type="spellEnd"/>
      <w:r w:rsidRPr="003C0FB5">
        <w:rPr>
          <w:rFonts w:cs="Arial"/>
        </w:rPr>
        <w:t xml:space="preserve"> </w:t>
      </w:r>
      <w:proofErr w:type="spellStart"/>
      <w:r w:rsidRPr="003C0FB5">
        <w:rPr>
          <w:rFonts w:cs="Arial"/>
        </w:rPr>
        <w:t>cities</w:t>
      </w:r>
      <w:proofErr w:type="spellEnd"/>
      <w:r w:rsidRPr="003C0FB5">
        <w:rPr>
          <w:rFonts w:cs="Arial"/>
        </w:rPr>
        <w:t>“, testuje a propaguje nástroje participativním vypracováním místních akčních plánů, studií proveditelnosti a demonstračních investic.</w:t>
      </w:r>
    </w:p>
    <w:p w14:paraId="243E7750" w14:textId="77777777" w:rsidR="008D54A4" w:rsidRPr="0039621D" w:rsidRDefault="008D54A4" w:rsidP="00D620ED">
      <w:pPr>
        <w:shd w:val="clear" w:color="auto" w:fill="FFFFFF"/>
        <w:contextualSpacing/>
        <w:rPr>
          <w:rFonts w:cs="Arial"/>
          <w:color w:val="FF0000"/>
        </w:rPr>
      </w:pPr>
    </w:p>
    <w:p w14:paraId="49C07DA9" w14:textId="03ECD57C" w:rsidR="000325DD" w:rsidRPr="0039621D" w:rsidRDefault="00B618CF">
      <w:pPr>
        <w:pStyle w:val="Odstavecseseznamem"/>
        <w:numPr>
          <w:ilvl w:val="0"/>
          <w:numId w:val="14"/>
        </w:numPr>
        <w:shd w:val="clear" w:color="auto" w:fill="FFFFFF"/>
        <w:ind w:left="284"/>
        <w:rPr>
          <w:rFonts w:ascii="Arial" w:hAnsi="Arial" w:cs="Arial"/>
          <w:i/>
          <w:color w:val="FF0000"/>
          <w:sz w:val="22"/>
          <w:szCs w:val="22"/>
        </w:rPr>
      </w:pPr>
      <w:r w:rsidRPr="0039621D">
        <w:rPr>
          <w:rFonts w:ascii="Arial" w:hAnsi="Arial" w:cs="Arial"/>
          <w:b/>
          <w:i/>
          <w:sz w:val="22"/>
          <w:szCs w:val="22"/>
        </w:rPr>
        <w:t xml:space="preserve">Development </w:t>
      </w:r>
      <w:proofErr w:type="spellStart"/>
      <w:r w:rsidRPr="0039621D">
        <w:rPr>
          <w:rFonts w:ascii="Arial" w:hAnsi="Arial" w:cs="Arial"/>
          <w:b/>
          <w:i/>
          <w:sz w:val="22"/>
          <w:szCs w:val="22"/>
        </w:rPr>
        <w:t>of</w:t>
      </w:r>
      <w:proofErr w:type="spellEnd"/>
      <w:r w:rsidRPr="0039621D">
        <w:rPr>
          <w:rFonts w:ascii="Arial" w:hAnsi="Arial" w:cs="Arial"/>
          <w:b/>
          <w:i/>
          <w:sz w:val="22"/>
          <w:szCs w:val="22"/>
        </w:rPr>
        <w:t xml:space="preserve"> a </w:t>
      </w:r>
      <w:proofErr w:type="spellStart"/>
      <w:r w:rsidRPr="0039621D">
        <w:rPr>
          <w:rFonts w:ascii="Arial" w:hAnsi="Arial" w:cs="Arial"/>
          <w:b/>
          <w:i/>
          <w:sz w:val="22"/>
          <w:szCs w:val="22"/>
        </w:rPr>
        <w:t>harmonized</w:t>
      </w:r>
      <w:proofErr w:type="spellEnd"/>
      <w:r w:rsidRPr="0039621D">
        <w:rPr>
          <w:rFonts w:ascii="Arial" w:hAnsi="Arial" w:cs="Arial"/>
          <w:b/>
          <w:i/>
          <w:sz w:val="22"/>
          <w:szCs w:val="22"/>
        </w:rPr>
        <w:t xml:space="preserve"> </w:t>
      </w:r>
      <w:proofErr w:type="spellStart"/>
      <w:r w:rsidRPr="0039621D">
        <w:rPr>
          <w:rFonts w:ascii="Arial" w:hAnsi="Arial" w:cs="Arial"/>
          <w:b/>
          <w:i/>
          <w:sz w:val="22"/>
          <w:szCs w:val="22"/>
        </w:rPr>
        <w:t>water</w:t>
      </w:r>
      <w:proofErr w:type="spellEnd"/>
      <w:r w:rsidRPr="0039621D">
        <w:rPr>
          <w:rFonts w:ascii="Arial" w:hAnsi="Arial" w:cs="Arial"/>
          <w:b/>
          <w:i/>
          <w:sz w:val="22"/>
          <w:szCs w:val="22"/>
        </w:rPr>
        <w:t xml:space="preserve"> balance modelling </w:t>
      </w:r>
      <w:proofErr w:type="spellStart"/>
      <w:r w:rsidRPr="0039621D">
        <w:rPr>
          <w:rFonts w:ascii="Arial" w:hAnsi="Arial" w:cs="Arial"/>
          <w:b/>
          <w:i/>
          <w:sz w:val="22"/>
          <w:szCs w:val="22"/>
        </w:rPr>
        <w:t>system</w:t>
      </w:r>
      <w:proofErr w:type="spellEnd"/>
      <w:r w:rsidRPr="0039621D">
        <w:rPr>
          <w:rFonts w:ascii="Arial" w:hAnsi="Arial" w:cs="Arial"/>
          <w:b/>
          <w:i/>
          <w:sz w:val="22"/>
          <w:szCs w:val="22"/>
        </w:rPr>
        <w:t xml:space="preserve"> </w:t>
      </w:r>
      <w:proofErr w:type="spellStart"/>
      <w:r w:rsidRPr="0039621D">
        <w:rPr>
          <w:rFonts w:ascii="Arial" w:hAnsi="Arial" w:cs="Arial"/>
          <w:b/>
          <w:i/>
          <w:sz w:val="22"/>
          <w:szCs w:val="22"/>
        </w:rPr>
        <w:t>for</w:t>
      </w:r>
      <w:proofErr w:type="spellEnd"/>
      <w:r w:rsidRPr="0039621D">
        <w:rPr>
          <w:rFonts w:ascii="Arial" w:hAnsi="Arial" w:cs="Arial"/>
          <w:b/>
          <w:i/>
          <w:sz w:val="22"/>
          <w:szCs w:val="22"/>
        </w:rPr>
        <w:t xml:space="preserve"> </w:t>
      </w:r>
      <w:proofErr w:type="spellStart"/>
      <w:r w:rsidRPr="0039621D">
        <w:rPr>
          <w:rFonts w:ascii="Arial" w:hAnsi="Arial" w:cs="Arial"/>
          <w:b/>
          <w:i/>
          <w:sz w:val="22"/>
          <w:szCs w:val="22"/>
        </w:rPr>
        <w:t>the</w:t>
      </w:r>
      <w:proofErr w:type="spellEnd"/>
      <w:r w:rsidRPr="0039621D">
        <w:rPr>
          <w:rFonts w:ascii="Arial" w:hAnsi="Arial" w:cs="Arial"/>
          <w:b/>
          <w:i/>
          <w:sz w:val="22"/>
          <w:szCs w:val="22"/>
        </w:rPr>
        <w:t xml:space="preserve"> </w:t>
      </w:r>
      <w:proofErr w:type="spellStart"/>
      <w:r w:rsidRPr="0039621D">
        <w:rPr>
          <w:rFonts w:ascii="Arial" w:hAnsi="Arial" w:cs="Arial"/>
          <w:b/>
          <w:i/>
          <w:sz w:val="22"/>
          <w:szCs w:val="22"/>
        </w:rPr>
        <w:t>Danube</w:t>
      </w:r>
      <w:proofErr w:type="spellEnd"/>
      <w:r w:rsidRPr="0039621D">
        <w:rPr>
          <w:rFonts w:ascii="Arial" w:hAnsi="Arial" w:cs="Arial"/>
          <w:b/>
          <w:i/>
          <w:sz w:val="22"/>
          <w:szCs w:val="22"/>
        </w:rPr>
        <w:t xml:space="preserve"> River </w:t>
      </w:r>
      <w:proofErr w:type="spellStart"/>
      <w:r w:rsidRPr="0039621D">
        <w:rPr>
          <w:rFonts w:ascii="Arial" w:hAnsi="Arial" w:cs="Arial"/>
          <w:b/>
          <w:i/>
          <w:sz w:val="22"/>
          <w:szCs w:val="22"/>
        </w:rPr>
        <w:t>Basin</w:t>
      </w:r>
      <w:proofErr w:type="spellEnd"/>
      <w:r w:rsidRPr="0039621D">
        <w:rPr>
          <w:rFonts w:ascii="Arial" w:hAnsi="Arial" w:cs="Arial"/>
          <w:b/>
          <w:i/>
          <w:sz w:val="22"/>
          <w:szCs w:val="22"/>
        </w:rPr>
        <w:t xml:space="preserve"> (DRP0200156 </w:t>
      </w:r>
      <w:proofErr w:type="spellStart"/>
      <w:r w:rsidRPr="0039621D">
        <w:rPr>
          <w:rFonts w:ascii="Arial" w:hAnsi="Arial" w:cs="Arial"/>
          <w:b/>
          <w:i/>
          <w:sz w:val="22"/>
          <w:szCs w:val="22"/>
        </w:rPr>
        <w:t>Danube</w:t>
      </w:r>
      <w:proofErr w:type="spellEnd"/>
      <w:r w:rsidRPr="0039621D">
        <w:rPr>
          <w:rFonts w:ascii="Arial" w:hAnsi="Arial" w:cs="Arial"/>
          <w:b/>
          <w:i/>
          <w:sz w:val="22"/>
          <w:szCs w:val="22"/>
        </w:rPr>
        <w:t xml:space="preserve"> </w:t>
      </w:r>
      <w:proofErr w:type="spellStart"/>
      <w:r w:rsidRPr="0039621D">
        <w:rPr>
          <w:rFonts w:ascii="Arial" w:hAnsi="Arial" w:cs="Arial"/>
          <w:b/>
          <w:i/>
          <w:sz w:val="22"/>
          <w:szCs w:val="22"/>
        </w:rPr>
        <w:t>Water</w:t>
      </w:r>
      <w:proofErr w:type="spellEnd"/>
      <w:r w:rsidRPr="0039621D">
        <w:rPr>
          <w:rFonts w:ascii="Arial" w:hAnsi="Arial" w:cs="Arial"/>
          <w:b/>
          <w:i/>
          <w:sz w:val="22"/>
          <w:szCs w:val="22"/>
        </w:rPr>
        <w:t xml:space="preserve"> Balance)</w:t>
      </w:r>
    </w:p>
    <w:p w14:paraId="30E4D206" w14:textId="77777777" w:rsidR="008A3CBC" w:rsidRPr="0039621D" w:rsidRDefault="008A3CBC" w:rsidP="008A3CBC">
      <w:pPr>
        <w:rPr>
          <w:rFonts w:cs="Arial"/>
        </w:rPr>
      </w:pPr>
      <w:r w:rsidRPr="0039621D">
        <w:rPr>
          <w:rFonts w:cs="Arial"/>
        </w:rPr>
        <w:t>Partneři na české straně: 1</w:t>
      </w:r>
    </w:p>
    <w:p w14:paraId="5559F809" w14:textId="2A7BB1C1" w:rsidR="008A3CBC" w:rsidRPr="0039621D" w:rsidRDefault="008A3CBC" w:rsidP="008A3CBC">
      <w:pPr>
        <w:rPr>
          <w:rFonts w:cs="Arial"/>
        </w:rPr>
      </w:pPr>
      <w:r w:rsidRPr="0039621D">
        <w:rPr>
          <w:rFonts w:cs="Arial"/>
        </w:rPr>
        <w:t>Rozpočet partnera: PP5 – Vysoké učení technické v Brně: 121</w:t>
      </w:r>
      <w:r w:rsidR="00517021" w:rsidRPr="0039621D">
        <w:rPr>
          <w:rFonts w:cs="Arial"/>
        </w:rPr>
        <w:t xml:space="preserve"> </w:t>
      </w:r>
      <w:r w:rsidRPr="0039621D">
        <w:rPr>
          <w:rFonts w:cs="Arial"/>
        </w:rPr>
        <w:t>919,50 EUR</w:t>
      </w:r>
    </w:p>
    <w:p w14:paraId="778D5286" w14:textId="77777777" w:rsidR="008A3CBC" w:rsidRPr="0039621D" w:rsidRDefault="008A3CBC" w:rsidP="008A3CBC">
      <w:pPr>
        <w:rPr>
          <w:rFonts w:cs="Arial"/>
        </w:rPr>
      </w:pPr>
    </w:p>
    <w:p w14:paraId="03A3D60B" w14:textId="77777777" w:rsidR="008A3CBC" w:rsidRPr="0039621D" w:rsidRDefault="008A3CBC" w:rsidP="008A3CBC">
      <w:pPr>
        <w:rPr>
          <w:rFonts w:cs="Arial"/>
        </w:rPr>
      </w:pPr>
      <w:r w:rsidRPr="0039621D">
        <w:rPr>
          <w:rFonts w:cs="Arial"/>
        </w:rPr>
        <w:t xml:space="preserve">Extrémní a trendové dopady změny klimatu způsobují v povodí Dunaje (DRB) významné problémy s vodní bilancí, které již nyní představují velké výzvy i pro životní prostředí, hospodářství a celou společnost. Hospodaření s vodou v povodí Dunaje se vyznačuje rozptýlenou dostupností údajů a různými národními metodami výpočtu, což v konečném důsledku vede k mozaice údajů o vodní bilanci na úrovni jednotlivých zemí nebo </w:t>
      </w:r>
      <w:proofErr w:type="spellStart"/>
      <w:r w:rsidRPr="0039621D">
        <w:rPr>
          <w:rFonts w:cs="Arial"/>
        </w:rPr>
        <w:t>subregionů</w:t>
      </w:r>
      <w:proofErr w:type="spellEnd"/>
      <w:r w:rsidRPr="0039621D">
        <w:rPr>
          <w:rFonts w:cs="Arial"/>
        </w:rPr>
        <w:t>. Pro zvládnutí nadnárodních výzev týkajících se množství vody v povodí je zapotřebí společně vyvinutá správa dat a model vodní bilance. Cílem projektu Dunajská vodní bilance je překonat tuto situaci a přispět k udržitelnému, integrovanému nadnárodnímu hospodaření s vodou v DRB. Celkovým cílem projektu je vytvořit harmonizovaný systém modelování vodní bilance v DRB. Hlavní výstupy se budou týkat čtyř oblastí: 1. Zlepšená správa dat pro současné a budoucí výpočty vodní bilance, 2. Moderní model vodní bilance DRB s otevřeným zdrojovým kódem, který umožňuje kvantifikaci složek vodní bilance pro celé povodí a pro vybrané zájmové oblasti. 3. Vypracované scénáře vodní bilance pro 4 vybraná přeshraniční dílčí povodí, a to Moravy (CZ, SK a AT), Tisy (HU, SK, RO, RS a UA), Sávy (SI a HR) a Driny (RS a BA). 4. Zlepšení vhledu zainteresovaných stran do metodiky přeshraniční vodní bilance: v projektu bude kladen velký důraz na zapojení zainteresovaných stran z jednotlivých odvětví a budování kapacit.</w:t>
      </w:r>
    </w:p>
    <w:p w14:paraId="607D662F" w14:textId="5B1AF218" w:rsidR="00F17301" w:rsidRPr="00104F7D" w:rsidRDefault="00F17301" w:rsidP="008A3CBC">
      <w:pPr>
        <w:rPr>
          <w:rFonts w:cs="Arial"/>
          <w:highlight w:val="yellow"/>
        </w:rPr>
      </w:pPr>
    </w:p>
    <w:p w14:paraId="0CBB34C9" w14:textId="77777777" w:rsidR="00E744A9" w:rsidRPr="00424035" w:rsidRDefault="00E744A9">
      <w:pPr>
        <w:pStyle w:val="Odstavecseseznamem"/>
        <w:numPr>
          <w:ilvl w:val="0"/>
          <w:numId w:val="20"/>
        </w:numPr>
        <w:ind w:left="567" w:hanging="567"/>
        <w:rPr>
          <w:rFonts w:ascii="Arial" w:hAnsi="Arial" w:cs="Arial"/>
          <w:b/>
          <w:i/>
          <w:sz w:val="22"/>
          <w:szCs w:val="22"/>
        </w:rPr>
      </w:pPr>
      <w:proofErr w:type="spellStart"/>
      <w:r w:rsidRPr="00424035">
        <w:rPr>
          <w:rFonts w:ascii="Arial" w:hAnsi="Arial" w:cs="Arial"/>
          <w:b/>
          <w:i/>
          <w:sz w:val="22"/>
          <w:szCs w:val="22"/>
        </w:rPr>
        <w:t>Capacity</w:t>
      </w:r>
      <w:proofErr w:type="spellEnd"/>
      <w:r w:rsidRPr="00424035">
        <w:rPr>
          <w:rFonts w:ascii="Arial" w:hAnsi="Arial" w:cs="Arial"/>
          <w:b/>
          <w:i/>
          <w:sz w:val="22"/>
          <w:szCs w:val="22"/>
        </w:rPr>
        <w:t xml:space="preserve"> </w:t>
      </w:r>
      <w:proofErr w:type="spellStart"/>
      <w:r w:rsidRPr="00424035">
        <w:rPr>
          <w:rFonts w:ascii="Arial" w:hAnsi="Arial" w:cs="Arial"/>
          <w:b/>
          <w:i/>
          <w:sz w:val="22"/>
          <w:szCs w:val="22"/>
        </w:rPr>
        <w:t>building</w:t>
      </w:r>
      <w:proofErr w:type="spellEnd"/>
      <w:r w:rsidRPr="00424035">
        <w:rPr>
          <w:rFonts w:ascii="Arial" w:hAnsi="Arial" w:cs="Arial"/>
          <w:b/>
          <w:i/>
          <w:sz w:val="22"/>
          <w:szCs w:val="22"/>
        </w:rPr>
        <w:t xml:space="preserve"> </w:t>
      </w:r>
      <w:proofErr w:type="spellStart"/>
      <w:r w:rsidRPr="00424035">
        <w:rPr>
          <w:rFonts w:ascii="Arial" w:hAnsi="Arial" w:cs="Arial"/>
          <w:b/>
          <w:i/>
          <w:sz w:val="22"/>
          <w:szCs w:val="22"/>
        </w:rPr>
        <w:t>for</w:t>
      </w:r>
      <w:proofErr w:type="spellEnd"/>
      <w:r w:rsidRPr="00424035">
        <w:rPr>
          <w:rFonts w:ascii="Arial" w:hAnsi="Arial" w:cs="Arial"/>
          <w:b/>
          <w:i/>
          <w:sz w:val="22"/>
          <w:szCs w:val="22"/>
        </w:rPr>
        <w:t xml:space="preserve"> management and </w:t>
      </w:r>
      <w:proofErr w:type="spellStart"/>
      <w:r w:rsidRPr="00424035">
        <w:rPr>
          <w:rFonts w:ascii="Arial" w:hAnsi="Arial" w:cs="Arial"/>
          <w:b/>
          <w:i/>
          <w:sz w:val="22"/>
          <w:szCs w:val="22"/>
        </w:rPr>
        <w:t>governance</w:t>
      </w:r>
      <w:proofErr w:type="spellEnd"/>
      <w:r w:rsidRPr="00424035">
        <w:rPr>
          <w:rFonts w:ascii="Arial" w:hAnsi="Arial" w:cs="Arial"/>
          <w:b/>
          <w:i/>
          <w:sz w:val="22"/>
          <w:szCs w:val="22"/>
        </w:rPr>
        <w:t xml:space="preserve"> </w:t>
      </w:r>
      <w:proofErr w:type="spellStart"/>
      <w:r w:rsidRPr="00424035">
        <w:rPr>
          <w:rFonts w:ascii="Arial" w:hAnsi="Arial" w:cs="Arial"/>
          <w:b/>
          <w:i/>
          <w:sz w:val="22"/>
          <w:szCs w:val="22"/>
        </w:rPr>
        <w:t>of</w:t>
      </w:r>
      <w:proofErr w:type="spellEnd"/>
      <w:r w:rsidRPr="00424035">
        <w:rPr>
          <w:rFonts w:ascii="Arial" w:hAnsi="Arial" w:cs="Arial"/>
          <w:b/>
          <w:i/>
          <w:sz w:val="22"/>
          <w:szCs w:val="22"/>
        </w:rPr>
        <w:t xml:space="preserve"> </w:t>
      </w:r>
      <w:proofErr w:type="spellStart"/>
      <w:r w:rsidRPr="00424035">
        <w:rPr>
          <w:rFonts w:ascii="Arial" w:hAnsi="Arial" w:cs="Arial"/>
          <w:b/>
          <w:i/>
          <w:sz w:val="22"/>
          <w:szCs w:val="22"/>
        </w:rPr>
        <w:t>MICROplastics</w:t>
      </w:r>
      <w:proofErr w:type="spellEnd"/>
      <w:r w:rsidRPr="00424035">
        <w:rPr>
          <w:rFonts w:ascii="Arial" w:hAnsi="Arial" w:cs="Arial"/>
          <w:b/>
          <w:i/>
          <w:sz w:val="22"/>
          <w:szCs w:val="22"/>
        </w:rPr>
        <w:t xml:space="preserve"> in </w:t>
      </w:r>
      <w:proofErr w:type="spellStart"/>
      <w:r w:rsidRPr="00424035">
        <w:rPr>
          <w:rFonts w:ascii="Arial" w:hAnsi="Arial" w:cs="Arial"/>
          <w:b/>
          <w:i/>
          <w:sz w:val="22"/>
          <w:szCs w:val="22"/>
        </w:rPr>
        <w:t>DRINKing</w:t>
      </w:r>
      <w:proofErr w:type="spellEnd"/>
      <w:r w:rsidRPr="00424035">
        <w:rPr>
          <w:rFonts w:ascii="Arial" w:hAnsi="Arial" w:cs="Arial"/>
          <w:b/>
          <w:i/>
          <w:sz w:val="22"/>
          <w:szCs w:val="22"/>
        </w:rPr>
        <w:t xml:space="preserve"> </w:t>
      </w:r>
      <w:proofErr w:type="spellStart"/>
      <w:r w:rsidRPr="00424035">
        <w:rPr>
          <w:rFonts w:ascii="Arial" w:hAnsi="Arial" w:cs="Arial"/>
          <w:b/>
          <w:i/>
          <w:sz w:val="22"/>
          <w:szCs w:val="22"/>
        </w:rPr>
        <w:t>water</w:t>
      </w:r>
      <w:proofErr w:type="spellEnd"/>
      <w:r w:rsidRPr="00424035">
        <w:rPr>
          <w:rFonts w:ascii="Arial" w:hAnsi="Arial" w:cs="Arial"/>
          <w:b/>
          <w:i/>
          <w:sz w:val="22"/>
          <w:szCs w:val="22"/>
        </w:rPr>
        <w:t xml:space="preserve"> </w:t>
      </w:r>
      <w:proofErr w:type="spellStart"/>
      <w:r w:rsidRPr="00424035">
        <w:rPr>
          <w:rFonts w:ascii="Arial" w:hAnsi="Arial" w:cs="Arial"/>
          <w:b/>
          <w:i/>
          <w:sz w:val="22"/>
          <w:szCs w:val="22"/>
        </w:rPr>
        <w:t>resources</w:t>
      </w:r>
      <w:proofErr w:type="spellEnd"/>
      <w:r w:rsidRPr="00424035">
        <w:rPr>
          <w:rFonts w:ascii="Arial" w:hAnsi="Arial" w:cs="Arial"/>
          <w:b/>
          <w:i/>
          <w:sz w:val="22"/>
          <w:szCs w:val="22"/>
        </w:rPr>
        <w:t xml:space="preserve"> </w:t>
      </w:r>
      <w:proofErr w:type="spellStart"/>
      <w:r w:rsidRPr="00424035">
        <w:rPr>
          <w:rFonts w:ascii="Arial" w:hAnsi="Arial" w:cs="Arial"/>
          <w:b/>
          <w:i/>
          <w:sz w:val="22"/>
          <w:szCs w:val="22"/>
        </w:rPr>
        <w:t>of</w:t>
      </w:r>
      <w:proofErr w:type="spellEnd"/>
      <w:r w:rsidRPr="00424035">
        <w:rPr>
          <w:rFonts w:ascii="Arial" w:hAnsi="Arial" w:cs="Arial"/>
          <w:b/>
          <w:i/>
          <w:sz w:val="22"/>
          <w:szCs w:val="22"/>
        </w:rPr>
        <w:t xml:space="preserve"> </w:t>
      </w:r>
      <w:proofErr w:type="spellStart"/>
      <w:r w:rsidRPr="00424035">
        <w:rPr>
          <w:rFonts w:ascii="Arial" w:hAnsi="Arial" w:cs="Arial"/>
          <w:b/>
          <w:i/>
          <w:sz w:val="22"/>
          <w:szCs w:val="22"/>
        </w:rPr>
        <w:t>Danube</w:t>
      </w:r>
      <w:proofErr w:type="spellEnd"/>
      <w:r w:rsidRPr="00424035">
        <w:rPr>
          <w:rFonts w:ascii="Arial" w:hAnsi="Arial" w:cs="Arial"/>
          <w:b/>
          <w:i/>
          <w:sz w:val="22"/>
          <w:szCs w:val="22"/>
        </w:rPr>
        <w:t xml:space="preserve"> Region (DRP0200442 </w:t>
      </w:r>
      <w:proofErr w:type="spellStart"/>
      <w:r w:rsidRPr="00424035">
        <w:rPr>
          <w:rFonts w:ascii="Arial" w:hAnsi="Arial" w:cs="Arial"/>
          <w:b/>
          <w:i/>
          <w:sz w:val="22"/>
          <w:szCs w:val="22"/>
        </w:rPr>
        <w:t>MicroDrink</w:t>
      </w:r>
      <w:proofErr w:type="spellEnd"/>
      <w:r w:rsidRPr="00424035">
        <w:rPr>
          <w:rFonts w:ascii="Arial" w:hAnsi="Arial" w:cs="Arial"/>
          <w:b/>
          <w:i/>
          <w:sz w:val="22"/>
          <w:szCs w:val="22"/>
        </w:rPr>
        <w:t>)</w:t>
      </w:r>
    </w:p>
    <w:p w14:paraId="04E4AE08" w14:textId="77777777" w:rsidR="00E744A9" w:rsidRPr="00424035" w:rsidRDefault="00E744A9" w:rsidP="00E744A9">
      <w:pPr>
        <w:rPr>
          <w:rFonts w:cs="Arial"/>
        </w:rPr>
      </w:pPr>
      <w:r w:rsidRPr="00424035">
        <w:rPr>
          <w:rFonts w:cs="Arial"/>
        </w:rPr>
        <w:t>Partneři na české straně: 1</w:t>
      </w:r>
    </w:p>
    <w:p w14:paraId="53F5266C" w14:textId="77777777" w:rsidR="00E744A9" w:rsidRPr="00424035" w:rsidRDefault="00E744A9" w:rsidP="00E744A9">
      <w:pPr>
        <w:rPr>
          <w:rFonts w:cs="Arial"/>
        </w:rPr>
      </w:pPr>
      <w:r w:rsidRPr="00424035">
        <w:rPr>
          <w:rFonts w:cs="Arial"/>
        </w:rPr>
        <w:t>Rozpočet partnera: PP7 – Výzkumný ústav vodohospodářský T. G. Masaryka, veřejná výzkumná instituce: 170.000,00 EUR</w:t>
      </w:r>
    </w:p>
    <w:p w14:paraId="7ECFDBF1" w14:textId="77777777" w:rsidR="00E744A9" w:rsidRPr="00424035" w:rsidRDefault="00E744A9" w:rsidP="00E744A9">
      <w:pPr>
        <w:rPr>
          <w:rFonts w:cs="Arial"/>
        </w:rPr>
      </w:pPr>
    </w:p>
    <w:p w14:paraId="07359D2C" w14:textId="77777777" w:rsidR="00E744A9" w:rsidRPr="00424035" w:rsidRDefault="00E744A9" w:rsidP="00E744A9">
      <w:pPr>
        <w:rPr>
          <w:rFonts w:cs="Arial"/>
        </w:rPr>
      </w:pPr>
      <w:r w:rsidRPr="00424035">
        <w:rPr>
          <w:rFonts w:cs="Arial"/>
        </w:rPr>
        <w:t xml:space="preserve">Cílem projektu </w:t>
      </w:r>
      <w:proofErr w:type="spellStart"/>
      <w:r w:rsidRPr="00424035">
        <w:rPr>
          <w:rFonts w:cs="Arial"/>
        </w:rPr>
        <w:t>MicroDrink</w:t>
      </w:r>
      <w:proofErr w:type="spellEnd"/>
      <w:r w:rsidRPr="00424035">
        <w:rPr>
          <w:rFonts w:cs="Arial"/>
        </w:rPr>
        <w:t xml:space="preserve"> je budovat a posilovat institucionální, manažerské a technické kapacity odborníků z praxe, rozhodovacích orgánů a správy politik na různých úrovních a zvyšovat povědomí veřejnosti o tomto naléhavém environmentálním problému v DRB. Předpokladem je vypracování a přijetí harmonizovaných metod odběru vzorků a analytických metod. Zde vstupuje do hry společnost </w:t>
      </w:r>
      <w:proofErr w:type="spellStart"/>
      <w:r w:rsidRPr="00424035">
        <w:rPr>
          <w:rFonts w:cs="Arial"/>
        </w:rPr>
        <w:t>MicroDrink</w:t>
      </w:r>
      <w:proofErr w:type="spellEnd"/>
      <w:r w:rsidRPr="00424035">
        <w:rPr>
          <w:rFonts w:cs="Arial"/>
        </w:rPr>
        <w:t xml:space="preserve">, která podporuje přeshraniční a meziodvětvovou spolupráci, výměnu znalostí a zkušeností týkajících se odběru vzorků, analýzy, monitorování a hodnocení rizik MP (mikro plasty) ve zdrojích pitné vody DRB. </w:t>
      </w:r>
      <w:proofErr w:type="spellStart"/>
      <w:r w:rsidRPr="00424035">
        <w:rPr>
          <w:rFonts w:cs="Arial"/>
        </w:rPr>
        <w:t>MicroDrink</w:t>
      </w:r>
      <w:proofErr w:type="spellEnd"/>
      <w:r w:rsidRPr="00424035">
        <w:rPr>
          <w:rFonts w:cs="Arial"/>
        </w:rPr>
        <w:t xml:space="preserve"> si klade za cíl zvýšit odolnost Podunají vůči znečištění MP tím, že bude odstraňovat mezery ve znalostech o MP prostřednictvím otevřené online znalostní databáze </w:t>
      </w:r>
      <w:proofErr w:type="spellStart"/>
      <w:r w:rsidRPr="00424035">
        <w:rPr>
          <w:rFonts w:cs="Arial"/>
        </w:rPr>
        <w:t>MicroDrink</w:t>
      </w:r>
      <w:proofErr w:type="spellEnd"/>
      <w:r w:rsidRPr="00424035">
        <w:rPr>
          <w:rFonts w:cs="Arial"/>
        </w:rPr>
        <w:t>, která nabízí komplexní přehled metod odběru vzorků MP, laboratorních přístrojů a analytických technik, vytvářet a udržovat synergie s minulými a současnými projekty EU zabývajícími se vodním hospodářstvím a ochranou vod v DRB, zapojovat příslušné národní a nadnárodní zúčastněné strany prostřednictvím cílených setkání, seminářů a akcí.</w:t>
      </w:r>
    </w:p>
    <w:p w14:paraId="266EE6FA" w14:textId="77777777" w:rsidR="00E1789B" w:rsidRPr="00424035" w:rsidRDefault="00E1789B" w:rsidP="00E1789B">
      <w:pPr>
        <w:contextualSpacing/>
        <w:rPr>
          <w:rFonts w:cs="Arial"/>
          <w:color w:val="FF0000"/>
        </w:rPr>
      </w:pPr>
    </w:p>
    <w:p w14:paraId="29796994" w14:textId="48FAC1ED" w:rsidR="000325DD" w:rsidRPr="00424035" w:rsidRDefault="000325DD" w:rsidP="005D0F03">
      <w:pPr>
        <w:pStyle w:val="Odstavecseseznamem"/>
        <w:numPr>
          <w:ilvl w:val="0"/>
          <w:numId w:val="4"/>
        </w:numPr>
        <w:jc w:val="left"/>
        <w:rPr>
          <w:rFonts w:ascii="Arial" w:hAnsi="Arial" w:cs="Arial"/>
          <w:b/>
          <w:sz w:val="22"/>
          <w:szCs w:val="22"/>
          <w:u w:val="single"/>
        </w:rPr>
      </w:pPr>
      <w:r w:rsidRPr="00424035">
        <w:rPr>
          <w:rFonts w:ascii="Arial" w:hAnsi="Arial" w:cs="Arial"/>
          <w:b/>
          <w:sz w:val="22"/>
          <w:szCs w:val="22"/>
          <w:u w:val="single"/>
        </w:rPr>
        <w:t xml:space="preserve">Program </w:t>
      </w:r>
      <w:proofErr w:type="spellStart"/>
      <w:r w:rsidRPr="00424035">
        <w:rPr>
          <w:rFonts w:ascii="Arial" w:hAnsi="Arial" w:cs="Arial"/>
          <w:b/>
          <w:sz w:val="22"/>
          <w:szCs w:val="22"/>
          <w:u w:val="single"/>
        </w:rPr>
        <w:t>Interreg</w:t>
      </w:r>
      <w:proofErr w:type="spellEnd"/>
      <w:r w:rsidRPr="00424035">
        <w:rPr>
          <w:rFonts w:ascii="Arial" w:hAnsi="Arial" w:cs="Arial"/>
          <w:b/>
          <w:sz w:val="22"/>
          <w:szCs w:val="22"/>
          <w:u w:val="single"/>
        </w:rPr>
        <w:t xml:space="preserve"> CENTRAL EUROPE</w:t>
      </w:r>
      <w:r w:rsidR="008B5ED0" w:rsidRPr="00424035">
        <w:rPr>
          <w:rFonts w:ascii="Arial" w:hAnsi="Arial" w:cs="Arial"/>
          <w:b/>
          <w:sz w:val="22"/>
          <w:szCs w:val="22"/>
          <w:u w:val="single"/>
        </w:rPr>
        <w:t xml:space="preserve"> 2021+</w:t>
      </w:r>
    </w:p>
    <w:p w14:paraId="31D41E85" w14:textId="77777777" w:rsidR="000325DD" w:rsidRPr="00877730" w:rsidRDefault="000325DD" w:rsidP="007C4955">
      <w:pPr>
        <w:pStyle w:val="Odstavecseseznamem"/>
        <w:ind w:left="1080"/>
        <w:rPr>
          <w:rFonts w:ascii="Arial" w:hAnsi="Arial" w:cs="Arial"/>
          <w:b/>
          <w:i/>
          <w:color w:val="FF0000"/>
          <w:sz w:val="22"/>
          <w:szCs w:val="22"/>
          <w:u w:val="single"/>
        </w:rPr>
      </w:pPr>
    </w:p>
    <w:p w14:paraId="262BA875" w14:textId="51C29484" w:rsidR="00E45EE9" w:rsidRPr="00877730" w:rsidRDefault="00E45EE9" w:rsidP="00C401C5">
      <w:pPr>
        <w:pStyle w:val="Odstavecseseznamem"/>
        <w:numPr>
          <w:ilvl w:val="0"/>
          <w:numId w:val="11"/>
        </w:numPr>
        <w:ind w:left="426" w:hanging="437"/>
        <w:jc w:val="left"/>
        <w:rPr>
          <w:rFonts w:ascii="Arial" w:hAnsi="Arial" w:cs="Arial"/>
          <w:b/>
          <w:i/>
          <w:sz w:val="22"/>
          <w:szCs w:val="22"/>
        </w:rPr>
      </w:pPr>
      <w:r w:rsidRPr="00877730">
        <w:rPr>
          <w:rFonts w:ascii="Arial" w:hAnsi="Arial" w:cs="Arial"/>
          <w:b/>
          <w:i/>
          <w:sz w:val="22"/>
          <w:szCs w:val="22"/>
        </w:rPr>
        <w:t xml:space="preserve">Management </w:t>
      </w:r>
      <w:proofErr w:type="spellStart"/>
      <w:r w:rsidRPr="00877730">
        <w:rPr>
          <w:rFonts w:ascii="Arial" w:hAnsi="Arial" w:cs="Arial"/>
          <w:b/>
          <w:i/>
          <w:sz w:val="22"/>
          <w:szCs w:val="22"/>
        </w:rPr>
        <w:t>of</w:t>
      </w:r>
      <w:proofErr w:type="spellEnd"/>
      <w:r w:rsidRPr="00877730">
        <w:rPr>
          <w:rFonts w:ascii="Arial" w:hAnsi="Arial" w:cs="Arial"/>
          <w:b/>
          <w:i/>
          <w:sz w:val="22"/>
          <w:szCs w:val="22"/>
        </w:rPr>
        <w:t xml:space="preserve"> </w:t>
      </w:r>
      <w:proofErr w:type="spellStart"/>
      <w:r w:rsidRPr="00877730">
        <w:rPr>
          <w:rFonts w:ascii="Arial" w:hAnsi="Arial" w:cs="Arial"/>
          <w:b/>
          <w:i/>
          <w:sz w:val="22"/>
          <w:szCs w:val="22"/>
        </w:rPr>
        <w:t>urban</w:t>
      </w:r>
      <w:proofErr w:type="spellEnd"/>
      <w:r w:rsidRPr="00877730">
        <w:rPr>
          <w:rFonts w:ascii="Arial" w:hAnsi="Arial" w:cs="Arial"/>
          <w:b/>
          <w:i/>
          <w:sz w:val="22"/>
          <w:szCs w:val="22"/>
        </w:rPr>
        <w:t xml:space="preserve"> </w:t>
      </w:r>
      <w:proofErr w:type="spellStart"/>
      <w:r w:rsidRPr="00877730">
        <w:rPr>
          <w:rFonts w:ascii="Arial" w:hAnsi="Arial" w:cs="Arial"/>
          <w:b/>
          <w:i/>
          <w:sz w:val="22"/>
          <w:szCs w:val="22"/>
        </w:rPr>
        <w:t>water</w:t>
      </w:r>
      <w:proofErr w:type="spellEnd"/>
      <w:r w:rsidRPr="00877730">
        <w:rPr>
          <w:rFonts w:ascii="Arial" w:hAnsi="Arial" w:cs="Arial"/>
          <w:b/>
          <w:i/>
          <w:sz w:val="22"/>
          <w:szCs w:val="22"/>
        </w:rPr>
        <w:t xml:space="preserve"> </w:t>
      </w:r>
      <w:proofErr w:type="spellStart"/>
      <w:r w:rsidRPr="00877730">
        <w:rPr>
          <w:rFonts w:ascii="Arial" w:hAnsi="Arial" w:cs="Arial"/>
          <w:b/>
          <w:i/>
          <w:sz w:val="22"/>
          <w:szCs w:val="22"/>
        </w:rPr>
        <w:t>resources</w:t>
      </w:r>
      <w:proofErr w:type="spellEnd"/>
      <w:r w:rsidRPr="00877730">
        <w:rPr>
          <w:rFonts w:ascii="Arial" w:hAnsi="Arial" w:cs="Arial"/>
          <w:b/>
          <w:i/>
          <w:sz w:val="22"/>
          <w:szCs w:val="22"/>
        </w:rPr>
        <w:t xml:space="preserve"> in </w:t>
      </w:r>
      <w:proofErr w:type="spellStart"/>
      <w:r w:rsidRPr="00877730">
        <w:rPr>
          <w:rFonts w:ascii="Arial" w:hAnsi="Arial" w:cs="Arial"/>
          <w:b/>
          <w:i/>
          <w:sz w:val="22"/>
          <w:szCs w:val="22"/>
        </w:rPr>
        <w:t>Central</w:t>
      </w:r>
      <w:proofErr w:type="spellEnd"/>
      <w:r w:rsidRPr="00877730">
        <w:rPr>
          <w:rFonts w:ascii="Arial" w:hAnsi="Arial" w:cs="Arial"/>
          <w:b/>
          <w:i/>
          <w:sz w:val="22"/>
          <w:szCs w:val="22"/>
        </w:rPr>
        <w:t xml:space="preserve"> </w:t>
      </w:r>
      <w:proofErr w:type="spellStart"/>
      <w:r w:rsidRPr="00877730">
        <w:rPr>
          <w:rFonts w:ascii="Arial" w:hAnsi="Arial" w:cs="Arial"/>
          <w:b/>
          <w:i/>
          <w:sz w:val="22"/>
          <w:szCs w:val="22"/>
        </w:rPr>
        <w:t>Europe</w:t>
      </w:r>
      <w:proofErr w:type="spellEnd"/>
      <w:r w:rsidRPr="00877730">
        <w:rPr>
          <w:rFonts w:ascii="Arial" w:hAnsi="Arial" w:cs="Arial"/>
          <w:b/>
          <w:i/>
          <w:sz w:val="22"/>
          <w:szCs w:val="22"/>
        </w:rPr>
        <w:t xml:space="preserve"> </w:t>
      </w:r>
      <w:proofErr w:type="spellStart"/>
      <w:r w:rsidRPr="00877730">
        <w:rPr>
          <w:rFonts w:ascii="Arial" w:hAnsi="Arial" w:cs="Arial"/>
          <w:b/>
          <w:i/>
          <w:sz w:val="22"/>
          <w:szCs w:val="22"/>
        </w:rPr>
        <w:t>facing</w:t>
      </w:r>
      <w:proofErr w:type="spellEnd"/>
      <w:r w:rsidRPr="00877730">
        <w:rPr>
          <w:rFonts w:ascii="Arial" w:hAnsi="Arial" w:cs="Arial"/>
          <w:b/>
          <w:i/>
          <w:sz w:val="22"/>
          <w:szCs w:val="22"/>
        </w:rPr>
        <w:t xml:space="preserve"> </w:t>
      </w:r>
      <w:proofErr w:type="spellStart"/>
      <w:r w:rsidRPr="00877730">
        <w:rPr>
          <w:rFonts w:ascii="Arial" w:hAnsi="Arial" w:cs="Arial"/>
          <w:b/>
          <w:i/>
          <w:sz w:val="22"/>
          <w:szCs w:val="22"/>
        </w:rPr>
        <w:t>climate</w:t>
      </w:r>
      <w:proofErr w:type="spellEnd"/>
      <w:r w:rsidRPr="00877730">
        <w:rPr>
          <w:rFonts w:ascii="Arial" w:hAnsi="Arial" w:cs="Arial"/>
          <w:b/>
          <w:i/>
          <w:sz w:val="22"/>
          <w:szCs w:val="22"/>
        </w:rPr>
        <w:t xml:space="preserve"> </w:t>
      </w:r>
      <w:proofErr w:type="spellStart"/>
      <w:r w:rsidRPr="00877730">
        <w:rPr>
          <w:rFonts w:ascii="Arial" w:hAnsi="Arial" w:cs="Arial"/>
          <w:b/>
          <w:i/>
          <w:sz w:val="22"/>
          <w:szCs w:val="22"/>
        </w:rPr>
        <w:t>change</w:t>
      </w:r>
      <w:proofErr w:type="spellEnd"/>
      <w:r w:rsidRPr="00877730">
        <w:rPr>
          <w:rFonts w:ascii="Arial" w:hAnsi="Arial" w:cs="Arial"/>
          <w:b/>
          <w:i/>
          <w:sz w:val="22"/>
          <w:szCs w:val="22"/>
        </w:rPr>
        <w:t xml:space="preserve"> (MAURICE – CE0100184)</w:t>
      </w:r>
    </w:p>
    <w:p w14:paraId="73EA5463" w14:textId="77777777" w:rsidR="00E45EE9" w:rsidRPr="00877730" w:rsidRDefault="00E45EE9" w:rsidP="00E45EE9">
      <w:pPr>
        <w:rPr>
          <w:rFonts w:cs="Arial"/>
        </w:rPr>
      </w:pPr>
      <w:r w:rsidRPr="00877730">
        <w:rPr>
          <w:rFonts w:cs="Arial"/>
        </w:rPr>
        <w:t xml:space="preserve">Partneři na české straně: 2 </w:t>
      </w:r>
    </w:p>
    <w:p w14:paraId="7FB44988" w14:textId="77777777" w:rsidR="00E45EE9" w:rsidRPr="00877730" w:rsidRDefault="00E45EE9" w:rsidP="00E45EE9">
      <w:pPr>
        <w:rPr>
          <w:rFonts w:cs="Arial"/>
        </w:rPr>
      </w:pPr>
      <w:r w:rsidRPr="00877730">
        <w:rPr>
          <w:rFonts w:cs="Arial"/>
        </w:rPr>
        <w:t xml:space="preserve">Rozpočet partnera: </w:t>
      </w:r>
    </w:p>
    <w:p w14:paraId="4275D214" w14:textId="5C66C6ED" w:rsidR="00E45EE9" w:rsidRPr="00877730" w:rsidRDefault="00E45EE9" w:rsidP="00E45EE9">
      <w:pPr>
        <w:rPr>
          <w:rFonts w:cs="Arial"/>
        </w:rPr>
      </w:pPr>
      <w:r w:rsidRPr="00877730">
        <w:rPr>
          <w:rFonts w:cs="Arial"/>
        </w:rPr>
        <w:t>PP4 – Město Nový Bydžov: 256</w:t>
      </w:r>
      <w:r w:rsidR="00AB6D1C" w:rsidRPr="00877730">
        <w:rPr>
          <w:rFonts w:cs="Arial"/>
        </w:rPr>
        <w:t xml:space="preserve"> </w:t>
      </w:r>
      <w:r w:rsidRPr="00877730">
        <w:rPr>
          <w:rFonts w:cs="Arial"/>
        </w:rPr>
        <w:t>258,40 EUR</w:t>
      </w:r>
    </w:p>
    <w:p w14:paraId="3D0923DB" w14:textId="6475F10F" w:rsidR="00E45EE9" w:rsidRPr="00877730" w:rsidRDefault="00E45EE9" w:rsidP="00E45EE9">
      <w:pPr>
        <w:rPr>
          <w:rFonts w:cs="Arial"/>
        </w:rPr>
      </w:pPr>
      <w:r w:rsidRPr="00877730">
        <w:rPr>
          <w:rFonts w:cs="Arial"/>
        </w:rPr>
        <w:t>PP5 – Technická univerzita v Liberci: 261</w:t>
      </w:r>
      <w:r w:rsidR="00AB6D1C" w:rsidRPr="00877730">
        <w:rPr>
          <w:rFonts w:cs="Arial"/>
        </w:rPr>
        <w:t xml:space="preserve"> </w:t>
      </w:r>
      <w:r w:rsidRPr="00877730">
        <w:rPr>
          <w:rFonts w:cs="Arial"/>
        </w:rPr>
        <w:t>870,00 EUR</w:t>
      </w:r>
    </w:p>
    <w:p w14:paraId="54B05CC3" w14:textId="77777777" w:rsidR="00C401C5" w:rsidRPr="00877730" w:rsidRDefault="00C401C5" w:rsidP="00E45EE9">
      <w:pPr>
        <w:rPr>
          <w:rFonts w:cs="Arial"/>
        </w:rPr>
      </w:pPr>
    </w:p>
    <w:p w14:paraId="22B15330" w14:textId="39E9AD76" w:rsidR="00E45EE9" w:rsidRPr="00877730" w:rsidRDefault="00E45EE9" w:rsidP="00E45EE9">
      <w:pPr>
        <w:rPr>
          <w:rFonts w:cs="Arial"/>
        </w:rPr>
      </w:pPr>
      <w:r w:rsidRPr="00877730">
        <w:rPr>
          <w:rFonts w:cs="Arial"/>
        </w:rPr>
        <w:t>Cílem projektu je posílit kapacitu regionů ve střední Evropě v oblasti odolnosti vůči změně klimatu z hlediska hospodaření s městskými vodními zdroji prostřednictvím společného vývoje řešení pro přizpůsobení se změně klimatu.</w:t>
      </w:r>
    </w:p>
    <w:p w14:paraId="2AB04B47" w14:textId="77777777" w:rsidR="00E84667" w:rsidRPr="00877730" w:rsidRDefault="00E84667" w:rsidP="007C4955">
      <w:pPr>
        <w:contextualSpacing/>
        <w:rPr>
          <w:rFonts w:cs="Arial"/>
          <w:color w:val="FF0000"/>
        </w:rPr>
      </w:pPr>
    </w:p>
    <w:p w14:paraId="65A1CC56" w14:textId="15ED32AB" w:rsidR="00CD2EBF" w:rsidRPr="00877730" w:rsidRDefault="00CD2EBF" w:rsidP="00BC000A">
      <w:pPr>
        <w:pStyle w:val="Odstavecseseznamem"/>
        <w:numPr>
          <w:ilvl w:val="0"/>
          <w:numId w:val="11"/>
        </w:numPr>
        <w:ind w:left="426" w:hanging="426"/>
        <w:rPr>
          <w:rFonts w:ascii="Arial" w:hAnsi="Arial" w:cs="Arial"/>
          <w:b/>
          <w:i/>
          <w:sz w:val="22"/>
          <w:szCs w:val="22"/>
        </w:rPr>
      </w:pPr>
      <w:r w:rsidRPr="00877730">
        <w:rPr>
          <w:rFonts w:ascii="Arial" w:hAnsi="Arial" w:cs="Arial"/>
          <w:b/>
          <w:i/>
          <w:sz w:val="22"/>
          <w:szCs w:val="22"/>
        </w:rPr>
        <w:t xml:space="preserve">Obnova degradovaných ekosystémů podél </w:t>
      </w:r>
      <w:proofErr w:type="gramStart"/>
      <w:r w:rsidRPr="00877730">
        <w:rPr>
          <w:rFonts w:ascii="Arial" w:hAnsi="Arial" w:cs="Arial"/>
          <w:b/>
          <w:i/>
          <w:sz w:val="22"/>
          <w:szCs w:val="22"/>
        </w:rPr>
        <w:t>Zeleného</w:t>
      </w:r>
      <w:proofErr w:type="gramEnd"/>
      <w:r w:rsidRPr="00877730">
        <w:rPr>
          <w:rFonts w:ascii="Arial" w:hAnsi="Arial" w:cs="Arial"/>
          <w:b/>
          <w:i/>
          <w:sz w:val="22"/>
          <w:szCs w:val="22"/>
        </w:rPr>
        <w:t xml:space="preserve"> pásu za účelem zlepšení a posílení biodiverzity a ekologické konektivity (</w:t>
      </w:r>
      <w:proofErr w:type="spellStart"/>
      <w:r w:rsidRPr="00877730">
        <w:rPr>
          <w:rFonts w:ascii="Arial" w:hAnsi="Arial" w:cs="Arial"/>
          <w:b/>
          <w:i/>
          <w:sz w:val="22"/>
          <w:szCs w:val="22"/>
        </w:rPr>
        <w:t>Restoring</w:t>
      </w:r>
      <w:proofErr w:type="spellEnd"/>
      <w:r w:rsidRPr="00877730">
        <w:rPr>
          <w:rFonts w:ascii="Arial" w:hAnsi="Arial" w:cs="Arial"/>
          <w:b/>
          <w:i/>
          <w:sz w:val="22"/>
          <w:szCs w:val="22"/>
        </w:rPr>
        <w:t xml:space="preserve"> </w:t>
      </w:r>
      <w:proofErr w:type="spellStart"/>
      <w:r w:rsidRPr="00877730">
        <w:rPr>
          <w:rFonts w:ascii="Arial" w:hAnsi="Arial" w:cs="Arial"/>
          <w:b/>
          <w:i/>
          <w:sz w:val="22"/>
          <w:szCs w:val="22"/>
        </w:rPr>
        <w:t>degraded</w:t>
      </w:r>
      <w:proofErr w:type="spellEnd"/>
      <w:r w:rsidRPr="00877730">
        <w:rPr>
          <w:rFonts w:ascii="Arial" w:hAnsi="Arial" w:cs="Arial"/>
          <w:b/>
          <w:i/>
          <w:sz w:val="22"/>
          <w:szCs w:val="22"/>
        </w:rPr>
        <w:t xml:space="preserve"> </w:t>
      </w:r>
      <w:proofErr w:type="spellStart"/>
      <w:r w:rsidRPr="00877730">
        <w:rPr>
          <w:rFonts w:ascii="Arial" w:hAnsi="Arial" w:cs="Arial"/>
          <w:b/>
          <w:i/>
          <w:sz w:val="22"/>
          <w:szCs w:val="22"/>
        </w:rPr>
        <w:t>eco-systems</w:t>
      </w:r>
      <w:proofErr w:type="spellEnd"/>
      <w:r w:rsidRPr="00877730">
        <w:rPr>
          <w:rFonts w:ascii="Arial" w:hAnsi="Arial" w:cs="Arial"/>
          <w:b/>
          <w:i/>
          <w:sz w:val="22"/>
          <w:szCs w:val="22"/>
        </w:rPr>
        <w:t xml:space="preserve"> </w:t>
      </w:r>
      <w:proofErr w:type="spellStart"/>
      <w:r w:rsidRPr="00877730">
        <w:rPr>
          <w:rFonts w:ascii="Arial" w:hAnsi="Arial" w:cs="Arial"/>
          <w:b/>
          <w:i/>
          <w:sz w:val="22"/>
          <w:szCs w:val="22"/>
        </w:rPr>
        <w:t>along</w:t>
      </w:r>
      <w:proofErr w:type="spellEnd"/>
      <w:r w:rsidRPr="00877730">
        <w:rPr>
          <w:rFonts w:ascii="Arial" w:hAnsi="Arial" w:cs="Arial"/>
          <w:b/>
          <w:i/>
          <w:sz w:val="22"/>
          <w:szCs w:val="22"/>
        </w:rPr>
        <w:t xml:space="preserve"> </w:t>
      </w:r>
      <w:proofErr w:type="spellStart"/>
      <w:r w:rsidRPr="00877730">
        <w:rPr>
          <w:rFonts w:ascii="Arial" w:hAnsi="Arial" w:cs="Arial"/>
          <w:b/>
          <w:i/>
          <w:sz w:val="22"/>
          <w:szCs w:val="22"/>
        </w:rPr>
        <w:t>the</w:t>
      </w:r>
      <w:proofErr w:type="spellEnd"/>
      <w:r w:rsidRPr="00877730">
        <w:rPr>
          <w:rFonts w:ascii="Arial" w:hAnsi="Arial" w:cs="Arial"/>
          <w:b/>
          <w:i/>
          <w:sz w:val="22"/>
          <w:szCs w:val="22"/>
        </w:rPr>
        <w:t xml:space="preserve"> Green </w:t>
      </w:r>
      <w:proofErr w:type="spellStart"/>
      <w:r w:rsidRPr="00877730">
        <w:rPr>
          <w:rFonts w:ascii="Arial" w:hAnsi="Arial" w:cs="Arial"/>
          <w:b/>
          <w:i/>
          <w:sz w:val="22"/>
          <w:szCs w:val="22"/>
        </w:rPr>
        <w:t>Belt</w:t>
      </w:r>
      <w:proofErr w:type="spellEnd"/>
      <w:r w:rsidRPr="00877730">
        <w:rPr>
          <w:rFonts w:ascii="Arial" w:hAnsi="Arial" w:cs="Arial"/>
          <w:b/>
          <w:i/>
          <w:sz w:val="22"/>
          <w:szCs w:val="22"/>
        </w:rPr>
        <w:t xml:space="preserve"> to </w:t>
      </w:r>
      <w:proofErr w:type="spellStart"/>
      <w:r w:rsidRPr="00877730">
        <w:rPr>
          <w:rFonts w:ascii="Arial" w:hAnsi="Arial" w:cs="Arial"/>
          <w:b/>
          <w:i/>
          <w:sz w:val="22"/>
          <w:szCs w:val="22"/>
        </w:rPr>
        <w:t>improve</w:t>
      </w:r>
      <w:proofErr w:type="spellEnd"/>
      <w:r w:rsidRPr="00877730">
        <w:rPr>
          <w:rFonts w:ascii="Arial" w:hAnsi="Arial" w:cs="Arial"/>
          <w:b/>
          <w:i/>
          <w:sz w:val="22"/>
          <w:szCs w:val="22"/>
        </w:rPr>
        <w:t xml:space="preserve"> and </w:t>
      </w:r>
      <w:proofErr w:type="spellStart"/>
      <w:r w:rsidRPr="00877730">
        <w:rPr>
          <w:rFonts w:ascii="Arial" w:hAnsi="Arial" w:cs="Arial"/>
          <w:b/>
          <w:i/>
          <w:sz w:val="22"/>
          <w:szCs w:val="22"/>
        </w:rPr>
        <w:t>enhance</w:t>
      </w:r>
      <w:proofErr w:type="spellEnd"/>
      <w:r w:rsidRPr="00877730">
        <w:rPr>
          <w:rFonts w:ascii="Arial" w:hAnsi="Arial" w:cs="Arial"/>
          <w:b/>
          <w:i/>
          <w:sz w:val="22"/>
          <w:szCs w:val="22"/>
        </w:rPr>
        <w:t xml:space="preserve"> </w:t>
      </w:r>
      <w:proofErr w:type="gramStart"/>
      <w:r w:rsidRPr="00877730">
        <w:rPr>
          <w:rFonts w:ascii="Arial" w:hAnsi="Arial" w:cs="Arial"/>
          <w:b/>
          <w:i/>
          <w:sz w:val="22"/>
          <w:szCs w:val="22"/>
        </w:rPr>
        <w:t>biodiversity</w:t>
      </w:r>
      <w:proofErr w:type="gramEnd"/>
      <w:r w:rsidRPr="00877730">
        <w:rPr>
          <w:rFonts w:ascii="Arial" w:hAnsi="Arial" w:cs="Arial"/>
          <w:b/>
          <w:i/>
          <w:sz w:val="22"/>
          <w:szCs w:val="22"/>
        </w:rPr>
        <w:t xml:space="preserve"> and </w:t>
      </w:r>
      <w:proofErr w:type="spellStart"/>
      <w:r w:rsidRPr="00877730">
        <w:rPr>
          <w:rFonts w:ascii="Arial" w:hAnsi="Arial" w:cs="Arial"/>
          <w:b/>
          <w:i/>
          <w:sz w:val="22"/>
          <w:szCs w:val="22"/>
        </w:rPr>
        <w:t>ecological</w:t>
      </w:r>
      <w:proofErr w:type="spellEnd"/>
      <w:r w:rsidRPr="00877730">
        <w:rPr>
          <w:rFonts w:ascii="Arial" w:hAnsi="Arial" w:cs="Arial"/>
          <w:b/>
          <w:i/>
          <w:sz w:val="22"/>
          <w:szCs w:val="22"/>
        </w:rPr>
        <w:t xml:space="preserve"> </w:t>
      </w:r>
      <w:proofErr w:type="spellStart"/>
      <w:r w:rsidRPr="00877730">
        <w:rPr>
          <w:rFonts w:ascii="Arial" w:hAnsi="Arial" w:cs="Arial"/>
          <w:b/>
          <w:i/>
          <w:sz w:val="22"/>
          <w:szCs w:val="22"/>
        </w:rPr>
        <w:t>connectivity</w:t>
      </w:r>
      <w:proofErr w:type="spellEnd"/>
      <w:r w:rsidRPr="00877730">
        <w:rPr>
          <w:rFonts w:ascii="Arial" w:hAnsi="Arial" w:cs="Arial"/>
          <w:b/>
          <w:i/>
          <w:sz w:val="22"/>
          <w:szCs w:val="22"/>
        </w:rPr>
        <w:t xml:space="preserve">), CE0100098 </w:t>
      </w:r>
      <w:proofErr w:type="spellStart"/>
      <w:r w:rsidRPr="00877730">
        <w:rPr>
          <w:rFonts w:ascii="Arial" w:hAnsi="Arial" w:cs="Arial"/>
          <w:b/>
          <w:i/>
          <w:sz w:val="22"/>
          <w:szCs w:val="22"/>
        </w:rPr>
        <w:t>ReCo</w:t>
      </w:r>
      <w:proofErr w:type="spellEnd"/>
    </w:p>
    <w:p w14:paraId="0B28EE70" w14:textId="77777777" w:rsidR="00CD2EBF" w:rsidRPr="00877730" w:rsidRDefault="00CD2EBF" w:rsidP="00CD2EBF">
      <w:pPr>
        <w:rPr>
          <w:rFonts w:cs="Arial"/>
        </w:rPr>
      </w:pPr>
      <w:r w:rsidRPr="00877730">
        <w:rPr>
          <w:rFonts w:cs="Arial"/>
        </w:rPr>
        <w:t xml:space="preserve">Partneři na české straně: 4 </w:t>
      </w:r>
    </w:p>
    <w:p w14:paraId="3C500772" w14:textId="77777777" w:rsidR="00CD2EBF" w:rsidRPr="00877730" w:rsidRDefault="00CD2EBF" w:rsidP="00CD2EBF">
      <w:pPr>
        <w:rPr>
          <w:rFonts w:cs="Arial"/>
        </w:rPr>
      </w:pPr>
      <w:r w:rsidRPr="00877730">
        <w:rPr>
          <w:rFonts w:cs="Arial"/>
        </w:rPr>
        <w:t xml:space="preserve">Rozpočet partnera: </w:t>
      </w:r>
    </w:p>
    <w:p w14:paraId="653A6233" w14:textId="6EA48A07" w:rsidR="00CD2EBF" w:rsidRPr="00877730" w:rsidRDefault="00CD2EBF" w:rsidP="00CD2EBF">
      <w:pPr>
        <w:rPr>
          <w:rFonts w:cs="Arial"/>
        </w:rPr>
      </w:pPr>
      <w:r w:rsidRPr="00877730">
        <w:rPr>
          <w:rFonts w:cs="Arial"/>
        </w:rPr>
        <w:t>PP4 – Spolek Ametyst</w:t>
      </w:r>
      <w:r w:rsidR="00BC000A" w:rsidRPr="00877730">
        <w:rPr>
          <w:rFonts w:cs="Arial"/>
        </w:rPr>
        <w:t>:</w:t>
      </w:r>
      <w:r w:rsidRPr="00877730">
        <w:rPr>
          <w:rFonts w:cs="Arial"/>
        </w:rPr>
        <w:t xml:space="preserve"> 183</w:t>
      </w:r>
      <w:r w:rsidR="00BC000A" w:rsidRPr="00877730">
        <w:rPr>
          <w:rFonts w:cs="Arial"/>
        </w:rPr>
        <w:t xml:space="preserve"> </w:t>
      </w:r>
      <w:r w:rsidRPr="00877730">
        <w:rPr>
          <w:rFonts w:cs="Arial"/>
        </w:rPr>
        <w:t>988,00 EUR</w:t>
      </w:r>
    </w:p>
    <w:p w14:paraId="0BD62ACD" w14:textId="4A29F128" w:rsidR="00CD2EBF" w:rsidRPr="00877730" w:rsidRDefault="00CD2EBF" w:rsidP="00CD2EBF">
      <w:pPr>
        <w:rPr>
          <w:rFonts w:cs="Arial"/>
        </w:rPr>
      </w:pPr>
      <w:r w:rsidRPr="00877730">
        <w:rPr>
          <w:rFonts w:cs="Arial"/>
        </w:rPr>
        <w:t xml:space="preserve">PP9 – </w:t>
      </w:r>
      <w:r w:rsidR="00C31F70" w:rsidRPr="00877730">
        <w:rPr>
          <w:rFonts w:cs="Arial"/>
          <w:i/>
          <w:iCs/>
        </w:rPr>
        <w:t xml:space="preserve">Výzkumný ústav pro krajinu, </w:t>
      </w:r>
      <w:proofErr w:type="spellStart"/>
      <w:r w:rsidR="00C31F70" w:rsidRPr="00877730">
        <w:rPr>
          <w:rFonts w:cs="Arial"/>
          <w:i/>
          <w:iCs/>
        </w:rPr>
        <w:t>v.v.i</w:t>
      </w:r>
      <w:proofErr w:type="spellEnd"/>
      <w:r w:rsidRPr="00877730">
        <w:rPr>
          <w:rFonts w:cs="Arial"/>
        </w:rPr>
        <w:t>.</w:t>
      </w:r>
      <w:r w:rsidR="00BC000A" w:rsidRPr="00877730">
        <w:rPr>
          <w:rFonts w:cs="Arial"/>
        </w:rPr>
        <w:t>:</w:t>
      </w:r>
      <w:r w:rsidRPr="00877730">
        <w:rPr>
          <w:rFonts w:cs="Arial"/>
        </w:rPr>
        <w:t xml:space="preserve"> 141</w:t>
      </w:r>
      <w:r w:rsidR="00BC000A" w:rsidRPr="00877730">
        <w:rPr>
          <w:rFonts w:cs="Arial"/>
        </w:rPr>
        <w:t xml:space="preserve"> </w:t>
      </w:r>
      <w:r w:rsidRPr="00877730">
        <w:rPr>
          <w:rFonts w:cs="Arial"/>
        </w:rPr>
        <w:t>680,00 EUR</w:t>
      </w:r>
    </w:p>
    <w:p w14:paraId="3234C002" w14:textId="480FE964" w:rsidR="00CD2EBF" w:rsidRPr="00877730" w:rsidRDefault="00CD2EBF" w:rsidP="00CD2EBF">
      <w:pPr>
        <w:rPr>
          <w:rFonts w:cs="Arial"/>
        </w:rPr>
      </w:pPr>
      <w:r w:rsidRPr="00877730">
        <w:rPr>
          <w:rFonts w:cs="Arial"/>
        </w:rPr>
        <w:t>PP11 – Správa Národního parku Podyjí</w:t>
      </w:r>
      <w:r w:rsidR="00BC000A" w:rsidRPr="00877730">
        <w:rPr>
          <w:rFonts w:cs="Arial"/>
        </w:rPr>
        <w:t>:</w:t>
      </w:r>
      <w:r w:rsidRPr="00877730">
        <w:rPr>
          <w:rFonts w:cs="Arial"/>
        </w:rPr>
        <w:t xml:space="preserve"> 107</w:t>
      </w:r>
      <w:r w:rsidR="00BC000A" w:rsidRPr="00877730">
        <w:rPr>
          <w:rFonts w:cs="Arial"/>
        </w:rPr>
        <w:t xml:space="preserve"> </w:t>
      </w:r>
      <w:r w:rsidRPr="00877730">
        <w:rPr>
          <w:rFonts w:cs="Arial"/>
        </w:rPr>
        <w:t>100,00 EUR</w:t>
      </w:r>
    </w:p>
    <w:p w14:paraId="2CB6D5C8" w14:textId="51C4F983" w:rsidR="00CD2EBF" w:rsidRPr="00877730" w:rsidRDefault="00813254" w:rsidP="00CD2EBF">
      <w:pPr>
        <w:rPr>
          <w:rFonts w:cs="Arial"/>
        </w:rPr>
      </w:pPr>
      <w:r w:rsidRPr="00877730">
        <w:rPr>
          <w:rFonts w:cs="Arial"/>
        </w:rPr>
        <w:t>PP12 – Ministerstvo</w:t>
      </w:r>
      <w:r w:rsidR="00CD2EBF" w:rsidRPr="00877730">
        <w:rPr>
          <w:rFonts w:cs="Arial"/>
        </w:rPr>
        <w:t xml:space="preserve"> životního prostředí České republiky</w:t>
      </w:r>
      <w:r w:rsidR="00BC000A" w:rsidRPr="00877730">
        <w:rPr>
          <w:rFonts w:cs="Arial"/>
        </w:rPr>
        <w:t>:</w:t>
      </w:r>
      <w:r w:rsidR="00CD2EBF" w:rsidRPr="00877730">
        <w:rPr>
          <w:rFonts w:cs="Arial"/>
        </w:rPr>
        <w:t xml:space="preserve"> 184</w:t>
      </w:r>
      <w:r w:rsidR="00BC000A" w:rsidRPr="00877730">
        <w:rPr>
          <w:rFonts w:cs="Arial"/>
        </w:rPr>
        <w:t xml:space="preserve"> </w:t>
      </w:r>
      <w:r w:rsidR="00CD2EBF" w:rsidRPr="00877730">
        <w:rPr>
          <w:rFonts w:cs="Arial"/>
        </w:rPr>
        <w:t>800,00 EUR</w:t>
      </w:r>
    </w:p>
    <w:p w14:paraId="7D343750" w14:textId="77777777" w:rsidR="00CD2EBF" w:rsidRPr="00877730" w:rsidRDefault="00CD2EBF" w:rsidP="00CD2EBF">
      <w:pPr>
        <w:rPr>
          <w:rFonts w:cs="Arial"/>
          <w:b/>
          <w:bCs/>
          <w:i/>
          <w:iCs/>
        </w:rPr>
      </w:pPr>
    </w:p>
    <w:p w14:paraId="573AFA36" w14:textId="26B77B98" w:rsidR="00CD2EBF" w:rsidRPr="00877730" w:rsidRDefault="00CD2EBF" w:rsidP="00CD2EBF">
      <w:pPr>
        <w:rPr>
          <w:rFonts w:cs="Arial"/>
        </w:rPr>
      </w:pPr>
      <w:r w:rsidRPr="00877730">
        <w:rPr>
          <w:rFonts w:cs="Arial"/>
        </w:rPr>
        <w:t xml:space="preserve">Projekt je řešen na území tzv. evropského zeleného pásu, který je unikátním přírodním a kulturním monumentem. Připomíná historické rozdělení Evropy </w:t>
      </w:r>
      <w:r w:rsidR="00704477" w:rsidRPr="00877730">
        <w:rPr>
          <w:rFonts w:cs="Arial"/>
        </w:rPr>
        <w:t>ž</w:t>
      </w:r>
      <w:r w:rsidRPr="00877730">
        <w:rPr>
          <w:rFonts w:cs="Arial"/>
        </w:rPr>
        <w:t>eleznou oponou. V současnosti se pás stal symbolem přeshraniční spolupráce a společného evropského přírodního a kulturního dědictví. Propojuje nejen vzácné přírodní lokality na území 24 států, ale i jednotlivce, nevládní organizace i státní instituce, které se společně podílejí na ochraně a propojování těchto cenných území. Projekt poskytne řešení pro zlepšení ochrany přírodních stanovišť podél středoevropského zeleného pásu. Pomocí pokročilých GIS analýz i s využitím komunitně založených přístupů vytipuje území vhodná pro ekologickou obnovu. Vznikne nadnárodní strategie a regionální plány obnovy degradovaných ekosystémů a jejich konektivity. V 6 pilotních územích budou provedena praktická opatření pro obnovu drobných vodních toků, pastvin a mokřadních lokalit ale i opatření zaměřená na podporu kočky divoké a zubra evropského. Do projektu je zapojeno 12 partnerů ze 6 zemí.</w:t>
      </w:r>
    </w:p>
    <w:p w14:paraId="591C5A47" w14:textId="77777777" w:rsidR="00E730DD" w:rsidRPr="00FE1282" w:rsidRDefault="00E730DD" w:rsidP="007C4955">
      <w:pPr>
        <w:contextualSpacing/>
        <w:rPr>
          <w:rFonts w:cs="Arial"/>
          <w:color w:val="FF0000"/>
        </w:rPr>
      </w:pPr>
    </w:p>
    <w:p w14:paraId="7C620ADC" w14:textId="5DBFF145" w:rsidR="001B4231" w:rsidRPr="00FE1282" w:rsidRDefault="001B4231" w:rsidP="001B4231">
      <w:pPr>
        <w:pStyle w:val="Odstavecseseznamem"/>
        <w:numPr>
          <w:ilvl w:val="0"/>
          <w:numId w:val="11"/>
        </w:numPr>
        <w:ind w:left="426" w:hanging="426"/>
        <w:rPr>
          <w:rFonts w:ascii="Arial" w:hAnsi="Arial" w:cs="Arial"/>
          <w:b/>
          <w:i/>
          <w:sz w:val="22"/>
          <w:szCs w:val="22"/>
        </w:rPr>
      </w:pPr>
      <w:proofErr w:type="spellStart"/>
      <w:r w:rsidRPr="00FE1282">
        <w:rPr>
          <w:rFonts w:ascii="Arial" w:hAnsi="Arial" w:cs="Arial"/>
          <w:b/>
          <w:i/>
          <w:sz w:val="22"/>
          <w:szCs w:val="22"/>
        </w:rPr>
        <w:t>Restoring</w:t>
      </w:r>
      <w:proofErr w:type="spellEnd"/>
      <w:r w:rsidRPr="00FE1282">
        <w:rPr>
          <w:rFonts w:ascii="Arial" w:hAnsi="Arial" w:cs="Arial"/>
          <w:b/>
          <w:i/>
          <w:sz w:val="22"/>
          <w:szCs w:val="22"/>
        </w:rPr>
        <w:t xml:space="preserve"> </w:t>
      </w:r>
      <w:proofErr w:type="spellStart"/>
      <w:r w:rsidRPr="00FE1282">
        <w:rPr>
          <w:rFonts w:ascii="Arial" w:hAnsi="Arial" w:cs="Arial"/>
          <w:b/>
          <w:i/>
          <w:sz w:val="22"/>
          <w:szCs w:val="22"/>
        </w:rPr>
        <w:t>urban</w:t>
      </w:r>
      <w:proofErr w:type="spellEnd"/>
      <w:r w:rsidRPr="00FE1282">
        <w:rPr>
          <w:rFonts w:ascii="Arial" w:hAnsi="Arial" w:cs="Arial"/>
          <w:b/>
          <w:i/>
          <w:sz w:val="22"/>
          <w:szCs w:val="22"/>
        </w:rPr>
        <w:t xml:space="preserve"> </w:t>
      </w:r>
      <w:proofErr w:type="spellStart"/>
      <w:r w:rsidRPr="00FE1282">
        <w:rPr>
          <w:rFonts w:ascii="Arial" w:hAnsi="Arial" w:cs="Arial"/>
          <w:b/>
          <w:i/>
          <w:sz w:val="22"/>
          <w:szCs w:val="22"/>
        </w:rPr>
        <w:t>streams</w:t>
      </w:r>
      <w:proofErr w:type="spellEnd"/>
      <w:r w:rsidRPr="00FE1282">
        <w:rPr>
          <w:rFonts w:ascii="Arial" w:hAnsi="Arial" w:cs="Arial"/>
          <w:b/>
          <w:i/>
          <w:sz w:val="22"/>
          <w:szCs w:val="22"/>
        </w:rPr>
        <w:t xml:space="preserve"> to </w:t>
      </w:r>
      <w:proofErr w:type="spellStart"/>
      <w:r w:rsidRPr="00FE1282">
        <w:rPr>
          <w:rFonts w:ascii="Arial" w:hAnsi="Arial" w:cs="Arial"/>
          <w:b/>
          <w:i/>
          <w:sz w:val="22"/>
          <w:szCs w:val="22"/>
        </w:rPr>
        <w:t>promote</w:t>
      </w:r>
      <w:proofErr w:type="spellEnd"/>
      <w:r w:rsidRPr="00FE1282">
        <w:rPr>
          <w:rFonts w:ascii="Arial" w:hAnsi="Arial" w:cs="Arial"/>
          <w:b/>
          <w:i/>
          <w:sz w:val="22"/>
          <w:szCs w:val="22"/>
        </w:rPr>
        <w:t xml:space="preserve"> Biodiversity, </w:t>
      </w:r>
      <w:proofErr w:type="spellStart"/>
      <w:r w:rsidRPr="00FE1282">
        <w:rPr>
          <w:rFonts w:ascii="Arial" w:hAnsi="Arial" w:cs="Arial"/>
          <w:b/>
          <w:i/>
          <w:sz w:val="22"/>
          <w:szCs w:val="22"/>
        </w:rPr>
        <w:t>Climate</w:t>
      </w:r>
      <w:proofErr w:type="spellEnd"/>
      <w:r w:rsidRPr="00FE1282">
        <w:rPr>
          <w:rFonts w:ascii="Arial" w:hAnsi="Arial" w:cs="Arial"/>
          <w:b/>
          <w:i/>
          <w:sz w:val="22"/>
          <w:szCs w:val="22"/>
        </w:rPr>
        <w:t xml:space="preserve"> </w:t>
      </w:r>
      <w:proofErr w:type="spellStart"/>
      <w:r w:rsidRPr="00FE1282">
        <w:rPr>
          <w:rFonts w:ascii="Arial" w:hAnsi="Arial" w:cs="Arial"/>
          <w:b/>
          <w:i/>
          <w:sz w:val="22"/>
          <w:szCs w:val="22"/>
        </w:rPr>
        <w:t>adaptation</w:t>
      </w:r>
      <w:proofErr w:type="spellEnd"/>
      <w:r w:rsidRPr="00FE1282">
        <w:rPr>
          <w:rFonts w:ascii="Arial" w:hAnsi="Arial" w:cs="Arial"/>
          <w:b/>
          <w:i/>
          <w:sz w:val="22"/>
          <w:szCs w:val="22"/>
        </w:rPr>
        <w:t xml:space="preserve"> and to </w:t>
      </w:r>
      <w:proofErr w:type="spellStart"/>
      <w:r w:rsidRPr="00FE1282">
        <w:rPr>
          <w:rFonts w:ascii="Arial" w:hAnsi="Arial" w:cs="Arial"/>
          <w:b/>
          <w:i/>
          <w:sz w:val="22"/>
          <w:szCs w:val="22"/>
        </w:rPr>
        <w:t>improve</w:t>
      </w:r>
      <w:proofErr w:type="spellEnd"/>
      <w:r w:rsidRPr="00FE1282">
        <w:rPr>
          <w:rFonts w:ascii="Arial" w:hAnsi="Arial" w:cs="Arial"/>
          <w:b/>
          <w:i/>
          <w:sz w:val="22"/>
          <w:szCs w:val="22"/>
        </w:rPr>
        <w:t xml:space="preserve"> </w:t>
      </w:r>
      <w:proofErr w:type="spellStart"/>
      <w:r w:rsidRPr="00FE1282">
        <w:rPr>
          <w:rFonts w:ascii="Arial" w:hAnsi="Arial" w:cs="Arial"/>
          <w:b/>
          <w:i/>
          <w:sz w:val="22"/>
          <w:szCs w:val="22"/>
        </w:rPr>
        <w:t>quality</w:t>
      </w:r>
      <w:proofErr w:type="spellEnd"/>
      <w:r w:rsidRPr="00FE1282">
        <w:rPr>
          <w:rFonts w:ascii="Arial" w:hAnsi="Arial" w:cs="Arial"/>
          <w:b/>
          <w:i/>
          <w:sz w:val="22"/>
          <w:szCs w:val="22"/>
        </w:rPr>
        <w:t xml:space="preserve"> </w:t>
      </w:r>
      <w:proofErr w:type="spellStart"/>
      <w:r w:rsidRPr="00FE1282">
        <w:rPr>
          <w:rFonts w:ascii="Arial" w:hAnsi="Arial" w:cs="Arial"/>
          <w:b/>
          <w:i/>
          <w:sz w:val="22"/>
          <w:szCs w:val="22"/>
        </w:rPr>
        <w:t>of</w:t>
      </w:r>
      <w:proofErr w:type="spellEnd"/>
      <w:r w:rsidRPr="00FE1282">
        <w:rPr>
          <w:rFonts w:ascii="Arial" w:hAnsi="Arial" w:cs="Arial"/>
          <w:b/>
          <w:i/>
          <w:sz w:val="22"/>
          <w:szCs w:val="22"/>
        </w:rPr>
        <w:t xml:space="preserve"> </w:t>
      </w:r>
      <w:proofErr w:type="spellStart"/>
      <w:r w:rsidRPr="00FE1282">
        <w:rPr>
          <w:rFonts w:ascii="Arial" w:hAnsi="Arial" w:cs="Arial"/>
          <w:b/>
          <w:i/>
          <w:sz w:val="22"/>
          <w:szCs w:val="22"/>
        </w:rPr>
        <w:t>life</w:t>
      </w:r>
      <w:proofErr w:type="spellEnd"/>
      <w:r w:rsidRPr="00FE1282">
        <w:rPr>
          <w:rFonts w:ascii="Arial" w:hAnsi="Arial" w:cs="Arial"/>
          <w:b/>
          <w:i/>
          <w:sz w:val="22"/>
          <w:szCs w:val="22"/>
        </w:rPr>
        <w:t xml:space="preserve"> in </w:t>
      </w:r>
      <w:proofErr w:type="spellStart"/>
      <w:r w:rsidRPr="00FE1282">
        <w:rPr>
          <w:rFonts w:ascii="Arial" w:hAnsi="Arial" w:cs="Arial"/>
          <w:b/>
          <w:i/>
          <w:sz w:val="22"/>
          <w:szCs w:val="22"/>
        </w:rPr>
        <w:t>cities</w:t>
      </w:r>
      <w:proofErr w:type="spellEnd"/>
      <w:r w:rsidRPr="00FE1282">
        <w:rPr>
          <w:rFonts w:ascii="Arial" w:hAnsi="Arial" w:cs="Arial"/>
          <w:b/>
          <w:i/>
          <w:sz w:val="22"/>
          <w:szCs w:val="22"/>
        </w:rPr>
        <w:t xml:space="preserve"> (</w:t>
      </w:r>
      <w:proofErr w:type="spellStart"/>
      <w:r w:rsidRPr="00FE1282">
        <w:rPr>
          <w:rFonts w:ascii="Arial" w:hAnsi="Arial" w:cs="Arial"/>
          <w:b/>
          <w:i/>
          <w:sz w:val="22"/>
          <w:szCs w:val="22"/>
        </w:rPr>
        <w:t>ReBioClim</w:t>
      </w:r>
      <w:proofErr w:type="spellEnd"/>
      <w:r w:rsidRPr="00FE1282">
        <w:rPr>
          <w:rFonts w:ascii="Arial" w:hAnsi="Arial" w:cs="Arial"/>
          <w:b/>
          <w:i/>
          <w:sz w:val="22"/>
          <w:szCs w:val="22"/>
        </w:rPr>
        <w:t xml:space="preserve"> – CE0200754)</w:t>
      </w:r>
    </w:p>
    <w:p w14:paraId="4BB77484" w14:textId="77777777" w:rsidR="001B4231" w:rsidRPr="00FE1282" w:rsidRDefault="001B4231" w:rsidP="001B4231">
      <w:pPr>
        <w:rPr>
          <w:rFonts w:cs="Arial"/>
        </w:rPr>
      </w:pPr>
      <w:r w:rsidRPr="00FE1282">
        <w:rPr>
          <w:rFonts w:cs="Arial"/>
        </w:rPr>
        <w:t xml:space="preserve">Partneři na české straně: 2 </w:t>
      </w:r>
    </w:p>
    <w:p w14:paraId="57FDD59A" w14:textId="77777777" w:rsidR="001B4231" w:rsidRPr="00FE1282" w:rsidRDefault="001B4231" w:rsidP="001B4231">
      <w:pPr>
        <w:rPr>
          <w:rFonts w:cs="Arial"/>
        </w:rPr>
      </w:pPr>
      <w:r w:rsidRPr="00FE1282">
        <w:rPr>
          <w:rFonts w:cs="Arial"/>
        </w:rPr>
        <w:t xml:space="preserve">Rozpočet partnera: </w:t>
      </w:r>
    </w:p>
    <w:p w14:paraId="3FF85321" w14:textId="2C6928AB" w:rsidR="001B4231" w:rsidRPr="00FE1282" w:rsidRDefault="001B4231" w:rsidP="001B4231">
      <w:pPr>
        <w:rPr>
          <w:rFonts w:cs="Arial"/>
        </w:rPr>
      </w:pPr>
      <w:r w:rsidRPr="00FE1282">
        <w:rPr>
          <w:rFonts w:cs="Arial"/>
        </w:rPr>
        <w:t>PP4 – Univerzita Jana Evangelisty Purkyně v Ústí nad Labem: 218</w:t>
      </w:r>
      <w:r w:rsidR="009C1E82" w:rsidRPr="00FE1282">
        <w:rPr>
          <w:rFonts w:cs="Arial"/>
        </w:rPr>
        <w:t xml:space="preserve"> </w:t>
      </w:r>
      <w:r w:rsidRPr="00FE1282">
        <w:rPr>
          <w:rFonts w:cs="Arial"/>
        </w:rPr>
        <w:t>591,78 EUR</w:t>
      </w:r>
    </w:p>
    <w:p w14:paraId="3499FF31" w14:textId="0434CED5" w:rsidR="001B4231" w:rsidRPr="00FE1282" w:rsidRDefault="001B4231" w:rsidP="001B4231">
      <w:pPr>
        <w:rPr>
          <w:rFonts w:cs="Arial"/>
        </w:rPr>
      </w:pPr>
      <w:r w:rsidRPr="00FE1282">
        <w:rPr>
          <w:rFonts w:cs="Arial"/>
        </w:rPr>
        <w:t>PP12 – Statutární město Jablonec nad Nisou: 112</w:t>
      </w:r>
      <w:r w:rsidR="009C1E82" w:rsidRPr="00FE1282">
        <w:rPr>
          <w:rFonts w:cs="Arial"/>
        </w:rPr>
        <w:t xml:space="preserve"> </w:t>
      </w:r>
      <w:r w:rsidRPr="00FE1282">
        <w:rPr>
          <w:rFonts w:cs="Arial"/>
        </w:rPr>
        <w:t>166,00 EUR</w:t>
      </w:r>
    </w:p>
    <w:p w14:paraId="12DFCB5A" w14:textId="77777777" w:rsidR="001B4231" w:rsidRPr="00FE1282" w:rsidRDefault="001B4231" w:rsidP="001B4231">
      <w:pPr>
        <w:rPr>
          <w:rFonts w:cs="Arial"/>
        </w:rPr>
      </w:pPr>
    </w:p>
    <w:p w14:paraId="2E88F94A" w14:textId="77777777" w:rsidR="001B4231" w:rsidRPr="00FE1282" w:rsidRDefault="001B4231" w:rsidP="001B4231">
      <w:pPr>
        <w:rPr>
          <w:rFonts w:cs="Arial"/>
        </w:rPr>
      </w:pPr>
      <w:r w:rsidRPr="00FE1282">
        <w:rPr>
          <w:rFonts w:cs="Arial"/>
        </w:rPr>
        <w:t>Cílem projektu je obnovit městské toky a pomocí přírodě blízkých opatření zvýšit místní biodiverzitu a schopnost adaptace na změnu klimatu.</w:t>
      </w:r>
    </w:p>
    <w:p w14:paraId="57D04B32" w14:textId="77777777" w:rsidR="001B4231" w:rsidRPr="00FE1282" w:rsidRDefault="001B4231" w:rsidP="001B4231">
      <w:pPr>
        <w:rPr>
          <w:rFonts w:cs="Arial"/>
        </w:rPr>
      </w:pPr>
      <w:r w:rsidRPr="00FE1282">
        <w:rPr>
          <w:rFonts w:cs="Arial"/>
        </w:rPr>
        <w:t>V rámci mezinárodního konsorcia akademických institucí, odborníků a měst bude vytvořen komplexní postup pro plánování revitalizací městských a příměstských vodních toků. Tento postup zohlední ekologické, institucionální, sociální a urbanistické aspekty a bude pilotně vyzkoušený v partnerských městech. Vznikne průvodce osvědčenými postupy pro preferovaná přírodě blízká opatření a také příručka poskytující praktické pokyny k obnově městských toků.</w:t>
      </w:r>
    </w:p>
    <w:p w14:paraId="58258AF1" w14:textId="77777777" w:rsidR="000639E0" w:rsidRPr="00FE1282" w:rsidRDefault="000639E0" w:rsidP="007C4955">
      <w:pPr>
        <w:contextualSpacing/>
        <w:rPr>
          <w:rFonts w:cs="Arial"/>
          <w:color w:val="FF0000"/>
        </w:rPr>
      </w:pPr>
    </w:p>
    <w:p w14:paraId="6D5E2CDA" w14:textId="7F4D0071" w:rsidR="00D6451F" w:rsidRPr="00FE1282" w:rsidRDefault="00D6451F" w:rsidP="00D6451F">
      <w:pPr>
        <w:pStyle w:val="Odstavecseseznamem"/>
        <w:numPr>
          <w:ilvl w:val="0"/>
          <w:numId w:val="11"/>
        </w:numPr>
        <w:ind w:left="426" w:hanging="426"/>
        <w:rPr>
          <w:rFonts w:ascii="Arial" w:hAnsi="Arial" w:cs="Arial"/>
          <w:b/>
          <w:i/>
          <w:sz w:val="22"/>
          <w:szCs w:val="22"/>
        </w:rPr>
      </w:pPr>
      <w:proofErr w:type="spellStart"/>
      <w:r w:rsidRPr="00FE1282">
        <w:rPr>
          <w:rFonts w:ascii="Arial" w:hAnsi="Arial" w:cs="Arial"/>
          <w:b/>
          <w:i/>
          <w:sz w:val="22"/>
          <w:szCs w:val="22"/>
        </w:rPr>
        <w:t>Increasing</w:t>
      </w:r>
      <w:proofErr w:type="spellEnd"/>
      <w:r w:rsidRPr="00FE1282">
        <w:rPr>
          <w:rFonts w:ascii="Arial" w:hAnsi="Arial" w:cs="Arial"/>
          <w:b/>
          <w:i/>
          <w:sz w:val="22"/>
          <w:szCs w:val="22"/>
        </w:rPr>
        <w:t xml:space="preserve"> </w:t>
      </w:r>
      <w:proofErr w:type="spellStart"/>
      <w:r w:rsidRPr="00FE1282">
        <w:rPr>
          <w:rFonts w:ascii="Arial" w:hAnsi="Arial" w:cs="Arial"/>
          <w:b/>
          <w:i/>
          <w:sz w:val="22"/>
          <w:szCs w:val="22"/>
        </w:rPr>
        <w:t>Climate</w:t>
      </w:r>
      <w:proofErr w:type="spellEnd"/>
      <w:r w:rsidRPr="00FE1282">
        <w:rPr>
          <w:rFonts w:ascii="Arial" w:hAnsi="Arial" w:cs="Arial"/>
          <w:b/>
          <w:i/>
          <w:sz w:val="22"/>
          <w:szCs w:val="22"/>
        </w:rPr>
        <w:t xml:space="preserve"> </w:t>
      </w:r>
      <w:proofErr w:type="spellStart"/>
      <w:r w:rsidRPr="00FE1282">
        <w:rPr>
          <w:rFonts w:ascii="Arial" w:hAnsi="Arial" w:cs="Arial"/>
          <w:b/>
          <w:i/>
          <w:sz w:val="22"/>
          <w:szCs w:val="22"/>
        </w:rPr>
        <w:t>Change</w:t>
      </w:r>
      <w:proofErr w:type="spellEnd"/>
      <w:r w:rsidRPr="00FE1282">
        <w:rPr>
          <w:rFonts w:ascii="Arial" w:hAnsi="Arial" w:cs="Arial"/>
          <w:b/>
          <w:i/>
          <w:sz w:val="22"/>
          <w:szCs w:val="22"/>
        </w:rPr>
        <w:t xml:space="preserve"> </w:t>
      </w:r>
      <w:proofErr w:type="spellStart"/>
      <w:r w:rsidRPr="00FE1282">
        <w:rPr>
          <w:rFonts w:ascii="Arial" w:hAnsi="Arial" w:cs="Arial"/>
          <w:b/>
          <w:i/>
          <w:sz w:val="22"/>
          <w:szCs w:val="22"/>
        </w:rPr>
        <w:t>Resilience</w:t>
      </w:r>
      <w:proofErr w:type="spellEnd"/>
      <w:r w:rsidRPr="00FE1282">
        <w:rPr>
          <w:rFonts w:ascii="Arial" w:hAnsi="Arial" w:cs="Arial"/>
          <w:b/>
          <w:i/>
          <w:sz w:val="22"/>
          <w:szCs w:val="22"/>
        </w:rPr>
        <w:t xml:space="preserve"> in </w:t>
      </w:r>
      <w:proofErr w:type="spellStart"/>
      <w:r w:rsidRPr="00FE1282">
        <w:rPr>
          <w:rFonts w:ascii="Arial" w:hAnsi="Arial" w:cs="Arial"/>
          <w:b/>
          <w:i/>
          <w:sz w:val="22"/>
          <w:szCs w:val="22"/>
        </w:rPr>
        <w:t>Central</w:t>
      </w:r>
      <w:proofErr w:type="spellEnd"/>
      <w:r w:rsidRPr="00FE1282">
        <w:rPr>
          <w:rFonts w:ascii="Arial" w:hAnsi="Arial" w:cs="Arial"/>
          <w:b/>
          <w:i/>
          <w:sz w:val="22"/>
          <w:szCs w:val="22"/>
        </w:rPr>
        <w:t xml:space="preserve"> </w:t>
      </w:r>
      <w:proofErr w:type="spellStart"/>
      <w:r w:rsidRPr="00FE1282">
        <w:rPr>
          <w:rFonts w:ascii="Arial" w:hAnsi="Arial" w:cs="Arial"/>
          <w:b/>
          <w:i/>
          <w:sz w:val="22"/>
          <w:szCs w:val="22"/>
        </w:rPr>
        <w:t>Europe</w:t>
      </w:r>
      <w:proofErr w:type="spellEnd"/>
      <w:r w:rsidRPr="00FE1282">
        <w:rPr>
          <w:rFonts w:ascii="Arial" w:hAnsi="Arial" w:cs="Arial"/>
          <w:b/>
          <w:i/>
          <w:sz w:val="22"/>
          <w:szCs w:val="22"/>
        </w:rPr>
        <w:t xml:space="preserve"> (</w:t>
      </w:r>
      <w:proofErr w:type="spellStart"/>
      <w:r w:rsidRPr="00FE1282">
        <w:rPr>
          <w:rFonts w:ascii="Arial" w:hAnsi="Arial" w:cs="Arial"/>
          <w:b/>
          <w:i/>
          <w:sz w:val="22"/>
          <w:szCs w:val="22"/>
        </w:rPr>
        <w:t>Climate_CRICES</w:t>
      </w:r>
      <w:proofErr w:type="spellEnd"/>
      <w:r w:rsidRPr="00FE1282">
        <w:rPr>
          <w:rFonts w:ascii="Arial" w:hAnsi="Arial" w:cs="Arial"/>
          <w:b/>
          <w:i/>
          <w:sz w:val="22"/>
          <w:szCs w:val="22"/>
        </w:rPr>
        <w:t xml:space="preserve"> CE0200728) </w:t>
      </w:r>
    </w:p>
    <w:p w14:paraId="50EB8F1F" w14:textId="77777777" w:rsidR="00D6451F" w:rsidRPr="00FE1282" w:rsidRDefault="00D6451F" w:rsidP="00D6451F">
      <w:pPr>
        <w:rPr>
          <w:rFonts w:cs="Arial"/>
        </w:rPr>
      </w:pPr>
      <w:r w:rsidRPr="00FE1282">
        <w:rPr>
          <w:rFonts w:cs="Arial"/>
        </w:rPr>
        <w:t>Partneři na české straně: 1</w:t>
      </w:r>
    </w:p>
    <w:p w14:paraId="77DE6FB3" w14:textId="77777777" w:rsidR="00D6451F" w:rsidRPr="00FE1282" w:rsidRDefault="00D6451F" w:rsidP="00D6451F">
      <w:pPr>
        <w:rPr>
          <w:rFonts w:cs="Arial"/>
        </w:rPr>
      </w:pPr>
      <w:r w:rsidRPr="00FE1282">
        <w:rPr>
          <w:rFonts w:cs="Arial"/>
        </w:rPr>
        <w:t xml:space="preserve">Rozpočet partnera: </w:t>
      </w:r>
    </w:p>
    <w:p w14:paraId="2B702542" w14:textId="3961BB33" w:rsidR="00D6451F" w:rsidRPr="00FE1282" w:rsidRDefault="00D6451F" w:rsidP="00D6451F">
      <w:pPr>
        <w:rPr>
          <w:rFonts w:cs="Arial"/>
        </w:rPr>
      </w:pPr>
      <w:r w:rsidRPr="00FE1282">
        <w:rPr>
          <w:rFonts w:cs="Arial"/>
        </w:rPr>
        <w:t xml:space="preserve">PP9 – Univerzita Jana Evangelisty Purkyně v Ústí nad Labem: 127 146,00 EUR </w:t>
      </w:r>
    </w:p>
    <w:p w14:paraId="085218F1" w14:textId="77777777" w:rsidR="00D6451F" w:rsidRPr="00FE1282" w:rsidRDefault="00D6451F" w:rsidP="00D6451F">
      <w:pPr>
        <w:rPr>
          <w:rFonts w:cs="Arial"/>
        </w:rPr>
      </w:pPr>
    </w:p>
    <w:p w14:paraId="50937F5C" w14:textId="77777777" w:rsidR="00D6451F" w:rsidRPr="009E1094" w:rsidRDefault="00D6451F" w:rsidP="00D6451F">
      <w:pPr>
        <w:rPr>
          <w:rFonts w:cs="Arial"/>
        </w:rPr>
      </w:pPr>
      <w:r w:rsidRPr="00FE1282">
        <w:rPr>
          <w:rFonts w:cs="Arial"/>
        </w:rPr>
        <w:t>Cílem projektu je zvýšit schopnost orgánů veřejné správy zvládat předpokládané dopady změny klimatu se zaměřením na nejdůležitější jevy zjištěné v regionech střední Evropy: horko a sucho, nedostatek vody a povodně, dopad na biologickou rozmanitost. Úkolem je využít obrovské množství environmentálních, vodohospodářských a meteorologických dat, aby se zvýšily znalosti regionálních orgánů a podpořila analýza a plánování opatření na zmírnění dopadů změny klimatu a přizpůsobení se této změně. Regiony, odvětvové agentury a výzkumné instituce z Rakouska, Německa, Polska, Maďarska, České republiky, Chorvatska a Itálie totiž potřebují zvýšit odolnost vůči dopadům změny k</w:t>
      </w:r>
      <w:r w:rsidRPr="009E1094">
        <w:rPr>
          <w:rFonts w:cs="Arial"/>
        </w:rPr>
        <w:t>limatu na venkovské a městské oblasti pomocí efektivnějších a přesnějších analýz a prognóz.</w:t>
      </w:r>
    </w:p>
    <w:p w14:paraId="24FB5F20" w14:textId="77777777" w:rsidR="000639E0" w:rsidRPr="009E1094" w:rsidRDefault="000639E0" w:rsidP="00E1789B">
      <w:pPr>
        <w:rPr>
          <w:rFonts w:cs="Arial"/>
          <w:color w:val="FF0000"/>
        </w:rPr>
      </w:pPr>
    </w:p>
    <w:p w14:paraId="76F54844" w14:textId="585DAC00" w:rsidR="00623C6D" w:rsidRPr="009E1094" w:rsidRDefault="00623C6D" w:rsidP="00623C6D">
      <w:pPr>
        <w:pStyle w:val="Odstavecseseznamem"/>
        <w:numPr>
          <w:ilvl w:val="0"/>
          <w:numId w:val="11"/>
        </w:numPr>
        <w:ind w:left="426" w:hanging="502"/>
        <w:rPr>
          <w:rFonts w:ascii="Arial" w:hAnsi="Arial" w:cs="Arial"/>
          <w:b/>
          <w:i/>
          <w:sz w:val="22"/>
          <w:szCs w:val="22"/>
        </w:rPr>
      </w:pPr>
      <w:r w:rsidRPr="009E1094">
        <w:rPr>
          <w:rFonts w:ascii="Arial" w:hAnsi="Arial" w:cs="Arial"/>
          <w:b/>
          <w:i/>
          <w:sz w:val="22"/>
          <w:szCs w:val="22"/>
        </w:rPr>
        <w:t xml:space="preserve">CONE – </w:t>
      </w:r>
      <w:proofErr w:type="spellStart"/>
      <w:r w:rsidRPr="009E1094">
        <w:rPr>
          <w:rFonts w:ascii="Arial" w:hAnsi="Arial" w:cs="Arial"/>
          <w:b/>
          <w:i/>
          <w:sz w:val="22"/>
          <w:szCs w:val="22"/>
        </w:rPr>
        <w:t>Cities</w:t>
      </w:r>
      <w:proofErr w:type="spellEnd"/>
      <w:r w:rsidRPr="009E1094">
        <w:rPr>
          <w:rFonts w:ascii="Arial" w:hAnsi="Arial" w:cs="Arial"/>
          <w:b/>
          <w:i/>
          <w:sz w:val="22"/>
          <w:szCs w:val="22"/>
        </w:rPr>
        <w:t xml:space="preserve"> </w:t>
      </w:r>
      <w:proofErr w:type="spellStart"/>
      <w:r w:rsidRPr="009E1094">
        <w:rPr>
          <w:rFonts w:ascii="Arial" w:hAnsi="Arial" w:cs="Arial"/>
          <w:b/>
          <w:i/>
          <w:sz w:val="22"/>
          <w:szCs w:val="22"/>
        </w:rPr>
        <w:t>of</w:t>
      </w:r>
      <w:proofErr w:type="spellEnd"/>
      <w:r w:rsidRPr="009E1094">
        <w:rPr>
          <w:rFonts w:ascii="Arial" w:hAnsi="Arial" w:cs="Arial"/>
          <w:b/>
          <w:i/>
          <w:sz w:val="22"/>
          <w:szCs w:val="22"/>
        </w:rPr>
        <w:t xml:space="preserve"> </w:t>
      </w:r>
      <w:proofErr w:type="spellStart"/>
      <w:r w:rsidRPr="009E1094">
        <w:rPr>
          <w:rFonts w:ascii="Arial" w:hAnsi="Arial" w:cs="Arial"/>
          <w:b/>
          <w:i/>
          <w:sz w:val="22"/>
          <w:szCs w:val="22"/>
        </w:rPr>
        <w:t>nature</w:t>
      </w:r>
      <w:proofErr w:type="spellEnd"/>
      <w:r w:rsidRPr="009E1094">
        <w:rPr>
          <w:rFonts w:ascii="Arial" w:hAnsi="Arial" w:cs="Arial"/>
          <w:b/>
          <w:i/>
          <w:sz w:val="22"/>
          <w:szCs w:val="22"/>
        </w:rPr>
        <w:t xml:space="preserve">: </w:t>
      </w:r>
      <w:proofErr w:type="spellStart"/>
      <w:r w:rsidRPr="009E1094">
        <w:rPr>
          <w:rFonts w:ascii="Arial" w:hAnsi="Arial" w:cs="Arial"/>
          <w:b/>
          <w:i/>
          <w:sz w:val="22"/>
          <w:szCs w:val="22"/>
        </w:rPr>
        <w:t>nature-based-solutions</w:t>
      </w:r>
      <w:proofErr w:type="spellEnd"/>
      <w:r w:rsidRPr="009E1094">
        <w:rPr>
          <w:rFonts w:ascii="Arial" w:hAnsi="Arial" w:cs="Arial"/>
          <w:b/>
          <w:i/>
          <w:sz w:val="22"/>
          <w:szCs w:val="22"/>
        </w:rPr>
        <w:t xml:space="preserve"> in </w:t>
      </w:r>
      <w:proofErr w:type="spellStart"/>
      <w:r w:rsidRPr="009E1094">
        <w:rPr>
          <w:rFonts w:ascii="Arial" w:hAnsi="Arial" w:cs="Arial"/>
          <w:b/>
          <w:i/>
          <w:sz w:val="22"/>
          <w:szCs w:val="22"/>
        </w:rPr>
        <w:t>urban</w:t>
      </w:r>
      <w:proofErr w:type="spellEnd"/>
      <w:r w:rsidRPr="009E1094">
        <w:rPr>
          <w:rFonts w:ascii="Arial" w:hAnsi="Arial" w:cs="Arial"/>
          <w:b/>
          <w:i/>
          <w:sz w:val="22"/>
          <w:szCs w:val="22"/>
        </w:rPr>
        <w:t xml:space="preserve"> </w:t>
      </w:r>
      <w:proofErr w:type="spellStart"/>
      <w:r w:rsidRPr="009E1094">
        <w:rPr>
          <w:rFonts w:ascii="Arial" w:hAnsi="Arial" w:cs="Arial"/>
          <w:b/>
          <w:i/>
          <w:sz w:val="22"/>
          <w:szCs w:val="22"/>
        </w:rPr>
        <w:t>living</w:t>
      </w:r>
      <w:proofErr w:type="spellEnd"/>
      <w:r w:rsidRPr="009E1094">
        <w:rPr>
          <w:rFonts w:ascii="Arial" w:hAnsi="Arial" w:cs="Arial"/>
          <w:b/>
          <w:i/>
          <w:sz w:val="22"/>
          <w:szCs w:val="22"/>
        </w:rPr>
        <w:t xml:space="preserve"> </w:t>
      </w:r>
      <w:proofErr w:type="spellStart"/>
      <w:r w:rsidRPr="009E1094">
        <w:rPr>
          <w:rFonts w:ascii="Arial" w:hAnsi="Arial" w:cs="Arial"/>
          <w:b/>
          <w:i/>
          <w:sz w:val="22"/>
          <w:szCs w:val="22"/>
        </w:rPr>
        <w:t>labs</w:t>
      </w:r>
      <w:proofErr w:type="spellEnd"/>
      <w:r w:rsidRPr="009E1094">
        <w:rPr>
          <w:rFonts w:ascii="Arial" w:hAnsi="Arial" w:cs="Arial"/>
          <w:b/>
          <w:i/>
          <w:sz w:val="22"/>
          <w:szCs w:val="22"/>
        </w:rPr>
        <w:t xml:space="preserve"> (CONE-CE0200766)</w:t>
      </w:r>
    </w:p>
    <w:p w14:paraId="3AE24679" w14:textId="77777777" w:rsidR="00623C6D" w:rsidRPr="009E1094" w:rsidRDefault="00623C6D" w:rsidP="00623C6D">
      <w:pPr>
        <w:rPr>
          <w:rFonts w:cs="Arial"/>
        </w:rPr>
      </w:pPr>
      <w:r w:rsidRPr="009E1094">
        <w:rPr>
          <w:rFonts w:cs="Arial"/>
        </w:rPr>
        <w:t>Partneři na české straně: 2</w:t>
      </w:r>
    </w:p>
    <w:p w14:paraId="15B66DD8" w14:textId="77777777" w:rsidR="00623C6D" w:rsidRPr="009E1094" w:rsidRDefault="00623C6D" w:rsidP="00623C6D">
      <w:pPr>
        <w:rPr>
          <w:rFonts w:cs="Arial"/>
        </w:rPr>
      </w:pPr>
      <w:r w:rsidRPr="009E1094">
        <w:rPr>
          <w:rFonts w:cs="Arial"/>
        </w:rPr>
        <w:t xml:space="preserve">Rozpočet partnera: </w:t>
      </w:r>
    </w:p>
    <w:p w14:paraId="12A0C1CD" w14:textId="0377D73E" w:rsidR="00623C6D" w:rsidRPr="009E1094" w:rsidRDefault="00623C6D" w:rsidP="00623C6D">
      <w:pPr>
        <w:rPr>
          <w:rFonts w:cs="Arial"/>
        </w:rPr>
      </w:pPr>
      <w:r w:rsidRPr="009E1094">
        <w:rPr>
          <w:rFonts w:cs="Arial"/>
        </w:rPr>
        <w:t xml:space="preserve">PP6 – JAIP – Jihočeská agentura pro podporu inovací, o.p.s.: 191 400,00 EUR </w:t>
      </w:r>
    </w:p>
    <w:p w14:paraId="3C379024" w14:textId="35F8FE3A" w:rsidR="00623C6D" w:rsidRPr="009E1094" w:rsidRDefault="00623C6D" w:rsidP="00623C6D">
      <w:pPr>
        <w:rPr>
          <w:rFonts w:cs="Arial"/>
        </w:rPr>
      </w:pPr>
      <w:r w:rsidRPr="009E1094">
        <w:rPr>
          <w:rFonts w:cs="Arial"/>
        </w:rPr>
        <w:t>PP7 – Statutární město České Budějovice: 158</w:t>
      </w:r>
      <w:r w:rsidR="0050574D" w:rsidRPr="009E1094">
        <w:rPr>
          <w:rFonts w:cs="Arial"/>
        </w:rPr>
        <w:t xml:space="preserve"> </w:t>
      </w:r>
      <w:r w:rsidRPr="009E1094">
        <w:rPr>
          <w:rFonts w:cs="Arial"/>
        </w:rPr>
        <w:t xml:space="preserve">651,20 EUR </w:t>
      </w:r>
    </w:p>
    <w:p w14:paraId="3AA19789" w14:textId="77777777" w:rsidR="00623C6D" w:rsidRPr="009E1094" w:rsidRDefault="00623C6D" w:rsidP="00623C6D">
      <w:pPr>
        <w:rPr>
          <w:rFonts w:cs="Arial"/>
        </w:rPr>
      </w:pPr>
    </w:p>
    <w:p w14:paraId="720CDBBB" w14:textId="2B2E1F8D" w:rsidR="00677E62" w:rsidRPr="009E1094" w:rsidRDefault="00623C6D" w:rsidP="007C4955">
      <w:pPr>
        <w:rPr>
          <w:rFonts w:cs="Arial"/>
        </w:rPr>
      </w:pPr>
      <w:r w:rsidRPr="009E1094">
        <w:rPr>
          <w:rFonts w:cs="Arial"/>
        </w:rPr>
        <w:t>Projekt pomáhá řešit problémy měst způsobené změnou klimatu, např. tepelný stres, úbytek biologické rozmanitosti, záplavy vs. nedostatek vody a kvalita vody. Jak bylo zjištěno ve zprávě o životním prostředí v rámci strategického posouzení vlivů na životní prostředí, extrémní teploty a vlny veder ve střední Evropě se značně zvýšily a předpokládá se, že budou ještě častější a delší. Proto se projektoví partneři rozhodli spolupracovat s místními pracovními akčními skupinami, které mobilizují veřejný, soukromý sektor, občanskou společnost a akademickou obec. Společně se budou snažit zvýšit povědomí o změně klimatu a vytvořit demokratičtější a digitálně řízené procesy, které podpoří uplatňování řešení založených na přírodě v městském kontextu. Za tímto účelem vytvoří 3 různé pilotní případy.</w:t>
      </w:r>
    </w:p>
    <w:p w14:paraId="37B236CD" w14:textId="77777777" w:rsidR="001B2829" w:rsidRPr="009E1094" w:rsidRDefault="001B2829" w:rsidP="007C4955">
      <w:pPr>
        <w:rPr>
          <w:rFonts w:cs="Arial"/>
        </w:rPr>
      </w:pPr>
    </w:p>
    <w:p w14:paraId="78BB4281" w14:textId="507BFC2D" w:rsidR="00B63D08" w:rsidRPr="009E1094" w:rsidRDefault="00677E62" w:rsidP="002D390D">
      <w:pPr>
        <w:ind w:left="567" w:hanging="567"/>
        <w:contextualSpacing/>
        <w:rPr>
          <w:rFonts w:cs="Arial"/>
          <w:b/>
          <w:i/>
        </w:rPr>
      </w:pPr>
      <w:r w:rsidRPr="009E1094">
        <w:rPr>
          <w:rFonts w:cs="Arial"/>
          <w:b/>
          <w:i/>
        </w:rPr>
        <w:t>6.</w:t>
      </w:r>
      <w:r w:rsidRPr="009E1094">
        <w:rPr>
          <w:rFonts w:cs="Arial"/>
          <w:b/>
          <w:i/>
        </w:rPr>
        <w:tab/>
      </w:r>
      <w:bookmarkEnd w:id="184"/>
      <w:r w:rsidR="00B63D08" w:rsidRPr="009E1094">
        <w:rPr>
          <w:rFonts w:cstheme="minorHAnsi"/>
          <w:b/>
          <w:bCs/>
          <w:i/>
          <w:iCs/>
        </w:rPr>
        <w:t xml:space="preserve">Joint </w:t>
      </w:r>
      <w:proofErr w:type="spellStart"/>
      <w:r w:rsidR="00B63D08" w:rsidRPr="009E1094">
        <w:rPr>
          <w:rFonts w:cstheme="minorHAnsi"/>
          <w:b/>
          <w:bCs/>
          <w:i/>
          <w:iCs/>
        </w:rPr>
        <w:t>central</w:t>
      </w:r>
      <w:proofErr w:type="spellEnd"/>
      <w:r w:rsidR="00B63D08" w:rsidRPr="009E1094">
        <w:rPr>
          <w:rFonts w:cstheme="minorHAnsi"/>
          <w:b/>
          <w:bCs/>
          <w:i/>
          <w:iCs/>
        </w:rPr>
        <w:t xml:space="preserve"> </w:t>
      </w:r>
      <w:proofErr w:type="spellStart"/>
      <w:r w:rsidR="00B63D08" w:rsidRPr="009E1094">
        <w:rPr>
          <w:rFonts w:cstheme="minorHAnsi"/>
          <w:b/>
          <w:bCs/>
          <w:i/>
          <w:iCs/>
        </w:rPr>
        <w:t>European</w:t>
      </w:r>
      <w:proofErr w:type="spellEnd"/>
      <w:r w:rsidR="00B63D08" w:rsidRPr="009E1094">
        <w:rPr>
          <w:rFonts w:cstheme="minorHAnsi"/>
          <w:b/>
          <w:bCs/>
          <w:i/>
          <w:iCs/>
        </w:rPr>
        <w:t xml:space="preserve"> </w:t>
      </w:r>
      <w:proofErr w:type="spellStart"/>
      <w:r w:rsidR="00B63D08" w:rsidRPr="009E1094">
        <w:rPr>
          <w:rFonts w:cstheme="minorHAnsi"/>
          <w:b/>
          <w:bCs/>
          <w:i/>
          <w:iCs/>
        </w:rPr>
        <w:t>actions</w:t>
      </w:r>
      <w:proofErr w:type="spellEnd"/>
      <w:r w:rsidR="00B63D08" w:rsidRPr="009E1094">
        <w:rPr>
          <w:rFonts w:cstheme="minorHAnsi"/>
          <w:b/>
          <w:bCs/>
          <w:i/>
          <w:iCs/>
        </w:rPr>
        <w:t xml:space="preserve"> </w:t>
      </w:r>
      <w:proofErr w:type="spellStart"/>
      <w:r w:rsidR="00B63D08" w:rsidRPr="009E1094">
        <w:rPr>
          <w:rFonts w:cstheme="minorHAnsi"/>
          <w:b/>
          <w:bCs/>
          <w:i/>
          <w:iCs/>
        </w:rPr>
        <w:t>for</w:t>
      </w:r>
      <w:proofErr w:type="spellEnd"/>
      <w:r w:rsidR="00B63D08" w:rsidRPr="009E1094">
        <w:rPr>
          <w:rFonts w:cstheme="minorHAnsi"/>
          <w:b/>
          <w:bCs/>
          <w:i/>
          <w:iCs/>
        </w:rPr>
        <w:t xml:space="preserve"> </w:t>
      </w:r>
      <w:proofErr w:type="spellStart"/>
      <w:r w:rsidR="00B63D08" w:rsidRPr="009E1094">
        <w:rPr>
          <w:rFonts w:cstheme="minorHAnsi"/>
          <w:b/>
          <w:bCs/>
          <w:i/>
          <w:iCs/>
        </w:rPr>
        <w:t>improving</w:t>
      </w:r>
      <w:proofErr w:type="spellEnd"/>
      <w:r w:rsidR="00B63D08" w:rsidRPr="009E1094">
        <w:rPr>
          <w:rFonts w:cstheme="minorHAnsi"/>
          <w:b/>
          <w:bCs/>
          <w:i/>
          <w:iCs/>
        </w:rPr>
        <w:t xml:space="preserve"> </w:t>
      </w:r>
      <w:proofErr w:type="spellStart"/>
      <w:r w:rsidR="00B63D08" w:rsidRPr="009E1094">
        <w:rPr>
          <w:rFonts w:cstheme="minorHAnsi"/>
          <w:b/>
          <w:bCs/>
          <w:i/>
          <w:iCs/>
        </w:rPr>
        <w:t>quality</w:t>
      </w:r>
      <w:proofErr w:type="spellEnd"/>
      <w:r w:rsidR="00B63D08" w:rsidRPr="009E1094">
        <w:rPr>
          <w:rFonts w:cstheme="minorHAnsi"/>
          <w:b/>
          <w:bCs/>
          <w:i/>
          <w:iCs/>
        </w:rPr>
        <w:t xml:space="preserve"> </w:t>
      </w:r>
      <w:proofErr w:type="spellStart"/>
      <w:r w:rsidR="00B63D08" w:rsidRPr="009E1094">
        <w:rPr>
          <w:rFonts w:cstheme="minorHAnsi"/>
          <w:b/>
          <w:bCs/>
          <w:i/>
          <w:iCs/>
        </w:rPr>
        <w:t>of</w:t>
      </w:r>
      <w:proofErr w:type="spellEnd"/>
      <w:r w:rsidR="00B63D08" w:rsidRPr="009E1094">
        <w:rPr>
          <w:rFonts w:cstheme="minorHAnsi"/>
          <w:b/>
          <w:bCs/>
          <w:i/>
          <w:iCs/>
        </w:rPr>
        <w:t xml:space="preserve"> </w:t>
      </w:r>
      <w:proofErr w:type="spellStart"/>
      <w:r w:rsidR="00B63D08" w:rsidRPr="009E1094">
        <w:rPr>
          <w:rFonts w:cstheme="minorHAnsi"/>
          <w:b/>
          <w:bCs/>
          <w:i/>
          <w:iCs/>
        </w:rPr>
        <w:t>urban</w:t>
      </w:r>
      <w:proofErr w:type="spellEnd"/>
      <w:r w:rsidR="00B63D08" w:rsidRPr="009E1094">
        <w:rPr>
          <w:rFonts w:cstheme="minorHAnsi"/>
          <w:b/>
          <w:bCs/>
          <w:i/>
          <w:iCs/>
        </w:rPr>
        <w:t xml:space="preserve"> </w:t>
      </w:r>
      <w:proofErr w:type="spellStart"/>
      <w:r w:rsidR="00B63D08" w:rsidRPr="009E1094">
        <w:rPr>
          <w:rFonts w:cstheme="minorHAnsi"/>
          <w:b/>
          <w:bCs/>
          <w:i/>
          <w:iCs/>
        </w:rPr>
        <w:t>bathing</w:t>
      </w:r>
      <w:proofErr w:type="spellEnd"/>
      <w:r w:rsidR="00B63D08" w:rsidRPr="009E1094">
        <w:rPr>
          <w:rFonts w:cstheme="minorHAnsi"/>
          <w:b/>
          <w:bCs/>
          <w:i/>
          <w:iCs/>
        </w:rPr>
        <w:t xml:space="preserve"> </w:t>
      </w:r>
      <w:proofErr w:type="spellStart"/>
      <w:r w:rsidR="00B63D08" w:rsidRPr="009E1094">
        <w:rPr>
          <w:rFonts w:cstheme="minorHAnsi"/>
          <w:b/>
          <w:bCs/>
          <w:i/>
          <w:iCs/>
        </w:rPr>
        <w:t>waters</w:t>
      </w:r>
      <w:proofErr w:type="spellEnd"/>
      <w:r w:rsidR="00B63D08" w:rsidRPr="009E1094">
        <w:rPr>
          <w:rFonts w:cstheme="minorHAnsi"/>
          <w:b/>
          <w:bCs/>
          <w:i/>
          <w:iCs/>
        </w:rPr>
        <w:t xml:space="preserve"> (</w:t>
      </w:r>
      <w:proofErr w:type="spellStart"/>
      <w:r w:rsidR="00B63D08" w:rsidRPr="009E1094">
        <w:rPr>
          <w:rFonts w:cstheme="minorHAnsi"/>
          <w:b/>
          <w:bCs/>
          <w:i/>
          <w:iCs/>
        </w:rPr>
        <w:t>UrbanBlueHealth</w:t>
      </w:r>
      <w:proofErr w:type="spellEnd"/>
      <w:r w:rsidR="00B63D08" w:rsidRPr="009E1094">
        <w:rPr>
          <w:rFonts w:cstheme="minorHAnsi"/>
          <w:b/>
          <w:bCs/>
          <w:i/>
          <w:iCs/>
        </w:rPr>
        <w:t xml:space="preserve"> – CE0200763) </w:t>
      </w:r>
    </w:p>
    <w:p w14:paraId="42F33B96" w14:textId="77777777" w:rsidR="00B63D08" w:rsidRPr="009E1094" w:rsidRDefault="00B63D08" w:rsidP="00B63D08">
      <w:pPr>
        <w:rPr>
          <w:rFonts w:cs="Arial"/>
        </w:rPr>
      </w:pPr>
      <w:r w:rsidRPr="009E1094">
        <w:rPr>
          <w:rFonts w:cs="Arial"/>
        </w:rPr>
        <w:t>Partneři na české straně: 2</w:t>
      </w:r>
    </w:p>
    <w:p w14:paraId="0841B28D" w14:textId="77777777" w:rsidR="00B63D08" w:rsidRPr="009E1094" w:rsidRDefault="00B63D08" w:rsidP="00B63D08">
      <w:pPr>
        <w:rPr>
          <w:rFonts w:cs="Arial"/>
        </w:rPr>
      </w:pPr>
      <w:r w:rsidRPr="009E1094">
        <w:rPr>
          <w:rFonts w:cs="Arial"/>
        </w:rPr>
        <w:t xml:space="preserve">Rozpočet partnera: </w:t>
      </w:r>
    </w:p>
    <w:p w14:paraId="5B6B8285" w14:textId="7D900B0D" w:rsidR="00B63D08" w:rsidRPr="009E1094" w:rsidRDefault="00B63D08" w:rsidP="00B63D08">
      <w:pPr>
        <w:rPr>
          <w:rFonts w:cs="Arial"/>
        </w:rPr>
      </w:pPr>
      <w:r w:rsidRPr="009E1094">
        <w:rPr>
          <w:rFonts w:cs="Arial"/>
        </w:rPr>
        <w:t xml:space="preserve">PP4 – Asociace pro vodu ČR </w:t>
      </w:r>
      <w:proofErr w:type="spellStart"/>
      <w:r w:rsidRPr="009E1094">
        <w:rPr>
          <w:rFonts w:cs="Arial"/>
        </w:rPr>
        <w:t>z.s</w:t>
      </w:r>
      <w:proofErr w:type="spellEnd"/>
      <w:r w:rsidRPr="009E1094">
        <w:rPr>
          <w:rFonts w:cs="Arial"/>
        </w:rPr>
        <w:t>.: 119</w:t>
      </w:r>
      <w:r w:rsidR="002D390D" w:rsidRPr="009E1094">
        <w:rPr>
          <w:rFonts w:cs="Arial"/>
        </w:rPr>
        <w:t xml:space="preserve"> </w:t>
      </w:r>
      <w:r w:rsidRPr="009E1094">
        <w:rPr>
          <w:rFonts w:cs="Arial"/>
        </w:rPr>
        <w:t xml:space="preserve">000,00 EUR </w:t>
      </w:r>
    </w:p>
    <w:p w14:paraId="467B041A" w14:textId="494F139A" w:rsidR="00B63D08" w:rsidRPr="009E1094" w:rsidRDefault="00B63D08" w:rsidP="00B63D08">
      <w:pPr>
        <w:rPr>
          <w:rFonts w:cs="Arial"/>
        </w:rPr>
      </w:pPr>
      <w:r w:rsidRPr="009E1094">
        <w:rPr>
          <w:rFonts w:cs="Arial"/>
        </w:rPr>
        <w:t>PP5 – Státní zdravotní ústav: 187</w:t>
      </w:r>
      <w:r w:rsidR="002D390D" w:rsidRPr="009E1094">
        <w:rPr>
          <w:rFonts w:cs="Arial"/>
        </w:rPr>
        <w:t xml:space="preserve"> </w:t>
      </w:r>
      <w:r w:rsidRPr="009E1094">
        <w:rPr>
          <w:rFonts w:cs="Arial"/>
        </w:rPr>
        <w:t xml:space="preserve">600,00 EUR </w:t>
      </w:r>
    </w:p>
    <w:p w14:paraId="785946D6" w14:textId="77777777" w:rsidR="00B63D08" w:rsidRPr="009E1094" w:rsidRDefault="00B63D08" w:rsidP="00B63D08">
      <w:pPr>
        <w:rPr>
          <w:rFonts w:cs="Arial"/>
          <w:b/>
          <w:bCs/>
        </w:rPr>
      </w:pPr>
    </w:p>
    <w:p w14:paraId="13FF8771" w14:textId="77777777" w:rsidR="00B63D08" w:rsidRPr="009E1094" w:rsidRDefault="00B63D08" w:rsidP="00B63D08">
      <w:pPr>
        <w:rPr>
          <w:rFonts w:cs="Arial"/>
        </w:rPr>
      </w:pPr>
      <w:r w:rsidRPr="009E1094">
        <w:rPr>
          <w:rFonts w:cs="Arial"/>
        </w:rPr>
        <w:t xml:space="preserve">Cílem projektu </w:t>
      </w:r>
      <w:proofErr w:type="spellStart"/>
      <w:r w:rsidRPr="009E1094">
        <w:rPr>
          <w:rFonts w:cs="Arial"/>
        </w:rPr>
        <w:t>UrbanBlueHealth</w:t>
      </w:r>
      <w:proofErr w:type="spellEnd"/>
      <w:r w:rsidRPr="009E1094">
        <w:rPr>
          <w:rFonts w:cs="Arial"/>
        </w:rPr>
        <w:t xml:space="preserve"> je popsat zdravotní dopady vody ke koupání na městské obyvatelstvo a přijmout opatření ke zlepšení městského prostředí v oblasti střední Evropy. V rámci projektu bude vytvořeno úložiště </w:t>
      </w:r>
      <w:proofErr w:type="spellStart"/>
      <w:r w:rsidRPr="009E1094">
        <w:rPr>
          <w:rFonts w:cs="Arial"/>
        </w:rPr>
        <w:t>BlueHealth</w:t>
      </w:r>
      <w:proofErr w:type="spellEnd"/>
      <w:r w:rsidRPr="009E1094">
        <w:rPr>
          <w:rFonts w:cs="Arial"/>
        </w:rPr>
        <w:t>, které pomůže rozhodovacím orgánům sledovat kvalitu městských vod ke koupání a její změny. Budou vypracovány, testovány a realizovány národní akční plány, které poskytnou řešení ke zlepšení prostředí městských koupališť na pilotních městských koupalištích. Projektové činnosti byly strukturovány tak, aby maximalizovaly příležitosti ke spolupráci a sdílení zkušeností a nápadů na nadnárodní úrovni.</w:t>
      </w:r>
    </w:p>
    <w:p w14:paraId="08112DB3" w14:textId="4A2BF97B" w:rsidR="00547C0E" w:rsidRPr="00CB159C" w:rsidRDefault="00814ED3" w:rsidP="00B30F49">
      <w:pPr>
        <w:pStyle w:val="Nadpis1"/>
        <w:spacing w:before="0"/>
        <w:contextualSpacing/>
      </w:pPr>
      <w:r w:rsidRPr="00104F7D">
        <w:rPr>
          <w:b w:val="0"/>
          <w:highlight w:val="yellow"/>
        </w:rPr>
        <w:br w:type="page"/>
      </w:r>
      <w:bookmarkStart w:id="186" w:name="_Toc10183434"/>
      <w:bookmarkStart w:id="187" w:name="_Toc236991640"/>
      <w:bookmarkEnd w:id="181"/>
      <w:r w:rsidR="00B30F49" w:rsidRPr="00B30F49">
        <w:rPr>
          <w:bCs w:val="0"/>
        </w:rPr>
        <w:t>12.</w:t>
      </w:r>
      <w:r w:rsidR="00B30F49">
        <w:rPr>
          <w:b w:val="0"/>
        </w:rPr>
        <w:t xml:space="preserve"> </w:t>
      </w:r>
      <w:r w:rsidR="00547C0E" w:rsidRPr="00CB159C">
        <w:t>LEGISLATIVNÍ OPATŘENÍ</w:t>
      </w:r>
      <w:bookmarkEnd w:id="186"/>
      <w:bookmarkEnd w:id="187"/>
    </w:p>
    <w:p w14:paraId="1612EF04" w14:textId="77777777" w:rsidR="004F3115" w:rsidRPr="00CB159C" w:rsidRDefault="004F3115" w:rsidP="004F3115">
      <w:pPr>
        <w:ind w:left="720"/>
        <w:rPr>
          <w:color w:val="FF0000"/>
        </w:rPr>
      </w:pPr>
    </w:p>
    <w:p w14:paraId="6F682EC3" w14:textId="0863A927" w:rsidR="00547C0E" w:rsidRPr="00CB159C" w:rsidRDefault="00B311FF" w:rsidP="00B311FF">
      <w:pPr>
        <w:pStyle w:val="Nadpis2"/>
        <w:spacing w:before="0"/>
        <w:contextualSpacing/>
      </w:pPr>
      <w:bookmarkStart w:id="188" w:name="_Toc10183435"/>
      <w:bookmarkStart w:id="189" w:name="_Toc236991641"/>
      <w:r>
        <w:t xml:space="preserve">12.1 </w:t>
      </w:r>
      <w:r w:rsidR="00D33513" w:rsidRPr="00CB159C">
        <w:t>Zákon o vodách</w:t>
      </w:r>
      <w:r w:rsidR="00547C0E" w:rsidRPr="00CB159C">
        <w:t xml:space="preserve"> a prováděcí předpisy</w:t>
      </w:r>
      <w:bookmarkEnd w:id="188"/>
      <w:bookmarkEnd w:id="189"/>
    </w:p>
    <w:p w14:paraId="7E40298C" w14:textId="77777777" w:rsidR="004914A6" w:rsidRDefault="004914A6" w:rsidP="004914A6">
      <w:pPr>
        <w:rPr>
          <w:highlight w:val="yellow"/>
        </w:rPr>
      </w:pPr>
    </w:p>
    <w:p w14:paraId="3B981B90" w14:textId="77A2907D" w:rsidR="00472D69" w:rsidRDefault="00472D69" w:rsidP="008112C5">
      <w:pPr>
        <w:rPr>
          <w:rFonts w:cs="Arial"/>
          <w:b/>
          <w:bCs/>
          <w:color w:val="000000"/>
        </w:rPr>
      </w:pPr>
      <w:r w:rsidRPr="001736D6">
        <w:rPr>
          <w:rFonts w:cs="Arial"/>
          <w:b/>
          <w:bCs/>
        </w:rPr>
        <w:t>V roce 2025 nedošlo k</w:t>
      </w:r>
      <w:r w:rsidR="001736D6" w:rsidRPr="001736D6">
        <w:rPr>
          <w:rFonts w:cs="Arial"/>
          <w:b/>
          <w:bCs/>
        </w:rPr>
        <w:t xml:space="preserve"> větší </w:t>
      </w:r>
      <w:r w:rsidRPr="001736D6">
        <w:rPr>
          <w:rFonts w:cs="Arial"/>
          <w:b/>
          <w:bCs/>
        </w:rPr>
        <w:t>novele zákona č. 254/2001 Sb., o vodách a o změně některých zákonů (vodní zákon), ve znění pozdějších předpisů</w:t>
      </w:r>
      <w:r w:rsidR="001736D6">
        <w:rPr>
          <w:rFonts w:cs="Arial"/>
          <w:b/>
          <w:bCs/>
        </w:rPr>
        <w:t>.</w:t>
      </w:r>
    </w:p>
    <w:p w14:paraId="4E6D1C7E" w14:textId="77777777" w:rsidR="00472D69" w:rsidRDefault="00472D69" w:rsidP="008112C5">
      <w:pPr>
        <w:rPr>
          <w:rFonts w:cs="Arial"/>
          <w:b/>
          <w:bCs/>
          <w:color w:val="000000"/>
        </w:rPr>
      </w:pPr>
    </w:p>
    <w:p w14:paraId="59D298E2" w14:textId="0FFBA324" w:rsidR="008112C5" w:rsidRPr="008112C5" w:rsidRDefault="00371D0A" w:rsidP="008112C5">
      <w:pPr>
        <w:rPr>
          <w:rFonts w:cs="Arial"/>
          <w:b/>
          <w:bCs/>
          <w:color w:val="000000"/>
        </w:rPr>
      </w:pPr>
      <w:r>
        <w:rPr>
          <w:rFonts w:cs="Arial"/>
          <w:b/>
          <w:bCs/>
          <w:color w:val="000000"/>
        </w:rPr>
        <w:t>Z</w:t>
      </w:r>
      <w:r w:rsidR="008112C5" w:rsidRPr="008112C5">
        <w:rPr>
          <w:rFonts w:cs="Arial"/>
          <w:b/>
          <w:bCs/>
          <w:color w:val="000000"/>
        </w:rPr>
        <w:t>ákonem č. 70/2025 Sb., kterým se mění zákon č. 166/1999 Sb., o veterinární péči a o změně některých souvisejících zákonů (veterinární zákon), ve znění pozdějších předpisů, a další související zákony</w:t>
      </w:r>
      <w:r w:rsidR="00A82CFC">
        <w:rPr>
          <w:rFonts w:cs="Arial"/>
          <w:b/>
          <w:bCs/>
          <w:color w:val="000000"/>
        </w:rPr>
        <w:t>,</w:t>
      </w:r>
      <w:r>
        <w:rPr>
          <w:rFonts w:cs="Arial"/>
          <w:b/>
          <w:bCs/>
          <w:color w:val="000000"/>
        </w:rPr>
        <w:t xml:space="preserve"> </w:t>
      </w:r>
      <w:r w:rsidR="008C62E6">
        <w:rPr>
          <w:rFonts w:cs="Arial"/>
          <w:color w:val="000000"/>
        </w:rPr>
        <w:t>d</w:t>
      </w:r>
      <w:r w:rsidR="008112C5" w:rsidRPr="00371D0A">
        <w:rPr>
          <w:rFonts w:cs="Arial"/>
          <w:color w:val="000000"/>
        </w:rPr>
        <w:t xml:space="preserve">ošlo v § 39 </w:t>
      </w:r>
      <w:r w:rsidR="006764D7" w:rsidRPr="006764D7">
        <w:rPr>
          <w:rFonts w:cs="Arial"/>
          <w:color w:val="000000" w:themeColor="text1"/>
        </w:rPr>
        <w:t xml:space="preserve">vodního zákona </w:t>
      </w:r>
      <w:r w:rsidR="008112C5" w:rsidRPr="00371D0A">
        <w:rPr>
          <w:rFonts w:cs="Arial"/>
          <w:color w:val="000000"/>
        </w:rPr>
        <w:t>k úpravě povinnosti vložení havarijního plánu do integrovaného systému plnění ohlašovacích povinností v oblasti životního prostředí. Tato se s účinností od 1.</w:t>
      </w:r>
      <w:r>
        <w:rPr>
          <w:rFonts w:cs="Arial"/>
          <w:color w:val="000000"/>
        </w:rPr>
        <w:t xml:space="preserve"> </w:t>
      </w:r>
      <w:r w:rsidR="008112C5" w:rsidRPr="00371D0A">
        <w:rPr>
          <w:rFonts w:cs="Arial"/>
          <w:color w:val="000000"/>
        </w:rPr>
        <w:t>4.</w:t>
      </w:r>
      <w:r>
        <w:rPr>
          <w:rFonts w:cs="Arial"/>
          <w:color w:val="000000"/>
        </w:rPr>
        <w:t xml:space="preserve"> </w:t>
      </w:r>
      <w:r w:rsidR="008112C5" w:rsidRPr="00371D0A">
        <w:rPr>
          <w:rFonts w:cs="Arial"/>
          <w:color w:val="000000"/>
        </w:rPr>
        <w:t>2025 nevztahuje na havarijní plán vypracovaný pro závadnou látku statkové hnojivo, je-li v kterémkoliv okamžiku nakládáno s tuhým statkovým hnojivem v celkovém množství do 400 tun včetně nebo s tekutým statkovým hnojivem v celkovém množství do 200 tun včetně</w:t>
      </w:r>
      <w:r w:rsidR="008112C5" w:rsidRPr="00371D0A">
        <w:rPr>
          <w:rFonts w:cs="Arial"/>
          <w:b/>
          <w:bCs/>
          <w:color w:val="000000"/>
        </w:rPr>
        <w:t>.</w:t>
      </w:r>
    </w:p>
    <w:p w14:paraId="7F3FF2A2" w14:textId="77777777" w:rsidR="008112C5" w:rsidRPr="008112C5" w:rsidRDefault="008112C5" w:rsidP="008112C5">
      <w:pPr>
        <w:rPr>
          <w:rFonts w:cs="Arial"/>
          <w:b/>
          <w:bCs/>
          <w:color w:val="000000"/>
        </w:rPr>
      </w:pPr>
    </w:p>
    <w:p w14:paraId="6151C4F4" w14:textId="5C2F0342" w:rsidR="008112C5" w:rsidRDefault="00A82CFC" w:rsidP="004914A6">
      <w:pPr>
        <w:rPr>
          <w:rFonts w:cs="Arial"/>
          <w:b/>
          <w:bCs/>
          <w:color w:val="000000"/>
        </w:rPr>
      </w:pPr>
      <w:r>
        <w:rPr>
          <w:rFonts w:cs="Arial"/>
          <w:b/>
          <w:bCs/>
          <w:color w:val="000000"/>
        </w:rPr>
        <w:t>Z</w:t>
      </w:r>
      <w:r w:rsidR="008112C5" w:rsidRPr="008112C5">
        <w:rPr>
          <w:rFonts w:cs="Arial"/>
          <w:b/>
          <w:bCs/>
          <w:color w:val="000000"/>
        </w:rPr>
        <w:t>ákonem č. 266/2025 Sb., o odolnosti subjektů kritické infrastruktury a o změně souvisejících zákonů (zákon o kritické infrastruktuře)</w:t>
      </w:r>
      <w:r w:rsidR="008C62E6">
        <w:rPr>
          <w:rFonts w:cs="Arial"/>
          <w:b/>
          <w:bCs/>
          <w:color w:val="000000"/>
        </w:rPr>
        <w:t xml:space="preserve">, </w:t>
      </w:r>
      <w:r w:rsidR="008C62E6" w:rsidRPr="008C62E6">
        <w:rPr>
          <w:rFonts w:cs="Arial"/>
          <w:color w:val="000000"/>
        </w:rPr>
        <w:t>d</w:t>
      </w:r>
      <w:r w:rsidR="008112C5" w:rsidRPr="008C62E6">
        <w:rPr>
          <w:rFonts w:cs="Arial"/>
          <w:color w:val="000000"/>
        </w:rPr>
        <w:t>o</w:t>
      </w:r>
      <w:r w:rsidR="008112C5" w:rsidRPr="00396F71">
        <w:rPr>
          <w:rFonts w:cs="Arial"/>
          <w:color w:val="000000"/>
        </w:rPr>
        <w:t>šlo s účinností od 19.</w:t>
      </w:r>
      <w:r w:rsidR="008C62E6">
        <w:rPr>
          <w:rFonts w:cs="Arial"/>
          <w:color w:val="000000"/>
        </w:rPr>
        <w:t xml:space="preserve"> </w:t>
      </w:r>
      <w:r w:rsidR="008112C5" w:rsidRPr="00396F71">
        <w:rPr>
          <w:rFonts w:cs="Arial"/>
          <w:color w:val="000000"/>
        </w:rPr>
        <w:t>8.</w:t>
      </w:r>
      <w:r w:rsidR="008C62E6">
        <w:rPr>
          <w:rFonts w:cs="Arial"/>
          <w:color w:val="000000"/>
        </w:rPr>
        <w:t xml:space="preserve"> </w:t>
      </w:r>
      <w:r w:rsidR="008112C5" w:rsidRPr="00396F71">
        <w:rPr>
          <w:rFonts w:cs="Arial"/>
          <w:color w:val="000000"/>
        </w:rPr>
        <w:t xml:space="preserve">2025 ke změně terminologie v § 87b odst. 4 písm. a), slova „zajištění funkčnosti kritické infrastruktury podle předpisů upravujících krizové řízení“ byla nahrazena slovy „zajištění poskytování základní služby podle zákona o kritické infrastruktuře“. </w:t>
      </w:r>
    </w:p>
    <w:p w14:paraId="56C0CED1" w14:textId="77777777" w:rsidR="008112C5" w:rsidRDefault="008112C5" w:rsidP="004914A6">
      <w:pPr>
        <w:rPr>
          <w:rFonts w:cs="Arial"/>
          <w:b/>
          <w:bCs/>
          <w:color w:val="000000"/>
        </w:rPr>
      </w:pPr>
    </w:p>
    <w:p w14:paraId="7A54EBC5" w14:textId="18FDAC1F" w:rsidR="004914A6" w:rsidRPr="00857FEA" w:rsidRDefault="004914A6" w:rsidP="004914A6">
      <w:pPr>
        <w:rPr>
          <w:rFonts w:cs="Arial"/>
          <w:b/>
          <w:bCs/>
          <w:color w:val="000000"/>
        </w:rPr>
      </w:pPr>
      <w:r w:rsidRPr="00857FEA">
        <w:rPr>
          <w:rFonts w:cs="Arial"/>
          <w:b/>
          <w:bCs/>
          <w:color w:val="000000"/>
        </w:rPr>
        <w:t xml:space="preserve">Vyhláška č. 378/2024 Sb., o technickobezpečnostním dohledu nad vodními díly, ve znění pozdějších předpisů </w:t>
      </w:r>
    </w:p>
    <w:p w14:paraId="6FE0BA07" w14:textId="77777777" w:rsidR="0016371C" w:rsidRDefault="0016371C" w:rsidP="004914A6">
      <w:pPr>
        <w:rPr>
          <w:rFonts w:cs="Arial"/>
          <w:color w:val="000000"/>
        </w:rPr>
      </w:pPr>
    </w:p>
    <w:p w14:paraId="26E5CB98" w14:textId="6EF609BE" w:rsidR="004914A6" w:rsidRPr="00857FEA" w:rsidRDefault="004914A6" w:rsidP="004914A6">
      <w:pPr>
        <w:rPr>
          <w:rFonts w:cs="Arial"/>
          <w:color w:val="000000"/>
        </w:rPr>
      </w:pPr>
      <w:r w:rsidRPr="00857FEA">
        <w:rPr>
          <w:rFonts w:cs="Arial"/>
          <w:color w:val="000000"/>
        </w:rPr>
        <w:t>Dne 1. ledna 2025 nabyla účinnosti v pořadí třetí novela vyhlášky od doby její účinnosti navazuje na tzv. havarijní novelu vodního zákona, na jejímž základě jsou nově náležitosti žádostí o udělení pověření k výkonu technickobezpečnostního dohledu nad vodními díly a výčet předpokladů tzv. kvalifikovaného výkonu dohledu (tedy požadavky na osobu, která bude za výkon dohledu odpovědná) stanoveny přímo ve vodním zákoně. Doposud byla tato ustanovení uvedena přímo ve vyhlášce, ze které se novelou vypouští.</w:t>
      </w:r>
    </w:p>
    <w:p w14:paraId="58C056C4" w14:textId="77777777" w:rsidR="004914A6" w:rsidRPr="00857FEA" w:rsidRDefault="004914A6" w:rsidP="004914A6">
      <w:pPr>
        <w:rPr>
          <w:rFonts w:cs="Arial"/>
          <w:color w:val="000000"/>
        </w:rPr>
      </w:pPr>
      <w:r w:rsidRPr="00857FEA">
        <w:rPr>
          <w:rFonts w:cs="Arial"/>
          <w:color w:val="000000"/>
        </w:rPr>
        <w:t>Dalšími úpravami je text vyhlášky uváděn do souladu se stavebním právem (tj. přechodem kompetencí úřadů ve věci staveb vodních děl), dochází rovněž ke zpřesnění vybraných ustanovení a aktualizaci odkazů na technické normy.</w:t>
      </w:r>
    </w:p>
    <w:p w14:paraId="099C707C" w14:textId="77777777" w:rsidR="0016371C" w:rsidRDefault="0016371C" w:rsidP="004914A6">
      <w:pPr>
        <w:rPr>
          <w:rFonts w:eastAsia="Arial" w:cs="Arial"/>
          <w:b/>
          <w:bCs/>
          <w:color w:val="000000"/>
        </w:rPr>
      </w:pPr>
    </w:p>
    <w:p w14:paraId="65CD8128" w14:textId="51940123" w:rsidR="004914A6" w:rsidRPr="00857FEA" w:rsidRDefault="004914A6" w:rsidP="004914A6">
      <w:pPr>
        <w:rPr>
          <w:rFonts w:cs="Arial"/>
          <w:b/>
          <w:bCs/>
          <w:color w:val="000000"/>
        </w:rPr>
      </w:pPr>
      <w:r w:rsidRPr="00857FEA">
        <w:rPr>
          <w:rFonts w:eastAsia="Arial" w:cs="Arial"/>
          <w:b/>
          <w:bCs/>
          <w:color w:val="000000"/>
        </w:rPr>
        <w:t>Vyhláška. č. 437/2025 Sb., o registru výpustí ze zdrojů znečištění do vod povrchových</w:t>
      </w:r>
    </w:p>
    <w:p w14:paraId="04DF7F4E" w14:textId="77777777" w:rsidR="0016371C" w:rsidRDefault="0016371C" w:rsidP="004914A6">
      <w:pPr>
        <w:pBdr>
          <w:top w:val="none" w:sz="4" w:space="0" w:color="000000"/>
          <w:left w:val="none" w:sz="4" w:space="0" w:color="000000"/>
          <w:bottom w:val="none" w:sz="4" w:space="0" w:color="000000"/>
          <w:right w:val="none" w:sz="4" w:space="0" w:color="000000"/>
        </w:pBdr>
        <w:spacing w:line="253" w:lineRule="atLeast"/>
        <w:rPr>
          <w:rFonts w:cs="Arial"/>
          <w:color w:val="000000"/>
        </w:rPr>
      </w:pPr>
    </w:p>
    <w:p w14:paraId="17E0C136" w14:textId="2120DD88" w:rsidR="004914A6" w:rsidRPr="00857FEA" w:rsidRDefault="004914A6" w:rsidP="004914A6">
      <w:pPr>
        <w:pBdr>
          <w:top w:val="none" w:sz="4" w:space="0" w:color="000000"/>
          <w:left w:val="none" w:sz="4" w:space="0" w:color="000000"/>
          <w:bottom w:val="none" w:sz="4" w:space="0" w:color="000000"/>
          <w:right w:val="none" w:sz="4" w:space="0" w:color="000000"/>
        </w:pBdr>
        <w:spacing w:line="253" w:lineRule="atLeast"/>
        <w:rPr>
          <w:rFonts w:cs="Arial"/>
          <w:color w:val="000000"/>
        </w:rPr>
      </w:pPr>
      <w:r w:rsidRPr="00857FEA">
        <w:rPr>
          <w:rFonts w:cs="Arial"/>
          <w:color w:val="000000"/>
        </w:rPr>
        <w:t>Registr výpustí zavedla tzv. havarijní novela vodního zákona č. 182/2024 Sb. s cílem posílit havarijní prevenci, resp. minimalizovat dopady vzniklé havárie. Z pohledu uceleného přehledu možných vlivů je potřebné znát výpusti, které mohou negativně ovlivňovat kvalitu povrchových vod či rychlejší detekci místa vzniku či určení viníka havárie na povrchových vodách.</w:t>
      </w:r>
    </w:p>
    <w:p w14:paraId="3567B1B4" w14:textId="77777777" w:rsidR="00D470A3" w:rsidRDefault="00D470A3" w:rsidP="004914A6">
      <w:pPr>
        <w:pBdr>
          <w:top w:val="none" w:sz="4" w:space="0" w:color="000000"/>
          <w:left w:val="none" w:sz="4" w:space="0" w:color="000000"/>
          <w:bottom w:val="none" w:sz="4" w:space="0" w:color="000000"/>
          <w:right w:val="none" w:sz="4" w:space="0" w:color="000000"/>
        </w:pBdr>
        <w:spacing w:line="253" w:lineRule="atLeast"/>
        <w:rPr>
          <w:rFonts w:cs="Arial"/>
          <w:color w:val="000000"/>
        </w:rPr>
      </w:pPr>
    </w:p>
    <w:p w14:paraId="2460FAC1" w14:textId="22FF40DA" w:rsidR="004914A6" w:rsidRPr="00857FEA" w:rsidRDefault="004914A6" w:rsidP="004914A6">
      <w:pPr>
        <w:pBdr>
          <w:top w:val="none" w:sz="4" w:space="0" w:color="000000"/>
          <w:left w:val="none" w:sz="4" w:space="0" w:color="000000"/>
          <w:bottom w:val="none" w:sz="4" w:space="0" w:color="000000"/>
          <w:right w:val="none" w:sz="4" w:space="0" w:color="000000"/>
        </w:pBdr>
        <w:spacing w:line="253" w:lineRule="atLeast"/>
        <w:rPr>
          <w:rFonts w:cs="Arial"/>
          <w:color w:val="000000"/>
        </w:rPr>
      </w:pPr>
      <w:r w:rsidRPr="00857FEA">
        <w:rPr>
          <w:rFonts w:cs="Arial"/>
          <w:color w:val="000000"/>
        </w:rPr>
        <w:t xml:space="preserve">Dne 29. října 2025 byla vyhláška o registru výpustí ze zdrojů znečistění do vod povrchových přijata s účinností od 1. listopadu 2025. Vyhlášku vydalo Ministerstvo životního prostředí ve spolupráci s Ministerstvem zemědělství podle zmocnění v §19a odst. 5 vodního zákona. </w:t>
      </w:r>
    </w:p>
    <w:p w14:paraId="523986B5" w14:textId="77777777" w:rsidR="00D470A3" w:rsidRDefault="00D470A3" w:rsidP="004914A6">
      <w:pPr>
        <w:pBdr>
          <w:top w:val="none" w:sz="4" w:space="0" w:color="000000"/>
          <w:left w:val="none" w:sz="4" w:space="0" w:color="000000"/>
          <w:bottom w:val="none" w:sz="4" w:space="0" w:color="000000"/>
          <w:right w:val="none" w:sz="4" w:space="0" w:color="000000"/>
        </w:pBdr>
        <w:spacing w:line="253" w:lineRule="atLeast"/>
        <w:rPr>
          <w:rFonts w:cs="Arial"/>
          <w:color w:val="000000"/>
        </w:rPr>
      </w:pPr>
    </w:p>
    <w:p w14:paraId="37807230" w14:textId="2A8BDA11" w:rsidR="004914A6" w:rsidRPr="00857FEA" w:rsidRDefault="004914A6" w:rsidP="004914A6">
      <w:pPr>
        <w:pBdr>
          <w:top w:val="none" w:sz="4" w:space="0" w:color="000000"/>
          <w:left w:val="none" w:sz="4" w:space="0" w:color="000000"/>
          <w:bottom w:val="none" w:sz="4" w:space="0" w:color="000000"/>
          <w:right w:val="none" w:sz="4" w:space="0" w:color="000000"/>
        </w:pBdr>
        <w:spacing w:line="253" w:lineRule="atLeast"/>
        <w:rPr>
          <w:rFonts w:cs="Arial"/>
          <w:color w:val="000000"/>
        </w:rPr>
      </w:pPr>
      <w:r w:rsidRPr="00857FEA">
        <w:rPr>
          <w:rFonts w:cs="Arial"/>
          <w:color w:val="000000"/>
        </w:rPr>
        <w:t>Vyhláška stanovuje rozsah a způsob vedení registru výpustí, rozsah a způsob stanovení území v blízkosti provozů s integrovaným povolením k vypouštění odpadních vod do vod povrchových a rozsah údajů a způsob jejich zjišťování, předávání a vkládání do registru výpustí.</w:t>
      </w:r>
    </w:p>
    <w:p w14:paraId="55A97E7E" w14:textId="77777777" w:rsidR="004914A6" w:rsidRPr="00857FEA" w:rsidRDefault="004914A6" w:rsidP="004914A6">
      <w:pPr>
        <w:pBdr>
          <w:top w:val="none" w:sz="4" w:space="0" w:color="000000"/>
          <w:left w:val="none" w:sz="4" w:space="0" w:color="000000"/>
          <w:bottom w:val="none" w:sz="4" w:space="0" w:color="000000"/>
          <w:right w:val="none" w:sz="4" w:space="0" w:color="000000"/>
        </w:pBdr>
        <w:spacing w:line="253" w:lineRule="atLeast"/>
        <w:rPr>
          <w:rFonts w:cs="Arial"/>
          <w:color w:val="000000"/>
        </w:rPr>
      </w:pPr>
      <w:r w:rsidRPr="00857FEA">
        <w:rPr>
          <w:rFonts w:cs="Arial"/>
          <w:color w:val="000000"/>
        </w:rPr>
        <w:t xml:space="preserve">Cílem vyhlášky je inventarizace a digitalizace výpustí odpadních vod (případně závadných látek) ze zdrojů znečištění do vod povrchových a vytvoření registru výpustí odpadních vod do vod povrchových. Vodoprávní úřad (VPÚ) by pak disponoval přehledem výpustí (odpadních i dešťových) do vodoteče a jejich umístěním. </w:t>
      </w:r>
    </w:p>
    <w:p w14:paraId="6266868E" w14:textId="77777777" w:rsidR="004914A6" w:rsidRPr="00857FEA" w:rsidRDefault="004914A6" w:rsidP="004914A6">
      <w:pPr>
        <w:pBdr>
          <w:top w:val="none" w:sz="4" w:space="0" w:color="000000"/>
          <w:left w:val="none" w:sz="4" w:space="0" w:color="000000"/>
          <w:bottom w:val="none" w:sz="4" w:space="0" w:color="000000"/>
          <w:right w:val="none" w:sz="4" w:space="0" w:color="000000"/>
        </w:pBdr>
        <w:spacing w:line="253" w:lineRule="atLeast"/>
        <w:rPr>
          <w:rFonts w:cs="Arial"/>
          <w:color w:val="000000"/>
        </w:rPr>
      </w:pPr>
      <w:r w:rsidRPr="00857FEA">
        <w:rPr>
          <w:rFonts w:cs="Arial"/>
          <w:color w:val="000000"/>
        </w:rPr>
        <w:t>Registr výpustí bude zahrnovat údaje o výpustech:</w:t>
      </w:r>
    </w:p>
    <w:p w14:paraId="1244ED2D" w14:textId="77777777" w:rsidR="004914A6" w:rsidRPr="00857FEA" w:rsidRDefault="004914A6" w:rsidP="004914A6">
      <w:pPr>
        <w:pStyle w:val="Odstavecseseznamem"/>
        <w:numPr>
          <w:ilvl w:val="0"/>
          <w:numId w:val="36"/>
        </w:numPr>
        <w:pBdr>
          <w:top w:val="none" w:sz="4" w:space="0" w:color="000000"/>
          <w:left w:val="none" w:sz="4" w:space="0" w:color="000000"/>
          <w:bottom w:val="none" w:sz="4" w:space="0" w:color="000000"/>
          <w:right w:val="none" w:sz="4" w:space="0" w:color="000000"/>
        </w:pBdr>
        <w:spacing w:after="160" w:line="253" w:lineRule="atLeast"/>
        <w:rPr>
          <w:rFonts w:ascii="Arial" w:hAnsi="Arial" w:cs="Arial"/>
          <w:color w:val="000000"/>
          <w:sz w:val="22"/>
          <w:szCs w:val="22"/>
        </w:rPr>
      </w:pPr>
      <w:r w:rsidRPr="00857FEA">
        <w:rPr>
          <w:rFonts w:ascii="Arial" w:hAnsi="Arial" w:cs="Arial"/>
          <w:color w:val="000000"/>
          <w:sz w:val="22"/>
          <w:szCs w:val="22"/>
        </w:rPr>
        <w:t>kterým bylo vydáno povolení k vypouštění odpadních vod nebo vypouštění důlních vod do vod povrchových v množství přesahujícím v kalendářním roce 6 000 m3 nebo 500 m</w:t>
      </w:r>
      <w:r w:rsidRPr="008678C5">
        <w:rPr>
          <w:rFonts w:ascii="Arial" w:hAnsi="Arial" w:cs="Arial"/>
          <w:color w:val="000000"/>
          <w:sz w:val="22"/>
          <w:szCs w:val="22"/>
          <w:vertAlign w:val="superscript"/>
        </w:rPr>
        <w:t>3</w:t>
      </w:r>
      <w:r w:rsidRPr="00857FEA">
        <w:rPr>
          <w:rFonts w:ascii="Arial" w:hAnsi="Arial" w:cs="Arial"/>
          <w:color w:val="000000"/>
          <w:sz w:val="22"/>
          <w:szCs w:val="22"/>
        </w:rPr>
        <w:t xml:space="preserve"> v kalendářním měsíci,</w:t>
      </w:r>
    </w:p>
    <w:p w14:paraId="794B86ED" w14:textId="77777777" w:rsidR="004914A6" w:rsidRPr="00857FEA" w:rsidRDefault="004914A6" w:rsidP="004914A6">
      <w:pPr>
        <w:pStyle w:val="Odstavecseseznamem"/>
        <w:numPr>
          <w:ilvl w:val="0"/>
          <w:numId w:val="36"/>
        </w:numPr>
        <w:pBdr>
          <w:top w:val="none" w:sz="4" w:space="0" w:color="000000"/>
          <w:left w:val="none" w:sz="4" w:space="0" w:color="000000"/>
          <w:bottom w:val="none" w:sz="4" w:space="0" w:color="000000"/>
          <w:right w:val="none" w:sz="4" w:space="0" w:color="000000"/>
        </w:pBdr>
        <w:spacing w:after="160" w:line="253" w:lineRule="atLeast"/>
        <w:rPr>
          <w:rFonts w:ascii="Arial" w:hAnsi="Arial" w:cs="Arial"/>
          <w:color w:val="000000"/>
          <w:sz w:val="22"/>
          <w:szCs w:val="22"/>
        </w:rPr>
      </w:pPr>
      <w:r w:rsidRPr="00857FEA">
        <w:rPr>
          <w:rFonts w:ascii="Arial" w:hAnsi="Arial" w:cs="Arial"/>
          <w:color w:val="000000"/>
          <w:sz w:val="22"/>
          <w:szCs w:val="22"/>
        </w:rPr>
        <w:t>nacházejících se v území v blízkosti provozů s integrovaným povolením k vypouštění odpadních vod do vod povrchových,</w:t>
      </w:r>
    </w:p>
    <w:p w14:paraId="6184190C" w14:textId="77777777" w:rsidR="004914A6" w:rsidRPr="00857FEA" w:rsidRDefault="004914A6" w:rsidP="004914A6">
      <w:pPr>
        <w:pStyle w:val="Odstavecseseznamem"/>
        <w:numPr>
          <w:ilvl w:val="0"/>
          <w:numId w:val="36"/>
        </w:numPr>
        <w:pBdr>
          <w:top w:val="none" w:sz="4" w:space="0" w:color="000000"/>
          <w:left w:val="none" w:sz="4" w:space="0" w:color="000000"/>
          <w:bottom w:val="none" w:sz="4" w:space="0" w:color="000000"/>
          <w:right w:val="none" w:sz="4" w:space="0" w:color="000000"/>
        </w:pBdr>
        <w:spacing w:after="160" w:line="253" w:lineRule="atLeast"/>
        <w:rPr>
          <w:rFonts w:ascii="Arial" w:hAnsi="Arial" w:cs="Arial"/>
          <w:color w:val="000000"/>
          <w:sz w:val="22"/>
          <w:szCs w:val="22"/>
        </w:rPr>
      </w:pPr>
      <w:r w:rsidRPr="00857FEA">
        <w:rPr>
          <w:rFonts w:ascii="Arial" w:hAnsi="Arial" w:cs="Arial"/>
          <w:color w:val="000000"/>
          <w:sz w:val="22"/>
          <w:szCs w:val="22"/>
        </w:rPr>
        <w:t>nacházejících se na významných vodních tocích,</w:t>
      </w:r>
    </w:p>
    <w:p w14:paraId="23C1D161" w14:textId="77777777" w:rsidR="004914A6" w:rsidRPr="00857FEA" w:rsidRDefault="004914A6" w:rsidP="004914A6">
      <w:pPr>
        <w:pStyle w:val="Odstavecseseznamem"/>
        <w:numPr>
          <w:ilvl w:val="0"/>
          <w:numId w:val="36"/>
        </w:numPr>
        <w:pBdr>
          <w:top w:val="none" w:sz="4" w:space="0" w:color="000000"/>
          <w:left w:val="none" w:sz="4" w:space="0" w:color="000000"/>
          <w:bottom w:val="none" w:sz="4" w:space="0" w:color="000000"/>
          <w:right w:val="none" w:sz="4" w:space="0" w:color="000000"/>
        </w:pBdr>
        <w:spacing w:after="160" w:line="253" w:lineRule="atLeast"/>
        <w:rPr>
          <w:rFonts w:ascii="Arial" w:hAnsi="Arial" w:cs="Arial"/>
          <w:color w:val="000000"/>
          <w:sz w:val="22"/>
          <w:szCs w:val="22"/>
        </w:rPr>
      </w:pPr>
      <w:r w:rsidRPr="00857FEA">
        <w:rPr>
          <w:rFonts w:ascii="Arial" w:hAnsi="Arial" w:cs="Arial"/>
          <w:color w:val="000000"/>
          <w:sz w:val="22"/>
          <w:szCs w:val="22"/>
        </w:rPr>
        <w:t>nacházejících se na drobných vodních tocích.</w:t>
      </w:r>
    </w:p>
    <w:p w14:paraId="694CEDA3" w14:textId="77777777" w:rsidR="00002B43" w:rsidRPr="00AF167E" w:rsidRDefault="00002B43" w:rsidP="00002B43">
      <w:pPr>
        <w:pStyle w:val="Normln6"/>
        <w:spacing w:after="0" w:line="240" w:lineRule="auto"/>
        <w:rPr>
          <w:rFonts w:ascii="Arial" w:hAnsi="Arial" w:cs="Arial"/>
          <w:b/>
          <w:sz w:val="22"/>
          <w:szCs w:val="22"/>
        </w:rPr>
      </w:pPr>
      <w:bookmarkStart w:id="190" w:name="_Toc10183436"/>
    </w:p>
    <w:p w14:paraId="26E5ADF5" w14:textId="68BB0F8F" w:rsidR="00547C0E" w:rsidRPr="00AF167E" w:rsidRDefault="008D7A72" w:rsidP="008D7A72">
      <w:pPr>
        <w:pStyle w:val="Nadpis2"/>
        <w:spacing w:before="0"/>
        <w:contextualSpacing/>
      </w:pPr>
      <w:bookmarkStart w:id="191" w:name="_Toc236991642"/>
      <w:r w:rsidRPr="00AF167E">
        <w:t>12.</w:t>
      </w:r>
      <w:r w:rsidR="007B53B1">
        <w:t>2</w:t>
      </w:r>
      <w:r w:rsidRPr="00AF167E">
        <w:t xml:space="preserve"> </w:t>
      </w:r>
      <w:r w:rsidR="00547C0E" w:rsidRPr="00AF167E">
        <w:t>Zákon o vodovodech a kanalizacích</w:t>
      </w:r>
      <w:bookmarkEnd w:id="190"/>
      <w:bookmarkEnd w:id="191"/>
    </w:p>
    <w:p w14:paraId="6921BFCC" w14:textId="77777777" w:rsidR="006E38B8" w:rsidRPr="00AF167E" w:rsidRDefault="006E38B8" w:rsidP="00F91F01">
      <w:pPr>
        <w:pStyle w:val="Zkladntext"/>
        <w:spacing w:line="264" w:lineRule="auto"/>
        <w:ind w:firstLine="0"/>
        <w:contextualSpacing/>
        <w:rPr>
          <w:rFonts w:ascii="Arial" w:hAnsi="Arial" w:cs="Arial"/>
          <w:b/>
          <w:bCs/>
          <w:sz w:val="22"/>
          <w:szCs w:val="22"/>
        </w:rPr>
      </w:pPr>
      <w:bookmarkStart w:id="192" w:name="_Toc10183437"/>
    </w:p>
    <w:p w14:paraId="11E443C6" w14:textId="3EDE45CA" w:rsidR="00AB296B" w:rsidRPr="00AB296B" w:rsidRDefault="00AB296B" w:rsidP="00AB296B">
      <w:pPr>
        <w:pStyle w:val="Zkladntext"/>
        <w:spacing w:line="264" w:lineRule="auto"/>
        <w:ind w:firstLine="0"/>
        <w:contextualSpacing/>
        <w:rPr>
          <w:rFonts w:ascii="Arial" w:hAnsi="Arial" w:cs="Arial"/>
          <w:b/>
          <w:bCs/>
          <w:sz w:val="22"/>
          <w:szCs w:val="22"/>
        </w:rPr>
      </w:pPr>
      <w:r w:rsidRPr="00AB296B">
        <w:rPr>
          <w:rFonts w:ascii="Arial" w:hAnsi="Arial" w:cs="Arial"/>
          <w:b/>
          <w:bCs/>
          <w:sz w:val="22"/>
          <w:szCs w:val="22"/>
        </w:rPr>
        <w:t>Zákon č. 274/2001 Sb., o vodovodech a kanalizacích pro veřejnou potřebu a o změně některých zákonů (zákon o vodovodech a kanalizacích), neprošel v roce 2025 žádnou přímou novelou. S ohledem na odloženou účinnost některých ustanovení zákona č. 167/2023 Sb., kterým se mění zákon č. 258/2000 Sb., o ochraně veřejného zdraví a o změně některých souvisejících zákonů, byla s účinností od 1.</w:t>
      </w:r>
      <w:r w:rsidR="003414F2">
        <w:rPr>
          <w:rFonts w:ascii="Arial" w:hAnsi="Arial" w:cs="Arial"/>
          <w:b/>
          <w:bCs/>
          <w:sz w:val="22"/>
          <w:szCs w:val="22"/>
        </w:rPr>
        <w:t xml:space="preserve"> </w:t>
      </w:r>
      <w:r w:rsidRPr="00AB296B">
        <w:rPr>
          <w:rFonts w:ascii="Arial" w:hAnsi="Arial" w:cs="Arial"/>
          <w:b/>
          <w:bCs/>
          <w:sz w:val="22"/>
          <w:szCs w:val="22"/>
        </w:rPr>
        <w:t>1.</w:t>
      </w:r>
      <w:r w:rsidR="003414F2">
        <w:rPr>
          <w:rFonts w:ascii="Arial" w:hAnsi="Arial" w:cs="Arial"/>
          <w:b/>
          <w:bCs/>
          <w:sz w:val="22"/>
          <w:szCs w:val="22"/>
        </w:rPr>
        <w:t xml:space="preserve"> </w:t>
      </w:r>
      <w:r w:rsidRPr="00AB296B">
        <w:rPr>
          <w:rFonts w:ascii="Arial" w:hAnsi="Arial" w:cs="Arial"/>
          <w:b/>
          <w:bCs/>
          <w:sz w:val="22"/>
          <w:szCs w:val="22"/>
        </w:rPr>
        <w:t>2025 doplněna do zákona o vodovodech a kanalizacích tzv. informační povinnost s cílem zvyšovat povědomí odběratelů o dopadech spotřeby a ceny vody včetně zpřístupnění on-line informací o vodohospodářské infrastruktuře. Jedná se o povinnost uloženou provozovatelům vodovodů a kanalizací zveřejňovat na svých internetových stránkách údaje o vodohospodářské infrastruktuře a dále o povinnost uloženou vlastníkům, resp. provozovatelům vodohospodářské infrastruktury předávat odběratelům prostřednictvím vyúčtování či elektronické aplikace přístupné způsobem umožňujícím dálkový přístup údaje o vodném a stočném.</w:t>
      </w:r>
    </w:p>
    <w:p w14:paraId="7D08C0AB" w14:textId="77777777" w:rsidR="00AB296B" w:rsidRPr="003671FA" w:rsidRDefault="00AB296B" w:rsidP="00AB296B">
      <w:pPr>
        <w:pStyle w:val="Zkladntext"/>
        <w:spacing w:line="264" w:lineRule="auto"/>
        <w:ind w:firstLine="0"/>
        <w:contextualSpacing/>
        <w:rPr>
          <w:rFonts w:ascii="Arial" w:hAnsi="Arial" w:cs="Arial"/>
          <w:sz w:val="22"/>
          <w:szCs w:val="22"/>
        </w:rPr>
      </w:pPr>
    </w:p>
    <w:p w14:paraId="53D453BC" w14:textId="72F9FF1B" w:rsidR="00AB296B" w:rsidRDefault="00AB296B" w:rsidP="00AB296B">
      <w:pPr>
        <w:spacing w:line="264" w:lineRule="auto"/>
        <w:rPr>
          <w:rFonts w:cs="Arial"/>
        </w:rPr>
      </w:pPr>
      <w:r w:rsidRPr="00FF226B">
        <w:rPr>
          <w:rFonts w:cs="Arial"/>
          <w:bCs/>
        </w:rPr>
        <w:t>Vyhláška č. 428/2001 Sb., kterou se zákon o vodovodech a kanalizacích provádí,</w:t>
      </w:r>
      <w:r w:rsidRPr="003671FA">
        <w:rPr>
          <w:rFonts w:cs="Arial"/>
        </w:rPr>
        <w:t xml:space="preserve"> byla v roce 2025 novelizována vyhláškou č. 483/2025 Sb. </w:t>
      </w:r>
      <w:r>
        <w:rPr>
          <w:rFonts w:cs="Arial"/>
        </w:rPr>
        <w:t>T</w:t>
      </w:r>
      <w:r w:rsidRPr="003671FA">
        <w:rPr>
          <w:rFonts w:cs="Arial"/>
        </w:rPr>
        <w:t>outo novelou dochází k odložení účinnosti vybraných novelizačních bodů vyhlášky č. 390/2024 Sb.</w:t>
      </w:r>
      <w:r>
        <w:rPr>
          <w:rFonts w:cs="Arial"/>
        </w:rPr>
        <w:t>, z</w:t>
      </w:r>
      <w:r w:rsidRPr="003671FA">
        <w:rPr>
          <w:rFonts w:cs="Arial"/>
        </w:rPr>
        <w:t>ejména povinnost</w:t>
      </w:r>
      <w:r>
        <w:rPr>
          <w:rFonts w:cs="Arial"/>
        </w:rPr>
        <w:t>i</w:t>
      </w:r>
      <w:r w:rsidRPr="003671FA">
        <w:rPr>
          <w:rFonts w:cs="Arial"/>
        </w:rPr>
        <w:t xml:space="preserve"> vlastníků, resp. provozovatelů vodovodů a kanalizací zveřejňovat na svých internetových stránkách </w:t>
      </w:r>
      <w:r>
        <w:rPr>
          <w:rFonts w:cs="Arial"/>
        </w:rPr>
        <w:t xml:space="preserve">vybrané </w:t>
      </w:r>
      <w:r w:rsidRPr="003671FA">
        <w:rPr>
          <w:rFonts w:cs="Arial"/>
        </w:rPr>
        <w:t xml:space="preserve">údaje, které jsou předávané prostřednictvím Informačního systému vodovodů a kanalizací. </w:t>
      </w:r>
      <w:r>
        <w:rPr>
          <w:rFonts w:cs="Arial"/>
        </w:rPr>
        <w:t>Report</w:t>
      </w:r>
      <w:r w:rsidR="001F43B2">
        <w:rPr>
          <w:rFonts w:cs="Arial"/>
        </w:rPr>
        <w:t>ování</w:t>
      </w:r>
      <w:r>
        <w:rPr>
          <w:rFonts w:cs="Arial"/>
        </w:rPr>
        <w:t xml:space="preserve"> předávaných údajů, stejně tak jako vyplňování žádosti o vydání, změnu či zrušení povolení k provozování či podávání žádostí o změnu plánu rozvoje vodovodů a kanalizací</w:t>
      </w:r>
      <w:r w:rsidR="00B73B12">
        <w:rPr>
          <w:rFonts w:cs="Arial"/>
        </w:rPr>
        <w:t>,</w:t>
      </w:r>
      <w:r>
        <w:rPr>
          <w:rFonts w:cs="Arial"/>
        </w:rPr>
        <w:t xml:space="preserve"> bude řešeno v rámci nového informačního systému, jehož realizace </w:t>
      </w:r>
      <w:r w:rsidRPr="003671FA">
        <w:rPr>
          <w:rFonts w:cs="Arial"/>
        </w:rPr>
        <w:t xml:space="preserve">se předpokládá </w:t>
      </w:r>
      <w:r>
        <w:rPr>
          <w:rFonts w:cs="Arial"/>
        </w:rPr>
        <w:t>o</w:t>
      </w:r>
      <w:r w:rsidRPr="003671FA">
        <w:rPr>
          <w:rFonts w:cs="Arial"/>
        </w:rPr>
        <w:t xml:space="preserve">d 1. </w:t>
      </w:r>
      <w:r w:rsidR="003414F2">
        <w:rPr>
          <w:rFonts w:cs="Arial"/>
        </w:rPr>
        <w:t>1.</w:t>
      </w:r>
      <w:r w:rsidRPr="003671FA">
        <w:rPr>
          <w:rFonts w:cs="Arial"/>
        </w:rPr>
        <w:t xml:space="preserve"> 2028.</w:t>
      </w:r>
    </w:p>
    <w:p w14:paraId="139D37A1" w14:textId="77777777" w:rsidR="00AB296B" w:rsidRDefault="00AB296B" w:rsidP="00AB296B">
      <w:pPr>
        <w:spacing w:line="264" w:lineRule="auto"/>
        <w:rPr>
          <w:rFonts w:cs="Arial"/>
        </w:rPr>
      </w:pPr>
    </w:p>
    <w:p w14:paraId="116BD749" w14:textId="4F843B40" w:rsidR="00AB296B" w:rsidRPr="003671FA" w:rsidRDefault="00AB296B" w:rsidP="00AB296B">
      <w:pPr>
        <w:spacing w:line="264" w:lineRule="auto"/>
        <w:rPr>
          <w:rFonts w:cs="Arial"/>
        </w:rPr>
      </w:pPr>
      <w:r>
        <w:rPr>
          <w:rFonts w:cs="Arial"/>
        </w:rPr>
        <w:t>S</w:t>
      </w:r>
      <w:r w:rsidRPr="003671FA">
        <w:rPr>
          <w:rFonts w:cs="Arial"/>
        </w:rPr>
        <w:t> účinnost</w:t>
      </w:r>
      <w:r>
        <w:rPr>
          <w:rFonts w:cs="Arial"/>
        </w:rPr>
        <w:t>í</w:t>
      </w:r>
      <w:r w:rsidRPr="003671FA">
        <w:rPr>
          <w:rFonts w:cs="Arial"/>
        </w:rPr>
        <w:t xml:space="preserve"> od 1.</w:t>
      </w:r>
      <w:r w:rsidR="003414F2">
        <w:rPr>
          <w:rFonts w:cs="Arial"/>
        </w:rPr>
        <w:t xml:space="preserve"> </w:t>
      </w:r>
      <w:r w:rsidRPr="003671FA">
        <w:rPr>
          <w:rFonts w:cs="Arial"/>
        </w:rPr>
        <w:t>1.</w:t>
      </w:r>
      <w:r w:rsidR="003414F2">
        <w:rPr>
          <w:rFonts w:cs="Arial"/>
        </w:rPr>
        <w:t xml:space="preserve"> </w:t>
      </w:r>
      <w:r w:rsidRPr="003671FA">
        <w:rPr>
          <w:rFonts w:cs="Arial"/>
        </w:rPr>
        <w:t xml:space="preserve">2025 </w:t>
      </w:r>
      <w:r>
        <w:rPr>
          <w:rFonts w:cs="Arial"/>
        </w:rPr>
        <w:t>je stanoven</w:t>
      </w:r>
      <w:r w:rsidRPr="003671FA">
        <w:rPr>
          <w:rFonts w:cs="Arial"/>
        </w:rPr>
        <w:t xml:space="preserve"> rozsah údajů, které je provozovatel </w:t>
      </w:r>
      <w:r>
        <w:rPr>
          <w:rFonts w:cs="Arial"/>
        </w:rPr>
        <w:t xml:space="preserve">vodohospodářské infrastruktury </w:t>
      </w:r>
      <w:r w:rsidRPr="003671FA">
        <w:rPr>
          <w:rFonts w:cs="Arial"/>
        </w:rPr>
        <w:t xml:space="preserve">povinen zveřejnit na svých internetových stránkách a </w:t>
      </w:r>
      <w:r>
        <w:rPr>
          <w:rFonts w:cs="Arial"/>
        </w:rPr>
        <w:t xml:space="preserve">je specifikován </w:t>
      </w:r>
      <w:r w:rsidRPr="003671FA">
        <w:rPr>
          <w:rFonts w:cs="Arial"/>
        </w:rPr>
        <w:t xml:space="preserve">rozsah údajů o vodném nebo stočném, které musí být odběratelům pravidelně předávány. </w:t>
      </w:r>
    </w:p>
    <w:p w14:paraId="712EBD0B" w14:textId="77777777" w:rsidR="00AB296B" w:rsidRPr="003671FA" w:rsidRDefault="00AB296B" w:rsidP="00AB296B">
      <w:pPr>
        <w:spacing w:line="264" w:lineRule="auto"/>
        <w:rPr>
          <w:rFonts w:cs="Arial"/>
        </w:rPr>
      </w:pPr>
    </w:p>
    <w:p w14:paraId="291751AC" w14:textId="3290AB42" w:rsidR="00AB296B" w:rsidRDefault="007D7F5A" w:rsidP="00AB296B">
      <w:pPr>
        <w:spacing w:line="264" w:lineRule="auto"/>
        <w:rPr>
          <w:rFonts w:cs="Arial"/>
        </w:rPr>
      </w:pPr>
      <w:r w:rsidRPr="007D7F5A">
        <w:rPr>
          <w:rFonts w:cs="Arial"/>
        </w:rPr>
        <w:t>V návaznosti na odloženou účinnost některých ustanovení předchozích novel nabyly dne 1. 7. 2024 účinnosti příloha č. 19 „Kalkulace cen pro vodné a stočné pro kalendářní rok“ a příloha č. 19a „Členění kalkulačních a ostatních položek, jejich obsah, objemové a množstevní ukazatele při kalkulaci ceny pro vodné a stočné“. Obě přílohy byly nově rozšířeny o údaje potřebné pro výpočet přiměřeného zisku vlastníků a provozovatelů vodovodů a kanalizací pro veřejnou potřebu.</w:t>
      </w:r>
      <w:r>
        <w:rPr>
          <w:rFonts w:cs="Arial"/>
        </w:rPr>
        <w:t xml:space="preserve"> </w:t>
      </w:r>
      <w:r w:rsidR="00AB296B">
        <w:rPr>
          <w:rFonts w:cs="Arial"/>
        </w:rPr>
        <w:t>V souvislosti s</w:t>
      </w:r>
      <w:r w:rsidR="00AB296B" w:rsidRPr="003671FA">
        <w:rPr>
          <w:rFonts w:cs="Arial"/>
        </w:rPr>
        <w:t> touto úpravou pak s účinností od 1.</w:t>
      </w:r>
      <w:r w:rsidR="003414F2">
        <w:rPr>
          <w:rFonts w:cs="Arial"/>
        </w:rPr>
        <w:t xml:space="preserve"> </w:t>
      </w:r>
      <w:r w:rsidR="00AB296B" w:rsidRPr="003671FA">
        <w:rPr>
          <w:rFonts w:cs="Arial"/>
        </w:rPr>
        <w:t>1.</w:t>
      </w:r>
      <w:r w:rsidR="003414F2">
        <w:rPr>
          <w:rFonts w:cs="Arial"/>
        </w:rPr>
        <w:t xml:space="preserve"> </w:t>
      </w:r>
      <w:r w:rsidR="00AB296B" w:rsidRPr="003671FA">
        <w:rPr>
          <w:rFonts w:cs="Arial"/>
        </w:rPr>
        <w:t xml:space="preserve">2025 </w:t>
      </w:r>
      <w:r w:rsidR="00AB296B">
        <w:rPr>
          <w:rFonts w:cs="Arial"/>
        </w:rPr>
        <w:t>byla doplněna</w:t>
      </w:r>
      <w:r w:rsidR="00AB296B" w:rsidRPr="003671FA">
        <w:rPr>
          <w:rFonts w:cs="Arial"/>
        </w:rPr>
        <w:t xml:space="preserve"> příloh</w:t>
      </w:r>
      <w:r w:rsidR="00AB296B">
        <w:rPr>
          <w:rFonts w:cs="Arial"/>
        </w:rPr>
        <w:t>a</w:t>
      </w:r>
      <w:r w:rsidR="00AB296B" w:rsidRPr="003671FA">
        <w:rPr>
          <w:rFonts w:cs="Arial"/>
        </w:rPr>
        <w:t xml:space="preserve"> č. 20 Porovnání všech položek kalkulace cen pro vodné a cen pro stočné za kalendářní rok</w:t>
      </w:r>
      <w:r w:rsidR="00AB296B">
        <w:rPr>
          <w:rFonts w:cs="Arial"/>
        </w:rPr>
        <w:t xml:space="preserve"> (dále jen „Porovnání“)</w:t>
      </w:r>
      <w:r w:rsidR="00AB296B" w:rsidRPr="003671FA">
        <w:rPr>
          <w:rFonts w:cs="Arial"/>
        </w:rPr>
        <w:t>. Uvedeným rozšířením vykazovaných údajů došlo k úplnému sjednocení výkazů, které vodohospodářské subjekty zasílají Ministerstvu zemědělství a Ministerstvu financí. Sjednocením výkazů „Vyrovnávací kalkulace“ Ministerstva financí a „Porovnání“ Ministerstva zemědělstv</w:t>
      </w:r>
      <w:r w:rsidR="00AB296B">
        <w:rPr>
          <w:rFonts w:cs="Arial"/>
        </w:rPr>
        <w:t>í</w:t>
      </w:r>
      <w:r w:rsidR="00AB296B" w:rsidRPr="003671FA">
        <w:rPr>
          <w:rFonts w:cs="Arial"/>
        </w:rPr>
        <w:t xml:space="preserve"> došlo k úpravě pravidel tak, že subjekty odesílají pouze jedno hlášení, čímž dochází ke snížení administrativní zátěže u těchto subjektů. </w:t>
      </w:r>
    </w:p>
    <w:p w14:paraId="7EA504EE" w14:textId="77777777" w:rsidR="00AB296B" w:rsidRPr="003671FA" w:rsidRDefault="00AB296B" w:rsidP="00AB296B">
      <w:pPr>
        <w:spacing w:line="264" w:lineRule="auto"/>
        <w:rPr>
          <w:rFonts w:cs="Arial"/>
        </w:rPr>
      </w:pPr>
    </w:p>
    <w:p w14:paraId="1BBB0950" w14:textId="77777777" w:rsidR="00AB296B" w:rsidRPr="003671FA" w:rsidRDefault="00AB296B" w:rsidP="00AB296B">
      <w:pPr>
        <w:spacing w:line="264" w:lineRule="auto"/>
        <w:rPr>
          <w:rFonts w:cs="Arial"/>
        </w:rPr>
      </w:pPr>
      <w:r w:rsidRPr="003671FA">
        <w:rPr>
          <w:rFonts w:cs="Arial"/>
        </w:rPr>
        <w:t xml:space="preserve">Výklady k zákonu o vodovodech a kanalizacích jsou zveřejněny na internetových stránkách Ministerstva zemědělství na </w:t>
      </w:r>
      <w:proofErr w:type="spellStart"/>
      <w:r w:rsidRPr="003671FA">
        <w:rPr>
          <w:rFonts w:cs="Arial"/>
        </w:rPr>
        <w:t>subportálu</w:t>
      </w:r>
      <w:proofErr w:type="spellEnd"/>
      <w:r w:rsidRPr="003671FA">
        <w:rPr>
          <w:rFonts w:cs="Arial"/>
        </w:rPr>
        <w:t xml:space="preserve"> Voda – Legislativa – Výklady.</w:t>
      </w:r>
    </w:p>
    <w:p w14:paraId="67022981" w14:textId="0CD5A20F" w:rsidR="00BF65BA" w:rsidRDefault="00BF65BA" w:rsidP="007C4955">
      <w:pPr>
        <w:contextualSpacing/>
        <w:rPr>
          <w:rFonts w:cs="Arial"/>
          <w:color w:val="FF0000"/>
          <w:highlight w:val="yellow"/>
        </w:rPr>
      </w:pPr>
    </w:p>
    <w:p w14:paraId="3C9BA481" w14:textId="77777777" w:rsidR="008F0B14" w:rsidRPr="00104F7D" w:rsidRDefault="008F0B14" w:rsidP="007C4955">
      <w:pPr>
        <w:contextualSpacing/>
        <w:rPr>
          <w:rFonts w:cs="Arial"/>
          <w:color w:val="FF0000"/>
          <w:highlight w:val="yellow"/>
        </w:rPr>
      </w:pPr>
    </w:p>
    <w:p w14:paraId="5E7A7520" w14:textId="6C77D174" w:rsidR="004B0071" w:rsidRPr="00104F7D" w:rsidRDefault="008D7A72" w:rsidP="008D7A72">
      <w:pPr>
        <w:pStyle w:val="Nadpis2"/>
        <w:spacing w:before="0"/>
        <w:contextualSpacing/>
        <w:rPr>
          <w:highlight w:val="yellow"/>
        </w:rPr>
      </w:pPr>
      <w:bookmarkStart w:id="193" w:name="_Hlk165025473"/>
      <w:bookmarkStart w:id="194" w:name="_Toc236991643"/>
      <w:r w:rsidRPr="00E0193F">
        <w:t xml:space="preserve">12.3 </w:t>
      </w:r>
      <w:r w:rsidR="00547C0E" w:rsidRPr="00E0193F">
        <w:t>Kontrola výkonu státní správy v oblasti vodního hospodářství</w:t>
      </w:r>
      <w:bookmarkEnd w:id="192"/>
      <w:bookmarkEnd w:id="193"/>
      <w:bookmarkEnd w:id="194"/>
    </w:p>
    <w:p w14:paraId="6287DC66" w14:textId="77777777" w:rsidR="007271B3" w:rsidRPr="00104F7D" w:rsidRDefault="007271B3" w:rsidP="007271B3">
      <w:pPr>
        <w:rPr>
          <w:highlight w:val="yellow"/>
        </w:rPr>
      </w:pPr>
    </w:p>
    <w:p w14:paraId="5354027F" w14:textId="77777777" w:rsidR="002E02ED" w:rsidRPr="00374008" w:rsidRDefault="002E02ED" w:rsidP="002E02ED">
      <w:pPr>
        <w:rPr>
          <w:rFonts w:cs="Arial"/>
          <w:b/>
        </w:rPr>
      </w:pPr>
      <w:r w:rsidRPr="00374008">
        <w:rPr>
          <w:rFonts w:cs="Arial"/>
          <w:b/>
        </w:rPr>
        <w:t xml:space="preserve">Výkon vrchního státního dozoru je Ministerstvům zemědělství a životního prostředí uložen zákonem č. 2/1969 Sb., o zřízení ministerstev a jiných ústředních orgánů státní správy České republiky, ve znění pozdějších předpisů (tzv. kompetenční zákon), prostřednictvím ustanovení § 111 zákona č. 254/2001 Sb., o vodách a o změně některých zákonů (vodní zákon), ve znění pozdějších předpisů, jako vrchní vodoprávní dozor. </w:t>
      </w:r>
    </w:p>
    <w:p w14:paraId="58F0B2D4" w14:textId="77777777" w:rsidR="002E02ED" w:rsidRPr="00374008" w:rsidRDefault="002E02ED" w:rsidP="002E02ED">
      <w:pPr>
        <w:rPr>
          <w:rFonts w:cs="Arial"/>
          <w:bCs/>
        </w:rPr>
      </w:pPr>
    </w:p>
    <w:p w14:paraId="2509500D" w14:textId="77777777" w:rsidR="002E02ED" w:rsidRPr="00374008" w:rsidRDefault="002E02ED" w:rsidP="002E02ED">
      <w:pPr>
        <w:rPr>
          <w:rFonts w:cs="Arial"/>
          <w:bCs/>
        </w:rPr>
      </w:pPr>
      <w:r w:rsidRPr="00374008">
        <w:rPr>
          <w:rFonts w:cs="Arial"/>
          <w:bCs/>
        </w:rPr>
        <w:t xml:space="preserve">Kontroly krajských úřadů probíhají v souladu s usnesením vlády č. 689 ze dne 11. 9. 2013 o Plánování, vyhodnocování a koordinaci kontrol výkonu přenesené a samostatné působnosti územních samosprávných celků prováděných ústředními správními úřady, krajskými úřady, Magistrátem hlavního města Prahy a magistráty územně členěných statutárních měst. Plán kontrol krajů a hlavního města Prahy s nastaveným tříletým kontrolním obdobím, tj. na léta 2023–2025, zpracovalo Ministerstvo vnitra ČR. </w:t>
      </w:r>
    </w:p>
    <w:p w14:paraId="7150BED0" w14:textId="77777777" w:rsidR="002E02ED" w:rsidRPr="00374008" w:rsidRDefault="002E02ED" w:rsidP="002E02ED">
      <w:pPr>
        <w:rPr>
          <w:rFonts w:cs="Arial"/>
          <w:bCs/>
        </w:rPr>
      </w:pPr>
    </w:p>
    <w:p w14:paraId="41B52554" w14:textId="77777777" w:rsidR="002E02ED" w:rsidRPr="00374008" w:rsidRDefault="002E02ED" w:rsidP="002E02ED">
      <w:pPr>
        <w:rPr>
          <w:rFonts w:cs="Arial"/>
        </w:rPr>
      </w:pPr>
      <w:r w:rsidRPr="00374008">
        <w:rPr>
          <w:rFonts w:cs="Arial"/>
          <w:bCs/>
        </w:rPr>
        <w:t xml:space="preserve">Ze strany Ministerstva zemědělství jsou realizovány také kontroly </w:t>
      </w:r>
      <w:r w:rsidRPr="00374008">
        <w:rPr>
          <w:rFonts w:cs="Arial"/>
        </w:rPr>
        <w:t xml:space="preserve">vodoprávních úřadů obcí s rozšířenou působností. Tyto kontroly jsou plánovány ve spolupráci s krajskými úřady, aby nedocházelo k duplicitě kontrol. </w:t>
      </w:r>
      <w:r w:rsidRPr="00374008">
        <w:rPr>
          <w:rFonts w:cs="Arial"/>
          <w:bCs/>
        </w:rPr>
        <w:t>V roce 2025 proběhly čtyři kontroly na krajských vodoprávních úřadech. Dále bylo realizováno 18 kontrol na vodoprávních úřadech obcí s rozšířenou působností.</w:t>
      </w:r>
    </w:p>
    <w:p w14:paraId="5D65D36B" w14:textId="77777777" w:rsidR="002E02ED" w:rsidRPr="007B53B1" w:rsidRDefault="002E02ED" w:rsidP="002E02ED">
      <w:pPr>
        <w:rPr>
          <w:rFonts w:eastAsia="Times New Roman" w:cs="Arial"/>
          <w:lang w:eastAsia="cs-CZ"/>
        </w:rPr>
      </w:pPr>
      <w:r w:rsidRPr="007B53B1">
        <w:rPr>
          <w:rFonts w:cs="Arial"/>
        </w:rPr>
        <w:t>Dozorovou činnost výkonu přenesené působnosti v oblasti vodního hospodářství Ministerstva životního prostředí provádějí každoročně v rámci vrchního vodoprávního dozoru odbory výkonu státní správy (OVSS). Dozorová činnost vůči vodoprávním úřadům obcí s rozšířenou působností byla realizována dle tzv.</w:t>
      </w:r>
      <w:r w:rsidRPr="007B53B1">
        <w:rPr>
          <w:rFonts w:eastAsia="Times New Roman" w:cs="Arial"/>
          <w:lang w:eastAsia="cs-CZ"/>
        </w:rPr>
        <w:t xml:space="preserve"> „Plánu státního dozoru na rok 2024“ Ministerstva životního prostředí.</w:t>
      </w:r>
    </w:p>
    <w:p w14:paraId="266C89C9" w14:textId="77777777" w:rsidR="002E02ED" w:rsidRPr="00104F7D" w:rsidRDefault="002E02ED" w:rsidP="002E02ED">
      <w:pPr>
        <w:rPr>
          <w:rFonts w:eastAsia="Times New Roman" w:cs="Arial"/>
          <w:bCs/>
          <w:highlight w:val="yellow"/>
          <w:lang w:eastAsia="cs-CZ"/>
        </w:rPr>
      </w:pPr>
    </w:p>
    <w:p w14:paraId="2CEEBCA9" w14:textId="77777777" w:rsidR="002E02ED" w:rsidRPr="00374008" w:rsidRDefault="002E02ED" w:rsidP="002E02ED">
      <w:pPr>
        <w:rPr>
          <w:rFonts w:cs="Arial"/>
          <w:bCs/>
        </w:rPr>
      </w:pPr>
      <w:r w:rsidRPr="00374008">
        <w:rPr>
          <w:rFonts w:cs="Arial"/>
        </w:rPr>
        <w:t>Při kontrolní činnosti se obě ministerstva zaměřují (v rozsahu svých kompetencí, určujících působnost ústředního vodoprávního úřadu) zejména na provádění vodního zákona a dalších předpisů přímo s tímto právním předpisem souvisejících</w:t>
      </w:r>
      <w:r w:rsidRPr="00374008">
        <w:rPr>
          <w:rFonts w:cs="Arial"/>
          <w:bCs/>
        </w:rPr>
        <w:t>.</w:t>
      </w:r>
    </w:p>
    <w:p w14:paraId="5DC874A9" w14:textId="77777777" w:rsidR="002E02ED" w:rsidRPr="00104F7D" w:rsidRDefault="002E02ED" w:rsidP="002E02ED">
      <w:pPr>
        <w:rPr>
          <w:rFonts w:cs="Arial"/>
          <w:highlight w:val="yellow"/>
        </w:rPr>
      </w:pPr>
    </w:p>
    <w:p w14:paraId="6E306C5B" w14:textId="77777777" w:rsidR="002E02ED" w:rsidRPr="00374008" w:rsidRDefault="002E02ED" w:rsidP="002E02ED">
      <w:pPr>
        <w:rPr>
          <w:rFonts w:cs="Arial"/>
        </w:rPr>
      </w:pPr>
      <w:r w:rsidRPr="00374008">
        <w:rPr>
          <w:rFonts w:cs="Arial"/>
        </w:rPr>
        <w:t xml:space="preserve">Mimo uvedený legislativní rámec byl taktéž prověřován způsob fungování vodoprávních úřadů zahrnující jejich personální, materiální a organizační zabezpečení, zejména pak dosaženou kvalifikaci a praxi zaměstnanců. </w:t>
      </w:r>
    </w:p>
    <w:p w14:paraId="52B9CDA7" w14:textId="77777777" w:rsidR="002E02ED" w:rsidRPr="00104F7D" w:rsidRDefault="002E02ED" w:rsidP="002E02ED">
      <w:pPr>
        <w:rPr>
          <w:rFonts w:cs="Arial"/>
          <w:highlight w:val="yellow"/>
        </w:rPr>
      </w:pPr>
    </w:p>
    <w:p w14:paraId="3D135D67" w14:textId="77777777" w:rsidR="002E02ED" w:rsidRPr="00374008" w:rsidRDefault="002E02ED" w:rsidP="002E02ED">
      <w:pPr>
        <w:rPr>
          <w:rFonts w:cs="Arial"/>
        </w:rPr>
      </w:pPr>
      <w:r w:rsidRPr="00374008">
        <w:rPr>
          <w:rFonts w:cs="Arial"/>
        </w:rPr>
        <w:t xml:space="preserve">Při každé kontrolní akci byly prověřeny namátkou vybrané spisové dokumentace. Z provedené kontroly je pořizován protokol, obsahující popis případně zjištěných nedostatků. Na základě provedených kontrol je možné konstatovat, že výkon přenesené působnosti krajských úřadů na úseku vodního hospodářství je dlouhodobě na vysoké úrovni. U krajských vodoprávních úřadů je pozitivně hodnocena jejich snaha o odborné metodické vedení úřadů v obvodu jejich působnosti. U žádného z kontrolovaných subjektů nebylo nutné přikročit k uložení opatření k nápravě, zjištěná pochybení byla převážně formálního charakteru a v žádném z případů nezpůsobovala nezákonnost prověřovaných rozhodnutí. </w:t>
      </w:r>
    </w:p>
    <w:p w14:paraId="2AF31B2D" w14:textId="77777777" w:rsidR="002E02ED" w:rsidRPr="00374008" w:rsidRDefault="002E02ED" w:rsidP="002E02ED">
      <w:pPr>
        <w:rPr>
          <w:rFonts w:cs="Arial"/>
        </w:rPr>
      </w:pPr>
    </w:p>
    <w:p w14:paraId="4B665042" w14:textId="77777777" w:rsidR="002E02ED" w:rsidRDefault="002E02ED" w:rsidP="002E02ED">
      <w:pPr>
        <w:contextualSpacing/>
        <w:rPr>
          <w:rFonts w:cs="Arial"/>
        </w:rPr>
      </w:pPr>
      <w:r w:rsidRPr="00374008">
        <w:rPr>
          <w:rFonts w:cs="Arial"/>
        </w:rPr>
        <w:t xml:space="preserve">Poznatků z kontrolní činnosti vůči vodoprávním úřadům je využíváno jako zpětné vazby, která napomáhá nejen k prohlubování vzájemné komunikace na všech stupních správní hierarchie, ale pro ústřední vodoprávní úřady je velmi přínosné seznámení se s regionální i lokální vodoprávní problematikou. Výsledky kontrol jsou následně využívány i pro metodické vedení vodoprávních úřadů. Poznatky o aplikaci předpisů a aktuální vodohospodářská problematika jsou každoročně prezentovány na pracovním setkání sekce vodního hospodářství Ministerstva zemědělství a </w:t>
      </w:r>
      <w:r w:rsidRPr="00374008">
        <w:t>sekce ochrany přírody a krajiny Ministerstva životního prostředí</w:t>
      </w:r>
      <w:r w:rsidRPr="00374008">
        <w:rPr>
          <w:rFonts w:cs="Arial"/>
        </w:rPr>
        <w:t xml:space="preserve"> s jednotlivými vodoprávními úřady (v roce 2025 proběhlo toto setkání ve dnech 13. – 15. 10. 2025 v hotelu </w:t>
      </w:r>
      <w:proofErr w:type="spellStart"/>
      <w:r w:rsidRPr="00374008">
        <w:rPr>
          <w:rFonts w:cs="Arial"/>
        </w:rPr>
        <w:t>Primavera</w:t>
      </w:r>
      <w:proofErr w:type="spellEnd"/>
      <w:r w:rsidRPr="00374008">
        <w:rPr>
          <w:rFonts w:cs="Arial"/>
        </w:rPr>
        <w:t xml:space="preserve"> v Plzni). </w:t>
      </w:r>
    </w:p>
    <w:p w14:paraId="24BC59BE" w14:textId="77777777" w:rsidR="002136FE" w:rsidRDefault="002136FE" w:rsidP="002E02ED">
      <w:pPr>
        <w:contextualSpacing/>
        <w:rPr>
          <w:rFonts w:cs="Arial"/>
        </w:rPr>
      </w:pPr>
    </w:p>
    <w:p w14:paraId="732CDC21" w14:textId="77777777" w:rsidR="00B1207D" w:rsidRPr="00B1207D" w:rsidRDefault="00B1207D" w:rsidP="00B1207D">
      <w:pPr>
        <w:contextualSpacing/>
        <w:rPr>
          <w:rFonts w:cs="Arial"/>
        </w:rPr>
      </w:pPr>
      <w:r w:rsidRPr="00B1207D">
        <w:rPr>
          <w:rFonts w:cs="Arial"/>
        </w:rPr>
        <w:t>Ve dnech 10. a 22. října 2025 proběhla na Krajském úřadu Zlínského kraje pravidelná kontrola výkonu státní správy na úseku ochrany vod, provedená pracovníkem odboru výkonu státní správy IV Ministerstva životního prostředí na základě požadavku Ministerstva vnitra.</w:t>
      </w:r>
    </w:p>
    <w:p w14:paraId="7622CEF7" w14:textId="77777777" w:rsidR="00B1207D" w:rsidRDefault="00B1207D" w:rsidP="00B1207D">
      <w:pPr>
        <w:contextualSpacing/>
        <w:rPr>
          <w:rFonts w:cs="Arial"/>
        </w:rPr>
      </w:pPr>
    </w:p>
    <w:p w14:paraId="1B05DD5E" w14:textId="5EF19D0C" w:rsidR="00B1207D" w:rsidRPr="00B1207D" w:rsidRDefault="00B1207D" w:rsidP="00B1207D">
      <w:pPr>
        <w:contextualSpacing/>
        <w:rPr>
          <w:rFonts w:cs="Arial"/>
        </w:rPr>
      </w:pPr>
      <w:r w:rsidRPr="00B1207D">
        <w:rPr>
          <w:rFonts w:cs="Arial"/>
        </w:rPr>
        <w:t>Kontrolou bylo konstatováno, že výkon státní správy v oblasti ochrany vod je zajišťován na velmi vysoké odborné, právní a profesní úrovni. Namátkově vybraná správní rozhodnutí a opatření obecné povahy byla shledána věcně i právně správnými. Nebyly zjištěny žádné nedostatky, které by vedly ke změně nebo zrušení kontrolovaných aktů.</w:t>
      </w:r>
    </w:p>
    <w:p w14:paraId="0D1524B6" w14:textId="77777777" w:rsidR="00B1207D" w:rsidRDefault="00B1207D" w:rsidP="00B1207D">
      <w:pPr>
        <w:contextualSpacing/>
        <w:rPr>
          <w:rFonts w:cs="Arial"/>
        </w:rPr>
      </w:pPr>
    </w:p>
    <w:p w14:paraId="4B0A30E5" w14:textId="306AD25E" w:rsidR="00B1207D" w:rsidRPr="00B1207D" w:rsidRDefault="00B1207D" w:rsidP="00B1207D">
      <w:pPr>
        <w:contextualSpacing/>
        <w:rPr>
          <w:rFonts w:cs="Arial"/>
        </w:rPr>
      </w:pPr>
      <w:r w:rsidRPr="00B1207D">
        <w:rPr>
          <w:rFonts w:cs="Arial"/>
        </w:rPr>
        <w:t>Pozitivně byla hodnocena rovněž metodická a kontrolní činnost oddělení vodního hospodářství vůči vodoprávním úřadům obcí s rozšířenou působností ve Zlínském kraji, včetně organizace odborných seminářů a pravidelných školení.</w:t>
      </w:r>
    </w:p>
    <w:p w14:paraId="25F46492" w14:textId="77777777" w:rsidR="00B1207D" w:rsidRDefault="00B1207D" w:rsidP="00B1207D">
      <w:pPr>
        <w:contextualSpacing/>
        <w:rPr>
          <w:rFonts w:cs="Arial"/>
        </w:rPr>
      </w:pPr>
    </w:p>
    <w:p w14:paraId="74B16452" w14:textId="3E52E33D" w:rsidR="00B1207D" w:rsidRDefault="00B1207D" w:rsidP="00B1207D">
      <w:pPr>
        <w:contextualSpacing/>
        <w:rPr>
          <w:rFonts w:cs="Arial"/>
        </w:rPr>
      </w:pPr>
      <w:r w:rsidRPr="00B1207D">
        <w:rPr>
          <w:rFonts w:cs="Arial"/>
        </w:rPr>
        <w:t xml:space="preserve">Ministerstvo životního prostředí doporučilo věnovat zvýšenou pozornost problematice vypouštění odpadních vod obsahujících nebezpečné, a zvláště nebezpečné závadné látky, zejména s cílem zamezit jejich vypouštění bez odpovídajícího čištění a bez platného povolení k nakládání s vodami. V této oblasti bude krajský úřad i nadále poskytovat metodické vedení vodoprávním úřadům obcí s </w:t>
      </w:r>
    </w:p>
    <w:p w14:paraId="6102A18C" w14:textId="2BC30C08" w:rsidR="00B1207D" w:rsidRPr="00B1207D" w:rsidRDefault="00B1207D" w:rsidP="00B1207D">
      <w:pPr>
        <w:contextualSpacing/>
        <w:rPr>
          <w:rFonts w:cs="Arial"/>
        </w:rPr>
      </w:pPr>
      <w:r w:rsidRPr="00B1207D">
        <w:rPr>
          <w:rFonts w:cs="Arial"/>
        </w:rPr>
        <w:t>rozšířenou působností.</w:t>
      </w:r>
    </w:p>
    <w:p w14:paraId="3313168D" w14:textId="77777777" w:rsidR="00B1207D" w:rsidRDefault="00B1207D" w:rsidP="00B1207D">
      <w:pPr>
        <w:contextualSpacing/>
        <w:rPr>
          <w:rFonts w:cs="Arial"/>
        </w:rPr>
      </w:pPr>
    </w:p>
    <w:p w14:paraId="3CFC6854" w14:textId="0CE472C1" w:rsidR="00B1207D" w:rsidRPr="00B1207D" w:rsidRDefault="00B1207D" w:rsidP="00B1207D">
      <w:pPr>
        <w:contextualSpacing/>
        <w:rPr>
          <w:rFonts w:cs="Arial"/>
        </w:rPr>
      </w:pPr>
      <w:r w:rsidRPr="00B1207D">
        <w:rPr>
          <w:rFonts w:cs="Arial"/>
        </w:rPr>
        <w:t>V rámci kontroly nebyly podle § 88 odst. 3 zákona č. 129/2000 Sb., o krajích, uloženy žádné nápravné úkoly ani další opatření.</w:t>
      </w:r>
    </w:p>
    <w:p w14:paraId="638FAD86" w14:textId="77777777" w:rsidR="002136FE" w:rsidRPr="00374008" w:rsidRDefault="002136FE" w:rsidP="002E02ED">
      <w:pPr>
        <w:contextualSpacing/>
        <w:rPr>
          <w:rFonts w:cs="Arial"/>
        </w:rPr>
      </w:pPr>
    </w:p>
    <w:p w14:paraId="5BAE9341" w14:textId="77777777" w:rsidR="002E02ED" w:rsidRDefault="002E02ED" w:rsidP="007271B3">
      <w:pPr>
        <w:rPr>
          <w:rFonts w:cs="Arial"/>
          <w:b/>
          <w:highlight w:val="yellow"/>
        </w:rPr>
      </w:pPr>
    </w:p>
    <w:p w14:paraId="7F32F2EC" w14:textId="77777777" w:rsidR="00002B43" w:rsidRPr="00104F7D" w:rsidRDefault="00002B43" w:rsidP="00FF11BD">
      <w:pPr>
        <w:rPr>
          <w:rFonts w:eastAsia="Times New Roman" w:cs="Arial"/>
          <w:highlight w:val="yellow"/>
          <w:lang w:eastAsia="cs-CZ"/>
        </w:rPr>
      </w:pPr>
    </w:p>
    <w:p w14:paraId="208BD0A6" w14:textId="77777777" w:rsidR="00D570A2" w:rsidRPr="00104F7D" w:rsidRDefault="00D570A2" w:rsidP="00D570A2">
      <w:pPr>
        <w:rPr>
          <w:rFonts w:ascii="Verdana" w:hAnsi="Verdana"/>
          <w:sz w:val="20"/>
          <w:szCs w:val="20"/>
          <w:highlight w:val="yellow"/>
        </w:rPr>
      </w:pPr>
    </w:p>
    <w:p w14:paraId="487B9492" w14:textId="6257FE0F" w:rsidR="005D309D" w:rsidRPr="00104F7D" w:rsidRDefault="00080ABD" w:rsidP="00D570A2">
      <w:pPr>
        <w:contextualSpacing/>
        <w:rPr>
          <w:rFonts w:eastAsia="Times New Roman" w:cs="Arial"/>
          <w:color w:val="FF0000"/>
          <w:highlight w:val="yellow"/>
          <w:lang w:eastAsia="cs-CZ"/>
        </w:rPr>
      </w:pPr>
      <w:r w:rsidRPr="00104F7D">
        <w:rPr>
          <w:rFonts w:eastAsia="Times New Roman" w:cs="Arial"/>
          <w:color w:val="FF0000"/>
          <w:highlight w:val="yellow"/>
          <w:lang w:eastAsia="cs-CZ"/>
        </w:rPr>
        <w:br w:type="page"/>
      </w:r>
    </w:p>
    <w:p w14:paraId="47FF7C08" w14:textId="7F643820" w:rsidR="00D9582B" w:rsidRPr="00FF250B" w:rsidRDefault="004000C6" w:rsidP="004000C6">
      <w:pPr>
        <w:pStyle w:val="Nadpis1"/>
        <w:spacing w:before="0"/>
        <w:contextualSpacing/>
      </w:pPr>
      <w:bookmarkStart w:id="195" w:name="_Toc236991644"/>
      <w:bookmarkStart w:id="196" w:name="_Toc10183457"/>
      <w:r>
        <w:rPr>
          <w:caps/>
        </w:rPr>
        <w:t xml:space="preserve">13. </w:t>
      </w:r>
      <w:r w:rsidR="00D9582B" w:rsidRPr="00FF250B">
        <w:rPr>
          <w:caps/>
        </w:rPr>
        <w:t>Priorit</w:t>
      </w:r>
      <w:r w:rsidR="00615F2A" w:rsidRPr="00FF250B">
        <w:rPr>
          <w:caps/>
        </w:rPr>
        <w:t>ní</w:t>
      </w:r>
      <w:r w:rsidR="00D9582B" w:rsidRPr="00FF250B">
        <w:rPr>
          <w:caps/>
        </w:rPr>
        <w:t xml:space="preserve"> úkol</w:t>
      </w:r>
      <w:r w:rsidR="00615F2A" w:rsidRPr="00FF250B">
        <w:rPr>
          <w:caps/>
        </w:rPr>
        <w:t>y</w:t>
      </w:r>
      <w:r w:rsidR="00D9582B" w:rsidRPr="00FF250B">
        <w:rPr>
          <w:caps/>
        </w:rPr>
        <w:t>, programy a stěžejní dokumenty ve vodním hospodářství</w:t>
      </w:r>
      <w:bookmarkEnd w:id="195"/>
      <w:r w:rsidR="00D9582B" w:rsidRPr="00FF250B">
        <w:t xml:space="preserve"> </w:t>
      </w:r>
    </w:p>
    <w:p w14:paraId="2F461453" w14:textId="77777777" w:rsidR="0094750F" w:rsidRPr="00FF250B" w:rsidRDefault="0094750F" w:rsidP="007C4955">
      <w:pPr>
        <w:contextualSpacing/>
        <w:rPr>
          <w:rFonts w:eastAsia="Times New Roman" w:cs="Arial"/>
          <w:b/>
          <w:bCs/>
          <w:caps/>
          <w:color w:val="FF0000"/>
          <w:sz w:val="28"/>
          <w:szCs w:val="28"/>
        </w:rPr>
      </w:pPr>
    </w:p>
    <w:p w14:paraId="2E8690B1" w14:textId="450F4468" w:rsidR="00BE4EE9" w:rsidRPr="00FF250B" w:rsidRDefault="00B91A65" w:rsidP="00B91A65">
      <w:pPr>
        <w:pStyle w:val="Nadpis2"/>
        <w:spacing w:before="0"/>
        <w:contextualSpacing/>
      </w:pPr>
      <w:bookmarkStart w:id="197" w:name="_Toc10183458"/>
      <w:bookmarkStart w:id="198" w:name="_Toc236991645"/>
      <w:bookmarkEnd w:id="196"/>
      <w:r>
        <w:t xml:space="preserve">13.1 </w:t>
      </w:r>
      <w:r w:rsidR="00BE4EE9" w:rsidRPr="00FF250B">
        <w:t>Plánování v oblasti vod</w:t>
      </w:r>
      <w:bookmarkEnd w:id="197"/>
      <w:bookmarkEnd w:id="198"/>
    </w:p>
    <w:p w14:paraId="66E92950" w14:textId="77777777" w:rsidR="006536D4" w:rsidRPr="00104F7D" w:rsidRDefault="006536D4" w:rsidP="00D320D3">
      <w:pPr>
        <w:autoSpaceDE w:val="0"/>
        <w:autoSpaceDN w:val="0"/>
        <w:adjustRightInd w:val="0"/>
        <w:rPr>
          <w:rFonts w:eastAsia="GillSansMT-Bold" w:cs="Arial"/>
          <w:b/>
          <w:bCs/>
          <w:highlight w:val="yellow"/>
        </w:rPr>
      </w:pPr>
    </w:p>
    <w:p w14:paraId="07F269BB" w14:textId="77777777" w:rsidR="00FF250B" w:rsidRPr="00FF250B" w:rsidRDefault="00FF250B" w:rsidP="00FF250B">
      <w:pPr>
        <w:rPr>
          <w:b/>
          <w:bCs/>
        </w:rPr>
      </w:pPr>
      <w:r w:rsidRPr="00FF250B">
        <w:rPr>
          <w:b/>
          <w:bCs/>
        </w:rPr>
        <w:t>Rok 2025 byl prvním rokem druhé poloviny šestiletého plánovacího období v rámci plánování v oblasti vod. Pokračovala v něm realizace opatření podle schválených plánů povodí a plánů pro zvládání povodňových rizik pro období do roku 2027, tedy pro 3. plánovací období podle Rámcové směrnice o vodách a 2. plánovací období podle Povodňové směrnice. V rámci přípravných prací byly uživatelům vody a veřejnosti zpřístupněny k připomínkám předběžné přehledy významných problémů nakládání s vodami zjištěné v mezinárodních oblastech povodí Labe, Dunaje a Odry na území České republiky.</w:t>
      </w:r>
    </w:p>
    <w:p w14:paraId="17AE7B7F" w14:textId="77777777" w:rsidR="002D7B07" w:rsidRPr="00104F7D" w:rsidRDefault="002D7B07" w:rsidP="002D7B9D">
      <w:pPr>
        <w:autoSpaceDE w:val="0"/>
        <w:autoSpaceDN w:val="0"/>
        <w:adjustRightInd w:val="0"/>
        <w:rPr>
          <w:rFonts w:eastAsia="MyriadPro-Regular" w:cs="Arial"/>
          <w:color w:val="FF0000"/>
          <w:highlight w:val="yellow"/>
        </w:rPr>
      </w:pPr>
    </w:p>
    <w:p w14:paraId="6E9ADE02" w14:textId="77777777" w:rsidR="0011438E" w:rsidRPr="00F706A2" w:rsidRDefault="0011438E" w:rsidP="0011438E">
      <w:r w:rsidRPr="00F706A2">
        <w:t>V rámci přípravy čtvrté etapy plánování v oblasti vod byl, v souladu s požadavky § 25 odst. 1 písm. a) bod 2 vodního zákona, jako jeden ze základních výstupů přípravných prací, připraven a po dobu šesti měsíců, od 1. 4. do 30. 9. 2024, zveřejněn a zpřístupněn k připomínkám uživatelům vody a veřejnosti časový plán a program prací pro zpracování plánů povodí a plánů pro zvládání povodňových rizik, který specifikuje jednotlivé úkoly v procesu plánování v oblasti vod a přiřazuje institucionální odpovědnost za řešení těchto úkolů, včetně termínů plnění. Obdržené připomínky byly vypořádány a spolu s konečným zněním časového plánu a programu prací zveřejněny 21. 11. 2024 na internetových stránkách Ministerstva zemědělství.</w:t>
      </w:r>
    </w:p>
    <w:p w14:paraId="4643D9E7" w14:textId="77777777" w:rsidR="0011438E" w:rsidRPr="00F706A2" w:rsidRDefault="0011438E" w:rsidP="0011438E">
      <w:pPr>
        <w:rPr>
          <w:i/>
          <w:iCs/>
        </w:rPr>
      </w:pPr>
    </w:p>
    <w:p w14:paraId="340B5167" w14:textId="77777777" w:rsidR="0011438E" w:rsidRPr="00F706A2" w:rsidRDefault="0011438E" w:rsidP="0011438E">
      <w:pPr>
        <w:rPr>
          <w:b/>
          <w:bCs/>
          <w:i/>
          <w:iCs/>
        </w:rPr>
      </w:pPr>
      <w:r w:rsidRPr="00F706A2">
        <w:rPr>
          <w:b/>
          <w:bCs/>
          <w:i/>
          <w:iCs/>
        </w:rPr>
        <w:t>Plány povodí</w:t>
      </w:r>
    </w:p>
    <w:p w14:paraId="7E127BDE" w14:textId="18D162B5" w:rsidR="00B93119" w:rsidRPr="00FA334B" w:rsidRDefault="00B93119" w:rsidP="00B93119">
      <w:r w:rsidRPr="00D6796C">
        <w:t xml:space="preserve">V rámci přípravy čtvrté etapy plánování v oblasti vod byly, v souladu s požadavky </w:t>
      </w:r>
      <w:r>
        <w:t xml:space="preserve">§ 25 odst. 1 písm. a) bod 3 </w:t>
      </w:r>
      <w:r w:rsidRPr="00D6796C">
        <w:t xml:space="preserve">vodního zákona, jako jeden ze základních výstupů přípravných prací v roce </w:t>
      </w:r>
      <w:r>
        <w:t>2025</w:t>
      </w:r>
      <w:r w:rsidRPr="00D6796C">
        <w:t xml:space="preserve"> připraveny a </w:t>
      </w:r>
      <w:r w:rsidR="00F312BC">
        <w:t xml:space="preserve">od </w:t>
      </w:r>
      <w:r>
        <w:t>1</w:t>
      </w:r>
      <w:r w:rsidRPr="00D6796C">
        <w:t xml:space="preserve">. </w:t>
      </w:r>
      <w:r>
        <w:t>11.</w:t>
      </w:r>
      <w:r w:rsidR="00F312BC">
        <w:t xml:space="preserve"> 2025</w:t>
      </w:r>
      <w:r w:rsidRPr="00D6796C">
        <w:t xml:space="preserve"> na dobu šesti měsíců (do </w:t>
      </w:r>
      <w:r>
        <w:t>30. 4</w:t>
      </w:r>
      <w:r w:rsidRPr="00D6796C">
        <w:t>. 202</w:t>
      </w:r>
      <w:r>
        <w:t>6</w:t>
      </w:r>
      <w:r w:rsidRPr="00D6796C">
        <w:t xml:space="preserve">) zveřejněny k připomínkám uživatelům vody a veřejnosti návrhy Předběžných přehledů významných problémů nakládání s vodami zjištěných v povodí (pro povodí Labe, Odry a Dunaje). </w:t>
      </w:r>
      <w:r>
        <w:t>Tyto dokumenty jsou sestavovány na základě analýzy všeobecných a vodohospodářských charakteristik, hodnocení dopadů lidské činnosti, map povodňového nebezpečí a map povodňových rizik, ekonomické analýzy a programů zjišťování a hodnocení stavu vod s přihlédnutím ke stanoveným cílům. Obsahují informace o významných dopadech lidské činnosti v příslušném dílčím povodí, odhad významnosti jednotlivých vlivů na stav vodních útvarů, jmenovité vymezení umělých vodních útvarů a jmenovité vymezení silně ovlivněných vodních útvarů a jejich zdůvodnění.</w:t>
      </w:r>
    </w:p>
    <w:p w14:paraId="2626E338" w14:textId="77777777" w:rsidR="00B93119" w:rsidRPr="00E02CE0" w:rsidRDefault="00B93119" w:rsidP="00B93119">
      <w:pPr>
        <w:rPr>
          <w:i/>
          <w:iCs/>
        </w:rPr>
      </w:pPr>
    </w:p>
    <w:p w14:paraId="3CE7A0A7" w14:textId="77777777" w:rsidR="00B93119" w:rsidRDefault="00B93119" w:rsidP="00B93119">
      <w:r>
        <w:t xml:space="preserve">V roce 2025 došlo současně k hodnocení </w:t>
      </w:r>
      <w:r w:rsidRPr="00E02CE0">
        <w:t xml:space="preserve">stavu útvarů povrchových a podzemních vod (v prvním případě </w:t>
      </w:r>
      <w:r>
        <w:t>bylo hodnoceno</w:t>
      </w:r>
      <w:r w:rsidRPr="00E02CE0">
        <w:t xml:space="preserve"> tříletí 2022</w:t>
      </w:r>
      <w:r>
        <w:t>–</w:t>
      </w:r>
      <w:r w:rsidRPr="00E02CE0">
        <w:t>2024, v druhém šestiletí 2019</w:t>
      </w:r>
      <w:r>
        <w:t>–</w:t>
      </w:r>
      <w:r w:rsidRPr="00E02CE0">
        <w:t>2024)</w:t>
      </w:r>
      <w:r>
        <w:t>. Po jejich finalizaci v úvodu roku 2026 půjde o zásadní vstup pro plány povodí pro 4. plánovací období.</w:t>
      </w:r>
    </w:p>
    <w:p w14:paraId="29692C4A" w14:textId="77777777" w:rsidR="004077FF" w:rsidRDefault="004077FF" w:rsidP="00B93119"/>
    <w:p w14:paraId="48485960" w14:textId="12D0B005" w:rsidR="004077FF" w:rsidRPr="008678C5" w:rsidRDefault="008678C5" w:rsidP="008678C5">
      <w:pPr>
        <w:spacing w:after="120"/>
        <w:ind w:left="142" w:hanging="142"/>
        <w:rPr>
          <w:rFonts w:cs="Arial"/>
        </w:rPr>
      </w:pPr>
      <w:r>
        <w:rPr>
          <w:rFonts w:cs="Arial"/>
        </w:rPr>
        <w:t xml:space="preserve">  </w:t>
      </w:r>
      <w:r w:rsidR="004077FF" w:rsidRPr="008678C5">
        <w:rPr>
          <w:rFonts w:cs="Arial"/>
        </w:rPr>
        <w:t>V souvislosti s implementací nové evropské směrnice Evropského parlamentu a Rady (EU) 2020/2184 o jakosti vody určené k lidské spotřebě došlo v České republice k legislativnímu ukotvení povinnosti vypracovat posouzení a řízení rizik částí povodí souvisejících s místy odběru vody. Na základě dohody dotčených resortů a v souladu s přílohou č. 3 k vyhlášce č. 50/2023 Sb., o plánech povodí a plánech pro zvládání povodňových rizik, jsou tyto rizikové analýzy pevnou součástí dílčích plánů povodí. Povinnost jejich zpracování byla svěřena jednotlivým státním podnikům Povodí.</w:t>
      </w:r>
    </w:p>
    <w:p w14:paraId="1D0B012F" w14:textId="77777777" w:rsidR="00B93119" w:rsidRPr="00E02CE0" w:rsidRDefault="00B93119" w:rsidP="00B93119"/>
    <w:p w14:paraId="4A392BBC" w14:textId="77777777" w:rsidR="00B93119" w:rsidRPr="00E02CE0" w:rsidRDefault="00B93119" w:rsidP="00B93119">
      <w:r w:rsidRPr="00E02CE0">
        <w:t>Informace o procesu plánování v oblasti vod</w:t>
      </w:r>
      <w:r>
        <w:t>,</w:t>
      </w:r>
      <w:r w:rsidRPr="00E02CE0">
        <w:t xml:space="preserve"> včetně materiálů i záznamů z jednání Komise pro plánování v oblasti vod, jsou zveřejněny na internetových stránkách MZe </w:t>
      </w:r>
      <w:hyperlink r:id="rId113" w:history="1">
        <w:r w:rsidRPr="00E02CE0">
          <w:rPr>
            <w:rStyle w:val="Hypertextovodkaz"/>
          </w:rPr>
          <w:t>https://www.mze.gov.cz/public/portal/mze/voda/planovani-v-oblasti-vod</w:t>
        </w:r>
      </w:hyperlink>
      <w:r w:rsidRPr="00E02CE0">
        <w:t xml:space="preserve"> s využitím odkazů na internetové stránky MŽP a jednotlivých státních podniků Povodí.</w:t>
      </w:r>
    </w:p>
    <w:p w14:paraId="45DB61E6" w14:textId="77777777" w:rsidR="0011438E" w:rsidRPr="00104F7D" w:rsidRDefault="0011438E" w:rsidP="0011438E">
      <w:pPr>
        <w:rPr>
          <w:b/>
          <w:bCs/>
          <w:i/>
          <w:iCs/>
          <w:highlight w:val="yellow"/>
        </w:rPr>
      </w:pPr>
    </w:p>
    <w:p w14:paraId="6C7FB0E5" w14:textId="77777777" w:rsidR="00394E35" w:rsidRDefault="00394E35" w:rsidP="0011438E">
      <w:pPr>
        <w:rPr>
          <w:b/>
          <w:bCs/>
          <w:i/>
          <w:iCs/>
        </w:rPr>
      </w:pPr>
    </w:p>
    <w:p w14:paraId="59FAC5B5" w14:textId="77777777" w:rsidR="00394E35" w:rsidRDefault="00394E35" w:rsidP="0011438E">
      <w:pPr>
        <w:rPr>
          <w:b/>
          <w:bCs/>
          <w:i/>
          <w:iCs/>
        </w:rPr>
      </w:pPr>
    </w:p>
    <w:p w14:paraId="6C88C725" w14:textId="77777777" w:rsidR="00394E35" w:rsidRDefault="00394E35" w:rsidP="0011438E">
      <w:pPr>
        <w:rPr>
          <w:b/>
          <w:bCs/>
          <w:i/>
          <w:iCs/>
        </w:rPr>
      </w:pPr>
    </w:p>
    <w:p w14:paraId="0C4784E2" w14:textId="299C4ED3" w:rsidR="0011438E" w:rsidRPr="0094617F" w:rsidRDefault="0011438E" w:rsidP="0011438E">
      <w:pPr>
        <w:rPr>
          <w:b/>
          <w:bCs/>
          <w:i/>
          <w:iCs/>
        </w:rPr>
      </w:pPr>
      <w:r w:rsidRPr="0094617F">
        <w:rPr>
          <w:b/>
          <w:bCs/>
          <w:i/>
          <w:iCs/>
        </w:rPr>
        <w:t>Plány pro zvládání povodňových rizik</w:t>
      </w:r>
    </w:p>
    <w:p w14:paraId="33D16D6B" w14:textId="77777777" w:rsidR="0094617F" w:rsidRPr="0094617F" w:rsidRDefault="0094617F" w:rsidP="0094617F">
      <w:r w:rsidRPr="0094617F">
        <w:t>V rámci přípravných prací pro třetí etapu povodňového plánování byly zpracovány a zveřejněny mapy povodňového nebezpečí, ohrožení a rizik. Průběžně probíhala realizace opatření pro zvládání povodňových rizik, navržených v rámci předchozích etap implementace Povodňové směrnice.</w:t>
      </w:r>
    </w:p>
    <w:p w14:paraId="045F6828" w14:textId="77777777" w:rsidR="0094617F" w:rsidRPr="0094617F" w:rsidRDefault="0094617F" w:rsidP="0094617F">
      <w:pPr>
        <w:rPr>
          <w:b/>
          <w:bCs/>
        </w:rPr>
      </w:pPr>
      <w:r w:rsidRPr="0094617F">
        <w:t xml:space="preserve">Pro účely implementace Povodňové směrnice je využíván Povodňový informační systém </w:t>
      </w:r>
      <w:hyperlink r:id="rId114" w:history="1">
        <w:r w:rsidRPr="0094617F">
          <w:rPr>
            <w:rStyle w:val="Hypertextovodkaz"/>
          </w:rPr>
          <w:t>https://povis2.mzp.gov.cz,</w:t>
        </w:r>
      </w:hyperlink>
      <w:r w:rsidRPr="0094617F">
        <w:t xml:space="preserve"> jako komunikační platforma, kde jsou též zveřejněny mapy povodňového nebezpečí, ohrožení a rizik.  </w:t>
      </w:r>
    </w:p>
    <w:p w14:paraId="77D195EC" w14:textId="77777777" w:rsidR="0094617F" w:rsidRDefault="0094617F" w:rsidP="00AC3DF5">
      <w:pPr>
        <w:rPr>
          <w:b/>
          <w:i/>
          <w:highlight w:val="yellow"/>
        </w:rPr>
      </w:pPr>
    </w:p>
    <w:p w14:paraId="3E939353" w14:textId="2D462A4D" w:rsidR="00AC3DF5" w:rsidRPr="00821362" w:rsidRDefault="00AC3DF5" w:rsidP="00AC3DF5">
      <w:pPr>
        <w:rPr>
          <w:b/>
          <w:i/>
        </w:rPr>
      </w:pPr>
      <w:r w:rsidRPr="00821362">
        <w:rPr>
          <w:b/>
          <w:i/>
        </w:rPr>
        <w:t xml:space="preserve">Obrázek </w:t>
      </w:r>
      <w:r w:rsidRPr="00821362">
        <w:rPr>
          <w:rFonts w:cs="Arial"/>
          <w:b/>
          <w:i/>
        </w:rPr>
        <w:t>1</w:t>
      </w:r>
      <w:r w:rsidR="007B3DB3" w:rsidRPr="00821362">
        <w:rPr>
          <w:rFonts w:cs="Arial"/>
          <w:b/>
          <w:i/>
        </w:rPr>
        <w:t>3</w:t>
      </w:r>
      <w:r w:rsidRPr="00821362">
        <w:rPr>
          <w:rFonts w:cs="Arial"/>
          <w:b/>
          <w:i/>
        </w:rPr>
        <w:t>.1.1</w:t>
      </w:r>
      <w:r w:rsidRPr="00821362">
        <w:rPr>
          <w:b/>
          <w:i/>
        </w:rPr>
        <w:t xml:space="preserve"> </w:t>
      </w:r>
    </w:p>
    <w:p w14:paraId="3E87BB68" w14:textId="01542F4E" w:rsidR="00AC3DF5" w:rsidRDefault="00AC3DF5" w:rsidP="00AC3DF5">
      <w:pPr>
        <w:rPr>
          <w:b/>
          <w:i/>
        </w:rPr>
      </w:pPr>
      <w:r w:rsidRPr="00821362">
        <w:rPr>
          <w:b/>
          <w:i/>
        </w:rPr>
        <w:t xml:space="preserve">Vymezení oblastí s významným povodňovým rizikem pro </w:t>
      </w:r>
      <w:r w:rsidR="00821362">
        <w:rPr>
          <w:b/>
          <w:i/>
        </w:rPr>
        <w:t>3</w:t>
      </w:r>
      <w:r w:rsidRPr="00821362">
        <w:rPr>
          <w:b/>
          <w:i/>
        </w:rPr>
        <w:t>. plánovací cyklus dle Povodňové směrnice</w:t>
      </w:r>
    </w:p>
    <w:p w14:paraId="323A8E31" w14:textId="77777777" w:rsidR="00131D0A" w:rsidRDefault="00131D0A" w:rsidP="00AC3DF5">
      <w:pPr>
        <w:rPr>
          <w:b/>
          <w:i/>
        </w:rPr>
      </w:pPr>
    </w:p>
    <w:p w14:paraId="1160AB04" w14:textId="77777777" w:rsidR="00131D0A" w:rsidRPr="00821362" w:rsidRDefault="00131D0A" w:rsidP="00AC3DF5">
      <w:pPr>
        <w:rPr>
          <w:b/>
          <w:i/>
        </w:rPr>
      </w:pPr>
    </w:p>
    <w:p w14:paraId="782D5FF7" w14:textId="38B5F353" w:rsidR="00AC3DF5" w:rsidRPr="00821362" w:rsidRDefault="00821362" w:rsidP="00AC3DF5">
      <w:pPr>
        <w:rPr>
          <w:rFonts w:cs="Arial"/>
          <w:color w:val="FF0000"/>
        </w:rPr>
      </w:pPr>
      <w:r w:rsidRPr="00821362">
        <w:rPr>
          <w:noProof/>
        </w:rPr>
        <w:drawing>
          <wp:inline distT="0" distB="0" distL="0" distR="0" wp14:anchorId="374497E3" wp14:editId="5D83A60C">
            <wp:extent cx="4857750" cy="3124200"/>
            <wp:effectExtent l="0" t="0" r="0" b="0"/>
            <wp:docPr id="91" name="Obrázek 1" descr="Obsah obrázku mapa, text, atla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Obrázek 1" descr="Obsah obrázku mapa, text, atlas&#10;&#10;Popis byl vytvořen automaticky"/>
                    <pic:cNvPicPr>
                      <a:picLocks noChangeAspect="1"/>
                    </pic:cNvPicPr>
                  </pic:nvPicPr>
                  <pic:blipFill>
                    <a:blip r:embed="rId115"/>
                    <a:stretch/>
                  </pic:blipFill>
                  <pic:spPr bwMode="auto">
                    <a:xfrm>
                      <a:off x="0" y="0"/>
                      <a:ext cx="4857750" cy="3124200"/>
                    </a:xfrm>
                    <a:prstGeom prst="rect">
                      <a:avLst/>
                    </a:prstGeom>
                  </pic:spPr>
                </pic:pic>
              </a:graphicData>
            </a:graphic>
          </wp:inline>
        </w:drawing>
      </w:r>
    </w:p>
    <w:p w14:paraId="67453DCF" w14:textId="2C622AF3" w:rsidR="007B3DB3" w:rsidRPr="00821362" w:rsidRDefault="00AC3DF5" w:rsidP="004013E1">
      <w:pPr>
        <w:pStyle w:val="Titulek"/>
        <w:rPr>
          <w:b w:val="0"/>
          <w:i/>
          <w:color w:val="auto"/>
          <w:sz w:val="20"/>
          <w:szCs w:val="20"/>
        </w:rPr>
      </w:pPr>
      <w:r w:rsidRPr="00821362">
        <w:rPr>
          <w:b w:val="0"/>
          <w:i/>
          <w:color w:val="auto"/>
          <w:sz w:val="20"/>
          <w:szCs w:val="20"/>
        </w:rPr>
        <w:t>Pramen: VÚV TGM</w:t>
      </w:r>
    </w:p>
    <w:p w14:paraId="24E3ACBF" w14:textId="37A009B7" w:rsidR="00AC3DF5" w:rsidRPr="007530FB" w:rsidRDefault="00AC3DF5" w:rsidP="00AC3DF5">
      <w:pPr>
        <w:rPr>
          <w:b/>
          <w:i/>
        </w:rPr>
      </w:pPr>
      <w:r w:rsidRPr="007530FB">
        <w:rPr>
          <w:b/>
          <w:i/>
        </w:rPr>
        <w:t>Obrázek 1</w:t>
      </w:r>
      <w:r w:rsidR="007B3DB3" w:rsidRPr="007530FB">
        <w:rPr>
          <w:b/>
          <w:i/>
        </w:rPr>
        <w:t>3</w:t>
      </w:r>
      <w:r w:rsidRPr="007530FB">
        <w:rPr>
          <w:b/>
          <w:i/>
        </w:rPr>
        <w:t>.1.2</w:t>
      </w:r>
    </w:p>
    <w:p w14:paraId="5D64BCFF" w14:textId="77777777" w:rsidR="00644B38" w:rsidRPr="00644B38" w:rsidRDefault="00644B38" w:rsidP="00644B38">
      <w:pPr>
        <w:rPr>
          <w:b/>
          <w:i/>
        </w:rPr>
      </w:pPr>
      <w:r w:rsidRPr="00644B38">
        <w:rPr>
          <w:b/>
          <w:i/>
        </w:rPr>
        <w:t>Náhled mapy povodňového nebezpečí v rámci mapového portálu</w:t>
      </w:r>
      <w:r w:rsidRPr="00644B38">
        <w:rPr>
          <w:b/>
          <w:bCs/>
          <w:i/>
        </w:rPr>
        <w:t xml:space="preserve"> POVIS2</w:t>
      </w:r>
    </w:p>
    <w:p w14:paraId="7613E377" w14:textId="77777777" w:rsidR="00644B38" w:rsidRPr="007530FB" w:rsidRDefault="00644B38" w:rsidP="00AC3DF5">
      <w:pPr>
        <w:rPr>
          <w:b/>
          <w:i/>
        </w:rPr>
      </w:pPr>
    </w:p>
    <w:p w14:paraId="01228C06" w14:textId="5FA6108A" w:rsidR="00AC3DF5" w:rsidRPr="007530FB" w:rsidRDefault="002674C2" w:rsidP="00AC3DF5">
      <w:pPr>
        <w:rPr>
          <w:color w:val="FF0000"/>
        </w:rPr>
      </w:pPr>
      <w:r>
        <w:rPr>
          <w:noProof/>
        </w:rPr>
        <w:drawing>
          <wp:inline distT="0" distB="0" distL="0" distR="0" wp14:anchorId="00D5707A" wp14:editId="30FEF749">
            <wp:extent cx="4610100" cy="2800376"/>
            <wp:effectExtent l="0" t="0" r="0" b="0"/>
            <wp:docPr id="9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Obrázek 92"/>
                    <pic:cNvPicPr>
                      <a:picLocks noChangeAspect="1"/>
                    </pic:cNvPicPr>
                  </pic:nvPicPr>
                  <pic:blipFill>
                    <a:blip r:embed="rId116"/>
                    <a:stretch/>
                  </pic:blipFill>
                  <pic:spPr bwMode="auto">
                    <a:xfrm>
                      <a:off x="0" y="0"/>
                      <a:ext cx="4615847" cy="2803867"/>
                    </a:xfrm>
                    <a:prstGeom prst="rect">
                      <a:avLst/>
                    </a:prstGeom>
                  </pic:spPr>
                </pic:pic>
              </a:graphicData>
            </a:graphic>
          </wp:inline>
        </w:drawing>
      </w:r>
    </w:p>
    <w:p w14:paraId="2562706A" w14:textId="77777777" w:rsidR="00AC3DF5" w:rsidRDefault="00AC3DF5" w:rsidP="00AC3DF5">
      <w:pPr>
        <w:rPr>
          <w:i/>
          <w:sz w:val="20"/>
          <w:szCs w:val="20"/>
        </w:rPr>
      </w:pPr>
      <w:r w:rsidRPr="007530FB">
        <w:rPr>
          <w:i/>
          <w:sz w:val="20"/>
          <w:szCs w:val="20"/>
        </w:rPr>
        <w:t>Pramen: MŽP</w:t>
      </w:r>
    </w:p>
    <w:p w14:paraId="2DE547B3" w14:textId="77777777" w:rsidR="004013E1" w:rsidRPr="00104F7D" w:rsidRDefault="004013E1" w:rsidP="00AC3DF5">
      <w:pPr>
        <w:rPr>
          <w:color w:val="FF0000"/>
          <w:highlight w:val="yellow"/>
        </w:rPr>
      </w:pPr>
    </w:p>
    <w:p w14:paraId="5B4BFF2D" w14:textId="33D2AB94" w:rsidR="00BE4EE9" w:rsidRPr="008C1C0F" w:rsidRDefault="00B91A65" w:rsidP="00B91A65">
      <w:pPr>
        <w:pStyle w:val="Nadpis2"/>
        <w:spacing w:before="0"/>
        <w:contextualSpacing/>
      </w:pPr>
      <w:bookmarkStart w:id="199" w:name="_Toc10183459"/>
      <w:bookmarkStart w:id="200" w:name="_Toc236991646"/>
      <w:r w:rsidRPr="008C1C0F">
        <w:t>13.</w:t>
      </w:r>
      <w:r w:rsidR="00466A4C" w:rsidRPr="008C1C0F">
        <w:t>2</w:t>
      </w:r>
      <w:r w:rsidRPr="008C1C0F">
        <w:t xml:space="preserve"> </w:t>
      </w:r>
      <w:r w:rsidR="00BE4EE9" w:rsidRPr="008C1C0F">
        <w:t>Plány rozvoje vodovodů a kanalizací</w:t>
      </w:r>
      <w:bookmarkEnd w:id="199"/>
      <w:bookmarkEnd w:id="200"/>
    </w:p>
    <w:p w14:paraId="0D89423C" w14:textId="77777777" w:rsidR="008F741F" w:rsidRPr="00104F7D" w:rsidRDefault="008F741F" w:rsidP="007C4955">
      <w:pPr>
        <w:contextualSpacing/>
        <w:rPr>
          <w:b/>
          <w:color w:val="FF0000"/>
          <w:highlight w:val="yellow"/>
        </w:rPr>
      </w:pPr>
    </w:p>
    <w:p w14:paraId="62A43BDC" w14:textId="77777777" w:rsidR="008C1C0F" w:rsidRPr="0058525F" w:rsidRDefault="008C1C0F" w:rsidP="008C1C0F">
      <w:pPr>
        <w:rPr>
          <w:rFonts w:cs="Arial"/>
          <w:b/>
          <w:bCs/>
        </w:rPr>
      </w:pPr>
      <w:bookmarkStart w:id="201" w:name="_Toc10183460"/>
      <w:r w:rsidRPr="0058525F">
        <w:rPr>
          <w:rFonts w:cs="Arial"/>
          <w:b/>
          <w:bCs/>
        </w:rPr>
        <w:t>Plán rozvoje vodovodů a kanalizací území České republiky, zpracovaný na základě § 29 odst. 1 písm. b) zákona č. 274/2001 Sb., o vodovodech a kanalizacích pro veřejnou potřebu a o změně některých souvisejících zákonů, ve znění pozdějších předpisů, je umístěn na internetové stránce Ministerstva zemědělství.</w:t>
      </w:r>
    </w:p>
    <w:p w14:paraId="51994ABA" w14:textId="77777777" w:rsidR="008C1C0F" w:rsidRPr="0058525F" w:rsidRDefault="008C1C0F" w:rsidP="008C1C0F">
      <w:pPr>
        <w:rPr>
          <w:rFonts w:cs="Arial"/>
        </w:rPr>
      </w:pPr>
    </w:p>
    <w:p w14:paraId="00D49951" w14:textId="77777777" w:rsidR="008C1C0F" w:rsidRPr="0058525F" w:rsidRDefault="008C1C0F" w:rsidP="008C1C0F">
      <w:pPr>
        <w:rPr>
          <w:rFonts w:cs="Arial"/>
        </w:rPr>
      </w:pPr>
      <w:r w:rsidRPr="0058525F">
        <w:rPr>
          <w:rFonts w:cs="Arial"/>
        </w:rPr>
        <w:t>Plány rozvoje vodovodů a kanalizací na území ČR (PRVKÚ ČR, PRVKÚK) včetně jejich aktualizací představují střednědobou průběžně aktualizovanou koncepci oboru vodovodů a kanalizací.</w:t>
      </w:r>
    </w:p>
    <w:p w14:paraId="770A606F" w14:textId="77777777" w:rsidR="008C1C0F" w:rsidRPr="0058525F" w:rsidRDefault="008C1C0F" w:rsidP="008C1C0F">
      <w:pPr>
        <w:rPr>
          <w:rFonts w:cs="Arial"/>
        </w:rPr>
      </w:pPr>
    </w:p>
    <w:p w14:paraId="64228260" w14:textId="77777777" w:rsidR="008C1C0F" w:rsidRPr="0058525F" w:rsidRDefault="008C1C0F" w:rsidP="008C1C0F">
      <w:pPr>
        <w:rPr>
          <w:rFonts w:cs="Arial"/>
        </w:rPr>
      </w:pPr>
      <w:r w:rsidRPr="0058525F">
        <w:rPr>
          <w:rFonts w:cs="Arial"/>
        </w:rPr>
        <w:t>Plány rozvoje vodovodů a kanalizací území krajů ČR (dále jen „PRVKÚK“) jsou základem pro využití fondů Evropských společenství a národních finančních zdrojů pro výstavbu a obnovu infrastruktury vodovodů a kanalizací. Proto mezi povinnosti každého žadatele o poskytnutí a čerpání státní finanční podpory patří doložení souladu jím předkládaného technického a ekonomického řešení s platným PRVKÚK.</w:t>
      </w:r>
    </w:p>
    <w:p w14:paraId="1AF09297" w14:textId="77777777" w:rsidR="008C1C0F" w:rsidRPr="0058525F" w:rsidRDefault="008C1C0F" w:rsidP="008C1C0F">
      <w:pPr>
        <w:rPr>
          <w:rFonts w:cs="Arial"/>
        </w:rPr>
      </w:pPr>
    </w:p>
    <w:p w14:paraId="1A346C0C" w14:textId="77777777" w:rsidR="008C1C0F" w:rsidRPr="0058525F" w:rsidRDefault="008C1C0F" w:rsidP="008C1C0F">
      <w:pPr>
        <w:rPr>
          <w:rFonts w:cs="Arial"/>
        </w:rPr>
      </w:pPr>
      <w:r w:rsidRPr="0058525F">
        <w:rPr>
          <w:rFonts w:cs="Arial"/>
        </w:rPr>
        <w:t>Plán rozvoje vodovodů a kanalizací území ČR (dále jen „PRVKÚ ČR“) je založen na syntéze informací ze zpracovaných, projednaných a zastupitelstvy jednotlivých krajů schválených PRVKÚK včetně jejich aktualizací. Navazuje na další strategické dokumenty a dokumenty resortní politiky a rovněž respektuje požadavky vyplývající z příslušných předpisů Evropských společenství. Součástí PRVKÚ ČR jsou i stanoviska MZe vydaná k jednotlivým aktualizacím PRVKÚK.</w:t>
      </w:r>
    </w:p>
    <w:p w14:paraId="6821BCE2" w14:textId="77777777" w:rsidR="008C1C0F" w:rsidRPr="0058525F" w:rsidRDefault="008C1C0F" w:rsidP="008C1C0F">
      <w:pPr>
        <w:rPr>
          <w:rFonts w:cs="Arial"/>
        </w:rPr>
      </w:pPr>
    </w:p>
    <w:p w14:paraId="7158109A" w14:textId="77777777" w:rsidR="008C1C0F" w:rsidRPr="0058525F" w:rsidRDefault="008C1C0F" w:rsidP="008C1C0F">
      <w:pPr>
        <w:rPr>
          <w:rFonts w:cs="Arial"/>
        </w:rPr>
      </w:pPr>
      <w:r w:rsidRPr="0058525F">
        <w:rPr>
          <w:rFonts w:cs="Arial"/>
        </w:rPr>
        <w:t>PRVKÚ ČR v obecné části vymezuje rámcové cíle, hlavní principy a zásady státní politiky pro zajištění dlouhodobého veřejného zájmu v oboru vodovodů a kanalizací pro území ČR, tj. trvale udržitelné užívání vodních zdrojů a hospodaření s vodami při zajištění požadavků na vodohospodářskou službu (zásobování pitnou vodou, odkanalizování a čištění odpadních vod).</w:t>
      </w:r>
    </w:p>
    <w:p w14:paraId="5A81D05E" w14:textId="77777777" w:rsidR="008C1C0F" w:rsidRPr="0058525F" w:rsidRDefault="008C1C0F" w:rsidP="008C1C0F">
      <w:pPr>
        <w:rPr>
          <w:rFonts w:cs="Arial"/>
        </w:rPr>
      </w:pPr>
    </w:p>
    <w:p w14:paraId="412379B2" w14:textId="77777777" w:rsidR="008C1C0F" w:rsidRPr="0058525F" w:rsidRDefault="008C1C0F" w:rsidP="008C1C0F">
      <w:pPr>
        <w:rPr>
          <w:rFonts w:cs="Arial"/>
        </w:rPr>
      </w:pPr>
      <w:r w:rsidRPr="0058525F">
        <w:rPr>
          <w:rFonts w:cs="Arial"/>
        </w:rPr>
        <w:t>Podle § 29 odst. 1 písm. c) uvedeného zákona pokračovalo vydávání stanovisek Ministerstva zemědělství pro platné a schválené PRVKÚK k navrhovaným aktualizacím technického řešení zásobování pitnou vodou, odkanalizování a čištění odpadních vod.</w:t>
      </w:r>
    </w:p>
    <w:p w14:paraId="09006973" w14:textId="77777777" w:rsidR="008C1C0F" w:rsidRPr="0058525F" w:rsidRDefault="008C1C0F" w:rsidP="008C1C0F">
      <w:pPr>
        <w:rPr>
          <w:rFonts w:cs="Arial"/>
        </w:rPr>
      </w:pPr>
    </w:p>
    <w:p w14:paraId="6FDA14B3" w14:textId="77777777" w:rsidR="008C1C0F" w:rsidRPr="0058525F" w:rsidRDefault="008C1C0F" w:rsidP="008C1C0F">
      <w:pPr>
        <w:rPr>
          <w:rFonts w:cs="Arial"/>
        </w:rPr>
      </w:pPr>
      <w:r w:rsidRPr="007173EF">
        <w:rPr>
          <w:rFonts w:cs="Arial"/>
        </w:rPr>
        <w:t>V roce 2025 bylo vydáno 210 stanovisek. Celkem za období 2006 až 2025 bylo vydáno 10 312 stanovisek MZe.</w:t>
      </w:r>
      <w:r w:rsidRPr="0058525F">
        <w:rPr>
          <w:rFonts w:cs="Arial"/>
        </w:rPr>
        <w:t xml:space="preserve"> </w:t>
      </w:r>
    </w:p>
    <w:p w14:paraId="1C591283" w14:textId="77777777" w:rsidR="008C1C0F" w:rsidRPr="0058525F" w:rsidRDefault="008C1C0F" w:rsidP="008C1C0F">
      <w:pPr>
        <w:rPr>
          <w:rFonts w:cs="Arial"/>
        </w:rPr>
      </w:pPr>
    </w:p>
    <w:p w14:paraId="2027EC41" w14:textId="77777777" w:rsidR="008C1C0F" w:rsidRPr="0058525F" w:rsidRDefault="008C1C0F" w:rsidP="008C1C0F">
      <w:pPr>
        <w:rPr>
          <w:rFonts w:cs="Arial"/>
        </w:rPr>
      </w:pPr>
      <w:r w:rsidRPr="0058525F">
        <w:rPr>
          <w:rFonts w:cs="Arial"/>
        </w:rPr>
        <w:t>Plány rozvoje vodovodů a kanalizací na území ČR využívají zejména MZe, MŽP, kraje, krajské úřady, obce s rozšířenou působností (např. úřady územního plánování, vodoprávní úřady, stavební úřady atd.), obce, vlastníci a provozovatelé vodovodů a kanalizací i odborná a laická veřejnost.</w:t>
      </w:r>
    </w:p>
    <w:p w14:paraId="6AF73037" w14:textId="77777777" w:rsidR="005061F7" w:rsidRPr="00104F7D" w:rsidRDefault="005061F7" w:rsidP="007C4955">
      <w:pPr>
        <w:contextualSpacing/>
        <w:rPr>
          <w:rFonts w:cs="Arial"/>
          <w:color w:val="FF0000"/>
          <w:highlight w:val="yellow"/>
        </w:rPr>
      </w:pPr>
    </w:p>
    <w:p w14:paraId="2801A57E" w14:textId="78974E14" w:rsidR="00BE4EE9" w:rsidRPr="004E2A6F" w:rsidRDefault="00B91A65" w:rsidP="00B91A65">
      <w:pPr>
        <w:pStyle w:val="Nadpis2"/>
        <w:spacing w:before="0"/>
        <w:contextualSpacing/>
      </w:pPr>
      <w:bookmarkStart w:id="202" w:name="_Toc236991647"/>
      <w:r>
        <w:t>13.</w:t>
      </w:r>
      <w:r w:rsidR="00466A4C">
        <w:t>3</w:t>
      </w:r>
      <w:r>
        <w:t xml:space="preserve"> </w:t>
      </w:r>
      <w:r w:rsidR="00BE4EE9" w:rsidRPr="004E2A6F">
        <w:t>Programy a opatření ke snižování znečištění povrchových vod</w:t>
      </w:r>
      <w:bookmarkEnd w:id="201"/>
      <w:bookmarkEnd w:id="202"/>
    </w:p>
    <w:p w14:paraId="6236A1D2" w14:textId="77777777" w:rsidR="004F3115" w:rsidRPr="004E2A6F" w:rsidRDefault="004F3115" w:rsidP="004F3115">
      <w:pPr>
        <w:ind w:left="792"/>
        <w:rPr>
          <w:color w:val="FF0000"/>
        </w:rPr>
      </w:pPr>
    </w:p>
    <w:p w14:paraId="7A5CE8FC" w14:textId="35FC5F99" w:rsidR="00F2276B" w:rsidRPr="004E2A6F" w:rsidRDefault="00F2276B" w:rsidP="00F2276B">
      <w:pPr>
        <w:pStyle w:val="mezikapitolamivtmi"/>
        <w:rPr>
          <w:rFonts w:ascii="Arial" w:hAnsi="Arial" w:cs="Arial"/>
          <w:sz w:val="22"/>
          <w:szCs w:val="22"/>
        </w:rPr>
      </w:pPr>
      <w:r w:rsidRPr="004E2A6F">
        <w:rPr>
          <w:rFonts w:ascii="Arial" w:hAnsi="Arial" w:cs="Arial"/>
          <w:sz w:val="22"/>
          <w:szCs w:val="22"/>
        </w:rPr>
        <w:t>Stavby na ochranu jakosti vod realizované v roce 202</w:t>
      </w:r>
      <w:r w:rsidR="004E2A6F">
        <w:rPr>
          <w:rFonts w:ascii="Arial" w:hAnsi="Arial" w:cs="Arial"/>
          <w:sz w:val="22"/>
          <w:szCs w:val="22"/>
        </w:rPr>
        <w:t>5</w:t>
      </w:r>
    </w:p>
    <w:p w14:paraId="6F95948D" w14:textId="77777777" w:rsidR="008B3547" w:rsidRPr="004E2A6F" w:rsidRDefault="008B3547" w:rsidP="008B3547">
      <w:pPr>
        <w:contextualSpacing/>
        <w:rPr>
          <w:rFonts w:eastAsia="Times New Roman" w:cs="Arial"/>
          <w:b/>
          <w:lang w:eastAsia="cs-CZ"/>
        </w:rPr>
      </w:pPr>
      <w:r w:rsidRPr="004E2A6F">
        <w:rPr>
          <w:rFonts w:eastAsia="Times New Roman" w:cs="Arial"/>
          <w:b/>
          <w:lang w:eastAsia="cs-CZ"/>
        </w:rPr>
        <w:t>Z nejvýznamnějších akcí u zdrojů znečištění nad 2 000 EO byly v roce 2024 dokončeny následující čistírny odpadních vod (ČOV) - N = nitrifikace, DN = denitrifikace, BP = biologické odstraňování fosforu, CHP = chemické odstraňování fosforu.</w:t>
      </w:r>
    </w:p>
    <w:p w14:paraId="0198A889" w14:textId="77777777" w:rsidR="003029AA" w:rsidRPr="00104F7D" w:rsidRDefault="003029AA" w:rsidP="003029AA">
      <w:pPr>
        <w:contextualSpacing/>
        <w:rPr>
          <w:b/>
          <w:i/>
          <w:highlight w:val="yellow"/>
        </w:rPr>
      </w:pPr>
    </w:p>
    <w:p w14:paraId="64FDF721" w14:textId="77777777" w:rsidR="00E67D29" w:rsidRPr="00104F7D" w:rsidRDefault="00E67D29" w:rsidP="003029AA">
      <w:pPr>
        <w:contextualSpacing/>
        <w:rPr>
          <w:b/>
          <w:i/>
          <w:highlight w:val="yellow"/>
        </w:rPr>
      </w:pPr>
    </w:p>
    <w:p w14:paraId="2D6F6C2C" w14:textId="77777777" w:rsidR="00E67D29" w:rsidRPr="00104F7D" w:rsidRDefault="00E67D29" w:rsidP="003029AA">
      <w:pPr>
        <w:contextualSpacing/>
        <w:rPr>
          <w:b/>
          <w:i/>
          <w:highlight w:val="yellow"/>
        </w:rPr>
      </w:pPr>
    </w:p>
    <w:p w14:paraId="577F4638" w14:textId="77777777" w:rsidR="00E67D29" w:rsidRPr="00104F7D" w:rsidRDefault="00E67D29" w:rsidP="003029AA">
      <w:pPr>
        <w:contextualSpacing/>
        <w:rPr>
          <w:b/>
          <w:i/>
          <w:highlight w:val="yellow"/>
        </w:rPr>
      </w:pPr>
    </w:p>
    <w:p w14:paraId="7EF6FD96" w14:textId="77777777" w:rsidR="00E67D29" w:rsidRPr="00104F7D" w:rsidRDefault="00E67D29" w:rsidP="003029AA">
      <w:pPr>
        <w:contextualSpacing/>
        <w:rPr>
          <w:b/>
          <w:i/>
          <w:highlight w:val="yellow"/>
        </w:rPr>
      </w:pPr>
    </w:p>
    <w:p w14:paraId="03951B2E" w14:textId="77777777" w:rsidR="00E67D29" w:rsidRPr="00104F7D" w:rsidRDefault="00E67D29" w:rsidP="003029AA">
      <w:pPr>
        <w:contextualSpacing/>
        <w:rPr>
          <w:b/>
          <w:i/>
          <w:highlight w:val="yellow"/>
        </w:rPr>
      </w:pPr>
    </w:p>
    <w:p w14:paraId="611A2CC2" w14:textId="77777777" w:rsidR="00E67D29" w:rsidRPr="00104F7D" w:rsidRDefault="00E67D29" w:rsidP="003029AA">
      <w:pPr>
        <w:contextualSpacing/>
        <w:rPr>
          <w:b/>
          <w:i/>
          <w:highlight w:val="yellow"/>
        </w:rPr>
      </w:pPr>
    </w:p>
    <w:p w14:paraId="01BB64C5" w14:textId="77777777" w:rsidR="00FE56BB" w:rsidRPr="00104F7D" w:rsidRDefault="00FE56BB" w:rsidP="003029AA">
      <w:pPr>
        <w:contextualSpacing/>
        <w:rPr>
          <w:b/>
          <w:i/>
          <w:highlight w:val="yellow"/>
        </w:rPr>
      </w:pPr>
    </w:p>
    <w:p w14:paraId="0D07A53D" w14:textId="77777777" w:rsidR="00FE56BB" w:rsidRPr="00104F7D" w:rsidRDefault="00FE56BB" w:rsidP="003029AA">
      <w:pPr>
        <w:contextualSpacing/>
        <w:rPr>
          <w:b/>
          <w:i/>
          <w:highlight w:val="yellow"/>
        </w:rPr>
      </w:pPr>
    </w:p>
    <w:p w14:paraId="18F67F7C" w14:textId="77777777" w:rsidR="00E67D29" w:rsidRPr="00104F7D" w:rsidRDefault="00E67D29" w:rsidP="003029AA">
      <w:pPr>
        <w:contextualSpacing/>
        <w:rPr>
          <w:b/>
          <w:i/>
          <w:highlight w:val="yellow"/>
        </w:rPr>
      </w:pPr>
    </w:p>
    <w:p w14:paraId="12F8D53C" w14:textId="77777777" w:rsidR="00466A4C" w:rsidRDefault="00466A4C" w:rsidP="003029AA">
      <w:pPr>
        <w:contextualSpacing/>
        <w:rPr>
          <w:b/>
          <w:i/>
        </w:rPr>
      </w:pPr>
    </w:p>
    <w:p w14:paraId="66ED6BD3" w14:textId="65C5E75B" w:rsidR="00B43B9E" w:rsidRPr="00770EB3" w:rsidRDefault="00B43B9E" w:rsidP="003029AA">
      <w:pPr>
        <w:contextualSpacing/>
        <w:rPr>
          <w:b/>
          <w:i/>
        </w:rPr>
      </w:pPr>
      <w:r w:rsidRPr="00770EB3">
        <w:rPr>
          <w:b/>
          <w:i/>
        </w:rPr>
        <w:t>Tabulka 1</w:t>
      </w:r>
      <w:r w:rsidR="004638EB" w:rsidRPr="00770EB3">
        <w:rPr>
          <w:b/>
          <w:i/>
        </w:rPr>
        <w:t>3</w:t>
      </w:r>
      <w:r w:rsidRPr="00770EB3">
        <w:rPr>
          <w:b/>
          <w:i/>
        </w:rPr>
        <w:t>.</w:t>
      </w:r>
      <w:r w:rsidR="00466A4C">
        <w:rPr>
          <w:b/>
          <w:i/>
        </w:rPr>
        <w:t>3</w:t>
      </w:r>
      <w:r w:rsidR="00B91A65">
        <w:rPr>
          <w:b/>
          <w:i/>
        </w:rPr>
        <w:t>.</w:t>
      </w:r>
      <w:r w:rsidRPr="00770EB3">
        <w:rPr>
          <w:b/>
          <w:i/>
        </w:rPr>
        <w:t>1</w:t>
      </w:r>
    </w:p>
    <w:p w14:paraId="07E0B0DC" w14:textId="0B362E84" w:rsidR="00AA7A93" w:rsidRPr="00770EB3" w:rsidRDefault="00AE7153" w:rsidP="007C4955">
      <w:pPr>
        <w:contextualSpacing/>
        <w:rPr>
          <w:b/>
          <w:i/>
        </w:rPr>
      </w:pPr>
      <w:r w:rsidRPr="00770EB3">
        <w:rPr>
          <w:b/>
          <w:i/>
        </w:rPr>
        <w:t xml:space="preserve">Přehled </w:t>
      </w:r>
      <w:r w:rsidR="000420E4" w:rsidRPr="00770EB3">
        <w:rPr>
          <w:b/>
          <w:i/>
        </w:rPr>
        <w:t xml:space="preserve">nových nebo rekonstruovaných </w:t>
      </w:r>
      <w:r w:rsidR="00C401CA" w:rsidRPr="00770EB3">
        <w:rPr>
          <w:b/>
          <w:i/>
        </w:rPr>
        <w:t>čistíren odpadních vod</w:t>
      </w:r>
      <w:r w:rsidRPr="00770EB3">
        <w:rPr>
          <w:b/>
          <w:i/>
        </w:rPr>
        <w:t xml:space="preserve"> s kapacitou nad 2000 </w:t>
      </w:r>
      <w:r w:rsidR="00F20B79" w:rsidRPr="00770EB3">
        <w:rPr>
          <w:b/>
          <w:i/>
        </w:rPr>
        <w:t xml:space="preserve">ekvivalentních obyvatel </w:t>
      </w:r>
      <w:r w:rsidRPr="00770EB3">
        <w:rPr>
          <w:b/>
          <w:i/>
        </w:rPr>
        <w:t>v roce 202</w:t>
      </w:r>
      <w:r w:rsidR="00770EB3">
        <w:rPr>
          <w:b/>
          <w:i/>
        </w:rPr>
        <w:t>5</w:t>
      </w:r>
    </w:p>
    <w:tbl>
      <w:tblPr>
        <w:tblW w:w="9788" w:type="dxa"/>
        <w:tblInd w:w="-10" w:type="dxa"/>
        <w:tblLayout w:type="fixed"/>
        <w:tblCellMar>
          <w:left w:w="70" w:type="dxa"/>
          <w:right w:w="70" w:type="dxa"/>
        </w:tblCellMar>
        <w:tblLook w:val="04A0" w:firstRow="1" w:lastRow="0" w:firstColumn="1" w:lastColumn="0" w:noHBand="0" w:noVBand="1"/>
      </w:tblPr>
      <w:tblGrid>
        <w:gridCol w:w="521"/>
        <w:gridCol w:w="1606"/>
        <w:gridCol w:w="2918"/>
        <w:gridCol w:w="1241"/>
        <w:gridCol w:w="1011"/>
        <w:gridCol w:w="1221"/>
        <w:gridCol w:w="1270"/>
      </w:tblGrid>
      <w:tr w:rsidR="00186037" w:rsidRPr="00104F7D" w14:paraId="4FD9466E" w14:textId="77777777" w:rsidTr="00F2276B">
        <w:trPr>
          <w:trHeight w:val="630"/>
        </w:trPr>
        <w:tc>
          <w:tcPr>
            <w:tcW w:w="521" w:type="dxa"/>
            <w:vMerge w:val="restart"/>
            <w:tcBorders>
              <w:top w:val="single" w:sz="8" w:space="0" w:color="auto"/>
              <w:left w:val="single" w:sz="8" w:space="0" w:color="auto"/>
              <w:right w:val="single" w:sz="4" w:space="0" w:color="auto"/>
            </w:tcBorders>
            <w:shd w:val="clear" w:color="auto" w:fill="AEAAAA"/>
            <w:vAlign w:val="center"/>
          </w:tcPr>
          <w:p w14:paraId="025F845D" w14:textId="77777777" w:rsidR="00592AC2" w:rsidRPr="00815E64" w:rsidRDefault="00592AC2" w:rsidP="007C4955">
            <w:pPr>
              <w:contextualSpacing/>
              <w:jc w:val="center"/>
              <w:rPr>
                <w:rFonts w:cs="Arial"/>
                <w:b/>
                <w:sz w:val="18"/>
                <w:szCs w:val="18"/>
              </w:rPr>
            </w:pPr>
            <w:r w:rsidRPr="00815E64">
              <w:rPr>
                <w:rFonts w:cs="Arial"/>
                <w:b/>
                <w:sz w:val="18"/>
                <w:szCs w:val="18"/>
              </w:rPr>
              <w:t>Stav</w:t>
            </w:r>
          </w:p>
          <w:p w14:paraId="25658847" w14:textId="77777777" w:rsidR="00592AC2" w:rsidRPr="00815E64" w:rsidRDefault="00592AC2" w:rsidP="007C4955">
            <w:pPr>
              <w:contextualSpacing/>
              <w:jc w:val="center"/>
              <w:rPr>
                <w:rFonts w:cs="Arial"/>
                <w:b/>
                <w:sz w:val="18"/>
                <w:szCs w:val="18"/>
              </w:rPr>
            </w:pPr>
          </w:p>
        </w:tc>
        <w:tc>
          <w:tcPr>
            <w:tcW w:w="1606" w:type="dxa"/>
            <w:vMerge w:val="restart"/>
            <w:tcBorders>
              <w:top w:val="single" w:sz="8" w:space="0" w:color="auto"/>
              <w:left w:val="single" w:sz="8" w:space="0" w:color="auto"/>
              <w:bottom w:val="single" w:sz="4" w:space="0" w:color="auto"/>
              <w:right w:val="single" w:sz="4" w:space="0" w:color="auto"/>
            </w:tcBorders>
            <w:shd w:val="clear" w:color="auto" w:fill="AEAAAA"/>
            <w:vAlign w:val="center"/>
            <w:hideMark/>
          </w:tcPr>
          <w:p w14:paraId="4329D0E1" w14:textId="77777777" w:rsidR="00592AC2" w:rsidRPr="00815E64" w:rsidRDefault="00592AC2" w:rsidP="007C4955">
            <w:pPr>
              <w:contextualSpacing/>
              <w:jc w:val="center"/>
              <w:rPr>
                <w:rFonts w:cs="Arial"/>
                <w:b/>
                <w:sz w:val="18"/>
                <w:szCs w:val="18"/>
              </w:rPr>
            </w:pPr>
            <w:r w:rsidRPr="00815E64">
              <w:rPr>
                <w:rFonts w:cs="Arial"/>
                <w:b/>
                <w:sz w:val="18"/>
                <w:szCs w:val="18"/>
              </w:rPr>
              <w:t>Čistírny odpadních vod</w:t>
            </w:r>
          </w:p>
        </w:tc>
        <w:tc>
          <w:tcPr>
            <w:tcW w:w="2918" w:type="dxa"/>
            <w:vMerge w:val="restart"/>
            <w:tcBorders>
              <w:top w:val="single" w:sz="8" w:space="0" w:color="auto"/>
              <w:left w:val="nil"/>
              <w:right w:val="single" w:sz="4" w:space="0" w:color="auto"/>
            </w:tcBorders>
            <w:shd w:val="clear" w:color="auto" w:fill="AEAAAA"/>
            <w:vAlign w:val="center"/>
            <w:hideMark/>
          </w:tcPr>
          <w:p w14:paraId="363F245A" w14:textId="77777777" w:rsidR="00592AC2" w:rsidRPr="00134AB5" w:rsidRDefault="00592AC2" w:rsidP="007C4955">
            <w:pPr>
              <w:ind w:right="296"/>
              <w:contextualSpacing/>
              <w:jc w:val="center"/>
              <w:rPr>
                <w:rFonts w:cs="Arial"/>
                <w:b/>
                <w:sz w:val="18"/>
                <w:szCs w:val="18"/>
              </w:rPr>
            </w:pPr>
            <w:r w:rsidRPr="00134AB5">
              <w:rPr>
                <w:rFonts w:cs="Arial"/>
                <w:b/>
                <w:sz w:val="18"/>
                <w:szCs w:val="18"/>
              </w:rPr>
              <w:t>Umístění</w:t>
            </w:r>
          </w:p>
        </w:tc>
        <w:tc>
          <w:tcPr>
            <w:tcW w:w="1241" w:type="dxa"/>
            <w:tcBorders>
              <w:top w:val="single" w:sz="8" w:space="0" w:color="auto"/>
              <w:left w:val="nil"/>
              <w:bottom w:val="single" w:sz="4" w:space="0" w:color="auto"/>
              <w:right w:val="single" w:sz="4" w:space="0" w:color="auto"/>
            </w:tcBorders>
            <w:shd w:val="clear" w:color="auto" w:fill="AEAAAA"/>
            <w:vAlign w:val="center"/>
            <w:hideMark/>
          </w:tcPr>
          <w:p w14:paraId="2F6257A7" w14:textId="77777777" w:rsidR="00592AC2" w:rsidRPr="00134AB5" w:rsidRDefault="00592AC2" w:rsidP="007C4955">
            <w:pPr>
              <w:contextualSpacing/>
              <w:jc w:val="center"/>
              <w:rPr>
                <w:rFonts w:cs="Arial"/>
                <w:b/>
                <w:sz w:val="18"/>
                <w:szCs w:val="18"/>
              </w:rPr>
            </w:pPr>
            <w:r w:rsidRPr="00134AB5">
              <w:rPr>
                <w:rFonts w:cs="Arial"/>
                <w:b/>
                <w:sz w:val="18"/>
                <w:szCs w:val="18"/>
              </w:rPr>
              <w:t>Kapacita</w:t>
            </w:r>
          </w:p>
        </w:tc>
        <w:tc>
          <w:tcPr>
            <w:tcW w:w="1011" w:type="dxa"/>
            <w:tcBorders>
              <w:top w:val="single" w:sz="8" w:space="0" w:color="auto"/>
              <w:left w:val="nil"/>
              <w:bottom w:val="single" w:sz="4" w:space="0" w:color="auto"/>
              <w:right w:val="single" w:sz="4" w:space="0" w:color="auto"/>
            </w:tcBorders>
            <w:shd w:val="clear" w:color="auto" w:fill="AEAAAA"/>
            <w:vAlign w:val="center"/>
            <w:hideMark/>
          </w:tcPr>
          <w:p w14:paraId="6AC97C07" w14:textId="77777777" w:rsidR="00592AC2" w:rsidRPr="00134AB5" w:rsidRDefault="00592AC2" w:rsidP="007C4955">
            <w:pPr>
              <w:contextualSpacing/>
              <w:jc w:val="center"/>
              <w:rPr>
                <w:rFonts w:cs="Arial"/>
                <w:b/>
                <w:sz w:val="18"/>
                <w:szCs w:val="18"/>
              </w:rPr>
            </w:pPr>
            <w:r w:rsidRPr="00134AB5">
              <w:rPr>
                <w:rFonts w:cs="Arial"/>
                <w:b/>
                <w:sz w:val="18"/>
                <w:szCs w:val="18"/>
              </w:rPr>
              <w:t>Nitrifikace</w:t>
            </w:r>
          </w:p>
        </w:tc>
        <w:tc>
          <w:tcPr>
            <w:tcW w:w="1221" w:type="dxa"/>
            <w:tcBorders>
              <w:top w:val="single" w:sz="8" w:space="0" w:color="auto"/>
              <w:left w:val="nil"/>
              <w:bottom w:val="single" w:sz="4" w:space="0" w:color="auto"/>
              <w:right w:val="single" w:sz="4" w:space="0" w:color="auto"/>
            </w:tcBorders>
            <w:shd w:val="clear" w:color="auto" w:fill="AEAAAA"/>
            <w:vAlign w:val="center"/>
            <w:hideMark/>
          </w:tcPr>
          <w:p w14:paraId="4EA81AFE" w14:textId="77777777" w:rsidR="00592AC2" w:rsidRPr="00134AB5" w:rsidRDefault="00592AC2" w:rsidP="007C4955">
            <w:pPr>
              <w:contextualSpacing/>
              <w:jc w:val="center"/>
              <w:rPr>
                <w:rFonts w:cs="Arial"/>
                <w:b/>
                <w:sz w:val="18"/>
                <w:szCs w:val="18"/>
              </w:rPr>
            </w:pPr>
            <w:r w:rsidRPr="00134AB5">
              <w:rPr>
                <w:rFonts w:cs="Arial"/>
                <w:b/>
                <w:sz w:val="18"/>
                <w:szCs w:val="18"/>
              </w:rPr>
              <w:t>Denitrifikace</w:t>
            </w:r>
          </w:p>
        </w:tc>
        <w:tc>
          <w:tcPr>
            <w:tcW w:w="1270" w:type="dxa"/>
            <w:tcBorders>
              <w:top w:val="single" w:sz="8" w:space="0" w:color="auto"/>
              <w:left w:val="nil"/>
              <w:bottom w:val="single" w:sz="4" w:space="0" w:color="auto"/>
              <w:right w:val="single" w:sz="8" w:space="0" w:color="auto"/>
            </w:tcBorders>
            <w:shd w:val="clear" w:color="auto" w:fill="AEAAAA"/>
            <w:vAlign w:val="center"/>
            <w:hideMark/>
          </w:tcPr>
          <w:p w14:paraId="22206541" w14:textId="77777777" w:rsidR="00592AC2" w:rsidRPr="00134AB5" w:rsidRDefault="00592AC2" w:rsidP="007C4955">
            <w:pPr>
              <w:contextualSpacing/>
              <w:jc w:val="center"/>
              <w:rPr>
                <w:rFonts w:cs="Arial"/>
                <w:b/>
                <w:sz w:val="18"/>
                <w:szCs w:val="18"/>
              </w:rPr>
            </w:pPr>
            <w:r w:rsidRPr="00134AB5">
              <w:rPr>
                <w:rFonts w:cs="Arial"/>
                <w:b/>
                <w:sz w:val="18"/>
                <w:szCs w:val="18"/>
              </w:rPr>
              <w:t>Chemické odstraňování fosforu</w:t>
            </w:r>
          </w:p>
        </w:tc>
      </w:tr>
      <w:tr w:rsidR="00186037" w:rsidRPr="00104F7D" w14:paraId="2560B894" w14:textId="77777777" w:rsidTr="00F2276B">
        <w:trPr>
          <w:trHeight w:val="255"/>
        </w:trPr>
        <w:tc>
          <w:tcPr>
            <w:tcW w:w="521" w:type="dxa"/>
            <w:vMerge/>
            <w:tcBorders>
              <w:left w:val="single" w:sz="8" w:space="0" w:color="auto"/>
              <w:bottom w:val="single" w:sz="4" w:space="0" w:color="auto"/>
              <w:right w:val="single" w:sz="4" w:space="0" w:color="auto"/>
            </w:tcBorders>
          </w:tcPr>
          <w:p w14:paraId="5D6FBF4E" w14:textId="77777777" w:rsidR="00592AC2" w:rsidRPr="00815E64" w:rsidRDefault="00592AC2" w:rsidP="007C4955">
            <w:pPr>
              <w:contextualSpacing/>
              <w:rPr>
                <w:rFonts w:cs="Arial"/>
                <w:sz w:val="18"/>
                <w:szCs w:val="18"/>
              </w:rPr>
            </w:pPr>
          </w:p>
        </w:tc>
        <w:tc>
          <w:tcPr>
            <w:tcW w:w="1606" w:type="dxa"/>
            <w:vMerge/>
            <w:tcBorders>
              <w:top w:val="single" w:sz="8" w:space="0" w:color="auto"/>
              <w:left w:val="single" w:sz="8" w:space="0" w:color="auto"/>
              <w:bottom w:val="single" w:sz="4" w:space="0" w:color="auto"/>
              <w:right w:val="single" w:sz="4" w:space="0" w:color="auto"/>
            </w:tcBorders>
            <w:vAlign w:val="center"/>
            <w:hideMark/>
          </w:tcPr>
          <w:p w14:paraId="230AE8E8" w14:textId="77777777" w:rsidR="00592AC2" w:rsidRPr="00815E64" w:rsidRDefault="00592AC2" w:rsidP="007C4955">
            <w:pPr>
              <w:contextualSpacing/>
              <w:rPr>
                <w:rFonts w:cs="Arial"/>
                <w:sz w:val="18"/>
                <w:szCs w:val="18"/>
              </w:rPr>
            </w:pPr>
          </w:p>
        </w:tc>
        <w:tc>
          <w:tcPr>
            <w:tcW w:w="2918" w:type="dxa"/>
            <w:vMerge/>
            <w:tcBorders>
              <w:left w:val="nil"/>
              <w:bottom w:val="single" w:sz="4" w:space="0" w:color="auto"/>
              <w:right w:val="single" w:sz="4" w:space="0" w:color="auto"/>
            </w:tcBorders>
            <w:vAlign w:val="center"/>
            <w:hideMark/>
          </w:tcPr>
          <w:p w14:paraId="7495D063" w14:textId="77777777" w:rsidR="00592AC2" w:rsidRPr="00134AB5" w:rsidRDefault="00592AC2" w:rsidP="007C4955">
            <w:pPr>
              <w:ind w:right="296"/>
              <w:contextualSpacing/>
              <w:rPr>
                <w:rFonts w:cs="Arial"/>
                <w:sz w:val="18"/>
                <w:szCs w:val="18"/>
              </w:rPr>
            </w:pPr>
          </w:p>
        </w:tc>
        <w:tc>
          <w:tcPr>
            <w:tcW w:w="1241" w:type="dxa"/>
            <w:tcBorders>
              <w:top w:val="nil"/>
              <w:left w:val="nil"/>
              <w:bottom w:val="single" w:sz="4" w:space="0" w:color="auto"/>
              <w:right w:val="single" w:sz="4" w:space="0" w:color="auto"/>
            </w:tcBorders>
            <w:shd w:val="clear" w:color="auto" w:fill="AEAAAA"/>
            <w:vAlign w:val="center"/>
            <w:hideMark/>
          </w:tcPr>
          <w:p w14:paraId="32686A70" w14:textId="77777777" w:rsidR="00592AC2" w:rsidRPr="00134AB5" w:rsidRDefault="00592AC2" w:rsidP="007C4955">
            <w:pPr>
              <w:contextualSpacing/>
              <w:jc w:val="center"/>
              <w:rPr>
                <w:rFonts w:cs="Arial"/>
                <w:b/>
                <w:sz w:val="18"/>
                <w:szCs w:val="18"/>
              </w:rPr>
            </w:pPr>
            <w:r w:rsidRPr="00134AB5">
              <w:rPr>
                <w:rFonts w:cs="Arial"/>
                <w:b/>
                <w:sz w:val="18"/>
                <w:szCs w:val="18"/>
              </w:rPr>
              <w:t>počet EO</w:t>
            </w:r>
          </w:p>
        </w:tc>
        <w:tc>
          <w:tcPr>
            <w:tcW w:w="1011" w:type="dxa"/>
            <w:tcBorders>
              <w:top w:val="nil"/>
              <w:left w:val="nil"/>
              <w:bottom w:val="single" w:sz="4" w:space="0" w:color="auto"/>
              <w:right w:val="single" w:sz="4" w:space="0" w:color="auto"/>
            </w:tcBorders>
            <w:shd w:val="clear" w:color="auto" w:fill="AEAAAA"/>
            <w:vAlign w:val="center"/>
            <w:hideMark/>
          </w:tcPr>
          <w:p w14:paraId="6AC829EB" w14:textId="77777777" w:rsidR="00592AC2" w:rsidRPr="00134AB5" w:rsidRDefault="00592AC2" w:rsidP="007C4955">
            <w:pPr>
              <w:contextualSpacing/>
              <w:jc w:val="center"/>
              <w:rPr>
                <w:rFonts w:cs="Arial"/>
                <w:b/>
                <w:sz w:val="18"/>
                <w:szCs w:val="18"/>
              </w:rPr>
            </w:pPr>
            <w:r w:rsidRPr="00134AB5">
              <w:rPr>
                <w:rFonts w:cs="Arial"/>
                <w:b/>
                <w:sz w:val="18"/>
                <w:szCs w:val="18"/>
              </w:rPr>
              <w:t>ANO/NE</w:t>
            </w:r>
          </w:p>
        </w:tc>
        <w:tc>
          <w:tcPr>
            <w:tcW w:w="1221" w:type="dxa"/>
            <w:tcBorders>
              <w:top w:val="nil"/>
              <w:left w:val="nil"/>
              <w:bottom w:val="single" w:sz="4" w:space="0" w:color="auto"/>
              <w:right w:val="single" w:sz="4" w:space="0" w:color="auto"/>
            </w:tcBorders>
            <w:shd w:val="clear" w:color="auto" w:fill="AEAAAA"/>
            <w:vAlign w:val="center"/>
            <w:hideMark/>
          </w:tcPr>
          <w:p w14:paraId="1BFD1768" w14:textId="77777777" w:rsidR="00592AC2" w:rsidRPr="00134AB5" w:rsidRDefault="00592AC2" w:rsidP="007C4955">
            <w:pPr>
              <w:contextualSpacing/>
              <w:jc w:val="center"/>
              <w:rPr>
                <w:rFonts w:cs="Arial"/>
                <w:b/>
                <w:sz w:val="18"/>
                <w:szCs w:val="18"/>
              </w:rPr>
            </w:pPr>
            <w:r w:rsidRPr="00134AB5">
              <w:rPr>
                <w:rFonts w:cs="Arial"/>
                <w:b/>
                <w:sz w:val="18"/>
                <w:szCs w:val="18"/>
              </w:rPr>
              <w:t>ANO/NE</w:t>
            </w:r>
          </w:p>
        </w:tc>
        <w:tc>
          <w:tcPr>
            <w:tcW w:w="1270" w:type="dxa"/>
            <w:tcBorders>
              <w:top w:val="nil"/>
              <w:left w:val="nil"/>
              <w:bottom w:val="single" w:sz="4" w:space="0" w:color="auto"/>
              <w:right w:val="single" w:sz="8" w:space="0" w:color="auto"/>
            </w:tcBorders>
            <w:shd w:val="clear" w:color="auto" w:fill="AEAAAA"/>
            <w:vAlign w:val="center"/>
            <w:hideMark/>
          </w:tcPr>
          <w:p w14:paraId="5777AE25" w14:textId="77777777" w:rsidR="00592AC2" w:rsidRPr="00134AB5" w:rsidRDefault="00592AC2" w:rsidP="007C4955">
            <w:pPr>
              <w:contextualSpacing/>
              <w:jc w:val="center"/>
              <w:rPr>
                <w:rFonts w:cs="Arial"/>
                <w:b/>
                <w:sz w:val="18"/>
                <w:szCs w:val="18"/>
              </w:rPr>
            </w:pPr>
            <w:r w:rsidRPr="00134AB5">
              <w:rPr>
                <w:rFonts w:cs="Arial"/>
                <w:b/>
                <w:sz w:val="18"/>
                <w:szCs w:val="18"/>
              </w:rPr>
              <w:t>ANO/NE</w:t>
            </w:r>
          </w:p>
        </w:tc>
      </w:tr>
      <w:tr w:rsidR="005339D1" w:rsidRPr="00104F7D" w14:paraId="519B31F4" w14:textId="77777777" w:rsidTr="00F2276B">
        <w:trPr>
          <w:trHeight w:val="270"/>
        </w:trPr>
        <w:tc>
          <w:tcPr>
            <w:tcW w:w="521" w:type="dxa"/>
            <w:vMerge w:val="restart"/>
            <w:tcBorders>
              <w:top w:val="single" w:sz="4" w:space="0" w:color="auto"/>
              <w:left w:val="single" w:sz="4" w:space="0" w:color="auto"/>
              <w:right w:val="single" w:sz="4" w:space="0" w:color="auto"/>
            </w:tcBorders>
            <w:textDirection w:val="btLr"/>
            <w:vAlign w:val="center"/>
          </w:tcPr>
          <w:p w14:paraId="0A95D844" w14:textId="77777777" w:rsidR="005339D1" w:rsidRPr="00815E64" w:rsidRDefault="005339D1" w:rsidP="000E1EB8">
            <w:pPr>
              <w:ind w:left="113" w:right="113"/>
              <w:contextualSpacing/>
              <w:jc w:val="center"/>
              <w:rPr>
                <w:rFonts w:cs="Arial"/>
                <w:sz w:val="18"/>
                <w:szCs w:val="18"/>
              </w:rPr>
            </w:pPr>
            <w:r w:rsidRPr="00815E64">
              <w:rPr>
                <w:rFonts w:cs="Arial"/>
                <w:sz w:val="18"/>
                <w:szCs w:val="18"/>
              </w:rPr>
              <w:t>nová</w:t>
            </w:r>
          </w:p>
        </w:tc>
        <w:tc>
          <w:tcPr>
            <w:tcW w:w="1606" w:type="dxa"/>
            <w:tcBorders>
              <w:top w:val="single" w:sz="4" w:space="0" w:color="auto"/>
              <w:left w:val="single" w:sz="4" w:space="0" w:color="auto"/>
              <w:bottom w:val="single" w:sz="4" w:space="0" w:color="auto"/>
              <w:right w:val="single" w:sz="4" w:space="0" w:color="auto"/>
            </w:tcBorders>
            <w:vAlign w:val="center"/>
            <w:hideMark/>
          </w:tcPr>
          <w:p w14:paraId="31965BA8" w14:textId="77777777" w:rsidR="005339D1" w:rsidRPr="00815E64" w:rsidRDefault="005339D1" w:rsidP="000E1EB8">
            <w:pPr>
              <w:contextualSpacing/>
              <w:rPr>
                <w:rFonts w:cs="Arial"/>
                <w:sz w:val="18"/>
                <w:szCs w:val="18"/>
              </w:rPr>
            </w:pPr>
            <w:r w:rsidRPr="00815E64">
              <w:rPr>
                <w:rFonts w:cs="Arial"/>
                <w:sz w:val="18"/>
                <w:szCs w:val="18"/>
              </w:rPr>
              <w:t>průmyslová</w:t>
            </w:r>
          </w:p>
        </w:tc>
        <w:tc>
          <w:tcPr>
            <w:tcW w:w="2918" w:type="dxa"/>
            <w:tcBorders>
              <w:top w:val="single" w:sz="4" w:space="0" w:color="auto"/>
              <w:left w:val="nil"/>
              <w:bottom w:val="single" w:sz="4" w:space="0" w:color="auto"/>
              <w:right w:val="single" w:sz="4" w:space="0" w:color="auto"/>
            </w:tcBorders>
            <w:noWrap/>
            <w:vAlign w:val="center"/>
          </w:tcPr>
          <w:p w14:paraId="70470349" w14:textId="6D2FBDBB" w:rsidR="005339D1" w:rsidRPr="00134AB5" w:rsidRDefault="005339D1" w:rsidP="000E1EB8">
            <w:pPr>
              <w:ind w:right="296"/>
              <w:contextualSpacing/>
              <w:rPr>
                <w:rFonts w:cs="Arial"/>
                <w:sz w:val="18"/>
                <w:szCs w:val="18"/>
              </w:rPr>
            </w:pPr>
          </w:p>
        </w:tc>
        <w:tc>
          <w:tcPr>
            <w:tcW w:w="1241" w:type="dxa"/>
            <w:tcBorders>
              <w:top w:val="single" w:sz="4" w:space="0" w:color="auto"/>
              <w:left w:val="nil"/>
              <w:bottom w:val="single" w:sz="4" w:space="0" w:color="auto"/>
              <w:right w:val="single" w:sz="4" w:space="0" w:color="auto"/>
            </w:tcBorders>
            <w:vAlign w:val="center"/>
          </w:tcPr>
          <w:p w14:paraId="6F55FDC1" w14:textId="5B8EA46B" w:rsidR="005339D1" w:rsidRPr="00134AB5" w:rsidRDefault="005339D1" w:rsidP="00D14A3C">
            <w:pPr>
              <w:pStyle w:val="Default"/>
              <w:contextualSpacing/>
              <w:jc w:val="right"/>
              <w:rPr>
                <w:color w:val="auto"/>
                <w:sz w:val="18"/>
                <w:szCs w:val="18"/>
              </w:rPr>
            </w:pPr>
            <w:r w:rsidRPr="00134AB5">
              <w:rPr>
                <w:color w:val="auto"/>
                <w:sz w:val="18"/>
                <w:szCs w:val="18"/>
              </w:rPr>
              <w:t>x</w:t>
            </w:r>
          </w:p>
        </w:tc>
        <w:tc>
          <w:tcPr>
            <w:tcW w:w="1011" w:type="dxa"/>
            <w:tcBorders>
              <w:top w:val="single" w:sz="4" w:space="0" w:color="auto"/>
              <w:left w:val="nil"/>
              <w:bottom w:val="single" w:sz="4" w:space="0" w:color="auto"/>
              <w:right w:val="single" w:sz="4" w:space="0" w:color="auto"/>
            </w:tcBorders>
            <w:vAlign w:val="center"/>
          </w:tcPr>
          <w:p w14:paraId="50F4C73A" w14:textId="0A4695E2" w:rsidR="005339D1" w:rsidRPr="00134AB5" w:rsidRDefault="005339D1" w:rsidP="00D14A3C">
            <w:pPr>
              <w:contextualSpacing/>
              <w:jc w:val="center"/>
              <w:rPr>
                <w:rFonts w:cs="Arial"/>
                <w:sz w:val="18"/>
                <w:szCs w:val="18"/>
              </w:rPr>
            </w:pPr>
            <w:r w:rsidRPr="00134AB5">
              <w:rPr>
                <w:rFonts w:cs="Arial"/>
                <w:sz w:val="18"/>
                <w:szCs w:val="18"/>
              </w:rPr>
              <w:t>x</w:t>
            </w:r>
          </w:p>
        </w:tc>
        <w:tc>
          <w:tcPr>
            <w:tcW w:w="1221" w:type="dxa"/>
            <w:tcBorders>
              <w:top w:val="single" w:sz="4" w:space="0" w:color="auto"/>
              <w:left w:val="nil"/>
              <w:bottom w:val="single" w:sz="4" w:space="0" w:color="auto"/>
              <w:right w:val="single" w:sz="4" w:space="0" w:color="auto"/>
            </w:tcBorders>
            <w:vAlign w:val="center"/>
          </w:tcPr>
          <w:p w14:paraId="598BEE7C" w14:textId="50F0BFFD" w:rsidR="005339D1" w:rsidRPr="00134AB5" w:rsidRDefault="005339D1" w:rsidP="00D14A3C">
            <w:pPr>
              <w:contextualSpacing/>
              <w:jc w:val="center"/>
              <w:rPr>
                <w:rFonts w:cs="Arial"/>
                <w:sz w:val="18"/>
                <w:szCs w:val="18"/>
              </w:rPr>
            </w:pPr>
            <w:r w:rsidRPr="00134AB5">
              <w:rPr>
                <w:rFonts w:cs="Arial"/>
                <w:sz w:val="18"/>
                <w:szCs w:val="18"/>
              </w:rPr>
              <w:t>x</w:t>
            </w:r>
          </w:p>
        </w:tc>
        <w:tc>
          <w:tcPr>
            <w:tcW w:w="1270" w:type="dxa"/>
            <w:tcBorders>
              <w:top w:val="single" w:sz="4" w:space="0" w:color="auto"/>
              <w:left w:val="nil"/>
              <w:bottom w:val="single" w:sz="4" w:space="0" w:color="auto"/>
              <w:right w:val="single" w:sz="8" w:space="0" w:color="auto"/>
            </w:tcBorders>
            <w:vAlign w:val="center"/>
          </w:tcPr>
          <w:p w14:paraId="6848F2E5" w14:textId="3F02324A" w:rsidR="005339D1" w:rsidRPr="00134AB5" w:rsidRDefault="005339D1" w:rsidP="00D14A3C">
            <w:pPr>
              <w:contextualSpacing/>
              <w:jc w:val="center"/>
              <w:rPr>
                <w:rFonts w:cs="Arial"/>
                <w:sz w:val="18"/>
                <w:szCs w:val="18"/>
              </w:rPr>
            </w:pPr>
            <w:r w:rsidRPr="00134AB5">
              <w:rPr>
                <w:rFonts w:cs="Arial"/>
                <w:sz w:val="18"/>
                <w:szCs w:val="18"/>
              </w:rPr>
              <w:t>x</w:t>
            </w:r>
          </w:p>
        </w:tc>
      </w:tr>
      <w:tr w:rsidR="00034C42" w:rsidRPr="00104F7D" w14:paraId="1E2C3C6B" w14:textId="77777777" w:rsidTr="00F2276B">
        <w:trPr>
          <w:trHeight w:val="270"/>
        </w:trPr>
        <w:tc>
          <w:tcPr>
            <w:tcW w:w="521" w:type="dxa"/>
            <w:vMerge/>
            <w:tcBorders>
              <w:left w:val="single" w:sz="4" w:space="0" w:color="auto"/>
              <w:right w:val="single" w:sz="4" w:space="0" w:color="auto"/>
            </w:tcBorders>
            <w:vAlign w:val="center"/>
          </w:tcPr>
          <w:p w14:paraId="49D833A8" w14:textId="77777777" w:rsidR="00034C42" w:rsidRPr="00815E64" w:rsidRDefault="00034C42" w:rsidP="00034C42">
            <w:pPr>
              <w:contextualSpacing/>
              <w:jc w:val="center"/>
              <w:rPr>
                <w:rFonts w:cs="Arial"/>
                <w:color w:val="FF0000"/>
                <w:sz w:val="18"/>
                <w:szCs w:val="18"/>
              </w:rPr>
            </w:pPr>
          </w:p>
        </w:tc>
        <w:tc>
          <w:tcPr>
            <w:tcW w:w="1606" w:type="dxa"/>
            <w:vMerge w:val="restart"/>
            <w:tcBorders>
              <w:top w:val="single" w:sz="4" w:space="0" w:color="auto"/>
              <w:left w:val="single" w:sz="4" w:space="0" w:color="auto"/>
              <w:right w:val="single" w:sz="4" w:space="0" w:color="auto"/>
            </w:tcBorders>
            <w:vAlign w:val="center"/>
          </w:tcPr>
          <w:p w14:paraId="0642A1F4" w14:textId="77777777" w:rsidR="00034C42" w:rsidRPr="00815E64" w:rsidRDefault="00034C42" w:rsidP="00034C42">
            <w:pPr>
              <w:contextualSpacing/>
              <w:rPr>
                <w:rFonts w:cs="Arial"/>
                <w:color w:val="FF0000"/>
                <w:sz w:val="18"/>
                <w:szCs w:val="18"/>
              </w:rPr>
            </w:pPr>
            <w:r w:rsidRPr="00815E64">
              <w:rPr>
                <w:rFonts w:cs="Arial"/>
                <w:sz w:val="18"/>
                <w:szCs w:val="18"/>
              </w:rPr>
              <w:t>komunální</w:t>
            </w:r>
          </w:p>
        </w:tc>
        <w:tc>
          <w:tcPr>
            <w:tcW w:w="2918" w:type="dxa"/>
            <w:tcBorders>
              <w:top w:val="single" w:sz="4" w:space="0" w:color="auto"/>
              <w:left w:val="nil"/>
              <w:bottom w:val="single" w:sz="4" w:space="0" w:color="auto"/>
              <w:right w:val="single" w:sz="4" w:space="0" w:color="auto"/>
            </w:tcBorders>
            <w:noWrap/>
            <w:vAlign w:val="center"/>
          </w:tcPr>
          <w:p w14:paraId="454BD306" w14:textId="50F2D0EC" w:rsidR="00034C42" w:rsidRPr="00104F7D" w:rsidRDefault="00034C42" w:rsidP="00034C42">
            <w:pPr>
              <w:ind w:right="296"/>
              <w:contextualSpacing/>
              <w:rPr>
                <w:rFonts w:cs="Arial"/>
                <w:color w:val="FF0000"/>
                <w:sz w:val="18"/>
                <w:szCs w:val="18"/>
                <w:highlight w:val="yellow"/>
              </w:rPr>
            </w:pPr>
            <w:r w:rsidRPr="009F3A4D">
              <w:rPr>
                <w:rFonts w:eastAsia="Arial"/>
                <w:sz w:val="20"/>
                <w:szCs w:val="20"/>
              </w:rPr>
              <w:t>Bohušovice nad Ohří*</w:t>
            </w:r>
          </w:p>
        </w:tc>
        <w:tc>
          <w:tcPr>
            <w:tcW w:w="1241" w:type="dxa"/>
            <w:tcBorders>
              <w:top w:val="single" w:sz="4" w:space="0" w:color="auto"/>
              <w:left w:val="nil"/>
              <w:bottom w:val="single" w:sz="4" w:space="0" w:color="auto"/>
              <w:right w:val="single" w:sz="4" w:space="0" w:color="auto"/>
            </w:tcBorders>
            <w:vAlign w:val="center"/>
          </w:tcPr>
          <w:p w14:paraId="08EB6EAA" w14:textId="29367F59" w:rsidR="00034C42" w:rsidRPr="00104F7D" w:rsidRDefault="00034C42" w:rsidP="00034C42">
            <w:pPr>
              <w:pStyle w:val="Default"/>
              <w:contextualSpacing/>
              <w:jc w:val="right"/>
              <w:rPr>
                <w:color w:val="FF0000"/>
                <w:sz w:val="18"/>
                <w:szCs w:val="18"/>
                <w:highlight w:val="yellow"/>
              </w:rPr>
            </w:pPr>
            <w:r w:rsidRPr="009F3A4D">
              <w:rPr>
                <w:rFonts w:eastAsia="Arial"/>
                <w:sz w:val="20"/>
                <w:szCs w:val="20"/>
              </w:rPr>
              <w:t>3 000</w:t>
            </w:r>
          </w:p>
        </w:tc>
        <w:tc>
          <w:tcPr>
            <w:tcW w:w="1011" w:type="dxa"/>
            <w:tcBorders>
              <w:top w:val="single" w:sz="4" w:space="0" w:color="auto"/>
              <w:left w:val="nil"/>
              <w:bottom w:val="single" w:sz="4" w:space="0" w:color="auto"/>
              <w:right w:val="single" w:sz="4" w:space="0" w:color="auto"/>
            </w:tcBorders>
            <w:vAlign w:val="center"/>
          </w:tcPr>
          <w:p w14:paraId="4B012F4C" w14:textId="2C46F30F" w:rsidR="00034C42" w:rsidRPr="00104F7D" w:rsidRDefault="00034C42" w:rsidP="00034C42">
            <w:pPr>
              <w:contextualSpacing/>
              <w:jc w:val="center"/>
              <w:rPr>
                <w:rFonts w:cs="Arial"/>
                <w:color w:val="FF0000"/>
                <w:sz w:val="18"/>
                <w:szCs w:val="18"/>
                <w:highlight w:val="yellow"/>
              </w:rPr>
            </w:pPr>
            <w:r w:rsidRPr="009F3A4D">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078051A7" w14:textId="1CE1E587" w:rsidR="00034C42" w:rsidRPr="00104F7D" w:rsidRDefault="00034C42" w:rsidP="00034C42">
            <w:pPr>
              <w:contextualSpacing/>
              <w:jc w:val="center"/>
              <w:rPr>
                <w:rFonts w:cs="Arial"/>
                <w:color w:val="FF0000"/>
                <w:sz w:val="18"/>
                <w:szCs w:val="18"/>
                <w:highlight w:val="yellow"/>
              </w:rPr>
            </w:pPr>
            <w:r w:rsidRPr="009F3A4D">
              <w:rPr>
                <w:rFonts w:eastAsia="Arial"/>
                <w:sz w:val="20"/>
                <w:szCs w:val="20"/>
              </w:rPr>
              <w:t>ANO</w:t>
            </w:r>
          </w:p>
        </w:tc>
        <w:tc>
          <w:tcPr>
            <w:tcW w:w="1270" w:type="dxa"/>
            <w:tcBorders>
              <w:top w:val="single" w:sz="4" w:space="0" w:color="auto"/>
              <w:left w:val="nil"/>
              <w:bottom w:val="single" w:sz="4" w:space="0" w:color="auto"/>
              <w:right w:val="single" w:sz="8" w:space="0" w:color="auto"/>
            </w:tcBorders>
            <w:vAlign w:val="center"/>
          </w:tcPr>
          <w:p w14:paraId="60C91B61" w14:textId="2823BFA1" w:rsidR="00034C42" w:rsidRPr="00104F7D" w:rsidRDefault="00034C42" w:rsidP="00034C42">
            <w:pPr>
              <w:contextualSpacing/>
              <w:jc w:val="center"/>
              <w:rPr>
                <w:rFonts w:cs="Arial"/>
                <w:color w:val="FF0000"/>
                <w:sz w:val="18"/>
                <w:szCs w:val="18"/>
                <w:highlight w:val="yellow"/>
              </w:rPr>
            </w:pPr>
            <w:r w:rsidRPr="009F3A4D">
              <w:rPr>
                <w:rFonts w:eastAsia="Arial"/>
                <w:sz w:val="20"/>
                <w:szCs w:val="20"/>
              </w:rPr>
              <w:t>ANO</w:t>
            </w:r>
          </w:p>
        </w:tc>
      </w:tr>
      <w:tr w:rsidR="00034C42" w:rsidRPr="00104F7D" w14:paraId="2C6B534F" w14:textId="77777777" w:rsidTr="00F2276B">
        <w:trPr>
          <w:trHeight w:val="270"/>
        </w:trPr>
        <w:tc>
          <w:tcPr>
            <w:tcW w:w="521" w:type="dxa"/>
            <w:vMerge/>
            <w:tcBorders>
              <w:left w:val="single" w:sz="4" w:space="0" w:color="auto"/>
              <w:right w:val="single" w:sz="4" w:space="0" w:color="auto"/>
            </w:tcBorders>
            <w:vAlign w:val="center"/>
          </w:tcPr>
          <w:p w14:paraId="2216A918" w14:textId="77777777" w:rsidR="00034C42" w:rsidRPr="00815E64" w:rsidRDefault="00034C42" w:rsidP="00034C42">
            <w:pPr>
              <w:contextualSpacing/>
              <w:jc w:val="center"/>
              <w:rPr>
                <w:rFonts w:cs="Arial"/>
                <w:color w:val="FF0000"/>
                <w:sz w:val="18"/>
                <w:szCs w:val="18"/>
              </w:rPr>
            </w:pPr>
          </w:p>
        </w:tc>
        <w:tc>
          <w:tcPr>
            <w:tcW w:w="1606" w:type="dxa"/>
            <w:vMerge/>
            <w:tcBorders>
              <w:left w:val="single" w:sz="4" w:space="0" w:color="auto"/>
              <w:right w:val="single" w:sz="4" w:space="0" w:color="auto"/>
            </w:tcBorders>
            <w:vAlign w:val="center"/>
          </w:tcPr>
          <w:p w14:paraId="5A61B77D" w14:textId="77777777" w:rsidR="00034C42" w:rsidRPr="00815E64" w:rsidRDefault="00034C42" w:rsidP="00034C42">
            <w:pPr>
              <w:contextualSpacing/>
              <w:rPr>
                <w:rFonts w:cs="Arial"/>
                <w:color w:val="FF0000"/>
                <w:sz w:val="18"/>
                <w:szCs w:val="18"/>
              </w:rPr>
            </w:pPr>
          </w:p>
        </w:tc>
        <w:tc>
          <w:tcPr>
            <w:tcW w:w="2918" w:type="dxa"/>
            <w:tcBorders>
              <w:top w:val="single" w:sz="4" w:space="0" w:color="auto"/>
              <w:left w:val="nil"/>
              <w:bottom w:val="single" w:sz="4" w:space="0" w:color="auto"/>
              <w:right w:val="single" w:sz="4" w:space="0" w:color="auto"/>
            </w:tcBorders>
            <w:noWrap/>
            <w:vAlign w:val="center"/>
          </w:tcPr>
          <w:p w14:paraId="71C911F8" w14:textId="5917E678" w:rsidR="00034C42" w:rsidRPr="00104F7D" w:rsidRDefault="00034C42" w:rsidP="00034C42">
            <w:pPr>
              <w:ind w:right="296"/>
              <w:contextualSpacing/>
              <w:rPr>
                <w:rFonts w:cs="Arial"/>
                <w:color w:val="FF0000"/>
                <w:sz w:val="18"/>
                <w:szCs w:val="18"/>
                <w:highlight w:val="yellow"/>
              </w:rPr>
            </w:pPr>
            <w:r w:rsidRPr="009F3A4D">
              <w:rPr>
                <w:rFonts w:eastAsia="Arial"/>
                <w:sz w:val="20"/>
                <w:szCs w:val="20"/>
              </w:rPr>
              <w:t>Dolní Dunajovice*</w:t>
            </w:r>
          </w:p>
        </w:tc>
        <w:tc>
          <w:tcPr>
            <w:tcW w:w="1241" w:type="dxa"/>
            <w:tcBorders>
              <w:top w:val="single" w:sz="4" w:space="0" w:color="auto"/>
              <w:left w:val="nil"/>
              <w:bottom w:val="single" w:sz="4" w:space="0" w:color="auto"/>
              <w:right w:val="single" w:sz="4" w:space="0" w:color="auto"/>
            </w:tcBorders>
            <w:vAlign w:val="center"/>
          </w:tcPr>
          <w:p w14:paraId="49C355F2" w14:textId="3CF05A71" w:rsidR="00034C42" w:rsidRPr="00104F7D" w:rsidRDefault="00034C42" w:rsidP="00034C42">
            <w:pPr>
              <w:pStyle w:val="Default"/>
              <w:contextualSpacing/>
              <w:jc w:val="right"/>
              <w:rPr>
                <w:color w:val="FF0000"/>
                <w:sz w:val="18"/>
                <w:szCs w:val="18"/>
                <w:highlight w:val="yellow"/>
              </w:rPr>
            </w:pPr>
            <w:r w:rsidRPr="009F3A4D">
              <w:rPr>
                <w:rFonts w:eastAsia="Arial"/>
                <w:sz w:val="20"/>
                <w:szCs w:val="20"/>
              </w:rPr>
              <w:t>3 800</w:t>
            </w:r>
          </w:p>
        </w:tc>
        <w:tc>
          <w:tcPr>
            <w:tcW w:w="1011" w:type="dxa"/>
            <w:tcBorders>
              <w:top w:val="single" w:sz="4" w:space="0" w:color="auto"/>
              <w:left w:val="nil"/>
              <w:bottom w:val="single" w:sz="4" w:space="0" w:color="auto"/>
              <w:right w:val="single" w:sz="4" w:space="0" w:color="auto"/>
            </w:tcBorders>
            <w:vAlign w:val="center"/>
          </w:tcPr>
          <w:p w14:paraId="65C512AF" w14:textId="5337FEB9" w:rsidR="00034C42" w:rsidRPr="00104F7D" w:rsidRDefault="00034C42" w:rsidP="00034C42">
            <w:pPr>
              <w:contextualSpacing/>
              <w:jc w:val="center"/>
              <w:rPr>
                <w:rFonts w:cs="Arial"/>
                <w:color w:val="FF0000"/>
                <w:sz w:val="18"/>
                <w:szCs w:val="18"/>
                <w:highlight w:val="yellow"/>
              </w:rPr>
            </w:pPr>
            <w:r w:rsidRPr="009F3A4D">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546AA162" w14:textId="2D6DFACB" w:rsidR="00034C42" w:rsidRPr="00104F7D" w:rsidRDefault="00034C42" w:rsidP="00034C42">
            <w:pPr>
              <w:contextualSpacing/>
              <w:jc w:val="center"/>
              <w:rPr>
                <w:rFonts w:cs="Arial"/>
                <w:color w:val="FF0000"/>
                <w:sz w:val="18"/>
                <w:szCs w:val="18"/>
                <w:highlight w:val="yellow"/>
              </w:rPr>
            </w:pPr>
            <w:r w:rsidRPr="009F3A4D">
              <w:rPr>
                <w:rFonts w:eastAsia="Arial"/>
                <w:sz w:val="20"/>
                <w:szCs w:val="20"/>
              </w:rPr>
              <w:t>ANO</w:t>
            </w:r>
          </w:p>
        </w:tc>
        <w:tc>
          <w:tcPr>
            <w:tcW w:w="1270" w:type="dxa"/>
            <w:tcBorders>
              <w:top w:val="single" w:sz="4" w:space="0" w:color="auto"/>
              <w:left w:val="nil"/>
              <w:bottom w:val="single" w:sz="4" w:space="0" w:color="auto"/>
              <w:right w:val="single" w:sz="8" w:space="0" w:color="auto"/>
            </w:tcBorders>
            <w:vAlign w:val="center"/>
          </w:tcPr>
          <w:p w14:paraId="19BE1654" w14:textId="45C30CAB" w:rsidR="00034C42" w:rsidRPr="00104F7D" w:rsidRDefault="00034C42" w:rsidP="00034C42">
            <w:pPr>
              <w:contextualSpacing/>
              <w:jc w:val="center"/>
              <w:rPr>
                <w:rFonts w:cs="Arial"/>
                <w:color w:val="FF0000"/>
                <w:sz w:val="18"/>
                <w:szCs w:val="18"/>
                <w:highlight w:val="yellow"/>
              </w:rPr>
            </w:pPr>
            <w:r w:rsidRPr="009F3A4D">
              <w:rPr>
                <w:rFonts w:eastAsia="Arial"/>
                <w:sz w:val="20"/>
                <w:szCs w:val="20"/>
              </w:rPr>
              <w:t>ANO</w:t>
            </w:r>
          </w:p>
        </w:tc>
      </w:tr>
      <w:tr w:rsidR="00034C42" w:rsidRPr="00104F7D" w14:paraId="32ADC234" w14:textId="77777777" w:rsidTr="00F2276B">
        <w:trPr>
          <w:trHeight w:val="270"/>
        </w:trPr>
        <w:tc>
          <w:tcPr>
            <w:tcW w:w="521" w:type="dxa"/>
            <w:vMerge/>
            <w:tcBorders>
              <w:left w:val="single" w:sz="4" w:space="0" w:color="auto"/>
              <w:right w:val="single" w:sz="4" w:space="0" w:color="auto"/>
            </w:tcBorders>
            <w:vAlign w:val="center"/>
          </w:tcPr>
          <w:p w14:paraId="1981CF73" w14:textId="77777777" w:rsidR="00034C42" w:rsidRPr="00815E64" w:rsidRDefault="00034C42" w:rsidP="00034C42">
            <w:pPr>
              <w:contextualSpacing/>
              <w:jc w:val="center"/>
              <w:rPr>
                <w:rFonts w:cs="Arial"/>
                <w:color w:val="FF0000"/>
                <w:sz w:val="18"/>
                <w:szCs w:val="18"/>
              </w:rPr>
            </w:pPr>
          </w:p>
        </w:tc>
        <w:tc>
          <w:tcPr>
            <w:tcW w:w="1606" w:type="dxa"/>
            <w:vMerge/>
            <w:tcBorders>
              <w:left w:val="single" w:sz="4" w:space="0" w:color="auto"/>
              <w:right w:val="single" w:sz="4" w:space="0" w:color="auto"/>
            </w:tcBorders>
            <w:vAlign w:val="center"/>
          </w:tcPr>
          <w:p w14:paraId="24002ACC" w14:textId="77777777" w:rsidR="00034C42" w:rsidRPr="00815E64" w:rsidRDefault="00034C42" w:rsidP="00034C42">
            <w:pPr>
              <w:contextualSpacing/>
              <w:rPr>
                <w:rFonts w:cs="Arial"/>
                <w:color w:val="FF0000"/>
                <w:sz w:val="18"/>
                <w:szCs w:val="18"/>
              </w:rPr>
            </w:pPr>
          </w:p>
        </w:tc>
        <w:tc>
          <w:tcPr>
            <w:tcW w:w="2918" w:type="dxa"/>
            <w:tcBorders>
              <w:top w:val="single" w:sz="4" w:space="0" w:color="auto"/>
              <w:left w:val="nil"/>
              <w:bottom w:val="single" w:sz="4" w:space="0" w:color="auto"/>
              <w:right w:val="single" w:sz="4" w:space="0" w:color="auto"/>
            </w:tcBorders>
            <w:noWrap/>
            <w:vAlign w:val="center"/>
          </w:tcPr>
          <w:p w14:paraId="35769A8B" w14:textId="68F106BA" w:rsidR="00034C42" w:rsidRPr="00104F7D" w:rsidRDefault="00034C42" w:rsidP="00034C42">
            <w:pPr>
              <w:ind w:right="296"/>
              <w:contextualSpacing/>
              <w:rPr>
                <w:color w:val="000000"/>
                <w:sz w:val="18"/>
                <w:szCs w:val="18"/>
                <w:highlight w:val="yellow"/>
              </w:rPr>
            </w:pPr>
            <w:r w:rsidRPr="009F3A4D">
              <w:rPr>
                <w:rFonts w:eastAsia="Arial"/>
                <w:sz w:val="20"/>
                <w:szCs w:val="20"/>
              </w:rPr>
              <w:t>Týnec nad Sázavou*</w:t>
            </w:r>
          </w:p>
        </w:tc>
        <w:tc>
          <w:tcPr>
            <w:tcW w:w="1241" w:type="dxa"/>
            <w:tcBorders>
              <w:top w:val="single" w:sz="4" w:space="0" w:color="auto"/>
              <w:left w:val="nil"/>
              <w:bottom w:val="single" w:sz="4" w:space="0" w:color="auto"/>
              <w:right w:val="single" w:sz="4" w:space="0" w:color="auto"/>
            </w:tcBorders>
            <w:vAlign w:val="center"/>
          </w:tcPr>
          <w:p w14:paraId="22139672" w14:textId="567F2801" w:rsidR="00034C42" w:rsidRPr="00104F7D" w:rsidRDefault="00034C42" w:rsidP="00034C42">
            <w:pPr>
              <w:pStyle w:val="Default"/>
              <w:contextualSpacing/>
              <w:jc w:val="right"/>
              <w:rPr>
                <w:sz w:val="18"/>
                <w:szCs w:val="18"/>
                <w:highlight w:val="yellow"/>
              </w:rPr>
            </w:pPr>
            <w:r w:rsidRPr="009F3A4D">
              <w:rPr>
                <w:rFonts w:eastAsia="Arial"/>
                <w:sz w:val="20"/>
                <w:szCs w:val="20"/>
              </w:rPr>
              <w:t>8 000</w:t>
            </w:r>
          </w:p>
        </w:tc>
        <w:tc>
          <w:tcPr>
            <w:tcW w:w="1011" w:type="dxa"/>
            <w:tcBorders>
              <w:top w:val="single" w:sz="4" w:space="0" w:color="auto"/>
              <w:left w:val="nil"/>
              <w:bottom w:val="single" w:sz="4" w:space="0" w:color="auto"/>
              <w:right w:val="single" w:sz="4" w:space="0" w:color="auto"/>
            </w:tcBorders>
            <w:vAlign w:val="center"/>
          </w:tcPr>
          <w:p w14:paraId="647F65FC" w14:textId="7F4E8E79" w:rsidR="00034C42" w:rsidRPr="00104F7D" w:rsidRDefault="00034C42" w:rsidP="00034C42">
            <w:pPr>
              <w:contextualSpacing/>
              <w:jc w:val="center"/>
              <w:rPr>
                <w:color w:val="000000"/>
                <w:sz w:val="18"/>
                <w:szCs w:val="18"/>
                <w:highlight w:val="yellow"/>
              </w:rPr>
            </w:pPr>
            <w:r w:rsidRPr="009F3A4D">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067854D5" w14:textId="77039078" w:rsidR="00034C42" w:rsidRPr="00104F7D" w:rsidRDefault="00034C42" w:rsidP="00034C42">
            <w:pPr>
              <w:contextualSpacing/>
              <w:jc w:val="center"/>
              <w:rPr>
                <w:color w:val="000000"/>
                <w:sz w:val="18"/>
                <w:szCs w:val="18"/>
                <w:highlight w:val="yellow"/>
              </w:rPr>
            </w:pPr>
            <w:r w:rsidRPr="009F3A4D">
              <w:rPr>
                <w:rFonts w:eastAsia="Arial"/>
                <w:sz w:val="20"/>
                <w:szCs w:val="20"/>
              </w:rPr>
              <w:t>ANO</w:t>
            </w:r>
          </w:p>
        </w:tc>
        <w:tc>
          <w:tcPr>
            <w:tcW w:w="1270" w:type="dxa"/>
            <w:tcBorders>
              <w:top w:val="single" w:sz="4" w:space="0" w:color="auto"/>
              <w:left w:val="nil"/>
              <w:bottom w:val="single" w:sz="4" w:space="0" w:color="auto"/>
              <w:right w:val="single" w:sz="8" w:space="0" w:color="auto"/>
            </w:tcBorders>
            <w:vAlign w:val="center"/>
          </w:tcPr>
          <w:p w14:paraId="515B3284" w14:textId="0E46EB6A" w:rsidR="00034C42" w:rsidRPr="00104F7D" w:rsidRDefault="00034C42" w:rsidP="00034C42">
            <w:pPr>
              <w:contextualSpacing/>
              <w:jc w:val="center"/>
              <w:rPr>
                <w:color w:val="000000"/>
                <w:sz w:val="18"/>
                <w:szCs w:val="18"/>
                <w:highlight w:val="yellow"/>
              </w:rPr>
            </w:pPr>
            <w:r w:rsidRPr="009F3A4D">
              <w:rPr>
                <w:rFonts w:eastAsia="Arial"/>
                <w:sz w:val="20"/>
                <w:szCs w:val="20"/>
              </w:rPr>
              <w:t>ANO</w:t>
            </w:r>
          </w:p>
        </w:tc>
      </w:tr>
      <w:tr w:rsidR="00034C42" w:rsidRPr="00104F7D" w14:paraId="539D217C" w14:textId="77777777" w:rsidTr="00F2276B">
        <w:trPr>
          <w:trHeight w:val="270"/>
        </w:trPr>
        <w:tc>
          <w:tcPr>
            <w:tcW w:w="521" w:type="dxa"/>
            <w:vMerge/>
            <w:tcBorders>
              <w:left w:val="single" w:sz="4" w:space="0" w:color="auto"/>
              <w:right w:val="single" w:sz="4" w:space="0" w:color="auto"/>
            </w:tcBorders>
            <w:vAlign w:val="center"/>
          </w:tcPr>
          <w:p w14:paraId="34B7A140" w14:textId="77777777" w:rsidR="00034C42" w:rsidRPr="00815E64" w:rsidRDefault="00034C42" w:rsidP="00034C42">
            <w:pPr>
              <w:contextualSpacing/>
              <w:jc w:val="center"/>
              <w:rPr>
                <w:rFonts w:cs="Arial"/>
                <w:color w:val="FF0000"/>
                <w:sz w:val="18"/>
                <w:szCs w:val="18"/>
              </w:rPr>
            </w:pPr>
          </w:p>
        </w:tc>
        <w:tc>
          <w:tcPr>
            <w:tcW w:w="1606" w:type="dxa"/>
            <w:vMerge/>
            <w:tcBorders>
              <w:left w:val="single" w:sz="4" w:space="0" w:color="auto"/>
              <w:right w:val="single" w:sz="4" w:space="0" w:color="auto"/>
            </w:tcBorders>
            <w:vAlign w:val="center"/>
          </w:tcPr>
          <w:p w14:paraId="03B1D943" w14:textId="77777777" w:rsidR="00034C42" w:rsidRPr="00815E64" w:rsidRDefault="00034C42" w:rsidP="00034C42">
            <w:pPr>
              <w:contextualSpacing/>
              <w:rPr>
                <w:rFonts w:cs="Arial"/>
                <w:color w:val="FF0000"/>
                <w:sz w:val="18"/>
                <w:szCs w:val="18"/>
              </w:rPr>
            </w:pPr>
          </w:p>
        </w:tc>
        <w:tc>
          <w:tcPr>
            <w:tcW w:w="2918" w:type="dxa"/>
            <w:tcBorders>
              <w:top w:val="single" w:sz="4" w:space="0" w:color="auto"/>
              <w:left w:val="nil"/>
              <w:bottom w:val="single" w:sz="4" w:space="0" w:color="auto"/>
              <w:right w:val="single" w:sz="4" w:space="0" w:color="auto"/>
            </w:tcBorders>
            <w:noWrap/>
            <w:vAlign w:val="center"/>
          </w:tcPr>
          <w:p w14:paraId="58E89DFB" w14:textId="18BADAE7" w:rsidR="00034C42" w:rsidRPr="00104F7D" w:rsidRDefault="00034C42" w:rsidP="00034C42">
            <w:pPr>
              <w:ind w:right="296"/>
              <w:contextualSpacing/>
              <w:rPr>
                <w:color w:val="000000"/>
                <w:sz w:val="18"/>
                <w:szCs w:val="18"/>
                <w:highlight w:val="yellow"/>
              </w:rPr>
            </w:pPr>
            <w:r w:rsidRPr="009F3A4D">
              <w:rPr>
                <w:rFonts w:eastAsia="Arial"/>
                <w:sz w:val="20"/>
                <w:szCs w:val="20"/>
              </w:rPr>
              <w:t>Dolní Morava*</w:t>
            </w:r>
          </w:p>
        </w:tc>
        <w:tc>
          <w:tcPr>
            <w:tcW w:w="1241" w:type="dxa"/>
            <w:tcBorders>
              <w:top w:val="single" w:sz="4" w:space="0" w:color="auto"/>
              <w:left w:val="nil"/>
              <w:bottom w:val="single" w:sz="4" w:space="0" w:color="auto"/>
              <w:right w:val="single" w:sz="4" w:space="0" w:color="auto"/>
            </w:tcBorders>
            <w:vAlign w:val="center"/>
          </w:tcPr>
          <w:p w14:paraId="6F017A53" w14:textId="072FD1E4" w:rsidR="00034C42" w:rsidRPr="00104F7D" w:rsidRDefault="00034C42" w:rsidP="00034C42">
            <w:pPr>
              <w:pStyle w:val="Default"/>
              <w:contextualSpacing/>
              <w:jc w:val="right"/>
              <w:rPr>
                <w:sz w:val="18"/>
                <w:szCs w:val="18"/>
                <w:highlight w:val="yellow"/>
              </w:rPr>
            </w:pPr>
            <w:r w:rsidRPr="009F3A4D">
              <w:rPr>
                <w:rFonts w:eastAsia="Arial"/>
                <w:sz w:val="20"/>
                <w:szCs w:val="20"/>
              </w:rPr>
              <w:t>4 000</w:t>
            </w:r>
          </w:p>
        </w:tc>
        <w:tc>
          <w:tcPr>
            <w:tcW w:w="1011" w:type="dxa"/>
            <w:tcBorders>
              <w:top w:val="single" w:sz="4" w:space="0" w:color="auto"/>
              <w:left w:val="nil"/>
              <w:bottom w:val="single" w:sz="4" w:space="0" w:color="auto"/>
              <w:right w:val="single" w:sz="4" w:space="0" w:color="auto"/>
            </w:tcBorders>
            <w:vAlign w:val="center"/>
          </w:tcPr>
          <w:p w14:paraId="26BEC1AF" w14:textId="4FEB6C84" w:rsidR="00034C42" w:rsidRPr="00104F7D" w:rsidRDefault="00034C42" w:rsidP="00034C42">
            <w:pPr>
              <w:contextualSpacing/>
              <w:jc w:val="center"/>
              <w:rPr>
                <w:color w:val="000000"/>
                <w:sz w:val="18"/>
                <w:szCs w:val="18"/>
                <w:highlight w:val="yellow"/>
              </w:rPr>
            </w:pPr>
            <w:r w:rsidRPr="009F3A4D">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7F19100A" w14:textId="73A74213" w:rsidR="00034C42" w:rsidRPr="00104F7D" w:rsidRDefault="00034C42" w:rsidP="00034C42">
            <w:pPr>
              <w:contextualSpacing/>
              <w:jc w:val="center"/>
              <w:rPr>
                <w:color w:val="000000"/>
                <w:sz w:val="18"/>
                <w:szCs w:val="18"/>
                <w:highlight w:val="yellow"/>
              </w:rPr>
            </w:pPr>
            <w:r w:rsidRPr="009F3A4D">
              <w:rPr>
                <w:rFonts w:eastAsia="Arial"/>
                <w:sz w:val="20"/>
                <w:szCs w:val="20"/>
              </w:rPr>
              <w:t>ANO</w:t>
            </w:r>
          </w:p>
        </w:tc>
        <w:tc>
          <w:tcPr>
            <w:tcW w:w="1270" w:type="dxa"/>
            <w:tcBorders>
              <w:top w:val="single" w:sz="4" w:space="0" w:color="auto"/>
              <w:left w:val="nil"/>
              <w:bottom w:val="single" w:sz="4" w:space="0" w:color="auto"/>
              <w:right w:val="single" w:sz="8" w:space="0" w:color="auto"/>
            </w:tcBorders>
            <w:vAlign w:val="center"/>
          </w:tcPr>
          <w:p w14:paraId="7F895C0B" w14:textId="50F331B1" w:rsidR="00034C42" w:rsidRPr="00104F7D" w:rsidRDefault="00034C42" w:rsidP="00034C42">
            <w:pPr>
              <w:contextualSpacing/>
              <w:jc w:val="center"/>
              <w:rPr>
                <w:color w:val="000000"/>
                <w:sz w:val="18"/>
                <w:szCs w:val="18"/>
                <w:highlight w:val="yellow"/>
              </w:rPr>
            </w:pPr>
            <w:r w:rsidRPr="009F3A4D">
              <w:rPr>
                <w:rFonts w:eastAsia="Arial"/>
                <w:sz w:val="20"/>
                <w:szCs w:val="20"/>
              </w:rPr>
              <w:t>ANO</w:t>
            </w:r>
          </w:p>
        </w:tc>
      </w:tr>
      <w:tr w:rsidR="00034C42" w:rsidRPr="00104F7D" w14:paraId="2BE4F129" w14:textId="77777777" w:rsidTr="00F2276B">
        <w:trPr>
          <w:trHeight w:val="270"/>
        </w:trPr>
        <w:tc>
          <w:tcPr>
            <w:tcW w:w="521" w:type="dxa"/>
            <w:vMerge/>
            <w:tcBorders>
              <w:left w:val="single" w:sz="4" w:space="0" w:color="auto"/>
              <w:right w:val="single" w:sz="4" w:space="0" w:color="auto"/>
            </w:tcBorders>
            <w:vAlign w:val="center"/>
          </w:tcPr>
          <w:p w14:paraId="41000A2E" w14:textId="77777777" w:rsidR="00034C42" w:rsidRPr="00815E64" w:rsidRDefault="00034C42" w:rsidP="00034C42">
            <w:pPr>
              <w:contextualSpacing/>
              <w:jc w:val="center"/>
              <w:rPr>
                <w:rFonts w:cs="Arial"/>
                <w:color w:val="FF0000"/>
                <w:sz w:val="18"/>
                <w:szCs w:val="18"/>
              </w:rPr>
            </w:pPr>
          </w:p>
        </w:tc>
        <w:tc>
          <w:tcPr>
            <w:tcW w:w="1606" w:type="dxa"/>
            <w:vMerge/>
            <w:tcBorders>
              <w:left w:val="single" w:sz="4" w:space="0" w:color="auto"/>
              <w:right w:val="single" w:sz="4" w:space="0" w:color="auto"/>
            </w:tcBorders>
            <w:vAlign w:val="center"/>
          </w:tcPr>
          <w:p w14:paraId="3993565C" w14:textId="77777777" w:rsidR="00034C42" w:rsidRPr="00815E64" w:rsidRDefault="00034C42" w:rsidP="00034C42">
            <w:pPr>
              <w:contextualSpacing/>
              <w:rPr>
                <w:rFonts w:cs="Arial"/>
                <w:color w:val="FF0000"/>
                <w:sz w:val="18"/>
                <w:szCs w:val="18"/>
              </w:rPr>
            </w:pPr>
          </w:p>
        </w:tc>
        <w:tc>
          <w:tcPr>
            <w:tcW w:w="2918" w:type="dxa"/>
            <w:tcBorders>
              <w:top w:val="single" w:sz="4" w:space="0" w:color="auto"/>
              <w:left w:val="nil"/>
              <w:bottom w:val="single" w:sz="4" w:space="0" w:color="auto"/>
              <w:right w:val="single" w:sz="4" w:space="0" w:color="auto"/>
            </w:tcBorders>
            <w:noWrap/>
            <w:vAlign w:val="center"/>
          </w:tcPr>
          <w:p w14:paraId="6464E47B" w14:textId="7AE9824C" w:rsidR="00034C42" w:rsidRPr="00104F7D" w:rsidRDefault="00034C42" w:rsidP="00034C42">
            <w:pPr>
              <w:ind w:right="296"/>
              <w:contextualSpacing/>
              <w:rPr>
                <w:color w:val="000000"/>
                <w:sz w:val="18"/>
                <w:szCs w:val="18"/>
                <w:highlight w:val="yellow"/>
              </w:rPr>
            </w:pPr>
            <w:r w:rsidRPr="009F3A4D">
              <w:rPr>
                <w:rFonts w:eastAsia="Arial"/>
                <w:sz w:val="20"/>
                <w:szCs w:val="20"/>
              </w:rPr>
              <w:t>Škvorec*</w:t>
            </w:r>
          </w:p>
        </w:tc>
        <w:tc>
          <w:tcPr>
            <w:tcW w:w="1241" w:type="dxa"/>
            <w:tcBorders>
              <w:top w:val="single" w:sz="4" w:space="0" w:color="auto"/>
              <w:left w:val="nil"/>
              <w:bottom w:val="single" w:sz="4" w:space="0" w:color="auto"/>
              <w:right w:val="single" w:sz="4" w:space="0" w:color="auto"/>
            </w:tcBorders>
            <w:vAlign w:val="center"/>
          </w:tcPr>
          <w:p w14:paraId="0D9E3374" w14:textId="74FCD277" w:rsidR="00034C42" w:rsidRPr="00104F7D" w:rsidRDefault="00034C42" w:rsidP="00034C42">
            <w:pPr>
              <w:pStyle w:val="Default"/>
              <w:contextualSpacing/>
              <w:jc w:val="right"/>
              <w:rPr>
                <w:sz w:val="18"/>
                <w:szCs w:val="18"/>
                <w:highlight w:val="yellow"/>
              </w:rPr>
            </w:pPr>
            <w:r w:rsidRPr="009F3A4D">
              <w:rPr>
                <w:rFonts w:eastAsia="Arial"/>
                <w:sz w:val="20"/>
                <w:szCs w:val="20"/>
              </w:rPr>
              <w:t>4 700</w:t>
            </w:r>
          </w:p>
        </w:tc>
        <w:tc>
          <w:tcPr>
            <w:tcW w:w="1011" w:type="dxa"/>
            <w:tcBorders>
              <w:top w:val="single" w:sz="4" w:space="0" w:color="auto"/>
              <w:left w:val="nil"/>
              <w:bottom w:val="single" w:sz="4" w:space="0" w:color="auto"/>
              <w:right w:val="single" w:sz="4" w:space="0" w:color="auto"/>
            </w:tcBorders>
            <w:vAlign w:val="center"/>
          </w:tcPr>
          <w:p w14:paraId="0928AAC8" w14:textId="3446A771" w:rsidR="00034C42" w:rsidRPr="00104F7D" w:rsidRDefault="00034C42" w:rsidP="00034C42">
            <w:pPr>
              <w:contextualSpacing/>
              <w:jc w:val="center"/>
              <w:rPr>
                <w:color w:val="000000"/>
                <w:sz w:val="18"/>
                <w:szCs w:val="18"/>
                <w:highlight w:val="yellow"/>
              </w:rPr>
            </w:pPr>
            <w:r w:rsidRPr="009F3A4D">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782C72A0" w14:textId="2AB1CED3" w:rsidR="00034C42" w:rsidRPr="00104F7D" w:rsidRDefault="00034C42" w:rsidP="00034C42">
            <w:pPr>
              <w:contextualSpacing/>
              <w:jc w:val="center"/>
              <w:rPr>
                <w:color w:val="000000"/>
                <w:sz w:val="18"/>
                <w:szCs w:val="18"/>
                <w:highlight w:val="yellow"/>
              </w:rPr>
            </w:pPr>
            <w:r w:rsidRPr="009F3A4D">
              <w:rPr>
                <w:rFonts w:eastAsia="Arial"/>
                <w:sz w:val="20"/>
                <w:szCs w:val="20"/>
              </w:rPr>
              <w:t>ANO</w:t>
            </w:r>
          </w:p>
        </w:tc>
        <w:tc>
          <w:tcPr>
            <w:tcW w:w="1270" w:type="dxa"/>
            <w:tcBorders>
              <w:top w:val="single" w:sz="4" w:space="0" w:color="auto"/>
              <w:left w:val="nil"/>
              <w:bottom w:val="single" w:sz="4" w:space="0" w:color="auto"/>
              <w:right w:val="single" w:sz="8" w:space="0" w:color="auto"/>
            </w:tcBorders>
            <w:vAlign w:val="center"/>
          </w:tcPr>
          <w:p w14:paraId="5C365843" w14:textId="10A2AB21" w:rsidR="00034C42" w:rsidRPr="00104F7D" w:rsidRDefault="00034C42" w:rsidP="00034C42">
            <w:pPr>
              <w:contextualSpacing/>
              <w:jc w:val="center"/>
              <w:rPr>
                <w:color w:val="000000"/>
                <w:sz w:val="18"/>
                <w:szCs w:val="18"/>
                <w:highlight w:val="yellow"/>
              </w:rPr>
            </w:pPr>
            <w:r w:rsidRPr="009F3A4D">
              <w:rPr>
                <w:rFonts w:eastAsia="Arial"/>
                <w:sz w:val="20"/>
                <w:szCs w:val="20"/>
              </w:rPr>
              <w:t>ANO</w:t>
            </w:r>
          </w:p>
        </w:tc>
      </w:tr>
      <w:tr w:rsidR="00034C42" w:rsidRPr="00104F7D" w14:paraId="73A470E6" w14:textId="77777777" w:rsidTr="00882EF6">
        <w:trPr>
          <w:trHeight w:val="270"/>
        </w:trPr>
        <w:tc>
          <w:tcPr>
            <w:tcW w:w="521" w:type="dxa"/>
            <w:vMerge/>
            <w:tcBorders>
              <w:left w:val="single" w:sz="4" w:space="0" w:color="auto"/>
              <w:right w:val="single" w:sz="4" w:space="0" w:color="auto"/>
            </w:tcBorders>
            <w:vAlign w:val="center"/>
          </w:tcPr>
          <w:p w14:paraId="665964BE" w14:textId="77777777" w:rsidR="00034C42" w:rsidRPr="00815E64" w:rsidRDefault="00034C42" w:rsidP="00034C42">
            <w:pPr>
              <w:contextualSpacing/>
              <w:jc w:val="center"/>
              <w:rPr>
                <w:rFonts w:cs="Arial"/>
                <w:color w:val="FF0000"/>
                <w:sz w:val="18"/>
                <w:szCs w:val="18"/>
              </w:rPr>
            </w:pPr>
          </w:p>
        </w:tc>
        <w:tc>
          <w:tcPr>
            <w:tcW w:w="1606" w:type="dxa"/>
            <w:vMerge/>
            <w:tcBorders>
              <w:left w:val="single" w:sz="4" w:space="0" w:color="auto"/>
              <w:right w:val="single" w:sz="4" w:space="0" w:color="auto"/>
            </w:tcBorders>
            <w:vAlign w:val="center"/>
          </w:tcPr>
          <w:p w14:paraId="0E7ACC41" w14:textId="77777777" w:rsidR="00034C42" w:rsidRPr="00815E64" w:rsidRDefault="00034C42" w:rsidP="00034C42">
            <w:pPr>
              <w:contextualSpacing/>
              <w:rPr>
                <w:rFonts w:cs="Arial"/>
                <w:color w:val="FF0000"/>
                <w:sz w:val="18"/>
                <w:szCs w:val="18"/>
              </w:rPr>
            </w:pPr>
          </w:p>
        </w:tc>
        <w:tc>
          <w:tcPr>
            <w:tcW w:w="2918" w:type="dxa"/>
            <w:tcBorders>
              <w:top w:val="single" w:sz="4" w:space="0" w:color="auto"/>
              <w:left w:val="nil"/>
              <w:bottom w:val="single" w:sz="4" w:space="0" w:color="auto"/>
              <w:right w:val="single" w:sz="4" w:space="0" w:color="auto"/>
            </w:tcBorders>
            <w:noWrap/>
            <w:vAlign w:val="center"/>
          </w:tcPr>
          <w:p w14:paraId="17FA9D6D" w14:textId="4E33386D" w:rsidR="00034C42" w:rsidRPr="00104F7D" w:rsidRDefault="00034C42" w:rsidP="00034C42">
            <w:pPr>
              <w:ind w:right="296"/>
              <w:contextualSpacing/>
              <w:rPr>
                <w:color w:val="000000"/>
                <w:sz w:val="18"/>
                <w:szCs w:val="18"/>
                <w:highlight w:val="yellow"/>
              </w:rPr>
            </w:pPr>
            <w:r w:rsidRPr="009F3A4D">
              <w:rPr>
                <w:rFonts w:eastAsia="Arial"/>
                <w:sz w:val="20"/>
                <w:szCs w:val="20"/>
              </w:rPr>
              <w:t>Úpice*</w:t>
            </w:r>
          </w:p>
        </w:tc>
        <w:tc>
          <w:tcPr>
            <w:tcW w:w="1241" w:type="dxa"/>
            <w:tcBorders>
              <w:top w:val="single" w:sz="4" w:space="0" w:color="auto"/>
              <w:left w:val="nil"/>
              <w:bottom w:val="single" w:sz="4" w:space="0" w:color="auto"/>
              <w:right w:val="single" w:sz="4" w:space="0" w:color="auto"/>
            </w:tcBorders>
            <w:vAlign w:val="center"/>
          </w:tcPr>
          <w:p w14:paraId="047620D7" w14:textId="4BA4BE4D" w:rsidR="00034C42" w:rsidRPr="00104F7D" w:rsidRDefault="00034C42" w:rsidP="00034C42">
            <w:pPr>
              <w:pStyle w:val="Default"/>
              <w:contextualSpacing/>
              <w:jc w:val="right"/>
              <w:rPr>
                <w:sz w:val="18"/>
                <w:szCs w:val="18"/>
                <w:highlight w:val="yellow"/>
              </w:rPr>
            </w:pPr>
            <w:r w:rsidRPr="009F3A4D">
              <w:rPr>
                <w:rFonts w:eastAsia="Arial"/>
                <w:sz w:val="20"/>
                <w:szCs w:val="20"/>
              </w:rPr>
              <w:t>5 500</w:t>
            </w:r>
          </w:p>
        </w:tc>
        <w:tc>
          <w:tcPr>
            <w:tcW w:w="1011" w:type="dxa"/>
            <w:tcBorders>
              <w:top w:val="single" w:sz="4" w:space="0" w:color="auto"/>
              <w:left w:val="nil"/>
              <w:bottom w:val="single" w:sz="4" w:space="0" w:color="auto"/>
              <w:right w:val="single" w:sz="4" w:space="0" w:color="auto"/>
            </w:tcBorders>
            <w:vAlign w:val="center"/>
          </w:tcPr>
          <w:p w14:paraId="42D67B19" w14:textId="5B7DFE06" w:rsidR="00034C42" w:rsidRPr="00104F7D" w:rsidRDefault="00034C42" w:rsidP="00034C42">
            <w:pPr>
              <w:contextualSpacing/>
              <w:jc w:val="center"/>
              <w:rPr>
                <w:color w:val="000000"/>
                <w:sz w:val="18"/>
                <w:szCs w:val="18"/>
                <w:highlight w:val="yellow"/>
              </w:rPr>
            </w:pPr>
            <w:r w:rsidRPr="009F3A4D">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393D4141" w14:textId="557A8570" w:rsidR="00034C42" w:rsidRPr="00104F7D" w:rsidRDefault="00034C42" w:rsidP="00034C42">
            <w:pPr>
              <w:contextualSpacing/>
              <w:jc w:val="center"/>
              <w:rPr>
                <w:color w:val="000000"/>
                <w:sz w:val="18"/>
                <w:szCs w:val="18"/>
                <w:highlight w:val="yellow"/>
              </w:rPr>
            </w:pPr>
            <w:r w:rsidRPr="009F3A4D">
              <w:rPr>
                <w:rFonts w:eastAsia="Arial"/>
                <w:sz w:val="20"/>
                <w:szCs w:val="20"/>
              </w:rPr>
              <w:t>ANO</w:t>
            </w:r>
          </w:p>
        </w:tc>
        <w:tc>
          <w:tcPr>
            <w:tcW w:w="1270" w:type="dxa"/>
            <w:tcBorders>
              <w:top w:val="single" w:sz="4" w:space="0" w:color="auto"/>
              <w:left w:val="nil"/>
              <w:bottom w:val="single" w:sz="4" w:space="0" w:color="auto"/>
              <w:right w:val="single" w:sz="8" w:space="0" w:color="auto"/>
            </w:tcBorders>
            <w:vAlign w:val="center"/>
          </w:tcPr>
          <w:p w14:paraId="7DFD25EA" w14:textId="26ECD85F" w:rsidR="00034C42" w:rsidRPr="00104F7D" w:rsidRDefault="00034C42" w:rsidP="00034C42">
            <w:pPr>
              <w:contextualSpacing/>
              <w:jc w:val="center"/>
              <w:rPr>
                <w:color w:val="000000"/>
                <w:sz w:val="18"/>
                <w:szCs w:val="18"/>
                <w:highlight w:val="yellow"/>
              </w:rPr>
            </w:pPr>
            <w:r w:rsidRPr="009F3A4D">
              <w:rPr>
                <w:rFonts w:eastAsia="Arial"/>
                <w:sz w:val="20"/>
                <w:szCs w:val="20"/>
              </w:rPr>
              <w:t>ANO</w:t>
            </w:r>
          </w:p>
        </w:tc>
      </w:tr>
      <w:tr w:rsidR="00034C42" w:rsidRPr="00104F7D" w14:paraId="5C025D54" w14:textId="77777777" w:rsidTr="00F2276B">
        <w:trPr>
          <w:trHeight w:val="270"/>
        </w:trPr>
        <w:tc>
          <w:tcPr>
            <w:tcW w:w="521" w:type="dxa"/>
            <w:vMerge/>
            <w:tcBorders>
              <w:left w:val="single" w:sz="4" w:space="0" w:color="auto"/>
              <w:bottom w:val="single" w:sz="4" w:space="0" w:color="auto"/>
              <w:right w:val="single" w:sz="4" w:space="0" w:color="auto"/>
            </w:tcBorders>
            <w:vAlign w:val="center"/>
          </w:tcPr>
          <w:p w14:paraId="6AD88487" w14:textId="77777777" w:rsidR="00034C42" w:rsidRPr="00815E64" w:rsidRDefault="00034C42" w:rsidP="00034C42">
            <w:pPr>
              <w:contextualSpacing/>
              <w:jc w:val="center"/>
              <w:rPr>
                <w:rFonts w:cs="Arial"/>
                <w:color w:val="FF0000"/>
                <w:sz w:val="18"/>
                <w:szCs w:val="18"/>
              </w:rPr>
            </w:pPr>
          </w:p>
        </w:tc>
        <w:tc>
          <w:tcPr>
            <w:tcW w:w="1606" w:type="dxa"/>
            <w:tcBorders>
              <w:left w:val="single" w:sz="4" w:space="0" w:color="auto"/>
              <w:right w:val="single" w:sz="4" w:space="0" w:color="auto"/>
            </w:tcBorders>
            <w:vAlign w:val="center"/>
          </w:tcPr>
          <w:p w14:paraId="0F61140D" w14:textId="77777777" w:rsidR="00034C42" w:rsidRPr="00815E64" w:rsidRDefault="00034C42" w:rsidP="00034C42">
            <w:pPr>
              <w:contextualSpacing/>
              <w:rPr>
                <w:rFonts w:cs="Arial"/>
                <w:color w:val="FF0000"/>
                <w:sz w:val="18"/>
                <w:szCs w:val="18"/>
              </w:rPr>
            </w:pPr>
          </w:p>
        </w:tc>
        <w:tc>
          <w:tcPr>
            <w:tcW w:w="2918" w:type="dxa"/>
            <w:tcBorders>
              <w:top w:val="single" w:sz="4" w:space="0" w:color="auto"/>
              <w:left w:val="nil"/>
              <w:bottom w:val="single" w:sz="4" w:space="0" w:color="auto"/>
              <w:right w:val="single" w:sz="4" w:space="0" w:color="auto"/>
            </w:tcBorders>
            <w:noWrap/>
            <w:vAlign w:val="center"/>
          </w:tcPr>
          <w:p w14:paraId="1A4AE482" w14:textId="0BCE2DF1" w:rsidR="00034C42" w:rsidRPr="00104F7D" w:rsidRDefault="00034C42" w:rsidP="00034C42">
            <w:pPr>
              <w:ind w:right="296"/>
              <w:contextualSpacing/>
              <w:rPr>
                <w:color w:val="000000"/>
                <w:sz w:val="18"/>
                <w:szCs w:val="18"/>
                <w:highlight w:val="yellow"/>
              </w:rPr>
            </w:pPr>
            <w:r w:rsidRPr="009F3A4D">
              <w:rPr>
                <w:rFonts w:eastAsia="Arial"/>
                <w:sz w:val="20"/>
                <w:szCs w:val="20"/>
              </w:rPr>
              <w:t>Štěpánov*</w:t>
            </w:r>
          </w:p>
        </w:tc>
        <w:tc>
          <w:tcPr>
            <w:tcW w:w="1241" w:type="dxa"/>
            <w:tcBorders>
              <w:top w:val="single" w:sz="4" w:space="0" w:color="auto"/>
              <w:left w:val="nil"/>
              <w:bottom w:val="single" w:sz="4" w:space="0" w:color="auto"/>
              <w:right w:val="single" w:sz="4" w:space="0" w:color="auto"/>
            </w:tcBorders>
            <w:vAlign w:val="center"/>
          </w:tcPr>
          <w:p w14:paraId="462D0207" w14:textId="498E245A" w:rsidR="00034C42" w:rsidRPr="00104F7D" w:rsidRDefault="00034C42" w:rsidP="00034C42">
            <w:pPr>
              <w:pStyle w:val="Default"/>
              <w:contextualSpacing/>
              <w:jc w:val="right"/>
              <w:rPr>
                <w:sz w:val="18"/>
                <w:szCs w:val="18"/>
                <w:highlight w:val="yellow"/>
              </w:rPr>
            </w:pPr>
            <w:r w:rsidRPr="009F3A4D">
              <w:rPr>
                <w:rFonts w:eastAsia="Arial"/>
                <w:sz w:val="20"/>
                <w:szCs w:val="20"/>
              </w:rPr>
              <w:t>4 600</w:t>
            </w:r>
          </w:p>
        </w:tc>
        <w:tc>
          <w:tcPr>
            <w:tcW w:w="1011" w:type="dxa"/>
            <w:tcBorders>
              <w:top w:val="single" w:sz="4" w:space="0" w:color="auto"/>
              <w:left w:val="nil"/>
              <w:bottom w:val="single" w:sz="4" w:space="0" w:color="auto"/>
              <w:right w:val="single" w:sz="4" w:space="0" w:color="auto"/>
            </w:tcBorders>
            <w:vAlign w:val="center"/>
          </w:tcPr>
          <w:p w14:paraId="47B3A63A" w14:textId="6C1D3EFD" w:rsidR="00034C42" w:rsidRPr="00104F7D" w:rsidRDefault="00034C42" w:rsidP="00034C42">
            <w:pPr>
              <w:contextualSpacing/>
              <w:jc w:val="center"/>
              <w:rPr>
                <w:color w:val="000000"/>
                <w:sz w:val="18"/>
                <w:szCs w:val="18"/>
                <w:highlight w:val="yellow"/>
              </w:rPr>
            </w:pPr>
            <w:r w:rsidRPr="009F3A4D">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51FCD72F" w14:textId="435904B3" w:rsidR="00034C42" w:rsidRPr="00104F7D" w:rsidRDefault="00034C42" w:rsidP="00034C42">
            <w:pPr>
              <w:contextualSpacing/>
              <w:jc w:val="center"/>
              <w:rPr>
                <w:color w:val="000000"/>
                <w:sz w:val="18"/>
                <w:szCs w:val="18"/>
                <w:highlight w:val="yellow"/>
              </w:rPr>
            </w:pPr>
            <w:r w:rsidRPr="009F3A4D">
              <w:rPr>
                <w:rFonts w:eastAsia="Arial"/>
                <w:sz w:val="20"/>
                <w:szCs w:val="20"/>
              </w:rPr>
              <w:t>ANO</w:t>
            </w:r>
          </w:p>
        </w:tc>
        <w:tc>
          <w:tcPr>
            <w:tcW w:w="1270" w:type="dxa"/>
            <w:tcBorders>
              <w:top w:val="single" w:sz="4" w:space="0" w:color="auto"/>
              <w:left w:val="nil"/>
              <w:bottom w:val="single" w:sz="4" w:space="0" w:color="auto"/>
              <w:right w:val="single" w:sz="8" w:space="0" w:color="auto"/>
            </w:tcBorders>
            <w:vAlign w:val="center"/>
          </w:tcPr>
          <w:p w14:paraId="6BD8174A" w14:textId="734ABB8C" w:rsidR="00034C42" w:rsidRPr="00104F7D" w:rsidRDefault="00034C42" w:rsidP="00034C42">
            <w:pPr>
              <w:contextualSpacing/>
              <w:jc w:val="center"/>
              <w:rPr>
                <w:color w:val="000000"/>
                <w:sz w:val="18"/>
                <w:szCs w:val="18"/>
                <w:highlight w:val="yellow"/>
              </w:rPr>
            </w:pPr>
            <w:r w:rsidRPr="009F3A4D">
              <w:rPr>
                <w:rFonts w:eastAsia="Arial"/>
                <w:sz w:val="20"/>
                <w:szCs w:val="20"/>
              </w:rPr>
              <w:t>ANO</w:t>
            </w:r>
          </w:p>
        </w:tc>
      </w:tr>
      <w:tr w:rsidR="00A448F5" w:rsidRPr="00134AB5" w14:paraId="150E11E2" w14:textId="77777777" w:rsidTr="00A448F5">
        <w:trPr>
          <w:trHeight w:val="270"/>
        </w:trPr>
        <w:tc>
          <w:tcPr>
            <w:tcW w:w="521" w:type="dxa"/>
            <w:vMerge w:val="restart"/>
            <w:tcBorders>
              <w:top w:val="single" w:sz="4" w:space="0" w:color="auto"/>
              <w:left w:val="single" w:sz="4" w:space="0" w:color="auto"/>
              <w:right w:val="single" w:sz="4" w:space="0" w:color="auto"/>
            </w:tcBorders>
            <w:textDirection w:val="btLr"/>
            <w:vAlign w:val="center"/>
          </w:tcPr>
          <w:p w14:paraId="524046BB" w14:textId="77777777" w:rsidR="00A448F5" w:rsidRPr="00134AB5" w:rsidRDefault="00A448F5" w:rsidP="00815E64">
            <w:pPr>
              <w:ind w:left="113" w:right="113"/>
              <w:contextualSpacing/>
              <w:jc w:val="center"/>
              <w:rPr>
                <w:rFonts w:cs="Arial"/>
                <w:sz w:val="18"/>
                <w:szCs w:val="18"/>
              </w:rPr>
            </w:pPr>
            <w:r w:rsidRPr="00134AB5">
              <w:rPr>
                <w:rFonts w:cs="Arial"/>
                <w:sz w:val="18"/>
                <w:szCs w:val="18"/>
              </w:rPr>
              <w:t>rekonstruovaná/rozšířená</w:t>
            </w:r>
          </w:p>
        </w:tc>
        <w:tc>
          <w:tcPr>
            <w:tcW w:w="1606" w:type="dxa"/>
            <w:vMerge w:val="restart"/>
            <w:tcBorders>
              <w:top w:val="single" w:sz="4" w:space="0" w:color="auto"/>
              <w:left w:val="single" w:sz="4" w:space="0" w:color="auto"/>
              <w:right w:val="single" w:sz="4" w:space="0" w:color="auto"/>
            </w:tcBorders>
            <w:vAlign w:val="center"/>
          </w:tcPr>
          <w:p w14:paraId="4BEF1A5A" w14:textId="37967161" w:rsidR="00A448F5" w:rsidRPr="00134AB5" w:rsidRDefault="00A448F5" w:rsidP="00A448F5">
            <w:pPr>
              <w:contextualSpacing/>
              <w:jc w:val="center"/>
              <w:rPr>
                <w:rFonts w:cs="Arial"/>
                <w:sz w:val="18"/>
                <w:szCs w:val="18"/>
              </w:rPr>
            </w:pPr>
            <w:r w:rsidRPr="00134AB5">
              <w:rPr>
                <w:rFonts w:cs="Arial"/>
                <w:sz w:val="18"/>
                <w:szCs w:val="18"/>
              </w:rPr>
              <w:t>průmyslová</w:t>
            </w:r>
          </w:p>
        </w:tc>
        <w:tc>
          <w:tcPr>
            <w:tcW w:w="2918" w:type="dxa"/>
            <w:tcBorders>
              <w:top w:val="single" w:sz="4" w:space="0" w:color="auto"/>
              <w:left w:val="nil"/>
              <w:bottom w:val="single" w:sz="4" w:space="0" w:color="auto"/>
              <w:right w:val="single" w:sz="4" w:space="0" w:color="auto"/>
            </w:tcBorders>
            <w:noWrap/>
            <w:vAlign w:val="center"/>
          </w:tcPr>
          <w:p w14:paraId="2ED2CC82" w14:textId="240D91ED" w:rsidR="00A448F5" w:rsidRPr="00134AB5" w:rsidRDefault="00A448F5" w:rsidP="00815E64">
            <w:pPr>
              <w:ind w:right="296"/>
              <w:contextualSpacing/>
              <w:rPr>
                <w:rFonts w:cs="Arial"/>
                <w:sz w:val="18"/>
                <w:szCs w:val="18"/>
              </w:rPr>
            </w:pPr>
            <w:proofErr w:type="spellStart"/>
            <w:r w:rsidRPr="00134AB5">
              <w:rPr>
                <w:rFonts w:eastAsia="Arial"/>
                <w:sz w:val="20"/>
                <w:szCs w:val="20"/>
              </w:rPr>
              <w:t>Contipro</w:t>
            </w:r>
            <w:proofErr w:type="spellEnd"/>
            <w:r w:rsidRPr="00134AB5">
              <w:rPr>
                <w:rFonts w:eastAsia="Arial"/>
                <w:sz w:val="20"/>
                <w:szCs w:val="20"/>
              </w:rPr>
              <w:t xml:space="preserve"> a.s., Dolní Dobrouč</w:t>
            </w:r>
          </w:p>
        </w:tc>
        <w:tc>
          <w:tcPr>
            <w:tcW w:w="1241" w:type="dxa"/>
            <w:tcBorders>
              <w:top w:val="single" w:sz="4" w:space="0" w:color="auto"/>
              <w:left w:val="nil"/>
              <w:bottom w:val="single" w:sz="4" w:space="0" w:color="auto"/>
              <w:right w:val="single" w:sz="4" w:space="0" w:color="auto"/>
            </w:tcBorders>
            <w:vAlign w:val="center"/>
          </w:tcPr>
          <w:p w14:paraId="67FC5A96" w14:textId="28E8C605" w:rsidR="00A448F5" w:rsidRPr="00134AB5" w:rsidRDefault="00A448F5" w:rsidP="00815E64">
            <w:pPr>
              <w:pStyle w:val="Default"/>
              <w:contextualSpacing/>
              <w:jc w:val="right"/>
              <w:rPr>
                <w:color w:val="auto"/>
                <w:sz w:val="18"/>
                <w:szCs w:val="18"/>
              </w:rPr>
            </w:pPr>
            <w:r w:rsidRPr="00134AB5">
              <w:rPr>
                <w:rFonts w:eastAsia="Arial"/>
                <w:sz w:val="20"/>
                <w:szCs w:val="20"/>
              </w:rPr>
              <w:t>42 000</w:t>
            </w:r>
          </w:p>
        </w:tc>
        <w:tc>
          <w:tcPr>
            <w:tcW w:w="1011" w:type="dxa"/>
            <w:tcBorders>
              <w:top w:val="single" w:sz="4" w:space="0" w:color="auto"/>
              <w:left w:val="nil"/>
              <w:bottom w:val="single" w:sz="4" w:space="0" w:color="auto"/>
              <w:right w:val="single" w:sz="4" w:space="0" w:color="auto"/>
            </w:tcBorders>
            <w:vAlign w:val="center"/>
          </w:tcPr>
          <w:p w14:paraId="572C11A5" w14:textId="242327B5" w:rsidR="00A448F5" w:rsidRPr="00134AB5" w:rsidRDefault="00A448F5" w:rsidP="00815E64">
            <w:pPr>
              <w:contextualSpacing/>
              <w:jc w:val="center"/>
              <w:rPr>
                <w:rFonts w:cs="Arial"/>
                <w:sz w:val="18"/>
                <w:szCs w:val="18"/>
              </w:rPr>
            </w:pPr>
            <w:r w:rsidRPr="00134AB5">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50ADC906" w14:textId="537F72D7" w:rsidR="00A448F5" w:rsidRPr="00134AB5" w:rsidRDefault="00A448F5" w:rsidP="00815E64">
            <w:pPr>
              <w:contextualSpacing/>
              <w:jc w:val="center"/>
              <w:rPr>
                <w:rFonts w:cs="Arial"/>
                <w:sz w:val="18"/>
                <w:szCs w:val="18"/>
              </w:rPr>
            </w:pPr>
            <w:r w:rsidRPr="00134AB5">
              <w:rPr>
                <w:rFonts w:eastAsia="Arial"/>
                <w:sz w:val="20"/>
                <w:szCs w:val="20"/>
              </w:rPr>
              <w:t>ANO</w:t>
            </w:r>
          </w:p>
        </w:tc>
        <w:tc>
          <w:tcPr>
            <w:tcW w:w="1270" w:type="dxa"/>
            <w:tcBorders>
              <w:top w:val="single" w:sz="4" w:space="0" w:color="auto"/>
              <w:left w:val="nil"/>
              <w:bottom w:val="single" w:sz="4" w:space="0" w:color="auto"/>
              <w:right w:val="single" w:sz="8" w:space="0" w:color="auto"/>
            </w:tcBorders>
            <w:vAlign w:val="center"/>
          </w:tcPr>
          <w:p w14:paraId="3605BC1A" w14:textId="5EE9493D" w:rsidR="00A448F5" w:rsidRPr="00134AB5" w:rsidRDefault="00A448F5" w:rsidP="00815E64">
            <w:pPr>
              <w:contextualSpacing/>
              <w:jc w:val="center"/>
              <w:rPr>
                <w:rFonts w:cs="Arial"/>
                <w:sz w:val="18"/>
                <w:szCs w:val="18"/>
              </w:rPr>
            </w:pPr>
            <w:r w:rsidRPr="00134AB5">
              <w:rPr>
                <w:rFonts w:eastAsia="Arial"/>
                <w:sz w:val="20"/>
                <w:szCs w:val="20"/>
              </w:rPr>
              <w:t>ANO</w:t>
            </w:r>
          </w:p>
        </w:tc>
      </w:tr>
      <w:tr w:rsidR="00A448F5" w:rsidRPr="00134AB5" w14:paraId="0DCD295D" w14:textId="77777777" w:rsidTr="00E266FB">
        <w:trPr>
          <w:trHeight w:val="270"/>
        </w:trPr>
        <w:tc>
          <w:tcPr>
            <w:tcW w:w="521" w:type="dxa"/>
            <w:vMerge/>
            <w:tcBorders>
              <w:top w:val="single" w:sz="4" w:space="0" w:color="auto"/>
              <w:left w:val="single" w:sz="4" w:space="0" w:color="auto"/>
              <w:right w:val="single" w:sz="4" w:space="0" w:color="auto"/>
            </w:tcBorders>
            <w:textDirection w:val="btLr"/>
            <w:vAlign w:val="center"/>
          </w:tcPr>
          <w:p w14:paraId="2B5FB395" w14:textId="77777777" w:rsidR="00A448F5" w:rsidRPr="00134AB5" w:rsidRDefault="00A448F5" w:rsidP="00815E64">
            <w:pPr>
              <w:ind w:left="113" w:right="113"/>
              <w:contextualSpacing/>
              <w:jc w:val="center"/>
              <w:rPr>
                <w:rFonts w:cs="Arial"/>
                <w:sz w:val="18"/>
                <w:szCs w:val="18"/>
              </w:rPr>
            </w:pPr>
          </w:p>
        </w:tc>
        <w:tc>
          <w:tcPr>
            <w:tcW w:w="1606" w:type="dxa"/>
            <w:vMerge/>
            <w:tcBorders>
              <w:left w:val="single" w:sz="4" w:space="0" w:color="auto"/>
              <w:bottom w:val="single" w:sz="4" w:space="0" w:color="auto"/>
              <w:right w:val="single" w:sz="4" w:space="0" w:color="auto"/>
            </w:tcBorders>
          </w:tcPr>
          <w:p w14:paraId="11791367" w14:textId="77777777" w:rsidR="00A448F5" w:rsidRPr="00134AB5" w:rsidRDefault="00A448F5" w:rsidP="00815E64">
            <w:pPr>
              <w:contextualSpacing/>
              <w:rPr>
                <w:rFonts w:cs="Arial"/>
                <w:sz w:val="18"/>
                <w:szCs w:val="18"/>
              </w:rPr>
            </w:pPr>
          </w:p>
        </w:tc>
        <w:tc>
          <w:tcPr>
            <w:tcW w:w="2918" w:type="dxa"/>
            <w:tcBorders>
              <w:top w:val="single" w:sz="4" w:space="0" w:color="auto"/>
              <w:left w:val="nil"/>
              <w:bottom w:val="single" w:sz="4" w:space="0" w:color="auto"/>
              <w:right w:val="single" w:sz="4" w:space="0" w:color="auto"/>
            </w:tcBorders>
            <w:noWrap/>
            <w:vAlign w:val="center"/>
          </w:tcPr>
          <w:p w14:paraId="6CEA19B3" w14:textId="36ABA3D2" w:rsidR="00A448F5" w:rsidRPr="00134AB5" w:rsidRDefault="00A448F5" w:rsidP="00815E64">
            <w:pPr>
              <w:ind w:right="296"/>
              <w:contextualSpacing/>
              <w:rPr>
                <w:rFonts w:cs="Arial"/>
                <w:sz w:val="18"/>
                <w:szCs w:val="18"/>
              </w:rPr>
            </w:pPr>
            <w:proofErr w:type="spellStart"/>
            <w:r w:rsidRPr="00134AB5">
              <w:rPr>
                <w:rFonts w:eastAsia="Arial"/>
                <w:sz w:val="20"/>
                <w:szCs w:val="20"/>
              </w:rPr>
              <w:t>Danzer</w:t>
            </w:r>
            <w:proofErr w:type="spellEnd"/>
            <w:r w:rsidRPr="00134AB5">
              <w:rPr>
                <w:rFonts w:eastAsia="Arial"/>
                <w:sz w:val="20"/>
                <w:szCs w:val="20"/>
              </w:rPr>
              <w:t xml:space="preserve"> Bohemia-Dýhárna s.r.o., Horní Počaply</w:t>
            </w:r>
          </w:p>
        </w:tc>
        <w:tc>
          <w:tcPr>
            <w:tcW w:w="1241" w:type="dxa"/>
            <w:tcBorders>
              <w:top w:val="single" w:sz="4" w:space="0" w:color="auto"/>
              <w:left w:val="nil"/>
              <w:bottom w:val="single" w:sz="4" w:space="0" w:color="auto"/>
              <w:right w:val="single" w:sz="4" w:space="0" w:color="auto"/>
            </w:tcBorders>
            <w:vAlign w:val="center"/>
          </w:tcPr>
          <w:p w14:paraId="6BE8EC93" w14:textId="71B87006" w:rsidR="00A448F5" w:rsidRPr="00134AB5" w:rsidRDefault="00A448F5" w:rsidP="00815E64">
            <w:pPr>
              <w:pStyle w:val="Default"/>
              <w:contextualSpacing/>
              <w:jc w:val="right"/>
              <w:rPr>
                <w:sz w:val="20"/>
                <w:szCs w:val="20"/>
              </w:rPr>
            </w:pPr>
            <w:r w:rsidRPr="00134AB5">
              <w:rPr>
                <w:rFonts w:eastAsia="Arial"/>
                <w:sz w:val="20"/>
                <w:szCs w:val="20"/>
              </w:rPr>
              <w:t>5 267</w:t>
            </w:r>
          </w:p>
        </w:tc>
        <w:tc>
          <w:tcPr>
            <w:tcW w:w="1011" w:type="dxa"/>
            <w:tcBorders>
              <w:top w:val="single" w:sz="4" w:space="0" w:color="auto"/>
              <w:left w:val="nil"/>
              <w:bottom w:val="single" w:sz="4" w:space="0" w:color="auto"/>
              <w:right w:val="single" w:sz="4" w:space="0" w:color="auto"/>
            </w:tcBorders>
            <w:vAlign w:val="center"/>
          </w:tcPr>
          <w:p w14:paraId="61C8A9AD" w14:textId="4BAE93FC" w:rsidR="00A448F5" w:rsidRPr="00134AB5" w:rsidRDefault="00A448F5" w:rsidP="00815E64">
            <w:pPr>
              <w:contextualSpacing/>
              <w:jc w:val="center"/>
              <w:rPr>
                <w:color w:val="000000"/>
                <w:sz w:val="20"/>
                <w:szCs w:val="20"/>
              </w:rPr>
            </w:pPr>
            <w:r w:rsidRPr="00134AB5">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6A224FCD" w14:textId="0370037E" w:rsidR="00A448F5" w:rsidRPr="00134AB5" w:rsidRDefault="00A448F5" w:rsidP="00815E64">
            <w:pPr>
              <w:contextualSpacing/>
              <w:jc w:val="center"/>
              <w:rPr>
                <w:color w:val="000000"/>
                <w:sz w:val="20"/>
                <w:szCs w:val="20"/>
              </w:rPr>
            </w:pPr>
            <w:r w:rsidRPr="00134AB5">
              <w:rPr>
                <w:rFonts w:eastAsia="Arial"/>
                <w:sz w:val="20"/>
                <w:szCs w:val="20"/>
              </w:rPr>
              <w:t>ANO</w:t>
            </w:r>
          </w:p>
        </w:tc>
        <w:tc>
          <w:tcPr>
            <w:tcW w:w="1270" w:type="dxa"/>
            <w:tcBorders>
              <w:top w:val="single" w:sz="4" w:space="0" w:color="auto"/>
              <w:left w:val="nil"/>
              <w:bottom w:val="single" w:sz="4" w:space="0" w:color="auto"/>
              <w:right w:val="single" w:sz="8" w:space="0" w:color="auto"/>
            </w:tcBorders>
            <w:vAlign w:val="center"/>
          </w:tcPr>
          <w:p w14:paraId="415C5246" w14:textId="7B429D2F" w:rsidR="00A448F5" w:rsidRPr="00134AB5" w:rsidRDefault="00A448F5" w:rsidP="00815E64">
            <w:pPr>
              <w:contextualSpacing/>
              <w:jc w:val="center"/>
              <w:rPr>
                <w:color w:val="000000"/>
                <w:sz w:val="20"/>
                <w:szCs w:val="20"/>
              </w:rPr>
            </w:pPr>
            <w:r w:rsidRPr="00134AB5">
              <w:rPr>
                <w:rFonts w:eastAsia="Arial"/>
                <w:sz w:val="20"/>
                <w:szCs w:val="20"/>
              </w:rPr>
              <w:t>ANO</w:t>
            </w:r>
          </w:p>
        </w:tc>
      </w:tr>
      <w:tr w:rsidR="001059DC" w:rsidRPr="00134AB5" w14:paraId="48C34739" w14:textId="77777777" w:rsidTr="00726000">
        <w:trPr>
          <w:trHeight w:val="270"/>
        </w:trPr>
        <w:tc>
          <w:tcPr>
            <w:tcW w:w="521" w:type="dxa"/>
            <w:vMerge/>
            <w:tcBorders>
              <w:left w:val="single" w:sz="4" w:space="0" w:color="auto"/>
              <w:right w:val="single" w:sz="4" w:space="0" w:color="auto"/>
            </w:tcBorders>
            <w:textDirection w:val="btLr"/>
            <w:vAlign w:val="center"/>
          </w:tcPr>
          <w:p w14:paraId="63D1A680" w14:textId="77777777" w:rsidR="001059DC" w:rsidRPr="00134AB5" w:rsidRDefault="001059DC" w:rsidP="001059DC">
            <w:pPr>
              <w:ind w:left="113" w:right="113"/>
              <w:contextualSpacing/>
              <w:jc w:val="center"/>
              <w:rPr>
                <w:rFonts w:cs="Arial"/>
                <w:sz w:val="18"/>
                <w:szCs w:val="18"/>
              </w:rPr>
            </w:pPr>
          </w:p>
        </w:tc>
        <w:tc>
          <w:tcPr>
            <w:tcW w:w="1606" w:type="dxa"/>
            <w:vMerge w:val="restart"/>
            <w:tcBorders>
              <w:top w:val="single" w:sz="4" w:space="0" w:color="auto"/>
              <w:left w:val="single" w:sz="4" w:space="0" w:color="auto"/>
              <w:right w:val="single" w:sz="4" w:space="0" w:color="auto"/>
            </w:tcBorders>
          </w:tcPr>
          <w:p w14:paraId="756CAFCA" w14:textId="77777777" w:rsidR="001059DC" w:rsidRPr="00134AB5" w:rsidRDefault="001059DC" w:rsidP="001059DC">
            <w:pPr>
              <w:contextualSpacing/>
              <w:rPr>
                <w:rFonts w:cs="Arial"/>
                <w:sz w:val="18"/>
                <w:szCs w:val="18"/>
              </w:rPr>
            </w:pPr>
          </w:p>
          <w:p w14:paraId="67625BA6" w14:textId="77777777" w:rsidR="001059DC" w:rsidRPr="00134AB5" w:rsidRDefault="001059DC" w:rsidP="001059DC">
            <w:pPr>
              <w:contextualSpacing/>
              <w:rPr>
                <w:rFonts w:cs="Arial"/>
                <w:sz w:val="18"/>
                <w:szCs w:val="18"/>
              </w:rPr>
            </w:pPr>
          </w:p>
          <w:p w14:paraId="40AE77E6" w14:textId="77777777" w:rsidR="001059DC" w:rsidRPr="00134AB5" w:rsidRDefault="001059DC" w:rsidP="001059DC">
            <w:pPr>
              <w:contextualSpacing/>
              <w:rPr>
                <w:rFonts w:cs="Arial"/>
                <w:sz w:val="18"/>
                <w:szCs w:val="18"/>
              </w:rPr>
            </w:pPr>
          </w:p>
          <w:p w14:paraId="5E4BD157" w14:textId="77777777" w:rsidR="001059DC" w:rsidRPr="00134AB5" w:rsidRDefault="001059DC" w:rsidP="001059DC">
            <w:pPr>
              <w:contextualSpacing/>
              <w:rPr>
                <w:rFonts w:cs="Arial"/>
                <w:sz w:val="18"/>
                <w:szCs w:val="18"/>
              </w:rPr>
            </w:pPr>
          </w:p>
          <w:p w14:paraId="3F3C0C41" w14:textId="77777777" w:rsidR="001059DC" w:rsidRPr="00134AB5" w:rsidRDefault="001059DC" w:rsidP="001059DC">
            <w:pPr>
              <w:contextualSpacing/>
              <w:rPr>
                <w:rFonts w:cs="Arial"/>
                <w:sz w:val="18"/>
                <w:szCs w:val="18"/>
              </w:rPr>
            </w:pPr>
          </w:p>
          <w:p w14:paraId="3B42E060" w14:textId="77777777" w:rsidR="001059DC" w:rsidRPr="00134AB5" w:rsidRDefault="001059DC" w:rsidP="001059DC">
            <w:pPr>
              <w:contextualSpacing/>
              <w:rPr>
                <w:rFonts w:cs="Arial"/>
                <w:sz w:val="18"/>
                <w:szCs w:val="18"/>
              </w:rPr>
            </w:pPr>
          </w:p>
          <w:p w14:paraId="03980406" w14:textId="77777777" w:rsidR="001059DC" w:rsidRPr="00134AB5" w:rsidRDefault="001059DC" w:rsidP="001059DC">
            <w:pPr>
              <w:contextualSpacing/>
              <w:rPr>
                <w:rFonts w:cs="Arial"/>
                <w:sz w:val="18"/>
                <w:szCs w:val="18"/>
              </w:rPr>
            </w:pPr>
          </w:p>
          <w:p w14:paraId="7A139A9E" w14:textId="77777777" w:rsidR="001059DC" w:rsidRPr="00134AB5" w:rsidRDefault="001059DC" w:rsidP="001059DC">
            <w:pPr>
              <w:contextualSpacing/>
              <w:rPr>
                <w:rFonts w:cs="Arial"/>
                <w:sz w:val="18"/>
                <w:szCs w:val="18"/>
              </w:rPr>
            </w:pPr>
          </w:p>
          <w:p w14:paraId="09A53034" w14:textId="77777777" w:rsidR="001059DC" w:rsidRPr="00134AB5" w:rsidRDefault="001059DC" w:rsidP="001059DC">
            <w:pPr>
              <w:contextualSpacing/>
              <w:rPr>
                <w:rFonts w:cs="Arial"/>
                <w:sz w:val="18"/>
                <w:szCs w:val="18"/>
              </w:rPr>
            </w:pPr>
          </w:p>
          <w:p w14:paraId="52244C2D" w14:textId="77777777" w:rsidR="001059DC" w:rsidRPr="00134AB5" w:rsidRDefault="001059DC" w:rsidP="001059DC">
            <w:pPr>
              <w:contextualSpacing/>
              <w:rPr>
                <w:rFonts w:cs="Arial"/>
                <w:sz w:val="18"/>
                <w:szCs w:val="18"/>
              </w:rPr>
            </w:pPr>
          </w:p>
          <w:p w14:paraId="57DC8CEE" w14:textId="77777777" w:rsidR="001059DC" w:rsidRPr="00134AB5" w:rsidRDefault="001059DC" w:rsidP="001059DC">
            <w:pPr>
              <w:contextualSpacing/>
              <w:rPr>
                <w:rFonts w:cs="Arial"/>
                <w:sz w:val="18"/>
                <w:szCs w:val="18"/>
              </w:rPr>
            </w:pPr>
          </w:p>
          <w:p w14:paraId="71D0A769" w14:textId="77777777" w:rsidR="001059DC" w:rsidRPr="00134AB5" w:rsidRDefault="001059DC" w:rsidP="001059DC">
            <w:pPr>
              <w:contextualSpacing/>
              <w:rPr>
                <w:rFonts w:cs="Arial"/>
                <w:sz w:val="18"/>
                <w:szCs w:val="18"/>
              </w:rPr>
            </w:pPr>
          </w:p>
          <w:p w14:paraId="3834C2CE" w14:textId="77777777" w:rsidR="001059DC" w:rsidRPr="00134AB5" w:rsidRDefault="001059DC" w:rsidP="001059DC">
            <w:pPr>
              <w:contextualSpacing/>
              <w:rPr>
                <w:rFonts w:cs="Arial"/>
                <w:sz w:val="18"/>
                <w:szCs w:val="18"/>
              </w:rPr>
            </w:pPr>
          </w:p>
          <w:p w14:paraId="46449375" w14:textId="77777777" w:rsidR="001059DC" w:rsidRPr="00134AB5" w:rsidRDefault="001059DC" w:rsidP="001059DC">
            <w:pPr>
              <w:contextualSpacing/>
              <w:rPr>
                <w:rFonts w:cs="Arial"/>
                <w:sz w:val="18"/>
                <w:szCs w:val="18"/>
              </w:rPr>
            </w:pPr>
          </w:p>
          <w:p w14:paraId="6F0E5DA8" w14:textId="77777777" w:rsidR="001059DC" w:rsidRPr="00134AB5" w:rsidRDefault="001059DC" w:rsidP="001059DC">
            <w:pPr>
              <w:contextualSpacing/>
              <w:rPr>
                <w:rFonts w:cs="Arial"/>
                <w:sz w:val="18"/>
                <w:szCs w:val="18"/>
              </w:rPr>
            </w:pPr>
          </w:p>
          <w:p w14:paraId="5333264D" w14:textId="77777777" w:rsidR="001059DC" w:rsidRPr="00134AB5" w:rsidRDefault="001059DC" w:rsidP="001059DC">
            <w:pPr>
              <w:contextualSpacing/>
              <w:rPr>
                <w:rFonts w:cs="Arial"/>
                <w:sz w:val="18"/>
                <w:szCs w:val="18"/>
              </w:rPr>
            </w:pPr>
          </w:p>
          <w:p w14:paraId="7CED5AC2" w14:textId="152BFA6F" w:rsidR="001059DC" w:rsidRPr="00134AB5" w:rsidRDefault="001059DC" w:rsidP="001059DC">
            <w:pPr>
              <w:contextualSpacing/>
              <w:rPr>
                <w:rFonts w:cs="Arial"/>
                <w:sz w:val="18"/>
                <w:szCs w:val="18"/>
              </w:rPr>
            </w:pPr>
            <w:r w:rsidRPr="00134AB5">
              <w:rPr>
                <w:rFonts w:cs="Arial"/>
                <w:sz w:val="18"/>
                <w:szCs w:val="18"/>
              </w:rPr>
              <w:t>komunální</w:t>
            </w:r>
          </w:p>
        </w:tc>
        <w:tc>
          <w:tcPr>
            <w:tcW w:w="2918" w:type="dxa"/>
            <w:tcBorders>
              <w:top w:val="single" w:sz="4" w:space="0" w:color="auto"/>
              <w:left w:val="nil"/>
              <w:bottom w:val="single" w:sz="4" w:space="0" w:color="auto"/>
              <w:right w:val="single" w:sz="4" w:space="0" w:color="auto"/>
            </w:tcBorders>
            <w:noWrap/>
            <w:vAlign w:val="center"/>
          </w:tcPr>
          <w:p w14:paraId="38BFB1A6" w14:textId="1D0E04B9" w:rsidR="001059DC" w:rsidRPr="00134AB5" w:rsidRDefault="001059DC" w:rsidP="001059DC">
            <w:pPr>
              <w:ind w:right="296"/>
              <w:contextualSpacing/>
              <w:rPr>
                <w:sz w:val="18"/>
                <w:szCs w:val="18"/>
              </w:rPr>
            </w:pPr>
            <w:r w:rsidRPr="00134AB5">
              <w:rPr>
                <w:rFonts w:eastAsia="Arial"/>
                <w:sz w:val="20"/>
                <w:szCs w:val="20"/>
              </w:rPr>
              <w:t>Příbram</w:t>
            </w:r>
          </w:p>
        </w:tc>
        <w:tc>
          <w:tcPr>
            <w:tcW w:w="1241" w:type="dxa"/>
            <w:tcBorders>
              <w:top w:val="single" w:sz="4" w:space="0" w:color="auto"/>
              <w:left w:val="nil"/>
              <w:bottom w:val="single" w:sz="4" w:space="0" w:color="auto"/>
              <w:right w:val="single" w:sz="4" w:space="0" w:color="auto"/>
            </w:tcBorders>
            <w:vAlign w:val="center"/>
          </w:tcPr>
          <w:p w14:paraId="2D0EF9CF" w14:textId="1E2107C2" w:rsidR="001059DC" w:rsidRPr="00134AB5" w:rsidRDefault="001059DC" w:rsidP="001059DC">
            <w:pPr>
              <w:pStyle w:val="Default"/>
              <w:contextualSpacing/>
              <w:jc w:val="right"/>
              <w:rPr>
                <w:color w:val="auto"/>
                <w:sz w:val="18"/>
                <w:szCs w:val="18"/>
              </w:rPr>
            </w:pPr>
            <w:r w:rsidRPr="00134AB5">
              <w:rPr>
                <w:rFonts w:eastAsia="Arial"/>
                <w:sz w:val="20"/>
                <w:szCs w:val="20"/>
              </w:rPr>
              <w:t>50 000</w:t>
            </w:r>
          </w:p>
        </w:tc>
        <w:tc>
          <w:tcPr>
            <w:tcW w:w="1011" w:type="dxa"/>
            <w:tcBorders>
              <w:top w:val="single" w:sz="4" w:space="0" w:color="auto"/>
              <w:left w:val="nil"/>
              <w:bottom w:val="single" w:sz="4" w:space="0" w:color="auto"/>
              <w:right w:val="single" w:sz="4" w:space="0" w:color="auto"/>
            </w:tcBorders>
            <w:vAlign w:val="center"/>
          </w:tcPr>
          <w:p w14:paraId="32923F22" w14:textId="7036CC7D" w:rsidR="001059DC" w:rsidRPr="00134AB5" w:rsidRDefault="001059DC" w:rsidP="001059DC">
            <w:pPr>
              <w:contextualSpacing/>
              <w:jc w:val="center"/>
              <w:rPr>
                <w:sz w:val="18"/>
                <w:szCs w:val="18"/>
              </w:rPr>
            </w:pPr>
            <w:r w:rsidRPr="00134AB5">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2F8CD963" w14:textId="6FF5696F" w:rsidR="001059DC" w:rsidRPr="00134AB5" w:rsidRDefault="001059DC" w:rsidP="001059DC">
            <w:pPr>
              <w:contextualSpacing/>
              <w:jc w:val="center"/>
              <w:rPr>
                <w:sz w:val="18"/>
                <w:szCs w:val="18"/>
              </w:rPr>
            </w:pPr>
            <w:r w:rsidRPr="00134AB5">
              <w:rPr>
                <w:rFonts w:eastAsia="Arial"/>
                <w:sz w:val="20"/>
                <w:szCs w:val="20"/>
              </w:rPr>
              <w:t>ANO</w:t>
            </w:r>
          </w:p>
        </w:tc>
        <w:tc>
          <w:tcPr>
            <w:tcW w:w="1270" w:type="dxa"/>
            <w:tcBorders>
              <w:top w:val="single" w:sz="4" w:space="0" w:color="auto"/>
              <w:left w:val="nil"/>
              <w:bottom w:val="single" w:sz="4" w:space="0" w:color="auto"/>
              <w:right w:val="single" w:sz="4" w:space="0" w:color="auto"/>
            </w:tcBorders>
            <w:vAlign w:val="center"/>
          </w:tcPr>
          <w:p w14:paraId="497C833B" w14:textId="45B59F51" w:rsidR="001059DC" w:rsidRPr="00134AB5" w:rsidRDefault="001059DC" w:rsidP="001059DC">
            <w:pPr>
              <w:contextualSpacing/>
              <w:jc w:val="center"/>
              <w:rPr>
                <w:sz w:val="18"/>
                <w:szCs w:val="18"/>
              </w:rPr>
            </w:pPr>
            <w:r w:rsidRPr="00134AB5">
              <w:rPr>
                <w:rFonts w:eastAsia="Arial"/>
                <w:sz w:val="20"/>
                <w:szCs w:val="20"/>
              </w:rPr>
              <w:t>ANO</w:t>
            </w:r>
          </w:p>
        </w:tc>
      </w:tr>
      <w:tr w:rsidR="001059DC" w:rsidRPr="00134AB5" w14:paraId="4905E526" w14:textId="77777777" w:rsidTr="00726000">
        <w:trPr>
          <w:trHeight w:val="270"/>
        </w:trPr>
        <w:tc>
          <w:tcPr>
            <w:tcW w:w="521" w:type="dxa"/>
            <w:vMerge/>
            <w:tcBorders>
              <w:left w:val="single" w:sz="4" w:space="0" w:color="auto"/>
              <w:right w:val="single" w:sz="4" w:space="0" w:color="auto"/>
            </w:tcBorders>
            <w:textDirection w:val="btLr"/>
            <w:vAlign w:val="center"/>
          </w:tcPr>
          <w:p w14:paraId="2CAA7160" w14:textId="77777777" w:rsidR="001059DC" w:rsidRPr="00134AB5" w:rsidRDefault="001059DC" w:rsidP="001059DC">
            <w:pPr>
              <w:ind w:left="113" w:right="113"/>
              <w:contextualSpacing/>
              <w:jc w:val="center"/>
              <w:rPr>
                <w:rFonts w:cs="Arial"/>
                <w:sz w:val="18"/>
                <w:szCs w:val="18"/>
              </w:rPr>
            </w:pPr>
          </w:p>
        </w:tc>
        <w:tc>
          <w:tcPr>
            <w:tcW w:w="1606" w:type="dxa"/>
            <w:vMerge/>
            <w:tcBorders>
              <w:left w:val="single" w:sz="4" w:space="0" w:color="auto"/>
              <w:right w:val="single" w:sz="4" w:space="0" w:color="auto"/>
            </w:tcBorders>
          </w:tcPr>
          <w:p w14:paraId="21CC27C6" w14:textId="7F7FE58C" w:rsidR="001059DC" w:rsidRPr="00134AB5" w:rsidRDefault="001059DC" w:rsidP="001059DC">
            <w:pPr>
              <w:contextualSpacing/>
              <w:rPr>
                <w:rFonts w:cs="Arial"/>
                <w:sz w:val="18"/>
                <w:szCs w:val="18"/>
              </w:rPr>
            </w:pPr>
          </w:p>
        </w:tc>
        <w:tc>
          <w:tcPr>
            <w:tcW w:w="2918" w:type="dxa"/>
            <w:tcBorders>
              <w:top w:val="single" w:sz="4" w:space="0" w:color="auto"/>
              <w:left w:val="nil"/>
              <w:bottom w:val="single" w:sz="4" w:space="0" w:color="auto"/>
              <w:right w:val="single" w:sz="4" w:space="0" w:color="auto"/>
            </w:tcBorders>
            <w:noWrap/>
            <w:vAlign w:val="center"/>
          </w:tcPr>
          <w:p w14:paraId="301E9DBD" w14:textId="1D455067" w:rsidR="001059DC" w:rsidRPr="00134AB5" w:rsidRDefault="001059DC" w:rsidP="001059DC">
            <w:pPr>
              <w:ind w:right="296"/>
              <w:contextualSpacing/>
              <w:rPr>
                <w:sz w:val="18"/>
                <w:szCs w:val="18"/>
              </w:rPr>
            </w:pPr>
            <w:r w:rsidRPr="00134AB5">
              <w:rPr>
                <w:rFonts w:eastAsia="Arial"/>
                <w:sz w:val="20"/>
                <w:szCs w:val="20"/>
              </w:rPr>
              <w:t>Losiná</w:t>
            </w:r>
          </w:p>
        </w:tc>
        <w:tc>
          <w:tcPr>
            <w:tcW w:w="1241" w:type="dxa"/>
            <w:tcBorders>
              <w:top w:val="single" w:sz="4" w:space="0" w:color="auto"/>
              <w:left w:val="nil"/>
              <w:bottom w:val="single" w:sz="4" w:space="0" w:color="auto"/>
              <w:right w:val="single" w:sz="4" w:space="0" w:color="auto"/>
            </w:tcBorders>
            <w:vAlign w:val="center"/>
          </w:tcPr>
          <w:p w14:paraId="21962817" w14:textId="7942A91C" w:rsidR="001059DC" w:rsidRPr="00134AB5" w:rsidRDefault="001059DC" w:rsidP="001059DC">
            <w:pPr>
              <w:pStyle w:val="Default"/>
              <w:contextualSpacing/>
              <w:jc w:val="right"/>
              <w:rPr>
                <w:color w:val="auto"/>
                <w:sz w:val="18"/>
                <w:szCs w:val="18"/>
              </w:rPr>
            </w:pPr>
            <w:r w:rsidRPr="00134AB5">
              <w:rPr>
                <w:rFonts w:eastAsia="Arial"/>
                <w:sz w:val="20"/>
                <w:szCs w:val="20"/>
              </w:rPr>
              <w:t>2 100</w:t>
            </w:r>
          </w:p>
        </w:tc>
        <w:tc>
          <w:tcPr>
            <w:tcW w:w="1011" w:type="dxa"/>
            <w:tcBorders>
              <w:top w:val="single" w:sz="4" w:space="0" w:color="auto"/>
              <w:left w:val="nil"/>
              <w:bottom w:val="single" w:sz="4" w:space="0" w:color="auto"/>
              <w:right w:val="single" w:sz="4" w:space="0" w:color="auto"/>
            </w:tcBorders>
            <w:vAlign w:val="center"/>
          </w:tcPr>
          <w:p w14:paraId="188CB853" w14:textId="0027381B" w:rsidR="001059DC" w:rsidRPr="00134AB5" w:rsidRDefault="001059DC" w:rsidP="001059DC">
            <w:pPr>
              <w:contextualSpacing/>
              <w:jc w:val="center"/>
              <w:rPr>
                <w:sz w:val="18"/>
                <w:szCs w:val="18"/>
              </w:rPr>
            </w:pPr>
            <w:r w:rsidRPr="00134AB5">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698803F1" w14:textId="4995A714" w:rsidR="001059DC" w:rsidRPr="00134AB5" w:rsidRDefault="001059DC" w:rsidP="001059DC">
            <w:pPr>
              <w:contextualSpacing/>
              <w:jc w:val="center"/>
              <w:rPr>
                <w:sz w:val="18"/>
                <w:szCs w:val="18"/>
              </w:rPr>
            </w:pPr>
            <w:r w:rsidRPr="00134AB5">
              <w:rPr>
                <w:rFonts w:eastAsia="Arial"/>
                <w:sz w:val="20"/>
                <w:szCs w:val="20"/>
              </w:rPr>
              <w:t>ANO</w:t>
            </w:r>
          </w:p>
        </w:tc>
        <w:tc>
          <w:tcPr>
            <w:tcW w:w="1270" w:type="dxa"/>
            <w:tcBorders>
              <w:top w:val="single" w:sz="4" w:space="0" w:color="auto"/>
              <w:left w:val="nil"/>
              <w:bottom w:val="single" w:sz="4" w:space="0" w:color="auto"/>
              <w:right w:val="single" w:sz="4" w:space="0" w:color="auto"/>
            </w:tcBorders>
            <w:vAlign w:val="center"/>
          </w:tcPr>
          <w:p w14:paraId="220C32CF" w14:textId="25CE11BE" w:rsidR="001059DC" w:rsidRPr="00134AB5" w:rsidRDefault="001059DC" w:rsidP="001059DC">
            <w:pPr>
              <w:contextualSpacing/>
              <w:jc w:val="center"/>
              <w:rPr>
                <w:sz w:val="18"/>
                <w:szCs w:val="18"/>
              </w:rPr>
            </w:pPr>
            <w:r w:rsidRPr="00134AB5">
              <w:rPr>
                <w:rFonts w:eastAsia="Arial"/>
                <w:sz w:val="20"/>
                <w:szCs w:val="20"/>
              </w:rPr>
              <w:t>ANO</w:t>
            </w:r>
          </w:p>
        </w:tc>
      </w:tr>
      <w:tr w:rsidR="001059DC" w:rsidRPr="00134AB5" w14:paraId="6ECDF815" w14:textId="77777777" w:rsidTr="00726000">
        <w:trPr>
          <w:trHeight w:val="270"/>
        </w:trPr>
        <w:tc>
          <w:tcPr>
            <w:tcW w:w="521" w:type="dxa"/>
            <w:vMerge/>
            <w:tcBorders>
              <w:left w:val="single" w:sz="4" w:space="0" w:color="auto"/>
              <w:right w:val="single" w:sz="4" w:space="0" w:color="auto"/>
            </w:tcBorders>
            <w:textDirection w:val="btLr"/>
            <w:vAlign w:val="center"/>
          </w:tcPr>
          <w:p w14:paraId="2A0130D6" w14:textId="77777777" w:rsidR="001059DC" w:rsidRPr="00134AB5" w:rsidRDefault="001059DC" w:rsidP="001059DC">
            <w:pPr>
              <w:ind w:left="113" w:right="113"/>
              <w:contextualSpacing/>
              <w:jc w:val="center"/>
              <w:rPr>
                <w:rFonts w:cs="Arial"/>
                <w:sz w:val="18"/>
                <w:szCs w:val="18"/>
              </w:rPr>
            </w:pPr>
          </w:p>
        </w:tc>
        <w:tc>
          <w:tcPr>
            <w:tcW w:w="1606" w:type="dxa"/>
            <w:vMerge/>
            <w:tcBorders>
              <w:left w:val="single" w:sz="4" w:space="0" w:color="auto"/>
              <w:right w:val="single" w:sz="4" w:space="0" w:color="auto"/>
            </w:tcBorders>
          </w:tcPr>
          <w:p w14:paraId="0ABB531E" w14:textId="12E35CA2" w:rsidR="001059DC" w:rsidRPr="00134AB5" w:rsidRDefault="001059DC" w:rsidP="001059DC">
            <w:pPr>
              <w:contextualSpacing/>
              <w:rPr>
                <w:rFonts w:cs="Arial"/>
                <w:sz w:val="18"/>
                <w:szCs w:val="18"/>
              </w:rPr>
            </w:pPr>
          </w:p>
        </w:tc>
        <w:tc>
          <w:tcPr>
            <w:tcW w:w="2918" w:type="dxa"/>
            <w:tcBorders>
              <w:top w:val="single" w:sz="4" w:space="0" w:color="auto"/>
              <w:left w:val="nil"/>
              <w:bottom w:val="single" w:sz="4" w:space="0" w:color="auto"/>
              <w:right w:val="single" w:sz="4" w:space="0" w:color="auto"/>
            </w:tcBorders>
            <w:noWrap/>
            <w:vAlign w:val="center"/>
          </w:tcPr>
          <w:p w14:paraId="4F70636A" w14:textId="172047BA" w:rsidR="001059DC" w:rsidRPr="00134AB5" w:rsidRDefault="001059DC" w:rsidP="001059DC">
            <w:pPr>
              <w:ind w:right="296"/>
              <w:contextualSpacing/>
              <w:rPr>
                <w:sz w:val="18"/>
                <w:szCs w:val="18"/>
              </w:rPr>
            </w:pPr>
            <w:r w:rsidRPr="00134AB5">
              <w:rPr>
                <w:rFonts w:eastAsia="Arial"/>
                <w:sz w:val="20"/>
                <w:szCs w:val="20"/>
              </w:rPr>
              <w:t>Vysoký Újezd</w:t>
            </w:r>
          </w:p>
        </w:tc>
        <w:tc>
          <w:tcPr>
            <w:tcW w:w="1241" w:type="dxa"/>
            <w:tcBorders>
              <w:top w:val="single" w:sz="4" w:space="0" w:color="auto"/>
              <w:left w:val="nil"/>
              <w:bottom w:val="single" w:sz="4" w:space="0" w:color="auto"/>
              <w:right w:val="single" w:sz="4" w:space="0" w:color="auto"/>
            </w:tcBorders>
            <w:vAlign w:val="center"/>
          </w:tcPr>
          <w:p w14:paraId="25A2B838" w14:textId="73584FED" w:rsidR="001059DC" w:rsidRPr="00134AB5" w:rsidRDefault="001059DC" w:rsidP="001059DC">
            <w:pPr>
              <w:pStyle w:val="Default"/>
              <w:contextualSpacing/>
              <w:jc w:val="right"/>
              <w:rPr>
                <w:color w:val="auto"/>
                <w:sz w:val="18"/>
                <w:szCs w:val="18"/>
              </w:rPr>
            </w:pPr>
            <w:r w:rsidRPr="00134AB5">
              <w:rPr>
                <w:rFonts w:eastAsia="Arial"/>
                <w:sz w:val="20"/>
                <w:szCs w:val="20"/>
              </w:rPr>
              <w:t>3 500</w:t>
            </w:r>
          </w:p>
        </w:tc>
        <w:tc>
          <w:tcPr>
            <w:tcW w:w="1011" w:type="dxa"/>
            <w:tcBorders>
              <w:top w:val="single" w:sz="4" w:space="0" w:color="auto"/>
              <w:left w:val="nil"/>
              <w:bottom w:val="single" w:sz="4" w:space="0" w:color="auto"/>
              <w:right w:val="single" w:sz="4" w:space="0" w:color="auto"/>
            </w:tcBorders>
            <w:vAlign w:val="center"/>
          </w:tcPr>
          <w:p w14:paraId="6E820698" w14:textId="623B9F41" w:rsidR="001059DC" w:rsidRPr="00134AB5" w:rsidRDefault="001059DC" w:rsidP="001059DC">
            <w:pPr>
              <w:contextualSpacing/>
              <w:jc w:val="center"/>
              <w:rPr>
                <w:sz w:val="18"/>
                <w:szCs w:val="18"/>
              </w:rPr>
            </w:pPr>
            <w:r w:rsidRPr="00134AB5">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0D43F5A6" w14:textId="146E349D" w:rsidR="001059DC" w:rsidRPr="00134AB5" w:rsidRDefault="001059DC" w:rsidP="001059DC">
            <w:pPr>
              <w:contextualSpacing/>
              <w:jc w:val="center"/>
              <w:rPr>
                <w:sz w:val="18"/>
                <w:szCs w:val="18"/>
              </w:rPr>
            </w:pPr>
            <w:r w:rsidRPr="00134AB5">
              <w:rPr>
                <w:rFonts w:eastAsia="Arial"/>
                <w:sz w:val="20"/>
                <w:szCs w:val="20"/>
              </w:rPr>
              <w:t>ANO</w:t>
            </w:r>
          </w:p>
        </w:tc>
        <w:tc>
          <w:tcPr>
            <w:tcW w:w="1270" w:type="dxa"/>
            <w:tcBorders>
              <w:top w:val="single" w:sz="4" w:space="0" w:color="auto"/>
              <w:left w:val="nil"/>
              <w:bottom w:val="single" w:sz="4" w:space="0" w:color="auto"/>
              <w:right w:val="single" w:sz="4" w:space="0" w:color="auto"/>
            </w:tcBorders>
            <w:vAlign w:val="center"/>
          </w:tcPr>
          <w:p w14:paraId="0333A1AC" w14:textId="0ED84AD6" w:rsidR="001059DC" w:rsidRPr="00134AB5" w:rsidRDefault="001059DC" w:rsidP="001059DC">
            <w:pPr>
              <w:contextualSpacing/>
              <w:jc w:val="center"/>
              <w:rPr>
                <w:sz w:val="18"/>
                <w:szCs w:val="18"/>
              </w:rPr>
            </w:pPr>
            <w:r w:rsidRPr="00134AB5">
              <w:rPr>
                <w:rFonts w:eastAsia="Arial"/>
                <w:sz w:val="20"/>
                <w:szCs w:val="20"/>
              </w:rPr>
              <w:t>ANO</w:t>
            </w:r>
          </w:p>
        </w:tc>
      </w:tr>
      <w:tr w:rsidR="001059DC" w:rsidRPr="00134AB5" w14:paraId="5745A572" w14:textId="77777777" w:rsidTr="00726000">
        <w:trPr>
          <w:trHeight w:val="270"/>
        </w:trPr>
        <w:tc>
          <w:tcPr>
            <w:tcW w:w="521" w:type="dxa"/>
            <w:vMerge/>
            <w:tcBorders>
              <w:left w:val="single" w:sz="4" w:space="0" w:color="auto"/>
              <w:right w:val="single" w:sz="4" w:space="0" w:color="auto"/>
            </w:tcBorders>
            <w:textDirection w:val="btLr"/>
            <w:vAlign w:val="center"/>
          </w:tcPr>
          <w:p w14:paraId="5CEC0A9D" w14:textId="77777777" w:rsidR="001059DC" w:rsidRPr="00134AB5" w:rsidRDefault="001059DC" w:rsidP="001059DC">
            <w:pPr>
              <w:ind w:left="113" w:right="113"/>
              <w:contextualSpacing/>
              <w:jc w:val="center"/>
              <w:rPr>
                <w:rFonts w:cs="Arial"/>
                <w:sz w:val="18"/>
                <w:szCs w:val="18"/>
              </w:rPr>
            </w:pPr>
          </w:p>
        </w:tc>
        <w:tc>
          <w:tcPr>
            <w:tcW w:w="1606" w:type="dxa"/>
            <w:vMerge/>
            <w:tcBorders>
              <w:left w:val="single" w:sz="4" w:space="0" w:color="auto"/>
              <w:right w:val="single" w:sz="4" w:space="0" w:color="auto"/>
            </w:tcBorders>
          </w:tcPr>
          <w:p w14:paraId="6660039F" w14:textId="45AD6907" w:rsidR="001059DC" w:rsidRPr="00134AB5" w:rsidRDefault="001059DC" w:rsidP="001059DC">
            <w:pPr>
              <w:contextualSpacing/>
              <w:rPr>
                <w:rFonts w:cs="Arial"/>
                <w:sz w:val="18"/>
                <w:szCs w:val="18"/>
              </w:rPr>
            </w:pPr>
          </w:p>
        </w:tc>
        <w:tc>
          <w:tcPr>
            <w:tcW w:w="2918" w:type="dxa"/>
            <w:tcBorders>
              <w:top w:val="single" w:sz="4" w:space="0" w:color="auto"/>
              <w:left w:val="nil"/>
              <w:bottom w:val="single" w:sz="4" w:space="0" w:color="auto"/>
              <w:right w:val="single" w:sz="4" w:space="0" w:color="auto"/>
            </w:tcBorders>
            <w:noWrap/>
            <w:vAlign w:val="center"/>
          </w:tcPr>
          <w:p w14:paraId="0C77DBC2" w14:textId="2E7AA4F4" w:rsidR="001059DC" w:rsidRPr="00134AB5" w:rsidRDefault="001059DC" w:rsidP="001059DC">
            <w:pPr>
              <w:jc w:val="left"/>
              <w:rPr>
                <w:rFonts w:eastAsia="Times New Roman" w:cs="Arial"/>
                <w:color w:val="000000"/>
                <w:sz w:val="18"/>
                <w:szCs w:val="18"/>
                <w:lang w:eastAsia="cs-CZ"/>
              </w:rPr>
            </w:pPr>
            <w:r w:rsidRPr="00134AB5">
              <w:rPr>
                <w:rFonts w:eastAsia="Arial"/>
                <w:sz w:val="20"/>
                <w:szCs w:val="20"/>
              </w:rPr>
              <w:t>Struhařov u Mnichovic</w:t>
            </w:r>
          </w:p>
        </w:tc>
        <w:tc>
          <w:tcPr>
            <w:tcW w:w="1241" w:type="dxa"/>
            <w:tcBorders>
              <w:top w:val="single" w:sz="4" w:space="0" w:color="auto"/>
              <w:left w:val="nil"/>
              <w:bottom w:val="single" w:sz="4" w:space="0" w:color="auto"/>
              <w:right w:val="single" w:sz="4" w:space="0" w:color="auto"/>
            </w:tcBorders>
            <w:vAlign w:val="center"/>
          </w:tcPr>
          <w:p w14:paraId="6D3651A7" w14:textId="35533BB2" w:rsidR="001059DC" w:rsidRPr="00134AB5" w:rsidRDefault="001059DC" w:rsidP="001059DC">
            <w:pPr>
              <w:pStyle w:val="Default"/>
              <w:contextualSpacing/>
              <w:jc w:val="right"/>
              <w:rPr>
                <w:color w:val="auto"/>
                <w:sz w:val="18"/>
                <w:szCs w:val="18"/>
              </w:rPr>
            </w:pPr>
            <w:r w:rsidRPr="00134AB5">
              <w:rPr>
                <w:rFonts w:eastAsia="Arial"/>
                <w:sz w:val="20"/>
                <w:szCs w:val="20"/>
              </w:rPr>
              <w:t>2 400</w:t>
            </w:r>
          </w:p>
        </w:tc>
        <w:tc>
          <w:tcPr>
            <w:tcW w:w="1011" w:type="dxa"/>
            <w:tcBorders>
              <w:top w:val="single" w:sz="4" w:space="0" w:color="auto"/>
              <w:left w:val="nil"/>
              <w:bottom w:val="single" w:sz="4" w:space="0" w:color="auto"/>
              <w:right w:val="single" w:sz="4" w:space="0" w:color="auto"/>
            </w:tcBorders>
            <w:vAlign w:val="center"/>
          </w:tcPr>
          <w:p w14:paraId="57E76C00" w14:textId="2AA19A8C" w:rsidR="001059DC" w:rsidRPr="00134AB5" w:rsidRDefault="001059DC" w:rsidP="001059DC">
            <w:pPr>
              <w:contextualSpacing/>
              <w:jc w:val="center"/>
              <w:rPr>
                <w:sz w:val="18"/>
                <w:szCs w:val="18"/>
              </w:rPr>
            </w:pPr>
            <w:r w:rsidRPr="00134AB5">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64273169" w14:textId="2838C151" w:rsidR="001059DC" w:rsidRPr="00134AB5" w:rsidRDefault="001059DC" w:rsidP="001059DC">
            <w:pPr>
              <w:contextualSpacing/>
              <w:jc w:val="center"/>
              <w:rPr>
                <w:sz w:val="18"/>
                <w:szCs w:val="18"/>
              </w:rPr>
            </w:pPr>
            <w:r w:rsidRPr="00134AB5">
              <w:rPr>
                <w:rFonts w:eastAsia="Arial"/>
                <w:sz w:val="20"/>
                <w:szCs w:val="20"/>
              </w:rPr>
              <w:t>ANO</w:t>
            </w:r>
          </w:p>
        </w:tc>
        <w:tc>
          <w:tcPr>
            <w:tcW w:w="1270" w:type="dxa"/>
            <w:tcBorders>
              <w:top w:val="single" w:sz="4" w:space="0" w:color="auto"/>
              <w:left w:val="nil"/>
              <w:bottom w:val="single" w:sz="4" w:space="0" w:color="auto"/>
              <w:right w:val="single" w:sz="4" w:space="0" w:color="auto"/>
            </w:tcBorders>
            <w:vAlign w:val="center"/>
          </w:tcPr>
          <w:p w14:paraId="4E9F7B2F" w14:textId="1DC08E30" w:rsidR="001059DC" w:rsidRPr="00134AB5" w:rsidRDefault="001059DC" w:rsidP="001059DC">
            <w:pPr>
              <w:contextualSpacing/>
              <w:jc w:val="center"/>
              <w:rPr>
                <w:sz w:val="18"/>
                <w:szCs w:val="18"/>
              </w:rPr>
            </w:pPr>
            <w:r w:rsidRPr="00134AB5">
              <w:rPr>
                <w:rFonts w:eastAsia="Arial"/>
                <w:sz w:val="20"/>
                <w:szCs w:val="20"/>
              </w:rPr>
              <w:t>ANO</w:t>
            </w:r>
          </w:p>
        </w:tc>
      </w:tr>
      <w:tr w:rsidR="001059DC" w:rsidRPr="00134AB5" w14:paraId="0BC4CA8B" w14:textId="77777777" w:rsidTr="00726000">
        <w:trPr>
          <w:trHeight w:val="270"/>
        </w:trPr>
        <w:tc>
          <w:tcPr>
            <w:tcW w:w="521" w:type="dxa"/>
            <w:vMerge/>
            <w:tcBorders>
              <w:left w:val="single" w:sz="4" w:space="0" w:color="auto"/>
              <w:right w:val="single" w:sz="4" w:space="0" w:color="auto"/>
            </w:tcBorders>
          </w:tcPr>
          <w:p w14:paraId="541E7928" w14:textId="77777777" w:rsidR="001059DC" w:rsidRPr="00134AB5" w:rsidRDefault="001059DC" w:rsidP="001059DC">
            <w:pPr>
              <w:contextualSpacing/>
              <w:rPr>
                <w:rFonts w:cs="Arial"/>
                <w:sz w:val="18"/>
                <w:szCs w:val="18"/>
              </w:rPr>
            </w:pPr>
          </w:p>
        </w:tc>
        <w:tc>
          <w:tcPr>
            <w:tcW w:w="1606" w:type="dxa"/>
            <w:vMerge/>
            <w:tcBorders>
              <w:left w:val="single" w:sz="4" w:space="0" w:color="auto"/>
              <w:right w:val="single" w:sz="4" w:space="0" w:color="auto"/>
            </w:tcBorders>
          </w:tcPr>
          <w:p w14:paraId="301ACF52" w14:textId="689E7936" w:rsidR="001059DC" w:rsidRPr="00134AB5" w:rsidRDefault="001059DC" w:rsidP="001059DC">
            <w:pPr>
              <w:contextualSpacing/>
              <w:rPr>
                <w:rFonts w:cs="Arial"/>
                <w:sz w:val="18"/>
                <w:szCs w:val="18"/>
              </w:rPr>
            </w:pPr>
          </w:p>
        </w:tc>
        <w:tc>
          <w:tcPr>
            <w:tcW w:w="2918" w:type="dxa"/>
            <w:tcBorders>
              <w:top w:val="single" w:sz="4" w:space="0" w:color="auto"/>
              <w:left w:val="nil"/>
              <w:bottom w:val="single" w:sz="4" w:space="0" w:color="auto"/>
              <w:right w:val="single" w:sz="4" w:space="0" w:color="auto"/>
            </w:tcBorders>
            <w:noWrap/>
            <w:vAlign w:val="center"/>
          </w:tcPr>
          <w:p w14:paraId="0F9043D3" w14:textId="5C4FD44A" w:rsidR="001059DC" w:rsidRPr="00134AB5" w:rsidRDefault="001059DC" w:rsidP="001059DC">
            <w:pPr>
              <w:tabs>
                <w:tab w:val="right" w:pos="2804"/>
              </w:tabs>
              <w:contextualSpacing/>
              <w:rPr>
                <w:rFonts w:cs="Arial"/>
                <w:sz w:val="18"/>
                <w:szCs w:val="18"/>
              </w:rPr>
            </w:pPr>
            <w:r w:rsidRPr="00134AB5">
              <w:rPr>
                <w:rFonts w:eastAsia="Arial"/>
                <w:sz w:val="20"/>
                <w:szCs w:val="20"/>
              </w:rPr>
              <w:t>Sulice</w:t>
            </w:r>
          </w:p>
        </w:tc>
        <w:tc>
          <w:tcPr>
            <w:tcW w:w="1241" w:type="dxa"/>
            <w:tcBorders>
              <w:top w:val="single" w:sz="4" w:space="0" w:color="auto"/>
              <w:left w:val="nil"/>
              <w:bottom w:val="single" w:sz="4" w:space="0" w:color="auto"/>
              <w:right w:val="single" w:sz="4" w:space="0" w:color="auto"/>
            </w:tcBorders>
            <w:vAlign w:val="center"/>
          </w:tcPr>
          <w:p w14:paraId="2C86B09F" w14:textId="1A8342A7" w:rsidR="001059DC" w:rsidRPr="00134AB5" w:rsidRDefault="001059DC" w:rsidP="001059DC">
            <w:pPr>
              <w:contextualSpacing/>
              <w:jc w:val="right"/>
              <w:rPr>
                <w:rFonts w:cs="Arial"/>
                <w:sz w:val="18"/>
                <w:szCs w:val="18"/>
              </w:rPr>
            </w:pPr>
            <w:r w:rsidRPr="00134AB5">
              <w:rPr>
                <w:rFonts w:eastAsia="Arial"/>
                <w:sz w:val="20"/>
                <w:szCs w:val="20"/>
              </w:rPr>
              <w:t>2 500</w:t>
            </w:r>
          </w:p>
        </w:tc>
        <w:tc>
          <w:tcPr>
            <w:tcW w:w="1011" w:type="dxa"/>
            <w:tcBorders>
              <w:top w:val="single" w:sz="4" w:space="0" w:color="auto"/>
              <w:left w:val="nil"/>
              <w:bottom w:val="single" w:sz="4" w:space="0" w:color="auto"/>
              <w:right w:val="single" w:sz="4" w:space="0" w:color="auto"/>
            </w:tcBorders>
            <w:vAlign w:val="center"/>
          </w:tcPr>
          <w:p w14:paraId="46329BBA" w14:textId="099BB090" w:rsidR="001059DC" w:rsidRPr="00134AB5" w:rsidRDefault="001059DC" w:rsidP="001059DC">
            <w:pPr>
              <w:contextualSpacing/>
              <w:jc w:val="center"/>
              <w:rPr>
                <w:rFonts w:cs="Arial"/>
                <w:sz w:val="18"/>
                <w:szCs w:val="18"/>
              </w:rPr>
            </w:pPr>
            <w:r w:rsidRPr="00134AB5">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1E8D11DA" w14:textId="5AB4C247" w:rsidR="001059DC" w:rsidRPr="00134AB5" w:rsidRDefault="001059DC" w:rsidP="001059DC">
            <w:pPr>
              <w:contextualSpacing/>
              <w:jc w:val="center"/>
              <w:rPr>
                <w:rFonts w:cs="Arial"/>
                <w:sz w:val="18"/>
                <w:szCs w:val="18"/>
              </w:rPr>
            </w:pPr>
            <w:r w:rsidRPr="00134AB5">
              <w:rPr>
                <w:rFonts w:eastAsia="Arial"/>
                <w:sz w:val="20"/>
                <w:szCs w:val="20"/>
              </w:rPr>
              <w:t>ANO</w:t>
            </w:r>
          </w:p>
        </w:tc>
        <w:tc>
          <w:tcPr>
            <w:tcW w:w="1270" w:type="dxa"/>
            <w:tcBorders>
              <w:top w:val="single" w:sz="4" w:space="0" w:color="auto"/>
              <w:left w:val="nil"/>
              <w:bottom w:val="single" w:sz="4" w:space="0" w:color="auto"/>
              <w:right w:val="single" w:sz="4" w:space="0" w:color="auto"/>
            </w:tcBorders>
            <w:vAlign w:val="center"/>
          </w:tcPr>
          <w:p w14:paraId="24F2A586" w14:textId="57B55B48" w:rsidR="001059DC" w:rsidRPr="00134AB5" w:rsidRDefault="001059DC" w:rsidP="001059DC">
            <w:pPr>
              <w:contextualSpacing/>
              <w:jc w:val="center"/>
              <w:rPr>
                <w:rFonts w:cs="Arial"/>
                <w:sz w:val="18"/>
                <w:szCs w:val="18"/>
              </w:rPr>
            </w:pPr>
            <w:r w:rsidRPr="00134AB5">
              <w:rPr>
                <w:rFonts w:eastAsia="Arial"/>
                <w:sz w:val="20"/>
                <w:szCs w:val="20"/>
              </w:rPr>
              <w:t>ANO</w:t>
            </w:r>
          </w:p>
        </w:tc>
      </w:tr>
      <w:tr w:rsidR="001059DC" w:rsidRPr="00134AB5" w14:paraId="1C1537AE" w14:textId="77777777" w:rsidTr="00726000">
        <w:trPr>
          <w:trHeight w:val="270"/>
        </w:trPr>
        <w:tc>
          <w:tcPr>
            <w:tcW w:w="521" w:type="dxa"/>
            <w:vMerge/>
            <w:tcBorders>
              <w:left w:val="single" w:sz="4" w:space="0" w:color="auto"/>
              <w:right w:val="single" w:sz="4" w:space="0" w:color="auto"/>
            </w:tcBorders>
          </w:tcPr>
          <w:p w14:paraId="179AE734" w14:textId="77777777" w:rsidR="001059DC" w:rsidRPr="00134AB5" w:rsidRDefault="001059DC" w:rsidP="001059DC">
            <w:pPr>
              <w:contextualSpacing/>
              <w:rPr>
                <w:rFonts w:cs="Arial"/>
                <w:sz w:val="18"/>
                <w:szCs w:val="18"/>
              </w:rPr>
            </w:pPr>
          </w:p>
        </w:tc>
        <w:tc>
          <w:tcPr>
            <w:tcW w:w="1606" w:type="dxa"/>
            <w:vMerge/>
            <w:tcBorders>
              <w:left w:val="single" w:sz="4" w:space="0" w:color="auto"/>
              <w:right w:val="single" w:sz="4" w:space="0" w:color="auto"/>
            </w:tcBorders>
          </w:tcPr>
          <w:p w14:paraId="2CA46BEA" w14:textId="77777777" w:rsidR="001059DC" w:rsidRPr="00134AB5" w:rsidDel="00214D80" w:rsidRDefault="001059DC" w:rsidP="001059DC">
            <w:pPr>
              <w:contextualSpacing/>
              <w:rPr>
                <w:rFonts w:cs="Arial"/>
                <w:sz w:val="18"/>
                <w:szCs w:val="18"/>
              </w:rPr>
            </w:pPr>
          </w:p>
        </w:tc>
        <w:tc>
          <w:tcPr>
            <w:tcW w:w="2918" w:type="dxa"/>
            <w:tcBorders>
              <w:top w:val="single" w:sz="4" w:space="0" w:color="auto"/>
              <w:left w:val="nil"/>
              <w:bottom w:val="single" w:sz="4" w:space="0" w:color="auto"/>
              <w:right w:val="single" w:sz="4" w:space="0" w:color="auto"/>
            </w:tcBorders>
            <w:noWrap/>
            <w:vAlign w:val="center"/>
          </w:tcPr>
          <w:p w14:paraId="3ACCC86D" w14:textId="1E0CD59A" w:rsidR="001059DC" w:rsidRPr="00134AB5" w:rsidRDefault="001059DC" w:rsidP="001059DC">
            <w:pPr>
              <w:tabs>
                <w:tab w:val="right" w:pos="2804"/>
              </w:tabs>
              <w:contextualSpacing/>
              <w:rPr>
                <w:rFonts w:cs="Arial"/>
                <w:sz w:val="18"/>
                <w:szCs w:val="18"/>
              </w:rPr>
            </w:pPr>
            <w:r w:rsidRPr="00134AB5">
              <w:rPr>
                <w:rFonts w:eastAsia="Arial"/>
                <w:sz w:val="20"/>
                <w:szCs w:val="20"/>
              </w:rPr>
              <w:t>Senohraby</w:t>
            </w:r>
          </w:p>
        </w:tc>
        <w:tc>
          <w:tcPr>
            <w:tcW w:w="1241" w:type="dxa"/>
            <w:tcBorders>
              <w:top w:val="single" w:sz="4" w:space="0" w:color="auto"/>
              <w:left w:val="nil"/>
              <w:bottom w:val="single" w:sz="4" w:space="0" w:color="auto"/>
              <w:right w:val="single" w:sz="4" w:space="0" w:color="auto"/>
            </w:tcBorders>
            <w:vAlign w:val="center"/>
          </w:tcPr>
          <w:p w14:paraId="5D31BDF6" w14:textId="43C97F98" w:rsidR="001059DC" w:rsidRPr="00134AB5" w:rsidRDefault="001059DC" w:rsidP="001059DC">
            <w:pPr>
              <w:contextualSpacing/>
              <w:jc w:val="right"/>
              <w:rPr>
                <w:rFonts w:cs="Arial"/>
                <w:sz w:val="18"/>
                <w:szCs w:val="18"/>
              </w:rPr>
            </w:pPr>
            <w:r w:rsidRPr="00134AB5">
              <w:rPr>
                <w:rFonts w:eastAsia="Arial"/>
                <w:sz w:val="20"/>
                <w:szCs w:val="20"/>
              </w:rPr>
              <w:t>3 200</w:t>
            </w:r>
          </w:p>
        </w:tc>
        <w:tc>
          <w:tcPr>
            <w:tcW w:w="1011" w:type="dxa"/>
            <w:tcBorders>
              <w:top w:val="single" w:sz="4" w:space="0" w:color="auto"/>
              <w:left w:val="nil"/>
              <w:bottom w:val="single" w:sz="4" w:space="0" w:color="auto"/>
              <w:right w:val="single" w:sz="4" w:space="0" w:color="auto"/>
            </w:tcBorders>
            <w:vAlign w:val="center"/>
          </w:tcPr>
          <w:p w14:paraId="58516154" w14:textId="7F59B40C" w:rsidR="001059DC" w:rsidRPr="00134AB5" w:rsidRDefault="001059DC" w:rsidP="001059DC">
            <w:pPr>
              <w:contextualSpacing/>
              <w:jc w:val="center"/>
              <w:rPr>
                <w:rFonts w:cs="Arial"/>
                <w:sz w:val="18"/>
                <w:szCs w:val="18"/>
              </w:rPr>
            </w:pPr>
            <w:r w:rsidRPr="00134AB5">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450FC0FC" w14:textId="240322BC" w:rsidR="001059DC" w:rsidRPr="00134AB5" w:rsidRDefault="001059DC" w:rsidP="001059DC">
            <w:pPr>
              <w:contextualSpacing/>
              <w:jc w:val="center"/>
              <w:rPr>
                <w:rFonts w:cs="Arial"/>
                <w:sz w:val="18"/>
                <w:szCs w:val="18"/>
              </w:rPr>
            </w:pPr>
            <w:r w:rsidRPr="00134AB5">
              <w:rPr>
                <w:rFonts w:eastAsia="Arial"/>
                <w:sz w:val="20"/>
                <w:szCs w:val="20"/>
              </w:rPr>
              <w:t>ANO</w:t>
            </w:r>
          </w:p>
        </w:tc>
        <w:tc>
          <w:tcPr>
            <w:tcW w:w="1270" w:type="dxa"/>
            <w:tcBorders>
              <w:top w:val="single" w:sz="4" w:space="0" w:color="auto"/>
              <w:left w:val="nil"/>
              <w:bottom w:val="single" w:sz="4" w:space="0" w:color="auto"/>
              <w:right w:val="single" w:sz="4" w:space="0" w:color="auto"/>
            </w:tcBorders>
            <w:vAlign w:val="center"/>
          </w:tcPr>
          <w:p w14:paraId="086B6BDA" w14:textId="02AF6470" w:rsidR="001059DC" w:rsidRPr="00134AB5" w:rsidRDefault="001059DC" w:rsidP="001059DC">
            <w:pPr>
              <w:contextualSpacing/>
              <w:jc w:val="center"/>
              <w:rPr>
                <w:rFonts w:cs="Arial"/>
                <w:sz w:val="18"/>
                <w:szCs w:val="18"/>
              </w:rPr>
            </w:pPr>
            <w:r w:rsidRPr="00134AB5">
              <w:rPr>
                <w:rFonts w:eastAsia="Arial"/>
                <w:sz w:val="20"/>
                <w:szCs w:val="20"/>
              </w:rPr>
              <w:t>ANO</w:t>
            </w:r>
          </w:p>
        </w:tc>
      </w:tr>
      <w:tr w:rsidR="001059DC" w:rsidRPr="00134AB5" w14:paraId="7A3AF80B" w14:textId="77777777" w:rsidTr="00726000">
        <w:trPr>
          <w:trHeight w:val="270"/>
        </w:trPr>
        <w:tc>
          <w:tcPr>
            <w:tcW w:w="521" w:type="dxa"/>
            <w:vMerge/>
            <w:tcBorders>
              <w:left w:val="single" w:sz="4" w:space="0" w:color="auto"/>
              <w:right w:val="single" w:sz="4" w:space="0" w:color="auto"/>
            </w:tcBorders>
          </w:tcPr>
          <w:p w14:paraId="7505CB80" w14:textId="77777777" w:rsidR="001059DC" w:rsidRPr="00134AB5" w:rsidRDefault="001059DC" w:rsidP="001059DC">
            <w:pPr>
              <w:contextualSpacing/>
              <w:rPr>
                <w:rFonts w:cs="Arial"/>
                <w:sz w:val="18"/>
                <w:szCs w:val="18"/>
              </w:rPr>
            </w:pPr>
          </w:p>
        </w:tc>
        <w:tc>
          <w:tcPr>
            <w:tcW w:w="1606" w:type="dxa"/>
            <w:vMerge/>
            <w:tcBorders>
              <w:left w:val="single" w:sz="4" w:space="0" w:color="auto"/>
              <w:right w:val="single" w:sz="4" w:space="0" w:color="auto"/>
            </w:tcBorders>
          </w:tcPr>
          <w:p w14:paraId="7A5CDDAA" w14:textId="77777777" w:rsidR="001059DC" w:rsidRPr="00134AB5" w:rsidDel="00214D80" w:rsidRDefault="001059DC" w:rsidP="001059DC">
            <w:pPr>
              <w:contextualSpacing/>
              <w:rPr>
                <w:rFonts w:cs="Arial"/>
                <w:sz w:val="18"/>
                <w:szCs w:val="18"/>
              </w:rPr>
            </w:pPr>
          </w:p>
        </w:tc>
        <w:tc>
          <w:tcPr>
            <w:tcW w:w="2918" w:type="dxa"/>
            <w:tcBorders>
              <w:top w:val="single" w:sz="4" w:space="0" w:color="auto"/>
              <w:left w:val="nil"/>
              <w:bottom w:val="single" w:sz="4" w:space="0" w:color="auto"/>
              <w:right w:val="single" w:sz="4" w:space="0" w:color="auto"/>
            </w:tcBorders>
            <w:noWrap/>
            <w:vAlign w:val="center"/>
          </w:tcPr>
          <w:p w14:paraId="57B0BFD0" w14:textId="07A6E4DC" w:rsidR="001059DC" w:rsidRPr="00134AB5" w:rsidRDefault="001059DC" w:rsidP="001059DC">
            <w:pPr>
              <w:tabs>
                <w:tab w:val="right" w:pos="2804"/>
              </w:tabs>
              <w:contextualSpacing/>
              <w:rPr>
                <w:rFonts w:cs="Arial"/>
                <w:sz w:val="18"/>
                <w:szCs w:val="18"/>
              </w:rPr>
            </w:pPr>
            <w:r w:rsidRPr="00134AB5">
              <w:rPr>
                <w:rFonts w:eastAsia="Arial"/>
                <w:sz w:val="20"/>
                <w:szCs w:val="20"/>
              </w:rPr>
              <w:t>Blatná</w:t>
            </w:r>
          </w:p>
        </w:tc>
        <w:tc>
          <w:tcPr>
            <w:tcW w:w="1241" w:type="dxa"/>
            <w:tcBorders>
              <w:top w:val="single" w:sz="4" w:space="0" w:color="auto"/>
              <w:left w:val="nil"/>
              <w:bottom w:val="single" w:sz="4" w:space="0" w:color="auto"/>
              <w:right w:val="single" w:sz="4" w:space="0" w:color="auto"/>
            </w:tcBorders>
            <w:vAlign w:val="center"/>
          </w:tcPr>
          <w:p w14:paraId="32BB6E8C" w14:textId="19189F35" w:rsidR="001059DC" w:rsidRPr="00134AB5" w:rsidRDefault="001059DC" w:rsidP="001059DC">
            <w:pPr>
              <w:contextualSpacing/>
              <w:jc w:val="right"/>
              <w:rPr>
                <w:rFonts w:cs="Arial"/>
                <w:sz w:val="18"/>
                <w:szCs w:val="18"/>
              </w:rPr>
            </w:pPr>
            <w:r w:rsidRPr="00134AB5">
              <w:rPr>
                <w:rFonts w:eastAsia="Arial"/>
                <w:sz w:val="20"/>
                <w:szCs w:val="20"/>
              </w:rPr>
              <w:t>7 000</w:t>
            </w:r>
          </w:p>
        </w:tc>
        <w:tc>
          <w:tcPr>
            <w:tcW w:w="1011" w:type="dxa"/>
            <w:tcBorders>
              <w:top w:val="single" w:sz="4" w:space="0" w:color="auto"/>
              <w:left w:val="nil"/>
              <w:bottom w:val="single" w:sz="4" w:space="0" w:color="auto"/>
              <w:right w:val="single" w:sz="4" w:space="0" w:color="auto"/>
            </w:tcBorders>
            <w:vAlign w:val="center"/>
          </w:tcPr>
          <w:p w14:paraId="5B8CBE7C" w14:textId="08615873" w:rsidR="001059DC" w:rsidRPr="00134AB5" w:rsidRDefault="001059DC" w:rsidP="001059DC">
            <w:pPr>
              <w:contextualSpacing/>
              <w:jc w:val="center"/>
              <w:rPr>
                <w:rFonts w:cs="Arial"/>
                <w:sz w:val="18"/>
                <w:szCs w:val="18"/>
              </w:rPr>
            </w:pPr>
            <w:r w:rsidRPr="00134AB5">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41747BC8" w14:textId="00A87C5C" w:rsidR="001059DC" w:rsidRPr="00134AB5" w:rsidRDefault="001059DC" w:rsidP="001059DC">
            <w:pPr>
              <w:contextualSpacing/>
              <w:jc w:val="center"/>
              <w:rPr>
                <w:rFonts w:cs="Arial"/>
                <w:sz w:val="18"/>
                <w:szCs w:val="18"/>
              </w:rPr>
            </w:pPr>
            <w:r w:rsidRPr="00134AB5">
              <w:rPr>
                <w:rFonts w:eastAsia="Arial"/>
                <w:sz w:val="20"/>
                <w:szCs w:val="20"/>
              </w:rPr>
              <w:t>ANO</w:t>
            </w:r>
          </w:p>
        </w:tc>
        <w:tc>
          <w:tcPr>
            <w:tcW w:w="1270" w:type="dxa"/>
            <w:tcBorders>
              <w:top w:val="single" w:sz="4" w:space="0" w:color="auto"/>
              <w:left w:val="nil"/>
              <w:bottom w:val="single" w:sz="4" w:space="0" w:color="auto"/>
              <w:right w:val="single" w:sz="4" w:space="0" w:color="auto"/>
            </w:tcBorders>
            <w:vAlign w:val="center"/>
          </w:tcPr>
          <w:p w14:paraId="2CBD6E3D" w14:textId="4C5C84A0" w:rsidR="001059DC" w:rsidRPr="00134AB5" w:rsidRDefault="001059DC" w:rsidP="001059DC">
            <w:pPr>
              <w:contextualSpacing/>
              <w:jc w:val="center"/>
              <w:rPr>
                <w:rFonts w:cs="Arial"/>
                <w:sz w:val="18"/>
                <w:szCs w:val="18"/>
              </w:rPr>
            </w:pPr>
            <w:r w:rsidRPr="00134AB5">
              <w:rPr>
                <w:rFonts w:eastAsia="Arial"/>
                <w:sz w:val="20"/>
                <w:szCs w:val="20"/>
              </w:rPr>
              <w:t>ANO</w:t>
            </w:r>
          </w:p>
        </w:tc>
      </w:tr>
      <w:tr w:rsidR="001059DC" w:rsidRPr="00134AB5" w14:paraId="02999162" w14:textId="77777777" w:rsidTr="00726000">
        <w:trPr>
          <w:trHeight w:val="270"/>
        </w:trPr>
        <w:tc>
          <w:tcPr>
            <w:tcW w:w="521" w:type="dxa"/>
            <w:vMerge/>
            <w:tcBorders>
              <w:left w:val="single" w:sz="4" w:space="0" w:color="auto"/>
              <w:right w:val="single" w:sz="4" w:space="0" w:color="auto"/>
            </w:tcBorders>
          </w:tcPr>
          <w:p w14:paraId="434AAEB0" w14:textId="77777777" w:rsidR="001059DC" w:rsidRPr="00134AB5" w:rsidRDefault="001059DC" w:rsidP="001059DC">
            <w:pPr>
              <w:contextualSpacing/>
              <w:rPr>
                <w:rFonts w:cs="Arial"/>
                <w:sz w:val="18"/>
                <w:szCs w:val="18"/>
              </w:rPr>
            </w:pPr>
          </w:p>
        </w:tc>
        <w:tc>
          <w:tcPr>
            <w:tcW w:w="1606" w:type="dxa"/>
            <w:vMerge/>
            <w:tcBorders>
              <w:left w:val="single" w:sz="4" w:space="0" w:color="auto"/>
              <w:right w:val="single" w:sz="4" w:space="0" w:color="auto"/>
            </w:tcBorders>
          </w:tcPr>
          <w:p w14:paraId="231C76F9" w14:textId="77777777" w:rsidR="001059DC" w:rsidRPr="00134AB5" w:rsidDel="00214D80" w:rsidRDefault="001059DC" w:rsidP="001059DC">
            <w:pPr>
              <w:contextualSpacing/>
              <w:rPr>
                <w:rFonts w:cs="Arial"/>
                <w:sz w:val="18"/>
                <w:szCs w:val="18"/>
              </w:rPr>
            </w:pPr>
          </w:p>
        </w:tc>
        <w:tc>
          <w:tcPr>
            <w:tcW w:w="2918" w:type="dxa"/>
            <w:tcBorders>
              <w:top w:val="single" w:sz="4" w:space="0" w:color="auto"/>
              <w:left w:val="nil"/>
              <w:bottom w:val="single" w:sz="4" w:space="0" w:color="auto"/>
              <w:right w:val="single" w:sz="4" w:space="0" w:color="auto"/>
            </w:tcBorders>
            <w:noWrap/>
            <w:vAlign w:val="center"/>
          </w:tcPr>
          <w:p w14:paraId="160CEA8D" w14:textId="2F4965E4" w:rsidR="001059DC" w:rsidRPr="00134AB5" w:rsidRDefault="001059DC" w:rsidP="001059DC">
            <w:pPr>
              <w:tabs>
                <w:tab w:val="right" w:pos="2804"/>
              </w:tabs>
              <w:contextualSpacing/>
              <w:rPr>
                <w:rFonts w:cs="Arial"/>
                <w:sz w:val="18"/>
                <w:szCs w:val="18"/>
              </w:rPr>
            </w:pPr>
            <w:r w:rsidRPr="00134AB5">
              <w:rPr>
                <w:rFonts w:eastAsia="Arial"/>
                <w:sz w:val="20"/>
                <w:szCs w:val="20"/>
              </w:rPr>
              <w:t>České Velenice</w:t>
            </w:r>
          </w:p>
        </w:tc>
        <w:tc>
          <w:tcPr>
            <w:tcW w:w="1241" w:type="dxa"/>
            <w:tcBorders>
              <w:top w:val="single" w:sz="4" w:space="0" w:color="auto"/>
              <w:left w:val="nil"/>
              <w:bottom w:val="single" w:sz="4" w:space="0" w:color="auto"/>
              <w:right w:val="single" w:sz="4" w:space="0" w:color="auto"/>
            </w:tcBorders>
            <w:vAlign w:val="center"/>
          </w:tcPr>
          <w:p w14:paraId="088EF0A1" w14:textId="20D354FE" w:rsidR="001059DC" w:rsidRPr="00134AB5" w:rsidRDefault="001059DC" w:rsidP="001059DC">
            <w:pPr>
              <w:contextualSpacing/>
              <w:jc w:val="right"/>
              <w:rPr>
                <w:rFonts w:cs="Arial"/>
                <w:sz w:val="18"/>
                <w:szCs w:val="18"/>
              </w:rPr>
            </w:pPr>
            <w:r w:rsidRPr="00134AB5">
              <w:rPr>
                <w:rFonts w:eastAsia="Arial"/>
                <w:sz w:val="20"/>
                <w:szCs w:val="20"/>
              </w:rPr>
              <w:t>4 800</w:t>
            </w:r>
          </w:p>
        </w:tc>
        <w:tc>
          <w:tcPr>
            <w:tcW w:w="1011" w:type="dxa"/>
            <w:tcBorders>
              <w:top w:val="single" w:sz="4" w:space="0" w:color="auto"/>
              <w:left w:val="nil"/>
              <w:bottom w:val="single" w:sz="4" w:space="0" w:color="auto"/>
              <w:right w:val="single" w:sz="4" w:space="0" w:color="auto"/>
            </w:tcBorders>
            <w:vAlign w:val="center"/>
          </w:tcPr>
          <w:p w14:paraId="6EB1F5F3" w14:textId="012C0C7F" w:rsidR="001059DC" w:rsidRPr="00134AB5" w:rsidRDefault="001059DC" w:rsidP="001059DC">
            <w:pPr>
              <w:contextualSpacing/>
              <w:jc w:val="center"/>
              <w:rPr>
                <w:rFonts w:cs="Arial"/>
                <w:sz w:val="18"/>
                <w:szCs w:val="18"/>
              </w:rPr>
            </w:pPr>
            <w:r w:rsidRPr="00134AB5">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3C356496" w14:textId="10FB46E8" w:rsidR="001059DC" w:rsidRPr="00134AB5" w:rsidRDefault="001059DC" w:rsidP="001059DC">
            <w:pPr>
              <w:contextualSpacing/>
              <w:jc w:val="center"/>
              <w:rPr>
                <w:rFonts w:cs="Arial"/>
                <w:sz w:val="18"/>
                <w:szCs w:val="18"/>
              </w:rPr>
            </w:pPr>
            <w:r w:rsidRPr="00134AB5">
              <w:rPr>
                <w:rFonts w:eastAsia="Arial"/>
                <w:sz w:val="20"/>
                <w:szCs w:val="20"/>
              </w:rPr>
              <w:t>ANO</w:t>
            </w:r>
          </w:p>
        </w:tc>
        <w:tc>
          <w:tcPr>
            <w:tcW w:w="1270" w:type="dxa"/>
            <w:tcBorders>
              <w:top w:val="single" w:sz="4" w:space="0" w:color="auto"/>
              <w:left w:val="nil"/>
              <w:bottom w:val="single" w:sz="4" w:space="0" w:color="auto"/>
              <w:right w:val="single" w:sz="4" w:space="0" w:color="auto"/>
            </w:tcBorders>
            <w:vAlign w:val="center"/>
          </w:tcPr>
          <w:p w14:paraId="6760AB54" w14:textId="1CCB99E4" w:rsidR="001059DC" w:rsidRPr="00134AB5" w:rsidRDefault="001059DC" w:rsidP="001059DC">
            <w:pPr>
              <w:contextualSpacing/>
              <w:jc w:val="center"/>
              <w:rPr>
                <w:rFonts w:cs="Arial"/>
                <w:sz w:val="18"/>
                <w:szCs w:val="18"/>
              </w:rPr>
            </w:pPr>
            <w:r w:rsidRPr="00134AB5">
              <w:rPr>
                <w:rFonts w:eastAsia="Arial"/>
                <w:sz w:val="20"/>
                <w:szCs w:val="20"/>
              </w:rPr>
              <w:t>ANO</w:t>
            </w:r>
          </w:p>
        </w:tc>
      </w:tr>
      <w:tr w:rsidR="001059DC" w:rsidRPr="00134AB5" w14:paraId="61A70D58" w14:textId="77777777" w:rsidTr="00726000">
        <w:trPr>
          <w:trHeight w:val="270"/>
        </w:trPr>
        <w:tc>
          <w:tcPr>
            <w:tcW w:w="521" w:type="dxa"/>
            <w:vMerge/>
            <w:tcBorders>
              <w:left w:val="single" w:sz="4" w:space="0" w:color="auto"/>
              <w:right w:val="single" w:sz="4" w:space="0" w:color="auto"/>
            </w:tcBorders>
          </w:tcPr>
          <w:p w14:paraId="586B043D" w14:textId="77777777" w:rsidR="001059DC" w:rsidRPr="00134AB5" w:rsidRDefault="001059DC" w:rsidP="001059DC">
            <w:pPr>
              <w:contextualSpacing/>
              <w:rPr>
                <w:rFonts w:cs="Arial"/>
                <w:sz w:val="18"/>
                <w:szCs w:val="18"/>
              </w:rPr>
            </w:pPr>
          </w:p>
        </w:tc>
        <w:tc>
          <w:tcPr>
            <w:tcW w:w="1606" w:type="dxa"/>
            <w:vMerge/>
            <w:tcBorders>
              <w:left w:val="single" w:sz="4" w:space="0" w:color="auto"/>
              <w:right w:val="single" w:sz="4" w:space="0" w:color="auto"/>
            </w:tcBorders>
          </w:tcPr>
          <w:p w14:paraId="1C8E7560" w14:textId="77777777" w:rsidR="001059DC" w:rsidRPr="00134AB5" w:rsidDel="00214D80" w:rsidRDefault="001059DC" w:rsidP="001059DC">
            <w:pPr>
              <w:contextualSpacing/>
              <w:rPr>
                <w:rFonts w:cs="Arial"/>
                <w:sz w:val="18"/>
                <w:szCs w:val="18"/>
              </w:rPr>
            </w:pPr>
          </w:p>
        </w:tc>
        <w:tc>
          <w:tcPr>
            <w:tcW w:w="2918" w:type="dxa"/>
            <w:tcBorders>
              <w:top w:val="single" w:sz="4" w:space="0" w:color="auto"/>
              <w:left w:val="nil"/>
              <w:bottom w:val="single" w:sz="4" w:space="0" w:color="auto"/>
              <w:right w:val="single" w:sz="4" w:space="0" w:color="auto"/>
            </w:tcBorders>
            <w:noWrap/>
            <w:vAlign w:val="center"/>
          </w:tcPr>
          <w:p w14:paraId="2039ACDC" w14:textId="06151438" w:rsidR="001059DC" w:rsidRPr="00134AB5" w:rsidRDefault="001059DC" w:rsidP="001059DC">
            <w:pPr>
              <w:tabs>
                <w:tab w:val="right" w:pos="2804"/>
              </w:tabs>
              <w:contextualSpacing/>
              <w:rPr>
                <w:rFonts w:cs="Arial"/>
                <w:sz w:val="18"/>
                <w:szCs w:val="18"/>
              </w:rPr>
            </w:pPr>
            <w:r w:rsidRPr="00134AB5">
              <w:rPr>
                <w:rFonts w:eastAsia="Arial"/>
                <w:sz w:val="20"/>
                <w:szCs w:val="20"/>
              </w:rPr>
              <w:t>Smiřice</w:t>
            </w:r>
          </w:p>
        </w:tc>
        <w:tc>
          <w:tcPr>
            <w:tcW w:w="1241" w:type="dxa"/>
            <w:tcBorders>
              <w:top w:val="single" w:sz="4" w:space="0" w:color="auto"/>
              <w:left w:val="nil"/>
              <w:bottom w:val="single" w:sz="4" w:space="0" w:color="auto"/>
              <w:right w:val="single" w:sz="4" w:space="0" w:color="auto"/>
            </w:tcBorders>
            <w:vAlign w:val="center"/>
          </w:tcPr>
          <w:p w14:paraId="5FA92440" w14:textId="5525FDBF" w:rsidR="001059DC" w:rsidRPr="00134AB5" w:rsidRDefault="001059DC" w:rsidP="001059DC">
            <w:pPr>
              <w:contextualSpacing/>
              <w:jc w:val="right"/>
              <w:rPr>
                <w:rFonts w:cs="Arial"/>
                <w:sz w:val="18"/>
                <w:szCs w:val="18"/>
              </w:rPr>
            </w:pPr>
            <w:r w:rsidRPr="00134AB5">
              <w:rPr>
                <w:rFonts w:eastAsia="Arial"/>
                <w:sz w:val="20"/>
                <w:szCs w:val="20"/>
              </w:rPr>
              <w:t>6 100</w:t>
            </w:r>
          </w:p>
        </w:tc>
        <w:tc>
          <w:tcPr>
            <w:tcW w:w="1011" w:type="dxa"/>
            <w:tcBorders>
              <w:top w:val="single" w:sz="4" w:space="0" w:color="auto"/>
              <w:left w:val="nil"/>
              <w:bottom w:val="single" w:sz="4" w:space="0" w:color="auto"/>
              <w:right w:val="single" w:sz="4" w:space="0" w:color="auto"/>
            </w:tcBorders>
            <w:vAlign w:val="center"/>
          </w:tcPr>
          <w:p w14:paraId="76E08B28" w14:textId="4A855F12" w:rsidR="001059DC" w:rsidRPr="00134AB5" w:rsidRDefault="001059DC" w:rsidP="001059DC">
            <w:pPr>
              <w:contextualSpacing/>
              <w:jc w:val="center"/>
              <w:rPr>
                <w:rFonts w:cs="Arial"/>
                <w:sz w:val="18"/>
                <w:szCs w:val="18"/>
              </w:rPr>
            </w:pPr>
            <w:r w:rsidRPr="00134AB5">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1F476A8E" w14:textId="18F0D316" w:rsidR="001059DC" w:rsidRPr="00134AB5" w:rsidRDefault="001059DC" w:rsidP="001059DC">
            <w:pPr>
              <w:contextualSpacing/>
              <w:jc w:val="center"/>
              <w:rPr>
                <w:rFonts w:cs="Arial"/>
                <w:sz w:val="18"/>
                <w:szCs w:val="18"/>
              </w:rPr>
            </w:pPr>
            <w:r w:rsidRPr="00134AB5">
              <w:rPr>
                <w:rFonts w:eastAsia="Arial"/>
                <w:sz w:val="20"/>
                <w:szCs w:val="20"/>
              </w:rPr>
              <w:t>ANO</w:t>
            </w:r>
          </w:p>
        </w:tc>
        <w:tc>
          <w:tcPr>
            <w:tcW w:w="1270" w:type="dxa"/>
            <w:tcBorders>
              <w:top w:val="single" w:sz="4" w:space="0" w:color="auto"/>
              <w:left w:val="nil"/>
              <w:bottom w:val="single" w:sz="4" w:space="0" w:color="auto"/>
              <w:right w:val="single" w:sz="4" w:space="0" w:color="auto"/>
            </w:tcBorders>
            <w:vAlign w:val="center"/>
          </w:tcPr>
          <w:p w14:paraId="11CF8827" w14:textId="1F4E8821" w:rsidR="001059DC" w:rsidRPr="00134AB5" w:rsidRDefault="001059DC" w:rsidP="001059DC">
            <w:pPr>
              <w:contextualSpacing/>
              <w:jc w:val="center"/>
              <w:rPr>
                <w:rFonts w:cs="Arial"/>
                <w:sz w:val="18"/>
                <w:szCs w:val="18"/>
              </w:rPr>
            </w:pPr>
            <w:r w:rsidRPr="00134AB5">
              <w:rPr>
                <w:rFonts w:eastAsia="Arial"/>
                <w:sz w:val="20"/>
                <w:szCs w:val="20"/>
              </w:rPr>
              <w:t>ANO</w:t>
            </w:r>
          </w:p>
        </w:tc>
      </w:tr>
      <w:tr w:rsidR="001059DC" w:rsidRPr="00134AB5" w14:paraId="09721BDA" w14:textId="77777777" w:rsidTr="00726000">
        <w:trPr>
          <w:trHeight w:val="270"/>
        </w:trPr>
        <w:tc>
          <w:tcPr>
            <w:tcW w:w="521" w:type="dxa"/>
            <w:vMerge/>
            <w:tcBorders>
              <w:left w:val="single" w:sz="4" w:space="0" w:color="auto"/>
              <w:right w:val="single" w:sz="4" w:space="0" w:color="auto"/>
            </w:tcBorders>
          </w:tcPr>
          <w:p w14:paraId="60B7C641" w14:textId="77777777" w:rsidR="001059DC" w:rsidRPr="00134AB5" w:rsidRDefault="001059DC" w:rsidP="001059DC">
            <w:pPr>
              <w:contextualSpacing/>
              <w:rPr>
                <w:rFonts w:cs="Arial"/>
                <w:sz w:val="18"/>
                <w:szCs w:val="18"/>
              </w:rPr>
            </w:pPr>
          </w:p>
        </w:tc>
        <w:tc>
          <w:tcPr>
            <w:tcW w:w="1606" w:type="dxa"/>
            <w:vMerge/>
            <w:tcBorders>
              <w:left w:val="single" w:sz="4" w:space="0" w:color="auto"/>
              <w:right w:val="single" w:sz="4" w:space="0" w:color="auto"/>
            </w:tcBorders>
          </w:tcPr>
          <w:p w14:paraId="053D8AED" w14:textId="77777777" w:rsidR="001059DC" w:rsidRPr="00134AB5" w:rsidDel="00214D80" w:rsidRDefault="001059DC" w:rsidP="001059DC">
            <w:pPr>
              <w:contextualSpacing/>
              <w:rPr>
                <w:rFonts w:cs="Arial"/>
                <w:sz w:val="18"/>
                <w:szCs w:val="18"/>
              </w:rPr>
            </w:pPr>
          </w:p>
        </w:tc>
        <w:tc>
          <w:tcPr>
            <w:tcW w:w="2918" w:type="dxa"/>
            <w:tcBorders>
              <w:top w:val="single" w:sz="4" w:space="0" w:color="auto"/>
              <w:left w:val="nil"/>
              <w:bottom w:val="single" w:sz="4" w:space="0" w:color="auto"/>
              <w:right w:val="single" w:sz="4" w:space="0" w:color="auto"/>
            </w:tcBorders>
            <w:noWrap/>
            <w:vAlign w:val="center"/>
          </w:tcPr>
          <w:p w14:paraId="25075B60" w14:textId="169A99F5" w:rsidR="001059DC" w:rsidRPr="00134AB5" w:rsidRDefault="001059DC" w:rsidP="001059DC">
            <w:pPr>
              <w:tabs>
                <w:tab w:val="right" w:pos="2804"/>
              </w:tabs>
              <w:contextualSpacing/>
              <w:rPr>
                <w:rFonts w:cs="Arial"/>
                <w:sz w:val="18"/>
                <w:szCs w:val="18"/>
              </w:rPr>
            </w:pPr>
            <w:r w:rsidRPr="00134AB5">
              <w:rPr>
                <w:rFonts w:eastAsia="Arial"/>
                <w:sz w:val="20"/>
                <w:szCs w:val="20"/>
              </w:rPr>
              <w:t>Golčův Jeníkov</w:t>
            </w:r>
          </w:p>
        </w:tc>
        <w:tc>
          <w:tcPr>
            <w:tcW w:w="1241" w:type="dxa"/>
            <w:tcBorders>
              <w:top w:val="single" w:sz="4" w:space="0" w:color="auto"/>
              <w:left w:val="nil"/>
              <w:bottom w:val="single" w:sz="4" w:space="0" w:color="auto"/>
              <w:right w:val="single" w:sz="4" w:space="0" w:color="auto"/>
            </w:tcBorders>
            <w:vAlign w:val="center"/>
          </w:tcPr>
          <w:p w14:paraId="26492AF9" w14:textId="5B6AE040" w:rsidR="001059DC" w:rsidRPr="00134AB5" w:rsidRDefault="001059DC" w:rsidP="001059DC">
            <w:pPr>
              <w:contextualSpacing/>
              <w:jc w:val="right"/>
              <w:rPr>
                <w:rFonts w:cs="Arial"/>
                <w:sz w:val="18"/>
                <w:szCs w:val="18"/>
              </w:rPr>
            </w:pPr>
            <w:r w:rsidRPr="00134AB5">
              <w:rPr>
                <w:rFonts w:eastAsia="Arial"/>
                <w:sz w:val="20"/>
                <w:szCs w:val="20"/>
              </w:rPr>
              <w:t>2 600</w:t>
            </w:r>
          </w:p>
        </w:tc>
        <w:tc>
          <w:tcPr>
            <w:tcW w:w="1011" w:type="dxa"/>
            <w:tcBorders>
              <w:top w:val="single" w:sz="4" w:space="0" w:color="auto"/>
              <w:left w:val="nil"/>
              <w:bottom w:val="single" w:sz="4" w:space="0" w:color="auto"/>
              <w:right w:val="single" w:sz="4" w:space="0" w:color="auto"/>
            </w:tcBorders>
            <w:vAlign w:val="center"/>
          </w:tcPr>
          <w:p w14:paraId="600255AB" w14:textId="17A2D5DF" w:rsidR="001059DC" w:rsidRPr="00134AB5" w:rsidRDefault="001059DC" w:rsidP="001059DC">
            <w:pPr>
              <w:contextualSpacing/>
              <w:jc w:val="center"/>
              <w:rPr>
                <w:rFonts w:cs="Arial"/>
                <w:sz w:val="18"/>
                <w:szCs w:val="18"/>
              </w:rPr>
            </w:pPr>
            <w:r w:rsidRPr="00134AB5">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549D5856" w14:textId="06E713A2" w:rsidR="001059DC" w:rsidRPr="00134AB5" w:rsidRDefault="001059DC" w:rsidP="001059DC">
            <w:pPr>
              <w:contextualSpacing/>
              <w:jc w:val="center"/>
              <w:rPr>
                <w:rFonts w:cs="Arial"/>
                <w:sz w:val="18"/>
                <w:szCs w:val="18"/>
              </w:rPr>
            </w:pPr>
            <w:r w:rsidRPr="00134AB5">
              <w:rPr>
                <w:rFonts w:eastAsia="Arial"/>
                <w:sz w:val="20"/>
                <w:szCs w:val="20"/>
              </w:rPr>
              <w:t>ANO</w:t>
            </w:r>
          </w:p>
        </w:tc>
        <w:tc>
          <w:tcPr>
            <w:tcW w:w="1270" w:type="dxa"/>
            <w:tcBorders>
              <w:top w:val="single" w:sz="4" w:space="0" w:color="auto"/>
              <w:left w:val="nil"/>
              <w:bottom w:val="single" w:sz="4" w:space="0" w:color="auto"/>
              <w:right w:val="single" w:sz="4" w:space="0" w:color="auto"/>
            </w:tcBorders>
            <w:vAlign w:val="center"/>
          </w:tcPr>
          <w:p w14:paraId="3352C591" w14:textId="28244DA7" w:rsidR="001059DC" w:rsidRPr="00134AB5" w:rsidRDefault="001059DC" w:rsidP="001059DC">
            <w:pPr>
              <w:contextualSpacing/>
              <w:jc w:val="center"/>
              <w:rPr>
                <w:rFonts w:cs="Arial"/>
                <w:sz w:val="18"/>
                <w:szCs w:val="18"/>
              </w:rPr>
            </w:pPr>
            <w:r w:rsidRPr="00134AB5">
              <w:rPr>
                <w:rFonts w:eastAsia="Arial"/>
                <w:sz w:val="20"/>
                <w:szCs w:val="20"/>
              </w:rPr>
              <w:t>ANO</w:t>
            </w:r>
          </w:p>
        </w:tc>
      </w:tr>
      <w:tr w:rsidR="001059DC" w:rsidRPr="00134AB5" w14:paraId="6E8FF098" w14:textId="77777777" w:rsidTr="00726000">
        <w:trPr>
          <w:trHeight w:val="270"/>
        </w:trPr>
        <w:tc>
          <w:tcPr>
            <w:tcW w:w="521" w:type="dxa"/>
            <w:vMerge/>
            <w:tcBorders>
              <w:left w:val="single" w:sz="4" w:space="0" w:color="auto"/>
              <w:right w:val="single" w:sz="4" w:space="0" w:color="auto"/>
            </w:tcBorders>
          </w:tcPr>
          <w:p w14:paraId="79A33B4E" w14:textId="77777777" w:rsidR="001059DC" w:rsidRPr="00134AB5" w:rsidRDefault="001059DC" w:rsidP="001059DC">
            <w:pPr>
              <w:contextualSpacing/>
              <w:rPr>
                <w:rFonts w:cs="Arial"/>
                <w:sz w:val="18"/>
                <w:szCs w:val="18"/>
              </w:rPr>
            </w:pPr>
          </w:p>
        </w:tc>
        <w:tc>
          <w:tcPr>
            <w:tcW w:w="1606" w:type="dxa"/>
            <w:vMerge/>
            <w:tcBorders>
              <w:left w:val="single" w:sz="4" w:space="0" w:color="auto"/>
              <w:right w:val="single" w:sz="4" w:space="0" w:color="auto"/>
            </w:tcBorders>
          </w:tcPr>
          <w:p w14:paraId="0627199F" w14:textId="77777777" w:rsidR="001059DC" w:rsidRPr="00134AB5" w:rsidDel="00214D80" w:rsidRDefault="001059DC" w:rsidP="001059DC">
            <w:pPr>
              <w:contextualSpacing/>
              <w:rPr>
                <w:rFonts w:cs="Arial"/>
                <w:sz w:val="18"/>
                <w:szCs w:val="18"/>
              </w:rPr>
            </w:pPr>
          </w:p>
        </w:tc>
        <w:tc>
          <w:tcPr>
            <w:tcW w:w="2918" w:type="dxa"/>
            <w:tcBorders>
              <w:top w:val="single" w:sz="4" w:space="0" w:color="auto"/>
              <w:left w:val="nil"/>
              <w:bottom w:val="single" w:sz="4" w:space="0" w:color="auto"/>
              <w:right w:val="single" w:sz="4" w:space="0" w:color="auto"/>
            </w:tcBorders>
            <w:noWrap/>
            <w:vAlign w:val="center"/>
          </w:tcPr>
          <w:p w14:paraId="250EAD06" w14:textId="58404725" w:rsidR="001059DC" w:rsidRPr="00134AB5" w:rsidRDefault="001059DC" w:rsidP="001059DC">
            <w:pPr>
              <w:tabs>
                <w:tab w:val="right" w:pos="2804"/>
              </w:tabs>
              <w:contextualSpacing/>
              <w:rPr>
                <w:rFonts w:cs="Arial"/>
                <w:sz w:val="18"/>
                <w:szCs w:val="18"/>
              </w:rPr>
            </w:pPr>
            <w:r w:rsidRPr="00134AB5">
              <w:rPr>
                <w:rFonts w:eastAsia="Arial"/>
                <w:sz w:val="20"/>
                <w:szCs w:val="20"/>
              </w:rPr>
              <w:t>Kostelec na Hané</w:t>
            </w:r>
          </w:p>
        </w:tc>
        <w:tc>
          <w:tcPr>
            <w:tcW w:w="1241" w:type="dxa"/>
            <w:tcBorders>
              <w:top w:val="single" w:sz="4" w:space="0" w:color="auto"/>
              <w:left w:val="nil"/>
              <w:bottom w:val="single" w:sz="4" w:space="0" w:color="auto"/>
              <w:right w:val="single" w:sz="4" w:space="0" w:color="auto"/>
            </w:tcBorders>
            <w:vAlign w:val="center"/>
          </w:tcPr>
          <w:p w14:paraId="3F1084DD" w14:textId="6339D0BE" w:rsidR="001059DC" w:rsidRPr="00134AB5" w:rsidRDefault="001059DC" w:rsidP="001059DC">
            <w:pPr>
              <w:contextualSpacing/>
              <w:jc w:val="right"/>
              <w:rPr>
                <w:rFonts w:cs="Arial"/>
                <w:sz w:val="18"/>
                <w:szCs w:val="18"/>
              </w:rPr>
            </w:pPr>
            <w:r w:rsidRPr="00134AB5">
              <w:rPr>
                <w:rFonts w:eastAsia="Arial"/>
                <w:sz w:val="20"/>
                <w:szCs w:val="20"/>
              </w:rPr>
              <w:t>3 500</w:t>
            </w:r>
          </w:p>
        </w:tc>
        <w:tc>
          <w:tcPr>
            <w:tcW w:w="1011" w:type="dxa"/>
            <w:tcBorders>
              <w:top w:val="single" w:sz="4" w:space="0" w:color="auto"/>
              <w:left w:val="nil"/>
              <w:bottom w:val="single" w:sz="4" w:space="0" w:color="auto"/>
              <w:right w:val="single" w:sz="4" w:space="0" w:color="auto"/>
            </w:tcBorders>
            <w:vAlign w:val="center"/>
          </w:tcPr>
          <w:p w14:paraId="77C5E946" w14:textId="62B8854D" w:rsidR="001059DC" w:rsidRPr="00134AB5" w:rsidRDefault="001059DC" w:rsidP="001059DC">
            <w:pPr>
              <w:contextualSpacing/>
              <w:jc w:val="center"/>
              <w:rPr>
                <w:rFonts w:cs="Arial"/>
                <w:sz w:val="18"/>
                <w:szCs w:val="18"/>
              </w:rPr>
            </w:pPr>
            <w:r w:rsidRPr="00134AB5">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7E931E35" w14:textId="0A7D9938" w:rsidR="001059DC" w:rsidRPr="00134AB5" w:rsidRDefault="001059DC" w:rsidP="001059DC">
            <w:pPr>
              <w:contextualSpacing/>
              <w:jc w:val="center"/>
              <w:rPr>
                <w:rFonts w:cs="Arial"/>
                <w:sz w:val="18"/>
                <w:szCs w:val="18"/>
              </w:rPr>
            </w:pPr>
            <w:r w:rsidRPr="00134AB5">
              <w:rPr>
                <w:rFonts w:eastAsia="Arial"/>
                <w:sz w:val="20"/>
                <w:szCs w:val="20"/>
              </w:rPr>
              <w:t>ANO</w:t>
            </w:r>
          </w:p>
        </w:tc>
        <w:tc>
          <w:tcPr>
            <w:tcW w:w="1270" w:type="dxa"/>
            <w:tcBorders>
              <w:top w:val="single" w:sz="4" w:space="0" w:color="auto"/>
              <w:left w:val="nil"/>
              <w:bottom w:val="single" w:sz="4" w:space="0" w:color="auto"/>
              <w:right w:val="single" w:sz="4" w:space="0" w:color="auto"/>
            </w:tcBorders>
            <w:vAlign w:val="center"/>
          </w:tcPr>
          <w:p w14:paraId="6CFADA27" w14:textId="32B4B03C" w:rsidR="001059DC" w:rsidRPr="00134AB5" w:rsidRDefault="001059DC" w:rsidP="001059DC">
            <w:pPr>
              <w:contextualSpacing/>
              <w:jc w:val="center"/>
              <w:rPr>
                <w:rFonts w:cs="Arial"/>
                <w:sz w:val="18"/>
                <w:szCs w:val="18"/>
              </w:rPr>
            </w:pPr>
            <w:r w:rsidRPr="00134AB5">
              <w:rPr>
                <w:rFonts w:eastAsia="Arial"/>
                <w:sz w:val="20"/>
                <w:szCs w:val="20"/>
              </w:rPr>
              <w:t>ANO</w:t>
            </w:r>
          </w:p>
        </w:tc>
      </w:tr>
      <w:tr w:rsidR="001059DC" w:rsidRPr="00134AB5" w14:paraId="24BAF4AB" w14:textId="77777777" w:rsidTr="00726000">
        <w:trPr>
          <w:trHeight w:val="270"/>
        </w:trPr>
        <w:tc>
          <w:tcPr>
            <w:tcW w:w="521" w:type="dxa"/>
            <w:vMerge/>
            <w:tcBorders>
              <w:left w:val="single" w:sz="4" w:space="0" w:color="auto"/>
              <w:right w:val="single" w:sz="4" w:space="0" w:color="auto"/>
            </w:tcBorders>
          </w:tcPr>
          <w:p w14:paraId="230DDCC0" w14:textId="77777777" w:rsidR="001059DC" w:rsidRPr="00134AB5" w:rsidRDefault="001059DC" w:rsidP="001059DC">
            <w:pPr>
              <w:contextualSpacing/>
              <w:rPr>
                <w:rFonts w:cs="Arial"/>
                <w:sz w:val="18"/>
                <w:szCs w:val="18"/>
              </w:rPr>
            </w:pPr>
          </w:p>
        </w:tc>
        <w:tc>
          <w:tcPr>
            <w:tcW w:w="1606" w:type="dxa"/>
            <w:vMerge/>
            <w:tcBorders>
              <w:left w:val="single" w:sz="4" w:space="0" w:color="auto"/>
              <w:right w:val="single" w:sz="4" w:space="0" w:color="auto"/>
            </w:tcBorders>
          </w:tcPr>
          <w:p w14:paraId="65DA6A05" w14:textId="77777777" w:rsidR="001059DC" w:rsidRPr="00134AB5" w:rsidDel="00214D80" w:rsidRDefault="001059DC" w:rsidP="001059DC">
            <w:pPr>
              <w:contextualSpacing/>
              <w:rPr>
                <w:rFonts w:cs="Arial"/>
                <w:sz w:val="18"/>
                <w:szCs w:val="18"/>
              </w:rPr>
            </w:pPr>
          </w:p>
        </w:tc>
        <w:tc>
          <w:tcPr>
            <w:tcW w:w="2918" w:type="dxa"/>
            <w:tcBorders>
              <w:top w:val="single" w:sz="4" w:space="0" w:color="auto"/>
              <w:left w:val="nil"/>
              <w:bottom w:val="single" w:sz="4" w:space="0" w:color="auto"/>
              <w:right w:val="single" w:sz="4" w:space="0" w:color="auto"/>
            </w:tcBorders>
            <w:noWrap/>
            <w:vAlign w:val="center"/>
          </w:tcPr>
          <w:p w14:paraId="07222B78" w14:textId="35764DC4" w:rsidR="001059DC" w:rsidRPr="00134AB5" w:rsidRDefault="001059DC" w:rsidP="001059DC">
            <w:pPr>
              <w:tabs>
                <w:tab w:val="right" w:pos="2804"/>
              </w:tabs>
              <w:contextualSpacing/>
              <w:rPr>
                <w:rFonts w:cs="Arial"/>
                <w:sz w:val="18"/>
                <w:szCs w:val="18"/>
              </w:rPr>
            </w:pPr>
            <w:r w:rsidRPr="00134AB5">
              <w:rPr>
                <w:rFonts w:eastAsia="Arial"/>
                <w:sz w:val="20"/>
                <w:szCs w:val="20"/>
              </w:rPr>
              <w:t>Bojkovice</w:t>
            </w:r>
          </w:p>
        </w:tc>
        <w:tc>
          <w:tcPr>
            <w:tcW w:w="1241" w:type="dxa"/>
            <w:tcBorders>
              <w:top w:val="single" w:sz="4" w:space="0" w:color="auto"/>
              <w:left w:val="nil"/>
              <w:bottom w:val="single" w:sz="4" w:space="0" w:color="auto"/>
              <w:right w:val="single" w:sz="4" w:space="0" w:color="auto"/>
            </w:tcBorders>
            <w:vAlign w:val="center"/>
          </w:tcPr>
          <w:p w14:paraId="44EA526A" w14:textId="02CD13B4" w:rsidR="001059DC" w:rsidRPr="00134AB5" w:rsidRDefault="001059DC" w:rsidP="001059DC">
            <w:pPr>
              <w:contextualSpacing/>
              <w:jc w:val="right"/>
              <w:rPr>
                <w:rFonts w:cs="Arial"/>
                <w:sz w:val="18"/>
                <w:szCs w:val="18"/>
              </w:rPr>
            </w:pPr>
            <w:r w:rsidRPr="00134AB5">
              <w:rPr>
                <w:rFonts w:eastAsia="Arial"/>
                <w:sz w:val="20"/>
                <w:szCs w:val="20"/>
              </w:rPr>
              <w:t>5 800</w:t>
            </w:r>
          </w:p>
        </w:tc>
        <w:tc>
          <w:tcPr>
            <w:tcW w:w="1011" w:type="dxa"/>
            <w:tcBorders>
              <w:top w:val="single" w:sz="4" w:space="0" w:color="auto"/>
              <w:left w:val="nil"/>
              <w:bottom w:val="single" w:sz="4" w:space="0" w:color="auto"/>
              <w:right w:val="single" w:sz="4" w:space="0" w:color="auto"/>
            </w:tcBorders>
            <w:vAlign w:val="center"/>
          </w:tcPr>
          <w:p w14:paraId="6C6892B5" w14:textId="2563A3B8" w:rsidR="001059DC" w:rsidRPr="00134AB5" w:rsidRDefault="001059DC" w:rsidP="001059DC">
            <w:pPr>
              <w:contextualSpacing/>
              <w:jc w:val="center"/>
              <w:rPr>
                <w:rFonts w:cs="Arial"/>
                <w:sz w:val="18"/>
                <w:szCs w:val="18"/>
              </w:rPr>
            </w:pPr>
            <w:r w:rsidRPr="00134AB5">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02D120AB" w14:textId="7C850F61" w:rsidR="001059DC" w:rsidRPr="00134AB5" w:rsidRDefault="001059DC" w:rsidP="001059DC">
            <w:pPr>
              <w:contextualSpacing/>
              <w:jc w:val="center"/>
              <w:rPr>
                <w:rFonts w:cs="Arial"/>
                <w:sz w:val="18"/>
                <w:szCs w:val="18"/>
              </w:rPr>
            </w:pPr>
            <w:r w:rsidRPr="00134AB5">
              <w:rPr>
                <w:rFonts w:eastAsia="Arial"/>
                <w:sz w:val="20"/>
                <w:szCs w:val="20"/>
              </w:rPr>
              <w:t>ANO</w:t>
            </w:r>
          </w:p>
        </w:tc>
        <w:tc>
          <w:tcPr>
            <w:tcW w:w="1270" w:type="dxa"/>
            <w:tcBorders>
              <w:top w:val="single" w:sz="4" w:space="0" w:color="auto"/>
              <w:left w:val="nil"/>
              <w:bottom w:val="single" w:sz="4" w:space="0" w:color="auto"/>
              <w:right w:val="single" w:sz="4" w:space="0" w:color="auto"/>
            </w:tcBorders>
            <w:vAlign w:val="center"/>
          </w:tcPr>
          <w:p w14:paraId="2BDEFDCA" w14:textId="3903AF33" w:rsidR="001059DC" w:rsidRPr="00134AB5" w:rsidRDefault="001059DC" w:rsidP="001059DC">
            <w:pPr>
              <w:contextualSpacing/>
              <w:jc w:val="center"/>
              <w:rPr>
                <w:rFonts w:cs="Arial"/>
                <w:sz w:val="18"/>
                <w:szCs w:val="18"/>
              </w:rPr>
            </w:pPr>
            <w:r w:rsidRPr="00134AB5">
              <w:rPr>
                <w:rFonts w:eastAsia="Arial"/>
                <w:sz w:val="20"/>
                <w:szCs w:val="20"/>
              </w:rPr>
              <w:t>ANO</w:t>
            </w:r>
          </w:p>
        </w:tc>
      </w:tr>
      <w:tr w:rsidR="001059DC" w:rsidRPr="00134AB5" w14:paraId="46D1E292" w14:textId="77777777" w:rsidTr="00726000">
        <w:trPr>
          <w:trHeight w:val="270"/>
        </w:trPr>
        <w:tc>
          <w:tcPr>
            <w:tcW w:w="521" w:type="dxa"/>
            <w:vMerge/>
            <w:tcBorders>
              <w:left w:val="single" w:sz="4" w:space="0" w:color="auto"/>
              <w:right w:val="single" w:sz="4" w:space="0" w:color="auto"/>
            </w:tcBorders>
          </w:tcPr>
          <w:p w14:paraId="679DC058" w14:textId="77777777" w:rsidR="001059DC" w:rsidRPr="00134AB5" w:rsidRDefault="001059DC" w:rsidP="001059DC">
            <w:pPr>
              <w:contextualSpacing/>
              <w:rPr>
                <w:rFonts w:cs="Arial"/>
                <w:sz w:val="18"/>
                <w:szCs w:val="18"/>
              </w:rPr>
            </w:pPr>
          </w:p>
        </w:tc>
        <w:tc>
          <w:tcPr>
            <w:tcW w:w="1606" w:type="dxa"/>
            <w:vMerge/>
            <w:tcBorders>
              <w:left w:val="single" w:sz="4" w:space="0" w:color="auto"/>
              <w:right w:val="single" w:sz="4" w:space="0" w:color="auto"/>
            </w:tcBorders>
          </w:tcPr>
          <w:p w14:paraId="29E8EE4D" w14:textId="77777777" w:rsidR="001059DC" w:rsidRPr="00134AB5" w:rsidDel="00214D80" w:rsidRDefault="001059DC" w:rsidP="001059DC">
            <w:pPr>
              <w:contextualSpacing/>
              <w:rPr>
                <w:rFonts w:cs="Arial"/>
                <w:sz w:val="18"/>
                <w:szCs w:val="18"/>
              </w:rPr>
            </w:pPr>
          </w:p>
        </w:tc>
        <w:tc>
          <w:tcPr>
            <w:tcW w:w="2918" w:type="dxa"/>
            <w:tcBorders>
              <w:top w:val="single" w:sz="4" w:space="0" w:color="auto"/>
              <w:left w:val="nil"/>
              <w:bottom w:val="single" w:sz="4" w:space="0" w:color="auto"/>
              <w:right w:val="single" w:sz="4" w:space="0" w:color="auto"/>
            </w:tcBorders>
            <w:noWrap/>
            <w:vAlign w:val="center"/>
          </w:tcPr>
          <w:p w14:paraId="680ABCE3" w14:textId="07DF85C4" w:rsidR="001059DC" w:rsidRPr="00134AB5" w:rsidRDefault="001059DC" w:rsidP="001059DC">
            <w:pPr>
              <w:tabs>
                <w:tab w:val="right" w:pos="2804"/>
              </w:tabs>
              <w:contextualSpacing/>
              <w:rPr>
                <w:sz w:val="18"/>
                <w:szCs w:val="18"/>
              </w:rPr>
            </w:pPr>
            <w:r w:rsidRPr="00134AB5">
              <w:rPr>
                <w:rFonts w:eastAsia="Arial"/>
                <w:sz w:val="20"/>
                <w:szCs w:val="20"/>
              </w:rPr>
              <w:t>Boršice u Buchlovic</w:t>
            </w:r>
          </w:p>
        </w:tc>
        <w:tc>
          <w:tcPr>
            <w:tcW w:w="1241" w:type="dxa"/>
            <w:tcBorders>
              <w:top w:val="single" w:sz="4" w:space="0" w:color="auto"/>
              <w:left w:val="nil"/>
              <w:bottom w:val="single" w:sz="4" w:space="0" w:color="auto"/>
              <w:right w:val="single" w:sz="4" w:space="0" w:color="auto"/>
            </w:tcBorders>
            <w:vAlign w:val="center"/>
          </w:tcPr>
          <w:p w14:paraId="7EFD4427" w14:textId="2724F7E0" w:rsidR="001059DC" w:rsidRPr="00134AB5" w:rsidRDefault="001059DC" w:rsidP="001059DC">
            <w:pPr>
              <w:contextualSpacing/>
              <w:jc w:val="right"/>
              <w:rPr>
                <w:sz w:val="18"/>
                <w:szCs w:val="18"/>
              </w:rPr>
            </w:pPr>
            <w:r w:rsidRPr="00134AB5">
              <w:rPr>
                <w:rFonts w:eastAsia="Arial"/>
                <w:sz w:val="20"/>
                <w:szCs w:val="20"/>
              </w:rPr>
              <w:t>2 920</w:t>
            </w:r>
          </w:p>
        </w:tc>
        <w:tc>
          <w:tcPr>
            <w:tcW w:w="1011" w:type="dxa"/>
            <w:tcBorders>
              <w:top w:val="single" w:sz="4" w:space="0" w:color="auto"/>
              <w:left w:val="nil"/>
              <w:bottom w:val="single" w:sz="4" w:space="0" w:color="auto"/>
              <w:right w:val="single" w:sz="4" w:space="0" w:color="auto"/>
            </w:tcBorders>
            <w:vAlign w:val="center"/>
          </w:tcPr>
          <w:p w14:paraId="552C7764" w14:textId="2C3DD449" w:rsidR="001059DC" w:rsidRPr="00134AB5" w:rsidRDefault="001059DC" w:rsidP="001059DC">
            <w:pPr>
              <w:contextualSpacing/>
              <w:jc w:val="center"/>
              <w:rPr>
                <w:sz w:val="18"/>
                <w:szCs w:val="18"/>
              </w:rPr>
            </w:pPr>
            <w:r w:rsidRPr="00134AB5">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25ED0E79" w14:textId="07911F32" w:rsidR="001059DC" w:rsidRPr="00134AB5" w:rsidRDefault="001059DC" w:rsidP="001059DC">
            <w:pPr>
              <w:contextualSpacing/>
              <w:jc w:val="center"/>
              <w:rPr>
                <w:sz w:val="18"/>
                <w:szCs w:val="18"/>
              </w:rPr>
            </w:pPr>
            <w:r w:rsidRPr="00134AB5">
              <w:rPr>
                <w:rFonts w:eastAsia="Arial"/>
                <w:sz w:val="20"/>
                <w:szCs w:val="20"/>
              </w:rPr>
              <w:t>ANO</w:t>
            </w:r>
          </w:p>
        </w:tc>
        <w:tc>
          <w:tcPr>
            <w:tcW w:w="1270" w:type="dxa"/>
            <w:tcBorders>
              <w:top w:val="single" w:sz="4" w:space="0" w:color="auto"/>
              <w:left w:val="nil"/>
              <w:bottom w:val="single" w:sz="4" w:space="0" w:color="auto"/>
              <w:right w:val="single" w:sz="4" w:space="0" w:color="auto"/>
            </w:tcBorders>
            <w:vAlign w:val="center"/>
          </w:tcPr>
          <w:p w14:paraId="1250F4F4" w14:textId="24D7FD4C" w:rsidR="001059DC" w:rsidRPr="00134AB5" w:rsidRDefault="001059DC" w:rsidP="001059DC">
            <w:pPr>
              <w:contextualSpacing/>
              <w:jc w:val="center"/>
              <w:rPr>
                <w:sz w:val="18"/>
                <w:szCs w:val="18"/>
              </w:rPr>
            </w:pPr>
            <w:r w:rsidRPr="00134AB5">
              <w:rPr>
                <w:rFonts w:eastAsia="Arial"/>
                <w:sz w:val="20"/>
                <w:szCs w:val="20"/>
              </w:rPr>
              <w:t>ANO</w:t>
            </w:r>
          </w:p>
        </w:tc>
      </w:tr>
      <w:tr w:rsidR="001059DC" w:rsidRPr="00134AB5" w14:paraId="403C3EFA" w14:textId="77777777" w:rsidTr="00726000">
        <w:trPr>
          <w:trHeight w:val="270"/>
        </w:trPr>
        <w:tc>
          <w:tcPr>
            <w:tcW w:w="521" w:type="dxa"/>
            <w:vMerge/>
            <w:tcBorders>
              <w:left w:val="single" w:sz="4" w:space="0" w:color="auto"/>
              <w:right w:val="single" w:sz="4" w:space="0" w:color="auto"/>
            </w:tcBorders>
          </w:tcPr>
          <w:p w14:paraId="548F4A04" w14:textId="77777777" w:rsidR="001059DC" w:rsidRPr="00134AB5" w:rsidRDefault="001059DC" w:rsidP="001059DC">
            <w:pPr>
              <w:contextualSpacing/>
              <w:rPr>
                <w:rFonts w:cs="Arial"/>
                <w:sz w:val="18"/>
                <w:szCs w:val="18"/>
              </w:rPr>
            </w:pPr>
          </w:p>
        </w:tc>
        <w:tc>
          <w:tcPr>
            <w:tcW w:w="1606" w:type="dxa"/>
            <w:vMerge/>
            <w:tcBorders>
              <w:left w:val="single" w:sz="4" w:space="0" w:color="auto"/>
              <w:right w:val="single" w:sz="4" w:space="0" w:color="auto"/>
            </w:tcBorders>
          </w:tcPr>
          <w:p w14:paraId="18174EB4" w14:textId="77777777" w:rsidR="001059DC" w:rsidRPr="00134AB5" w:rsidDel="00214D80" w:rsidRDefault="001059DC" w:rsidP="001059DC">
            <w:pPr>
              <w:contextualSpacing/>
              <w:rPr>
                <w:rFonts w:cs="Arial"/>
                <w:sz w:val="18"/>
                <w:szCs w:val="18"/>
              </w:rPr>
            </w:pPr>
          </w:p>
        </w:tc>
        <w:tc>
          <w:tcPr>
            <w:tcW w:w="2918" w:type="dxa"/>
            <w:tcBorders>
              <w:top w:val="single" w:sz="4" w:space="0" w:color="auto"/>
              <w:left w:val="nil"/>
              <w:bottom w:val="single" w:sz="4" w:space="0" w:color="auto"/>
              <w:right w:val="single" w:sz="4" w:space="0" w:color="auto"/>
            </w:tcBorders>
            <w:noWrap/>
            <w:vAlign w:val="center"/>
          </w:tcPr>
          <w:p w14:paraId="5132FB4C" w14:textId="30451360" w:rsidR="001059DC" w:rsidRPr="00134AB5" w:rsidRDefault="001059DC" w:rsidP="001059DC">
            <w:pPr>
              <w:tabs>
                <w:tab w:val="right" w:pos="2804"/>
              </w:tabs>
              <w:contextualSpacing/>
              <w:rPr>
                <w:sz w:val="18"/>
                <w:szCs w:val="18"/>
              </w:rPr>
            </w:pPr>
            <w:r w:rsidRPr="00134AB5">
              <w:rPr>
                <w:rFonts w:eastAsia="Arial"/>
                <w:sz w:val="20"/>
                <w:szCs w:val="20"/>
              </w:rPr>
              <w:t>Čeladná</w:t>
            </w:r>
          </w:p>
        </w:tc>
        <w:tc>
          <w:tcPr>
            <w:tcW w:w="1241" w:type="dxa"/>
            <w:tcBorders>
              <w:top w:val="single" w:sz="4" w:space="0" w:color="auto"/>
              <w:left w:val="nil"/>
              <w:bottom w:val="single" w:sz="4" w:space="0" w:color="auto"/>
              <w:right w:val="single" w:sz="4" w:space="0" w:color="auto"/>
            </w:tcBorders>
            <w:vAlign w:val="center"/>
          </w:tcPr>
          <w:p w14:paraId="2BDF7D62" w14:textId="106BDE56" w:rsidR="001059DC" w:rsidRPr="00134AB5" w:rsidRDefault="001059DC" w:rsidP="001059DC">
            <w:pPr>
              <w:contextualSpacing/>
              <w:jc w:val="right"/>
              <w:rPr>
                <w:sz w:val="18"/>
                <w:szCs w:val="18"/>
              </w:rPr>
            </w:pPr>
            <w:r w:rsidRPr="00134AB5">
              <w:rPr>
                <w:rFonts w:eastAsia="Arial"/>
                <w:sz w:val="20"/>
                <w:szCs w:val="20"/>
              </w:rPr>
              <w:t>3 200</w:t>
            </w:r>
          </w:p>
        </w:tc>
        <w:tc>
          <w:tcPr>
            <w:tcW w:w="1011" w:type="dxa"/>
            <w:tcBorders>
              <w:top w:val="single" w:sz="4" w:space="0" w:color="auto"/>
              <w:left w:val="nil"/>
              <w:bottom w:val="single" w:sz="4" w:space="0" w:color="auto"/>
              <w:right w:val="single" w:sz="4" w:space="0" w:color="auto"/>
            </w:tcBorders>
            <w:vAlign w:val="center"/>
          </w:tcPr>
          <w:p w14:paraId="37D9EC39" w14:textId="6CD8A7C7" w:rsidR="001059DC" w:rsidRPr="00134AB5" w:rsidRDefault="001059DC" w:rsidP="001059DC">
            <w:pPr>
              <w:contextualSpacing/>
              <w:jc w:val="center"/>
              <w:rPr>
                <w:sz w:val="18"/>
                <w:szCs w:val="18"/>
              </w:rPr>
            </w:pPr>
            <w:r w:rsidRPr="00134AB5">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3E481575" w14:textId="525DDB11" w:rsidR="001059DC" w:rsidRPr="00134AB5" w:rsidRDefault="001059DC" w:rsidP="001059DC">
            <w:pPr>
              <w:contextualSpacing/>
              <w:jc w:val="center"/>
              <w:rPr>
                <w:sz w:val="18"/>
                <w:szCs w:val="18"/>
              </w:rPr>
            </w:pPr>
            <w:r w:rsidRPr="00134AB5">
              <w:rPr>
                <w:rFonts w:eastAsia="Arial"/>
                <w:sz w:val="20"/>
                <w:szCs w:val="20"/>
              </w:rPr>
              <w:t>ANO</w:t>
            </w:r>
          </w:p>
        </w:tc>
        <w:tc>
          <w:tcPr>
            <w:tcW w:w="1270" w:type="dxa"/>
            <w:tcBorders>
              <w:top w:val="single" w:sz="4" w:space="0" w:color="auto"/>
              <w:left w:val="nil"/>
              <w:bottom w:val="single" w:sz="4" w:space="0" w:color="auto"/>
              <w:right w:val="single" w:sz="4" w:space="0" w:color="auto"/>
            </w:tcBorders>
            <w:vAlign w:val="center"/>
          </w:tcPr>
          <w:p w14:paraId="6E6BFFAB" w14:textId="12889EE1" w:rsidR="001059DC" w:rsidRPr="00134AB5" w:rsidRDefault="001059DC" w:rsidP="001059DC">
            <w:pPr>
              <w:contextualSpacing/>
              <w:jc w:val="center"/>
              <w:rPr>
                <w:sz w:val="18"/>
                <w:szCs w:val="18"/>
              </w:rPr>
            </w:pPr>
            <w:r w:rsidRPr="00134AB5">
              <w:rPr>
                <w:rFonts w:eastAsia="Arial"/>
                <w:sz w:val="20"/>
                <w:szCs w:val="20"/>
              </w:rPr>
              <w:t>ANO</w:t>
            </w:r>
          </w:p>
        </w:tc>
      </w:tr>
      <w:tr w:rsidR="001059DC" w:rsidRPr="00134AB5" w14:paraId="5F3E3E8B" w14:textId="77777777" w:rsidTr="00726000">
        <w:trPr>
          <w:trHeight w:val="270"/>
        </w:trPr>
        <w:tc>
          <w:tcPr>
            <w:tcW w:w="521" w:type="dxa"/>
            <w:vMerge/>
            <w:tcBorders>
              <w:left w:val="single" w:sz="4" w:space="0" w:color="auto"/>
              <w:right w:val="single" w:sz="4" w:space="0" w:color="auto"/>
            </w:tcBorders>
          </w:tcPr>
          <w:p w14:paraId="54615293" w14:textId="77777777" w:rsidR="001059DC" w:rsidRPr="00134AB5" w:rsidRDefault="001059DC" w:rsidP="001059DC">
            <w:pPr>
              <w:contextualSpacing/>
              <w:rPr>
                <w:rFonts w:cs="Arial"/>
                <w:sz w:val="18"/>
                <w:szCs w:val="18"/>
              </w:rPr>
            </w:pPr>
          </w:p>
        </w:tc>
        <w:tc>
          <w:tcPr>
            <w:tcW w:w="1606" w:type="dxa"/>
            <w:vMerge w:val="restart"/>
            <w:tcBorders>
              <w:left w:val="single" w:sz="4" w:space="0" w:color="auto"/>
              <w:right w:val="single" w:sz="4" w:space="0" w:color="auto"/>
            </w:tcBorders>
          </w:tcPr>
          <w:p w14:paraId="34A9B98E" w14:textId="77777777" w:rsidR="001059DC" w:rsidRPr="00134AB5" w:rsidDel="00214D80" w:rsidRDefault="001059DC" w:rsidP="001059DC">
            <w:pPr>
              <w:contextualSpacing/>
              <w:rPr>
                <w:rFonts w:cs="Arial"/>
                <w:sz w:val="18"/>
                <w:szCs w:val="18"/>
              </w:rPr>
            </w:pPr>
          </w:p>
        </w:tc>
        <w:tc>
          <w:tcPr>
            <w:tcW w:w="2918" w:type="dxa"/>
            <w:tcBorders>
              <w:top w:val="single" w:sz="4" w:space="0" w:color="auto"/>
              <w:left w:val="nil"/>
              <w:bottom w:val="single" w:sz="4" w:space="0" w:color="auto"/>
              <w:right w:val="single" w:sz="4" w:space="0" w:color="auto"/>
            </w:tcBorders>
            <w:noWrap/>
            <w:vAlign w:val="center"/>
          </w:tcPr>
          <w:p w14:paraId="6E40427E" w14:textId="2DFF9726" w:rsidR="001059DC" w:rsidRPr="00134AB5" w:rsidRDefault="001059DC" w:rsidP="001059DC">
            <w:pPr>
              <w:tabs>
                <w:tab w:val="right" w:pos="2804"/>
              </w:tabs>
              <w:contextualSpacing/>
              <w:rPr>
                <w:sz w:val="18"/>
                <w:szCs w:val="18"/>
              </w:rPr>
            </w:pPr>
            <w:r w:rsidRPr="00134AB5">
              <w:rPr>
                <w:rFonts w:eastAsia="Arial"/>
                <w:sz w:val="20"/>
                <w:szCs w:val="20"/>
              </w:rPr>
              <w:t>Bruntál</w:t>
            </w:r>
          </w:p>
        </w:tc>
        <w:tc>
          <w:tcPr>
            <w:tcW w:w="1241" w:type="dxa"/>
            <w:tcBorders>
              <w:top w:val="single" w:sz="4" w:space="0" w:color="auto"/>
              <w:left w:val="nil"/>
              <w:bottom w:val="single" w:sz="4" w:space="0" w:color="auto"/>
              <w:right w:val="single" w:sz="4" w:space="0" w:color="auto"/>
            </w:tcBorders>
            <w:vAlign w:val="center"/>
          </w:tcPr>
          <w:p w14:paraId="3243C7AC" w14:textId="29BB247A" w:rsidR="001059DC" w:rsidRPr="00134AB5" w:rsidRDefault="001059DC" w:rsidP="001059DC">
            <w:pPr>
              <w:contextualSpacing/>
              <w:jc w:val="right"/>
              <w:rPr>
                <w:color w:val="000000"/>
                <w:sz w:val="18"/>
                <w:szCs w:val="18"/>
              </w:rPr>
            </w:pPr>
            <w:r w:rsidRPr="00134AB5">
              <w:rPr>
                <w:rFonts w:eastAsia="Arial"/>
                <w:sz w:val="20"/>
                <w:szCs w:val="20"/>
              </w:rPr>
              <w:t>37 383</w:t>
            </w:r>
          </w:p>
        </w:tc>
        <w:tc>
          <w:tcPr>
            <w:tcW w:w="1011" w:type="dxa"/>
            <w:tcBorders>
              <w:top w:val="single" w:sz="4" w:space="0" w:color="auto"/>
              <w:left w:val="nil"/>
              <w:bottom w:val="single" w:sz="4" w:space="0" w:color="auto"/>
              <w:right w:val="single" w:sz="4" w:space="0" w:color="auto"/>
            </w:tcBorders>
            <w:vAlign w:val="center"/>
          </w:tcPr>
          <w:p w14:paraId="6D4FDA89" w14:textId="5E02D3CA" w:rsidR="001059DC" w:rsidRPr="00134AB5" w:rsidRDefault="001059DC" w:rsidP="001059DC">
            <w:pPr>
              <w:contextualSpacing/>
              <w:jc w:val="center"/>
              <w:rPr>
                <w:color w:val="000000"/>
                <w:sz w:val="18"/>
                <w:szCs w:val="18"/>
              </w:rPr>
            </w:pPr>
            <w:r w:rsidRPr="00134AB5">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2B7FBDCB" w14:textId="3552339E" w:rsidR="001059DC" w:rsidRPr="00134AB5" w:rsidRDefault="001059DC" w:rsidP="001059DC">
            <w:pPr>
              <w:contextualSpacing/>
              <w:jc w:val="center"/>
              <w:rPr>
                <w:color w:val="000000"/>
                <w:sz w:val="18"/>
                <w:szCs w:val="18"/>
              </w:rPr>
            </w:pPr>
            <w:r w:rsidRPr="00134AB5">
              <w:rPr>
                <w:rFonts w:eastAsia="Arial"/>
                <w:sz w:val="20"/>
                <w:szCs w:val="20"/>
              </w:rPr>
              <w:t>ANO</w:t>
            </w:r>
          </w:p>
        </w:tc>
        <w:tc>
          <w:tcPr>
            <w:tcW w:w="1270" w:type="dxa"/>
            <w:tcBorders>
              <w:top w:val="single" w:sz="4" w:space="0" w:color="auto"/>
              <w:left w:val="nil"/>
              <w:bottom w:val="single" w:sz="4" w:space="0" w:color="auto"/>
              <w:right w:val="single" w:sz="4" w:space="0" w:color="auto"/>
            </w:tcBorders>
            <w:vAlign w:val="center"/>
          </w:tcPr>
          <w:p w14:paraId="5EA0F0AE" w14:textId="7E0EC666" w:rsidR="001059DC" w:rsidRPr="00134AB5" w:rsidRDefault="001059DC" w:rsidP="001059DC">
            <w:pPr>
              <w:contextualSpacing/>
              <w:jc w:val="center"/>
              <w:rPr>
                <w:color w:val="000000"/>
                <w:sz w:val="18"/>
                <w:szCs w:val="18"/>
              </w:rPr>
            </w:pPr>
            <w:r w:rsidRPr="00134AB5">
              <w:rPr>
                <w:rFonts w:eastAsia="Arial"/>
                <w:sz w:val="20"/>
                <w:szCs w:val="20"/>
              </w:rPr>
              <w:t>ANO</w:t>
            </w:r>
          </w:p>
        </w:tc>
      </w:tr>
      <w:tr w:rsidR="001059DC" w:rsidRPr="00134AB5" w14:paraId="71C51021" w14:textId="77777777" w:rsidTr="00726000">
        <w:trPr>
          <w:trHeight w:val="270"/>
        </w:trPr>
        <w:tc>
          <w:tcPr>
            <w:tcW w:w="521" w:type="dxa"/>
            <w:vMerge/>
            <w:tcBorders>
              <w:left w:val="single" w:sz="4" w:space="0" w:color="auto"/>
              <w:right w:val="single" w:sz="4" w:space="0" w:color="auto"/>
            </w:tcBorders>
          </w:tcPr>
          <w:p w14:paraId="79F91898" w14:textId="77777777" w:rsidR="001059DC" w:rsidRPr="00134AB5" w:rsidRDefault="001059DC" w:rsidP="001059DC">
            <w:pPr>
              <w:contextualSpacing/>
              <w:rPr>
                <w:rFonts w:cs="Arial"/>
                <w:sz w:val="18"/>
                <w:szCs w:val="18"/>
              </w:rPr>
            </w:pPr>
          </w:p>
        </w:tc>
        <w:tc>
          <w:tcPr>
            <w:tcW w:w="1606" w:type="dxa"/>
            <w:vMerge/>
            <w:tcBorders>
              <w:left w:val="single" w:sz="4" w:space="0" w:color="auto"/>
              <w:right w:val="single" w:sz="4" w:space="0" w:color="auto"/>
            </w:tcBorders>
          </w:tcPr>
          <w:p w14:paraId="64318770" w14:textId="77777777" w:rsidR="001059DC" w:rsidRPr="00134AB5" w:rsidDel="00214D80" w:rsidRDefault="001059DC" w:rsidP="001059DC">
            <w:pPr>
              <w:contextualSpacing/>
              <w:rPr>
                <w:rFonts w:cs="Arial"/>
                <w:sz w:val="18"/>
                <w:szCs w:val="18"/>
              </w:rPr>
            </w:pPr>
          </w:p>
        </w:tc>
        <w:tc>
          <w:tcPr>
            <w:tcW w:w="2918" w:type="dxa"/>
            <w:tcBorders>
              <w:top w:val="single" w:sz="4" w:space="0" w:color="auto"/>
              <w:left w:val="nil"/>
              <w:bottom w:val="single" w:sz="4" w:space="0" w:color="auto"/>
              <w:right w:val="single" w:sz="4" w:space="0" w:color="auto"/>
            </w:tcBorders>
            <w:noWrap/>
            <w:vAlign w:val="center"/>
          </w:tcPr>
          <w:p w14:paraId="5B25B638" w14:textId="3FF85362" w:rsidR="001059DC" w:rsidRPr="00134AB5" w:rsidRDefault="001059DC" w:rsidP="001059DC">
            <w:pPr>
              <w:tabs>
                <w:tab w:val="right" w:pos="2804"/>
              </w:tabs>
              <w:contextualSpacing/>
              <w:rPr>
                <w:sz w:val="18"/>
                <w:szCs w:val="18"/>
              </w:rPr>
            </w:pPr>
            <w:r w:rsidRPr="00134AB5">
              <w:rPr>
                <w:rFonts w:eastAsia="Arial"/>
                <w:sz w:val="20"/>
                <w:szCs w:val="20"/>
              </w:rPr>
              <w:t>Frýdek-Místek</w:t>
            </w:r>
          </w:p>
        </w:tc>
        <w:tc>
          <w:tcPr>
            <w:tcW w:w="1241" w:type="dxa"/>
            <w:tcBorders>
              <w:top w:val="single" w:sz="4" w:space="0" w:color="auto"/>
              <w:left w:val="nil"/>
              <w:bottom w:val="single" w:sz="4" w:space="0" w:color="auto"/>
              <w:right w:val="single" w:sz="4" w:space="0" w:color="auto"/>
            </w:tcBorders>
            <w:vAlign w:val="center"/>
          </w:tcPr>
          <w:p w14:paraId="50CC56B6" w14:textId="06785371" w:rsidR="001059DC" w:rsidRPr="00134AB5" w:rsidRDefault="001059DC" w:rsidP="001059DC">
            <w:pPr>
              <w:contextualSpacing/>
              <w:jc w:val="right"/>
              <w:rPr>
                <w:color w:val="000000"/>
                <w:sz w:val="18"/>
                <w:szCs w:val="18"/>
              </w:rPr>
            </w:pPr>
            <w:r w:rsidRPr="00134AB5">
              <w:rPr>
                <w:rFonts w:eastAsia="Arial"/>
                <w:sz w:val="20"/>
                <w:szCs w:val="20"/>
              </w:rPr>
              <w:t>164 467</w:t>
            </w:r>
          </w:p>
        </w:tc>
        <w:tc>
          <w:tcPr>
            <w:tcW w:w="1011" w:type="dxa"/>
            <w:tcBorders>
              <w:top w:val="single" w:sz="4" w:space="0" w:color="auto"/>
              <w:left w:val="nil"/>
              <w:bottom w:val="single" w:sz="4" w:space="0" w:color="auto"/>
              <w:right w:val="single" w:sz="4" w:space="0" w:color="auto"/>
            </w:tcBorders>
            <w:vAlign w:val="center"/>
          </w:tcPr>
          <w:p w14:paraId="4A277230" w14:textId="3318618D" w:rsidR="001059DC" w:rsidRPr="00134AB5" w:rsidRDefault="001059DC" w:rsidP="001059DC">
            <w:pPr>
              <w:contextualSpacing/>
              <w:jc w:val="center"/>
              <w:rPr>
                <w:color w:val="000000"/>
                <w:sz w:val="18"/>
                <w:szCs w:val="18"/>
              </w:rPr>
            </w:pPr>
            <w:r w:rsidRPr="00134AB5">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66546EC1" w14:textId="7BE3CC94" w:rsidR="001059DC" w:rsidRPr="00134AB5" w:rsidRDefault="001059DC" w:rsidP="001059DC">
            <w:pPr>
              <w:contextualSpacing/>
              <w:jc w:val="center"/>
              <w:rPr>
                <w:color w:val="000000"/>
                <w:sz w:val="18"/>
                <w:szCs w:val="18"/>
              </w:rPr>
            </w:pPr>
            <w:r w:rsidRPr="00134AB5">
              <w:rPr>
                <w:rFonts w:eastAsia="Arial"/>
                <w:sz w:val="20"/>
                <w:szCs w:val="20"/>
              </w:rPr>
              <w:t>ANO</w:t>
            </w:r>
          </w:p>
        </w:tc>
        <w:tc>
          <w:tcPr>
            <w:tcW w:w="1270" w:type="dxa"/>
            <w:tcBorders>
              <w:top w:val="single" w:sz="4" w:space="0" w:color="auto"/>
              <w:left w:val="nil"/>
              <w:bottom w:val="single" w:sz="4" w:space="0" w:color="auto"/>
              <w:right w:val="single" w:sz="4" w:space="0" w:color="auto"/>
            </w:tcBorders>
            <w:vAlign w:val="center"/>
          </w:tcPr>
          <w:p w14:paraId="5029E1B7" w14:textId="5807564A" w:rsidR="001059DC" w:rsidRPr="00134AB5" w:rsidRDefault="001059DC" w:rsidP="001059DC">
            <w:pPr>
              <w:contextualSpacing/>
              <w:jc w:val="center"/>
              <w:rPr>
                <w:color w:val="000000"/>
                <w:sz w:val="18"/>
                <w:szCs w:val="18"/>
              </w:rPr>
            </w:pPr>
            <w:r w:rsidRPr="00134AB5">
              <w:rPr>
                <w:rFonts w:eastAsia="Arial"/>
                <w:sz w:val="20"/>
                <w:szCs w:val="20"/>
              </w:rPr>
              <w:t>ANO</w:t>
            </w:r>
          </w:p>
        </w:tc>
      </w:tr>
      <w:tr w:rsidR="001059DC" w:rsidRPr="00134AB5" w14:paraId="72E0CEAA" w14:textId="77777777" w:rsidTr="00726000">
        <w:trPr>
          <w:trHeight w:val="270"/>
        </w:trPr>
        <w:tc>
          <w:tcPr>
            <w:tcW w:w="521" w:type="dxa"/>
            <w:vMerge/>
            <w:tcBorders>
              <w:left w:val="single" w:sz="4" w:space="0" w:color="auto"/>
              <w:right w:val="single" w:sz="4" w:space="0" w:color="auto"/>
            </w:tcBorders>
          </w:tcPr>
          <w:p w14:paraId="62AEC536" w14:textId="77777777" w:rsidR="001059DC" w:rsidRPr="00134AB5" w:rsidRDefault="001059DC" w:rsidP="001059DC">
            <w:pPr>
              <w:contextualSpacing/>
              <w:rPr>
                <w:rFonts w:cs="Arial"/>
                <w:sz w:val="18"/>
                <w:szCs w:val="18"/>
              </w:rPr>
            </w:pPr>
          </w:p>
        </w:tc>
        <w:tc>
          <w:tcPr>
            <w:tcW w:w="1606" w:type="dxa"/>
            <w:vMerge/>
            <w:tcBorders>
              <w:left w:val="single" w:sz="4" w:space="0" w:color="auto"/>
              <w:right w:val="single" w:sz="4" w:space="0" w:color="auto"/>
            </w:tcBorders>
          </w:tcPr>
          <w:p w14:paraId="65D09E1A" w14:textId="77777777" w:rsidR="001059DC" w:rsidRPr="00134AB5" w:rsidDel="00214D80" w:rsidRDefault="001059DC" w:rsidP="001059DC">
            <w:pPr>
              <w:contextualSpacing/>
              <w:rPr>
                <w:rFonts w:cs="Arial"/>
                <w:sz w:val="18"/>
                <w:szCs w:val="18"/>
              </w:rPr>
            </w:pPr>
          </w:p>
        </w:tc>
        <w:tc>
          <w:tcPr>
            <w:tcW w:w="2918" w:type="dxa"/>
            <w:tcBorders>
              <w:top w:val="single" w:sz="4" w:space="0" w:color="auto"/>
              <w:left w:val="nil"/>
              <w:bottom w:val="single" w:sz="4" w:space="0" w:color="auto"/>
              <w:right w:val="single" w:sz="4" w:space="0" w:color="auto"/>
            </w:tcBorders>
            <w:noWrap/>
            <w:vAlign w:val="center"/>
          </w:tcPr>
          <w:p w14:paraId="0F4E4475" w14:textId="3464ADBD" w:rsidR="001059DC" w:rsidRPr="00134AB5" w:rsidRDefault="001059DC" w:rsidP="001059DC">
            <w:pPr>
              <w:tabs>
                <w:tab w:val="right" w:pos="2804"/>
              </w:tabs>
              <w:contextualSpacing/>
              <w:rPr>
                <w:sz w:val="18"/>
                <w:szCs w:val="18"/>
              </w:rPr>
            </w:pPr>
            <w:r w:rsidRPr="00134AB5">
              <w:rPr>
                <w:rFonts w:eastAsia="Arial"/>
                <w:sz w:val="20"/>
                <w:szCs w:val="20"/>
              </w:rPr>
              <w:t>Bohumín</w:t>
            </w:r>
          </w:p>
        </w:tc>
        <w:tc>
          <w:tcPr>
            <w:tcW w:w="1241" w:type="dxa"/>
            <w:tcBorders>
              <w:top w:val="single" w:sz="4" w:space="0" w:color="auto"/>
              <w:left w:val="nil"/>
              <w:bottom w:val="single" w:sz="4" w:space="0" w:color="auto"/>
              <w:right w:val="single" w:sz="4" w:space="0" w:color="auto"/>
            </w:tcBorders>
            <w:vAlign w:val="center"/>
          </w:tcPr>
          <w:p w14:paraId="48A4FD64" w14:textId="1FE60B3A" w:rsidR="001059DC" w:rsidRPr="00134AB5" w:rsidRDefault="001059DC" w:rsidP="001059DC">
            <w:pPr>
              <w:contextualSpacing/>
              <w:jc w:val="right"/>
              <w:rPr>
                <w:color w:val="000000"/>
                <w:sz w:val="18"/>
                <w:szCs w:val="18"/>
              </w:rPr>
            </w:pPr>
            <w:r w:rsidRPr="00134AB5">
              <w:rPr>
                <w:rFonts w:eastAsia="Arial"/>
                <w:sz w:val="20"/>
                <w:szCs w:val="20"/>
              </w:rPr>
              <w:t>33 680</w:t>
            </w:r>
          </w:p>
        </w:tc>
        <w:tc>
          <w:tcPr>
            <w:tcW w:w="1011" w:type="dxa"/>
            <w:tcBorders>
              <w:top w:val="single" w:sz="4" w:space="0" w:color="auto"/>
              <w:left w:val="nil"/>
              <w:bottom w:val="single" w:sz="4" w:space="0" w:color="auto"/>
              <w:right w:val="single" w:sz="4" w:space="0" w:color="auto"/>
            </w:tcBorders>
            <w:vAlign w:val="center"/>
          </w:tcPr>
          <w:p w14:paraId="7C99CAB4" w14:textId="35C1C06E" w:rsidR="001059DC" w:rsidRPr="00134AB5" w:rsidRDefault="001059DC" w:rsidP="001059DC">
            <w:pPr>
              <w:contextualSpacing/>
              <w:jc w:val="center"/>
              <w:rPr>
                <w:color w:val="000000"/>
                <w:sz w:val="18"/>
                <w:szCs w:val="18"/>
              </w:rPr>
            </w:pPr>
            <w:r w:rsidRPr="00134AB5">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33025261" w14:textId="4BED1233" w:rsidR="001059DC" w:rsidRPr="00134AB5" w:rsidRDefault="001059DC" w:rsidP="001059DC">
            <w:pPr>
              <w:contextualSpacing/>
              <w:jc w:val="center"/>
              <w:rPr>
                <w:color w:val="000000"/>
                <w:sz w:val="18"/>
                <w:szCs w:val="18"/>
              </w:rPr>
            </w:pPr>
            <w:r w:rsidRPr="00134AB5">
              <w:rPr>
                <w:rFonts w:eastAsia="Arial"/>
                <w:sz w:val="20"/>
                <w:szCs w:val="20"/>
              </w:rPr>
              <w:t>ANO</w:t>
            </w:r>
          </w:p>
        </w:tc>
        <w:tc>
          <w:tcPr>
            <w:tcW w:w="1270" w:type="dxa"/>
            <w:tcBorders>
              <w:top w:val="single" w:sz="4" w:space="0" w:color="auto"/>
              <w:left w:val="nil"/>
              <w:bottom w:val="single" w:sz="4" w:space="0" w:color="auto"/>
              <w:right w:val="single" w:sz="4" w:space="0" w:color="auto"/>
            </w:tcBorders>
            <w:vAlign w:val="center"/>
          </w:tcPr>
          <w:p w14:paraId="7B1F17CB" w14:textId="1026335F" w:rsidR="001059DC" w:rsidRPr="00134AB5" w:rsidRDefault="001059DC" w:rsidP="001059DC">
            <w:pPr>
              <w:contextualSpacing/>
              <w:jc w:val="center"/>
              <w:rPr>
                <w:color w:val="000000"/>
                <w:sz w:val="18"/>
                <w:szCs w:val="18"/>
              </w:rPr>
            </w:pPr>
            <w:r w:rsidRPr="00134AB5">
              <w:rPr>
                <w:rFonts w:eastAsia="Arial"/>
                <w:sz w:val="20"/>
                <w:szCs w:val="20"/>
              </w:rPr>
              <w:t>ANO</w:t>
            </w:r>
          </w:p>
        </w:tc>
      </w:tr>
      <w:tr w:rsidR="001059DC" w:rsidRPr="00134AB5" w14:paraId="58FBC08E" w14:textId="77777777" w:rsidTr="00726000">
        <w:trPr>
          <w:trHeight w:val="270"/>
        </w:trPr>
        <w:tc>
          <w:tcPr>
            <w:tcW w:w="521" w:type="dxa"/>
            <w:vMerge/>
            <w:tcBorders>
              <w:left w:val="single" w:sz="4" w:space="0" w:color="auto"/>
              <w:right w:val="single" w:sz="4" w:space="0" w:color="auto"/>
            </w:tcBorders>
          </w:tcPr>
          <w:p w14:paraId="0C634A95" w14:textId="77777777" w:rsidR="001059DC" w:rsidRPr="00134AB5" w:rsidRDefault="001059DC" w:rsidP="001059DC">
            <w:pPr>
              <w:contextualSpacing/>
              <w:rPr>
                <w:rFonts w:cs="Arial"/>
                <w:sz w:val="18"/>
                <w:szCs w:val="18"/>
              </w:rPr>
            </w:pPr>
          </w:p>
        </w:tc>
        <w:tc>
          <w:tcPr>
            <w:tcW w:w="1606" w:type="dxa"/>
            <w:vMerge/>
            <w:tcBorders>
              <w:left w:val="single" w:sz="4" w:space="0" w:color="auto"/>
              <w:right w:val="single" w:sz="4" w:space="0" w:color="auto"/>
            </w:tcBorders>
          </w:tcPr>
          <w:p w14:paraId="5830E5EF" w14:textId="77777777" w:rsidR="001059DC" w:rsidRPr="00134AB5" w:rsidDel="00214D80" w:rsidRDefault="001059DC" w:rsidP="001059DC">
            <w:pPr>
              <w:contextualSpacing/>
              <w:rPr>
                <w:rFonts w:cs="Arial"/>
                <w:sz w:val="18"/>
                <w:szCs w:val="18"/>
              </w:rPr>
            </w:pPr>
          </w:p>
        </w:tc>
        <w:tc>
          <w:tcPr>
            <w:tcW w:w="2918" w:type="dxa"/>
            <w:tcBorders>
              <w:top w:val="single" w:sz="4" w:space="0" w:color="auto"/>
              <w:left w:val="nil"/>
              <w:bottom w:val="single" w:sz="4" w:space="0" w:color="auto"/>
              <w:right w:val="single" w:sz="4" w:space="0" w:color="auto"/>
            </w:tcBorders>
            <w:noWrap/>
            <w:vAlign w:val="center"/>
          </w:tcPr>
          <w:p w14:paraId="66F1D751" w14:textId="6425C20B" w:rsidR="001059DC" w:rsidRPr="00134AB5" w:rsidRDefault="001059DC" w:rsidP="001059DC">
            <w:pPr>
              <w:tabs>
                <w:tab w:val="right" w:pos="2804"/>
              </w:tabs>
              <w:contextualSpacing/>
              <w:rPr>
                <w:sz w:val="18"/>
                <w:szCs w:val="18"/>
              </w:rPr>
            </w:pPr>
            <w:r w:rsidRPr="00134AB5">
              <w:rPr>
                <w:rFonts w:eastAsia="Arial"/>
                <w:sz w:val="20"/>
                <w:szCs w:val="20"/>
              </w:rPr>
              <w:t>Bílovec</w:t>
            </w:r>
          </w:p>
        </w:tc>
        <w:tc>
          <w:tcPr>
            <w:tcW w:w="1241" w:type="dxa"/>
            <w:tcBorders>
              <w:top w:val="single" w:sz="4" w:space="0" w:color="auto"/>
              <w:left w:val="nil"/>
              <w:bottom w:val="single" w:sz="4" w:space="0" w:color="auto"/>
              <w:right w:val="single" w:sz="4" w:space="0" w:color="auto"/>
            </w:tcBorders>
            <w:vAlign w:val="center"/>
          </w:tcPr>
          <w:p w14:paraId="66DE21EE" w14:textId="58AE3B72" w:rsidR="001059DC" w:rsidRPr="00134AB5" w:rsidRDefault="001059DC" w:rsidP="001059DC">
            <w:pPr>
              <w:contextualSpacing/>
              <w:jc w:val="right"/>
              <w:rPr>
                <w:color w:val="000000"/>
                <w:sz w:val="18"/>
                <w:szCs w:val="18"/>
              </w:rPr>
            </w:pPr>
            <w:r w:rsidRPr="00134AB5">
              <w:rPr>
                <w:rFonts w:eastAsia="Arial"/>
                <w:sz w:val="20"/>
                <w:szCs w:val="20"/>
              </w:rPr>
              <w:t>8 800</w:t>
            </w:r>
          </w:p>
        </w:tc>
        <w:tc>
          <w:tcPr>
            <w:tcW w:w="1011" w:type="dxa"/>
            <w:tcBorders>
              <w:top w:val="single" w:sz="4" w:space="0" w:color="auto"/>
              <w:left w:val="nil"/>
              <w:bottom w:val="single" w:sz="4" w:space="0" w:color="auto"/>
              <w:right w:val="single" w:sz="4" w:space="0" w:color="auto"/>
            </w:tcBorders>
            <w:vAlign w:val="center"/>
          </w:tcPr>
          <w:p w14:paraId="72C889B0" w14:textId="2D5E7A33" w:rsidR="001059DC" w:rsidRPr="00134AB5" w:rsidRDefault="001059DC" w:rsidP="001059DC">
            <w:pPr>
              <w:contextualSpacing/>
              <w:jc w:val="center"/>
              <w:rPr>
                <w:color w:val="000000"/>
                <w:sz w:val="18"/>
                <w:szCs w:val="18"/>
              </w:rPr>
            </w:pPr>
            <w:r w:rsidRPr="00134AB5">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12572A2A" w14:textId="61E7F32A" w:rsidR="001059DC" w:rsidRPr="00134AB5" w:rsidRDefault="001059DC" w:rsidP="001059DC">
            <w:pPr>
              <w:contextualSpacing/>
              <w:jc w:val="center"/>
              <w:rPr>
                <w:color w:val="000000"/>
                <w:sz w:val="18"/>
                <w:szCs w:val="18"/>
              </w:rPr>
            </w:pPr>
            <w:r w:rsidRPr="00134AB5">
              <w:rPr>
                <w:rFonts w:eastAsia="Arial"/>
                <w:sz w:val="20"/>
                <w:szCs w:val="20"/>
              </w:rPr>
              <w:t>ANO</w:t>
            </w:r>
          </w:p>
        </w:tc>
        <w:tc>
          <w:tcPr>
            <w:tcW w:w="1270" w:type="dxa"/>
            <w:tcBorders>
              <w:top w:val="single" w:sz="4" w:space="0" w:color="auto"/>
              <w:left w:val="nil"/>
              <w:bottom w:val="single" w:sz="4" w:space="0" w:color="auto"/>
              <w:right w:val="single" w:sz="4" w:space="0" w:color="auto"/>
            </w:tcBorders>
            <w:vAlign w:val="center"/>
          </w:tcPr>
          <w:p w14:paraId="34F93F3C" w14:textId="33BA04BD" w:rsidR="001059DC" w:rsidRPr="00134AB5" w:rsidRDefault="001059DC" w:rsidP="001059DC">
            <w:pPr>
              <w:contextualSpacing/>
              <w:jc w:val="center"/>
              <w:rPr>
                <w:color w:val="000000"/>
                <w:sz w:val="18"/>
                <w:szCs w:val="18"/>
              </w:rPr>
            </w:pPr>
            <w:r w:rsidRPr="00134AB5">
              <w:rPr>
                <w:rFonts w:eastAsia="Arial"/>
                <w:sz w:val="20"/>
                <w:szCs w:val="20"/>
              </w:rPr>
              <w:t>ANO</w:t>
            </w:r>
          </w:p>
        </w:tc>
      </w:tr>
      <w:tr w:rsidR="001059DC" w:rsidRPr="00134AB5" w14:paraId="48BE5541" w14:textId="77777777" w:rsidTr="00726000">
        <w:trPr>
          <w:trHeight w:val="270"/>
        </w:trPr>
        <w:tc>
          <w:tcPr>
            <w:tcW w:w="521" w:type="dxa"/>
            <w:vMerge/>
            <w:tcBorders>
              <w:left w:val="single" w:sz="4" w:space="0" w:color="auto"/>
              <w:right w:val="single" w:sz="4" w:space="0" w:color="auto"/>
            </w:tcBorders>
          </w:tcPr>
          <w:p w14:paraId="4B547A6D" w14:textId="77777777" w:rsidR="001059DC" w:rsidRPr="00134AB5" w:rsidRDefault="001059DC" w:rsidP="001059DC">
            <w:pPr>
              <w:contextualSpacing/>
              <w:rPr>
                <w:rFonts w:cs="Arial"/>
                <w:sz w:val="18"/>
                <w:szCs w:val="18"/>
              </w:rPr>
            </w:pPr>
          </w:p>
        </w:tc>
        <w:tc>
          <w:tcPr>
            <w:tcW w:w="1606" w:type="dxa"/>
            <w:vMerge/>
            <w:tcBorders>
              <w:left w:val="single" w:sz="4" w:space="0" w:color="auto"/>
              <w:right w:val="single" w:sz="4" w:space="0" w:color="auto"/>
            </w:tcBorders>
          </w:tcPr>
          <w:p w14:paraId="02E97EE5" w14:textId="77777777" w:rsidR="001059DC" w:rsidRPr="00134AB5" w:rsidDel="00214D80" w:rsidRDefault="001059DC" w:rsidP="001059DC">
            <w:pPr>
              <w:contextualSpacing/>
              <w:rPr>
                <w:rFonts w:cs="Arial"/>
                <w:sz w:val="18"/>
                <w:szCs w:val="18"/>
              </w:rPr>
            </w:pPr>
          </w:p>
        </w:tc>
        <w:tc>
          <w:tcPr>
            <w:tcW w:w="2918" w:type="dxa"/>
            <w:tcBorders>
              <w:top w:val="single" w:sz="4" w:space="0" w:color="auto"/>
              <w:left w:val="nil"/>
              <w:bottom w:val="single" w:sz="4" w:space="0" w:color="auto"/>
              <w:right w:val="single" w:sz="4" w:space="0" w:color="auto"/>
            </w:tcBorders>
            <w:noWrap/>
            <w:vAlign w:val="center"/>
          </w:tcPr>
          <w:p w14:paraId="52B5BBC1" w14:textId="7FC14CA8" w:rsidR="001059DC" w:rsidRPr="00134AB5" w:rsidRDefault="001059DC" w:rsidP="001059DC">
            <w:pPr>
              <w:tabs>
                <w:tab w:val="right" w:pos="2804"/>
              </w:tabs>
              <w:contextualSpacing/>
              <w:rPr>
                <w:sz w:val="18"/>
                <w:szCs w:val="18"/>
              </w:rPr>
            </w:pPr>
            <w:r w:rsidRPr="00134AB5">
              <w:rPr>
                <w:rFonts w:eastAsia="Arial"/>
                <w:sz w:val="20"/>
                <w:szCs w:val="20"/>
              </w:rPr>
              <w:t>Krnov</w:t>
            </w:r>
          </w:p>
        </w:tc>
        <w:tc>
          <w:tcPr>
            <w:tcW w:w="1241" w:type="dxa"/>
            <w:tcBorders>
              <w:top w:val="single" w:sz="4" w:space="0" w:color="auto"/>
              <w:left w:val="nil"/>
              <w:bottom w:val="single" w:sz="4" w:space="0" w:color="auto"/>
              <w:right w:val="single" w:sz="4" w:space="0" w:color="auto"/>
            </w:tcBorders>
            <w:vAlign w:val="center"/>
          </w:tcPr>
          <w:p w14:paraId="20F0CD89" w14:textId="5A2CAF5A" w:rsidR="001059DC" w:rsidRPr="00134AB5" w:rsidRDefault="001059DC" w:rsidP="001059DC">
            <w:pPr>
              <w:contextualSpacing/>
              <w:jc w:val="right"/>
              <w:rPr>
                <w:color w:val="000000"/>
                <w:sz w:val="18"/>
                <w:szCs w:val="18"/>
              </w:rPr>
            </w:pPr>
            <w:r w:rsidRPr="00134AB5">
              <w:rPr>
                <w:rFonts w:eastAsia="Arial"/>
                <w:sz w:val="20"/>
                <w:szCs w:val="20"/>
              </w:rPr>
              <w:t>70 000</w:t>
            </w:r>
          </w:p>
        </w:tc>
        <w:tc>
          <w:tcPr>
            <w:tcW w:w="1011" w:type="dxa"/>
            <w:tcBorders>
              <w:top w:val="single" w:sz="4" w:space="0" w:color="auto"/>
              <w:left w:val="nil"/>
              <w:bottom w:val="single" w:sz="4" w:space="0" w:color="auto"/>
              <w:right w:val="single" w:sz="4" w:space="0" w:color="auto"/>
            </w:tcBorders>
            <w:vAlign w:val="center"/>
          </w:tcPr>
          <w:p w14:paraId="5109B2E5" w14:textId="3799A020" w:rsidR="001059DC" w:rsidRPr="00134AB5" w:rsidRDefault="001059DC" w:rsidP="001059DC">
            <w:pPr>
              <w:contextualSpacing/>
              <w:jc w:val="center"/>
              <w:rPr>
                <w:color w:val="000000"/>
                <w:sz w:val="18"/>
                <w:szCs w:val="18"/>
              </w:rPr>
            </w:pPr>
            <w:r w:rsidRPr="00134AB5">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7C20E8E2" w14:textId="7E3DA082" w:rsidR="001059DC" w:rsidRPr="00134AB5" w:rsidRDefault="001059DC" w:rsidP="001059DC">
            <w:pPr>
              <w:contextualSpacing/>
              <w:jc w:val="center"/>
              <w:rPr>
                <w:color w:val="000000"/>
                <w:sz w:val="18"/>
                <w:szCs w:val="18"/>
              </w:rPr>
            </w:pPr>
            <w:r w:rsidRPr="00134AB5">
              <w:rPr>
                <w:rFonts w:eastAsia="Arial"/>
                <w:sz w:val="20"/>
                <w:szCs w:val="20"/>
              </w:rPr>
              <w:t>ANO</w:t>
            </w:r>
          </w:p>
        </w:tc>
        <w:tc>
          <w:tcPr>
            <w:tcW w:w="1270" w:type="dxa"/>
            <w:tcBorders>
              <w:top w:val="single" w:sz="4" w:space="0" w:color="auto"/>
              <w:left w:val="nil"/>
              <w:bottom w:val="single" w:sz="4" w:space="0" w:color="auto"/>
              <w:right w:val="single" w:sz="4" w:space="0" w:color="auto"/>
            </w:tcBorders>
            <w:vAlign w:val="center"/>
          </w:tcPr>
          <w:p w14:paraId="1593234F" w14:textId="4410AF55" w:rsidR="001059DC" w:rsidRPr="00134AB5" w:rsidRDefault="001059DC" w:rsidP="001059DC">
            <w:pPr>
              <w:contextualSpacing/>
              <w:jc w:val="center"/>
              <w:rPr>
                <w:color w:val="000000"/>
                <w:sz w:val="18"/>
                <w:szCs w:val="18"/>
              </w:rPr>
            </w:pPr>
            <w:r w:rsidRPr="00134AB5">
              <w:rPr>
                <w:rFonts w:eastAsia="Arial"/>
                <w:sz w:val="20"/>
                <w:szCs w:val="20"/>
              </w:rPr>
              <w:t>ANO</w:t>
            </w:r>
          </w:p>
        </w:tc>
      </w:tr>
      <w:tr w:rsidR="001059DC" w:rsidRPr="00134AB5" w14:paraId="47D684F1" w14:textId="77777777" w:rsidTr="00726000">
        <w:trPr>
          <w:trHeight w:val="270"/>
        </w:trPr>
        <w:tc>
          <w:tcPr>
            <w:tcW w:w="521" w:type="dxa"/>
            <w:vMerge/>
            <w:tcBorders>
              <w:left w:val="single" w:sz="4" w:space="0" w:color="auto"/>
              <w:right w:val="single" w:sz="4" w:space="0" w:color="auto"/>
            </w:tcBorders>
          </w:tcPr>
          <w:p w14:paraId="2E24FF46" w14:textId="77777777" w:rsidR="001059DC" w:rsidRPr="00134AB5" w:rsidRDefault="001059DC" w:rsidP="001059DC">
            <w:pPr>
              <w:contextualSpacing/>
              <w:rPr>
                <w:rFonts w:cs="Arial"/>
                <w:sz w:val="18"/>
                <w:szCs w:val="18"/>
              </w:rPr>
            </w:pPr>
          </w:p>
        </w:tc>
        <w:tc>
          <w:tcPr>
            <w:tcW w:w="1606" w:type="dxa"/>
            <w:vMerge/>
            <w:tcBorders>
              <w:left w:val="single" w:sz="4" w:space="0" w:color="auto"/>
              <w:right w:val="single" w:sz="4" w:space="0" w:color="auto"/>
            </w:tcBorders>
          </w:tcPr>
          <w:p w14:paraId="5C61D939" w14:textId="77777777" w:rsidR="001059DC" w:rsidRPr="00134AB5" w:rsidDel="00214D80" w:rsidRDefault="001059DC" w:rsidP="001059DC">
            <w:pPr>
              <w:contextualSpacing/>
              <w:rPr>
                <w:rFonts w:cs="Arial"/>
                <w:sz w:val="18"/>
                <w:szCs w:val="18"/>
              </w:rPr>
            </w:pPr>
          </w:p>
        </w:tc>
        <w:tc>
          <w:tcPr>
            <w:tcW w:w="2918" w:type="dxa"/>
            <w:tcBorders>
              <w:top w:val="single" w:sz="4" w:space="0" w:color="auto"/>
              <w:left w:val="nil"/>
              <w:bottom w:val="single" w:sz="4" w:space="0" w:color="auto"/>
              <w:right w:val="single" w:sz="4" w:space="0" w:color="auto"/>
            </w:tcBorders>
            <w:noWrap/>
            <w:vAlign w:val="center"/>
          </w:tcPr>
          <w:p w14:paraId="30D753C6" w14:textId="10F08172" w:rsidR="001059DC" w:rsidRPr="00134AB5" w:rsidRDefault="001059DC" w:rsidP="001059DC">
            <w:pPr>
              <w:tabs>
                <w:tab w:val="right" w:pos="2804"/>
              </w:tabs>
              <w:contextualSpacing/>
              <w:rPr>
                <w:sz w:val="18"/>
                <w:szCs w:val="18"/>
              </w:rPr>
            </w:pPr>
            <w:r w:rsidRPr="00134AB5">
              <w:rPr>
                <w:rFonts w:eastAsia="Arial"/>
                <w:sz w:val="20"/>
                <w:szCs w:val="20"/>
              </w:rPr>
              <w:t>Opava</w:t>
            </w:r>
          </w:p>
        </w:tc>
        <w:tc>
          <w:tcPr>
            <w:tcW w:w="1241" w:type="dxa"/>
            <w:tcBorders>
              <w:top w:val="single" w:sz="4" w:space="0" w:color="auto"/>
              <w:left w:val="nil"/>
              <w:bottom w:val="single" w:sz="4" w:space="0" w:color="auto"/>
              <w:right w:val="single" w:sz="4" w:space="0" w:color="auto"/>
            </w:tcBorders>
            <w:vAlign w:val="center"/>
          </w:tcPr>
          <w:p w14:paraId="4FB59444" w14:textId="7AF6D6AE" w:rsidR="001059DC" w:rsidRPr="00134AB5" w:rsidRDefault="001059DC" w:rsidP="001059DC">
            <w:pPr>
              <w:contextualSpacing/>
              <w:jc w:val="right"/>
              <w:rPr>
                <w:color w:val="000000"/>
                <w:sz w:val="18"/>
                <w:szCs w:val="18"/>
              </w:rPr>
            </w:pPr>
            <w:r w:rsidRPr="00134AB5">
              <w:rPr>
                <w:rFonts w:eastAsia="Arial"/>
                <w:sz w:val="20"/>
                <w:szCs w:val="20"/>
              </w:rPr>
              <w:t>149 000</w:t>
            </w:r>
          </w:p>
        </w:tc>
        <w:tc>
          <w:tcPr>
            <w:tcW w:w="1011" w:type="dxa"/>
            <w:tcBorders>
              <w:top w:val="single" w:sz="4" w:space="0" w:color="auto"/>
              <w:left w:val="nil"/>
              <w:bottom w:val="single" w:sz="4" w:space="0" w:color="auto"/>
              <w:right w:val="single" w:sz="4" w:space="0" w:color="auto"/>
            </w:tcBorders>
            <w:vAlign w:val="center"/>
          </w:tcPr>
          <w:p w14:paraId="0405DD88" w14:textId="34B93A9A" w:rsidR="001059DC" w:rsidRPr="00134AB5" w:rsidRDefault="001059DC" w:rsidP="001059DC">
            <w:pPr>
              <w:contextualSpacing/>
              <w:jc w:val="center"/>
              <w:rPr>
                <w:color w:val="000000"/>
                <w:sz w:val="18"/>
                <w:szCs w:val="18"/>
              </w:rPr>
            </w:pPr>
            <w:r w:rsidRPr="00134AB5">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7010624D" w14:textId="38F124D2" w:rsidR="001059DC" w:rsidRPr="00134AB5" w:rsidRDefault="001059DC" w:rsidP="001059DC">
            <w:pPr>
              <w:contextualSpacing/>
              <w:jc w:val="center"/>
              <w:rPr>
                <w:color w:val="000000"/>
                <w:sz w:val="18"/>
                <w:szCs w:val="18"/>
              </w:rPr>
            </w:pPr>
            <w:r w:rsidRPr="00134AB5">
              <w:rPr>
                <w:rFonts w:eastAsia="Arial"/>
                <w:sz w:val="20"/>
                <w:szCs w:val="20"/>
              </w:rPr>
              <w:t>ANO</w:t>
            </w:r>
          </w:p>
        </w:tc>
        <w:tc>
          <w:tcPr>
            <w:tcW w:w="1270" w:type="dxa"/>
            <w:tcBorders>
              <w:top w:val="single" w:sz="4" w:space="0" w:color="auto"/>
              <w:left w:val="nil"/>
              <w:bottom w:val="single" w:sz="4" w:space="0" w:color="auto"/>
              <w:right w:val="single" w:sz="4" w:space="0" w:color="auto"/>
            </w:tcBorders>
            <w:vAlign w:val="center"/>
          </w:tcPr>
          <w:p w14:paraId="3F981125" w14:textId="252749D9" w:rsidR="001059DC" w:rsidRPr="00134AB5" w:rsidRDefault="001059DC" w:rsidP="001059DC">
            <w:pPr>
              <w:contextualSpacing/>
              <w:jc w:val="center"/>
              <w:rPr>
                <w:color w:val="000000"/>
                <w:sz w:val="18"/>
                <w:szCs w:val="18"/>
              </w:rPr>
            </w:pPr>
            <w:r w:rsidRPr="00134AB5">
              <w:rPr>
                <w:rFonts w:eastAsia="Arial"/>
                <w:sz w:val="20"/>
                <w:szCs w:val="20"/>
              </w:rPr>
              <w:t>ANO</w:t>
            </w:r>
          </w:p>
        </w:tc>
      </w:tr>
      <w:tr w:rsidR="001059DC" w:rsidRPr="00134AB5" w14:paraId="1FB38F6E" w14:textId="77777777" w:rsidTr="00726000">
        <w:trPr>
          <w:trHeight w:val="270"/>
        </w:trPr>
        <w:tc>
          <w:tcPr>
            <w:tcW w:w="521" w:type="dxa"/>
            <w:vMerge/>
            <w:tcBorders>
              <w:left w:val="single" w:sz="4" w:space="0" w:color="auto"/>
              <w:right w:val="single" w:sz="4" w:space="0" w:color="auto"/>
            </w:tcBorders>
          </w:tcPr>
          <w:p w14:paraId="49D9BBB1" w14:textId="77777777" w:rsidR="001059DC" w:rsidRPr="00134AB5" w:rsidRDefault="001059DC" w:rsidP="001059DC">
            <w:pPr>
              <w:contextualSpacing/>
              <w:rPr>
                <w:rFonts w:cs="Arial"/>
                <w:sz w:val="18"/>
                <w:szCs w:val="18"/>
              </w:rPr>
            </w:pPr>
          </w:p>
        </w:tc>
        <w:tc>
          <w:tcPr>
            <w:tcW w:w="1606" w:type="dxa"/>
            <w:vMerge/>
            <w:tcBorders>
              <w:left w:val="single" w:sz="4" w:space="0" w:color="auto"/>
              <w:right w:val="single" w:sz="4" w:space="0" w:color="auto"/>
            </w:tcBorders>
          </w:tcPr>
          <w:p w14:paraId="41025549" w14:textId="77777777" w:rsidR="001059DC" w:rsidRPr="00134AB5" w:rsidDel="00214D80" w:rsidRDefault="001059DC" w:rsidP="001059DC">
            <w:pPr>
              <w:contextualSpacing/>
              <w:rPr>
                <w:rFonts w:cs="Arial"/>
                <w:sz w:val="18"/>
                <w:szCs w:val="18"/>
              </w:rPr>
            </w:pPr>
          </w:p>
        </w:tc>
        <w:tc>
          <w:tcPr>
            <w:tcW w:w="2918" w:type="dxa"/>
            <w:tcBorders>
              <w:top w:val="single" w:sz="4" w:space="0" w:color="auto"/>
              <w:left w:val="nil"/>
              <w:bottom w:val="single" w:sz="4" w:space="0" w:color="auto"/>
              <w:right w:val="single" w:sz="4" w:space="0" w:color="auto"/>
            </w:tcBorders>
            <w:noWrap/>
            <w:vAlign w:val="center"/>
          </w:tcPr>
          <w:p w14:paraId="118E9F26" w14:textId="55036C54" w:rsidR="001059DC" w:rsidRPr="00134AB5" w:rsidRDefault="001059DC" w:rsidP="001059DC">
            <w:pPr>
              <w:tabs>
                <w:tab w:val="right" w:pos="2804"/>
              </w:tabs>
              <w:contextualSpacing/>
              <w:rPr>
                <w:sz w:val="18"/>
                <w:szCs w:val="18"/>
              </w:rPr>
            </w:pPr>
            <w:r w:rsidRPr="00134AB5">
              <w:rPr>
                <w:rFonts w:eastAsia="Arial"/>
                <w:sz w:val="20"/>
                <w:szCs w:val="20"/>
              </w:rPr>
              <w:t>ÚČOV Ostrava</w:t>
            </w:r>
          </w:p>
        </w:tc>
        <w:tc>
          <w:tcPr>
            <w:tcW w:w="1241" w:type="dxa"/>
            <w:tcBorders>
              <w:top w:val="single" w:sz="4" w:space="0" w:color="auto"/>
              <w:left w:val="nil"/>
              <w:bottom w:val="single" w:sz="4" w:space="0" w:color="auto"/>
              <w:right w:val="single" w:sz="4" w:space="0" w:color="auto"/>
            </w:tcBorders>
            <w:vAlign w:val="center"/>
          </w:tcPr>
          <w:p w14:paraId="277C2F2D" w14:textId="133EBDED" w:rsidR="001059DC" w:rsidRPr="00134AB5" w:rsidRDefault="001059DC" w:rsidP="001059DC">
            <w:pPr>
              <w:contextualSpacing/>
              <w:jc w:val="right"/>
              <w:rPr>
                <w:color w:val="000000"/>
                <w:sz w:val="18"/>
                <w:szCs w:val="18"/>
              </w:rPr>
            </w:pPr>
            <w:r w:rsidRPr="00134AB5">
              <w:rPr>
                <w:rFonts w:eastAsia="Arial"/>
                <w:sz w:val="20"/>
                <w:szCs w:val="20"/>
              </w:rPr>
              <w:t>638 850</w:t>
            </w:r>
          </w:p>
        </w:tc>
        <w:tc>
          <w:tcPr>
            <w:tcW w:w="1011" w:type="dxa"/>
            <w:tcBorders>
              <w:top w:val="single" w:sz="4" w:space="0" w:color="auto"/>
              <w:left w:val="nil"/>
              <w:bottom w:val="single" w:sz="4" w:space="0" w:color="auto"/>
              <w:right w:val="single" w:sz="4" w:space="0" w:color="auto"/>
            </w:tcBorders>
            <w:vAlign w:val="center"/>
          </w:tcPr>
          <w:p w14:paraId="622A97EE" w14:textId="144BBCB3" w:rsidR="001059DC" w:rsidRPr="00134AB5" w:rsidRDefault="001059DC" w:rsidP="001059DC">
            <w:pPr>
              <w:contextualSpacing/>
              <w:jc w:val="center"/>
              <w:rPr>
                <w:color w:val="000000"/>
                <w:sz w:val="18"/>
                <w:szCs w:val="18"/>
              </w:rPr>
            </w:pPr>
            <w:r w:rsidRPr="00134AB5">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17136359" w14:textId="739CB0CA" w:rsidR="001059DC" w:rsidRPr="00134AB5" w:rsidRDefault="001059DC" w:rsidP="001059DC">
            <w:pPr>
              <w:contextualSpacing/>
              <w:jc w:val="center"/>
              <w:rPr>
                <w:color w:val="000000"/>
                <w:sz w:val="18"/>
                <w:szCs w:val="18"/>
              </w:rPr>
            </w:pPr>
            <w:r w:rsidRPr="00134AB5">
              <w:rPr>
                <w:rFonts w:eastAsia="Arial"/>
                <w:sz w:val="20"/>
                <w:szCs w:val="20"/>
              </w:rPr>
              <w:t>ANO</w:t>
            </w:r>
          </w:p>
        </w:tc>
        <w:tc>
          <w:tcPr>
            <w:tcW w:w="1270" w:type="dxa"/>
            <w:tcBorders>
              <w:top w:val="single" w:sz="4" w:space="0" w:color="auto"/>
              <w:left w:val="nil"/>
              <w:bottom w:val="single" w:sz="4" w:space="0" w:color="auto"/>
              <w:right w:val="single" w:sz="4" w:space="0" w:color="auto"/>
            </w:tcBorders>
            <w:vAlign w:val="center"/>
          </w:tcPr>
          <w:p w14:paraId="5DD717A9" w14:textId="2B3A7FCA" w:rsidR="001059DC" w:rsidRPr="00134AB5" w:rsidRDefault="001059DC" w:rsidP="001059DC">
            <w:pPr>
              <w:contextualSpacing/>
              <w:jc w:val="center"/>
              <w:rPr>
                <w:color w:val="000000"/>
                <w:sz w:val="18"/>
                <w:szCs w:val="18"/>
              </w:rPr>
            </w:pPr>
            <w:r w:rsidRPr="00134AB5">
              <w:rPr>
                <w:rFonts w:eastAsia="Arial"/>
                <w:sz w:val="20"/>
                <w:szCs w:val="20"/>
              </w:rPr>
              <w:t>ANO</w:t>
            </w:r>
          </w:p>
        </w:tc>
      </w:tr>
      <w:tr w:rsidR="0027583C" w:rsidRPr="00134AB5" w14:paraId="7445E9DC" w14:textId="77777777" w:rsidTr="00726000">
        <w:trPr>
          <w:trHeight w:val="270"/>
        </w:trPr>
        <w:tc>
          <w:tcPr>
            <w:tcW w:w="521" w:type="dxa"/>
            <w:tcBorders>
              <w:left w:val="single" w:sz="4" w:space="0" w:color="auto"/>
              <w:right w:val="single" w:sz="4" w:space="0" w:color="auto"/>
            </w:tcBorders>
          </w:tcPr>
          <w:p w14:paraId="26FF9BF8" w14:textId="77777777" w:rsidR="0027583C" w:rsidRPr="00134AB5" w:rsidRDefault="0027583C" w:rsidP="001059DC">
            <w:pPr>
              <w:contextualSpacing/>
              <w:rPr>
                <w:rFonts w:cs="Arial"/>
                <w:sz w:val="18"/>
                <w:szCs w:val="18"/>
              </w:rPr>
            </w:pPr>
          </w:p>
        </w:tc>
        <w:tc>
          <w:tcPr>
            <w:tcW w:w="1606" w:type="dxa"/>
            <w:tcBorders>
              <w:left w:val="single" w:sz="4" w:space="0" w:color="auto"/>
              <w:right w:val="single" w:sz="4" w:space="0" w:color="auto"/>
            </w:tcBorders>
          </w:tcPr>
          <w:p w14:paraId="370F302B" w14:textId="77777777" w:rsidR="0027583C" w:rsidRPr="00134AB5" w:rsidDel="00214D80" w:rsidRDefault="0027583C" w:rsidP="001059DC">
            <w:pPr>
              <w:contextualSpacing/>
              <w:rPr>
                <w:rFonts w:cs="Arial"/>
                <w:sz w:val="18"/>
                <w:szCs w:val="18"/>
              </w:rPr>
            </w:pPr>
          </w:p>
        </w:tc>
        <w:tc>
          <w:tcPr>
            <w:tcW w:w="2918" w:type="dxa"/>
            <w:tcBorders>
              <w:top w:val="single" w:sz="4" w:space="0" w:color="auto"/>
              <w:left w:val="nil"/>
              <w:bottom w:val="single" w:sz="4" w:space="0" w:color="auto"/>
              <w:right w:val="single" w:sz="4" w:space="0" w:color="auto"/>
            </w:tcBorders>
            <w:noWrap/>
            <w:vAlign w:val="center"/>
          </w:tcPr>
          <w:p w14:paraId="5CB7A880" w14:textId="4A23EACF" w:rsidR="0027583C" w:rsidRPr="00134AB5" w:rsidRDefault="006F543A" w:rsidP="001059DC">
            <w:pPr>
              <w:tabs>
                <w:tab w:val="right" w:pos="2804"/>
              </w:tabs>
              <w:contextualSpacing/>
              <w:rPr>
                <w:rFonts w:eastAsia="Arial"/>
                <w:sz w:val="20"/>
                <w:szCs w:val="20"/>
              </w:rPr>
            </w:pPr>
            <w:r>
              <w:rPr>
                <w:rFonts w:eastAsia="Arial"/>
                <w:sz w:val="20"/>
                <w:szCs w:val="20"/>
              </w:rPr>
              <w:t>Loket</w:t>
            </w:r>
          </w:p>
        </w:tc>
        <w:tc>
          <w:tcPr>
            <w:tcW w:w="1241" w:type="dxa"/>
            <w:tcBorders>
              <w:top w:val="single" w:sz="4" w:space="0" w:color="auto"/>
              <w:left w:val="nil"/>
              <w:bottom w:val="single" w:sz="4" w:space="0" w:color="auto"/>
              <w:right w:val="single" w:sz="4" w:space="0" w:color="auto"/>
            </w:tcBorders>
            <w:vAlign w:val="center"/>
          </w:tcPr>
          <w:p w14:paraId="0CC83043" w14:textId="42B5C6BD" w:rsidR="0027583C" w:rsidRPr="00134AB5" w:rsidRDefault="007E4CCE" w:rsidP="001059DC">
            <w:pPr>
              <w:contextualSpacing/>
              <w:jc w:val="right"/>
              <w:rPr>
                <w:rFonts w:eastAsia="Arial"/>
                <w:sz w:val="20"/>
                <w:szCs w:val="20"/>
              </w:rPr>
            </w:pPr>
            <w:r>
              <w:rPr>
                <w:rFonts w:eastAsia="Arial"/>
                <w:sz w:val="20"/>
                <w:szCs w:val="20"/>
              </w:rPr>
              <w:t>3 984</w:t>
            </w:r>
          </w:p>
        </w:tc>
        <w:tc>
          <w:tcPr>
            <w:tcW w:w="1011" w:type="dxa"/>
            <w:tcBorders>
              <w:top w:val="single" w:sz="4" w:space="0" w:color="auto"/>
              <w:left w:val="nil"/>
              <w:bottom w:val="single" w:sz="4" w:space="0" w:color="auto"/>
              <w:right w:val="single" w:sz="4" w:space="0" w:color="auto"/>
            </w:tcBorders>
            <w:vAlign w:val="center"/>
          </w:tcPr>
          <w:p w14:paraId="76F0342E" w14:textId="4E1B4226" w:rsidR="0027583C" w:rsidRPr="00134AB5" w:rsidRDefault="006F543A" w:rsidP="001059DC">
            <w:pPr>
              <w:contextualSpacing/>
              <w:jc w:val="center"/>
              <w:rPr>
                <w:rFonts w:eastAsia="Arial"/>
                <w:sz w:val="20"/>
                <w:szCs w:val="20"/>
              </w:rPr>
            </w:pPr>
            <w:r w:rsidRPr="00134AB5">
              <w:rPr>
                <w:rFonts w:eastAsia="Arial"/>
                <w:sz w:val="20"/>
                <w:szCs w:val="20"/>
              </w:rPr>
              <w:t>ANO</w:t>
            </w:r>
          </w:p>
        </w:tc>
        <w:tc>
          <w:tcPr>
            <w:tcW w:w="1221" w:type="dxa"/>
            <w:tcBorders>
              <w:top w:val="single" w:sz="4" w:space="0" w:color="auto"/>
              <w:left w:val="nil"/>
              <w:bottom w:val="single" w:sz="4" w:space="0" w:color="auto"/>
              <w:right w:val="single" w:sz="4" w:space="0" w:color="auto"/>
            </w:tcBorders>
            <w:vAlign w:val="center"/>
          </w:tcPr>
          <w:p w14:paraId="780ED19A" w14:textId="06C58174" w:rsidR="0027583C" w:rsidRPr="00134AB5" w:rsidRDefault="006F543A" w:rsidP="001059DC">
            <w:pPr>
              <w:contextualSpacing/>
              <w:jc w:val="center"/>
              <w:rPr>
                <w:rFonts w:eastAsia="Arial"/>
                <w:sz w:val="20"/>
                <w:szCs w:val="20"/>
              </w:rPr>
            </w:pPr>
            <w:r w:rsidRPr="00134AB5">
              <w:rPr>
                <w:rFonts w:eastAsia="Arial"/>
                <w:sz w:val="20"/>
                <w:szCs w:val="20"/>
              </w:rPr>
              <w:t>ANO</w:t>
            </w:r>
          </w:p>
        </w:tc>
        <w:tc>
          <w:tcPr>
            <w:tcW w:w="1270" w:type="dxa"/>
            <w:tcBorders>
              <w:top w:val="single" w:sz="4" w:space="0" w:color="auto"/>
              <w:left w:val="nil"/>
              <w:bottom w:val="single" w:sz="4" w:space="0" w:color="auto"/>
              <w:right w:val="single" w:sz="4" w:space="0" w:color="auto"/>
            </w:tcBorders>
            <w:vAlign w:val="center"/>
          </w:tcPr>
          <w:p w14:paraId="6B8BFBC0" w14:textId="6203E3DB" w:rsidR="0027583C" w:rsidRPr="00134AB5" w:rsidRDefault="006F543A" w:rsidP="001059DC">
            <w:pPr>
              <w:contextualSpacing/>
              <w:jc w:val="center"/>
              <w:rPr>
                <w:rFonts w:eastAsia="Arial"/>
                <w:sz w:val="20"/>
                <w:szCs w:val="20"/>
              </w:rPr>
            </w:pPr>
            <w:r w:rsidRPr="00134AB5">
              <w:rPr>
                <w:rFonts w:eastAsia="Arial"/>
                <w:sz w:val="20"/>
                <w:szCs w:val="20"/>
              </w:rPr>
              <w:t>ANO</w:t>
            </w:r>
          </w:p>
        </w:tc>
      </w:tr>
    </w:tbl>
    <w:p w14:paraId="4F0E87F9" w14:textId="77777777" w:rsidR="00592AC2" w:rsidRPr="00134AB5" w:rsidRDefault="00EC3929" w:rsidP="007C4955">
      <w:pPr>
        <w:contextualSpacing/>
        <w:rPr>
          <w:i/>
          <w:sz w:val="20"/>
          <w:szCs w:val="20"/>
        </w:rPr>
      </w:pPr>
      <w:r w:rsidRPr="00134AB5">
        <w:rPr>
          <w:i/>
          <w:sz w:val="20"/>
          <w:szCs w:val="20"/>
        </w:rPr>
        <w:t>Pramen</w:t>
      </w:r>
      <w:r w:rsidR="00592AC2" w:rsidRPr="00134AB5">
        <w:rPr>
          <w:i/>
          <w:sz w:val="20"/>
          <w:szCs w:val="20"/>
        </w:rPr>
        <w:t xml:space="preserve">: SFŽP, </w:t>
      </w:r>
      <w:proofErr w:type="spellStart"/>
      <w:r w:rsidR="00592AC2" w:rsidRPr="00134AB5">
        <w:rPr>
          <w:i/>
          <w:sz w:val="20"/>
          <w:szCs w:val="20"/>
        </w:rPr>
        <w:t>s.p</w:t>
      </w:r>
      <w:proofErr w:type="spellEnd"/>
      <w:r w:rsidR="00592AC2" w:rsidRPr="00134AB5">
        <w:rPr>
          <w:i/>
          <w:sz w:val="20"/>
          <w:szCs w:val="20"/>
        </w:rPr>
        <w:t>. Povodí</w:t>
      </w:r>
    </w:p>
    <w:p w14:paraId="7B833F42" w14:textId="77777777" w:rsidR="00592AC2" w:rsidRPr="00134AB5" w:rsidRDefault="00592AC2" w:rsidP="007C4955">
      <w:pPr>
        <w:contextualSpacing/>
        <w:rPr>
          <w:i/>
          <w:sz w:val="20"/>
          <w:szCs w:val="20"/>
        </w:rPr>
      </w:pPr>
      <w:r w:rsidRPr="00134AB5">
        <w:rPr>
          <w:i/>
          <w:sz w:val="20"/>
          <w:szCs w:val="20"/>
        </w:rPr>
        <w:t xml:space="preserve">Pozn.: </w:t>
      </w:r>
      <w:r w:rsidRPr="00134AB5">
        <w:rPr>
          <w:i/>
          <w:sz w:val="20"/>
          <w:szCs w:val="20"/>
          <w:vertAlign w:val="superscript"/>
        </w:rPr>
        <w:t>*</w:t>
      </w:r>
      <w:r w:rsidR="00A6633D" w:rsidRPr="00134AB5">
        <w:rPr>
          <w:i/>
          <w:sz w:val="20"/>
          <w:szCs w:val="20"/>
          <w:vertAlign w:val="superscript"/>
        </w:rPr>
        <w:t>)</w:t>
      </w:r>
      <w:r w:rsidRPr="00134AB5">
        <w:rPr>
          <w:i/>
          <w:sz w:val="20"/>
          <w:szCs w:val="20"/>
        </w:rPr>
        <w:t xml:space="preserve"> ČOV podpořené ze SFŽP</w:t>
      </w:r>
    </w:p>
    <w:p w14:paraId="751EC514" w14:textId="77777777" w:rsidR="00592AC2" w:rsidRPr="00104F7D" w:rsidRDefault="00592AC2" w:rsidP="007C4955">
      <w:pPr>
        <w:contextualSpacing/>
        <w:rPr>
          <w:i/>
          <w:sz w:val="18"/>
          <w:szCs w:val="18"/>
          <w:highlight w:val="yellow"/>
        </w:rPr>
      </w:pPr>
    </w:p>
    <w:p w14:paraId="00303CF6" w14:textId="77777777" w:rsidR="00CE715B" w:rsidRPr="003912B4" w:rsidRDefault="00CE715B" w:rsidP="00CE715B">
      <w:pPr>
        <w:rPr>
          <w:b/>
          <w:i/>
        </w:rPr>
      </w:pPr>
      <w:bookmarkStart w:id="203" w:name="_Hlk168565409"/>
      <w:r w:rsidRPr="003912B4">
        <w:rPr>
          <w:b/>
          <w:i/>
        </w:rPr>
        <w:t>Akční program podle směrnice Rady 91/676/EHS (nitrátová směrnice)</w:t>
      </w:r>
    </w:p>
    <w:p w14:paraId="5230E341" w14:textId="77777777" w:rsidR="0025394A" w:rsidRPr="00104F7D" w:rsidRDefault="0025394A" w:rsidP="00CE715B">
      <w:pPr>
        <w:rPr>
          <w:b/>
          <w:highlight w:val="yellow"/>
        </w:rPr>
      </w:pPr>
    </w:p>
    <w:p w14:paraId="005CB81E" w14:textId="7B94A6F8" w:rsidR="003912B4" w:rsidRDefault="003912B4" w:rsidP="003912B4">
      <w:pPr>
        <w:spacing w:line="276" w:lineRule="auto"/>
        <w:rPr>
          <w:b/>
        </w:rPr>
      </w:pPr>
      <w:r>
        <w:rPr>
          <w:b/>
        </w:rPr>
        <w:t>V roce 1991 byla přijata směrnice Rady 91/676/EHS o ochraně vod před znečištěním dusičnany ze zemědělských zdrojů – nitrátová směrnice, která je v České republice transponována do zákona o hnojivech, vodního zákona a do nařízení vlády č. 262/2012 Sb., o stanovení zranitelných oblastí a akčním programu. Zranitelné oblasti jsou ty, kde kontaminace podzemních a povrchových vod dusičnany již přesáhla nebo by mohla přesáhnout stanovenou mez koncentrace dusičnanů ve výši 50 mg/l</w:t>
      </w:r>
      <w:r w:rsidR="00130FB3">
        <w:rPr>
          <w:b/>
        </w:rPr>
        <w:t>.</w:t>
      </w:r>
      <w:r>
        <w:rPr>
          <w:b/>
        </w:rPr>
        <w:t xml:space="preserve"> </w:t>
      </w:r>
      <w:r w:rsidR="00130FB3">
        <w:rPr>
          <w:b/>
        </w:rPr>
        <w:t xml:space="preserve">Tyto zranitelné oblasti </w:t>
      </w:r>
      <w:r>
        <w:rPr>
          <w:b/>
        </w:rPr>
        <w:t>podléhají</w:t>
      </w:r>
      <w:r w:rsidR="006054BA">
        <w:rPr>
          <w:b/>
        </w:rPr>
        <w:t>,</w:t>
      </w:r>
      <w:r>
        <w:rPr>
          <w:b/>
        </w:rPr>
        <w:t xml:space="preserve"> podle požadavků nitrátové směrnice</w:t>
      </w:r>
      <w:r w:rsidR="006054BA">
        <w:rPr>
          <w:b/>
        </w:rPr>
        <w:t>,</w:t>
      </w:r>
      <w:r>
        <w:rPr>
          <w:b/>
        </w:rPr>
        <w:t xml:space="preserve"> revizi nejméně každé čtyři roky od jejich vyhlášení. </w:t>
      </w:r>
    </w:p>
    <w:p w14:paraId="001005F5" w14:textId="77777777" w:rsidR="003912B4" w:rsidRDefault="003912B4" w:rsidP="003912B4">
      <w:pPr>
        <w:spacing w:line="276" w:lineRule="auto"/>
        <w:rPr>
          <w:b/>
        </w:rPr>
      </w:pPr>
    </w:p>
    <w:p w14:paraId="01C13E2F" w14:textId="77777777" w:rsidR="003912B4" w:rsidRPr="00451358" w:rsidRDefault="003912B4" w:rsidP="003912B4">
      <w:pPr>
        <w:spacing w:line="276" w:lineRule="auto"/>
      </w:pPr>
      <w:r>
        <w:t xml:space="preserve">Mezi hlavní opatření ke snížení plošného znečištění vod dusičnany ze zemědělských zdrojů patří nařízení vlády č. 262/2012 Sb., o stanovení zranitelných oblastí a akčním programu, ve znění pozdějších předpisů. V rámci tohoto právního předpisu jsou vymezovány tzv. zranitelné oblasti dusičnany (dále také „ZOD“) a je vyhlašován akční program pro zemědělský sektor. Výše jmenovaná opatření jsou revidována a vyhlašována v pravidelných časových intervalech nepřesahujících dle platných ustanovení nitrátové směrnice 4 roky. Značné množství dusičnanů, resp. nutrientů obecně, je do povrchových vod splachováno v rámci vodní eroze, více viz </w:t>
      </w:r>
      <w:r w:rsidRPr="00451358">
        <w:t>kap. 5.2 Plošné znečistění.</w:t>
      </w:r>
    </w:p>
    <w:p w14:paraId="6D7B3912" w14:textId="77777777" w:rsidR="003912B4" w:rsidRPr="00451358" w:rsidRDefault="003912B4" w:rsidP="003912B4">
      <w:pPr>
        <w:spacing w:line="276" w:lineRule="auto"/>
      </w:pPr>
    </w:p>
    <w:p w14:paraId="2B49613D" w14:textId="39B05B51" w:rsidR="003912B4" w:rsidRDefault="003912B4" w:rsidP="003912B4">
      <w:pPr>
        <w:spacing w:after="120" w:line="276" w:lineRule="auto"/>
      </w:pPr>
      <w:r>
        <w:t xml:space="preserve">Při vymezování zranitelných oblastí jsou vyjma koncentrací dusičnanů v měrných profilech povrchových a podzemních vod brány v potaz i další skutečnosti, jako např. stav eutrofizace povrchových vod v dané lokalitě, kdy zdrojem tohoto znečištění mohou být i jiné zdroje </w:t>
      </w:r>
      <w:r w:rsidR="00451358">
        <w:t>znečištění</w:t>
      </w:r>
      <w:r>
        <w:t xml:space="preserve"> nežli plošné znečištění. V ČR v současnosti činí podíl ZOD cca 42 % její celkové rozlohy a ZOD pokrývají cca 50 % celkové plochy zemědělské půdy.</w:t>
      </w:r>
    </w:p>
    <w:p w14:paraId="69B11007" w14:textId="39242AF7" w:rsidR="002F0388" w:rsidRDefault="003912B4" w:rsidP="003912B4">
      <w:pPr>
        <w:autoSpaceDE w:val="0"/>
        <w:autoSpaceDN w:val="0"/>
        <w:adjustRightInd w:val="0"/>
        <w:rPr>
          <w:rFonts w:ascii="Arial-BoldMT2" w:hAnsi="Arial-BoldMT2" w:cs="Arial-BoldMT2"/>
          <w:bCs/>
          <w:lang w:eastAsia="cs-CZ"/>
        </w:rPr>
      </w:pPr>
      <w:r>
        <w:rPr>
          <w:rFonts w:ascii="Arial-BoldMT2" w:hAnsi="Arial-BoldMT2" w:cs="Arial-BoldMT2"/>
          <w:bCs/>
          <w:lang w:eastAsia="cs-CZ"/>
        </w:rPr>
        <w:t>Zranitelné oblasti, v nichž se nacházejí vody znečištěné dusičnany, zabírají 1,8 milionu hektarů, tedy více než polovinu využívané zemědělské půdy v ČR.</w:t>
      </w:r>
    </w:p>
    <w:p w14:paraId="051AECFF" w14:textId="77777777" w:rsidR="003912B4" w:rsidRPr="00104F7D" w:rsidRDefault="003912B4" w:rsidP="003912B4">
      <w:pPr>
        <w:autoSpaceDE w:val="0"/>
        <w:autoSpaceDN w:val="0"/>
        <w:adjustRightInd w:val="0"/>
        <w:rPr>
          <w:rFonts w:ascii="ArialMT2" w:hAnsi="ArialMT2" w:cs="ArialMT2"/>
          <w:highlight w:val="yellow"/>
          <w:lang w:eastAsia="cs-CZ"/>
        </w:rPr>
      </w:pPr>
    </w:p>
    <w:p w14:paraId="388CE824" w14:textId="77777777" w:rsidR="000B161F" w:rsidRPr="00451358" w:rsidRDefault="002F0388" w:rsidP="002F0388">
      <w:pPr>
        <w:autoSpaceDE w:val="0"/>
        <w:autoSpaceDN w:val="0"/>
        <w:adjustRightInd w:val="0"/>
        <w:rPr>
          <w:rFonts w:ascii="ArialMT2" w:hAnsi="ArialMT2" w:cs="ArialMT2"/>
          <w:b/>
          <w:bCs/>
          <w:i/>
          <w:iCs/>
          <w:lang w:eastAsia="cs-CZ"/>
        </w:rPr>
      </w:pPr>
      <w:r w:rsidRPr="00451358">
        <w:rPr>
          <w:rFonts w:ascii="ArialMT2" w:hAnsi="ArialMT2" w:cs="ArialMT2"/>
          <w:b/>
          <w:bCs/>
          <w:i/>
          <w:iCs/>
          <w:lang w:eastAsia="cs-CZ"/>
        </w:rPr>
        <w:t xml:space="preserve">Tabulka </w:t>
      </w:r>
      <w:r w:rsidR="000B161F" w:rsidRPr="00451358">
        <w:rPr>
          <w:rFonts w:ascii="ArialMT2" w:hAnsi="ArialMT2" w:cs="ArialMT2"/>
          <w:b/>
          <w:bCs/>
          <w:i/>
          <w:iCs/>
          <w:lang w:eastAsia="cs-CZ"/>
        </w:rPr>
        <w:t>13.3.2</w:t>
      </w:r>
    </w:p>
    <w:p w14:paraId="2055B5AB" w14:textId="40D329C4" w:rsidR="00AA4875" w:rsidRPr="00451358" w:rsidRDefault="000B161F" w:rsidP="00616040">
      <w:pPr>
        <w:autoSpaceDE w:val="0"/>
        <w:autoSpaceDN w:val="0"/>
        <w:adjustRightInd w:val="0"/>
        <w:rPr>
          <w:rFonts w:ascii="ArialMT2" w:hAnsi="ArialMT2" w:cs="ArialMT2"/>
          <w:b/>
          <w:bCs/>
          <w:i/>
          <w:iCs/>
          <w:lang w:eastAsia="cs-CZ"/>
        </w:rPr>
      </w:pPr>
      <w:r w:rsidRPr="00451358">
        <w:rPr>
          <w:rFonts w:ascii="ArialMT2" w:hAnsi="ArialMT2" w:cs="ArialMT2"/>
          <w:b/>
          <w:bCs/>
          <w:i/>
          <w:iCs/>
          <w:lang w:eastAsia="cs-CZ"/>
        </w:rPr>
        <w:t>V</w:t>
      </w:r>
      <w:r w:rsidR="002F0388" w:rsidRPr="00451358">
        <w:rPr>
          <w:rFonts w:ascii="ArialMT2" w:hAnsi="ArialMT2" w:cs="ArialMT2"/>
          <w:b/>
          <w:bCs/>
          <w:i/>
          <w:iCs/>
          <w:lang w:eastAsia="cs-CZ"/>
        </w:rPr>
        <w:t>ymezení zranitelných oblastí dusičnany</w:t>
      </w:r>
    </w:p>
    <w:p w14:paraId="5E09A35A" w14:textId="6F333949" w:rsidR="00451358" w:rsidRDefault="003C45DA" w:rsidP="00FF41D3">
      <w:pPr>
        <w:autoSpaceDE w:val="0"/>
        <w:autoSpaceDN w:val="0"/>
        <w:adjustRightInd w:val="0"/>
        <w:rPr>
          <w:rFonts w:cs="Arial"/>
          <w:i/>
          <w:iCs/>
          <w:sz w:val="20"/>
          <w:szCs w:val="20"/>
          <w:highlight w:val="yellow"/>
          <w:lang w:eastAsia="cs-CZ"/>
        </w:rPr>
      </w:pPr>
      <w:r>
        <w:rPr>
          <w:rFonts w:ascii="Arial-BoldMT" w:hAnsi="Arial-BoldMT" w:cs="Arial-BoldMT"/>
          <w:b/>
          <w:bCs/>
          <w:noProof/>
          <w:lang w:eastAsia="cs-CZ"/>
        </w:rPr>
        <w:drawing>
          <wp:inline distT="0" distB="0" distL="0" distR="0" wp14:anchorId="1B298C40" wp14:editId="77BDAF7C">
            <wp:extent cx="5218756" cy="4311650"/>
            <wp:effectExtent l="0" t="0" r="1270" b="0"/>
            <wp:docPr id="7" name="Obrázek 1" descr="Obsah obrázku text, snímek obrazovky, číslo, Písm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117"/>
                    <a:srcRect b="8293"/>
                    <a:stretch>
                      <a:fillRect/>
                    </a:stretch>
                  </pic:blipFill>
                  <pic:spPr bwMode="auto">
                    <a:xfrm>
                      <a:off x="0" y="0"/>
                      <a:ext cx="5219716" cy="4312443"/>
                    </a:xfrm>
                    <a:prstGeom prst="rect">
                      <a:avLst/>
                    </a:prstGeom>
                    <a:ln>
                      <a:noFill/>
                    </a:ln>
                    <a:extLst>
                      <a:ext uri="{53640926-AAD7-44D8-BBD7-CCE9431645EC}">
                        <a14:shadowObscured xmlns:a14="http://schemas.microsoft.com/office/drawing/2010/main"/>
                      </a:ext>
                    </a:extLst>
                  </pic:spPr>
                </pic:pic>
              </a:graphicData>
            </a:graphic>
          </wp:inline>
        </w:drawing>
      </w:r>
    </w:p>
    <w:p w14:paraId="2ACD65E1" w14:textId="75C69331" w:rsidR="0025394A" w:rsidRPr="003C45DA" w:rsidRDefault="005125FB" w:rsidP="00FF41D3">
      <w:pPr>
        <w:autoSpaceDE w:val="0"/>
        <w:autoSpaceDN w:val="0"/>
        <w:adjustRightInd w:val="0"/>
        <w:rPr>
          <w:rFonts w:cs="Arial"/>
          <w:i/>
          <w:iCs/>
          <w:sz w:val="20"/>
          <w:szCs w:val="20"/>
          <w:lang w:eastAsia="cs-CZ"/>
        </w:rPr>
      </w:pPr>
      <w:r w:rsidRPr="003C45DA">
        <w:rPr>
          <w:rFonts w:cs="Arial"/>
          <w:i/>
          <w:iCs/>
          <w:sz w:val="20"/>
          <w:szCs w:val="20"/>
          <w:lang w:eastAsia="cs-CZ"/>
        </w:rPr>
        <w:t>Pramen</w:t>
      </w:r>
      <w:r w:rsidR="002F0388" w:rsidRPr="003C45DA">
        <w:rPr>
          <w:rFonts w:cs="Arial"/>
          <w:i/>
          <w:iCs/>
          <w:sz w:val="20"/>
          <w:szCs w:val="20"/>
        </w:rPr>
        <w:t>:</w:t>
      </w:r>
      <w:r w:rsidR="002F0388" w:rsidRPr="003C45DA">
        <w:rPr>
          <w:rFonts w:cs="Arial"/>
          <w:i/>
          <w:iCs/>
          <w:sz w:val="20"/>
          <w:szCs w:val="20"/>
          <w:lang w:eastAsia="cs-CZ"/>
        </w:rPr>
        <w:t xml:space="preserve"> VÚV</w:t>
      </w:r>
      <w:r w:rsidR="00A0123C" w:rsidRPr="003C45DA">
        <w:rPr>
          <w:rFonts w:cs="Arial"/>
          <w:i/>
          <w:iCs/>
          <w:sz w:val="20"/>
          <w:szCs w:val="20"/>
          <w:lang w:eastAsia="cs-CZ"/>
        </w:rPr>
        <w:t xml:space="preserve"> TGM</w:t>
      </w:r>
    </w:p>
    <w:p w14:paraId="401A0B70" w14:textId="31D3083A" w:rsidR="00AA4875" w:rsidRPr="003C45DA" w:rsidRDefault="00637789" w:rsidP="000E40DE">
      <w:pPr>
        <w:rPr>
          <w:rFonts w:cs="Arial"/>
          <w:sz w:val="20"/>
          <w:szCs w:val="20"/>
          <w:lang w:eastAsia="cs-CZ"/>
        </w:rPr>
      </w:pPr>
      <w:proofErr w:type="spellStart"/>
      <w:r w:rsidRPr="003C45DA">
        <w:rPr>
          <w:rFonts w:cs="Arial"/>
          <w:i/>
          <w:iCs/>
          <w:sz w:val="20"/>
          <w:szCs w:val="20"/>
          <w:lang w:val="en-US" w:eastAsia="cs-CZ"/>
        </w:rPr>
        <w:t>Pozn</w:t>
      </w:r>
      <w:proofErr w:type="spellEnd"/>
      <w:r w:rsidRPr="003C45DA">
        <w:rPr>
          <w:rFonts w:cs="Arial"/>
          <w:i/>
          <w:iCs/>
          <w:sz w:val="20"/>
          <w:szCs w:val="20"/>
          <w:lang w:val="en-US" w:eastAsia="cs-CZ"/>
        </w:rPr>
        <w:t>.:</w:t>
      </w:r>
      <w:r w:rsidRPr="003C45DA">
        <w:rPr>
          <w:rFonts w:cs="Arial"/>
          <w:sz w:val="20"/>
          <w:szCs w:val="20"/>
          <w:vertAlign w:val="superscript"/>
          <w:lang w:val="en-US" w:eastAsia="cs-CZ"/>
        </w:rPr>
        <w:t xml:space="preserve"> </w:t>
      </w:r>
      <w:r w:rsidR="003F75E6" w:rsidRPr="003C45DA">
        <w:rPr>
          <w:rFonts w:cs="Arial"/>
          <w:sz w:val="20"/>
          <w:szCs w:val="20"/>
          <w:vertAlign w:val="superscript"/>
          <w:lang w:val="en-US" w:eastAsia="cs-CZ"/>
        </w:rPr>
        <w:t>*</w:t>
      </w:r>
      <w:r w:rsidR="003F75E6" w:rsidRPr="003C45DA">
        <w:rPr>
          <w:rFonts w:cs="Arial"/>
          <w:sz w:val="20"/>
          <w:szCs w:val="20"/>
          <w:vertAlign w:val="superscript"/>
          <w:lang w:eastAsia="cs-CZ"/>
        </w:rPr>
        <w:t>)</w:t>
      </w:r>
      <w:r w:rsidR="003F75E6" w:rsidRPr="003C45DA">
        <w:rPr>
          <w:rFonts w:cs="Arial"/>
          <w:sz w:val="20"/>
          <w:szCs w:val="20"/>
          <w:lang w:eastAsia="cs-CZ"/>
        </w:rPr>
        <w:t xml:space="preserve"> roz</w:t>
      </w:r>
      <w:r w:rsidR="00402378" w:rsidRPr="003C45DA">
        <w:rPr>
          <w:rFonts w:cs="Arial"/>
          <w:sz w:val="20"/>
          <w:szCs w:val="20"/>
          <w:lang w:eastAsia="cs-CZ"/>
        </w:rPr>
        <w:t xml:space="preserve">sah zemědělské půdy </w:t>
      </w:r>
      <w:proofErr w:type="gramStart"/>
      <w:r w:rsidR="00402378" w:rsidRPr="003C45DA">
        <w:rPr>
          <w:rFonts w:cs="Arial"/>
          <w:sz w:val="20"/>
          <w:szCs w:val="20"/>
          <w:lang w:eastAsia="cs-CZ"/>
        </w:rPr>
        <w:t>a</w:t>
      </w:r>
      <w:proofErr w:type="gramEnd"/>
      <w:r w:rsidR="00402378" w:rsidRPr="003C45DA">
        <w:rPr>
          <w:rFonts w:cs="Arial"/>
          <w:sz w:val="20"/>
          <w:szCs w:val="20"/>
          <w:lang w:eastAsia="cs-CZ"/>
        </w:rPr>
        <w:t xml:space="preserve"> orné půdy podle vrstvy </w:t>
      </w:r>
      <w:proofErr w:type="spellStart"/>
      <w:r w:rsidR="00402378" w:rsidRPr="003C45DA">
        <w:rPr>
          <w:rFonts w:cs="Arial"/>
          <w:sz w:val="20"/>
          <w:szCs w:val="20"/>
          <w:lang w:eastAsia="cs-CZ"/>
        </w:rPr>
        <w:t>Corine</w:t>
      </w:r>
      <w:proofErr w:type="spellEnd"/>
      <w:r w:rsidR="00402378" w:rsidRPr="003C45DA">
        <w:rPr>
          <w:rFonts w:cs="Arial"/>
          <w:sz w:val="20"/>
          <w:szCs w:val="20"/>
          <w:lang w:eastAsia="cs-CZ"/>
        </w:rPr>
        <w:t xml:space="preserve"> Land </w:t>
      </w:r>
      <w:proofErr w:type="spellStart"/>
      <w:r w:rsidR="00402378" w:rsidRPr="003C45DA">
        <w:rPr>
          <w:rFonts w:cs="Arial"/>
          <w:sz w:val="20"/>
          <w:szCs w:val="20"/>
          <w:lang w:eastAsia="cs-CZ"/>
        </w:rPr>
        <w:t>Cover</w:t>
      </w:r>
      <w:proofErr w:type="spellEnd"/>
      <w:r w:rsidR="00402378" w:rsidRPr="003C45DA">
        <w:rPr>
          <w:rFonts w:cs="Arial"/>
          <w:sz w:val="20"/>
          <w:szCs w:val="20"/>
          <w:lang w:eastAsia="cs-CZ"/>
        </w:rPr>
        <w:t xml:space="preserve"> 90 pro rok 2003, </w:t>
      </w:r>
      <w:proofErr w:type="spellStart"/>
      <w:r w:rsidR="00402378" w:rsidRPr="003C45DA">
        <w:rPr>
          <w:rFonts w:cs="Arial"/>
          <w:sz w:val="20"/>
          <w:szCs w:val="20"/>
          <w:lang w:eastAsia="cs-CZ"/>
        </w:rPr>
        <w:t>Corine</w:t>
      </w:r>
      <w:proofErr w:type="spellEnd"/>
      <w:r w:rsidR="00402378" w:rsidRPr="003C45DA">
        <w:rPr>
          <w:rFonts w:cs="Arial"/>
          <w:sz w:val="20"/>
          <w:szCs w:val="20"/>
          <w:lang w:eastAsia="cs-CZ"/>
        </w:rPr>
        <w:t xml:space="preserve"> Land </w:t>
      </w:r>
      <w:proofErr w:type="spellStart"/>
      <w:r w:rsidR="00402378" w:rsidRPr="003C45DA">
        <w:rPr>
          <w:rFonts w:cs="Arial"/>
          <w:sz w:val="20"/>
          <w:szCs w:val="20"/>
          <w:lang w:eastAsia="cs-CZ"/>
        </w:rPr>
        <w:t>Cover</w:t>
      </w:r>
      <w:proofErr w:type="spellEnd"/>
      <w:r w:rsidR="00CD3D2C" w:rsidRPr="003C45DA">
        <w:rPr>
          <w:rFonts w:cs="Arial"/>
          <w:sz w:val="20"/>
          <w:szCs w:val="20"/>
          <w:lang w:eastAsia="cs-CZ"/>
        </w:rPr>
        <w:t xml:space="preserve"> 2000 pro rok 2007, </w:t>
      </w:r>
      <w:proofErr w:type="spellStart"/>
      <w:r w:rsidR="00CD3D2C" w:rsidRPr="003C45DA">
        <w:rPr>
          <w:rFonts w:cs="Arial"/>
          <w:sz w:val="20"/>
          <w:szCs w:val="20"/>
          <w:lang w:eastAsia="cs-CZ"/>
        </w:rPr>
        <w:t>Corine</w:t>
      </w:r>
      <w:proofErr w:type="spellEnd"/>
      <w:r w:rsidR="00CD3D2C" w:rsidRPr="003C45DA">
        <w:rPr>
          <w:rFonts w:cs="Arial"/>
          <w:sz w:val="20"/>
          <w:szCs w:val="20"/>
          <w:lang w:eastAsia="cs-CZ"/>
        </w:rPr>
        <w:t xml:space="preserve"> Land </w:t>
      </w:r>
      <w:proofErr w:type="spellStart"/>
      <w:r w:rsidR="00CD3D2C" w:rsidRPr="003C45DA">
        <w:rPr>
          <w:rFonts w:cs="Arial"/>
          <w:sz w:val="20"/>
          <w:szCs w:val="20"/>
          <w:lang w:eastAsia="cs-CZ"/>
        </w:rPr>
        <w:t>Cover</w:t>
      </w:r>
      <w:proofErr w:type="spellEnd"/>
      <w:r w:rsidR="00CD3D2C" w:rsidRPr="003C45DA">
        <w:rPr>
          <w:rFonts w:cs="Arial"/>
          <w:sz w:val="20"/>
          <w:szCs w:val="20"/>
          <w:lang w:eastAsia="cs-CZ"/>
        </w:rPr>
        <w:t xml:space="preserve"> 2006 pro rok 2011, </w:t>
      </w:r>
      <w:proofErr w:type="spellStart"/>
      <w:r w:rsidR="00CD3D2C" w:rsidRPr="003C45DA">
        <w:rPr>
          <w:rFonts w:cs="Arial"/>
          <w:sz w:val="20"/>
          <w:szCs w:val="20"/>
          <w:lang w:eastAsia="cs-CZ"/>
        </w:rPr>
        <w:t>Corine</w:t>
      </w:r>
      <w:proofErr w:type="spellEnd"/>
      <w:r w:rsidR="00CD3D2C" w:rsidRPr="003C45DA">
        <w:rPr>
          <w:rFonts w:cs="Arial"/>
          <w:sz w:val="20"/>
          <w:szCs w:val="20"/>
          <w:lang w:eastAsia="cs-CZ"/>
        </w:rPr>
        <w:t xml:space="preserve"> Land </w:t>
      </w:r>
      <w:proofErr w:type="spellStart"/>
      <w:r w:rsidR="00CD3D2C" w:rsidRPr="003C45DA">
        <w:rPr>
          <w:rFonts w:cs="Arial"/>
          <w:sz w:val="20"/>
          <w:szCs w:val="20"/>
          <w:lang w:eastAsia="cs-CZ"/>
        </w:rPr>
        <w:t>Cover</w:t>
      </w:r>
      <w:proofErr w:type="spellEnd"/>
      <w:r w:rsidR="00CD3D2C" w:rsidRPr="003C45DA">
        <w:rPr>
          <w:rFonts w:cs="Arial"/>
          <w:sz w:val="20"/>
          <w:szCs w:val="20"/>
          <w:lang w:eastAsia="cs-CZ"/>
        </w:rPr>
        <w:t xml:space="preserve"> 2012 pro rok 2015, </w:t>
      </w:r>
      <w:proofErr w:type="spellStart"/>
      <w:r w:rsidR="00CD3D2C" w:rsidRPr="003C45DA">
        <w:rPr>
          <w:rFonts w:cs="Arial"/>
          <w:sz w:val="20"/>
          <w:szCs w:val="20"/>
          <w:lang w:eastAsia="cs-CZ"/>
        </w:rPr>
        <w:t>Corine</w:t>
      </w:r>
      <w:proofErr w:type="spellEnd"/>
      <w:r w:rsidR="00CD3D2C" w:rsidRPr="003C45DA">
        <w:rPr>
          <w:rFonts w:cs="Arial"/>
          <w:sz w:val="20"/>
          <w:szCs w:val="20"/>
          <w:lang w:eastAsia="cs-CZ"/>
        </w:rPr>
        <w:t xml:space="preserve"> Land </w:t>
      </w:r>
      <w:proofErr w:type="spellStart"/>
      <w:r w:rsidR="00CD3D2C" w:rsidRPr="003C45DA">
        <w:rPr>
          <w:rFonts w:cs="Arial"/>
          <w:sz w:val="20"/>
          <w:szCs w:val="20"/>
          <w:lang w:eastAsia="cs-CZ"/>
        </w:rPr>
        <w:t>Cover</w:t>
      </w:r>
      <w:proofErr w:type="spellEnd"/>
      <w:r w:rsidR="00CD3D2C" w:rsidRPr="003C45DA">
        <w:rPr>
          <w:rFonts w:cs="Arial"/>
          <w:sz w:val="20"/>
          <w:szCs w:val="20"/>
          <w:lang w:eastAsia="cs-CZ"/>
        </w:rPr>
        <w:t xml:space="preserve"> 2018</w:t>
      </w:r>
      <w:r w:rsidR="009E52CF" w:rsidRPr="003C45DA">
        <w:rPr>
          <w:rFonts w:cs="Arial"/>
          <w:sz w:val="20"/>
          <w:szCs w:val="20"/>
          <w:lang w:eastAsia="cs-CZ"/>
        </w:rPr>
        <w:t xml:space="preserve"> pro rok 2019 a </w:t>
      </w:r>
      <w:proofErr w:type="spellStart"/>
      <w:r w:rsidR="009E52CF" w:rsidRPr="003C45DA">
        <w:rPr>
          <w:rFonts w:cs="Arial"/>
          <w:sz w:val="20"/>
          <w:szCs w:val="20"/>
          <w:lang w:eastAsia="cs-CZ"/>
        </w:rPr>
        <w:t>Corine</w:t>
      </w:r>
      <w:proofErr w:type="spellEnd"/>
      <w:r w:rsidR="009E52CF" w:rsidRPr="003C45DA">
        <w:rPr>
          <w:rFonts w:cs="Arial"/>
          <w:sz w:val="20"/>
          <w:szCs w:val="20"/>
          <w:lang w:eastAsia="cs-CZ"/>
        </w:rPr>
        <w:t xml:space="preserve"> Land </w:t>
      </w:r>
      <w:proofErr w:type="spellStart"/>
      <w:r w:rsidR="009E52CF" w:rsidRPr="003C45DA">
        <w:rPr>
          <w:rFonts w:cs="Arial"/>
          <w:sz w:val="20"/>
          <w:szCs w:val="20"/>
          <w:lang w:eastAsia="cs-CZ"/>
        </w:rPr>
        <w:t>Cover</w:t>
      </w:r>
      <w:proofErr w:type="spellEnd"/>
      <w:r w:rsidR="009E52CF" w:rsidRPr="003C45DA">
        <w:rPr>
          <w:rFonts w:cs="Arial"/>
          <w:sz w:val="20"/>
          <w:szCs w:val="20"/>
          <w:lang w:eastAsia="cs-CZ"/>
        </w:rPr>
        <w:t xml:space="preserve"> 2018 pro rok 2023.</w:t>
      </w:r>
    </w:p>
    <w:p w14:paraId="093C781B" w14:textId="77777777" w:rsidR="00A96335" w:rsidRPr="00104F7D" w:rsidRDefault="00A96335" w:rsidP="00D21172">
      <w:pPr>
        <w:rPr>
          <w:highlight w:val="yellow"/>
        </w:rPr>
      </w:pPr>
    </w:p>
    <w:p w14:paraId="77B1B766" w14:textId="77777777" w:rsidR="00513CCB" w:rsidRDefault="00513CCB" w:rsidP="00513CCB">
      <w:pPr>
        <w:autoSpaceDE w:val="0"/>
        <w:autoSpaceDN w:val="0"/>
        <w:adjustRightInd w:val="0"/>
        <w:spacing w:line="276" w:lineRule="auto"/>
        <w:rPr>
          <w:lang w:eastAsia="cs-CZ"/>
        </w:rPr>
      </w:pPr>
      <w:r>
        <w:rPr>
          <w:bCs/>
          <w:lang w:eastAsia="cs-CZ"/>
        </w:rPr>
        <w:t xml:space="preserve">K opatřením akčního programu patří období zákazu hnojení, limity hnojení podle výnosových hladin, střídání plodin, uložení hnojiv na zemědělském pozemku, skladování dusíkatých hnojivých látek, bilance dusíku, hospodaření na svazích a hospodaření v blízkosti útvarů povrchových vod. </w:t>
      </w:r>
      <w:r>
        <w:rPr>
          <w:lang w:eastAsia="cs-CZ"/>
        </w:rPr>
        <w:t xml:space="preserve">Opatření uvedená v akčním programu musí zajistit, že v žádném podniku ve zranitelné oblasti nebude v průměru překročeno takové množství ročně aplikovaných statkových, organických a </w:t>
      </w:r>
      <w:proofErr w:type="spellStart"/>
      <w:r>
        <w:rPr>
          <w:lang w:eastAsia="cs-CZ"/>
        </w:rPr>
        <w:t>organominerálních</w:t>
      </w:r>
      <w:proofErr w:type="spellEnd"/>
      <w:r>
        <w:rPr>
          <w:lang w:eastAsia="cs-CZ"/>
        </w:rPr>
        <w:t xml:space="preserve"> hnojiv, které obsahuje více než 170 kg dusíku/ha/rok.</w:t>
      </w:r>
    </w:p>
    <w:p w14:paraId="77D5C4A1" w14:textId="77777777" w:rsidR="00513CCB" w:rsidRDefault="00513CCB" w:rsidP="00513CCB">
      <w:pPr>
        <w:autoSpaceDE w:val="0"/>
        <w:autoSpaceDN w:val="0"/>
        <w:adjustRightInd w:val="0"/>
        <w:spacing w:line="276" w:lineRule="auto"/>
        <w:jc w:val="left"/>
        <w:rPr>
          <w:rFonts w:ascii="ArialMT2" w:hAnsi="ArialMT2" w:cs="ArialMT2"/>
          <w:lang w:eastAsia="cs-CZ"/>
        </w:rPr>
      </w:pPr>
    </w:p>
    <w:p w14:paraId="5EE54900" w14:textId="77777777" w:rsidR="00513CCB" w:rsidRDefault="00513CCB" w:rsidP="00513CCB">
      <w:pPr>
        <w:spacing w:line="276" w:lineRule="auto"/>
      </w:pPr>
      <w:r>
        <w:t xml:space="preserve">V roce 2023 provedl Výzkumný ústav vodohospodářský, </w:t>
      </w:r>
      <w:proofErr w:type="spellStart"/>
      <w:r>
        <w:t>v.v.i</w:t>
      </w:r>
      <w:proofErr w:type="spellEnd"/>
      <w:r>
        <w:t xml:space="preserve">. 5. revizi vymezení ZOD. Nové vymezení zranitelných oblastí dusičnany vychází ze získaných dat monitoringu z posledního čtyřletého období a jsou účinné od 1. 7. 2024. </w:t>
      </w:r>
    </w:p>
    <w:p w14:paraId="27C0A32F" w14:textId="497C40E2" w:rsidR="00D173F5" w:rsidRPr="00104F7D" w:rsidRDefault="00D173F5" w:rsidP="00D173F5">
      <w:pPr>
        <w:rPr>
          <w:highlight w:val="yellow"/>
        </w:rPr>
      </w:pPr>
    </w:p>
    <w:p w14:paraId="028D0F02" w14:textId="2953051C" w:rsidR="00CE715B" w:rsidRPr="00D354EF" w:rsidRDefault="00CE715B" w:rsidP="00CE715B">
      <w:pPr>
        <w:rPr>
          <w:b/>
          <w:i/>
        </w:rPr>
      </w:pPr>
      <w:r w:rsidRPr="00D354EF">
        <w:rPr>
          <w:b/>
          <w:i/>
        </w:rPr>
        <w:t>Obrázek 13.3.1</w:t>
      </w:r>
    </w:p>
    <w:p w14:paraId="4BB8A81F" w14:textId="1818E32B" w:rsidR="0039616F" w:rsidRPr="00D354EF" w:rsidRDefault="0039616F" w:rsidP="00CE715B">
      <w:r w:rsidRPr="00D354EF">
        <w:rPr>
          <w:b/>
          <w:bCs/>
          <w:i/>
          <w:iCs/>
        </w:rPr>
        <w:t>Mapa zranitelných oblastí a jejich vymezení platná pro období 2024–2028</w:t>
      </w:r>
    </w:p>
    <w:p w14:paraId="6DEC27AC" w14:textId="39AAEA4B" w:rsidR="00EC1D7B" w:rsidRPr="00104F7D" w:rsidRDefault="00F02CB4" w:rsidP="00AF6A9D">
      <w:pPr>
        <w:pStyle w:val="mezikapitolamivtmi"/>
        <w:spacing w:before="240" w:after="240"/>
        <w:rPr>
          <w:rFonts w:ascii="Arial" w:eastAsia="Calibri" w:hAnsi="Arial" w:cs="Arial"/>
          <w:b w:val="0"/>
          <w:sz w:val="20"/>
          <w:highlight w:val="yellow"/>
          <w:lang w:eastAsia="en-US"/>
        </w:rPr>
      </w:pPr>
      <w:r w:rsidRPr="005A629C">
        <w:rPr>
          <w:rFonts w:ascii="Arial" w:eastAsia="Calibri" w:hAnsi="Arial" w:cs="Arial"/>
          <w:b w:val="0"/>
          <w:noProof/>
          <w:sz w:val="20"/>
          <w:lang w:eastAsia="en-US"/>
        </w:rPr>
        <w:drawing>
          <wp:inline distT="0" distB="0" distL="0" distR="0" wp14:anchorId="65323F73" wp14:editId="1FDFB3CB">
            <wp:extent cx="5544804" cy="3800475"/>
            <wp:effectExtent l="0" t="0" r="0" b="0"/>
            <wp:docPr id="2027116241"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547707" cy="3802465"/>
                    </a:xfrm>
                    <a:prstGeom prst="rect">
                      <a:avLst/>
                    </a:prstGeom>
                    <a:noFill/>
                    <a:ln>
                      <a:noFill/>
                    </a:ln>
                  </pic:spPr>
                </pic:pic>
              </a:graphicData>
            </a:graphic>
          </wp:inline>
        </w:drawing>
      </w:r>
      <w:r w:rsidR="000E40DE" w:rsidRPr="00104F7D">
        <w:rPr>
          <w:rFonts w:ascii="Arial" w:eastAsia="Calibri" w:hAnsi="Arial" w:cs="Arial"/>
          <w:b w:val="0"/>
          <w:sz w:val="20"/>
          <w:highlight w:val="yellow"/>
          <w:lang w:eastAsia="en-US"/>
        </w:rPr>
        <w:t xml:space="preserve"> </w:t>
      </w:r>
    </w:p>
    <w:p w14:paraId="312AA3B2" w14:textId="17BADDE9" w:rsidR="00CE715B" w:rsidRPr="00656C40" w:rsidRDefault="00CE715B" w:rsidP="00EC1D7B">
      <w:pPr>
        <w:pStyle w:val="mezikapitolamivtmi"/>
        <w:spacing w:before="240" w:after="240"/>
        <w:rPr>
          <w:noProof/>
        </w:rPr>
      </w:pPr>
      <w:r w:rsidRPr="00656C40">
        <w:rPr>
          <w:rFonts w:ascii="Arial" w:eastAsia="Calibri" w:hAnsi="Arial" w:cs="Arial"/>
          <w:b w:val="0"/>
          <w:sz w:val="20"/>
          <w:lang w:eastAsia="en-US"/>
        </w:rPr>
        <w:t>Pramen: VÚV TGM</w:t>
      </w:r>
    </w:p>
    <w:p w14:paraId="13407F8E" w14:textId="77777777" w:rsidR="004B68BF" w:rsidRDefault="004B68BF" w:rsidP="004B68BF">
      <w:pPr>
        <w:spacing w:line="276" w:lineRule="auto"/>
      </w:pPr>
      <w:r>
        <w:t xml:space="preserve">Současně probíhá monitoring účinného 6. akčního programu nitrátové směrnice, který bude na konci čtyřletého období vyhodnocen a na jeho základě budou revidována stávající opatření akčního programu. </w:t>
      </w:r>
    </w:p>
    <w:p w14:paraId="2C6A1A3E" w14:textId="77777777" w:rsidR="004B68BF" w:rsidRDefault="004B68BF" w:rsidP="004B68BF">
      <w:pPr>
        <w:spacing w:line="276" w:lineRule="auto"/>
      </w:pPr>
    </w:p>
    <w:p w14:paraId="7D7D8414" w14:textId="77777777" w:rsidR="004B68BF" w:rsidRDefault="004B68BF" w:rsidP="004B68BF">
      <w:pPr>
        <w:spacing w:line="276" w:lineRule="auto"/>
      </w:pPr>
      <w:r>
        <w:t xml:space="preserve">Nový akční program nitrátové směrnice bude společně s vymezenými ZOD účinný v polovině roku 2028. </w:t>
      </w:r>
    </w:p>
    <w:bookmarkEnd w:id="203"/>
    <w:p w14:paraId="572A3C47" w14:textId="77777777" w:rsidR="002527FC" w:rsidRPr="00104F7D" w:rsidRDefault="002527FC" w:rsidP="007C4955">
      <w:pPr>
        <w:contextualSpacing/>
        <w:rPr>
          <w:highlight w:val="yellow"/>
        </w:rPr>
      </w:pPr>
    </w:p>
    <w:p w14:paraId="4C09D9C2" w14:textId="7FD9F3B9" w:rsidR="003C2C1A" w:rsidRPr="008B574F" w:rsidRDefault="006C7AF5" w:rsidP="007B3DB3">
      <w:pPr>
        <w:rPr>
          <w:rFonts w:cs="Arial"/>
          <w:bCs/>
        </w:rPr>
      </w:pPr>
      <w:bookmarkStart w:id="204" w:name="_Toc10183463"/>
      <w:r w:rsidRPr="00D25C60">
        <w:rPr>
          <w:rFonts w:cs="Arial"/>
          <w:bCs/>
          <w:color w:val="000000" w:themeColor="text1"/>
        </w:rPr>
        <w:t>Rok 202</w:t>
      </w:r>
      <w:r w:rsidR="008B574F" w:rsidRPr="00D25C60">
        <w:rPr>
          <w:rFonts w:cs="Arial"/>
          <w:bCs/>
          <w:color w:val="000000" w:themeColor="text1"/>
        </w:rPr>
        <w:t>5</w:t>
      </w:r>
      <w:r w:rsidRPr="00D25C60">
        <w:rPr>
          <w:rFonts w:cs="Arial"/>
          <w:bCs/>
          <w:color w:val="000000" w:themeColor="text1"/>
        </w:rPr>
        <w:t xml:space="preserve"> byl </w:t>
      </w:r>
      <w:r w:rsidR="008B574F" w:rsidRPr="00D25C60">
        <w:rPr>
          <w:rFonts w:cs="Arial"/>
          <w:bCs/>
          <w:color w:val="000000" w:themeColor="text1"/>
        </w:rPr>
        <w:t>třetím</w:t>
      </w:r>
      <w:r w:rsidRPr="00D25C60">
        <w:rPr>
          <w:rFonts w:cs="Arial"/>
          <w:bCs/>
          <w:color w:val="000000" w:themeColor="text1"/>
        </w:rPr>
        <w:t xml:space="preserve"> rokem programového období 2023</w:t>
      </w:r>
      <w:r w:rsidR="00193685" w:rsidRPr="00D25C60">
        <w:rPr>
          <w:bCs/>
          <w:color w:val="000000" w:themeColor="text1"/>
        </w:rPr>
        <w:t>–</w:t>
      </w:r>
      <w:r w:rsidRPr="00D25C60">
        <w:rPr>
          <w:rFonts w:cs="Arial"/>
          <w:bCs/>
          <w:color w:val="000000" w:themeColor="text1"/>
        </w:rPr>
        <w:t>2027 v</w:t>
      </w:r>
      <w:r w:rsidRPr="00D25C60">
        <w:rPr>
          <w:rFonts w:cs="Arial"/>
          <w:bCs/>
        </w:rPr>
        <w:t xml:space="preserve"> rámci kterého byly uplatňovány nástroje Strategického plánu SZP, který cílí mj. na podporu udržitelného rozvoje přírodních zdrojů, jako je voda, půda a ovzduší a účinné hospodaření s nimi. K ochraně vod v rámci </w:t>
      </w:r>
      <w:proofErr w:type="spellStart"/>
      <w:r w:rsidRPr="00D25C60">
        <w:rPr>
          <w:rFonts w:cs="Arial"/>
          <w:bCs/>
        </w:rPr>
        <w:t>celofaremní</w:t>
      </w:r>
      <w:proofErr w:type="spellEnd"/>
      <w:r w:rsidRPr="00D25C60">
        <w:rPr>
          <w:rFonts w:cs="Arial"/>
          <w:bCs/>
        </w:rPr>
        <w:t xml:space="preserve"> </w:t>
      </w:r>
      <w:proofErr w:type="spellStart"/>
      <w:proofErr w:type="gramStart"/>
      <w:r w:rsidRPr="00D25C60">
        <w:rPr>
          <w:rFonts w:cs="Arial"/>
          <w:bCs/>
        </w:rPr>
        <w:t>ekoplatby</w:t>
      </w:r>
      <w:proofErr w:type="spellEnd"/>
      <w:proofErr w:type="gramEnd"/>
      <w:r w:rsidRPr="00D25C60">
        <w:rPr>
          <w:rFonts w:cs="Arial"/>
          <w:bCs/>
        </w:rPr>
        <w:t xml:space="preserve"> a to jak v základním, tak v prémiovém stupni, přispívá zejména podmínka vyčleňování ochranných pásů podél vody na orné půdě. Tato podmínka navazuje na standard DZES 4 – ochranné pásy u útvarů povrchových vod. Jedná se o travnaté pásy v minimální šíři 6 nebo 12 m, které brání smyvu pesticidů a jejich reziduí, snižují ztráty živin jejich splavením do povrchových vod a přispívají také k omezení eroze. Dalším související podmínkou </w:t>
      </w:r>
      <w:proofErr w:type="spellStart"/>
      <w:r w:rsidRPr="00D25C60">
        <w:rPr>
          <w:rFonts w:cs="Arial"/>
          <w:bCs/>
        </w:rPr>
        <w:t>celofaremní</w:t>
      </w:r>
      <w:proofErr w:type="spellEnd"/>
      <w:r w:rsidRPr="00D25C60">
        <w:rPr>
          <w:rFonts w:cs="Arial"/>
          <w:bCs/>
        </w:rPr>
        <w:t xml:space="preserve"> </w:t>
      </w:r>
      <w:proofErr w:type="spellStart"/>
      <w:r w:rsidRPr="00D25C60">
        <w:rPr>
          <w:rFonts w:cs="Arial"/>
          <w:bCs/>
        </w:rPr>
        <w:t>ekoplatby</w:t>
      </w:r>
      <w:proofErr w:type="spellEnd"/>
      <w:r w:rsidRPr="00D25C60">
        <w:rPr>
          <w:rFonts w:cs="Arial"/>
          <w:bCs/>
        </w:rPr>
        <w:t xml:space="preserve"> je podpora doplňování organické složky do půdy a bilance organické hmoty, která je klíčová z hlediska zlepšení kvality půdy a snížení erozní ohroženosti. V rámci </w:t>
      </w:r>
      <w:proofErr w:type="spellStart"/>
      <w:r w:rsidRPr="00D25C60">
        <w:rPr>
          <w:rFonts w:cs="Arial"/>
          <w:bCs/>
        </w:rPr>
        <w:t>baseline</w:t>
      </w:r>
      <w:proofErr w:type="spellEnd"/>
      <w:r w:rsidRPr="00D25C60">
        <w:rPr>
          <w:rFonts w:cs="Arial"/>
          <w:bCs/>
        </w:rPr>
        <w:t xml:space="preserve"> podmíněnosti je na dotační politiku, mimo výše uvedený standard DZES 4, navázáno dodržování podmínek nitrátové směrnice a vodní rámcové směrnice, pokud jde o povinné požadavky na omezování difúzních zdrojů znečištění fosforečnany.</w:t>
      </w:r>
      <w:r w:rsidR="00193685" w:rsidRPr="008B574F">
        <w:rPr>
          <w:rFonts w:cs="Arial"/>
          <w:bCs/>
        </w:rPr>
        <w:t xml:space="preserve"> </w:t>
      </w:r>
    </w:p>
    <w:p w14:paraId="31E345AF" w14:textId="0E5AA3F6" w:rsidR="00BE4EE9" w:rsidRPr="008B574F" w:rsidRDefault="00A779E9" w:rsidP="0099321B">
      <w:pPr>
        <w:pStyle w:val="Nadpis1"/>
        <w:spacing w:before="0"/>
        <w:contextualSpacing/>
        <w:rPr>
          <w:caps/>
          <w:color w:val="FF0000"/>
        </w:rPr>
      </w:pPr>
      <w:r w:rsidRPr="008B574F">
        <w:rPr>
          <w:b w:val="0"/>
          <w:caps/>
          <w:color w:val="FF0000"/>
          <w:sz w:val="22"/>
          <w:szCs w:val="22"/>
        </w:rPr>
        <w:br w:type="page"/>
      </w:r>
      <w:bookmarkStart w:id="205" w:name="_Toc236991648"/>
      <w:r w:rsidR="0099321B" w:rsidRPr="00584565">
        <w:rPr>
          <w:bCs w:val="0"/>
          <w:caps/>
          <w:color w:val="000000" w:themeColor="text1"/>
        </w:rPr>
        <w:t>14</w:t>
      </w:r>
      <w:r w:rsidR="00584565" w:rsidRPr="00584565">
        <w:rPr>
          <w:bCs w:val="0"/>
          <w:caps/>
          <w:color w:val="000000" w:themeColor="text1"/>
        </w:rPr>
        <w:t xml:space="preserve">. </w:t>
      </w:r>
      <w:r w:rsidR="00BE4EE9" w:rsidRPr="008B574F">
        <w:rPr>
          <w:caps/>
        </w:rPr>
        <w:t>Mezinárodní vztahy</w:t>
      </w:r>
      <w:bookmarkEnd w:id="204"/>
      <w:bookmarkEnd w:id="205"/>
    </w:p>
    <w:p w14:paraId="76F50B76" w14:textId="77777777" w:rsidR="004F3115" w:rsidRPr="00104F7D" w:rsidRDefault="004F3115" w:rsidP="004F3115">
      <w:pPr>
        <w:ind w:left="720"/>
        <w:rPr>
          <w:color w:val="FF0000"/>
          <w:highlight w:val="yellow"/>
        </w:rPr>
      </w:pPr>
    </w:p>
    <w:p w14:paraId="5FED265F" w14:textId="77777777" w:rsidR="007A66E5" w:rsidRDefault="007A66E5" w:rsidP="007A66E5">
      <w:pPr>
        <w:rPr>
          <w:b/>
          <w:bCs/>
        </w:rPr>
      </w:pPr>
      <w:r w:rsidRPr="00832ED7">
        <w:rPr>
          <w:b/>
          <w:bCs/>
        </w:rPr>
        <w:t xml:space="preserve">Mezinárodní spolupráce </w:t>
      </w:r>
      <w:r w:rsidRPr="00AE4AD9">
        <w:rPr>
          <w:b/>
          <w:bCs/>
        </w:rPr>
        <w:t>České republiky</w:t>
      </w:r>
      <w:r>
        <w:rPr>
          <w:b/>
          <w:bCs/>
        </w:rPr>
        <w:t xml:space="preserve"> </w:t>
      </w:r>
      <w:r w:rsidRPr="00832ED7">
        <w:rPr>
          <w:b/>
          <w:bCs/>
        </w:rPr>
        <w:t>v oblasti ochrany vod je založena na zásadách vyplývajících z Úmluvy o ochraně a využívání hraničních vodních toků a mezinárodních jezer, sjednané v rámci Evropské hospodářské komise Organizace spojených národů</w:t>
      </w:r>
      <w:r>
        <w:rPr>
          <w:b/>
          <w:bCs/>
        </w:rPr>
        <w:t xml:space="preserve"> (EHK OSN). </w:t>
      </w:r>
    </w:p>
    <w:p w14:paraId="327E9813" w14:textId="77777777" w:rsidR="007A66E5" w:rsidRDefault="007A66E5" w:rsidP="007A66E5"/>
    <w:p w14:paraId="27E6052C" w14:textId="707E25D7" w:rsidR="007A66E5" w:rsidRDefault="007A66E5" w:rsidP="007A66E5">
      <w:r w:rsidRPr="00AE4AD9">
        <w:t xml:space="preserve">Na tento rámec navazuje účast České republiky v dalších mezinárodních smluvních nástrojích, přičemž v </w:t>
      </w:r>
      <w:r w:rsidRPr="00375C7D">
        <w:t>současné době</w:t>
      </w:r>
      <w:r w:rsidRPr="00AE4AD9">
        <w:t xml:space="preserve"> je smluvní stranou celkem devíti mezinárodních smluv v oblasti ochrany vod, zahrnujících multilaterální úmluvy, dohody k ochraně mezinárodních povodí a dvoustranné smlouvy se sousedními státy o správě hraničních vod.</w:t>
      </w:r>
    </w:p>
    <w:p w14:paraId="67A9B79C" w14:textId="77777777" w:rsidR="004F3115" w:rsidRPr="007A66E5" w:rsidRDefault="004F3115" w:rsidP="007C4955">
      <w:pPr>
        <w:autoSpaceDE w:val="0"/>
        <w:autoSpaceDN w:val="0"/>
        <w:adjustRightInd w:val="0"/>
        <w:contextualSpacing/>
        <w:rPr>
          <w:color w:val="FF0000"/>
        </w:rPr>
      </w:pPr>
    </w:p>
    <w:p w14:paraId="74F5C192" w14:textId="72FD1103" w:rsidR="00157E51" w:rsidRPr="007A66E5" w:rsidRDefault="0011043C" w:rsidP="00584565">
      <w:pPr>
        <w:pStyle w:val="Nadpis2"/>
        <w:spacing w:before="0"/>
        <w:contextualSpacing/>
      </w:pPr>
      <w:bookmarkStart w:id="206" w:name="_Toc236991649"/>
      <w:r w:rsidRPr="007A66E5">
        <w:rPr>
          <w:noProof/>
        </w:rPr>
        <w:drawing>
          <wp:anchor distT="0" distB="0" distL="107950" distR="107950" simplePos="0" relativeHeight="251658244" behindDoc="1" locked="0" layoutInCell="1" allowOverlap="0" wp14:anchorId="155BB7A1" wp14:editId="476B8381">
            <wp:simplePos x="0" y="0"/>
            <wp:positionH relativeFrom="margin">
              <wp:align>right</wp:align>
            </wp:positionH>
            <wp:positionV relativeFrom="line">
              <wp:posOffset>326390</wp:posOffset>
            </wp:positionV>
            <wp:extent cx="1640840" cy="1104265"/>
            <wp:effectExtent l="19050" t="19050" r="0" b="635"/>
            <wp:wrapTight wrapText="bothSides">
              <wp:wrapPolygon edited="0">
                <wp:start x="-251" y="-373"/>
                <wp:lineTo x="-251" y="21612"/>
                <wp:lineTo x="21567" y="21612"/>
                <wp:lineTo x="21567" y="-373"/>
                <wp:lineTo x="-251" y="-373"/>
              </wp:wrapPolygon>
            </wp:wrapTight>
            <wp:docPr id="102" name="Obrázek 1" descr="http://www.irfnet.ch/files-upload/news-gallery/news_jan_2012/unece/unec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ttp://www.irfnet.ch/files-upload/news-gallery/news_jan_2012/unece/unece_1.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640840" cy="11042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584565">
        <w:t xml:space="preserve">14.1 </w:t>
      </w:r>
      <w:r w:rsidR="00157E51" w:rsidRPr="007A66E5">
        <w:t>Spolupráce v rámci EHK OSN</w:t>
      </w:r>
      <w:bookmarkEnd w:id="206"/>
    </w:p>
    <w:p w14:paraId="5C8E65C4" w14:textId="5DE2F3A2" w:rsidR="00740EE6" w:rsidRPr="00104F7D" w:rsidRDefault="00740EE6" w:rsidP="007C4955">
      <w:pPr>
        <w:autoSpaceDE w:val="0"/>
        <w:autoSpaceDN w:val="0"/>
        <w:adjustRightInd w:val="0"/>
        <w:contextualSpacing/>
        <w:rPr>
          <w:rFonts w:cs="Arial"/>
          <w:b/>
          <w:bCs/>
          <w:noProof/>
          <w:color w:val="FF0000"/>
          <w:highlight w:val="yellow"/>
        </w:rPr>
      </w:pPr>
    </w:p>
    <w:p w14:paraId="1091FE14" w14:textId="77777777" w:rsidR="00B57BDB" w:rsidRPr="005871DA" w:rsidRDefault="00B57BDB" w:rsidP="00B57BDB">
      <w:r w:rsidRPr="005871DA">
        <w:rPr>
          <w:b/>
          <w:bCs/>
        </w:rPr>
        <w:t>Úmluva o ochraně a využívání hraničních vodních toků a mezinárodních jezer je zaměřena na posílení vnitrostátních opatření k ochraně a ekologicky šetrnému využívání přeshraničních povrchových i podzemních vod. Smluvní strany zavazuje k prevenci, kontrole a snižování přeshraničních dopadů a k udržitelnému nakládání s vodními zdroji.</w:t>
      </w:r>
    </w:p>
    <w:p w14:paraId="317246DB" w14:textId="77777777" w:rsidR="00B57BDB" w:rsidRDefault="00B57BDB" w:rsidP="00B57BDB"/>
    <w:p w14:paraId="4BCD0195" w14:textId="62A6BB74" w:rsidR="00B57BDB" w:rsidRDefault="00B57BDB" w:rsidP="00B57BDB">
      <w:r w:rsidRPr="005871DA">
        <w:t>Základním principem je spolupráce sousedních států na základě mezinárodních dohod v oblasti přeshraničních vod, se zaměřením na výměnu informací, společný výzkum, rozvoj výstražných systémů a zajištění přístupu veřejnosti k informacím.</w:t>
      </w:r>
    </w:p>
    <w:p w14:paraId="28CA7A47" w14:textId="77777777" w:rsidR="00B57BDB" w:rsidRDefault="00B57BDB" w:rsidP="00B57BDB"/>
    <w:p w14:paraId="12C29370" w14:textId="081500C0" w:rsidR="00B57BDB" w:rsidRDefault="00B57BDB" w:rsidP="00B57BDB">
      <w:r>
        <w:t xml:space="preserve">Česká republika je smluvní stranou Úmluvy od 10. září 2000. </w:t>
      </w:r>
      <w:r w:rsidRPr="005407B1">
        <w:t>Zástupci</w:t>
      </w:r>
      <w:r>
        <w:t xml:space="preserve"> </w:t>
      </w:r>
      <w:r w:rsidRPr="005407B1">
        <w:t>české strany</w:t>
      </w:r>
      <w:r>
        <w:t xml:space="preserve"> </w:t>
      </w:r>
      <w:r w:rsidRPr="005407B1">
        <w:t xml:space="preserve">se aktivně účastní činností souvisejících s integrovaným řízením vodních zdrojů a vodních ekosystémů, ochranou vod před havarijním znečištěním z průmyslových zdrojů, podporou mezinárodní spolupráce na hraničních vodách a zapojením do komisí mezinárodních povodí. </w:t>
      </w:r>
    </w:p>
    <w:p w14:paraId="746D57E1" w14:textId="77777777" w:rsidR="00B57BDB" w:rsidRDefault="00B57BDB" w:rsidP="00B57BDB"/>
    <w:p w14:paraId="4D9EEF27" w14:textId="7AC1B5EE" w:rsidR="00B57BDB" w:rsidRDefault="00B57BDB" w:rsidP="00B57BDB">
      <w:r>
        <w:t xml:space="preserve">V roce 2025 </w:t>
      </w:r>
      <w:r w:rsidRPr="00A7095A">
        <w:t>pokračoval proces globalizace Úmluvy o vodách; novými smluvními stranami se staly Bangladéš a Sierra Leone.</w:t>
      </w:r>
      <w:r>
        <w:t xml:space="preserve"> Jedním z h</w:t>
      </w:r>
      <w:r w:rsidRPr="00A7095A">
        <w:t>lavní</w:t>
      </w:r>
      <w:r>
        <w:t>ch</w:t>
      </w:r>
      <w:r w:rsidRPr="00A7095A">
        <w:t xml:space="preserve"> témat</w:t>
      </w:r>
      <w:r>
        <w:t xml:space="preserve"> </w:t>
      </w:r>
      <w:r w:rsidRPr="00A7095A">
        <w:t>roku bylo zajištění dlouhodobě udržitelného financování Úmluvy</w:t>
      </w:r>
      <w:r>
        <w:t xml:space="preserve"> a dále byly realizovány </w:t>
      </w:r>
      <w:r w:rsidRPr="00403E95">
        <w:t>aktivity zaměřené na adaptaci na změnu klimatu, monitoring vodních zdrojů</w:t>
      </w:r>
      <w:r>
        <w:t xml:space="preserve"> a</w:t>
      </w:r>
      <w:r w:rsidRPr="00403E95">
        <w:t xml:space="preserve"> spravedlivou alokaci vody</w:t>
      </w:r>
      <w:r>
        <w:t>. Te</w:t>
      </w:r>
      <w:r w:rsidRPr="00403E95">
        <w:t xml:space="preserve">matický panel </w:t>
      </w:r>
      <w:r>
        <w:t xml:space="preserve">byl </w:t>
      </w:r>
      <w:r w:rsidRPr="00403E95">
        <w:t xml:space="preserve">věnovaný problematice znečištění </w:t>
      </w:r>
      <w:r>
        <w:t xml:space="preserve">vodních toků </w:t>
      </w:r>
      <w:r w:rsidRPr="00403E95">
        <w:t>plasty</w:t>
      </w:r>
      <w:r>
        <w:t xml:space="preserve">. </w:t>
      </w:r>
    </w:p>
    <w:p w14:paraId="75764428" w14:textId="77777777" w:rsidR="00B57BDB" w:rsidRDefault="00B57BDB" w:rsidP="00B57BDB"/>
    <w:p w14:paraId="65497F3C" w14:textId="21D14CA6" w:rsidR="00B57BDB" w:rsidRDefault="00B57BDB" w:rsidP="00B57BDB">
      <w:r>
        <w:t xml:space="preserve">V souvislosti s hlavním tématem byla vytvořena </w:t>
      </w:r>
      <w:r w:rsidRPr="00403E95">
        <w:t>ad hoc pracovní skupina pro udržitelné financování Úmluvy,</w:t>
      </w:r>
      <w:r>
        <w:t xml:space="preserve"> do níž Česká republika nominovala svého experta. </w:t>
      </w:r>
      <w:r w:rsidRPr="00403E95">
        <w:t>Skupina</w:t>
      </w:r>
      <w:r>
        <w:t xml:space="preserve"> </w:t>
      </w:r>
      <w:r w:rsidRPr="00403E95">
        <w:t>zahájila přípravu nového modelu financování po roce 2027, včetně možnosti zavedení povinných příspěvků smluvních stran.</w:t>
      </w:r>
      <w:r>
        <w:t xml:space="preserve"> </w:t>
      </w:r>
    </w:p>
    <w:p w14:paraId="6F139BAA" w14:textId="77777777" w:rsidR="00740EE6" w:rsidRPr="00104F7D" w:rsidRDefault="00740EE6" w:rsidP="00740EE6">
      <w:pPr>
        <w:contextualSpacing/>
        <w:rPr>
          <w:b/>
          <w:i/>
          <w:highlight w:val="yellow"/>
        </w:rPr>
      </w:pPr>
      <w:bookmarkStart w:id="207" w:name="_Toc482565116"/>
    </w:p>
    <w:p w14:paraId="5E47CDC1" w14:textId="77777777" w:rsidR="00740EE6" w:rsidRPr="0059120D" w:rsidRDefault="00740EE6" w:rsidP="00740EE6">
      <w:pPr>
        <w:contextualSpacing/>
        <w:rPr>
          <w:b/>
          <w:i/>
        </w:rPr>
      </w:pPr>
      <w:r w:rsidRPr="0059120D">
        <w:rPr>
          <w:b/>
          <w:i/>
        </w:rPr>
        <w:t>Protokol o vodě a zdraví</w:t>
      </w:r>
      <w:bookmarkEnd w:id="207"/>
    </w:p>
    <w:p w14:paraId="03AD4ED7" w14:textId="77777777" w:rsidR="00740EE6" w:rsidRPr="0059120D" w:rsidRDefault="00740EE6" w:rsidP="00740EE6">
      <w:pPr>
        <w:contextualSpacing/>
        <w:rPr>
          <w:b/>
          <w:i/>
        </w:rPr>
      </w:pPr>
    </w:p>
    <w:p w14:paraId="4D3D4948" w14:textId="77777777" w:rsidR="00AD5981" w:rsidRDefault="00AD5981" w:rsidP="007C4955">
      <w:pPr>
        <w:contextualSpacing/>
        <w:rPr>
          <w:rFonts w:cs="Arial"/>
          <w:color w:val="FF0000"/>
          <w:highlight w:val="yellow"/>
        </w:rPr>
      </w:pPr>
    </w:p>
    <w:p w14:paraId="637AE2B5" w14:textId="77777777" w:rsidR="00771BE7" w:rsidRPr="001B5C9C" w:rsidRDefault="00771BE7" w:rsidP="00771BE7">
      <w:pPr>
        <w:widowControl w:val="0"/>
        <w:autoSpaceDE w:val="0"/>
        <w:autoSpaceDN w:val="0"/>
        <w:adjustRightInd w:val="0"/>
        <w:ind w:left="360"/>
        <w:rPr>
          <w:rFonts w:cs="Arial"/>
        </w:rPr>
      </w:pPr>
      <w:r w:rsidRPr="001B5C9C">
        <w:rPr>
          <w:rFonts w:cs="Arial"/>
        </w:rPr>
        <w:t>Tento dokument vznikl ve spolupráci se Světovou zdravotnickou organizací (WHO) a zabývá se souvislostmi mezi vodou a lidským zdravím. Česká republika je jeho smluvní stranou od roku 2001 a v rámci Protokolu jsou průběžně aktualizovány národní cíle. Gestorem Protokolu za Českou republiku je Ministerstvo zdravotnictví.</w:t>
      </w:r>
    </w:p>
    <w:p w14:paraId="1CE07EFB" w14:textId="77777777" w:rsidR="00771BE7" w:rsidRDefault="00771BE7" w:rsidP="00771BE7">
      <w:pPr>
        <w:widowControl w:val="0"/>
        <w:autoSpaceDE w:val="0"/>
        <w:autoSpaceDN w:val="0"/>
        <w:adjustRightInd w:val="0"/>
        <w:ind w:left="360"/>
        <w:rPr>
          <w:rFonts w:cs="Arial"/>
        </w:rPr>
      </w:pPr>
    </w:p>
    <w:p w14:paraId="7C581C0E" w14:textId="1FC9D441" w:rsidR="00771BE7" w:rsidRPr="001B5C9C" w:rsidRDefault="00771BE7" w:rsidP="00771BE7">
      <w:pPr>
        <w:widowControl w:val="0"/>
        <w:autoSpaceDE w:val="0"/>
        <w:autoSpaceDN w:val="0"/>
        <w:adjustRightInd w:val="0"/>
        <w:ind w:left="360"/>
        <w:rPr>
          <w:rFonts w:cs="Arial"/>
        </w:rPr>
      </w:pPr>
      <w:r w:rsidRPr="001B5C9C">
        <w:rPr>
          <w:rFonts w:cs="Arial"/>
        </w:rPr>
        <w:t xml:space="preserve">Více informací o Úmluvě a Protokolu naleznete na adrese: </w:t>
      </w:r>
      <w:hyperlink r:id="rId120" w:history="1">
        <w:r w:rsidRPr="001B5C9C">
          <w:rPr>
            <w:rStyle w:val="Hypertextovodkaz"/>
            <w:rFonts w:cs="Arial"/>
          </w:rPr>
          <w:t>www.unece.org/env/water</w:t>
        </w:r>
      </w:hyperlink>
      <w:r w:rsidRPr="001B5C9C">
        <w:rPr>
          <w:rFonts w:cs="Arial"/>
        </w:rPr>
        <w:t>.</w:t>
      </w:r>
    </w:p>
    <w:p w14:paraId="5B395147" w14:textId="77777777" w:rsidR="00771BE7" w:rsidRPr="001B5C9C" w:rsidRDefault="00771BE7" w:rsidP="00771BE7">
      <w:pPr>
        <w:widowControl w:val="0"/>
        <w:autoSpaceDE w:val="0"/>
        <w:autoSpaceDN w:val="0"/>
        <w:adjustRightInd w:val="0"/>
        <w:ind w:left="360"/>
        <w:rPr>
          <w:rFonts w:cs="Arial"/>
        </w:rPr>
      </w:pPr>
    </w:p>
    <w:p w14:paraId="40EFE4F0" w14:textId="77777777" w:rsidR="00771BE7" w:rsidRPr="001B5C9C" w:rsidRDefault="00771BE7" w:rsidP="00771BE7">
      <w:pPr>
        <w:ind w:left="360"/>
        <w:rPr>
          <w:rFonts w:cs="Arial"/>
        </w:rPr>
      </w:pPr>
      <w:r w:rsidRPr="001B5C9C">
        <w:rPr>
          <w:rFonts w:cs="Arial"/>
        </w:rPr>
        <w:t>V listopadu 2025 se v Budapešti konalo 7. zasedání smluvních stran Protokolu o vodě a zdraví, které zdůraznilo důležitost vody pro lidské zdraví a vypracovalo doporučení, která by měla být představena na Vodní konferenci OSN v prosinci 2026.</w:t>
      </w:r>
    </w:p>
    <w:p w14:paraId="7F9758C8" w14:textId="77777777" w:rsidR="00771BE7" w:rsidRDefault="00771BE7" w:rsidP="007C4955">
      <w:pPr>
        <w:contextualSpacing/>
        <w:rPr>
          <w:rFonts w:cs="Arial"/>
          <w:color w:val="FF0000"/>
          <w:highlight w:val="yellow"/>
        </w:rPr>
      </w:pPr>
    </w:p>
    <w:p w14:paraId="050AEACE" w14:textId="77777777" w:rsidR="00771BE7" w:rsidRPr="00104F7D" w:rsidRDefault="00771BE7" w:rsidP="007C4955">
      <w:pPr>
        <w:contextualSpacing/>
        <w:rPr>
          <w:rFonts w:cs="Arial"/>
          <w:color w:val="FF0000"/>
          <w:highlight w:val="yellow"/>
        </w:rPr>
      </w:pPr>
    </w:p>
    <w:p w14:paraId="43311E48" w14:textId="6B607278" w:rsidR="004F3115" w:rsidRPr="001453AB" w:rsidRDefault="0058604F" w:rsidP="0058604F">
      <w:pPr>
        <w:pStyle w:val="Nadpis2"/>
        <w:spacing w:before="0"/>
        <w:contextualSpacing/>
      </w:pPr>
      <w:bookmarkStart w:id="208" w:name="_Toc42667846"/>
      <w:bookmarkStart w:id="209" w:name="_Toc236991650"/>
      <w:r>
        <w:t xml:space="preserve">14.2 </w:t>
      </w:r>
      <w:r w:rsidR="00157E51" w:rsidRPr="001453AB">
        <w:t>Mezinárodní spolupráce České republiky v ucelených povodích Labe, Dunaje a Odry</w:t>
      </w:r>
      <w:bookmarkEnd w:id="208"/>
      <w:bookmarkEnd w:id="209"/>
    </w:p>
    <w:p w14:paraId="376A9DFC" w14:textId="77777777" w:rsidR="000D34E4" w:rsidRPr="00104F7D" w:rsidRDefault="000D34E4" w:rsidP="00740EE6">
      <w:pPr>
        <w:autoSpaceDE w:val="0"/>
        <w:autoSpaceDN w:val="0"/>
        <w:adjustRightInd w:val="0"/>
        <w:rPr>
          <w:rFonts w:cs="Arial"/>
          <w:b/>
          <w:bCs/>
          <w:highlight w:val="yellow"/>
        </w:rPr>
      </w:pPr>
    </w:p>
    <w:p w14:paraId="6629A2CC" w14:textId="77777777" w:rsidR="00D76007" w:rsidRDefault="00D76007" w:rsidP="00D76007">
      <w:pPr>
        <w:rPr>
          <w:rFonts w:cs="Arial"/>
          <w:b/>
          <w:bCs/>
        </w:rPr>
      </w:pPr>
      <w:r>
        <w:rPr>
          <w:rFonts w:cs="Arial"/>
          <w:b/>
          <w:bCs/>
        </w:rPr>
        <w:t>Moderní přístup k ochraně vod, založené na bázi hydrologických povodí velkých řek překračujících hranice států, se v České republice uplatňuje od roku 1990 zahájením spolupráce při ochraně Labe podle Dohody o Mezinárodní komisi pro ochranu Labe. Ve stejném období byla připravována také Dohoda o Mezinárodní komisi pro ochranu Odry před znečištěním a později i Úmluva o spolupráci pro ochranu a únosné využívání Dunaje.</w:t>
      </w:r>
    </w:p>
    <w:p w14:paraId="6FAC3325" w14:textId="77777777" w:rsidR="003E60D0" w:rsidRDefault="003E60D0" w:rsidP="00D76007"/>
    <w:p w14:paraId="665749D8" w14:textId="3D47343F" w:rsidR="00D76007" w:rsidRDefault="00D76007" w:rsidP="00D76007">
      <w:r w:rsidRPr="00D34421">
        <w:t xml:space="preserve">Spolupráce v oblasti ochrany vod v hlavních povodích </w:t>
      </w:r>
      <w:r>
        <w:t>České republiky</w:t>
      </w:r>
      <w:r w:rsidRPr="00D34421">
        <w:t xml:space="preserve"> probíhá prostřednictvím mezinárodních komisí pro Labe, Dunaj a Odru a zaměřuje se zejména na snižování znečištění, ochranu a obnovu vodních ekosystémů, udržitelné užívání vod, omezení negativních dopadů na přilehlá moře, povodňovou ochranu a koordinovanou implementaci Rámcové směrnice o vodách a Povodňové směrnice.</w:t>
      </w:r>
    </w:p>
    <w:p w14:paraId="62D26A5C" w14:textId="77777777" w:rsidR="003E60D0" w:rsidRPr="006F13C7" w:rsidRDefault="003E60D0" w:rsidP="00740EE6">
      <w:pPr>
        <w:rPr>
          <w:rFonts w:cs="Arial"/>
          <w:b/>
          <w:i/>
          <w:sz w:val="20"/>
          <w:szCs w:val="20"/>
        </w:rPr>
      </w:pPr>
    </w:p>
    <w:p w14:paraId="0B575E4F" w14:textId="77777777" w:rsidR="00740EE6" w:rsidRPr="006F13C7" w:rsidRDefault="00740EE6" w:rsidP="00740EE6">
      <w:pPr>
        <w:rPr>
          <w:rFonts w:cs="Arial"/>
          <w:b/>
          <w:i/>
        </w:rPr>
      </w:pPr>
      <w:r w:rsidRPr="006F13C7">
        <w:rPr>
          <w:rFonts w:cs="Arial"/>
          <w:b/>
          <w:i/>
        </w:rPr>
        <w:t xml:space="preserve">Dohoda o Mezinárodní komisi pro ochranu Labe </w:t>
      </w:r>
    </w:p>
    <w:p w14:paraId="31C9B4F9" w14:textId="77777777" w:rsidR="00740EE6" w:rsidRPr="00104F7D" w:rsidRDefault="00740EE6" w:rsidP="00740EE6">
      <w:pPr>
        <w:autoSpaceDE w:val="0"/>
        <w:autoSpaceDN w:val="0"/>
        <w:adjustRightInd w:val="0"/>
        <w:rPr>
          <w:rFonts w:cs="Arial"/>
          <w:highlight w:val="yellow"/>
        </w:rPr>
      </w:pPr>
    </w:p>
    <w:p w14:paraId="59621624" w14:textId="77777777" w:rsidR="00AB107F" w:rsidRDefault="00AB107F" w:rsidP="00AB107F">
      <w:pPr>
        <w:rPr>
          <w:rFonts w:cs="Arial"/>
        </w:rPr>
      </w:pPr>
      <w:r>
        <w:rPr>
          <w:rFonts w:cs="Arial"/>
          <w:noProof/>
        </w:rPr>
        <w:drawing>
          <wp:anchor distT="0" distB="0" distL="114300" distR="114300" simplePos="0" relativeHeight="251658248" behindDoc="1" locked="0" layoutInCell="1" allowOverlap="1" wp14:anchorId="43855A82" wp14:editId="6DEDF322">
            <wp:simplePos x="0" y="0"/>
            <wp:positionH relativeFrom="column">
              <wp:posOffset>4794885</wp:posOffset>
            </wp:positionH>
            <wp:positionV relativeFrom="paragraph">
              <wp:posOffset>31750</wp:posOffset>
            </wp:positionV>
            <wp:extent cx="1203325" cy="800100"/>
            <wp:effectExtent l="19050" t="19050" r="15875" b="19050"/>
            <wp:wrapTight wrapText="bothSides">
              <wp:wrapPolygon edited="1">
                <wp:start x="-342" y="-514"/>
                <wp:lineTo x="-342" y="21600"/>
                <wp:lineTo x="21543" y="21600"/>
                <wp:lineTo x="21543" y="-514"/>
                <wp:lineTo x="-342" y="-514"/>
              </wp:wrapPolygon>
            </wp:wrapTight>
            <wp:docPr id="96" name="Obrázek 10" descr="http://www.ikse-mkol.org/fileadmin/pics/logo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http://www.ikse-mkol.org/fileadmin/pics/logo_02.jpg"/>
                    <pic:cNvPicPr>
                      <a:picLocks noChangeAspect="1"/>
                    </pic:cNvPicPr>
                  </pic:nvPicPr>
                  <pic:blipFill>
                    <a:blip r:embed="rId121"/>
                    <a:stretch/>
                  </pic:blipFill>
                  <pic:spPr bwMode="auto">
                    <a:xfrm>
                      <a:off x="0" y="0"/>
                      <a:ext cx="1203325" cy="8001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cs="Arial"/>
        </w:rPr>
        <w:t xml:space="preserve">Dne 8. 10. 1990 byla v Magdeburku podepsána Dohoda o Mezinárodní komisi pro ochranu Labe (dále jen „MKOL“). Dohoda vstoupila v platnost dne 14. 9. 1992, protokolem k Dohodě ze dne 9. 12. 1991, který nabyl účinnosti dne 13. 8. 1993, získala Komise právní subjektivitu. MKOL je nejvýznamnějším grémiem česko-německé spolupráce v oblasti ochrany vod v uceleném mezinárodním povodí Labe.  </w:t>
      </w:r>
    </w:p>
    <w:p w14:paraId="22F84AB5" w14:textId="77777777" w:rsidR="00AB107F" w:rsidRDefault="00AB107F" w:rsidP="00AB107F">
      <w:pPr>
        <w:rPr>
          <w:rFonts w:cs="Arial"/>
        </w:rPr>
      </w:pPr>
      <w:r w:rsidRPr="00960009">
        <w:rPr>
          <w:rFonts w:cs="Arial"/>
        </w:rPr>
        <w:t>Ve dnech 2. a 3. dubna 2025 se v Ústí nad Labem uskutečnilo Mezinárodní labské fórum</w:t>
      </w:r>
      <w:r>
        <w:rPr>
          <w:rFonts w:cs="Arial"/>
        </w:rPr>
        <w:t xml:space="preserve"> (MLF 2025), kterého se zúčastnilo</w:t>
      </w:r>
      <w:r w:rsidRPr="00960009">
        <w:rPr>
          <w:rFonts w:cs="Arial"/>
        </w:rPr>
        <w:t xml:space="preserve"> 80 odborníků z České republiky a Německa. V</w:t>
      </w:r>
      <w:r>
        <w:rPr>
          <w:rFonts w:cs="Arial"/>
        </w:rPr>
        <w:t> </w:t>
      </w:r>
      <w:r w:rsidRPr="00960009">
        <w:rPr>
          <w:rFonts w:cs="Arial"/>
        </w:rPr>
        <w:t>rámci</w:t>
      </w:r>
      <w:r>
        <w:rPr>
          <w:rFonts w:cs="Arial"/>
        </w:rPr>
        <w:t xml:space="preserve"> fóra</w:t>
      </w:r>
      <w:r w:rsidRPr="00960009">
        <w:rPr>
          <w:rFonts w:cs="Arial"/>
        </w:rPr>
        <w:t xml:space="preserve"> byly prezentovány výsledky implementace Mezinárodního plánu oblasti povodí Labe a Mezinárodního plánu pro zvládání povodňových rizik v oblasti povodí Labe na období 2022–2027, jako</w:t>
      </w:r>
      <w:r>
        <w:rPr>
          <w:rFonts w:cs="Arial"/>
        </w:rPr>
        <w:t>ž i</w:t>
      </w:r>
      <w:r w:rsidRPr="00960009">
        <w:rPr>
          <w:rFonts w:cs="Arial"/>
        </w:rPr>
        <w:t xml:space="preserve"> vybrané</w:t>
      </w:r>
      <w:r>
        <w:rPr>
          <w:rFonts w:cs="Arial"/>
        </w:rPr>
        <w:t xml:space="preserve"> zajímavé</w:t>
      </w:r>
      <w:r w:rsidRPr="00960009">
        <w:rPr>
          <w:rFonts w:cs="Arial"/>
        </w:rPr>
        <w:t xml:space="preserve"> projekty realizované na národní úrovni. Součástí programu bylo rovněž představení rozšířeného Poplachového modelu Labe (ALAMO), určeného pro prognózu šíření vln škodlivých látek, který byl v dubnu 2025 doplněn o přítok Bílinu. Rozšířený model byl v rámci MLF 2025 oficiálně předán státnímu podniku Povodí Ohře. Prezentace z MLF 2025 jsou dostupné na internetových stránkách MKOL.</w:t>
      </w:r>
    </w:p>
    <w:p w14:paraId="25872DF4" w14:textId="77777777" w:rsidR="001453AB" w:rsidRDefault="001453AB" w:rsidP="00AB107F">
      <w:pPr>
        <w:rPr>
          <w:rFonts w:cs="Arial"/>
        </w:rPr>
      </w:pPr>
    </w:p>
    <w:p w14:paraId="2A56BD40" w14:textId="02A515A1" w:rsidR="00AB107F" w:rsidRDefault="00AB107F" w:rsidP="00AB107F">
      <w:pPr>
        <w:rPr>
          <w:rFonts w:cs="Arial"/>
        </w:rPr>
      </w:pPr>
      <w:r>
        <w:rPr>
          <w:rFonts w:cs="Arial"/>
        </w:rPr>
        <w:t xml:space="preserve">38. zasedání MKOL v říjnu 2025 se konalo ve Spolkové republice Německo v Magdeburku. V souvislosti s přípravou aktualizace části A Mezinárodního plánu oblasti povodí Labe na období 2028–2033 podle Rámcové směrnice o vodách ES měla veřejnost do </w:t>
      </w:r>
      <w:r w:rsidR="000D05B7">
        <w:rPr>
          <w:rFonts w:cs="Arial"/>
        </w:rPr>
        <w:t xml:space="preserve">22. </w:t>
      </w:r>
      <w:r>
        <w:rPr>
          <w:rFonts w:cs="Arial"/>
        </w:rPr>
        <w:t>června 2025</w:t>
      </w:r>
      <w:r w:rsidRPr="00D34421">
        <w:rPr>
          <w:rFonts w:cs="Arial"/>
        </w:rPr>
        <w:t xml:space="preserve"> </w:t>
      </w:r>
      <w:r>
        <w:rPr>
          <w:rFonts w:cs="Arial"/>
        </w:rPr>
        <w:t xml:space="preserve">možnost uplatnit své připomínky k návrhu časového plánu a programu prací. MKOL obdržel dvě připomínky. </w:t>
      </w:r>
    </w:p>
    <w:p w14:paraId="58939F96" w14:textId="77777777" w:rsidR="000D05B7" w:rsidRDefault="000D05B7" w:rsidP="00AB107F">
      <w:pPr>
        <w:rPr>
          <w:rFonts w:cs="Arial"/>
        </w:rPr>
      </w:pPr>
    </w:p>
    <w:p w14:paraId="5CA6FC44" w14:textId="73066D14" w:rsidR="00AB107F" w:rsidRDefault="00AB107F" w:rsidP="00AB107F">
      <w:pPr>
        <w:rPr>
          <w:rFonts w:cs="Arial"/>
        </w:rPr>
      </w:pPr>
      <w:r>
        <w:rPr>
          <w:rFonts w:cs="Arial"/>
        </w:rPr>
        <w:t>Dále byl přípraven návrh dokumentu pro připomínky veřejnosti k předběžnému přehledu významných problémů nakládání s vodami a byl dokončen Informační list o plnění Koncepce MKOL pro nakládání se sedimenty a zveřejněn v tištěné formě a na internetových stránkách MKOL.</w:t>
      </w:r>
    </w:p>
    <w:p w14:paraId="0D28A981" w14:textId="77777777" w:rsidR="00AB107F" w:rsidRPr="00E212C9" w:rsidRDefault="00AB107F" w:rsidP="00AB107F">
      <w:pPr>
        <w:rPr>
          <w:rFonts w:cs="Arial"/>
        </w:rPr>
      </w:pPr>
      <w:r>
        <w:rPr>
          <w:rFonts w:cs="Arial"/>
        </w:rPr>
        <w:t xml:space="preserve">Ve stejném období se v Magdeburku uskutečnil i Magdeburský seminář o ochraně vod 2025. Hlavním tématem jednání bylo „Hospodaření s vodou v povodí Labe včera, dnes a zítra“. </w:t>
      </w:r>
      <w:r w:rsidRPr="00EF6C89">
        <w:rPr>
          <w:rFonts w:cs="Arial"/>
        </w:rPr>
        <w:t>Program se zam</w:t>
      </w:r>
      <w:r w:rsidRPr="00E212C9">
        <w:rPr>
          <w:rFonts w:cs="Arial"/>
        </w:rPr>
        <w:t>ěřil zejména na:</w:t>
      </w:r>
    </w:p>
    <w:p w14:paraId="6BFB6372" w14:textId="77777777" w:rsidR="00AB107F" w:rsidRPr="00E212C9" w:rsidRDefault="00AB107F" w:rsidP="00AB107F">
      <w:pPr>
        <w:pStyle w:val="Odstavecseseznamem"/>
        <w:numPr>
          <w:ilvl w:val="0"/>
          <w:numId w:val="35"/>
        </w:numPr>
        <w:spacing w:after="160" w:line="259" w:lineRule="auto"/>
        <w:rPr>
          <w:rFonts w:ascii="Arial" w:hAnsi="Arial" w:cs="Arial"/>
          <w:sz w:val="22"/>
          <w:szCs w:val="22"/>
        </w:rPr>
      </w:pPr>
      <w:r w:rsidRPr="00E212C9">
        <w:rPr>
          <w:rFonts w:ascii="Arial" w:hAnsi="Arial" w:cs="Arial"/>
          <w:sz w:val="22"/>
          <w:szCs w:val="22"/>
        </w:rPr>
        <w:t>zabezpečenost vodních zdrojů a funkce ekosystémů s ohledem na změnu klimatu</w:t>
      </w:r>
    </w:p>
    <w:p w14:paraId="2623055A" w14:textId="77777777" w:rsidR="00AB107F" w:rsidRPr="00E212C9" w:rsidRDefault="00AB107F" w:rsidP="00AB107F">
      <w:pPr>
        <w:pStyle w:val="Odstavecseseznamem"/>
        <w:numPr>
          <w:ilvl w:val="0"/>
          <w:numId w:val="35"/>
        </w:numPr>
        <w:spacing w:after="160" w:line="259" w:lineRule="auto"/>
        <w:rPr>
          <w:rFonts w:ascii="Arial" w:hAnsi="Arial" w:cs="Arial"/>
          <w:sz w:val="22"/>
          <w:szCs w:val="22"/>
        </w:rPr>
      </w:pPr>
      <w:r w:rsidRPr="00E212C9">
        <w:rPr>
          <w:rFonts w:ascii="Arial" w:hAnsi="Arial" w:cs="Arial"/>
          <w:sz w:val="22"/>
          <w:szCs w:val="22"/>
        </w:rPr>
        <w:t>roli Labe jako vodní cesty včetně jejích možností a limitů</w:t>
      </w:r>
    </w:p>
    <w:p w14:paraId="289107C4" w14:textId="77777777" w:rsidR="00AB107F" w:rsidRPr="00E212C9" w:rsidRDefault="00AB107F" w:rsidP="00AB107F">
      <w:pPr>
        <w:pStyle w:val="Odstavecseseznamem"/>
        <w:numPr>
          <w:ilvl w:val="0"/>
          <w:numId w:val="35"/>
        </w:numPr>
        <w:spacing w:after="160" w:line="259" w:lineRule="auto"/>
        <w:rPr>
          <w:rFonts w:ascii="Arial" w:hAnsi="Arial" w:cs="Arial"/>
          <w:sz w:val="22"/>
          <w:szCs w:val="22"/>
        </w:rPr>
      </w:pPr>
      <w:r w:rsidRPr="00E212C9">
        <w:rPr>
          <w:rFonts w:ascii="Arial" w:hAnsi="Arial" w:cs="Arial"/>
          <w:sz w:val="22"/>
          <w:szCs w:val="22"/>
        </w:rPr>
        <w:t>strategie monitorování a hospodaření s vodami.</w:t>
      </w:r>
    </w:p>
    <w:p w14:paraId="5EE3BB46" w14:textId="77777777" w:rsidR="00AB107F" w:rsidRDefault="00AB107F" w:rsidP="00AB107F">
      <w:pPr>
        <w:rPr>
          <w:rFonts w:cs="Arial"/>
        </w:rPr>
      </w:pPr>
      <w:r>
        <w:rPr>
          <w:rFonts w:cs="Arial"/>
        </w:rPr>
        <w:t xml:space="preserve">Seminář nabídl celkem 27 odborných přednášek, </w:t>
      </w:r>
      <w:proofErr w:type="spellStart"/>
      <w:r>
        <w:rPr>
          <w:rFonts w:cs="Arial"/>
        </w:rPr>
        <w:t>posterovou</w:t>
      </w:r>
      <w:proofErr w:type="spellEnd"/>
      <w:r>
        <w:rPr>
          <w:rFonts w:cs="Arial"/>
        </w:rPr>
        <w:t xml:space="preserve"> sekci a tři odborné exkurze.</w:t>
      </w:r>
    </w:p>
    <w:p w14:paraId="61945ACC" w14:textId="557E1627" w:rsidR="00AB107F" w:rsidRDefault="00AB107F" w:rsidP="00AB107F">
      <w:pPr>
        <w:rPr>
          <w:rFonts w:cs="Arial"/>
        </w:rPr>
      </w:pPr>
      <w:r w:rsidRPr="00082F17">
        <w:rPr>
          <w:rFonts w:cs="Arial"/>
        </w:rPr>
        <w:t>V průběhu roku 2025 byly realizovány také další aktivity MKOL</w:t>
      </w:r>
      <w:r w:rsidR="00FE0937">
        <w:rPr>
          <w:rFonts w:cs="Arial"/>
        </w:rPr>
        <w:t xml:space="preserve"> </w:t>
      </w:r>
      <w:r w:rsidRPr="00082F17">
        <w:rPr>
          <w:rFonts w:cs="Arial"/>
        </w:rPr>
        <w:t>zaměřené na zajištění funkčnosti mezinárodní spolupráce, technické připravenosti a naplňování dlouhodobých priorit v oblasti ochrany vod.</w:t>
      </w:r>
      <w:r>
        <w:rPr>
          <w:rFonts w:cs="Arial"/>
        </w:rPr>
        <w:t xml:space="preserve"> Například dne 14. února 2025 úspěšně proběhlo testování záložních komunikačních cest mezi předpovědními povodňovými centrálami Praha, Drážďany a Magdeburk. Průběžně probíhala také aktualizace internetových stránek a interních dokumentů. </w:t>
      </w:r>
    </w:p>
    <w:p w14:paraId="7A771455" w14:textId="77777777" w:rsidR="00E212C9" w:rsidRDefault="00E212C9" w:rsidP="00AB107F">
      <w:pPr>
        <w:rPr>
          <w:rFonts w:cs="Arial"/>
        </w:rPr>
      </w:pPr>
    </w:p>
    <w:p w14:paraId="136C334E" w14:textId="2192092F" w:rsidR="00AB107F" w:rsidRDefault="00AB107F" w:rsidP="00AB107F">
      <w:pPr>
        <w:rPr>
          <w:rFonts w:cs="Arial"/>
        </w:rPr>
      </w:pPr>
      <w:r>
        <w:rPr>
          <w:rFonts w:cs="Arial"/>
        </w:rPr>
        <w:t>Priority činnosti MKOL nadále představují implementace Rámcové směrnice o vodách, implementace Povodňové směrnice, ochrana před povodněmi a problematika havarijního znečištění vod.</w:t>
      </w:r>
    </w:p>
    <w:p w14:paraId="3FB5173D" w14:textId="77777777" w:rsidR="00E212C9" w:rsidRDefault="00E212C9" w:rsidP="00AB107F"/>
    <w:p w14:paraId="38F90018" w14:textId="4553ECED" w:rsidR="00AB107F" w:rsidRDefault="00AB107F" w:rsidP="00AB107F">
      <w:pPr>
        <w:rPr>
          <w:rStyle w:val="Hypertextovodkaz"/>
          <w:rFonts w:eastAsiaTheme="majorEastAsia"/>
          <w:lang w:eastAsia="cs-CZ"/>
        </w:rPr>
      </w:pPr>
      <w:r>
        <w:t xml:space="preserve">Podrobné informace o činnosti MKOL lze najít zde: </w:t>
      </w:r>
      <w:hyperlink r:id="rId122" w:tooltip="http://www.ikse-mkol.org" w:history="1">
        <w:r>
          <w:rPr>
            <w:rStyle w:val="Hypertextovodkaz"/>
            <w:rFonts w:eastAsiaTheme="majorEastAsia"/>
            <w:lang w:eastAsia="cs-CZ"/>
          </w:rPr>
          <w:t>www.ikse-mkol.org</w:t>
        </w:r>
      </w:hyperlink>
      <w:r>
        <w:rPr>
          <w:rStyle w:val="Hypertextovodkaz"/>
          <w:rFonts w:eastAsiaTheme="majorEastAsia"/>
          <w:lang w:eastAsia="cs-CZ"/>
        </w:rPr>
        <w:t>.</w:t>
      </w:r>
    </w:p>
    <w:p w14:paraId="7035464E" w14:textId="77777777" w:rsidR="00CD182A" w:rsidRPr="00104F7D" w:rsidRDefault="00CD182A" w:rsidP="007C4955">
      <w:pPr>
        <w:contextualSpacing/>
        <w:rPr>
          <w:rStyle w:val="Hypertextovodkaz"/>
          <w:rFonts w:eastAsiaTheme="majorEastAsia" w:cs="Arial"/>
          <w:highlight w:val="yellow"/>
          <w:u w:val="none"/>
          <w:lang w:eastAsia="cs-CZ"/>
        </w:rPr>
      </w:pPr>
    </w:p>
    <w:p w14:paraId="1EF9BBCA" w14:textId="77777777" w:rsidR="0058604F" w:rsidRDefault="0058604F" w:rsidP="007C4955">
      <w:pPr>
        <w:contextualSpacing/>
        <w:rPr>
          <w:b/>
          <w:i/>
        </w:rPr>
      </w:pPr>
    </w:p>
    <w:p w14:paraId="1101B17E" w14:textId="77777777" w:rsidR="0058604F" w:rsidRDefault="0058604F" w:rsidP="007C4955">
      <w:pPr>
        <w:contextualSpacing/>
        <w:rPr>
          <w:b/>
          <w:i/>
        </w:rPr>
      </w:pPr>
    </w:p>
    <w:p w14:paraId="34712A3A" w14:textId="6DA5E9A8" w:rsidR="00157E51" w:rsidRPr="000D1A2B" w:rsidRDefault="00157E51" w:rsidP="007C4955">
      <w:pPr>
        <w:contextualSpacing/>
        <w:rPr>
          <w:b/>
          <w:i/>
          <w:color w:val="FF0000"/>
        </w:rPr>
      </w:pPr>
      <w:r w:rsidRPr="000D1A2B">
        <w:rPr>
          <w:b/>
          <w:i/>
        </w:rPr>
        <w:t>Úmluva o spolupráci pro ochranu a únosné využívání Dunaje</w:t>
      </w:r>
      <w:r w:rsidRPr="000D1A2B">
        <w:rPr>
          <w:b/>
          <w:i/>
          <w:color w:val="FF0000"/>
        </w:rPr>
        <w:tab/>
      </w:r>
      <w:r w:rsidRPr="000D1A2B">
        <w:rPr>
          <w:b/>
          <w:i/>
          <w:color w:val="FF0000"/>
        </w:rPr>
        <w:tab/>
      </w:r>
      <w:r w:rsidRPr="000D1A2B">
        <w:rPr>
          <w:b/>
          <w:i/>
          <w:color w:val="FF0000"/>
        </w:rPr>
        <w:tab/>
      </w:r>
    </w:p>
    <w:p w14:paraId="746DCB55" w14:textId="47C0EBDD" w:rsidR="00157E51" w:rsidRPr="00104F7D" w:rsidRDefault="0011043C" w:rsidP="007C4955">
      <w:pPr>
        <w:contextualSpacing/>
        <w:rPr>
          <w:color w:val="FF0000"/>
          <w:highlight w:val="yellow"/>
        </w:rPr>
      </w:pPr>
      <w:r w:rsidRPr="00104F7D">
        <w:rPr>
          <w:noProof/>
          <w:color w:val="FF0000"/>
          <w:highlight w:val="yellow"/>
        </w:rPr>
        <w:drawing>
          <wp:anchor distT="0" distB="0" distL="114300" distR="114300" simplePos="0" relativeHeight="251658245" behindDoc="1" locked="0" layoutInCell="1" allowOverlap="1" wp14:anchorId="71D458FB" wp14:editId="3D4CD62A">
            <wp:simplePos x="0" y="0"/>
            <wp:positionH relativeFrom="column">
              <wp:posOffset>4133850</wp:posOffset>
            </wp:positionH>
            <wp:positionV relativeFrom="paragraph">
              <wp:posOffset>130810</wp:posOffset>
            </wp:positionV>
            <wp:extent cx="1786255" cy="960120"/>
            <wp:effectExtent l="0" t="0" r="0" b="0"/>
            <wp:wrapTight wrapText="bothSides">
              <wp:wrapPolygon edited="0">
                <wp:start x="0" y="0"/>
                <wp:lineTo x="0" y="21000"/>
                <wp:lineTo x="21423" y="21000"/>
                <wp:lineTo x="21423" y="0"/>
                <wp:lineTo x="0" y="0"/>
              </wp:wrapPolygon>
            </wp:wrapTight>
            <wp:docPr id="10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786255" cy="960120"/>
                    </a:xfrm>
                    <a:prstGeom prst="rect">
                      <a:avLst/>
                    </a:prstGeom>
                    <a:noFill/>
                  </pic:spPr>
                </pic:pic>
              </a:graphicData>
            </a:graphic>
            <wp14:sizeRelH relativeFrom="page">
              <wp14:pctWidth>0</wp14:pctWidth>
            </wp14:sizeRelH>
            <wp14:sizeRelV relativeFrom="page">
              <wp14:pctHeight>0</wp14:pctHeight>
            </wp14:sizeRelV>
          </wp:anchor>
        </w:drawing>
      </w:r>
    </w:p>
    <w:p w14:paraId="7F324BAE" w14:textId="77777777" w:rsidR="009C333D" w:rsidRDefault="009C333D" w:rsidP="009C333D">
      <w:r>
        <w:rPr>
          <w:noProof/>
          <w:color w:val="FF0000"/>
          <w:highlight w:val="yellow"/>
        </w:rPr>
        <w:drawing>
          <wp:anchor distT="0" distB="0" distL="114300" distR="114300" simplePos="0" relativeHeight="251658249" behindDoc="1" locked="0" layoutInCell="1" allowOverlap="1" wp14:anchorId="7C7FB990" wp14:editId="4AFEC82A">
            <wp:simplePos x="0" y="0"/>
            <wp:positionH relativeFrom="column">
              <wp:posOffset>3943350</wp:posOffset>
            </wp:positionH>
            <wp:positionV relativeFrom="paragraph">
              <wp:posOffset>12065</wp:posOffset>
            </wp:positionV>
            <wp:extent cx="1786255" cy="960120"/>
            <wp:effectExtent l="0" t="0" r="0" b="0"/>
            <wp:wrapTight wrapText="bothSides">
              <wp:wrapPolygon edited="1">
                <wp:start x="0" y="0"/>
                <wp:lineTo x="0" y="21000"/>
                <wp:lineTo x="21423" y="21000"/>
                <wp:lineTo x="21423" y="0"/>
                <wp:lineTo x="0" y="0"/>
              </wp:wrapPolygon>
            </wp:wrapTight>
            <wp:docPr id="9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pic:cNvPicPr>
                  </pic:nvPicPr>
                  <pic:blipFill>
                    <a:blip r:embed="rId123"/>
                    <a:stretch/>
                  </pic:blipFill>
                  <pic:spPr bwMode="auto">
                    <a:xfrm>
                      <a:off x="0" y="0"/>
                      <a:ext cx="1786255" cy="960120"/>
                    </a:xfrm>
                    <a:prstGeom prst="rect">
                      <a:avLst/>
                    </a:prstGeom>
                    <a:noFill/>
                  </pic:spPr>
                </pic:pic>
              </a:graphicData>
            </a:graphic>
            <wp14:sizeRelH relativeFrom="page">
              <wp14:pctWidth>0</wp14:pctWidth>
            </wp14:sizeRelH>
            <wp14:sizeRelV relativeFrom="page">
              <wp14:pctHeight>0</wp14:pctHeight>
            </wp14:sizeRelV>
          </wp:anchor>
        </w:drawing>
      </w:r>
      <w:r>
        <w:t xml:space="preserve">Jednu z největších mezinárodních aktivit v ochraně vod představuje mnohostranná spolupráce při ochraně Dunaje. Úmluva o spolupráci pro ochranu a únosné využívání Dunaje byla podepsána 29. 6. 1994 a vstoupila v platnost 22. 10. 1998. ČR se k této úmluvě připojila 10. 3. 1995. </w:t>
      </w:r>
    </w:p>
    <w:p w14:paraId="473B57A8" w14:textId="77777777" w:rsidR="009C333D" w:rsidRDefault="009C333D" w:rsidP="009C333D"/>
    <w:p w14:paraId="478E4779" w14:textId="3BADA83A" w:rsidR="009C333D" w:rsidRDefault="009C333D" w:rsidP="009C333D">
      <w:r>
        <w:t>Mezinárodní komise pro ochranu Dunaje (dále jen „MKOD“) tvoří 15 smluvních stran, které se zavázaly k provádění Úmluvy o ochraně Dunaje. Konečnými cíli jsou spolupráce v základních otázkách vodního hospodářství, aby povrchové a podzemní vody v povodí Dunaje byly spravovány a využívány udržitelným a spravedlivým způsobem</w:t>
      </w:r>
      <w:r w:rsidR="009A4797">
        <w:t xml:space="preserve"> a </w:t>
      </w:r>
      <w:r>
        <w:t>přijetí všech vhodných právních, správních a technických opatření k zachování a zlepšení kvality Dunaje a jeho životního prostředí.</w:t>
      </w:r>
    </w:p>
    <w:p w14:paraId="453B7C96" w14:textId="77777777" w:rsidR="009C333D" w:rsidRDefault="009C333D" w:rsidP="009C333D"/>
    <w:p w14:paraId="3858D123" w14:textId="4C205027" w:rsidR="009C333D" w:rsidRDefault="009C333D" w:rsidP="009C333D">
      <w:r w:rsidRPr="00254075">
        <w:t xml:space="preserve">Rok 2025 byl pro MKOD charakteristický řadou významných aktivit a rozhodnutí. Předsednictví organizace převzalo Slovinsko, které se zaměřilo především na posílení mezinárodní spolupráce a řešení dopadů změny klimatu. Zahájen byl pátý společný průzkum Dunaje (JDS5), představující dosud nejrozsáhlejší monitoring kvality vod v povodí. V červnu byla přijata aktualizace dokumentu </w:t>
      </w:r>
      <w:r w:rsidRPr="00254075">
        <w:rPr>
          <w:i/>
          <w:iCs/>
        </w:rPr>
        <w:t xml:space="preserve">Joint </w:t>
      </w:r>
      <w:proofErr w:type="spellStart"/>
      <w:r w:rsidRPr="00254075">
        <w:rPr>
          <w:i/>
          <w:iCs/>
        </w:rPr>
        <w:t>Statement</w:t>
      </w:r>
      <w:proofErr w:type="spellEnd"/>
      <w:r w:rsidRPr="00254075">
        <w:rPr>
          <w:i/>
          <w:iCs/>
        </w:rPr>
        <w:t xml:space="preserve"> 2.0</w:t>
      </w:r>
      <w:r w:rsidRPr="00254075">
        <w:t xml:space="preserve">, propojující cíle ochrany životního prostředí s rozvojem říční dopravy, a v listopadu byla podepsána deklarace zaměřená na obnovu ekosystémů, zlepšení kvality vody a snižování povodňových rizik. Součástí činnosti MKOD byly i tradiční osvětové aktivity, jako </w:t>
      </w:r>
      <w:proofErr w:type="spellStart"/>
      <w:r w:rsidRPr="00254075">
        <w:t>Danube</w:t>
      </w:r>
      <w:proofErr w:type="spellEnd"/>
      <w:r w:rsidRPr="00254075">
        <w:t xml:space="preserve"> </w:t>
      </w:r>
      <w:proofErr w:type="spellStart"/>
      <w:r w:rsidRPr="00254075">
        <w:t>Day</w:t>
      </w:r>
      <w:proofErr w:type="spellEnd"/>
      <w:r w:rsidRPr="00254075">
        <w:t xml:space="preserve"> a soutěž </w:t>
      </w:r>
      <w:proofErr w:type="spellStart"/>
      <w:r w:rsidRPr="00254075">
        <w:t>Danube</w:t>
      </w:r>
      <w:proofErr w:type="spellEnd"/>
      <w:r w:rsidRPr="00254075">
        <w:t xml:space="preserve"> Art Master, podporující zapojení veřejnosti a zvyšování povědomí o ochraně Dunaje.</w:t>
      </w:r>
    </w:p>
    <w:p w14:paraId="7E9C1A93" w14:textId="77777777" w:rsidR="009C333D" w:rsidRDefault="009C333D" w:rsidP="009C333D"/>
    <w:p w14:paraId="425BFFEF" w14:textId="1627595E" w:rsidR="009C333D" w:rsidRDefault="009C333D" w:rsidP="009C333D">
      <w:r w:rsidRPr="00254075">
        <w:t xml:space="preserve">Na úrovni vedoucích delegací smluvních stran MKOD proběhla v roce 2025 dvě klíčová zasedání. V červnu se ve </w:t>
      </w:r>
      <w:r>
        <w:t>s</w:t>
      </w:r>
      <w:r w:rsidRPr="00254075">
        <w:t xml:space="preserve">lovinské </w:t>
      </w:r>
      <w:proofErr w:type="spellStart"/>
      <w:r w:rsidRPr="00254075">
        <w:t>Postojné</w:t>
      </w:r>
      <w:proofErr w:type="spellEnd"/>
      <w:r w:rsidRPr="00254075">
        <w:t xml:space="preserve"> uskutečnilo 23. zasedání řídicí skupiny a v prosinci následovalo 27. plenární zasedání vedoucích delegací ve Vídni.</w:t>
      </w:r>
    </w:p>
    <w:p w14:paraId="378A6267" w14:textId="77777777" w:rsidR="009C333D" w:rsidRDefault="009C333D" w:rsidP="009C333D"/>
    <w:p w14:paraId="5E7653F5" w14:textId="45B478C8" w:rsidR="009C333D" w:rsidRDefault="009C333D" w:rsidP="009C333D">
      <w:pPr>
        <w:rPr>
          <w:rStyle w:val="Hypertextovodkaz"/>
        </w:rPr>
      </w:pPr>
      <w:r>
        <w:t xml:space="preserve">Podrobné informace o činnosti MKOD se lze dočíst na odkazu </w:t>
      </w:r>
      <w:hyperlink r:id="rId124" w:tooltip="http://www.icpdr.org" w:history="1">
        <w:r>
          <w:rPr>
            <w:rStyle w:val="Hypertextovodkaz"/>
          </w:rPr>
          <w:t>www.icpdr.org</w:t>
        </w:r>
      </w:hyperlink>
      <w:r>
        <w:rPr>
          <w:rStyle w:val="Hypertextovodkaz"/>
        </w:rPr>
        <w:t>.</w:t>
      </w:r>
    </w:p>
    <w:p w14:paraId="4BC497F4" w14:textId="77777777" w:rsidR="00906E4B" w:rsidRPr="00104F7D" w:rsidRDefault="00906E4B" w:rsidP="007C4955">
      <w:pPr>
        <w:autoSpaceDE w:val="0"/>
        <w:autoSpaceDN w:val="0"/>
        <w:adjustRightInd w:val="0"/>
        <w:contextualSpacing/>
        <w:rPr>
          <w:rFonts w:cs="Arial"/>
          <w:color w:val="FF0000"/>
          <w:highlight w:val="yellow"/>
        </w:rPr>
      </w:pPr>
    </w:p>
    <w:p w14:paraId="50064EFF" w14:textId="7518A7CC" w:rsidR="00157E51" w:rsidRPr="000D1A2B" w:rsidRDefault="0011043C" w:rsidP="007C4955">
      <w:pPr>
        <w:contextualSpacing/>
        <w:rPr>
          <w:b/>
          <w:i/>
        </w:rPr>
      </w:pPr>
      <w:r w:rsidRPr="000D1A2B">
        <w:rPr>
          <w:b/>
          <w:noProof/>
        </w:rPr>
        <w:drawing>
          <wp:anchor distT="0" distB="0" distL="144145" distR="144145" simplePos="0" relativeHeight="251658246" behindDoc="1" locked="0" layoutInCell="1" allowOverlap="1" wp14:anchorId="7A66795C" wp14:editId="4CB9204A">
            <wp:simplePos x="0" y="0"/>
            <wp:positionH relativeFrom="column">
              <wp:posOffset>4855845</wp:posOffset>
            </wp:positionH>
            <wp:positionV relativeFrom="paragraph">
              <wp:posOffset>71120</wp:posOffset>
            </wp:positionV>
            <wp:extent cx="1198245" cy="1000125"/>
            <wp:effectExtent l="19050" t="19050" r="1905" b="9525"/>
            <wp:wrapTight wrapText="bothSides">
              <wp:wrapPolygon edited="0">
                <wp:start x="-343" y="-411"/>
                <wp:lineTo x="-343" y="21806"/>
                <wp:lineTo x="21634" y="21806"/>
                <wp:lineTo x="21634" y="-411"/>
                <wp:lineTo x="-343" y="-411"/>
              </wp:wrapPolygon>
            </wp:wrapTight>
            <wp:docPr id="99" name="Obrázek 4" descr="http://www.mkoo.pl/img/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http://www.mkoo.pl/img/logo.gif"/>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198245" cy="10001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57E51" w:rsidRPr="000D1A2B">
        <w:rPr>
          <w:b/>
          <w:i/>
        </w:rPr>
        <w:t>Dohoda o Mezinárodní komisi pro ochranu Odry před znečištěním</w:t>
      </w:r>
    </w:p>
    <w:p w14:paraId="1D1160EF" w14:textId="77777777" w:rsidR="00906E4B" w:rsidRPr="00104F7D" w:rsidRDefault="00906E4B" w:rsidP="007C4955">
      <w:pPr>
        <w:contextualSpacing/>
        <w:rPr>
          <w:b/>
          <w:i/>
          <w:color w:val="FF0000"/>
          <w:highlight w:val="yellow"/>
        </w:rPr>
      </w:pPr>
    </w:p>
    <w:p w14:paraId="1F8F0138" w14:textId="77777777" w:rsidR="00834905" w:rsidRDefault="00834905" w:rsidP="00834905">
      <w:r w:rsidRPr="00254075">
        <w:rPr>
          <w:noProof/>
        </w:rPr>
        <w:drawing>
          <wp:anchor distT="0" distB="0" distL="144145" distR="144145" simplePos="0" relativeHeight="251658250" behindDoc="1" locked="0" layoutInCell="1" allowOverlap="1" wp14:anchorId="0B54A62D" wp14:editId="4977D5A1">
            <wp:simplePos x="0" y="0"/>
            <wp:positionH relativeFrom="margin">
              <wp:align>right</wp:align>
            </wp:positionH>
            <wp:positionV relativeFrom="paragraph">
              <wp:posOffset>26035</wp:posOffset>
            </wp:positionV>
            <wp:extent cx="1198245" cy="1000125"/>
            <wp:effectExtent l="19050" t="19050" r="20955" b="28575"/>
            <wp:wrapTight wrapText="bothSides">
              <wp:wrapPolygon edited="1">
                <wp:start x="-343" y="-411"/>
                <wp:lineTo x="-343" y="21806"/>
                <wp:lineTo x="21634" y="21806"/>
                <wp:lineTo x="21634" y="-411"/>
                <wp:lineTo x="-343" y="-411"/>
              </wp:wrapPolygon>
            </wp:wrapTight>
            <wp:docPr id="98" name="Obrázek 4" descr="http://www.mkoo.pl/img/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http://www.mkoo.pl/img/logo.gif"/>
                    <pic:cNvPicPr>
                      <a:picLocks noChangeAspect="1"/>
                    </pic:cNvPicPr>
                  </pic:nvPicPr>
                  <pic:blipFill>
                    <a:blip r:embed="rId125"/>
                    <a:stretch/>
                  </pic:blipFill>
                  <pic:spPr bwMode="auto">
                    <a:xfrm>
                      <a:off x="0" y="0"/>
                      <a:ext cx="1198245" cy="10001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254075">
        <w:t>Tímto dokumentem byla zřízena Mezinárodní komise pro ochranu Odry před znečištěním. Do</w:t>
      </w:r>
      <w:r>
        <w:t>hodu</w:t>
      </w:r>
      <w:r w:rsidRPr="00254075">
        <w:t xml:space="preserve"> podepsaly vlády České republiky, Polské republiky, Spolkové republiky Německo a Evropské společenství dne 11.</w:t>
      </w:r>
      <w:r w:rsidRPr="00254075">
        <w:rPr>
          <w:rFonts w:cs="Arial"/>
        </w:rPr>
        <w:t> </w:t>
      </w:r>
      <w:r>
        <w:t>dubna</w:t>
      </w:r>
      <w:r w:rsidRPr="00254075">
        <w:rPr>
          <w:rFonts w:cs="Arial"/>
        </w:rPr>
        <w:t> </w:t>
      </w:r>
      <w:r w:rsidRPr="00254075">
        <w:t>1996 a účinnosti nabyl</w:t>
      </w:r>
      <w:r>
        <w:t>a</w:t>
      </w:r>
      <w:r w:rsidRPr="00254075">
        <w:t xml:space="preserve"> po ratifikaci dne 26.</w:t>
      </w:r>
      <w:r w:rsidRPr="00254075">
        <w:rPr>
          <w:rFonts w:cs="Arial"/>
        </w:rPr>
        <w:t> </w:t>
      </w:r>
      <w:r>
        <w:t>dubna</w:t>
      </w:r>
      <w:r w:rsidRPr="00254075">
        <w:rPr>
          <w:rFonts w:cs="Arial"/>
        </w:rPr>
        <w:t> </w:t>
      </w:r>
      <w:r w:rsidRPr="00254075">
        <w:t>1999. Po</w:t>
      </w:r>
      <w:r>
        <w:t> </w:t>
      </w:r>
      <w:r w:rsidRPr="00254075">
        <w:t>vstupu České republiky a Polska do Evropské unie dne 1.</w:t>
      </w:r>
      <w:r w:rsidRPr="00254075">
        <w:rPr>
          <w:rFonts w:cs="Arial"/>
        </w:rPr>
        <w:t> </w:t>
      </w:r>
      <w:r>
        <w:t>května</w:t>
      </w:r>
      <w:r w:rsidRPr="00254075">
        <w:rPr>
          <w:rFonts w:cs="Arial"/>
        </w:rPr>
        <w:t> </w:t>
      </w:r>
      <w:r w:rsidRPr="00254075">
        <w:t xml:space="preserve">2004 bylo členství Evropského společenství v </w:t>
      </w:r>
      <w:proofErr w:type="spellStart"/>
      <w:r w:rsidRPr="00254075">
        <w:t>MKOOpZ</w:t>
      </w:r>
      <w:proofErr w:type="spellEnd"/>
      <w:r w:rsidRPr="00254075">
        <w:t xml:space="preserve"> ukončeno na základě změnového ujednání přijatého dne 27.</w:t>
      </w:r>
      <w:r w:rsidRPr="00254075">
        <w:rPr>
          <w:rFonts w:cs="Arial"/>
        </w:rPr>
        <w:t> </w:t>
      </w:r>
      <w:r>
        <w:t>listopadu</w:t>
      </w:r>
      <w:r w:rsidRPr="00254075">
        <w:rPr>
          <w:rFonts w:cs="Arial"/>
        </w:rPr>
        <w:t> </w:t>
      </w:r>
      <w:r w:rsidRPr="00254075">
        <w:t>2008 v Bruselu.</w:t>
      </w:r>
    </w:p>
    <w:p w14:paraId="18A4C75F" w14:textId="77777777" w:rsidR="00834905" w:rsidRDefault="00834905" w:rsidP="00834905">
      <w:pPr>
        <w:rPr>
          <w:rFonts w:cs="Arial"/>
        </w:rPr>
      </w:pPr>
    </w:p>
    <w:p w14:paraId="4C2E7E09" w14:textId="15B9EC23" w:rsidR="00834905" w:rsidRDefault="00834905" w:rsidP="00834905">
      <w:r>
        <w:rPr>
          <w:rFonts w:cs="Arial"/>
        </w:rPr>
        <w:t>Činnost Mezinárodní komise pro ochranu Odry před znečištěním (dále jen „</w:t>
      </w:r>
      <w:proofErr w:type="spellStart"/>
      <w:r>
        <w:rPr>
          <w:rFonts w:cs="Arial"/>
        </w:rPr>
        <w:t>MKOOpZ</w:t>
      </w:r>
      <w:proofErr w:type="spellEnd"/>
      <w:r>
        <w:rPr>
          <w:rFonts w:cs="Arial"/>
        </w:rPr>
        <w:t>“) je zaměřena zejména na mezinárodní koordinaci plnění požadavků „Rámcové směrnice o vodách“, „Povodňové směrnice“ a prevenci znečištění vod. Spolupráce probíhá v pracovních skupinách orientovaných především na plánování, povodňovou ochranu, havarijní znečištění, monitoring a správu dat.</w:t>
      </w:r>
    </w:p>
    <w:p w14:paraId="2EA5FE0E" w14:textId="77777777" w:rsidR="00834905" w:rsidRDefault="00834905" w:rsidP="00834905">
      <w:pPr>
        <w:rPr>
          <w:rFonts w:cs="Arial"/>
        </w:rPr>
      </w:pPr>
      <w:r>
        <w:rPr>
          <w:rFonts w:cs="Arial"/>
        </w:rPr>
        <w:t xml:space="preserve">V roce 2025 se </w:t>
      </w:r>
      <w:proofErr w:type="spellStart"/>
      <w:r>
        <w:rPr>
          <w:rFonts w:cs="Arial"/>
        </w:rPr>
        <w:t>MKOOpZ</w:t>
      </w:r>
      <w:proofErr w:type="spellEnd"/>
      <w:r>
        <w:rPr>
          <w:rFonts w:cs="Arial"/>
        </w:rPr>
        <w:t xml:space="preserve"> věnovala především zavádění Rámcové směrnice o vodách, přičemž pokračovala v přípravách na třetí aktualizaci Plánu mezinárodní oblasti povodí Odry (MOPO). V té souvislosti bylo dne 22. června 2025 ukončeny konzultace s veřejností dokumentu „Předběžný přehled významných problémů hospodaření s vodou zjištěných v MOPO“. Na konci roku 2025 byl sekretariátem </w:t>
      </w:r>
      <w:proofErr w:type="spellStart"/>
      <w:r>
        <w:rPr>
          <w:rFonts w:cs="Arial"/>
        </w:rPr>
        <w:t>MKOOpZ</w:t>
      </w:r>
      <w:proofErr w:type="spellEnd"/>
      <w:r>
        <w:rPr>
          <w:rFonts w:cs="Arial"/>
        </w:rPr>
        <w:t xml:space="preserve"> zveřejněn dokument „Strategie naplnění společných cílů pro významné problémy hospodaření s vodou v mezinárodní oblasti povodí Odry“.</w:t>
      </w:r>
    </w:p>
    <w:p w14:paraId="6BB5799B" w14:textId="77777777" w:rsidR="00834905" w:rsidRDefault="00834905" w:rsidP="00834905">
      <w:pPr>
        <w:rPr>
          <w:rFonts w:cs="Arial"/>
        </w:rPr>
      </w:pPr>
    </w:p>
    <w:p w14:paraId="3110304F" w14:textId="04813406" w:rsidR="00834905" w:rsidRDefault="00834905" w:rsidP="00834905">
      <w:pPr>
        <w:rPr>
          <w:rFonts w:cs="Arial"/>
        </w:rPr>
      </w:pPr>
      <w:r>
        <w:rPr>
          <w:rFonts w:cs="Arial"/>
        </w:rPr>
        <w:t xml:space="preserve">V rámci třetího cyklu zavádění Povodňové směrnice bylo aktualizováno „Předběžné vyhodnocení povodňových rizik v Mezinárodní oblasti povodí Odry“, které bylo v březnu 2025 zveřejněno na webových stránkách </w:t>
      </w:r>
      <w:proofErr w:type="spellStart"/>
      <w:r>
        <w:rPr>
          <w:rFonts w:cs="Arial"/>
        </w:rPr>
        <w:t>MKOOpZ</w:t>
      </w:r>
      <w:proofErr w:type="spellEnd"/>
      <w:r>
        <w:rPr>
          <w:rFonts w:cs="Arial"/>
        </w:rPr>
        <w:t>. Současně byla aktualizována také „Koncepce zavádění Povodňové směrnice“.</w:t>
      </w:r>
    </w:p>
    <w:p w14:paraId="2A96E7B0" w14:textId="77777777" w:rsidR="00834905" w:rsidRDefault="00834905" w:rsidP="00834905">
      <w:pPr>
        <w:rPr>
          <w:rFonts w:cs="Arial"/>
        </w:rPr>
      </w:pPr>
    </w:p>
    <w:p w14:paraId="551A1CA4" w14:textId="2C072EB0" w:rsidR="00834905" w:rsidRDefault="00834905" w:rsidP="00834905">
      <w:pPr>
        <w:rPr>
          <w:rFonts w:cs="Arial"/>
        </w:rPr>
      </w:pPr>
      <w:r>
        <w:rPr>
          <w:rFonts w:cs="Arial"/>
        </w:rPr>
        <w:t xml:space="preserve">V květnu 2025 se ve Vratislavi konal společný seminář pracovních skupin „Rámcová směrnice o vodách“ a „Povodeň“, zaměřený na téma změny klimatu a jejích dopadů na vodní hospodářství, kvalitu a ekologii vodního prostředí v Mezinárodní oblasti povodí Odry. </w:t>
      </w:r>
    </w:p>
    <w:p w14:paraId="78210EED" w14:textId="77777777" w:rsidR="00834905" w:rsidRDefault="00834905" w:rsidP="00834905">
      <w:pPr>
        <w:rPr>
          <w:rFonts w:cs="Arial"/>
        </w:rPr>
      </w:pPr>
    </w:p>
    <w:p w14:paraId="65C9A687" w14:textId="7A4304EE" w:rsidR="00834905" w:rsidRDefault="00834905" w:rsidP="00834905">
      <w:pPr>
        <w:rPr>
          <w:rFonts w:cs="Arial"/>
        </w:rPr>
      </w:pPr>
      <w:r>
        <w:rPr>
          <w:rFonts w:cs="Arial"/>
        </w:rPr>
        <w:t>V listopadu 2025 se rovněž ve Vratislavi uskutečnil workshop pracovní skupiny „Havarijní znečištění“, který se věnoval mezinárodním varovným a poplachovým plánům a zkušenostem s jejich uplatňováním, včetně vymezování mezních hodnot pro hlášení.</w:t>
      </w:r>
    </w:p>
    <w:p w14:paraId="588F2541" w14:textId="77777777" w:rsidR="00834905" w:rsidRDefault="00834905" w:rsidP="00834905">
      <w:pPr>
        <w:rPr>
          <w:rFonts w:cs="Arial"/>
        </w:rPr>
      </w:pPr>
    </w:p>
    <w:p w14:paraId="040678EA" w14:textId="0E4CA0B1" w:rsidR="00834905" w:rsidRDefault="00834905" w:rsidP="00834905">
      <w:pPr>
        <w:rPr>
          <w:rFonts w:cs="Arial"/>
        </w:rPr>
      </w:pPr>
      <w:r>
        <w:rPr>
          <w:rFonts w:cs="Arial"/>
        </w:rPr>
        <w:t xml:space="preserve">Na 28. plenárním zasedání </w:t>
      </w:r>
      <w:proofErr w:type="spellStart"/>
      <w:r>
        <w:rPr>
          <w:rFonts w:cs="Arial"/>
        </w:rPr>
        <w:t>MKOOpZ</w:t>
      </w:r>
      <w:proofErr w:type="spellEnd"/>
      <w:r>
        <w:rPr>
          <w:rFonts w:cs="Arial"/>
        </w:rPr>
        <w:t xml:space="preserve">, konaném v listopadu 2025 ve Varšavě, proběhlo slavnostní předání předsednictví z dosavadní prezidentky </w:t>
      </w:r>
      <w:proofErr w:type="spellStart"/>
      <w:r>
        <w:rPr>
          <w:rFonts w:cs="Arial"/>
        </w:rPr>
        <w:t>MKOOpZ</w:t>
      </w:r>
      <w:proofErr w:type="spellEnd"/>
      <w:r>
        <w:rPr>
          <w:rFonts w:cs="Arial"/>
        </w:rPr>
        <w:t xml:space="preserve"> </w:t>
      </w:r>
      <w:proofErr w:type="gramStart"/>
      <w:r>
        <w:rPr>
          <w:rFonts w:cs="Arial"/>
        </w:rPr>
        <w:t>ze</w:t>
      </w:r>
      <w:proofErr w:type="gramEnd"/>
      <w:r>
        <w:rPr>
          <w:rFonts w:cs="Arial"/>
        </w:rPr>
        <w:t xml:space="preserve"> Spolkové republiky Německo na nastupující prezidentku </w:t>
      </w:r>
      <w:proofErr w:type="spellStart"/>
      <w:r>
        <w:rPr>
          <w:rFonts w:cs="Arial"/>
        </w:rPr>
        <w:t>MKOOpZ</w:t>
      </w:r>
      <w:proofErr w:type="spellEnd"/>
      <w:r>
        <w:rPr>
          <w:rFonts w:cs="Arial"/>
        </w:rPr>
        <w:t xml:space="preserve"> z Polské republiky pro období let 2026–2028.</w:t>
      </w:r>
    </w:p>
    <w:p w14:paraId="2296CC18" w14:textId="77777777" w:rsidR="00834905" w:rsidRDefault="00834905" w:rsidP="00834905">
      <w:pPr>
        <w:rPr>
          <w:rFonts w:cs="Arial"/>
        </w:rPr>
      </w:pPr>
    </w:p>
    <w:p w14:paraId="075963C1" w14:textId="0695241B" w:rsidR="00834905" w:rsidRDefault="00834905" w:rsidP="00834905">
      <w:pPr>
        <w:rPr>
          <w:rFonts w:cs="Arial"/>
        </w:rPr>
      </w:pPr>
      <w:r>
        <w:rPr>
          <w:rFonts w:cs="Arial"/>
        </w:rPr>
        <w:t xml:space="preserve">Podrobné informace o činnosti </w:t>
      </w:r>
      <w:proofErr w:type="spellStart"/>
      <w:r>
        <w:rPr>
          <w:rFonts w:cs="Arial"/>
        </w:rPr>
        <w:t>MKOOpZ</w:t>
      </w:r>
      <w:proofErr w:type="spellEnd"/>
      <w:r>
        <w:rPr>
          <w:rFonts w:cs="Arial"/>
        </w:rPr>
        <w:t xml:space="preserve"> se lze dočíst na internetovém odkazu </w:t>
      </w:r>
      <w:hyperlink r:id="rId126" w:tooltip="http://mkoo.pl/index.php?lang=CZ" w:history="1">
        <w:r>
          <w:rPr>
            <w:rStyle w:val="Hypertextovodkaz"/>
          </w:rPr>
          <w:t>http://mkoo.pl/index.php?lang=CZ</w:t>
        </w:r>
      </w:hyperlink>
      <w:r>
        <w:rPr>
          <w:rFonts w:cs="Arial"/>
        </w:rPr>
        <w:t>.</w:t>
      </w:r>
    </w:p>
    <w:p w14:paraId="160252A1" w14:textId="77777777" w:rsidR="00795C70" w:rsidRPr="00104F7D" w:rsidRDefault="00795C70" w:rsidP="007C4955">
      <w:pPr>
        <w:autoSpaceDE w:val="0"/>
        <w:autoSpaceDN w:val="0"/>
        <w:adjustRightInd w:val="0"/>
        <w:contextualSpacing/>
        <w:rPr>
          <w:rFonts w:cs="Arial"/>
          <w:color w:val="FF0000"/>
          <w:highlight w:val="yellow"/>
        </w:rPr>
      </w:pPr>
    </w:p>
    <w:p w14:paraId="5B0FD948" w14:textId="09E91F2E" w:rsidR="00157E51" w:rsidRPr="004E62F4" w:rsidRDefault="0058604F" w:rsidP="0058604F">
      <w:pPr>
        <w:pStyle w:val="Nadpis2"/>
        <w:spacing w:before="0"/>
        <w:contextualSpacing/>
      </w:pPr>
      <w:bookmarkStart w:id="210" w:name="_Toc42667847"/>
      <w:bookmarkStart w:id="211" w:name="_Toc236991651"/>
      <w:r>
        <w:t xml:space="preserve">14.3 </w:t>
      </w:r>
      <w:r w:rsidR="00157E51" w:rsidRPr="004E62F4">
        <w:t>Mezinárodní spolupráce České republiky na hraničních vodách</w:t>
      </w:r>
      <w:bookmarkEnd w:id="210"/>
      <w:bookmarkEnd w:id="211"/>
    </w:p>
    <w:p w14:paraId="145CE96B" w14:textId="77777777" w:rsidR="008848E1" w:rsidRPr="00104F7D" w:rsidRDefault="008848E1" w:rsidP="00740EE6">
      <w:pPr>
        <w:autoSpaceDE w:val="0"/>
        <w:autoSpaceDN w:val="0"/>
        <w:adjustRightInd w:val="0"/>
        <w:rPr>
          <w:rFonts w:cs="Arial"/>
          <w:b/>
          <w:bCs/>
          <w:highlight w:val="yellow"/>
        </w:rPr>
      </w:pPr>
      <w:bookmarkStart w:id="212" w:name="_Toc10183467"/>
    </w:p>
    <w:p w14:paraId="3860CD25" w14:textId="77777777" w:rsidR="004E62F4" w:rsidRPr="0072451D" w:rsidRDefault="004E62F4" w:rsidP="004E62F4">
      <w:pPr>
        <w:rPr>
          <w:b/>
          <w:bCs/>
        </w:rPr>
      </w:pPr>
      <w:r w:rsidRPr="0072451D">
        <w:rPr>
          <w:b/>
          <w:bCs/>
        </w:rPr>
        <w:t>Celková délka státních hranic České republiky se sousedními státy činí 2</w:t>
      </w:r>
      <w:r w:rsidRPr="0072451D">
        <w:rPr>
          <w:rFonts w:cs="Arial"/>
          <w:b/>
          <w:bCs/>
        </w:rPr>
        <w:t> </w:t>
      </w:r>
      <w:r w:rsidRPr="0072451D">
        <w:rPr>
          <w:b/>
          <w:bCs/>
        </w:rPr>
        <w:t>290</w:t>
      </w:r>
      <w:r w:rsidRPr="0072451D">
        <w:rPr>
          <w:rFonts w:cs="Arial"/>
          <w:b/>
          <w:bCs/>
        </w:rPr>
        <w:t> </w:t>
      </w:r>
      <w:r w:rsidRPr="0072451D">
        <w:rPr>
          <w:b/>
          <w:bCs/>
        </w:rPr>
        <w:t>km, p</w:t>
      </w:r>
      <w:r w:rsidRPr="0072451D">
        <w:rPr>
          <w:rFonts w:ascii="Aptos" w:hAnsi="Aptos" w:cs="Aptos"/>
          <w:b/>
          <w:bCs/>
        </w:rPr>
        <w:t>ř</w:t>
      </w:r>
      <w:r w:rsidRPr="0072451D">
        <w:rPr>
          <w:b/>
          <w:bCs/>
        </w:rPr>
        <w:t>i</w:t>
      </w:r>
      <w:r w:rsidRPr="0072451D">
        <w:rPr>
          <w:rFonts w:ascii="Aptos" w:hAnsi="Aptos" w:cs="Aptos"/>
          <w:b/>
          <w:bCs/>
        </w:rPr>
        <w:t>č</w:t>
      </w:r>
      <w:r w:rsidRPr="0072451D">
        <w:rPr>
          <w:b/>
          <w:bCs/>
        </w:rPr>
        <w:t>em</w:t>
      </w:r>
      <w:r w:rsidRPr="0072451D">
        <w:rPr>
          <w:rFonts w:ascii="Aptos" w:hAnsi="Aptos" w:cs="Aptos"/>
          <w:b/>
          <w:bCs/>
        </w:rPr>
        <w:t>ž</w:t>
      </w:r>
      <w:r w:rsidRPr="0072451D">
        <w:rPr>
          <w:b/>
          <w:bCs/>
        </w:rPr>
        <w:t xml:space="preserve"> p</w:t>
      </w:r>
      <w:r w:rsidRPr="0072451D">
        <w:rPr>
          <w:rFonts w:ascii="Aptos" w:hAnsi="Aptos" w:cs="Aptos"/>
          <w:b/>
          <w:bCs/>
        </w:rPr>
        <w:t>ř</w:t>
      </w:r>
      <w:r w:rsidRPr="0072451D">
        <w:rPr>
          <w:b/>
          <w:bCs/>
        </w:rPr>
        <w:t>ibli</w:t>
      </w:r>
      <w:r w:rsidRPr="0072451D">
        <w:rPr>
          <w:rFonts w:ascii="Aptos" w:hAnsi="Aptos" w:cs="Aptos"/>
          <w:b/>
          <w:bCs/>
        </w:rPr>
        <w:t>ž</w:t>
      </w:r>
      <w:r w:rsidRPr="0072451D">
        <w:rPr>
          <w:b/>
          <w:bCs/>
        </w:rPr>
        <w:t>n</w:t>
      </w:r>
      <w:r w:rsidRPr="0072451D">
        <w:rPr>
          <w:rFonts w:ascii="Aptos" w:hAnsi="Aptos" w:cs="Aptos"/>
          <w:b/>
          <w:bCs/>
        </w:rPr>
        <w:t>ě</w:t>
      </w:r>
      <w:r w:rsidRPr="0072451D">
        <w:rPr>
          <w:b/>
          <w:bCs/>
        </w:rPr>
        <w:t xml:space="preserve"> t</w:t>
      </w:r>
      <w:r w:rsidRPr="0072451D">
        <w:rPr>
          <w:rFonts w:ascii="Aptos" w:hAnsi="Aptos" w:cs="Aptos"/>
          <w:b/>
          <w:bCs/>
        </w:rPr>
        <w:t>ř</w:t>
      </w:r>
      <w:r w:rsidRPr="0072451D">
        <w:rPr>
          <w:b/>
          <w:bCs/>
        </w:rPr>
        <w:t>etinu z t</w:t>
      </w:r>
      <w:r w:rsidRPr="0072451D">
        <w:rPr>
          <w:rFonts w:ascii="Aptos" w:hAnsi="Aptos" w:cs="Aptos"/>
          <w:b/>
          <w:bCs/>
        </w:rPr>
        <w:t>é</w:t>
      </w:r>
      <w:r w:rsidRPr="0072451D">
        <w:rPr>
          <w:b/>
          <w:bCs/>
        </w:rPr>
        <w:t>to d</w:t>
      </w:r>
      <w:r w:rsidRPr="0072451D">
        <w:rPr>
          <w:rFonts w:ascii="Aptos" w:hAnsi="Aptos" w:cs="Aptos"/>
          <w:b/>
          <w:bCs/>
        </w:rPr>
        <w:t>é</w:t>
      </w:r>
      <w:r w:rsidRPr="0072451D">
        <w:rPr>
          <w:b/>
          <w:bCs/>
        </w:rPr>
        <w:t>lky tvo</w:t>
      </w:r>
      <w:r w:rsidRPr="0072451D">
        <w:rPr>
          <w:rFonts w:ascii="Aptos" w:hAnsi="Aptos" w:cs="Aptos"/>
          <w:b/>
          <w:bCs/>
        </w:rPr>
        <w:t>ří</w:t>
      </w:r>
      <w:r w:rsidRPr="0072451D">
        <w:rPr>
          <w:b/>
          <w:bCs/>
        </w:rPr>
        <w:t xml:space="preserve"> tzv. </w:t>
      </w:r>
      <w:r w:rsidRPr="0072451D">
        <w:rPr>
          <w:rFonts w:ascii="Aptos" w:hAnsi="Aptos" w:cs="Aptos"/>
          <w:b/>
          <w:bCs/>
        </w:rPr>
        <w:t>„</w:t>
      </w:r>
      <w:r w:rsidRPr="0072451D">
        <w:rPr>
          <w:b/>
          <w:bCs/>
        </w:rPr>
        <w:t>mokr</w:t>
      </w:r>
      <w:r w:rsidRPr="0072451D">
        <w:rPr>
          <w:rFonts w:ascii="Aptos" w:hAnsi="Aptos" w:cs="Aptos"/>
          <w:b/>
          <w:bCs/>
        </w:rPr>
        <w:t>á“</w:t>
      </w:r>
      <w:r w:rsidRPr="0072451D">
        <w:rPr>
          <w:b/>
          <w:bCs/>
        </w:rPr>
        <w:t xml:space="preserve"> hranice, veden</w:t>
      </w:r>
      <w:r w:rsidRPr="0072451D">
        <w:rPr>
          <w:rFonts w:ascii="Aptos" w:hAnsi="Aptos" w:cs="Aptos"/>
          <w:b/>
          <w:bCs/>
        </w:rPr>
        <w:t>á</w:t>
      </w:r>
      <w:r w:rsidRPr="0072451D">
        <w:rPr>
          <w:b/>
          <w:bCs/>
        </w:rPr>
        <w:t xml:space="preserve"> vodn</w:t>
      </w:r>
      <w:r w:rsidRPr="0072451D">
        <w:rPr>
          <w:rFonts w:ascii="Aptos" w:hAnsi="Aptos" w:cs="Aptos"/>
          <w:b/>
          <w:bCs/>
        </w:rPr>
        <w:t>í</w:t>
      </w:r>
      <w:r w:rsidRPr="0072451D">
        <w:rPr>
          <w:b/>
          <w:bCs/>
        </w:rPr>
        <w:t>mi toky a plochami v rozsahu cca 740</w:t>
      </w:r>
      <w:r w:rsidRPr="0072451D">
        <w:rPr>
          <w:rFonts w:cs="Arial"/>
          <w:b/>
          <w:bCs/>
        </w:rPr>
        <w:t> </w:t>
      </w:r>
      <w:r w:rsidRPr="0072451D">
        <w:rPr>
          <w:b/>
          <w:bCs/>
        </w:rPr>
        <w:t xml:space="preserve">km. </w:t>
      </w:r>
      <w:r w:rsidRPr="0072451D">
        <w:rPr>
          <w:rFonts w:ascii="Aptos" w:hAnsi="Aptos" w:cs="Aptos"/>
          <w:b/>
          <w:bCs/>
        </w:rPr>
        <w:t>Č</w:t>
      </w:r>
      <w:r w:rsidRPr="0072451D">
        <w:rPr>
          <w:b/>
          <w:bCs/>
        </w:rPr>
        <w:t>esk</w:t>
      </w:r>
      <w:r w:rsidRPr="0072451D">
        <w:rPr>
          <w:rFonts w:ascii="Aptos" w:hAnsi="Aptos" w:cs="Aptos"/>
          <w:b/>
          <w:bCs/>
        </w:rPr>
        <w:t>á</w:t>
      </w:r>
      <w:r w:rsidRPr="0072451D">
        <w:rPr>
          <w:b/>
          <w:bCs/>
        </w:rPr>
        <w:t xml:space="preserve"> republika m</w:t>
      </w:r>
      <w:r w:rsidRPr="0072451D">
        <w:rPr>
          <w:rFonts w:ascii="Aptos" w:hAnsi="Aptos" w:cs="Aptos"/>
          <w:b/>
          <w:bCs/>
        </w:rPr>
        <w:t>á</w:t>
      </w:r>
      <w:r w:rsidRPr="0072451D">
        <w:rPr>
          <w:b/>
          <w:bCs/>
        </w:rPr>
        <w:t xml:space="preserve"> se v</w:t>
      </w:r>
      <w:r w:rsidRPr="0072451D">
        <w:rPr>
          <w:rFonts w:ascii="Aptos" w:hAnsi="Aptos" w:cs="Aptos"/>
          <w:b/>
          <w:bCs/>
        </w:rPr>
        <w:t>š</w:t>
      </w:r>
      <w:r w:rsidRPr="0072451D">
        <w:rPr>
          <w:b/>
          <w:bCs/>
        </w:rPr>
        <w:t>emi sousedn</w:t>
      </w:r>
      <w:r w:rsidRPr="0072451D">
        <w:rPr>
          <w:rFonts w:ascii="Aptos" w:hAnsi="Aptos" w:cs="Aptos"/>
          <w:b/>
          <w:bCs/>
        </w:rPr>
        <w:t>í</w:t>
      </w:r>
      <w:r w:rsidRPr="0072451D">
        <w:rPr>
          <w:b/>
          <w:bCs/>
        </w:rPr>
        <w:t>mi st</w:t>
      </w:r>
      <w:r w:rsidRPr="0072451D">
        <w:rPr>
          <w:rFonts w:ascii="Aptos" w:hAnsi="Aptos" w:cs="Aptos"/>
          <w:b/>
          <w:bCs/>
        </w:rPr>
        <w:t>á</w:t>
      </w:r>
      <w:r w:rsidRPr="0072451D">
        <w:rPr>
          <w:b/>
          <w:bCs/>
        </w:rPr>
        <w:t>ty uzav</w:t>
      </w:r>
      <w:r w:rsidRPr="0072451D">
        <w:rPr>
          <w:rFonts w:ascii="Aptos" w:hAnsi="Aptos" w:cs="Aptos"/>
          <w:b/>
          <w:bCs/>
        </w:rPr>
        <w:t>ř</w:t>
      </w:r>
      <w:r w:rsidRPr="0072451D">
        <w:rPr>
          <w:b/>
          <w:bCs/>
        </w:rPr>
        <w:t>eny mezin</w:t>
      </w:r>
      <w:r w:rsidRPr="0072451D">
        <w:rPr>
          <w:rFonts w:ascii="Aptos" w:hAnsi="Aptos" w:cs="Aptos"/>
          <w:b/>
          <w:bCs/>
        </w:rPr>
        <w:t>á</w:t>
      </w:r>
      <w:r w:rsidRPr="0072451D">
        <w:rPr>
          <w:b/>
          <w:bCs/>
        </w:rPr>
        <w:t>rodn</w:t>
      </w:r>
      <w:r w:rsidRPr="0072451D">
        <w:rPr>
          <w:rFonts w:ascii="Aptos" w:hAnsi="Aptos" w:cs="Aptos"/>
          <w:b/>
          <w:bCs/>
        </w:rPr>
        <w:t>í</w:t>
      </w:r>
      <w:r w:rsidRPr="0072451D">
        <w:rPr>
          <w:b/>
          <w:bCs/>
        </w:rPr>
        <w:t xml:space="preserve"> smlouvy o spolupr</w:t>
      </w:r>
      <w:r w:rsidRPr="0072451D">
        <w:rPr>
          <w:rFonts w:ascii="Aptos" w:hAnsi="Aptos" w:cs="Aptos"/>
          <w:b/>
          <w:bCs/>
        </w:rPr>
        <w:t>á</w:t>
      </w:r>
      <w:r w:rsidRPr="0072451D">
        <w:rPr>
          <w:b/>
          <w:bCs/>
        </w:rPr>
        <w:t>ci na hrani</w:t>
      </w:r>
      <w:r w:rsidRPr="0072451D">
        <w:rPr>
          <w:rFonts w:ascii="Aptos" w:hAnsi="Aptos" w:cs="Aptos"/>
          <w:b/>
          <w:bCs/>
        </w:rPr>
        <w:t>č</w:t>
      </w:r>
      <w:r w:rsidRPr="0072451D">
        <w:rPr>
          <w:b/>
          <w:bCs/>
        </w:rPr>
        <w:t>n</w:t>
      </w:r>
      <w:r w:rsidRPr="0072451D">
        <w:rPr>
          <w:rFonts w:ascii="Aptos" w:hAnsi="Aptos" w:cs="Aptos"/>
          <w:b/>
          <w:bCs/>
        </w:rPr>
        <w:t>í</w:t>
      </w:r>
      <w:r w:rsidRPr="0072451D">
        <w:rPr>
          <w:b/>
          <w:bCs/>
        </w:rPr>
        <w:t>ch vod</w:t>
      </w:r>
      <w:r w:rsidRPr="0072451D">
        <w:rPr>
          <w:rFonts w:ascii="Aptos" w:hAnsi="Aptos" w:cs="Aptos"/>
          <w:b/>
          <w:bCs/>
        </w:rPr>
        <w:t>á</w:t>
      </w:r>
      <w:r w:rsidRPr="0072451D">
        <w:rPr>
          <w:b/>
          <w:bCs/>
        </w:rPr>
        <w:t>ch, jejich</w:t>
      </w:r>
      <w:r w:rsidRPr="0072451D">
        <w:rPr>
          <w:rFonts w:ascii="Aptos" w:hAnsi="Aptos" w:cs="Aptos"/>
          <w:b/>
          <w:bCs/>
        </w:rPr>
        <w:t>ž</w:t>
      </w:r>
      <w:r w:rsidRPr="0072451D">
        <w:rPr>
          <w:b/>
          <w:bCs/>
        </w:rPr>
        <w:t xml:space="preserve"> napl</w:t>
      </w:r>
      <w:r w:rsidRPr="0072451D">
        <w:rPr>
          <w:rFonts w:ascii="Aptos" w:hAnsi="Aptos" w:cs="Aptos"/>
          <w:b/>
          <w:bCs/>
        </w:rPr>
        <w:t>ň</w:t>
      </w:r>
      <w:r w:rsidRPr="0072451D">
        <w:rPr>
          <w:b/>
          <w:bCs/>
        </w:rPr>
        <w:t>ov</w:t>
      </w:r>
      <w:r w:rsidRPr="0072451D">
        <w:rPr>
          <w:rFonts w:ascii="Aptos" w:hAnsi="Aptos" w:cs="Aptos"/>
          <w:b/>
          <w:bCs/>
        </w:rPr>
        <w:t>á</w:t>
      </w:r>
      <w:r w:rsidRPr="0072451D">
        <w:rPr>
          <w:b/>
          <w:bCs/>
        </w:rPr>
        <w:t>n</w:t>
      </w:r>
      <w:r w:rsidRPr="0072451D">
        <w:rPr>
          <w:rFonts w:ascii="Aptos" w:hAnsi="Aptos" w:cs="Aptos"/>
          <w:b/>
          <w:bCs/>
        </w:rPr>
        <w:t>í</w:t>
      </w:r>
      <w:r w:rsidRPr="0072451D">
        <w:rPr>
          <w:b/>
          <w:bCs/>
        </w:rPr>
        <w:t xml:space="preserve"> je zaji</w:t>
      </w:r>
      <w:r w:rsidRPr="0072451D">
        <w:rPr>
          <w:rFonts w:ascii="Aptos" w:hAnsi="Aptos" w:cs="Aptos"/>
          <w:b/>
          <w:bCs/>
        </w:rPr>
        <w:t>šť</w:t>
      </w:r>
      <w:r w:rsidRPr="0072451D">
        <w:rPr>
          <w:b/>
          <w:bCs/>
        </w:rPr>
        <w:t>ov</w:t>
      </w:r>
      <w:r w:rsidRPr="0072451D">
        <w:rPr>
          <w:rFonts w:ascii="Aptos" w:hAnsi="Aptos" w:cs="Aptos"/>
          <w:b/>
          <w:bCs/>
        </w:rPr>
        <w:t>á</w:t>
      </w:r>
      <w:r w:rsidRPr="0072451D">
        <w:rPr>
          <w:b/>
          <w:bCs/>
        </w:rPr>
        <w:t>no prost</w:t>
      </w:r>
      <w:r w:rsidRPr="0072451D">
        <w:rPr>
          <w:rFonts w:ascii="Aptos" w:hAnsi="Aptos" w:cs="Aptos"/>
          <w:b/>
          <w:bCs/>
        </w:rPr>
        <w:t>ř</w:t>
      </w:r>
      <w:r w:rsidRPr="0072451D">
        <w:rPr>
          <w:b/>
          <w:bCs/>
        </w:rPr>
        <w:t>ednictv</w:t>
      </w:r>
      <w:r w:rsidRPr="0072451D">
        <w:rPr>
          <w:rFonts w:ascii="Aptos" w:hAnsi="Aptos" w:cs="Aptos"/>
          <w:b/>
          <w:bCs/>
        </w:rPr>
        <w:t>í</w:t>
      </w:r>
      <w:r w:rsidRPr="0072451D">
        <w:rPr>
          <w:b/>
          <w:bCs/>
        </w:rPr>
        <w:t>m p</w:t>
      </w:r>
      <w:r w:rsidRPr="0072451D">
        <w:rPr>
          <w:rFonts w:ascii="Aptos" w:hAnsi="Aptos" w:cs="Aptos"/>
          <w:b/>
          <w:bCs/>
        </w:rPr>
        <w:t>ří</w:t>
      </w:r>
      <w:r w:rsidRPr="0072451D">
        <w:rPr>
          <w:b/>
          <w:bCs/>
        </w:rPr>
        <w:t>slu</w:t>
      </w:r>
      <w:r w:rsidRPr="0072451D">
        <w:rPr>
          <w:rFonts w:ascii="Aptos" w:hAnsi="Aptos" w:cs="Aptos"/>
          <w:b/>
          <w:bCs/>
        </w:rPr>
        <w:t>š</w:t>
      </w:r>
      <w:r w:rsidRPr="0072451D">
        <w:rPr>
          <w:b/>
          <w:bCs/>
        </w:rPr>
        <w:t>n</w:t>
      </w:r>
      <w:r w:rsidRPr="0072451D">
        <w:rPr>
          <w:rFonts w:ascii="Aptos" w:hAnsi="Aptos" w:cs="Aptos"/>
          <w:b/>
          <w:bCs/>
        </w:rPr>
        <w:t>ý</w:t>
      </w:r>
      <w:r w:rsidRPr="0072451D">
        <w:rPr>
          <w:b/>
          <w:bCs/>
        </w:rPr>
        <w:t>ch komis</w:t>
      </w:r>
      <w:r w:rsidRPr="0072451D">
        <w:rPr>
          <w:rFonts w:ascii="Aptos" w:hAnsi="Aptos" w:cs="Aptos"/>
          <w:b/>
          <w:bCs/>
        </w:rPr>
        <w:t>í</w:t>
      </w:r>
      <w:r w:rsidRPr="0072451D">
        <w:rPr>
          <w:b/>
          <w:bCs/>
        </w:rPr>
        <w:t xml:space="preserve"> pro hrani</w:t>
      </w:r>
      <w:r w:rsidRPr="0072451D">
        <w:rPr>
          <w:rFonts w:ascii="Aptos" w:hAnsi="Aptos" w:cs="Aptos"/>
          <w:b/>
          <w:bCs/>
        </w:rPr>
        <w:t>č</w:t>
      </w:r>
      <w:r w:rsidRPr="0072451D">
        <w:rPr>
          <w:b/>
          <w:bCs/>
        </w:rPr>
        <w:t>n</w:t>
      </w:r>
      <w:r w:rsidRPr="0072451D">
        <w:rPr>
          <w:rFonts w:ascii="Aptos" w:hAnsi="Aptos" w:cs="Aptos"/>
          <w:b/>
          <w:bCs/>
        </w:rPr>
        <w:t>í</w:t>
      </w:r>
      <w:r w:rsidRPr="0072451D">
        <w:rPr>
          <w:b/>
          <w:bCs/>
        </w:rPr>
        <w:t xml:space="preserve"> vody.</w:t>
      </w:r>
    </w:p>
    <w:p w14:paraId="1ED392DF" w14:textId="77777777" w:rsidR="004E62F4" w:rsidRDefault="004E62F4" w:rsidP="004E62F4"/>
    <w:p w14:paraId="74AADA28" w14:textId="254D3AC0" w:rsidR="004E62F4" w:rsidRPr="0072451D" w:rsidRDefault="004E62F4" w:rsidP="004E62F4">
      <w:r w:rsidRPr="0072451D">
        <w:t>Za hraniční vody jsou považovány jak vodní toky a plochy, jimiž státní hranice probíhá, tak i vodní útvary, které hranici křižují, případně povrchové a podzemní vody, pokud by opatření na nich mohla významně ovlivnit vodohospodářské poměry na území druhé smluvní strany.</w:t>
      </w:r>
    </w:p>
    <w:p w14:paraId="00631EB1" w14:textId="77777777" w:rsidR="004E62F4" w:rsidRDefault="004E62F4" w:rsidP="004E62F4"/>
    <w:p w14:paraId="598028F1" w14:textId="7E4A3869" w:rsidR="004E62F4" w:rsidRDefault="004E62F4" w:rsidP="004E62F4">
      <w:r w:rsidRPr="0072451D">
        <w:t>V rámci činnosti komisí pro hraniční vody jsou řešeny zejména otázky úpravy a údržby hraničních vodních toků, výstavby a provozu vodních děl, zásobování vodou, ochrany vod před znečištěním, hydrologického monitoringu, povodňové předpovědní a varovné služby, vodoprávních řízení a ochrany vodních a pobřežních biotopů.</w:t>
      </w:r>
      <w:r>
        <w:t xml:space="preserve"> </w:t>
      </w:r>
      <w:r w:rsidRPr="0072451D">
        <w:t>Výsledky jednání jednotlivých komisí jsou zaznamenávány v protokolech, které jsou předkládány dotčeným resortům k vyjádření a následně schvalovány ministrem životního prostředí.</w:t>
      </w:r>
    </w:p>
    <w:p w14:paraId="3D905839" w14:textId="77777777" w:rsidR="00375BFA" w:rsidRDefault="00375BFA" w:rsidP="004E62F4"/>
    <w:p w14:paraId="0842D805" w14:textId="16F0B9FA" w:rsidR="00375BFA" w:rsidRPr="0072451D" w:rsidRDefault="00375BFA" w:rsidP="00375BFA">
      <w:pPr>
        <w:rPr>
          <w:b/>
          <w:bCs/>
        </w:rPr>
      </w:pPr>
      <w:r>
        <w:rPr>
          <w:b/>
          <w:bCs/>
        </w:rPr>
        <w:t>1</w:t>
      </w:r>
      <w:r w:rsidR="00580126">
        <w:rPr>
          <w:b/>
          <w:bCs/>
        </w:rPr>
        <w:t>4</w:t>
      </w:r>
      <w:r>
        <w:rPr>
          <w:b/>
          <w:bCs/>
        </w:rPr>
        <w:t xml:space="preserve">.3.1 </w:t>
      </w:r>
      <w:r w:rsidRPr="00DE0801">
        <w:rPr>
          <w:b/>
          <w:bCs/>
        </w:rPr>
        <w:t>Spolupráce České republiky na hraničních vodách v roce 2025</w:t>
      </w:r>
    </w:p>
    <w:p w14:paraId="2AEB029B" w14:textId="77777777" w:rsidR="004B1116" w:rsidRDefault="004B1116" w:rsidP="00375BFA">
      <w:pPr>
        <w:rPr>
          <w:rFonts w:cs="Arial"/>
          <w:b/>
          <w:bCs/>
          <w:i/>
          <w:iCs/>
        </w:rPr>
      </w:pPr>
    </w:p>
    <w:p w14:paraId="0765F02B" w14:textId="2F38A3A7" w:rsidR="00375BFA" w:rsidRDefault="00375BFA" w:rsidP="00375BFA">
      <w:pPr>
        <w:rPr>
          <w:rFonts w:cs="Arial"/>
          <w:b/>
          <w:bCs/>
          <w:i/>
          <w:iCs/>
        </w:rPr>
      </w:pPr>
      <w:r>
        <w:rPr>
          <w:rFonts w:cs="Arial"/>
          <w:b/>
          <w:bCs/>
          <w:i/>
          <w:iCs/>
        </w:rPr>
        <w:t>Spolková republika Německo</w:t>
      </w:r>
    </w:p>
    <w:p w14:paraId="68AD15F4" w14:textId="77777777" w:rsidR="004B1116" w:rsidRDefault="004B1116" w:rsidP="00375BFA">
      <w:pPr>
        <w:rPr>
          <w:rFonts w:cs="Arial"/>
        </w:rPr>
      </w:pPr>
    </w:p>
    <w:p w14:paraId="6CBB4582" w14:textId="371CD891" w:rsidR="00375BFA" w:rsidRPr="00DE0801" w:rsidRDefault="00375BFA" w:rsidP="00375BFA">
      <w:pPr>
        <w:rPr>
          <w:rFonts w:cs="Arial"/>
        </w:rPr>
      </w:pPr>
      <w:r w:rsidRPr="00DE0801">
        <w:rPr>
          <w:rFonts w:cs="Arial"/>
        </w:rPr>
        <w:t>Spolupráce mezi Českou republikou a Spolkovou republikou Německo probíhala v roce 2025 na základě smlouvy z roku 1995 prostřednictvím Česko</w:t>
      </w:r>
      <w:r w:rsidRPr="00DE0801">
        <w:rPr>
          <w:rFonts w:cs="Arial"/>
        </w:rPr>
        <w:noBreakHyphen/>
        <w:t>německé komise pro hraniční vody, včetně Stálého výboru Bavorsko a Stálého výboru Sasko. V březnu proběhlo 27. zasedání Stálého výboru Bavorsko, v červnu následovalo 27. zasedání Stálého výboru Sasko a v říjnu se uskutečnilo 28.</w:t>
      </w:r>
      <w:r>
        <w:rPr>
          <w:rFonts w:cs="Arial"/>
        </w:rPr>
        <w:t> </w:t>
      </w:r>
      <w:r w:rsidRPr="00DE0801">
        <w:rPr>
          <w:rFonts w:cs="Arial"/>
        </w:rPr>
        <w:t>zasedání Komise.</w:t>
      </w:r>
    </w:p>
    <w:p w14:paraId="67668CA7" w14:textId="77777777" w:rsidR="00375BFA" w:rsidRPr="00DE0801" w:rsidRDefault="00375BFA" w:rsidP="00375BFA">
      <w:pPr>
        <w:rPr>
          <w:rFonts w:cs="Arial"/>
        </w:rPr>
      </w:pPr>
      <w:r w:rsidRPr="00DE0801">
        <w:rPr>
          <w:rFonts w:cs="Arial"/>
        </w:rPr>
        <w:t>Hlavním dlouhodobým tématem jednání zůstává problematika zvýšených koncentrací rtuti v</w:t>
      </w:r>
      <w:r>
        <w:rPr>
          <w:rFonts w:cs="Arial"/>
        </w:rPr>
        <w:t> </w:t>
      </w:r>
      <w:r w:rsidRPr="00DE0801">
        <w:rPr>
          <w:rFonts w:cs="Arial"/>
        </w:rPr>
        <w:t xml:space="preserve">plaveninách a sedimentech hraničního toku </w:t>
      </w:r>
      <w:proofErr w:type="spellStart"/>
      <w:r w:rsidRPr="00DE0801">
        <w:rPr>
          <w:rFonts w:cs="Arial"/>
        </w:rPr>
        <w:t>Reslava</w:t>
      </w:r>
      <w:proofErr w:type="spellEnd"/>
      <w:r w:rsidRPr="00DE0801">
        <w:rPr>
          <w:rFonts w:cs="Arial"/>
        </w:rPr>
        <w:t xml:space="preserve"> (</w:t>
      </w:r>
      <w:proofErr w:type="spellStart"/>
      <w:r w:rsidRPr="00DE0801">
        <w:rPr>
          <w:rFonts w:cs="Arial"/>
        </w:rPr>
        <w:t>Röslau</w:t>
      </w:r>
      <w:proofErr w:type="spellEnd"/>
      <w:r w:rsidRPr="00DE0801">
        <w:rPr>
          <w:rFonts w:cs="Arial"/>
        </w:rPr>
        <w:t>), které se ukládají ve vodní nádrži Skalka. V této souvislosti pokračovalo ladění provozního režimu automatické vzorkovací stanice v</w:t>
      </w:r>
      <w:r>
        <w:rPr>
          <w:rFonts w:cs="Arial"/>
        </w:rPr>
        <w:t> </w:t>
      </w:r>
      <w:r w:rsidRPr="00DE0801">
        <w:rPr>
          <w:rFonts w:cs="Arial"/>
        </w:rPr>
        <w:t xml:space="preserve">obci </w:t>
      </w:r>
      <w:proofErr w:type="spellStart"/>
      <w:r w:rsidRPr="00DE0801">
        <w:rPr>
          <w:rFonts w:cs="Arial"/>
        </w:rPr>
        <w:t>Schirnding</w:t>
      </w:r>
      <w:proofErr w:type="spellEnd"/>
      <w:r w:rsidRPr="00DE0801">
        <w:rPr>
          <w:rFonts w:cs="Arial"/>
        </w:rPr>
        <w:t xml:space="preserve"> a bavorská strana se zavázala k rozšíření monitoringu plavenin. V srpnu 2025 byla bavorskou vodohospodářskou správou provedena sanace přibližně 35 m dlouh</w:t>
      </w:r>
      <w:r w:rsidRPr="00DE0801">
        <w:rPr>
          <w:rFonts w:ascii="Aptos" w:hAnsi="Aptos" w:cs="Aptos"/>
        </w:rPr>
        <w:t>é</w:t>
      </w:r>
      <w:r w:rsidRPr="00DE0801">
        <w:rPr>
          <w:rFonts w:cs="Arial"/>
        </w:rPr>
        <w:t xml:space="preserve">ho </w:t>
      </w:r>
      <w:r w:rsidRPr="00DE0801">
        <w:rPr>
          <w:rFonts w:ascii="Aptos" w:hAnsi="Aptos" w:cs="Aptos"/>
        </w:rPr>
        <w:t>ú</w:t>
      </w:r>
      <w:r w:rsidRPr="00DE0801">
        <w:rPr>
          <w:rFonts w:cs="Arial"/>
        </w:rPr>
        <w:t xml:space="preserve">seku toku </w:t>
      </w:r>
      <w:proofErr w:type="spellStart"/>
      <w:r w:rsidRPr="00DE0801">
        <w:rPr>
          <w:rFonts w:cs="Arial"/>
        </w:rPr>
        <w:t>K</w:t>
      </w:r>
      <w:r w:rsidRPr="00DE0801">
        <w:rPr>
          <w:rFonts w:ascii="Aptos" w:hAnsi="Aptos" w:cs="Aptos"/>
        </w:rPr>
        <w:t>ö</w:t>
      </w:r>
      <w:r w:rsidRPr="00DE0801">
        <w:rPr>
          <w:rFonts w:cs="Arial"/>
        </w:rPr>
        <w:t>ssein</w:t>
      </w:r>
      <w:proofErr w:type="spellEnd"/>
      <w:r w:rsidRPr="00DE0801">
        <w:rPr>
          <w:rFonts w:cs="Arial"/>
        </w:rPr>
        <w:t xml:space="preserve"> u Brand/</w:t>
      </w:r>
      <w:proofErr w:type="spellStart"/>
      <w:r w:rsidRPr="00DE0801">
        <w:rPr>
          <w:rFonts w:cs="Arial"/>
        </w:rPr>
        <w:t>Marktredwitz</w:t>
      </w:r>
      <w:proofErr w:type="spellEnd"/>
      <w:r w:rsidRPr="00DE0801">
        <w:rPr>
          <w:rFonts w:cs="Arial"/>
        </w:rPr>
        <w:t>. Sou</w:t>
      </w:r>
      <w:r w:rsidRPr="00DE0801">
        <w:rPr>
          <w:rFonts w:ascii="Aptos" w:hAnsi="Aptos" w:cs="Aptos"/>
        </w:rPr>
        <w:t>č</w:t>
      </w:r>
      <w:r w:rsidRPr="00DE0801">
        <w:rPr>
          <w:rFonts w:cs="Arial"/>
        </w:rPr>
        <w:t>asn</w:t>
      </w:r>
      <w:r w:rsidRPr="00DE0801">
        <w:rPr>
          <w:rFonts w:ascii="Aptos" w:hAnsi="Aptos" w:cs="Aptos"/>
        </w:rPr>
        <w:t>ě</w:t>
      </w:r>
      <w:r w:rsidRPr="00DE0801">
        <w:rPr>
          <w:rFonts w:cs="Arial"/>
        </w:rPr>
        <w:t xml:space="preserve"> byly zah</w:t>
      </w:r>
      <w:r w:rsidRPr="00DE0801">
        <w:rPr>
          <w:rFonts w:ascii="Aptos" w:hAnsi="Aptos" w:cs="Aptos"/>
        </w:rPr>
        <w:t>á</w:t>
      </w:r>
      <w:r w:rsidRPr="00DE0801">
        <w:rPr>
          <w:rFonts w:cs="Arial"/>
        </w:rPr>
        <w:t>jeny práce na vytvoření hydraulického modelu vodních toků a záplavových území s využitím zpřesněného laserového skenování a nových geodetických dat.</w:t>
      </w:r>
    </w:p>
    <w:p w14:paraId="7914F2BC" w14:textId="77777777" w:rsidR="004B1116" w:rsidRDefault="004B1116" w:rsidP="00375BFA">
      <w:pPr>
        <w:rPr>
          <w:rFonts w:cs="Arial"/>
        </w:rPr>
      </w:pPr>
    </w:p>
    <w:p w14:paraId="642EC965" w14:textId="53302554" w:rsidR="00375BFA" w:rsidRPr="00DE0801" w:rsidRDefault="00375BFA" w:rsidP="00375BFA">
      <w:pPr>
        <w:rPr>
          <w:rFonts w:cs="Arial"/>
        </w:rPr>
      </w:pPr>
      <w:r w:rsidRPr="00DE0801">
        <w:rPr>
          <w:rFonts w:cs="Arial"/>
        </w:rPr>
        <w:t xml:space="preserve">V roce 2025 rovněž pokračovala realizace projektu </w:t>
      </w:r>
      <w:r w:rsidRPr="00DE0801">
        <w:rPr>
          <w:rFonts w:cs="Arial"/>
          <w:b/>
          <w:bCs/>
        </w:rPr>
        <w:t>AKWA – Dopady změny klimatu na přeshraniční vodní útvary na česko</w:t>
      </w:r>
      <w:r w:rsidRPr="00DE0801">
        <w:rPr>
          <w:rFonts w:cs="Arial"/>
          <w:b/>
          <w:bCs/>
        </w:rPr>
        <w:noBreakHyphen/>
        <w:t>saské hranici</w:t>
      </w:r>
      <w:r w:rsidRPr="00DE0801">
        <w:rPr>
          <w:rFonts w:cs="Arial"/>
        </w:rPr>
        <w:t xml:space="preserve"> (01/2024–12/2026), jehož cílem je zlepšení stavu vybraných vodních útvarů a zvýšení jejich odolnosti vůči změně klimatu. Projekt přispívá k</w:t>
      </w:r>
      <w:r>
        <w:rPr>
          <w:rFonts w:cs="Arial"/>
        </w:rPr>
        <w:t> </w:t>
      </w:r>
      <w:r w:rsidRPr="00DE0801">
        <w:rPr>
          <w:rFonts w:cs="Arial"/>
        </w:rPr>
        <w:t>lepšímu propojení příslušných orgánů na obou stranách hranice, harmonizaci hodnocení prostřednictvím společného monitoringu a návrhu opatření ke zlepšení jakosti vod. Lead partnerem projektu je Výzkumný ústav vodohospodářský T. G. Masaryka, v. v. i.</w:t>
      </w:r>
    </w:p>
    <w:p w14:paraId="2B4EA31C" w14:textId="77777777" w:rsidR="004B1116" w:rsidRDefault="004B1116" w:rsidP="00375BFA">
      <w:pPr>
        <w:rPr>
          <w:rFonts w:cs="Arial"/>
        </w:rPr>
      </w:pPr>
    </w:p>
    <w:p w14:paraId="71F102A7" w14:textId="33B113BA" w:rsidR="00375BFA" w:rsidRPr="00DE0801" w:rsidRDefault="00375BFA" w:rsidP="00375BFA">
      <w:pPr>
        <w:rPr>
          <w:rFonts w:cs="Arial"/>
        </w:rPr>
      </w:pPr>
      <w:r w:rsidRPr="00DE0801">
        <w:rPr>
          <w:rFonts w:cs="Arial"/>
        </w:rPr>
        <w:t>Mezi další projednávaná témata patřily konkrétní záměry na hraničních vodách, zejména úpravy a</w:t>
      </w:r>
      <w:r>
        <w:rPr>
          <w:rFonts w:cs="Arial"/>
        </w:rPr>
        <w:t> </w:t>
      </w:r>
      <w:r w:rsidRPr="00DE0801">
        <w:rPr>
          <w:rFonts w:cs="Arial"/>
        </w:rPr>
        <w:t xml:space="preserve">opravy vodních toků, vypouštění odpadních vod, odběry povrchových a podzemních vod, malé vodní elektrárny, společné projekty na zlepšení jakosti a množství povrchových vod, ochrana perlorodky říční a </w:t>
      </w:r>
      <w:proofErr w:type="spellStart"/>
      <w:r w:rsidRPr="00DE0801">
        <w:rPr>
          <w:rFonts w:cs="Arial"/>
        </w:rPr>
        <w:t>velevruba</w:t>
      </w:r>
      <w:proofErr w:type="spellEnd"/>
      <w:r w:rsidRPr="00DE0801">
        <w:rPr>
          <w:rFonts w:cs="Arial"/>
        </w:rPr>
        <w:t xml:space="preserve"> tupého a fungování hlásných systémů při mimořádném znečištění. Obě strany si rovněž vyměňovaly informace o implementaci Povodňové směrnice a o postupu při zavádění Rámcové směrnice o vodách v přeshraničních útvarech.</w:t>
      </w:r>
    </w:p>
    <w:p w14:paraId="203BE862" w14:textId="77777777" w:rsidR="004B1116" w:rsidRDefault="004B1116" w:rsidP="00375BFA">
      <w:pPr>
        <w:rPr>
          <w:rFonts w:cs="Arial"/>
          <w:b/>
          <w:bCs/>
          <w:i/>
          <w:iCs/>
        </w:rPr>
      </w:pPr>
    </w:p>
    <w:p w14:paraId="45FFAE23" w14:textId="02D4292A" w:rsidR="00375BFA" w:rsidRDefault="00375BFA" w:rsidP="00375BFA">
      <w:pPr>
        <w:rPr>
          <w:rFonts w:cs="Arial"/>
          <w:b/>
          <w:bCs/>
          <w:i/>
          <w:iCs/>
        </w:rPr>
      </w:pPr>
      <w:r>
        <w:rPr>
          <w:rFonts w:cs="Arial"/>
          <w:b/>
          <w:bCs/>
          <w:i/>
          <w:iCs/>
        </w:rPr>
        <w:t>Rakouská republika</w:t>
      </w:r>
    </w:p>
    <w:p w14:paraId="264DE3B6" w14:textId="77777777" w:rsidR="004B1116" w:rsidRDefault="004B1116" w:rsidP="00375BFA">
      <w:pPr>
        <w:rPr>
          <w:rFonts w:cs="Arial"/>
        </w:rPr>
      </w:pPr>
    </w:p>
    <w:p w14:paraId="7CC85D16" w14:textId="354EACF4" w:rsidR="00375BFA" w:rsidRPr="007731E0" w:rsidRDefault="00375BFA" w:rsidP="00375BFA">
      <w:pPr>
        <w:rPr>
          <w:rFonts w:cs="Arial"/>
        </w:rPr>
      </w:pPr>
      <w:r w:rsidRPr="007731E0">
        <w:rPr>
          <w:rFonts w:cs="Arial"/>
        </w:rPr>
        <w:t xml:space="preserve">Spolupráce s Rakouskou republikou </w:t>
      </w:r>
      <w:r>
        <w:rPr>
          <w:rFonts w:cs="Arial"/>
        </w:rPr>
        <w:t>probíhá</w:t>
      </w:r>
      <w:r w:rsidRPr="007731E0">
        <w:rPr>
          <w:rFonts w:cs="Arial"/>
        </w:rPr>
        <w:t xml:space="preserve"> na základě smlouvy z roku 1967 prostřednictvím Česko</w:t>
      </w:r>
      <w:r w:rsidRPr="007731E0">
        <w:rPr>
          <w:rFonts w:cs="Arial"/>
        </w:rPr>
        <w:noBreakHyphen/>
        <w:t>rakouské komise pro hraniční vody. Všechna jednání proběhla prezenční formou a</w:t>
      </w:r>
      <w:r>
        <w:rPr>
          <w:rFonts w:cs="Arial"/>
        </w:rPr>
        <w:t> </w:t>
      </w:r>
      <w:r w:rsidRPr="007731E0">
        <w:rPr>
          <w:rFonts w:cs="Arial"/>
        </w:rPr>
        <w:t xml:space="preserve">zaměřovala se zejména na údržbu hraničních vodních toků a sledování jejich kvality. Opakovaně byla projednávána problematika ovlivňování kvality vody v řece Dyji činností chemického závodu v </w:t>
      </w:r>
      <w:proofErr w:type="spellStart"/>
      <w:r w:rsidRPr="007731E0">
        <w:rPr>
          <w:rFonts w:cs="Arial"/>
        </w:rPr>
        <w:t>Pernhofenu</w:t>
      </w:r>
      <w:proofErr w:type="spellEnd"/>
      <w:r w:rsidRPr="007731E0">
        <w:rPr>
          <w:rFonts w:cs="Arial"/>
        </w:rPr>
        <w:t>, který v současnosti zpracovává studii hodnotící dopady provozu závodu na vodní prostředí za období let 2018–2023. Diskutovány byly rovněž jednotlivé případy znečištění v povodí Dyje, včetně úniku kejdy z českého zemědělského objektu.</w:t>
      </w:r>
    </w:p>
    <w:p w14:paraId="58BF047E" w14:textId="77777777" w:rsidR="004B1116" w:rsidRDefault="004B1116" w:rsidP="00375BFA">
      <w:pPr>
        <w:rPr>
          <w:rFonts w:cs="Arial"/>
          <w:b/>
          <w:bCs/>
          <w:i/>
          <w:iCs/>
        </w:rPr>
      </w:pPr>
    </w:p>
    <w:p w14:paraId="2DA8162C" w14:textId="15257325" w:rsidR="00375BFA" w:rsidRDefault="00375BFA" w:rsidP="00375BFA">
      <w:pPr>
        <w:rPr>
          <w:rFonts w:cs="Arial"/>
          <w:b/>
          <w:bCs/>
          <w:i/>
          <w:iCs/>
        </w:rPr>
      </w:pPr>
      <w:r>
        <w:rPr>
          <w:rFonts w:cs="Arial"/>
          <w:b/>
          <w:bCs/>
          <w:i/>
          <w:iCs/>
        </w:rPr>
        <w:t>Polská republika</w:t>
      </w:r>
    </w:p>
    <w:p w14:paraId="5D49D576" w14:textId="77777777" w:rsidR="004B1116" w:rsidRDefault="004B1116" w:rsidP="00375BFA"/>
    <w:p w14:paraId="24674F28" w14:textId="331C3C80" w:rsidR="00375BFA" w:rsidRDefault="00375BFA" w:rsidP="00375BFA">
      <w:r w:rsidRPr="005F181A">
        <w:t>Spolupráce s Polskou republikou probíhala na základě dohody z roku 2015 prostřednictvím Česko</w:t>
      </w:r>
      <w:r w:rsidRPr="005F181A">
        <w:noBreakHyphen/>
        <w:t xml:space="preserve">polské komise pro hraniční vody a jejích </w:t>
      </w:r>
      <w:r>
        <w:t xml:space="preserve">pěti stálých </w:t>
      </w:r>
      <w:r w:rsidRPr="005F181A">
        <w:t>pracovních skupin</w:t>
      </w:r>
      <w:r>
        <w:t>;</w:t>
      </w:r>
    </w:p>
    <w:tbl>
      <w:tblPr>
        <w:tblStyle w:val="Prosttabulka4"/>
        <w:tblW w:w="0" w:type="auto"/>
        <w:tblLook w:val="04A0" w:firstRow="1" w:lastRow="0" w:firstColumn="1" w:lastColumn="0" w:noHBand="0" w:noVBand="1"/>
      </w:tblPr>
      <w:tblGrid>
        <w:gridCol w:w="1696"/>
        <w:gridCol w:w="7366"/>
      </w:tblGrid>
      <w:tr w:rsidR="00375BFA" w14:paraId="4C7FAA51" w14:textId="77777777" w:rsidTr="007242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A547BB6" w14:textId="77777777" w:rsidR="00375BFA" w:rsidRPr="00FD2A93" w:rsidRDefault="00375BFA" w:rsidP="0072423A">
            <w:pPr>
              <w:jc w:val="center"/>
            </w:pPr>
            <w:r w:rsidRPr="00FD2A93">
              <w:t>„P“</w:t>
            </w:r>
          </w:p>
        </w:tc>
        <w:tc>
          <w:tcPr>
            <w:tcW w:w="7366" w:type="dxa"/>
          </w:tcPr>
          <w:p w14:paraId="061AC837" w14:textId="77777777" w:rsidR="00375BFA" w:rsidRPr="00FD2A93" w:rsidRDefault="00375BFA" w:rsidP="0072423A">
            <w:pPr>
              <w:contextualSpacing/>
              <w:jc w:val="left"/>
              <w:cnfStyle w:val="100000000000" w:firstRow="1" w:lastRow="0" w:firstColumn="0" w:lastColumn="0" w:oddVBand="0" w:evenVBand="0" w:oddHBand="0" w:evenHBand="0" w:firstRowFirstColumn="0" w:firstRowLastColumn="0" w:lastRowFirstColumn="0" w:lastRowLastColumn="0"/>
              <w:rPr>
                <w:b w:val="0"/>
                <w:bCs w:val="0"/>
              </w:rPr>
            </w:pPr>
            <w:r w:rsidRPr="00FD2A93">
              <w:rPr>
                <w:b w:val="0"/>
                <w:bCs w:val="0"/>
              </w:rPr>
              <w:t>investiční záměry a koncepce</w:t>
            </w:r>
          </w:p>
        </w:tc>
      </w:tr>
      <w:tr w:rsidR="00375BFA" w14:paraId="62102082" w14:textId="77777777" w:rsidTr="007242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58B5B214" w14:textId="77777777" w:rsidR="00375BFA" w:rsidRPr="00FD2A93" w:rsidRDefault="00375BFA" w:rsidP="0072423A">
            <w:pPr>
              <w:jc w:val="center"/>
            </w:pPr>
            <w:r w:rsidRPr="00FD2A93">
              <w:t>„</w:t>
            </w:r>
            <w:proofErr w:type="spellStart"/>
            <w:r w:rsidRPr="00FD2A93">
              <w:t>HyP</w:t>
            </w:r>
            <w:proofErr w:type="spellEnd"/>
            <w:r w:rsidRPr="00FD2A93">
              <w:t>“</w:t>
            </w:r>
          </w:p>
        </w:tc>
        <w:tc>
          <w:tcPr>
            <w:tcW w:w="7366" w:type="dxa"/>
            <w:shd w:val="clear" w:color="auto" w:fill="auto"/>
          </w:tcPr>
          <w:p w14:paraId="4D7D7C23" w14:textId="77777777" w:rsidR="00375BFA" w:rsidRPr="00FD2A93" w:rsidRDefault="00375BFA" w:rsidP="0072423A">
            <w:pPr>
              <w:contextualSpacing/>
              <w:jc w:val="left"/>
              <w:cnfStyle w:val="000000100000" w:firstRow="0" w:lastRow="0" w:firstColumn="0" w:lastColumn="0" w:oddVBand="0" w:evenVBand="0" w:oddHBand="1" w:evenHBand="0" w:firstRowFirstColumn="0" w:firstRowLastColumn="0" w:lastRowFirstColumn="0" w:lastRowLastColumn="0"/>
            </w:pPr>
            <w:r w:rsidRPr="00FD2A93">
              <w:t>hydrologie, hydrogeologie a protipovodňová ochrana</w:t>
            </w:r>
          </w:p>
        </w:tc>
      </w:tr>
      <w:tr w:rsidR="00375BFA" w14:paraId="73FDF76C" w14:textId="77777777" w:rsidTr="0072423A">
        <w:tc>
          <w:tcPr>
            <w:cnfStyle w:val="001000000000" w:firstRow="0" w:lastRow="0" w:firstColumn="1" w:lastColumn="0" w:oddVBand="0" w:evenVBand="0" w:oddHBand="0" w:evenHBand="0" w:firstRowFirstColumn="0" w:firstRowLastColumn="0" w:lastRowFirstColumn="0" w:lastRowLastColumn="0"/>
            <w:tcW w:w="1696" w:type="dxa"/>
          </w:tcPr>
          <w:p w14:paraId="1FBBF43E" w14:textId="77777777" w:rsidR="00375BFA" w:rsidRPr="00FD2A93" w:rsidRDefault="00375BFA" w:rsidP="0072423A">
            <w:pPr>
              <w:jc w:val="center"/>
            </w:pPr>
            <w:r w:rsidRPr="00FD2A93">
              <w:t>„R“</w:t>
            </w:r>
          </w:p>
        </w:tc>
        <w:tc>
          <w:tcPr>
            <w:tcW w:w="7366" w:type="dxa"/>
          </w:tcPr>
          <w:p w14:paraId="0895C046" w14:textId="77777777" w:rsidR="00375BFA" w:rsidRPr="00FD2A93" w:rsidRDefault="00375BFA" w:rsidP="0072423A">
            <w:pPr>
              <w:contextualSpacing/>
              <w:jc w:val="left"/>
              <w:cnfStyle w:val="000000000000" w:firstRow="0" w:lastRow="0" w:firstColumn="0" w:lastColumn="0" w:oddVBand="0" w:evenVBand="0" w:oddHBand="0" w:evenHBand="0" w:firstRowFirstColumn="0" w:firstRowLastColumn="0" w:lastRowFirstColumn="0" w:lastRowLastColumn="0"/>
            </w:pPr>
            <w:r w:rsidRPr="00FD2A93">
              <w:t>úprava vodních toků, zásobování vodou a meliorace území ležících při česko-polských státních hranicích</w:t>
            </w:r>
          </w:p>
        </w:tc>
      </w:tr>
      <w:tr w:rsidR="00375BFA" w14:paraId="0C8251B9" w14:textId="77777777" w:rsidTr="007242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7109DAB3" w14:textId="77777777" w:rsidR="00375BFA" w:rsidRPr="00FD2A93" w:rsidRDefault="00375BFA" w:rsidP="0072423A">
            <w:pPr>
              <w:jc w:val="center"/>
            </w:pPr>
            <w:r w:rsidRPr="00FD2A93">
              <w:t>„OPZ“</w:t>
            </w:r>
          </w:p>
        </w:tc>
        <w:tc>
          <w:tcPr>
            <w:tcW w:w="7366" w:type="dxa"/>
            <w:shd w:val="clear" w:color="auto" w:fill="auto"/>
          </w:tcPr>
          <w:p w14:paraId="2217F798" w14:textId="77777777" w:rsidR="00375BFA" w:rsidRPr="00FD2A93" w:rsidRDefault="00375BFA" w:rsidP="0072423A">
            <w:pPr>
              <w:cnfStyle w:val="000000100000" w:firstRow="0" w:lastRow="0" w:firstColumn="0" w:lastColumn="0" w:oddVBand="0" w:evenVBand="0" w:oddHBand="1" w:evenHBand="0" w:firstRowFirstColumn="0" w:firstRowLastColumn="0" w:lastRowFirstColumn="0" w:lastRowLastColumn="0"/>
            </w:pPr>
            <w:r w:rsidRPr="00FD2A93">
              <w:t>ochrana hraničních vod před znečištěním</w:t>
            </w:r>
          </w:p>
        </w:tc>
      </w:tr>
      <w:tr w:rsidR="00375BFA" w14:paraId="39DE83FD" w14:textId="77777777" w:rsidTr="0072423A">
        <w:tc>
          <w:tcPr>
            <w:cnfStyle w:val="001000000000" w:firstRow="0" w:lastRow="0" w:firstColumn="1" w:lastColumn="0" w:oddVBand="0" w:evenVBand="0" w:oddHBand="0" w:evenHBand="0" w:firstRowFirstColumn="0" w:firstRowLastColumn="0" w:lastRowFirstColumn="0" w:lastRowLastColumn="0"/>
            <w:tcW w:w="1696" w:type="dxa"/>
          </w:tcPr>
          <w:p w14:paraId="7E85CEF7" w14:textId="77777777" w:rsidR="00375BFA" w:rsidRPr="00FD2A93" w:rsidRDefault="00375BFA" w:rsidP="0072423A">
            <w:pPr>
              <w:jc w:val="center"/>
            </w:pPr>
            <w:r w:rsidRPr="00FD2A93">
              <w:t>„WFD“</w:t>
            </w:r>
          </w:p>
        </w:tc>
        <w:tc>
          <w:tcPr>
            <w:tcW w:w="7366" w:type="dxa"/>
          </w:tcPr>
          <w:p w14:paraId="6E61D2BD" w14:textId="77777777" w:rsidR="00375BFA" w:rsidRPr="00FD2A93" w:rsidRDefault="00375BFA" w:rsidP="0072423A">
            <w:pPr>
              <w:cnfStyle w:val="000000000000" w:firstRow="0" w:lastRow="0" w:firstColumn="0" w:lastColumn="0" w:oddVBand="0" w:evenVBand="0" w:oddHBand="0" w:evenHBand="0" w:firstRowFirstColumn="0" w:firstRowLastColumn="0" w:lastRowFirstColumn="0" w:lastRowLastColumn="0"/>
            </w:pPr>
            <w:r w:rsidRPr="00FD2A93">
              <w:t>implementace Rámcové směrnice o vodách</w:t>
            </w:r>
          </w:p>
        </w:tc>
      </w:tr>
    </w:tbl>
    <w:p w14:paraId="287A46F8" w14:textId="77777777" w:rsidR="00375BFA" w:rsidRPr="005F181A" w:rsidRDefault="00375BFA" w:rsidP="00375BFA">
      <w:pPr>
        <w:spacing w:before="240"/>
      </w:pPr>
      <w:r w:rsidRPr="005F181A">
        <w:t>V listopadu 2025 se v Praze uskutečnilo 9. pravidelné zasedání Komise, na kterém byl kladen důraz na opatření přispívající k budování vodohospodářské odolnosti hraničních vod v souvislosti se změnou klimatu, zejména ve vztahu k povodňovým situacím a obdobím sucha.</w:t>
      </w:r>
    </w:p>
    <w:p w14:paraId="76016B90" w14:textId="77777777" w:rsidR="00375BFA" w:rsidRPr="0072451D" w:rsidRDefault="00375BFA" w:rsidP="00375BFA">
      <w:r w:rsidRPr="005F181A">
        <w:t>V rámci jednání byly projednány rovněž výsledky činnosti jednotlivých pracovních skupin, včetně plánování v oblasti vodního hospodářství, protipovodňové ochrany, výměny hydrometeorologických dat, hodnocení jakosti hraničních vod sledovaných v roce 2024 a</w:t>
      </w:r>
      <w:r>
        <w:t> </w:t>
      </w:r>
      <w:r w:rsidRPr="005F181A">
        <w:t>spolupráce se Stálou česko</w:t>
      </w:r>
      <w:r w:rsidRPr="005F181A">
        <w:noBreakHyphen/>
        <w:t xml:space="preserve">polskou hraniční komisí. Zvláštní pozornost byla nadále věnována problematice vlivu hnědouhelného dolu </w:t>
      </w:r>
      <w:proofErr w:type="spellStart"/>
      <w:r w:rsidRPr="005F181A">
        <w:t>Turów</w:t>
      </w:r>
      <w:proofErr w:type="spellEnd"/>
      <w:r w:rsidRPr="005F181A">
        <w:t xml:space="preserve"> a otázkám hydrogeologie v oblasti </w:t>
      </w:r>
      <w:proofErr w:type="spellStart"/>
      <w:r w:rsidRPr="005F181A">
        <w:t>vnitrosudetské</w:t>
      </w:r>
      <w:proofErr w:type="spellEnd"/>
      <w:r w:rsidRPr="005F181A">
        <w:t xml:space="preserve"> pánve.</w:t>
      </w:r>
    </w:p>
    <w:p w14:paraId="2C99B48B" w14:textId="77777777" w:rsidR="004B1116" w:rsidRDefault="004B1116" w:rsidP="00375BFA">
      <w:pPr>
        <w:rPr>
          <w:rFonts w:cs="Arial"/>
          <w:b/>
          <w:bCs/>
          <w:i/>
          <w:iCs/>
        </w:rPr>
      </w:pPr>
    </w:p>
    <w:p w14:paraId="2F885A7D" w14:textId="748EFD56" w:rsidR="00375BFA" w:rsidRDefault="00375BFA" w:rsidP="00375BFA">
      <w:pPr>
        <w:rPr>
          <w:rFonts w:cs="Arial"/>
          <w:b/>
          <w:bCs/>
          <w:i/>
          <w:iCs/>
        </w:rPr>
      </w:pPr>
      <w:r>
        <w:rPr>
          <w:rFonts w:cs="Arial"/>
          <w:b/>
          <w:bCs/>
          <w:i/>
          <w:iCs/>
        </w:rPr>
        <w:t>Slovenská republika</w:t>
      </w:r>
    </w:p>
    <w:p w14:paraId="3FD64943" w14:textId="77777777" w:rsidR="004B1116" w:rsidRDefault="004B1116" w:rsidP="00375BFA"/>
    <w:p w14:paraId="1D044BE6" w14:textId="1FB00C58" w:rsidR="00375BFA" w:rsidRDefault="00375BFA" w:rsidP="00375BFA">
      <w:r w:rsidRPr="00FD2A93">
        <w:t xml:space="preserve">Spolupráce se Slovenskou republikou </w:t>
      </w:r>
      <w:r>
        <w:t>probíhá</w:t>
      </w:r>
      <w:r w:rsidRPr="00FD2A93">
        <w:t xml:space="preserve"> na základě dohody z roku 1999 prostřednictvím Česko</w:t>
      </w:r>
      <w:r w:rsidRPr="00FD2A93">
        <w:noBreakHyphen/>
        <w:t>slovenské komise pro hraniční vody</w:t>
      </w:r>
      <w:r>
        <w:t xml:space="preserve"> a jejích 4 stálých pracovních skupin;</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224"/>
      </w:tblGrid>
      <w:tr w:rsidR="00375BFA" w14:paraId="45280C6C" w14:textId="77777777" w:rsidTr="0072423A">
        <w:tc>
          <w:tcPr>
            <w:tcW w:w="1838" w:type="dxa"/>
          </w:tcPr>
          <w:p w14:paraId="48E06BE7" w14:textId="77777777" w:rsidR="00375BFA" w:rsidRPr="00675771" w:rsidRDefault="00375BFA" w:rsidP="0072423A">
            <w:pPr>
              <w:jc w:val="center"/>
              <w:rPr>
                <w:b/>
                <w:bCs/>
              </w:rPr>
            </w:pPr>
            <w:r w:rsidRPr="00675771">
              <w:rPr>
                <w:b/>
                <w:bCs/>
              </w:rPr>
              <w:t>„T“</w:t>
            </w:r>
          </w:p>
        </w:tc>
        <w:tc>
          <w:tcPr>
            <w:tcW w:w="7224" w:type="dxa"/>
          </w:tcPr>
          <w:p w14:paraId="64986358" w14:textId="77777777" w:rsidR="00375BFA" w:rsidRDefault="00375BFA" w:rsidP="0072423A">
            <w:pPr>
              <w:jc w:val="left"/>
            </w:pPr>
            <w:r>
              <w:t>technické otázky</w:t>
            </w:r>
          </w:p>
        </w:tc>
      </w:tr>
      <w:tr w:rsidR="00375BFA" w14:paraId="4E688712" w14:textId="77777777" w:rsidTr="0072423A">
        <w:tc>
          <w:tcPr>
            <w:tcW w:w="1838" w:type="dxa"/>
          </w:tcPr>
          <w:p w14:paraId="2C7162D4" w14:textId="77777777" w:rsidR="00375BFA" w:rsidRPr="00675771" w:rsidRDefault="00375BFA" w:rsidP="0072423A">
            <w:pPr>
              <w:jc w:val="center"/>
              <w:rPr>
                <w:b/>
                <w:bCs/>
              </w:rPr>
            </w:pPr>
            <w:r w:rsidRPr="00675771">
              <w:rPr>
                <w:b/>
                <w:bCs/>
              </w:rPr>
              <w:t>„H“</w:t>
            </w:r>
          </w:p>
        </w:tc>
        <w:tc>
          <w:tcPr>
            <w:tcW w:w="7224" w:type="dxa"/>
          </w:tcPr>
          <w:p w14:paraId="14E91F75" w14:textId="77777777" w:rsidR="00375BFA" w:rsidRDefault="00375BFA" w:rsidP="0072423A">
            <w:pPr>
              <w:jc w:val="left"/>
            </w:pPr>
            <w:r>
              <w:t>hydrologie</w:t>
            </w:r>
          </w:p>
        </w:tc>
      </w:tr>
      <w:tr w:rsidR="00375BFA" w14:paraId="527EA467" w14:textId="77777777" w:rsidTr="0072423A">
        <w:tc>
          <w:tcPr>
            <w:tcW w:w="1838" w:type="dxa"/>
          </w:tcPr>
          <w:p w14:paraId="1B12A6E4" w14:textId="77777777" w:rsidR="00375BFA" w:rsidRPr="00675771" w:rsidRDefault="00375BFA" w:rsidP="0072423A">
            <w:pPr>
              <w:jc w:val="center"/>
              <w:rPr>
                <w:b/>
                <w:bCs/>
              </w:rPr>
            </w:pPr>
            <w:r w:rsidRPr="00675771">
              <w:rPr>
                <w:b/>
                <w:bCs/>
              </w:rPr>
              <w:t>„OV“</w:t>
            </w:r>
          </w:p>
        </w:tc>
        <w:tc>
          <w:tcPr>
            <w:tcW w:w="7224" w:type="dxa"/>
          </w:tcPr>
          <w:p w14:paraId="35993B24" w14:textId="77777777" w:rsidR="00375BFA" w:rsidRDefault="00375BFA" w:rsidP="0072423A">
            <w:pPr>
              <w:jc w:val="left"/>
            </w:pPr>
            <w:r>
              <w:t>ochrana vod</w:t>
            </w:r>
          </w:p>
        </w:tc>
      </w:tr>
      <w:tr w:rsidR="00375BFA" w14:paraId="245B6F71" w14:textId="77777777" w:rsidTr="0072423A">
        <w:tc>
          <w:tcPr>
            <w:tcW w:w="1838" w:type="dxa"/>
          </w:tcPr>
          <w:p w14:paraId="5F75D277" w14:textId="77777777" w:rsidR="00375BFA" w:rsidRPr="00675771" w:rsidRDefault="00375BFA" w:rsidP="0072423A">
            <w:pPr>
              <w:jc w:val="center"/>
              <w:rPr>
                <w:b/>
                <w:bCs/>
              </w:rPr>
            </w:pPr>
            <w:r w:rsidRPr="00675771">
              <w:rPr>
                <w:b/>
                <w:bCs/>
              </w:rPr>
              <w:t>„WFD“</w:t>
            </w:r>
          </w:p>
        </w:tc>
        <w:tc>
          <w:tcPr>
            <w:tcW w:w="7224" w:type="dxa"/>
          </w:tcPr>
          <w:p w14:paraId="46181145" w14:textId="77777777" w:rsidR="00375BFA" w:rsidRDefault="00375BFA" w:rsidP="0072423A">
            <w:pPr>
              <w:jc w:val="left"/>
            </w:pPr>
            <w:r>
              <w:t>Rámcová směrnice o vodách</w:t>
            </w:r>
          </w:p>
        </w:tc>
      </w:tr>
    </w:tbl>
    <w:p w14:paraId="332EA098" w14:textId="77777777" w:rsidR="00B21A0D" w:rsidRDefault="00B21A0D" w:rsidP="00375BFA"/>
    <w:p w14:paraId="62CF00B0" w14:textId="0ED597D6" w:rsidR="00375BFA" w:rsidRPr="00FD2A93" w:rsidRDefault="00375BFA" w:rsidP="00375BFA">
      <w:r w:rsidRPr="00FD2A93">
        <w:t>V červnu se v Liberci konalo 25. zasedání Komise, na</w:t>
      </w:r>
      <w:r>
        <w:t> </w:t>
      </w:r>
      <w:r w:rsidRPr="00FD2A93">
        <w:t>němž byl odsouhlasen nový společný přeshraniční útvar podzemních vod v oblasti Moravy, Dyje a Vídeňské pánve</w:t>
      </w:r>
      <w:r>
        <w:t xml:space="preserve"> „</w:t>
      </w:r>
      <w:r>
        <w:rPr>
          <w:rFonts w:cs="Arial"/>
        </w:rPr>
        <w:t>Kvartér soutokové oblasti Moravy a Dyje/</w:t>
      </w:r>
      <w:proofErr w:type="spellStart"/>
      <w:r>
        <w:rPr>
          <w:rFonts w:cs="Arial"/>
        </w:rPr>
        <w:t>Medzizrnové</w:t>
      </w:r>
      <w:proofErr w:type="spellEnd"/>
      <w:r>
        <w:rPr>
          <w:rFonts w:cs="Arial"/>
        </w:rPr>
        <w:t xml:space="preserve"> </w:t>
      </w:r>
      <w:proofErr w:type="spellStart"/>
      <w:r>
        <w:rPr>
          <w:rFonts w:cs="Arial"/>
        </w:rPr>
        <w:t>podzemné</w:t>
      </w:r>
      <w:proofErr w:type="spellEnd"/>
      <w:r>
        <w:rPr>
          <w:rFonts w:cs="Arial"/>
        </w:rPr>
        <w:t xml:space="preserve"> vody </w:t>
      </w:r>
      <w:proofErr w:type="spellStart"/>
      <w:r>
        <w:rPr>
          <w:rFonts w:cs="Arial"/>
        </w:rPr>
        <w:t>kvartérnych</w:t>
      </w:r>
      <w:proofErr w:type="spellEnd"/>
      <w:r>
        <w:rPr>
          <w:rFonts w:cs="Arial"/>
        </w:rPr>
        <w:t xml:space="preserve"> </w:t>
      </w:r>
      <w:proofErr w:type="spellStart"/>
      <w:r>
        <w:rPr>
          <w:rFonts w:cs="Arial"/>
        </w:rPr>
        <w:t>náplavov</w:t>
      </w:r>
      <w:proofErr w:type="spellEnd"/>
      <w:r>
        <w:rPr>
          <w:rFonts w:cs="Arial"/>
        </w:rPr>
        <w:t xml:space="preserve"> </w:t>
      </w:r>
      <w:proofErr w:type="spellStart"/>
      <w:r>
        <w:rPr>
          <w:rFonts w:cs="Arial"/>
        </w:rPr>
        <w:t>Viedenskej</w:t>
      </w:r>
      <w:proofErr w:type="spellEnd"/>
      <w:r>
        <w:rPr>
          <w:rFonts w:cs="Arial"/>
        </w:rPr>
        <w:t xml:space="preserve"> </w:t>
      </w:r>
      <w:proofErr w:type="spellStart"/>
      <w:r>
        <w:rPr>
          <w:rFonts w:cs="Arial"/>
        </w:rPr>
        <w:t>panvy</w:t>
      </w:r>
      <w:proofErr w:type="spellEnd"/>
      <w:r>
        <w:rPr>
          <w:rFonts w:cs="Arial"/>
        </w:rPr>
        <w:t xml:space="preserve"> v oblasti </w:t>
      </w:r>
      <w:proofErr w:type="spellStart"/>
      <w:r>
        <w:rPr>
          <w:rFonts w:cs="Arial"/>
        </w:rPr>
        <w:t>povodia</w:t>
      </w:r>
      <w:proofErr w:type="spellEnd"/>
      <w:r>
        <w:rPr>
          <w:rFonts w:cs="Arial"/>
        </w:rPr>
        <w:t xml:space="preserve"> </w:t>
      </w:r>
      <w:proofErr w:type="spellStart"/>
      <w:r>
        <w:rPr>
          <w:rFonts w:cs="Arial"/>
        </w:rPr>
        <w:t>Dunaja</w:t>
      </w:r>
      <w:proofErr w:type="spellEnd"/>
      <w:r>
        <w:rPr>
          <w:rFonts w:cs="Arial"/>
        </w:rPr>
        <w:t>“.</w:t>
      </w:r>
      <w:r w:rsidRPr="00FD2A93">
        <w:t xml:space="preserve"> Jednání se dále věnovalo otázkám úprav a údržby hraničních vodních toků, včetně opravy jezu Sudoměřice, hodnocení monitoringu kvality vod za rok 2024, hydrologickým otázkám a problematice nakládání s vodami. Významným tématem byla rovněž otázka dlouhodobě nevyřešených majetkoprávních vztahů mezi Českou republikou a Slovenskou republikou. V návaznosti na povodně z roku 2024 proběhlo také trilaterální jednání komisí hraničních vod České republiky, Slovenska a Rakouska.</w:t>
      </w:r>
    </w:p>
    <w:p w14:paraId="57D3DE3C" w14:textId="77777777" w:rsidR="00541D68" w:rsidRPr="00104F7D" w:rsidRDefault="00541D68" w:rsidP="005347B1">
      <w:pPr>
        <w:rPr>
          <w:rFonts w:cs="Arial"/>
          <w:highlight w:val="yellow"/>
        </w:rPr>
      </w:pPr>
    </w:p>
    <w:p w14:paraId="31439324" w14:textId="77777777" w:rsidR="00541D68" w:rsidRPr="00104F7D" w:rsidRDefault="00541D68" w:rsidP="005347B1">
      <w:pPr>
        <w:rPr>
          <w:rFonts w:cs="Arial"/>
          <w:highlight w:val="yellow"/>
        </w:rPr>
      </w:pPr>
    </w:p>
    <w:p w14:paraId="2D1201E3" w14:textId="77777777" w:rsidR="00FC47B9" w:rsidRPr="00104F7D" w:rsidRDefault="00FC47B9" w:rsidP="00FC47B9">
      <w:pPr>
        <w:jc w:val="left"/>
        <w:rPr>
          <w:rFonts w:cs="Arial"/>
          <w:b/>
          <w:bCs/>
          <w:highlight w:val="yellow"/>
        </w:rPr>
      </w:pPr>
    </w:p>
    <w:p w14:paraId="10258E7B" w14:textId="7DDD9C8F" w:rsidR="00740EE6" w:rsidRPr="00104F7D" w:rsidRDefault="00EE6F9F" w:rsidP="00EE6F9F">
      <w:pPr>
        <w:jc w:val="left"/>
        <w:rPr>
          <w:rFonts w:cs="Arial"/>
          <w:b/>
          <w:bCs/>
          <w:color w:val="FF0000"/>
          <w:highlight w:val="yellow"/>
        </w:rPr>
      </w:pPr>
      <w:r w:rsidRPr="00104F7D">
        <w:rPr>
          <w:rFonts w:cs="Arial"/>
          <w:b/>
          <w:bCs/>
          <w:color w:val="FF0000"/>
          <w:highlight w:val="yellow"/>
        </w:rPr>
        <w:br w:type="page"/>
      </w:r>
    </w:p>
    <w:p w14:paraId="581971B2" w14:textId="4447C38B" w:rsidR="00BE4EE9" w:rsidRPr="00580126" w:rsidRDefault="00BE4EE9" w:rsidP="007C4955">
      <w:pPr>
        <w:pStyle w:val="Nadpis1"/>
        <w:spacing w:before="0"/>
        <w:contextualSpacing/>
        <w:rPr>
          <w:caps/>
        </w:rPr>
      </w:pPr>
      <w:bookmarkStart w:id="213" w:name="_Toc236991652"/>
      <w:bookmarkStart w:id="214" w:name="_Hlk171938636"/>
      <w:r w:rsidRPr="00580126">
        <w:rPr>
          <w:caps/>
        </w:rPr>
        <w:t>1</w:t>
      </w:r>
      <w:r w:rsidR="00E449A6" w:rsidRPr="00580126">
        <w:rPr>
          <w:caps/>
        </w:rPr>
        <w:t>5</w:t>
      </w:r>
      <w:r w:rsidRPr="00580126">
        <w:rPr>
          <w:caps/>
        </w:rPr>
        <w:t>. Výzkum a vývoj v oblasti vod</w:t>
      </w:r>
      <w:bookmarkEnd w:id="212"/>
      <w:bookmarkEnd w:id="213"/>
    </w:p>
    <w:p w14:paraId="632BA350" w14:textId="77777777" w:rsidR="00F33BD5" w:rsidRPr="00580126" w:rsidRDefault="00F33BD5" w:rsidP="007C4955">
      <w:pPr>
        <w:contextualSpacing/>
        <w:rPr>
          <w:color w:val="FF0000"/>
        </w:rPr>
      </w:pPr>
    </w:p>
    <w:p w14:paraId="1C251240" w14:textId="748FC0C4" w:rsidR="00F33BD5" w:rsidRPr="00394E35" w:rsidRDefault="009D5014" w:rsidP="007C4955">
      <w:pPr>
        <w:contextualSpacing/>
        <w:rPr>
          <w:rFonts w:cs="Arial"/>
          <w:b/>
        </w:rPr>
      </w:pPr>
      <w:r w:rsidRPr="00580126">
        <w:rPr>
          <w:rFonts w:cs="Arial"/>
          <w:b/>
        </w:rPr>
        <w:t xml:space="preserve">V oblasti vod probíhá řada výzkumných projektů. Cílem této kapitoly je stručně představit výzkum a vývoj </w:t>
      </w:r>
      <w:r w:rsidR="0088058D" w:rsidRPr="00580126">
        <w:rPr>
          <w:rFonts w:cs="Arial"/>
          <w:b/>
        </w:rPr>
        <w:t xml:space="preserve">v této oblasti </w:t>
      </w:r>
      <w:r w:rsidRPr="00580126">
        <w:rPr>
          <w:rFonts w:cs="Arial"/>
          <w:b/>
        </w:rPr>
        <w:t>v působnosti Ministerstva zemědělství</w:t>
      </w:r>
      <w:r w:rsidR="0088058D" w:rsidRPr="00580126">
        <w:rPr>
          <w:rFonts w:cs="Arial"/>
          <w:b/>
        </w:rPr>
        <w:t>,</w:t>
      </w:r>
      <w:r w:rsidRPr="00580126">
        <w:rPr>
          <w:rFonts w:cs="Arial"/>
          <w:b/>
        </w:rPr>
        <w:t xml:space="preserve"> Ministerstva životního prostředí</w:t>
      </w:r>
      <w:r w:rsidR="0088058D" w:rsidRPr="00580126">
        <w:rPr>
          <w:rFonts w:cs="Arial"/>
          <w:b/>
        </w:rPr>
        <w:t xml:space="preserve"> a Ministerstva školství, mládeže a tělovýchovy</w:t>
      </w:r>
      <w:r w:rsidRPr="00580126">
        <w:rPr>
          <w:rFonts w:cs="Arial"/>
          <w:b/>
        </w:rPr>
        <w:t>, jenž tyto ústřední orgány financují buď přímo</w:t>
      </w:r>
      <w:r w:rsidR="0016528C" w:rsidRPr="00580126">
        <w:rPr>
          <w:rFonts w:cs="Arial"/>
          <w:b/>
        </w:rPr>
        <w:t>,</w:t>
      </w:r>
      <w:r w:rsidRPr="00580126">
        <w:rPr>
          <w:rFonts w:cs="Arial"/>
          <w:b/>
        </w:rPr>
        <w:t xml:space="preserve"> ve formě institucionální </w:t>
      </w:r>
      <w:r w:rsidR="0057753A" w:rsidRPr="00580126">
        <w:rPr>
          <w:rFonts w:cs="Arial"/>
          <w:b/>
        </w:rPr>
        <w:t>a účelové podpory</w:t>
      </w:r>
      <w:r w:rsidR="00803584" w:rsidRPr="00580126">
        <w:rPr>
          <w:rFonts w:cs="Arial"/>
          <w:b/>
        </w:rPr>
        <w:t xml:space="preserve"> nebo prostřednictvím Technologické agentury ČR</w:t>
      </w:r>
      <w:r w:rsidRPr="00580126">
        <w:rPr>
          <w:rFonts w:cs="Arial"/>
          <w:b/>
        </w:rPr>
        <w:t xml:space="preserve">. </w:t>
      </w:r>
      <w:r w:rsidR="00F33BD5" w:rsidRPr="00580126">
        <w:rPr>
          <w:rFonts w:cs="Arial"/>
          <w:b/>
        </w:rPr>
        <w:t xml:space="preserve">Veřejně přístupné údaje o projektech vědy </w:t>
      </w:r>
      <w:r w:rsidR="00803584" w:rsidRPr="00580126">
        <w:rPr>
          <w:rFonts w:cs="Arial"/>
          <w:b/>
        </w:rPr>
        <w:t>a </w:t>
      </w:r>
      <w:r w:rsidR="00F33BD5" w:rsidRPr="00580126">
        <w:rPr>
          <w:rFonts w:cs="Arial"/>
          <w:b/>
        </w:rPr>
        <w:t xml:space="preserve">výzkumu a o poskytnuté institucionální podpoře na dlouhodobý koncepční rozvoj jsou dostupné na internetových stránkách Informačního systému výzkumu, experimentálního vývoje a inovací </w:t>
      </w:r>
      <w:r w:rsidR="00F33BD5" w:rsidRPr="00580126">
        <w:rPr>
          <w:rStyle w:val="Hypertextovodkaz"/>
        </w:rPr>
        <w:t>www.rvvi.cz</w:t>
      </w:r>
      <w:r w:rsidR="00F33BD5" w:rsidRPr="00580126">
        <w:rPr>
          <w:rFonts w:cs="Arial"/>
          <w:b/>
        </w:rPr>
        <w:t xml:space="preserve"> (Centrální evidence projektů, Centrální evidence aktivit). Údaje o výsledcích v</w:t>
      </w:r>
      <w:r w:rsidR="00F33BD5" w:rsidRPr="00C9747C">
        <w:rPr>
          <w:rFonts w:cs="Arial"/>
          <w:b/>
        </w:rPr>
        <w:t>zešlých z řešení výzkumných aktivit jsou dostupné tamtéž v Rejstříku i</w:t>
      </w:r>
      <w:r w:rsidR="00F33BD5" w:rsidRPr="00BC2049">
        <w:rPr>
          <w:rFonts w:cs="Arial"/>
          <w:b/>
        </w:rPr>
        <w:t>nformací o výsledcích.</w:t>
      </w:r>
      <w:r w:rsidR="00332825" w:rsidRPr="00BC2049">
        <w:rPr>
          <w:rFonts w:cs="Arial"/>
          <w:b/>
        </w:rPr>
        <w:t xml:space="preserve"> </w:t>
      </w:r>
      <w:r w:rsidR="00332825" w:rsidRPr="00394E35">
        <w:rPr>
          <w:rFonts w:cs="Arial"/>
          <w:b/>
        </w:rPr>
        <w:t>V roce 202</w:t>
      </w:r>
      <w:r w:rsidR="00580126" w:rsidRPr="00394E35">
        <w:rPr>
          <w:rFonts w:cs="Arial"/>
          <w:b/>
        </w:rPr>
        <w:t>5</w:t>
      </w:r>
      <w:r w:rsidR="00332825" w:rsidRPr="00394E35">
        <w:rPr>
          <w:rFonts w:cs="Arial"/>
          <w:b/>
        </w:rPr>
        <w:t xml:space="preserve"> byly poskytnuty finanční prostředky v celkové výši </w:t>
      </w:r>
      <w:r w:rsidR="00EC6E95" w:rsidRPr="00394E35">
        <w:rPr>
          <w:rFonts w:cs="Arial"/>
          <w:b/>
        </w:rPr>
        <w:t xml:space="preserve">téměř </w:t>
      </w:r>
      <w:r w:rsidR="00E4273C" w:rsidRPr="00394E35">
        <w:rPr>
          <w:rFonts w:cs="Arial"/>
          <w:b/>
          <w:color w:val="000000" w:themeColor="text1"/>
        </w:rPr>
        <w:t>324,17</w:t>
      </w:r>
      <w:r w:rsidR="00076C5F" w:rsidRPr="00394E35">
        <w:rPr>
          <w:rFonts w:cs="Arial"/>
          <w:b/>
          <w:color w:val="000000" w:themeColor="text1"/>
        </w:rPr>
        <w:t xml:space="preserve"> </w:t>
      </w:r>
      <w:r w:rsidR="00332825" w:rsidRPr="00394E35">
        <w:rPr>
          <w:rFonts w:cs="Arial"/>
          <w:b/>
          <w:color w:val="000000" w:themeColor="text1"/>
        </w:rPr>
        <w:t>mil. K</w:t>
      </w:r>
      <w:r w:rsidR="00332825" w:rsidRPr="00394E35">
        <w:rPr>
          <w:rFonts w:cs="Arial"/>
          <w:b/>
        </w:rPr>
        <w:t xml:space="preserve">č na výzkum </w:t>
      </w:r>
      <w:r w:rsidR="00053154" w:rsidRPr="00394E35">
        <w:rPr>
          <w:rFonts w:cs="Arial"/>
          <w:b/>
        </w:rPr>
        <w:t>a </w:t>
      </w:r>
      <w:r w:rsidR="00332825" w:rsidRPr="00394E35">
        <w:rPr>
          <w:rFonts w:cs="Arial"/>
          <w:b/>
        </w:rPr>
        <w:t>vývoj ve vodním hospodářství.</w:t>
      </w:r>
      <w:r w:rsidR="00394829" w:rsidRPr="00394E35">
        <w:rPr>
          <w:rFonts w:cs="Arial"/>
          <w:b/>
        </w:rPr>
        <w:t xml:space="preserve"> Ministerstvo zemědělství se podílelo n</w:t>
      </w:r>
      <w:r w:rsidR="00053154" w:rsidRPr="00394E35">
        <w:rPr>
          <w:rFonts w:cs="Arial"/>
          <w:b/>
        </w:rPr>
        <w:t xml:space="preserve">a této částce </w:t>
      </w:r>
      <w:r w:rsidR="00AE2A40" w:rsidRPr="00394E35">
        <w:rPr>
          <w:rFonts w:cs="Arial"/>
          <w:b/>
        </w:rPr>
        <w:t>20</w:t>
      </w:r>
      <w:r w:rsidR="00053154" w:rsidRPr="00394E35">
        <w:rPr>
          <w:rFonts w:cs="Arial"/>
          <w:b/>
        </w:rPr>
        <w:t xml:space="preserve"> % </w:t>
      </w:r>
      <w:r w:rsidR="00053154" w:rsidRPr="00394E35">
        <w:rPr>
          <w:rFonts w:cs="Arial"/>
          <w:b/>
          <w:noProof/>
        </w:rPr>
        <w:t xml:space="preserve">(poskytnuté finanční </w:t>
      </w:r>
      <w:r w:rsidR="00053154" w:rsidRPr="00BC2049">
        <w:rPr>
          <w:rFonts w:cs="Arial"/>
          <w:b/>
          <w:noProof/>
        </w:rPr>
        <w:t xml:space="preserve">prostředky </w:t>
      </w:r>
      <w:r w:rsidR="00EE6F9F" w:rsidRPr="00BC2049">
        <w:rPr>
          <w:rFonts w:cs="Arial"/>
          <w:b/>
          <w:noProof/>
        </w:rPr>
        <w:t xml:space="preserve"> </w:t>
      </w:r>
      <w:r w:rsidR="0025232A" w:rsidRPr="00BC2049">
        <w:rPr>
          <w:rFonts w:cs="Arial"/>
          <w:b/>
          <w:noProof/>
        </w:rPr>
        <w:t>65,44</w:t>
      </w:r>
      <w:r w:rsidR="00053154" w:rsidRPr="00BC2049">
        <w:rPr>
          <w:rFonts w:cs="Arial"/>
          <w:b/>
          <w:noProof/>
        </w:rPr>
        <w:t xml:space="preserve"> mil. Kč)</w:t>
      </w:r>
      <w:r w:rsidR="00053154" w:rsidRPr="00394E35">
        <w:rPr>
          <w:rFonts w:cs="Arial"/>
          <w:b/>
        </w:rPr>
        <w:t xml:space="preserve">, Ministerstvo životního prostředí </w:t>
      </w:r>
      <w:r w:rsidR="00AE2A40" w:rsidRPr="00394E35">
        <w:rPr>
          <w:rFonts w:cs="Arial"/>
          <w:b/>
        </w:rPr>
        <w:t>41</w:t>
      </w:r>
      <w:r w:rsidR="00053154" w:rsidRPr="00394E35">
        <w:rPr>
          <w:rFonts w:cs="Arial"/>
          <w:b/>
        </w:rPr>
        <w:t xml:space="preserve"> % </w:t>
      </w:r>
      <w:r w:rsidR="00053154" w:rsidRPr="00394E35">
        <w:rPr>
          <w:rFonts w:cs="Arial"/>
          <w:b/>
          <w:noProof/>
        </w:rPr>
        <w:t xml:space="preserve">(poskytnuté finanční </w:t>
      </w:r>
      <w:r w:rsidR="00053154" w:rsidRPr="00BC2049">
        <w:rPr>
          <w:rFonts w:cs="Arial"/>
          <w:b/>
          <w:noProof/>
        </w:rPr>
        <w:t xml:space="preserve">prostředky </w:t>
      </w:r>
      <w:r w:rsidR="00B60C14" w:rsidRPr="00BC2049">
        <w:rPr>
          <w:rFonts w:cs="Arial"/>
          <w:b/>
          <w:noProof/>
        </w:rPr>
        <w:t>134,</w:t>
      </w:r>
      <w:r w:rsidR="00080E1F" w:rsidRPr="00BC2049">
        <w:rPr>
          <w:rFonts w:cs="Arial"/>
          <w:b/>
          <w:noProof/>
        </w:rPr>
        <w:t>234</w:t>
      </w:r>
      <w:r w:rsidR="00053154" w:rsidRPr="00BC2049">
        <w:rPr>
          <w:rFonts w:cs="Arial"/>
          <w:b/>
          <w:noProof/>
        </w:rPr>
        <w:t xml:space="preserve"> mil. Kč</w:t>
      </w:r>
      <w:r w:rsidR="00053154" w:rsidRPr="00394E35">
        <w:rPr>
          <w:rFonts w:cs="Arial"/>
          <w:b/>
          <w:noProof/>
        </w:rPr>
        <w:t xml:space="preserve">) </w:t>
      </w:r>
      <w:r w:rsidR="00053154" w:rsidRPr="00394E35">
        <w:rPr>
          <w:rFonts w:cs="Arial"/>
          <w:b/>
        </w:rPr>
        <w:t xml:space="preserve">a Ministerstvo školství, mládeže a tělovýchovy </w:t>
      </w:r>
      <w:r w:rsidR="00080E1F" w:rsidRPr="00394E35">
        <w:rPr>
          <w:rFonts w:cs="Arial"/>
          <w:b/>
        </w:rPr>
        <w:t>22</w:t>
      </w:r>
      <w:r w:rsidR="00053154" w:rsidRPr="00394E35">
        <w:rPr>
          <w:rFonts w:cs="Arial"/>
          <w:b/>
        </w:rPr>
        <w:t xml:space="preserve"> % </w:t>
      </w:r>
      <w:r w:rsidR="00053154" w:rsidRPr="00394E35">
        <w:rPr>
          <w:rFonts w:cs="Arial"/>
          <w:b/>
          <w:noProof/>
        </w:rPr>
        <w:t>(</w:t>
      </w:r>
      <w:r w:rsidR="00053154" w:rsidRPr="00BC2049">
        <w:rPr>
          <w:rFonts w:cs="Arial"/>
          <w:b/>
          <w:noProof/>
        </w:rPr>
        <w:t>poskytnuté</w:t>
      </w:r>
      <w:r w:rsidR="00053154" w:rsidRPr="00394E35">
        <w:rPr>
          <w:rFonts w:cs="Arial"/>
          <w:b/>
          <w:noProof/>
        </w:rPr>
        <w:t xml:space="preserve"> </w:t>
      </w:r>
      <w:r w:rsidR="00053154" w:rsidRPr="00BC2049">
        <w:rPr>
          <w:rFonts w:cs="Arial"/>
          <w:b/>
          <w:noProof/>
        </w:rPr>
        <w:t xml:space="preserve">finanční prostředky </w:t>
      </w:r>
      <w:r w:rsidR="00B52AC7" w:rsidRPr="00BC2049">
        <w:rPr>
          <w:rFonts w:cs="Arial"/>
          <w:b/>
          <w:noProof/>
        </w:rPr>
        <w:t xml:space="preserve">více než </w:t>
      </w:r>
      <w:r w:rsidR="0087719A" w:rsidRPr="00BC2049">
        <w:rPr>
          <w:rFonts w:cs="Arial"/>
          <w:b/>
          <w:noProof/>
        </w:rPr>
        <w:t>7</w:t>
      </w:r>
      <w:r w:rsidR="00B60C14" w:rsidRPr="00BC2049">
        <w:rPr>
          <w:rFonts w:cs="Arial"/>
          <w:b/>
          <w:noProof/>
        </w:rPr>
        <w:t>1</w:t>
      </w:r>
      <w:r w:rsidR="00053154" w:rsidRPr="00BC2049">
        <w:rPr>
          <w:rFonts w:cs="Arial"/>
          <w:b/>
          <w:noProof/>
        </w:rPr>
        <w:t xml:space="preserve"> mil. Kč</w:t>
      </w:r>
      <w:r w:rsidR="00053154" w:rsidRPr="00394E35">
        <w:rPr>
          <w:rFonts w:cs="Arial"/>
          <w:b/>
          <w:noProof/>
        </w:rPr>
        <w:t>)</w:t>
      </w:r>
      <w:r w:rsidR="005A5A20" w:rsidRPr="00394E35">
        <w:rPr>
          <w:rFonts w:cs="Arial"/>
          <w:b/>
        </w:rPr>
        <w:t xml:space="preserve"> a Techn</w:t>
      </w:r>
      <w:r w:rsidR="0093339F" w:rsidRPr="00394E35">
        <w:rPr>
          <w:rFonts w:cs="Arial"/>
          <w:b/>
        </w:rPr>
        <w:t>ologická</w:t>
      </w:r>
      <w:r w:rsidR="005A5A20" w:rsidRPr="00394E35">
        <w:rPr>
          <w:rFonts w:cs="Arial"/>
          <w:b/>
        </w:rPr>
        <w:t xml:space="preserve"> agentura České republiky </w:t>
      </w:r>
      <w:r w:rsidR="00784215" w:rsidRPr="00394E35">
        <w:rPr>
          <w:rFonts w:cs="Arial"/>
          <w:b/>
        </w:rPr>
        <w:t>17</w:t>
      </w:r>
      <w:r w:rsidR="005A5A20" w:rsidRPr="00394E35">
        <w:rPr>
          <w:rFonts w:cs="Arial"/>
          <w:b/>
        </w:rPr>
        <w:t xml:space="preserve"> % (</w:t>
      </w:r>
      <w:r w:rsidR="0093410B" w:rsidRPr="00394E35">
        <w:rPr>
          <w:rFonts w:cs="Arial"/>
          <w:b/>
        </w:rPr>
        <w:t>výše</w:t>
      </w:r>
      <w:r w:rsidR="005A5A20" w:rsidRPr="00394E35">
        <w:rPr>
          <w:rFonts w:cs="Arial"/>
          <w:b/>
        </w:rPr>
        <w:t xml:space="preserve"> finanční podpor</w:t>
      </w:r>
      <w:r w:rsidR="0093410B" w:rsidRPr="00394E35">
        <w:rPr>
          <w:rFonts w:cs="Arial"/>
          <w:b/>
        </w:rPr>
        <w:t xml:space="preserve">y na projekty zaměřené na vodu a vodní hospodářství </w:t>
      </w:r>
      <w:r w:rsidR="00784215" w:rsidRPr="00394E35">
        <w:rPr>
          <w:rFonts w:cs="Arial"/>
          <w:b/>
        </w:rPr>
        <w:t>53,5</w:t>
      </w:r>
      <w:r w:rsidR="005A5A20" w:rsidRPr="00394E35">
        <w:rPr>
          <w:rFonts w:cs="Arial"/>
          <w:b/>
        </w:rPr>
        <w:t xml:space="preserve"> mil. Kč</w:t>
      </w:r>
      <w:r w:rsidR="00870625" w:rsidRPr="00394E35">
        <w:rPr>
          <w:rFonts w:cs="Arial"/>
          <w:b/>
        </w:rPr>
        <w:t xml:space="preserve"> v rámci výzkumného programu Prostředí pro život v gesci Ministerstva životního prostředí</w:t>
      </w:r>
      <w:r w:rsidR="0093410B" w:rsidRPr="00394E35">
        <w:rPr>
          <w:rFonts w:cs="Arial"/>
          <w:b/>
        </w:rPr>
        <w:t>)</w:t>
      </w:r>
      <w:r w:rsidR="00870625" w:rsidRPr="00394E35">
        <w:rPr>
          <w:rFonts w:cs="Arial"/>
          <w:b/>
        </w:rPr>
        <w:t>.</w:t>
      </w:r>
    </w:p>
    <w:p w14:paraId="5539E117" w14:textId="77777777" w:rsidR="00332825" w:rsidRPr="00104F7D" w:rsidRDefault="00332825" w:rsidP="007C4955">
      <w:pPr>
        <w:contextualSpacing/>
        <w:rPr>
          <w:rFonts w:cs="Arial"/>
          <w:b/>
          <w:color w:val="FF0000"/>
          <w:highlight w:val="yellow"/>
        </w:rPr>
      </w:pPr>
    </w:p>
    <w:p w14:paraId="287CFFE8" w14:textId="05B2630B" w:rsidR="00332825" w:rsidRPr="00394E35" w:rsidRDefault="00332825" w:rsidP="007C4955">
      <w:pPr>
        <w:contextualSpacing/>
        <w:rPr>
          <w:rFonts w:cs="Arial"/>
          <w:b/>
          <w:i/>
        </w:rPr>
      </w:pPr>
      <w:r w:rsidRPr="00394E35">
        <w:rPr>
          <w:rFonts w:cs="Arial"/>
          <w:b/>
          <w:i/>
        </w:rPr>
        <w:t>Graf 1</w:t>
      </w:r>
      <w:r w:rsidR="00E449A6" w:rsidRPr="00394E35">
        <w:rPr>
          <w:rFonts w:cs="Arial"/>
          <w:b/>
          <w:i/>
        </w:rPr>
        <w:t>5</w:t>
      </w:r>
      <w:r w:rsidRPr="00394E35">
        <w:rPr>
          <w:rFonts w:cs="Arial"/>
          <w:b/>
          <w:i/>
        </w:rPr>
        <w:t>.1</w:t>
      </w:r>
    </w:p>
    <w:p w14:paraId="40F970C9" w14:textId="44BBEE38" w:rsidR="005A5A20" w:rsidRPr="00394E35" w:rsidRDefault="00332825" w:rsidP="007C4955">
      <w:pPr>
        <w:contextualSpacing/>
        <w:rPr>
          <w:rFonts w:cs="Arial"/>
          <w:b/>
          <w:i/>
        </w:rPr>
      </w:pPr>
      <w:r w:rsidRPr="00394E35">
        <w:rPr>
          <w:rFonts w:cs="Arial"/>
          <w:b/>
          <w:i/>
        </w:rPr>
        <w:t>Finanční prostředky poskytnuté na výzkum a vývoj v oblasti vod v roce 202</w:t>
      </w:r>
      <w:r w:rsidR="0039666C" w:rsidRPr="00394E35">
        <w:rPr>
          <w:rFonts w:cs="Arial"/>
          <w:b/>
          <w:i/>
        </w:rPr>
        <w:t>5</w:t>
      </w:r>
    </w:p>
    <w:p w14:paraId="23FB58BA" w14:textId="0A9B9B46" w:rsidR="00E4273C" w:rsidRPr="00104F7D" w:rsidRDefault="00E4273C" w:rsidP="007C4955">
      <w:pPr>
        <w:contextualSpacing/>
        <w:rPr>
          <w:rFonts w:cs="Arial"/>
          <w:b/>
          <w:i/>
          <w:highlight w:val="yellow"/>
        </w:rPr>
      </w:pPr>
      <w:r>
        <w:rPr>
          <w:noProof/>
        </w:rPr>
        <w:drawing>
          <wp:inline distT="0" distB="0" distL="0" distR="0" wp14:anchorId="0EA07EEF" wp14:editId="66D9BC93">
            <wp:extent cx="4826000" cy="2470150"/>
            <wp:effectExtent l="0" t="0" r="12700" b="6350"/>
            <wp:docPr id="3145271" name="Graf 1">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257FC816" w14:textId="1D8AB860" w:rsidR="0093410B" w:rsidRPr="00104F7D" w:rsidRDefault="0093410B" w:rsidP="007C4955">
      <w:pPr>
        <w:contextualSpacing/>
        <w:rPr>
          <w:rFonts w:cs="Arial"/>
          <w:b/>
          <w:i/>
          <w:highlight w:val="yellow"/>
        </w:rPr>
      </w:pPr>
    </w:p>
    <w:p w14:paraId="230CA070" w14:textId="77777777" w:rsidR="00332825" w:rsidRPr="00B3416A" w:rsidRDefault="00332825" w:rsidP="007C4955">
      <w:pPr>
        <w:contextualSpacing/>
        <w:rPr>
          <w:i/>
          <w:noProof/>
          <w:lang w:eastAsia="cs-CZ"/>
        </w:rPr>
      </w:pPr>
      <w:r w:rsidRPr="00B3416A">
        <w:rPr>
          <w:i/>
          <w:noProof/>
          <w:lang w:eastAsia="cs-CZ"/>
        </w:rPr>
        <w:t xml:space="preserve">Pramen: MZe z podkladů MŽP a </w:t>
      </w:r>
      <w:r w:rsidR="00145DC5" w:rsidRPr="00B3416A">
        <w:rPr>
          <w:i/>
          <w:noProof/>
          <w:lang w:eastAsia="cs-CZ"/>
        </w:rPr>
        <w:t>MŠMT</w:t>
      </w:r>
    </w:p>
    <w:p w14:paraId="36739CC3" w14:textId="77777777" w:rsidR="00F6279D" w:rsidRPr="00104F7D" w:rsidRDefault="00F6279D" w:rsidP="007C4955">
      <w:pPr>
        <w:contextualSpacing/>
        <w:rPr>
          <w:i/>
          <w:color w:val="FF0000"/>
          <w:highlight w:val="yellow"/>
        </w:rPr>
      </w:pPr>
    </w:p>
    <w:p w14:paraId="0C51C7E6" w14:textId="77777777" w:rsidR="00F6279D" w:rsidRPr="00D82CC4" w:rsidRDefault="00F6279D" w:rsidP="00F6279D">
      <w:pPr>
        <w:pStyle w:val="Odstavecseseznamem"/>
        <w:keepNext/>
        <w:keepLines/>
        <w:ind w:left="360"/>
        <w:outlineLvl w:val="1"/>
        <w:rPr>
          <w:rFonts w:ascii="Arial" w:hAnsi="Arial" w:cs="Arial"/>
          <w:b/>
          <w:bCs/>
          <w:vanish/>
          <w:sz w:val="26"/>
          <w:szCs w:val="26"/>
          <w:lang w:eastAsia="en-US"/>
        </w:rPr>
      </w:pPr>
      <w:bookmarkStart w:id="215" w:name="_Toc10183468"/>
    </w:p>
    <w:p w14:paraId="386E7AFA" w14:textId="1C83832C" w:rsidR="00332825" w:rsidRPr="00D82CC4" w:rsidRDefault="00BE4EE9" w:rsidP="00F6279D">
      <w:pPr>
        <w:pStyle w:val="Nadpis2"/>
        <w:spacing w:before="0"/>
        <w:ind w:left="360"/>
        <w:contextualSpacing/>
      </w:pPr>
      <w:bookmarkStart w:id="216" w:name="_Toc236991653"/>
      <w:r w:rsidRPr="00D82CC4">
        <w:t>1</w:t>
      </w:r>
      <w:r w:rsidR="00E449A6" w:rsidRPr="00D82CC4">
        <w:t>5</w:t>
      </w:r>
      <w:r w:rsidRPr="00D82CC4">
        <w:t>.1 Výzkum a vývoj v působnosti Ministerstva zemědělství</w:t>
      </w:r>
      <w:bookmarkEnd w:id="215"/>
      <w:bookmarkEnd w:id="216"/>
    </w:p>
    <w:p w14:paraId="01709A0C" w14:textId="77777777" w:rsidR="0019394B" w:rsidRPr="00104F7D" w:rsidRDefault="0019394B" w:rsidP="007C4955">
      <w:pPr>
        <w:contextualSpacing/>
        <w:rPr>
          <w:color w:val="FF0000"/>
          <w:highlight w:val="yellow"/>
        </w:rPr>
      </w:pPr>
    </w:p>
    <w:p w14:paraId="4235DE67" w14:textId="77777777" w:rsidR="005C081B" w:rsidRPr="00575215" w:rsidRDefault="005C081B" w:rsidP="005C081B">
      <w:pPr>
        <w:pStyle w:val="Zkladntext"/>
        <w:spacing w:line="240" w:lineRule="auto"/>
        <w:ind w:firstLine="0"/>
        <w:rPr>
          <w:rFonts w:ascii="Arial" w:hAnsi="Arial" w:cs="Arial"/>
          <w:b/>
          <w:sz w:val="22"/>
          <w:szCs w:val="22"/>
        </w:rPr>
      </w:pPr>
      <w:r w:rsidRPr="00111DC3">
        <w:rPr>
          <w:rFonts w:ascii="Arial" w:hAnsi="Arial" w:cs="Arial"/>
          <w:b/>
          <w:sz w:val="22"/>
          <w:szCs w:val="22"/>
        </w:rPr>
        <w:t>Ministerstvo zemědělství v roce 202</w:t>
      </w:r>
      <w:r>
        <w:rPr>
          <w:rFonts w:ascii="Arial" w:hAnsi="Arial" w:cs="Arial"/>
          <w:b/>
          <w:sz w:val="22"/>
          <w:szCs w:val="22"/>
        </w:rPr>
        <w:t>5</w:t>
      </w:r>
      <w:r w:rsidRPr="00575215">
        <w:rPr>
          <w:rFonts w:ascii="Arial" w:hAnsi="Arial" w:cs="Arial"/>
          <w:b/>
          <w:sz w:val="22"/>
          <w:szCs w:val="22"/>
        </w:rPr>
        <w:t xml:space="preserve"> poskytlo účelové a institucionální finanční prostředky na řešení projektů výzkumu a vývoje a </w:t>
      </w:r>
      <w:r>
        <w:rPr>
          <w:rFonts w:ascii="Arial" w:hAnsi="Arial" w:cs="Arial"/>
          <w:b/>
          <w:sz w:val="22"/>
          <w:szCs w:val="22"/>
        </w:rPr>
        <w:t xml:space="preserve">na </w:t>
      </w:r>
      <w:r w:rsidRPr="00575215">
        <w:rPr>
          <w:rFonts w:ascii="Arial" w:hAnsi="Arial" w:cs="Arial"/>
          <w:b/>
          <w:sz w:val="22"/>
          <w:szCs w:val="22"/>
        </w:rPr>
        <w:t xml:space="preserve">dlouhodobý koncepční rozvoj </w:t>
      </w:r>
      <w:r>
        <w:rPr>
          <w:rFonts w:ascii="Arial" w:hAnsi="Arial" w:cs="Arial"/>
          <w:b/>
          <w:sz w:val="22"/>
          <w:szCs w:val="22"/>
        </w:rPr>
        <w:t xml:space="preserve">výzkumných organizací </w:t>
      </w:r>
      <w:r w:rsidRPr="00575215">
        <w:rPr>
          <w:rFonts w:ascii="Arial" w:hAnsi="Arial" w:cs="Arial"/>
          <w:b/>
          <w:sz w:val="22"/>
          <w:szCs w:val="22"/>
        </w:rPr>
        <w:t xml:space="preserve">v oblasti vodního hospodářství ve výši </w:t>
      </w:r>
      <w:r>
        <w:rPr>
          <w:rFonts w:ascii="Arial" w:hAnsi="Arial" w:cs="Arial"/>
          <w:b/>
          <w:sz w:val="22"/>
          <w:szCs w:val="22"/>
        </w:rPr>
        <w:t>přesahující 65,44</w:t>
      </w:r>
      <w:r w:rsidRPr="00575215">
        <w:rPr>
          <w:rFonts w:ascii="Arial" w:hAnsi="Arial" w:cs="Arial"/>
          <w:b/>
          <w:color w:val="FF0000"/>
          <w:sz w:val="22"/>
          <w:szCs w:val="22"/>
        </w:rPr>
        <w:t xml:space="preserve"> </w:t>
      </w:r>
      <w:r w:rsidRPr="00575215">
        <w:rPr>
          <w:rFonts w:ascii="Arial" w:hAnsi="Arial" w:cs="Arial"/>
          <w:b/>
          <w:sz w:val="22"/>
          <w:szCs w:val="22"/>
        </w:rPr>
        <w:t>mil. Kč.</w:t>
      </w:r>
    </w:p>
    <w:p w14:paraId="6D2E0F4C" w14:textId="77777777" w:rsidR="005C6BA4" w:rsidRPr="00104F7D" w:rsidRDefault="005C6BA4" w:rsidP="005C6BA4">
      <w:pPr>
        <w:rPr>
          <w:rFonts w:cs="Arial"/>
          <w:highlight w:val="yellow"/>
        </w:rPr>
      </w:pPr>
    </w:p>
    <w:p w14:paraId="7FBD972E" w14:textId="3FC28AA4" w:rsidR="00D9495A" w:rsidRPr="00575215" w:rsidRDefault="00D9495A" w:rsidP="00D9495A">
      <w:pPr>
        <w:rPr>
          <w:rFonts w:cs="Arial"/>
        </w:rPr>
      </w:pPr>
      <w:r w:rsidRPr="00575215">
        <w:rPr>
          <w:rFonts w:cs="Arial"/>
        </w:rPr>
        <w:t xml:space="preserve">V roce </w:t>
      </w:r>
      <w:r w:rsidRPr="00111DC3">
        <w:rPr>
          <w:rFonts w:cs="Arial"/>
        </w:rPr>
        <w:t>202</w:t>
      </w:r>
      <w:r>
        <w:rPr>
          <w:rFonts w:cs="Arial"/>
        </w:rPr>
        <w:t>5</w:t>
      </w:r>
      <w:r w:rsidRPr="00575215">
        <w:rPr>
          <w:rFonts w:cs="Arial"/>
        </w:rPr>
        <w:t xml:space="preserve"> bylo na podporu projektů </w:t>
      </w:r>
      <w:r>
        <w:rPr>
          <w:rFonts w:cs="Arial"/>
        </w:rPr>
        <w:t>výzkumu a vývoje</w:t>
      </w:r>
      <w:r w:rsidRPr="00575215">
        <w:rPr>
          <w:rFonts w:cs="Arial"/>
        </w:rPr>
        <w:t xml:space="preserve"> vynaloženo </w:t>
      </w:r>
      <w:r w:rsidRPr="00FB30B6">
        <w:rPr>
          <w:rFonts w:cs="Arial"/>
        </w:rPr>
        <w:t>celkem 55 228 tis. Kč. Projekty výzkumu a vývoje jsou především zaměřeny na ochranu půdy a vody při trvale udržitelném rozvoji agrárního sektoru, tvorbu, revitalizaci a ochranu kulturní krajiny, lesa a vodních útvarů a racionalizaci hospodaření s vodou včetně řešení dopadů klimatické změny.</w:t>
      </w:r>
    </w:p>
    <w:p w14:paraId="275DB700" w14:textId="77777777" w:rsidR="00D9495A" w:rsidRPr="00575215" w:rsidRDefault="00D9495A" w:rsidP="00D9495A">
      <w:pPr>
        <w:pStyle w:val="Textpsmene"/>
        <w:numPr>
          <w:ilvl w:val="0"/>
          <w:numId w:val="0"/>
        </w:numPr>
        <w:ind w:firstLine="567"/>
        <w:rPr>
          <w:rFonts w:ascii="Arial" w:hAnsi="Arial" w:cs="Arial"/>
          <w:sz w:val="22"/>
          <w:szCs w:val="22"/>
        </w:rPr>
      </w:pPr>
    </w:p>
    <w:p w14:paraId="51424C26" w14:textId="77777777" w:rsidR="00D9495A" w:rsidRPr="00575215" w:rsidRDefault="00D9495A" w:rsidP="00D9495A">
      <w:pPr>
        <w:rPr>
          <w:rFonts w:cs="Arial"/>
        </w:rPr>
      </w:pPr>
      <w:r w:rsidRPr="00575215">
        <w:rPr>
          <w:rFonts w:cs="Arial"/>
        </w:rPr>
        <w:t xml:space="preserve">Přehled jednotlivých řešených projektů </w:t>
      </w:r>
      <w:r>
        <w:rPr>
          <w:rFonts w:cs="Arial"/>
        </w:rPr>
        <w:t>výzkumu a vývoje</w:t>
      </w:r>
      <w:r w:rsidRPr="00575215">
        <w:rPr>
          <w:rFonts w:cs="Arial"/>
        </w:rPr>
        <w:t xml:space="preserve"> je v souhrnu uveden v Tabulce 1</w:t>
      </w:r>
      <w:r>
        <w:rPr>
          <w:rFonts w:cs="Arial"/>
        </w:rPr>
        <w:t>5</w:t>
      </w:r>
      <w:r w:rsidRPr="00575215">
        <w:rPr>
          <w:rFonts w:cs="Arial"/>
        </w:rPr>
        <w:t xml:space="preserve">.1. </w:t>
      </w:r>
    </w:p>
    <w:p w14:paraId="77701CC7" w14:textId="77777777" w:rsidR="00D9495A" w:rsidRPr="00575215" w:rsidRDefault="00D9495A" w:rsidP="00D9495A">
      <w:pPr>
        <w:ind w:firstLine="567"/>
        <w:rPr>
          <w:rFonts w:cs="Arial"/>
          <w:color w:val="FF0000"/>
        </w:rPr>
      </w:pPr>
    </w:p>
    <w:p w14:paraId="230CE95E" w14:textId="662EC319" w:rsidR="00D9495A" w:rsidRDefault="00D9495A" w:rsidP="00D9495A">
      <w:pPr>
        <w:rPr>
          <w:rFonts w:cs="Arial"/>
        </w:rPr>
      </w:pPr>
      <w:r w:rsidRPr="00575215">
        <w:rPr>
          <w:rFonts w:cs="Arial"/>
        </w:rPr>
        <w:t xml:space="preserve">Vodohospodářské projekty </w:t>
      </w:r>
      <w:r>
        <w:rPr>
          <w:rFonts w:cs="Arial"/>
        </w:rPr>
        <w:t>výzkumu a vývoje</w:t>
      </w:r>
      <w:r w:rsidRPr="00575215">
        <w:rPr>
          <w:rFonts w:cs="Arial"/>
        </w:rPr>
        <w:t xml:space="preserve">, řešené v roce </w:t>
      </w:r>
      <w:r w:rsidRPr="009611BD">
        <w:rPr>
          <w:rFonts w:cs="Arial"/>
        </w:rPr>
        <w:t>202</w:t>
      </w:r>
      <w:r>
        <w:rPr>
          <w:rFonts w:cs="Arial"/>
        </w:rPr>
        <w:t>5</w:t>
      </w:r>
      <w:r w:rsidRPr="009611BD">
        <w:rPr>
          <w:rFonts w:cs="Arial"/>
        </w:rPr>
        <w:t>,</w:t>
      </w:r>
      <w:r w:rsidRPr="00575215">
        <w:rPr>
          <w:rFonts w:cs="Arial"/>
        </w:rPr>
        <w:t xml:space="preserve"> vzešly z veřejných soutěží vyhlášených v rámci resortního výzkumn</w:t>
      </w:r>
      <w:r>
        <w:rPr>
          <w:rFonts w:cs="Arial"/>
        </w:rPr>
        <w:t>ého</w:t>
      </w:r>
      <w:r w:rsidRPr="00575215">
        <w:rPr>
          <w:rFonts w:cs="Arial"/>
        </w:rPr>
        <w:t xml:space="preserve"> program</w:t>
      </w:r>
      <w:r>
        <w:rPr>
          <w:rFonts w:cs="Arial"/>
        </w:rPr>
        <w:t>u s názvem</w:t>
      </w:r>
      <w:bookmarkStart w:id="217" w:name="_Toc434413631"/>
      <w:r>
        <w:rPr>
          <w:rFonts w:cs="Arial"/>
        </w:rPr>
        <w:t xml:space="preserve"> </w:t>
      </w:r>
      <w:r w:rsidRPr="0034679D">
        <w:rPr>
          <w:rFonts w:cs="Arial"/>
        </w:rPr>
        <w:t xml:space="preserve">Program </w:t>
      </w:r>
      <w:r>
        <w:rPr>
          <w:rFonts w:cs="Arial"/>
        </w:rPr>
        <w:t xml:space="preserve">na podporu </w:t>
      </w:r>
      <w:r w:rsidRPr="0034679D">
        <w:rPr>
          <w:rFonts w:cs="Arial"/>
        </w:rPr>
        <w:t>aplikovaného výzkumu Ministerstva zemědělství na období 2017</w:t>
      </w:r>
      <w:r w:rsidR="00937BCA">
        <w:rPr>
          <w:rFonts w:cs="Arial"/>
        </w:rPr>
        <w:t>–</w:t>
      </w:r>
      <w:r w:rsidRPr="0034679D">
        <w:rPr>
          <w:rFonts w:cs="Arial"/>
        </w:rPr>
        <w:t>2025, ZEMĚ</w:t>
      </w:r>
      <w:bookmarkEnd w:id="217"/>
      <w:r>
        <w:rPr>
          <w:rFonts w:cs="Arial"/>
        </w:rPr>
        <w:t xml:space="preserve"> (dále jen „ZEMĚ“).</w:t>
      </w:r>
      <w:r w:rsidRPr="00575215">
        <w:rPr>
          <w:rFonts w:cs="Arial"/>
        </w:rPr>
        <w:t xml:space="preserve"> </w:t>
      </w:r>
      <w:r>
        <w:rPr>
          <w:rFonts w:cs="Arial"/>
        </w:rPr>
        <w:t xml:space="preserve">A </w:t>
      </w:r>
      <w:r w:rsidRPr="0034679D">
        <w:rPr>
          <w:rFonts w:cs="Arial"/>
        </w:rPr>
        <w:t xml:space="preserve">Program </w:t>
      </w:r>
      <w:r>
        <w:rPr>
          <w:rFonts w:cs="Arial"/>
        </w:rPr>
        <w:t xml:space="preserve">na podporu </w:t>
      </w:r>
      <w:r w:rsidRPr="0034679D">
        <w:rPr>
          <w:rFonts w:cs="Arial"/>
        </w:rPr>
        <w:t>aplikovaného výzkumu Ministerstva zemědělství na období 20</w:t>
      </w:r>
      <w:r>
        <w:rPr>
          <w:rFonts w:cs="Arial"/>
        </w:rPr>
        <w:t>24</w:t>
      </w:r>
      <w:r w:rsidR="00E71063">
        <w:rPr>
          <w:rFonts w:cs="Arial"/>
        </w:rPr>
        <w:t>–</w:t>
      </w:r>
      <w:r w:rsidRPr="0034679D">
        <w:rPr>
          <w:rFonts w:cs="Arial"/>
        </w:rPr>
        <w:t>20</w:t>
      </w:r>
      <w:r>
        <w:rPr>
          <w:rFonts w:cs="Arial"/>
        </w:rPr>
        <w:t>32</w:t>
      </w:r>
      <w:r w:rsidRPr="0034679D">
        <w:rPr>
          <w:rFonts w:cs="Arial"/>
        </w:rPr>
        <w:t>, ZEMĚ</w:t>
      </w:r>
      <w:r>
        <w:rPr>
          <w:rFonts w:cs="Arial"/>
        </w:rPr>
        <w:t xml:space="preserve"> II (dále jen „ZEMĚ II“).</w:t>
      </w:r>
    </w:p>
    <w:p w14:paraId="4161845B" w14:textId="337AD7C3" w:rsidR="00D9495A" w:rsidRPr="003E00D7" w:rsidRDefault="00D9495A" w:rsidP="00D9495A">
      <w:pPr>
        <w:rPr>
          <w:rFonts w:cs="Arial"/>
        </w:rPr>
      </w:pPr>
      <w:r w:rsidRPr="003E00D7">
        <w:rPr>
          <w:rFonts w:cs="Arial"/>
        </w:rPr>
        <w:t xml:space="preserve">Specifické cíle </w:t>
      </w:r>
      <w:r>
        <w:rPr>
          <w:rFonts w:cs="Arial"/>
        </w:rPr>
        <w:t>p</w:t>
      </w:r>
      <w:r w:rsidRPr="003E00D7">
        <w:rPr>
          <w:rFonts w:cs="Arial"/>
        </w:rPr>
        <w:t>rogram</w:t>
      </w:r>
      <w:r>
        <w:rPr>
          <w:rFonts w:cs="Arial"/>
        </w:rPr>
        <w:t>ů ZEMĚ a ZEMĚ II</w:t>
      </w:r>
      <w:r w:rsidRPr="003E00D7">
        <w:rPr>
          <w:rFonts w:cs="Arial"/>
        </w:rPr>
        <w:t xml:space="preserve"> jsou definovány třemi klíčovými oblastmi a devíti výzkumnými směry</w:t>
      </w:r>
      <w:r>
        <w:rPr>
          <w:rFonts w:cs="Arial"/>
        </w:rPr>
        <w:t xml:space="preserve">. Klíčová oblast </w:t>
      </w:r>
      <w:r w:rsidRPr="003E00D7">
        <w:rPr>
          <w:rFonts w:cs="Arial"/>
        </w:rPr>
        <w:t>Udržitelné hospodaření s přírodními zdroji</w:t>
      </w:r>
      <w:r>
        <w:rPr>
          <w:rFonts w:cs="Arial"/>
        </w:rPr>
        <w:t xml:space="preserve"> je mj. naplňována výzkumným směrem Voda. </w:t>
      </w:r>
      <w:r w:rsidRPr="003E00D7">
        <w:rPr>
          <w:rFonts w:cs="Arial"/>
        </w:rPr>
        <w:t xml:space="preserve">Cílem </w:t>
      </w:r>
      <w:r>
        <w:rPr>
          <w:rFonts w:cs="Arial"/>
        </w:rPr>
        <w:t xml:space="preserve">tohoto </w:t>
      </w:r>
      <w:r w:rsidRPr="003E00D7">
        <w:rPr>
          <w:rFonts w:cs="Arial"/>
        </w:rPr>
        <w:t>výzkumného směru je dosažení dobrého ekologického a chemického stavu povrcho</w:t>
      </w:r>
      <w:r>
        <w:rPr>
          <w:rFonts w:cs="Arial"/>
        </w:rPr>
        <w:t>vých vod a dobrého chemického a </w:t>
      </w:r>
      <w:r w:rsidRPr="003E00D7">
        <w:rPr>
          <w:rFonts w:cs="Arial"/>
        </w:rPr>
        <w:t>kvantitativního stavu podzemních vod, zvýšení retence a</w:t>
      </w:r>
      <w:r>
        <w:rPr>
          <w:rFonts w:cs="Arial"/>
        </w:rPr>
        <w:t xml:space="preserve"> akumulace povrchových a </w:t>
      </w:r>
      <w:r w:rsidRPr="003E00D7">
        <w:rPr>
          <w:rFonts w:cs="Arial"/>
        </w:rPr>
        <w:t xml:space="preserve">podzemních vod, snížení rizika jejich znečištění a péče o kvalitu vodních zdrojů před znečištěním z bodových a nebodových zdrojů, omezení kontaminace </w:t>
      </w:r>
      <w:proofErr w:type="spellStart"/>
      <w:r w:rsidRPr="003E00D7">
        <w:rPr>
          <w:rFonts w:cs="Arial"/>
        </w:rPr>
        <w:t>mikropolutanty</w:t>
      </w:r>
      <w:proofErr w:type="spellEnd"/>
      <w:r w:rsidRPr="003E00D7">
        <w:rPr>
          <w:rFonts w:cs="Arial"/>
        </w:rPr>
        <w:t xml:space="preserve"> (</w:t>
      </w:r>
      <w:r w:rsidR="00D93CBB">
        <w:rPr>
          <w:rFonts w:cs="Arial"/>
        </w:rPr>
        <w:t xml:space="preserve">zejména </w:t>
      </w:r>
      <w:r w:rsidRPr="003E00D7">
        <w:rPr>
          <w:rFonts w:cs="Arial"/>
        </w:rPr>
        <w:t>pesticidy</w:t>
      </w:r>
      <w:r w:rsidR="00D93CBB">
        <w:rPr>
          <w:rFonts w:cs="Arial"/>
        </w:rPr>
        <w:t xml:space="preserve"> a</w:t>
      </w:r>
      <w:r w:rsidRPr="003E00D7">
        <w:rPr>
          <w:rFonts w:cs="Arial"/>
        </w:rPr>
        <w:t xml:space="preserve"> farmaky včetně jejich metabolitů), uplatnění nových technologií v oblasti úpravy vod a recyklace vody v oběhu. Dále je výzkumný směr</w:t>
      </w:r>
      <w:r>
        <w:rPr>
          <w:rFonts w:cs="Arial"/>
        </w:rPr>
        <w:t xml:space="preserve"> Voda</w:t>
      </w:r>
      <w:r w:rsidRPr="003E00D7">
        <w:rPr>
          <w:rFonts w:cs="Arial"/>
        </w:rPr>
        <w:t xml:space="preserve"> zamě</w:t>
      </w:r>
      <w:r>
        <w:rPr>
          <w:rFonts w:cs="Arial"/>
        </w:rPr>
        <w:t>řen na optimalizaci hospodaření </w:t>
      </w:r>
      <w:r w:rsidRPr="003E00D7">
        <w:rPr>
          <w:rFonts w:cs="Arial"/>
        </w:rPr>
        <w:t>s vodou s cílem eliminovat projevy hydrologických extrémů a navrhnout systém adaptačních opatření k jejich zmírnění</w:t>
      </w:r>
      <w:r>
        <w:rPr>
          <w:rFonts w:cs="Arial"/>
        </w:rPr>
        <w:t>.</w:t>
      </w:r>
    </w:p>
    <w:p w14:paraId="551F5C4B" w14:textId="77777777" w:rsidR="00D9495A" w:rsidRPr="00575215" w:rsidRDefault="00D9495A" w:rsidP="00D9495A">
      <w:pPr>
        <w:rPr>
          <w:rFonts w:cs="Arial"/>
          <w:b/>
        </w:rPr>
      </w:pPr>
    </w:p>
    <w:p w14:paraId="2F247CCB" w14:textId="5E4BEEC6" w:rsidR="00D9495A" w:rsidRPr="00BC556F" w:rsidRDefault="00D9495A" w:rsidP="00D9495A">
      <w:pPr>
        <w:rPr>
          <w:rFonts w:cs="Arial"/>
        </w:rPr>
      </w:pPr>
      <w:r w:rsidRPr="00FA19F6">
        <w:rPr>
          <w:rFonts w:cs="Arial"/>
        </w:rPr>
        <w:t xml:space="preserve">V rámci dlouhodobých koncepcí rozvoje výzkumných organizací byla některými výzkumnými organizacemi řešena i problematika </w:t>
      </w:r>
      <w:r w:rsidRPr="005E410D">
        <w:rPr>
          <w:rFonts w:cs="Arial"/>
        </w:rPr>
        <w:t xml:space="preserve">vodního hospodářství. Jedná se především o Výzkumný ústav monitoringu a ochranu půdy, v. v. i., </w:t>
      </w:r>
      <w:r w:rsidRPr="005E410D">
        <w:rPr>
          <w:rFonts w:cs="Arial"/>
          <w:color w:val="000000"/>
        </w:rPr>
        <w:t xml:space="preserve">Národní centrum zemědělského a potravinářského výzkumu, </w:t>
      </w:r>
      <w:proofErr w:type="spellStart"/>
      <w:r w:rsidRPr="005E410D">
        <w:rPr>
          <w:rFonts w:cs="Arial"/>
          <w:color w:val="000000"/>
        </w:rPr>
        <w:t>v.v.i</w:t>
      </w:r>
      <w:proofErr w:type="spellEnd"/>
      <w:r w:rsidRPr="005E410D">
        <w:rPr>
          <w:rFonts w:cs="Arial"/>
          <w:color w:val="000000"/>
        </w:rPr>
        <w:t>.</w:t>
      </w:r>
      <w:r w:rsidR="00E81F71">
        <w:rPr>
          <w:rFonts w:cs="Arial"/>
        </w:rPr>
        <w:t xml:space="preserve"> </w:t>
      </w:r>
      <w:r w:rsidRPr="00170751">
        <w:rPr>
          <w:rFonts w:cs="Arial"/>
        </w:rPr>
        <w:t xml:space="preserve">a v menší míře o Výzkumný ústav lesního hospodářství a myslivosti, v. v. i. Na tuto výzkumnou oblast byla v roce 2025 výzkumným organizacím poskytnuta </w:t>
      </w:r>
      <w:bookmarkStart w:id="218" w:name="_Hlk189820008"/>
      <w:r w:rsidRPr="00170751">
        <w:rPr>
          <w:rFonts w:cs="Arial"/>
        </w:rPr>
        <w:t xml:space="preserve">institucionální podpora </w:t>
      </w:r>
      <w:bookmarkEnd w:id="218"/>
      <w:r w:rsidRPr="00170751">
        <w:rPr>
          <w:rFonts w:cs="Arial"/>
        </w:rPr>
        <w:t>ve výši cca</w:t>
      </w:r>
      <w:bookmarkStart w:id="219" w:name="_Hlk189820097"/>
      <w:r w:rsidRPr="00170751">
        <w:rPr>
          <w:rFonts w:cs="Arial"/>
        </w:rPr>
        <w:t xml:space="preserve"> 10 214 tis. Kč</w:t>
      </w:r>
      <w:bookmarkEnd w:id="219"/>
      <w:r w:rsidRPr="00170751">
        <w:rPr>
          <w:rFonts w:cs="Arial"/>
        </w:rPr>
        <w:t>.</w:t>
      </w:r>
    </w:p>
    <w:p w14:paraId="25D43F88" w14:textId="77777777" w:rsidR="00D9495A" w:rsidRPr="00BC556F" w:rsidRDefault="00D9495A" w:rsidP="00D9495A">
      <w:pPr>
        <w:rPr>
          <w:rFonts w:cs="Arial"/>
        </w:rPr>
      </w:pPr>
      <w:r w:rsidRPr="00BC556F">
        <w:rPr>
          <w:rFonts w:cs="Arial"/>
        </w:rPr>
        <w:t xml:space="preserve"> </w:t>
      </w:r>
    </w:p>
    <w:p w14:paraId="5A95F855" w14:textId="77777777" w:rsidR="00D9495A" w:rsidRPr="00575215" w:rsidRDefault="00D9495A" w:rsidP="00D9495A">
      <w:pPr>
        <w:rPr>
          <w:rFonts w:cs="Arial"/>
        </w:rPr>
      </w:pPr>
      <w:r w:rsidRPr="00575215">
        <w:rPr>
          <w:rFonts w:cs="Arial"/>
        </w:rPr>
        <w:t xml:space="preserve">Veřejně přístupné údaje o projektech </w:t>
      </w:r>
      <w:proofErr w:type="spellStart"/>
      <w:r w:rsidRPr="00575215">
        <w:rPr>
          <w:rFonts w:cs="Arial"/>
        </w:rPr>
        <w:t>VaV</w:t>
      </w:r>
      <w:proofErr w:type="spellEnd"/>
      <w:r w:rsidRPr="00575215">
        <w:rPr>
          <w:rFonts w:cs="Arial"/>
        </w:rPr>
        <w:t xml:space="preserve"> a o poskytnuté institucionální podpoře na dlouhodobý koncepční rozvoj jsou dostupné na internetových stránkách </w:t>
      </w:r>
      <w:r>
        <w:rPr>
          <w:rFonts w:cs="Arial"/>
        </w:rPr>
        <w:t xml:space="preserve">Informačního systému výzkumu, vývoje a inovací </w:t>
      </w:r>
      <w:hyperlink r:id="rId128" w:history="1">
        <w:r w:rsidRPr="00121C22">
          <w:rPr>
            <w:rStyle w:val="Hypertextovodkaz"/>
            <w:rFonts w:cs="Arial"/>
          </w:rPr>
          <w:t>https://www.isvavai.cz/</w:t>
        </w:r>
      </w:hyperlink>
      <w:r>
        <w:rPr>
          <w:rFonts w:cs="Arial"/>
        </w:rPr>
        <w:t xml:space="preserve"> </w:t>
      </w:r>
      <w:r w:rsidRPr="00575215">
        <w:rPr>
          <w:rFonts w:cs="Arial"/>
        </w:rPr>
        <w:t>(</w:t>
      </w:r>
      <w:proofErr w:type="gramStart"/>
      <w:r w:rsidRPr="00575215">
        <w:rPr>
          <w:rFonts w:cs="Arial"/>
        </w:rPr>
        <w:t>CEP - Centrální</w:t>
      </w:r>
      <w:proofErr w:type="gramEnd"/>
      <w:r w:rsidRPr="00575215">
        <w:rPr>
          <w:rFonts w:cs="Arial"/>
        </w:rPr>
        <w:t xml:space="preserve"> evidenc</w:t>
      </w:r>
      <w:r>
        <w:rPr>
          <w:rFonts w:cs="Arial"/>
        </w:rPr>
        <w:t>e</w:t>
      </w:r>
      <w:r w:rsidRPr="00575215">
        <w:rPr>
          <w:rFonts w:cs="Arial"/>
        </w:rPr>
        <w:t xml:space="preserve"> projektů, CEA – </w:t>
      </w:r>
      <w:r>
        <w:rPr>
          <w:rFonts w:cs="Arial"/>
        </w:rPr>
        <w:t>C</w:t>
      </w:r>
      <w:r w:rsidRPr="00575215">
        <w:rPr>
          <w:rFonts w:cs="Arial"/>
        </w:rPr>
        <w:t xml:space="preserve">entrální evidence aktivit). Údaje o výsledcích vzešlých z řešení výzkumných aktivit jsou dostupné tamtéž v Rejstříku informací o </w:t>
      </w:r>
      <w:proofErr w:type="gramStart"/>
      <w:r w:rsidRPr="00575215">
        <w:rPr>
          <w:rFonts w:cs="Arial"/>
        </w:rPr>
        <w:t>výsledcích - RIV</w:t>
      </w:r>
      <w:proofErr w:type="gramEnd"/>
      <w:r w:rsidRPr="00575215">
        <w:rPr>
          <w:rFonts w:cs="Arial"/>
        </w:rPr>
        <w:t>.</w:t>
      </w:r>
    </w:p>
    <w:p w14:paraId="7FCEE5A2" w14:textId="77777777" w:rsidR="006D4792" w:rsidRPr="00104F7D" w:rsidRDefault="006D4792" w:rsidP="007C4955">
      <w:pPr>
        <w:pStyle w:val="Textpsmene"/>
        <w:numPr>
          <w:ilvl w:val="0"/>
          <w:numId w:val="0"/>
        </w:numPr>
        <w:contextualSpacing/>
        <w:rPr>
          <w:rFonts w:ascii="Arial" w:hAnsi="Arial" w:cs="Arial"/>
          <w:b/>
          <w:i/>
          <w:color w:val="FF0000"/>
          <w:sz w:val="22"/>
          <w:szCs w:val="22"/>
          <w:highlight w:val="yellow"/>
        </w:rPr>
      </w:pPr>
    </w:p>
    <w:p w14:paraId="24627986" w14:textId="45FCEC85" w:rsidR="00396E52" w:rsidRPr="00F15158" w:rsidRDefault="002B1584" w:rsidP="007C4955">
      <w:pPr>
        <w:pStyle w:val="Textpsmene"/>
        <w:numPr>
          <w:ilvl w:val="0"/>
          <w:numId w:val="0"/>
        </w:numPr>
        <w:contextualSpacing/>
        <w:rPr>
          <w:rFonts w:ascii="Arial" w:hAnsi="Arial" w:cs="Arial"/>
          <w:b/>
          <w:i/>
          <w:color w:val="000000" w:themeColor="text1"/>
          <w:sz w:val="22"/>
          <w:szCs w:val="22"/>
        </w:rPr>
      </w:pPr>
      <w:r w:rsidRPr="00F15158">
        <w:rPr>
          <w:rFonts w:ascii="Arial" w:hAnsi="Arial" w:cs="Arial"/>
          <w:b/>
          <w:i/>
          <w:color w:val="000000" w:themeColor="text1"/>
          <w:sz w:val="22"/>
          <w:szCs w:val="22"/>
        </w:rPr>
        <w:t>Tabulka 1</w:t>
      </w:r>
      <w:r w:rsidR="00FA30F5" w:rsidRPr="00F15158">
        <w:rPr>
          <w:rFonts w:ascii="Arial" w:hAnsi="Arial" w:cs="Arial"/>
          <w:b/>
          <w:i/>
          <w:color w:val="000000" w:themeColor="text1"/>
          <w:sz w:val="22"/>
          <w:szCs w:val="22"/>
        </w:rPr>
        <w:t>5</w:t>
      </w:r>
      <w:r w:rsidRPr="00F15158">
        <w:rPr>
          <w:rFonts w:ascii="Arial" w:hAnsi="Arial" w:cs="Arial"/>
          <w:b/>
          <w:i/>
          <w:color w:val="000000" w:themeColor="text1"/>
          <w:sz w:val="22"/>
          <w:szCs w:val="22"/>
        </w:rPr>
        <w:t>.1.</w:t>
      </w:r>
      <w:r w:rsidR="008131A0" w:rsidRPr="00F15158">
        <w:rPr>
          <w:rFonts w:ascii="Arial" w:hAnsi="Arial" w:cs="Arial"/>
          <w:b/>
          <w:i/>
          <w:color w:val="000000" w:themeColor="text1"/>
          <w:sz w:val="22"/>
          <w:szCs w:val="22"/>
        </w:rPr>
        <w:t>1</w:t>
      </w:r>
      <w:r w:rsidRPr="00F15158">
        <w:rPr>
          <w:rFonts w:ascii="Arial" w:hAnsi="Arial" w:cs="Arial"/>
          <w:b/>
          <w:i/>
          <w:color w:val="000000" w:themeColor="text1"/>
          <w:sz w:val="22"/>
          <w:szCs w:val="22"/>
        </w:rPr>
        <w:tab/>
      </w:r>
    </w:p>
    <w:p w14:paraId="321DD416" w14:textId="182DA22C" w:rsidR="005C6BA4" w:rsidRPr="00F15158" w:rsidRDefault="002B1584" w:rsidP="007C4955">
      <w:pPr>
        <w:pStyle w:val="Textpsmene"/>
        <w:numPr>
          <w:ilvl w:val="0"/>
          <w:numId w:val="0"/>
        </w:numPr>
        <w:contextualSpacing/>
        <w:rPr>
          <w:rFonts w:ascii="Arial" w:hAnsi="Arial" w:cs="Arial"/>
          <w:b/>
          <w:i/>
          <w:color w:val="000000" w:themeColor="text1"/>
          <w:sz w:val="22"/>
          <w:szCs w:val="22"/>
        </w:rPr>
      </w:pPr>
      <w:r w:rsidRPr="00F15158">
        <w:rPr>
          <w:rFonts w:ascii="Arial" w:hAnsi="Arial" w:cs="Arial"/>
          <w:b/>
          <w:i/>
          <w:color w:val="000000" w:themeColor="text1"/>
          <w:sz w:val="22"/>
          <w:szCs w:val="22"/>
        </w:rPr>
        <w:t>Projekty výzkumu a vývoje v oblasti vodního hospodářství financované z kapitoly M</w:t>
      </w:r>
      <w:r w:rsidR="00396E52" w:rsidRPr="00F15158">
        <w:rPr>
          <w:rFonts w:ascii="Arial" w:hAnsi="Arial" w:cs="Arial"/>
          <w:b/>
          <w:i/>
          <w:color w:val="000000" w:themeColor="text1"/>
          <w:sz w:val="22"/>
          <w:szCs w:val="22"/>
        </w:rPr>
        <w:t>inisterstva zemědělství</w:t>
      </w:r>
      <w:r w:rsidR="00F03EFF" w:rsidRPr="00F15158">
        <w:rPr>
          <w:rFonts w:ascii="Arial" w:hAnsi="Arial" w:cs="Arial"/>
          <w:b/>
          <w:i/>
          <w:color w:val="000000" w:themeColor="text1"/>
          <w:sz w:val="22"/>
          <w:szCs w:val="22"/>
        </w:rPr>
        <w:t xml:space="preserve"> v roce 202</w:t>
      </w:r>
      <w:r w:rsidR="00F15158">
        <w:rPr>
          <w:rFonts w:ascii="Arial" w:hAnsi="Arial" w:cs="Arial"/>
          <w:b/>
          <w:i/>
          <w:color w:val="000000" w:themeColor="text1"/>
          <w:sz w:val="22"/>
          <w:szCs w:val="22"/>
        </w:rPr>
        <w:t>5</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6"/>
        <w:gridCol w:w="4111"/>
        <w:gridCol w:w="1276"/>
        <w:gridCol w:w="1984"/>
        <w:gridCol w:w="1134"/>
      </w:tblGrid>
      <w:tr w:rsidR="007E29E1" w:rsidRPr="00104F7D" w14:paraId="327C0001" w14:textId="77777777" w:rsidTr="007E29E1">
        <w:trPr>
          <w:trHeight w:val="575"/>
        </w:trPr>
        <w:tc>
          <w:tcPr>
            <w:tcW w:w="1276" w:type="dxa"/>
            <w:tcBorders>
              <w:top w:val="single" w:sz="4" w:space="0" w:color="auto"/>
              <w:left w:val="single" w:sz="4" w:space="0" w:color="auto"/>
              <w:bottom w:val="single" w:sz="4" w:space="0" w:color="auto"/>
              <w:right w:val="single" w:sz="4" w:space="0" w:color="auto"/>
            </w:tcBorders>
            <w:shd w:val="clear" w:color="auto" w:fill="AEAAAA"/>
            <w:vAlign w:val="center"/>
          </w:tcPr>
          <w:p w14:paraId="383FF365" w14:textId="77777777" w:rsidR="007E29E1" w:rsidRPr="007C7064" w:rsidRDefault="007E29E1" w:rsidP="00EC1043">
            <w:pPr>
              <w:contextualSpacing/>
              <w:jc w:val="center"/>
              <w:rPr>
                <w:rFonts w:cs="Arial"/>
                <w:b/>
                <w:bCs/>
                <w:color w:val="000000" w:themeColor="text1"/>
                <w:sz w:val="18"/>
                <w:szCs w:val="18"/>
              </w:rPr>
            </w:pPr>
            <w:r w:rsidRPr="007C7064">
              <w:rPr>
                <w:rFonts w:cs="Arial"/>
                <w:b/>
                <w:bCs/>
                <w:color w:val="000000" w:themeColor="text1"/>
                <w:sz w:val="18"/>
                <w:szCs w:val="18"/>
              </w:rPr>
              <w:t>Projekt č.</w:t>
            </w:r>
          </w:p>
        </w:tc>
        <w:tc>
          <w:tcPr>
            <w:tcW w:w="4111" w:type="dxa"/>
            <w:tcBorders>
              <w:top w:val="single" w:sz="4" w:space="0" w:color="auto"/>
              <w:left w:val="single" w:sz="4" w:space="0" w:color="auto"/>
              <w:bottom w:val="single" w:sz="4" w:space="0" w:color="auto"/>
              <w:right w:val="single" w:sz="4" w:space="0" w:color="auto"/>
            </w:tcBorders>
            <w:shd w:val="clear" w:color="auto" w:fill="AEAAAA"/>
            <w:vAlign w:val="center"/>
          </w:tcPr>
          <w:p w14:paraId="08693EE3" w14:textId="77777777" w:rsidR="007E29E1" w:rsidRPr="007C7064" w:rsidRDefault="007E29E1" w:rsidP="00EC1043">
            <w:pPr>
              <w:contextualSpacing/>
              <w:jc w:val="center"/>
              <w:rPr>
                <w:rFonts w:cs="Arial"/>
                <w:b/>
                <w:bCs/>
                <w:color w:val="000000" w:themeColor="text1"/>
                <w:sz w:val="18"/>
                <w:szCs w:val="18"/>
              </w:rPr>
            </w:pPr>
            <w:r w:rsidRPr="007C7064">
              <w:rPr>
                <w:rFonts w:cs="Arial"/>
                <w:b/>
                <w:bCs/>
                <w:color w:val="000000" w:themeColor="text1"/>
                <w:sz w:val="18"/>
                <w:szCs w:val="18"/>
              </w:rPr>
              <w:t>Název projektu</w:t>
            </w:r>
          </w:p>
        </w:tc>
        <w:tc>
          <w:tcPr>
            <w:tcW w:w="1276" w:type="dxa"/>
            <w:tcBorders>
              <w:top w:val="single" w:sz="4" w:space="0" w:color="auto"/>
              <w:left w:val="single" w:sz="4" w:space="0" w:color="auto"/>
              <w:bottom w:val="single" w:sz="4" w:space="0" w:color="auto"/>
              <w:right w:val="single" w:sz="4" w:space="0" w:color="auto"/>
            </w:tcBorders>
            <w:shd w:val="clear" w:color="auto" w:fill="AEAAAA"/>
            <w:vAlign w:val="center"/>
          </w:tcPr>
          <w:p w14:paraId="489E5219" w14:textId="0C9F35F7" w:rsidR="007E29E1" w:rsidRPr="007C7064" w:rsidRDefault="001F2AF1" w:rsidP="00EC1043">
            <w:pPr>
              <w:contextualSpacing/>
              <w:jc w:val="center"/>
              <w:rPr>
                <w:rFonts w:cs="Arial"/>
                <w:b/>
                <w:bCs/>
                <w:color w:val="000000" w:themeColor="text1"/>
                <w:sz w:val="18"/>
                <w:szCs w:val="18"/>
              </w:rPr>
            </w:pPr>
            <w:r w:rsidRPr="007C7064">
              <w:rPr>
                <w:rFonts w:cs="Arial"/>
                <w:b/>
                <w:bCs/>
                <w:color w:val="000000" w:themeColor="text1"/>
                <w:sz w:val="18"/>
                <w:szCs w:val="18"/>
              </w:rPr>
              <w:t>od–do</w:t>
            </w:r>
          </w:p>
        </w:tc>
        <w:tc>
          <w:tcPr>
            <w:tcW w:w="1984" w:type="dxa"/>
            <w:tcBorders>
              <w:top w:val="single" w:sz="4" w:space="0" w:color="auto"/>
              <w:left w:val="single" w:sz="4" w:space="0" w:color="auto"/>
              <w:bottom w:val="single" w:sz="4" w:space="0" w:color="auto"/>
              <w:right w:val="single" w:sz="4" w:space="0" w:color="auto"/>
            </w:tcBorders>
            <w:shd w:val="clear" w:color="auto" w:fill="AEAAAA"/>
            <w:vAlign w:val="center"/>
          </w:tcPr>
          <w:p w14:paraId="7CC0556E" w14:textId="77777777" w:rsidR="007E29E1" w:rsidRPr="007C7064" w:rsidRDefault="007E29E1" w:rsidP="00EC1043">
            <w:pPr>
              <w:contextualSpacing/>
              <w:jc w:val="center"/>
              <w:rPr>
                <w:rFonts w:cs="Arial"/>
                <w:b/>
                <w:bCs/>
                <w:color w:val="000000" w:themeColor="text1"/>
                <w:sz w:val="18"/>
                <w:szCs w:val="18"/>
              </w:rPr>
            </w:pPr>
            <w:r w:rsidRPr="007C7064">
              <w:rPr>
                <w:rFonts w:cs="Arial"/>
                <w:b/>
                <w:bCs/>
                <w:color w:val="000000" w:themeColor="text1"/>
                <w:sz w:val="18"/>
                <w:szCs w:val="18"/>
              </w:rPr>
              <w:t>koordinátor</w:t>
            </w:r>
          </w:p>
        </w:tc>
        <w:tc>
          <w:tcPr>
            <w:tcW w:w="1134" w:type="dxa"/>
            <w:tcBorders>
              <w:top w:val="single" w:sz="4" w:space="0" w:color="auto"/>
              <w:left w:val="single" w:sz="4" w:space="0" w:color="auto"/>
              <w:bottom w:val="single" w:sz="4" w:space="0" w:color="auto"/>
              <w:right w:val="single" w:sz="4" w:space="0" w:color="auto"/>
            </w:tcBorders>
            <w:shd w:val="clear" w:color="auto" w:fill="AEAAAA"/>
            <w:vAlign w:val="center"/>
          </w:tcPr>
          <w:p w14:paraId="799A60AF" w14:textId="77777777" w:rsidR="007E29E1" w:rsidRPr="007C7064" w:rsidRDefault="007E29E1" w:rsidP="00EC1043">
            <w:pPr>
              <w:contextualSpacing/>
              <w:jc w:val="center"/>
              <w:rPr>
                <w:rFonts w:cs="Arial"/>
                <w:b/>
                <w:bCs/>
                <w:color w:val="000000" w:themeColor="text1"/>
                <w:sz w:val="18"/>
                <w:szCs w:val="18"/>
              </w:rPr>
            </w:pPr>
            <w:r w:rsidRPr="007C7064">
              <w:rPr>
                <w:rFonts w:cs="Arial"/>
                <w:b/>
                <w:bCs/>
                <w:color w:val="000000" w:themeColor="text1"/>
                <w:sz w:val="18"/>
                <w:szCs w:val="18"/>
              </w:rPr>
              <w:t>finanční prostředky (tis. Kč)</w:t>
            </w:r>
          </w:p>
        </w:tc>
      </w:tr>
      <w:tr w:rsidR="007C7064" w:rsidRPr="00104F7D" w14:paraId="2CD4351A" w14:textId="77777777" w:rsidTr="007E29E1">
        <w:trPr>
          <w:trHeight w:val="575"/>
        </w:trPr>
        <w:tc>
          <w:tcPr>
            <w:tcW w:w="1276" w:type="dxa"/>
            <w:tcBorders>
              <w:top w:val="single" w:sz="4" w:space="0" w:color="auto"/>
              <w:left w:val="single" w:sz="4" w:space="0" w:color="auto"/>
              <w:bottom w:val="single" w:sz="4" w:space="0" w:color="auto"/>
              <w:right w:val="single" w:sz="4" w:space="0" w:color="auto"/>
            </w:tcBorders>
            <w:vAlign w:val="center"/>
          </w:tcPr>
          <w:p w14:paraId="5A18E587" w14:textId="24687CAC" w:rsidR="007C7064" w:rsidRPr="007C7064" w:rsidRDefault="007C7064" w:rsidP="007C7064">
            <w:pPr>
              <w:contextualSpacing/>
              <w:jc w:val="center"/>
              <w:rPr>
                <w:rFonts w:cs="Arial"/>
                <w:color w:val="000000" w:themeColor="text1"/>
                <w:sz w:val="18"/>
                <w:szCs w:val="18"/>
                <w:highlight w:val="yellow"/>
              </w:rPr>
            </w:pPr>
            <w:r w:rsidRPr="007C7064">
              <w:rPr>
                <w:rFonts w:cs="Arial"/>
                <w:color w:val="000000"/>
                <w:sz w:val="18"/>
                <w:szCs w:val="18"/>
              </w:rPr>
              <w:t>QK21010189</w:t>
            </w:r>
          </w:p>
        </w:tc>
        <w:tc>
          <w:tcPr>
            <w:tcW w:w="4111" w:type="dxa"/>
            <w:tcBorders>
              <w:top w:val="single" w:sz="4" w:space="0" w:color="auto"/>
              <w:left w:val="single" w:sz="4" w:space="0" w:color="auto"/>
              <w:bottom w:val="single" w:sz="4" w:space="0" w:color="auto"/>
              <w:right w:val="single" w:sz="4" w:space="0" w:color="auto"/>
            </w:tcBorders>
            <w:vAlign w:val="center"/>
          </w:tcPr>
          <w:p w14:paraId="258F546F" w14:textId="70B066BF" w:rsidR="007C7064" w:rsidRPr="007C7064" w:rsidRDefault="007C7064" w:rsidP="007C7064">
            <w:pPr>
              <w:contextualSpacing/>
              <w:rPr>
                <w:rFonts w:cs="Arial"/>
                <w:color w:val="000000" w:themeColor="text1"/>
                <w:sz w:val="18"/>
                <w:szCs w:val="18"/>
                <w:highlight w:val="yellow"/>
              </w:rPr>
            </w:pPr>
            <w:r w:rsidRPr="007C7064">
              <w:rPr>
                <w:rFonts w:cs="Arial"/>
                <w:color w:val="000000"/>
                <w:sz w:val="18"/>
                <w:szCs w:val="18"/>
              </w:rPr>
              <w:t>Implementace ekosystémových služeb se zaměřením na vodní bilanci ve vinohradnické praxi</w:t>
            </w:r>
          </w:p>
        </w:tc>
        <w:tc>
          <w:tcPr>
            <w:tcW w:w="1276" w:type="dxa"/>
            <w:tcBorders>
              <w:top w:val="single" w:sz="4" w:space="0" w:color="auto"/>
              <w:left w:val="single" w:sz="4" w:space="0" w:color="auto"/>
              <w:bottom w:val="single" w:sz="4" w:space="0" w:color="auto"/>
              <w:right w:val="single" w:sz="4" w:space="0" w:color="auto"/>
            </w:tcBorders>
            <w:vAlign w:val="center"/>
          </w:tcPr>
          <w:p w14:paraId="4BCA4A74" w14:textId="7337D33A" w:rsidR="007C7064" w:rsidRPr="007C7064" w:rsidRDefault="007C7064" w:rsidP="007C7064">
            <w:pPr>
              <w:contextualSpacing/>
              <w:jc w:val="center"/>
              <w:rPr>
                <w:rFonts w:cs="Arial"/>
                <w:color w:val="000000" w:themeColor="text1"/>
                <w:sz w:val="18"/>
                <w:szCs w:val="18"/>
                <w:highlight w:val="yellow"/>
              </w:rPr>
            </w:pPr>
            <w:r w:rsidRPr="007C7064">
              <w:rPr>
                <w:rFonts w:cs="Arial"/>
                <w:color w:val="000000"/>
                <w:sz w:val="18"/>
                <w:szCs w:val="18"/>
              </w:rPr>
              <w:t xml:space="preserve">1. 1. 2021 </w:t>
            </w:r>
            <w:r w:rsidRPr="007C7064">
              <w:rPr>
                <w:rFonts w:cs="Arial"/>
                <w:color w:val="000000"/>
                <w:sz w:val="18"/>
                <w:szCs w:val="18"/>
              </w:rPr>
              <w:br/>
              <w:t>31. 12. 2025</w:t>
            </w:r>
          </w:p>
        </w:tc>
        <w:tc>
          <w:tcPr>
            <w:tcW w:w="1984" w:type="dxa"/>
            <w:tcBorders>
              <w:top w:val="single" w:sz="4" w:space="0" w:color="auto"/>
              <w:left w:val="single" w:sz="4" w:space="0" w:color="auto"/>
              <w:bottom w:val="single" w:sz="4" w:space="0" w:color="auto"/>
              <w:right w:val="single" w:sz="4" w:space="0" w:color="auto"/>
            </w:tcBorders>
            <w:vAlign w:val="center"/>
          </w:tcPr>
          <w:p w14:paraId="2A971657" w14:textId="44A96973" w:rsidR="007C7064" w:rsidRPr="007C7064" w:rsidRDefault="007C7064" w:rsidP="007C7064">
            <w:pPr>
              <w:contextualSpacing/>
              <w:jc w:val="center"/>
              <w:rPr>
                <w:rFonts w:cs="Arial"/>
                <w:color w:val="000000" w:themeColor="text1"/>
                <w:sz w:val="18"/>
                <w:szCs w:val="18"/>
                <w:highlight w:val="yellow"/>
              </w:rPr>
            </w:pPr>
            <w:r w:rsidRPr="007C7064">
              <w:rPr>
                <w:rFonts w:cs="Arial"/>
                <w:color w:val="000000"/>
                <w:sz w:val="18"/>
                <w:szCs w:val="18"/>
              </w:rPr>
              <w:t xml:space="preserve">Národní centrum zemědělského a potravinářského výzkumu, </w:t>
            </w:r>
            <w:proofErr w:type="spellStart"/>
            <w:r w:rsidRPr="007C7064">
              <w:rPr>
                <w:rFonts w:cs="Arial"/>
                <w:color w:val="000000"/>
                <w:sz w:val="18"/>
                <w:szCs w:val="18"/>
              </w:rPr>
              <w:t>v.v.i</w:t>
            </w:r>
            <w:proofErr w:type="spellEnd"/>
            <w:r w:rsidRPr="007C7064">
              <w:rPr>
                <w:rFonts w:cs="Arial"/>
                <w:color w:val="00000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0140C50D" w14:textId="3FBE254D" w:rsidR="007C7064" w:rsidRPr="007C7064" w:rsidRDefault="007C7064" w:rsidP="007C7064">
            <w:pPr>
              <w:contextualSpacing/>
              <w:jc w:val="center"/>
              <w:rPr>
                <w:rFonts w:cs="Arial"/>
                <w:color w:val="000000" w:themeColor="text1"/>
                <w:sz w:val="18"/>
                <w:szCs w:val="18"/>
                <w:highlight w:val="yellow"/>
              </w:rPr>
            </w:pPr>
            <w:r w:rsidRPr="007C7064">
              <w:rPr>
                <w:rFonts w:cs="Arial"/>
                <w:sz w:val="18"/>
                <w:szCs w:val="18"/>
              </w:rPr>
              <w:t>3 398, 94</w:t>
            </w:r>
          </w:p>
        </w:tc>
      </w:tr>
      <w:tr w:rsidR="007C7064" w:rsidRPr="00104F7D" w14:paraId="52CABA52" w14:textId="77777777" w:rsidTr="007E29E1">
        <w:trPr>
          <w:trHeight w:val="575"/>
        </w:trPr>
        <w:tc>
          <w:tcPr>
            <w:tcW w:w="1276" w:type="dxa"/>
            <w:tcBorders>
              <w:top w:val="single" w:sz="4" w:space="0" w:color="auto"/>
              <w:left w:val="single" w:sz="4" w:space="0" w:color="auto"/>
              <w:bottom w:val="single" w:sz="4" w:space="0" w:color="auto"/>
              <w:right w:val="single" w:sz="4" w:space="0" w:color="auto"/>
            </w:tcBorders>
            <w:vAlign w:val="center"/>
          </w:tcPr>
          <w:p w14:paraId="6405F4D2" w14:textId="1B8F5324" w:rsidR="007C7064" w:rsidRPr="007C7064" w:rsidRDefault="007C7064" w:rsidP="007C7064">
            <w:pPr>
              <w:contextualSpacing/>
              <w:jc w:val="center"/>
              <w:rPr>
                <w:rFonts w:cs="Arial"/>
                <w:color w:val="000000" w:themeColor="text1"/>
                <w:sz w:val="18"/>
                <w:szCs w:val="18"/>
                <w:highlight w:val="yellow"/>
              </w:rPr>
            </w:pPr>
            <w:r w:rsidRPr="007C7064">
              <w:rPr>
                <w:rFonts w:cs="Arial"/>
                <w:color w:val="000000"/>
                <w:sz w:val="18"/>
                <w:szCs w:val="18"/>
              </w:rPr>
              <w:t>QK21010341</w:t>
            </w:r>
          </w:p>
        </w:tc>
        <w:tc>
          <w:tcPr>
            <w:tcW w:w="4111" w:type="dxa"/>
            <w:tcBorders>
              <w:top w:val="single" w:sz="4" w:space="0" w:color="auto"/>
              <w:left w:val="single" w:sz="4" w:space="0" w:color="auto"/>
              <w:bottom w:val="single" w:sz="4" w:space="0" w:color="auto"/>
              <w:right w:val="single" w:sz="4" w:space="0" w:color="auto"/>
            </w:tcBorders>
            <w:vAlign w:val="center"/>
          </w:tcPr>
          <w:p w14:paraId="09DB9E1C" w14:textId="02B1E9A4" w:rsidR="007C7064" w:rsidRPr="007C7064" w:rsidRDefault="007C7064" w:rsidP="007C7064">
            <w:pPr>
              <w:contextualSpacing/>
              <w:rPr>
                <w:rFonts w:cs="Arial"/>
                <w:color w:val="000000" w:themeColor="text1"/>
                <w:sz w:val="18"/>
                <w:szCs w:val="18"/>
                <w:highlight w:val="yellow"/>
              </w:rPr>
            </w:pPr>
            <w:r w:rsidRPr="007C7064">
              <w:rPr>
                <w:rFonts w:cs="Arial"/>
                <w:color w:val="000000"/>
                <w:sz w:val="18"/>
                <w:szCs w:val="18"/>
              </w:rPr>
              <w:t>Optimalizace souboru opatření pro zemědělská povodí v rámci procesu pozemkových úprav</w:t>
            </w:r>
          </w:p>
        </w:tc>
        <w:tc>
          <w:tcPr>
            <w:tcW w:w="1276" w:type="dxa"/>
            <w:tcBorders>
              <w:top w:val="single" w:sz="4" w:space="0" w:color="auto"/>
              <w:left w:val="single" w:sz="4" w:space="0" w:color="auto"/>
              <w:bottom w:val="single" w:sz="4" w:space="0" w:color="auto"/>
              <w:right w:val="single" w:sz="4" w:space="0" w:color="auto"/>
            </w:tcBorders>
            <w:vAlign w:val="center"/>
          </w:tcPr>
          <w:p w14:paraId="343C7DE9" w14:textId="4B158693" w:rsidR="007C7064" w:rsidRPr="007C7064" w:rsidRDefault="007C7064" w:rsidP="007C7064">
            <w:pPr>
              <w:contextualSpacing/>
              <w:jc w:val="center"/>
              <w:rPr>
                <w:rFonts w:cs="Arial"/>
                <w:color w:val="000000" w:themeColor="text1"/>
                <w:sz w:val="18"/>
                <w:szCs w:val="18"/>
                <w:highlight w:val="yellow"/>
              </w:rPr>
            </w:pPr>
            <w:r w:rsidRPr="007C7064">
              <w:rPr>
                <w:rFonts w:cs="Arial"/>
                <w:color w:val="000000"/>
                <w:sz w:val="18"/>
                <w:szCs w:val="18"/>
              </w:rPr>
              <w:t xml:space="preserve">1. 1. 2021 </w:t>
            </w:r>
            <w:r w:rsidRPr="007C7064">
              <w:rPr>
                <w:rFonts w:cs="Arial"/>
                <w:color w:val="000000"/>
                <w:sz w:val="18"/>
                <w:szCs w:val="18"/>
              </w:rPr>
              <w:br/>
              <w:t>31. 12. 2025</w:t>
            </w:r>
          </w:p>
        </w:tc>
        <w:tc>
          <w:tcPr>
            <w:tcW w:w="1984" w:type="dxa"/>
            <w:tcBorders>
              <w:top w:val="single" w:sz="4" w:space="0" w:color="auto"/>
              <w:left w:val="single" w:sz="4" w:space="0" w:color="auto"/>
              <w:bottom w:val="single" w:sz="4" w:space="0" w:color="auto"/>
              <w:right w:val="single" w:sz="4" w:space="0" w:color="auto"/>
            </w:tcBorders>
            <w:vAlign w:val="center"/>
          </w:tcPr>
          <w:p w14:paraId="0FB72326" w14:textId="76130E28" w:rsidR="007C7064" w:rsidRPr="007C7064" w:rsidRDefault="007C7064" w:rsidP="007C7064">
            <w:pPr>
              <w:contextualSpacing/>
              <w:jc w:val="center"/>
              <w:rPr>
                <w:rFonts w:cs="Arial"/>
                <w:color w:val="000000" w:themeColor="text1"/>
                <w:sz w:val="18"/>
                <w:szCs w:val="18"/>
                <w:highlight w:val="yellow"/>
              </w:rPr>
            </w:pPr>
            <w:r w:rsidRPr="007C7064">
              <w:rPr>
                <w:rFonts w:cs="Arial"/>
                <w:color w:val="000000"/>
                <w:sz w:val="18"/>
                <w:szCs w:val="18"/>
              </w:rPr>
              <w:t xml:space="preserve">Výzkumný ústav monitoringu a ochrany půdy, </w:t>
            </w:r>
            <w:proofErr w:type="spellStart"/>
            <w:r w:rsidRPr="007C7064">
              <w:rPr>
                <w:rFonts w:cs="Arial"/>
                <w:color w:val="000000"/>
                <w:sz w:val="18"/>
                <w:szCs w:val="18"/>
              </w:rPr>
              <w:t>v.v.i</w:t>
            </w:r>
            <w:proofErr w:type="spellEnd"/>
            <w:r w:rsidRPr="007C7064">
              <w:rPr>
                <w:rFonts w:cs="Arial"/>
                <w:color w:val="00000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7FCC1190" w14:textId="7BCCF981" w:rsidR="007C7064" w:rsidRPr="007C7064" w:rsidRDefault="007C7064" w:rsidP="007C7064">
            <w:pPr>
              <w:contextualSpacing/>
              <w:jc w:val="center"/>
              <w:rPr>
                <w:rFonts w:cs="Arial"/>
                <w:color w:val="000000" w:themeColor="text1"/>
                <w:sz w:val="18"/>
                <w:szCs w:val="18"/>
                <w:highlight w:val="yellow"/>
              </w:rPr>
            </w:pPr>
            <w:r w:rsidRPr="007C7064">
              <w:rPr>
                <w:rFonts w:cs="Arial"/>
                <w:sz w:val="18"/>
                <w:szCs w:val="18"/>
              </w:rPr>
              <w:t>3 280, 95</w:t>
            </w:r>
          </w:p>
        </w:tc>
      </w:tr>
      <w:tr w:rsidR="007C7064" w:rsidRPr="00104F7D" w14:paraId="7DF358C5" w14:textId="77777777" w:rsidTr="007E29E1">
        <w:trPr>
          <w:trHeight w:val="575"/>
        </w:trPr>
        <w:tc>
          <w:tcPr>
            <w:tcW w:w="1276" w:type="dxa"/>
            <w:tcBorders>
              <w:top w:val="single" w:sz="4" w:space="0" w:color="auto"/>
              <w:left w:val="single" w:sz="4" w:space="0" w:color="auto"/>
              <w:bottom w:val="single" w:sz="4" w:space="0" w:color="auto"/>
              <w:right w:val="single" w:sz="4" w:space="0" w:color="auto"/>
            </w:tcBorders>
            <w:vAlign w:val="center"/>
          </w:tcPr>
          <w:p w14:paraId="465AC31D" w14:textId="11A69A8C" w:rsidR="007C7064" w:rsidRPr="007C7064" w:rsidRDefault="007C7064" w:rsidP="007C7064">
            <w:pPr>
              <w:contextualSpacing/>
              <w:jc w:val="center"/>
              <w:rPr>
                <w:rFonts w:cs="Arial"/>
                <w:color w:val="000000" w:themeColor="text1"/>
                <w:sz w:val="18"/>
                <w:szCs w:val="18"/>
                <w:highlight w:val="yellow"/>
              </w:rPr>
            </w:pPr>
            <w:r w:rsidRPr="007C7064">
              <w:rPr>
                <w:rFonts w:cs="Arial"/>
                <w:color w:val="000000"/>
                <w:sz w:val="18"/>
                <w:szCs w:val="18"/>
              </w:rPr>
              <w:t>QK22010142</w:t>
            </w:r>
          </w:p>
        </w:tc>
        <w:tc>
          <w:tcPr>
            <w:tcW w:w="4111" w:type="dxa"/>
            <w:tcBorders>
              <w:top w:val="single" w:sz="4" w:space="0" w:color="auto"/>
              <w:left w:val="single" w:sz="4" w:space="0" w:color="auto"/>
              <w:bottom w:val="single" w:sz="4" w:space="0" w:color="auto"/>
              <w:right w:val="single" w:sz="4" w:space="0" w:color="auto"/>
            </w:tcBorders>
            <w:vAlign w:val="center"/>
          </w:tcPr>
          <w:p w14:paraId="3CC6799B" w14:textId="3B0659BF" w:rsidR="007C7064" w:rsidRPr="007C7064" w:rsidRDefault="007C7064" w:rsidP="007C7064">
            <w:pPr>
              <w:contextualSpacing/>
              <w:rPr>
                <w:rFonts w:cs="Arial"/>
                <w:color w:val="000000" w:themeColor="text1"/>
                <w:sz w:val="18"/>
                <w:szCs w:val="18"/>
                <w:highlight w:val="yellow"/>
              </w:rPr>
            </w:pPr>
            <w:r w:rsidRPr="007C7064">
              <w:rPr>
                <w:rFonts w:cs="Arial"/>
                <w:color w:val="000000"/>
                <w:sz w:val="18"/>
                <w:szCs w:val="18"/>
              </w:rPr>
              <w:br/>
              <w:t>Záchrana populace topolu černého a jeho využití ve vodohospodářství a lesnictví</w:t>
            </w:r>
          </w:p>
        </w:tc>
        <w:tc>
          <w:tcPr>
            <w:tcW w:w="1276" w:type="dxa"/>
            <w:tcBorders>
              <w:top w:val="single" w:sz="4" w:space="0" w:color="auto"/>
              <w:left w:val="single" w:sz="4" w:space="0" w:color="auto"/>
              <w:bottom w:val="single" w:sz="4" w:space="0" w:color="auto"/>
              <w:right w:val="single" w:sz="4" w:space="0" w:color="auto"/>
            </w:tcBorders>
            <w:vAlign w:val="center"/>
          </w:tcPr>
          <w:p w14:paraId="11402810" w14:textId="77777777" w:rsidR="007C7064" w:rsidRPr="007C7064" w:rsidRDefault="007C7064" w:rsidP="007C7064">
            <w:pPr>
              <w:contextualSpacing/>
              <w:jc w:val="center"/>
              <w:rPr>
                <w:rFonts w:cs="Arial"/>
                <w:color w:val="000000"/>
                <w:sz w:val="18"/>
                <w:szCs w:val="18"/>
              </w:rPr>
            </w:pPr>
            <w:r w:rsidRPr="007C7064">
              <w:rPr>
                <w:rFonts w:cs="Arial"/>
                <w:color w:val="000000"/>
                <w:sz w:val="18"/>
                <w:szCs w:val="18"/>
              </w:rPr>
              <w:t>01/2022</w:t>
            </w:r>
          </w:p>
          <w:p w14:paraId="552DCC8F" w14:textId="654DA662" w:rsidR="007C7064" w:rsidRPr="007C7064" w:rsidRDefault="007C7064" w:rsidP="007C7064">
            <w:pPr>
              <w:contextualSpacing/>
              <w:jc w:val="center"/>
              <w:rPr>
                <w:rFonts w:cs="Arial"/>
                <w:color w:val="000000" w:themeColor="text1"/>
                <w:sz w:val="18"/>
                <w:szCs w:val="18"/>
                <w:highlight w:val="yellow"/>
              </w:rPr>
            </w:pPr>
            <w:r w:rsidRPr="007C7064">
              <w:rPr>
                <w:rFonts w:cs="Arial"/>
                <w:color w:val="000000"/>
                <w:sz w:val="18"/>
                <w:szCs w:val="18"/>
              </w:rPr>
              <w:t>12/2025</w:t>
            </w:r>
          </w:p>
        </w:tc>
        <w:tc>
          <w:tcPr>
            <w:tcW w:w="1984" w:type="dxa"/>
            <w:tcBorders>
              <w:top w:val="single" w:sz="4" w:space="0" w:color="auto"/>
              <w:left w:val="single" w:sz="4" w:space="0" w:color="auto"/>
              <w:bottom w:val="single" w:sz="4" w:space="0" w:color="auto"/>
              <w:right w:val="single" w:sz="4" w:space="0" w:color="auto"/>
            </w:tcBorders>
            <w:vAlign w:val="center"/>
          </w:tcPr>
          <w:p w14:paraId="42C5F28A" w14:textId="77777777" w:rsidR="007C7064" w:rsidRPr="007C7064" w:rsidRDefault="007C7064" w:rsidP="007C7064">
            <w:pPr>
              <w:jc w:val="center"/>
              <w:rPr>
                <w:rFonts w:cs="Arial"/>
                <w:sz w:val="18"/>
                <w:szCs w:val="18"/>
              </w:rPr>
            </w:pPr>
            <w:r w:rsidRPr="007C7064">
              <w:rPr>
                <w:rFonts w:cs="Arial"/>
                <w:sz w:val="18"/>
                <w:szCs w:val="18"/>
              </w:rPr>
              <w:t>Výzkumný ústav pro krajinu,</w:t>
            </w:r>
          </w:p>
          <w:p w14:paraId="3EF67FE9" w14:textId="77777777" w:rsidR="007C7064" w:rsidRPr="007C7064" w:rsidRDefault="007C7064" w:rsidP="007C7064">
            <w:pPr>
              <w:jc w:val="center"/>
              <w:rPr>
                <w:rFonts w:cs="Arial"/>
                <w:sz w:val="18"/>
                <w:szCs w:val="18"/>
              </w:rPr>
            </w:pPr>
            <w:r w:rsidRPr="007C7064">
              <w:rPr>
                <w:rFonts w:cs="Arial"/>
                <w:sz w:val="18"/>
                <w:szCs w:val="18"/>
              </w:rPr>
              <w:t>v. v. i.</w:t>
            </w:r>
          </w:p>
          <w:p w14:paraId="590D6237" w14:textId="6EF4DCC2" w:rsidR="007C7064" w:rsidRPr="007C7064" w:rsidRDefault="007C7064" w:rsidP="007C7064">
            <w:pPr>
              <w:contextualSpacing/>
              <w:jc w:val="center"/>
              <w:rPr>
                <w:rFonts w:cs="Arial"/>
                <w:color w:val="000000" w:themeColor="text1"/>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14:paraId="717DB0C5" w14:textId="3C68CE0B" w:rsidR="007C7064" w:rsidRPr="007C7064" w:rsidRDefault="007C7064" w:rsidP="007C7064">
            <w:pPr>
              <w:contextualSpacing/>
              <w:jc w:val="center"/>
              <w:rPr>
                <w:rFonts w:cs="Arial"/>
                <w:color w:val="000000" w:themeColor="text1"/>
                <w:sz w:val="18"/>
                <w:szCs w:val="18"/>
                <w:highlight w:val="yellow"/>
              </w:rPr>
            </w:pPr>
            <w:r w:rsidRPr="007C7064">
              <w:rPr>
                <w:rFonts w:cs="Arial"/>
                <w:sz w:val="18"/>
                <w:szCs w:val="18"/>
              </w:rPr>
              <w:t>2 877. 50</w:t>
            </w:r>
          </w:p>
        </w:tc>
      </w:tr>
      <w:tr w:rsidR="007C7064" w:rsidRPr="00104F7D" w14:paraId="5B77AE2C" w14:textId="77777777" w:rsidTr="007E29E1">
        <w:trPr>
          <w:trHeight w:val="575"/>
        </w:trPr>
        <w:tc>
          <w:tcPr>
            <w:tcW w:w="1276" w:type="dxa"/>
            <w:tcBorders>
              <w:top w:val="single" w:sz="4" w:space="0" w:color="auto"/>
              <w:left w:val="single" w:sz="4" w:space="0" w:color="auto"/>
              <w:bottom w:val="single" w:sz="4" w:space="0" w:color="auto"/>
              <w:right w:val="single" w:sz="4" w:space="0" w:color="auto"/>
            </w:tcBorders>
            <w:vAlign w:val="center"/>
          </w:tcPr>
          <w:p w14:paraId="7BA16A49" w14:textId="13DF049F" w:rsidR="007C7064" w:rsidRPr="007C7064" w:rsidRDefault="007C7064" w:rsidP="007C7064">
            <w:pPr>
              <w:contextualSpacing/>
              <w:jc w:val="center"/>
              <w:rPr>
                <w:rFonts w:cs="Arial"/>
                <w:color w:val="000000" w:themeColor="text1"/>
                <w:sz w:val="18"/>
                <w:szCs w:val="18"/>
                <w:highlight w:val="yellow"/>
              </w:rPr>
            </w:pPr>
            <w:r w:rsidRPr="007C7064">
              <w:rPr>
                <w:rFonts w:cs="Arial"/>
                <w:color w:val="000000"/>
                <w:sz w:val="18"/>
                <w:szCs w:val="18"/>
              </w:rPr>
              <w:t>QK22010189</w:t>
            </w:r>
          </w:p>
        </w:tc>
        <w:tc>
          <w:tcPr>
            <w:tcW w:w="4111" w:type="dxa"/>
            <w:tcBorders>
              <w:top w:val="single" w:sz="4" w:space="0" w:color="auto"/>
              <w:left w:val="single" w:sz="4" w:space="0" w:color="auto"/>
              <w:bottom w:val="single" w:sz="4" w:space="0" w:color="auto"/>
              <w:right w:val="single" w:sz="4" w:space="0" w:color="auto"/>
            </w:tcBorders>
            <w:vAlign w:val="center"/>
          </w:tcPr>
          <w:p w14:paraId="7A7761EF" w14:textId="1DEF164B" w:rsidR="007C7064" w:rsidRPr="007C7064" w:rsidRDefault="007C7064" w:rsidP="007C7064">
            <w:pPr>
              <w:contextualSpacing/>
              <w:rPr>
                <w:rFonts w:cs="Arial"/>
                <w:color w:val="000000" w:themeColor="text1"/>
                <w:sz w:val="18"/>
                <w:szCs w:val="18"/>
                <w:highlight w:val="yellow"/>
              </w:rPr>
            </w:pPr>
            <w:r w:rsidRPr="007C7064">
              <w:rPr>
                <w:rFonts w:cs="Arial"/>
                <w:color w:val="000000"/>
                <w:sz w:val="18"/>
                <w:szCs w:val="18"/>
              </w:rPr>
              <w:t>Vliv odlesnění na vodní režim malých povodí</w:t>
            </w:r>
          </w:p>
        </w:tc>
        <w:tc>
          <w:tcPr>
            <w:tcW w:w="1276" w:type="dxa"/>
            <w:tcBorders>
              <w:top w:val="single" w:sz="4" w:space="0" w:color="auto"/>
              <w:left w:val="single" w:sz="4" w:space="0" w:color="auto"/>
              <w:bottom w:val="single" w:sz="4" w:space="0" w:color="auto"/>
              <w:right w:val="single" w:sz="4" w:space="0" w:color="auto"/>
            </w:tcBorders>
            <w:vAlign w:val="center"/>
          </w:tcPr>
          <w:p w14:paraId="71456049" w14:textId="77777777" w:rsidR="007C7064" w:rsidRPr="007C7064" w:rsidRDefault="007C7064" w:rsidP="007C7064">
            <w:pPr>
              <w:contextualSpacing/>
              <w:jc w:val="center"/>
              <w:rPr>
                <w:rFonts w:cs="Arial"/>
                <w:color w:val="000000"/>
                <w:sz w:val="18"/>
                <w:szCs w:val="18"/>
              </w:rPr>
            </w:pPr>
            <w:r w:rsidRPr="007C7064">
              <w:rPr>
                <w:rFonts w:cs="Arial"/>
                <w:color w:val="000000"/>
                <w:sz w:val="18"/>
                <w:szCs w:val="18"/>
              </w:rPr>
              <w:t>01/2022</w:t>
            </w:r>
          </w:p>
          <w:p w14:paraId="50F511EC" w14:textId="0D8BCDBA" w:rsidR="007C7064" w:rsidRPr="007C7064" w:rsidRDefault="007C7064" w:rsidP="007C7064">
            <w:pPr>
              <w:contextualSpacing/>
              <w:jc w:val="center"/>
              <w:rPr>
                <w:rFonts w:cs="Arial"/>
                <w:color w:val="000000" w:themeColor="text1"/>
                <w:sz w:val="18"/>
                <w:szCs w:val="18"/>
                <w:highlight w:val="yellow"/>
              </w:rPr>
            </w:pPr>
            <w:r w:rsidRPr="007C7064">
              <w:rPr>
                <w:rFonts w:cs="Arial"/>
                <w:color w:val="000000"/>
                <w:sz w:val="18"/>
                <w:szCs w:val="18"/>
              </w:rPr>
              <w:t>12/2025</w:t>
            </w:r>
          </w:p>
        </w:tc>
        <w:tc>
          <w:tcPr>
            <w:tcW w:w="1984" w:type="dxa"/>
            <w:tcBorders>
              <w:top w:val="single" w:sz="4" w:space="0" w:color="auto"/>
              <w:left w:val="single" w:sz="4" w:space="0" w:color="auto"/>
              <w:bottom w:val="single" w:sz="4" w:space="0" w:color="auto"/>
              <w:right w:val="single" w:sz="4" w:space="0" w:color="auto"/>
            </w:tcBorders>
            <w:vAlign w:val="center"/>
          </w:tcPr>
          <w:p w14:paraId="64BD6D90" w14:textId="4DBD575F" w:rsidR="007C7064" w:rsidRPr="007C7064" w:rsidRDefault="007C7064" w:rsidP="007C7064">
            <w:pPr>
              <w:contextualSpacing/>
              <w:jc w:val="center"/>
              <w:rPr>
                <w:rFonts w:cs="Arial"/>
                <w:color w:val="000000" w:themeColor="text1"/>
                <w:sz w:val="18"/>
                <w:szCs w:val="18"/>
                <w:highlight w:val="yellow"/>
              </w:rPr>
            </w:pPr>
            <w:r w:rsidRPr="007C7064">
              <w:rPr>
                <w:rFonts w:cs="Arial"/>
                <w:color w:val="000000"/>
                <w:sz w:val="18"/>
                <w:szCs w:val="18"/>
              </w:rPr>
              <w:t xml:space="preserve">Výzkumný ústav lesního hospodářství a myslivosti, </w:t>
            </w:r>
            <w:proofErr w:type="spellStart"/>
            <w:r w:rsidRPr="007C7064">
              <w:rPr>
                <w:rFonts w:cs="Arial"/>
                <w:color w:val="000000"/>
                <w:sz w:val="18"/>
                <w:szCs w:val="18"/>
              </w:rPr>
              <w:t>v.v.i</w:t>
            </w:r>
            <w:proofErr w:type="spellEnd"/>
            <w:r w:rsidRPr="007C7064">
              <w:rPr>
                <w:rFonts w:cs="Arial"/>
                <w:color w:val="00000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52211D8E" w14:textId="363ECE2D" w:rsidR="007C7064" w:rsidRPr="007C7064" w:rsidRDefault="007C7064" w:rsidP="007C7064">
            <w:pPr>
              <w:contextualSpacing/>
              <w:jc w:val="center"/>
              <w:rPr>
                <w:rFonts w:cs="Arial"/>
                <w:color w:val="000000" w:themeColor="text1"/>
                <w:sz w:val="18"/>
                <w:szCs w:val="18"/>
                <w:highlight w:val="yellow"/>
              </w:rPr>
            </w:pPr>
            <w:r w:rsidRPr="007C7064">
              <w:rPr>
                <w:rFonts w:cs="Arial"/>
                <w:sz w:val="18"/>
                <w:szCs w:val="18"/>
              </w:rPr>
              <w:t>2 834, 22</w:t>
            </w:r>
          </w:p>
        </w:tc>
      </w:tr>
      <w:tr w:rsidR="007C7064" w:rsidRPr="00104F7D" w14:paraId="1CE89181" w14:textId="77777777" w:rsidTr="007E29E1">
        <w:trPr>
          <w:trHeight w:val="575"/>
        </w:trPr>
        <w:tc>
          <w:tcPr>
            <w:tcW w:w="1276" w:type="dxa"/>
            <w:tcBorders>
              <w:top w:val="single" w:sz="4" w:space="0" w:color="auto"/>
              <w:left w:val="single" w:sz="4" w:space="0" w:color="auto"/>
              <w:bottom w:val="single" w:sz="4" w:space="0" w:color="auto"/>
              <w:right w:val="single" w:sz="4" w:space="0" w:color="auto"/>
            </w:tcBorders>
            <w:vAlign w:val="center"/>
          </w:tcPr>
          <w:p w14:paraId="1961A2CE" w14:textId="0155F70B" w:rsidR="007C7064" w:rsidRPr="007C7064" w:rsidRDefault="007C7064" w:rsidP="007C7064">
            <w:pPr>
              <w:contextualSpacing/>
              <w:jc w:val="center"/>
              <w:rPr>
                <w:rFonts w:cs="Arial"/>
                <w:color w:val="000000" w:themeColor="text1"/>
                <w:sz w:val="18"/>
                <w:szCs w:val="18"/>
                <w:highlight w:val="yellow"/>
              </w:rPr>
            </w:pPr>
            <w:r w:rsidRPr="007C7064">
              <w:rPr>
                <w:rFonts w:cs="Arial"/>
                <w:bCs/>
                <w:sz w:val="18"/>
                <w:szCs w:val="18"/>
              </w:rPr>
              <w:t>QK23020002</w:t>
            </w:r>
          </w:p>
        </w:tc>
        <w:tc>
          <w:tcPr>
            <w:tcW w:w="4111" w:type="dxa"/>
            <w:tcBorders>
              <w:top w:val="single" w:sz="4" w:space="0" w:color="auto"/>
              <w:left w:val="single" w:sz="4" w:space="0" w:color="auto"/>
              <w:bottom w:val="single" w:sz="4" w:space="0" w:color="auto"/>
              <w:right w:val="single" w:sz="4" w:space="0" w:color="auto"/>
            </w:tcBorders>
            <w:vAlign w:val="center"/>
          </w:tcPr>
          <w:p w14:paraId="51AF83FD" w14:textId="5EF1E5C8" w:rsidR="007C7064" w:rsidRPr="007C7064" w:rsidRDefault="007C7064" w:rsidP="007C7064">
            <w:pPr>
              <w:contextualSpacing/>
              <w:rPr>
                <w:rFonts w:cs="Arial"/>
                <w:color w:val="000000" w:themeColor="text1"/>
                <w:sz w:val="18"/>
                <w:szCs w:val="18"/>
                <w:highlight w:val="yellow"/>
              </w:rPr>
            </w:pPr>
            <w:r w:rsidRPr="007C7064">
              <w:rPr>
                <w:rFonts w:cs="Arial"/>
                <w:color w:val="000000"/>
                <w:sz w:val="18"/>
                <w:szCs w:val="18"/>
              </w:rPr>
              <w:t>Produkce násad candáta obecného, jejich adaptibilita a optimalizace jejich vysazování do volných vod.</w:t>
            </w:r>
          </w:p>
        </w:tc>
        <w:tc>
          <w:tcPr>
            <w:tcW w:w="1276" w:type="dxa"/>
            <w:tcBorders>
              <w:top w:val="single" w:sz="4" w:space="0" w:color="auto"/>
              <w:left w:val="single" w:sz="4" w:space="0" w:color="auto"/>
              <w:bottom w:val="single" w:sz="4" w:space="0" w:color="auto"/>
              <w:right w:val="single" w:sz="4" w:space="0" w:color="auto"/>
            </w:tcBorders>
            <w:vAlign w:val="center"/>
          </w:tcPr>
          <w:p w14:paraId="54813228" w14:textId="77777777" w:rsidR="007C7064" w:rsidRPr="007C7064" w:rsidRDefault="007C7064" w:rsidP="007C7064">
            <w:pPr>
              <w:jc w:val="center"/>
              <w:rPr>
                <w:rFonts w:cs="Arial"/>
                <w:color w:val="000000"/>
                <w:sz w:val="18"/>
                <w:szCs w:val="18"/>
              </w:rPr>
            </w:pPr>
            <w:r w:rsidRPr="007C7064">
              <w:rPr>
                <w:rFonts w:cs="Arial"/>
                <w:color w:val="000000"/>
                <w:sz w:val="18"/>
                <w:szCs w:val="18"/>
              </w:rPr>
              <w:t>1/2023</w:t>
            </w:r>
          </w:p>
          <w:p w14:paraId="7A225D22" w14:textId="7B6E16AC" w:rsidR="007C7064" w:rsidRPr="007C7064" w:rsidRDefault="007C7064" w:rsidP="007C7064">
            <w:pPr>
              <w:contextualSpacing/>
              <w:jc w:val="center"/>
              <w:rPr>
                <w:rFonts w:cs="Arial"/>
                <w:color w:val="000000" w:themeColor="text1"/>
                <w:sz w:val="18"/>
                <w:szCs w:val="18"/>
                <w:highlight w:val="yellow"/>
              </w:rPr>
            </w:pPr>
            <w:r w:rsidRPr="007C7064">
              <w:rPr>
                <w:rFonts w:cs="Arial"/>
                <w:color w:val="000000"/>
                <w:sz w:val="18"/>
                <w:szCs w:val="18"/>
              </w:rPr>
              <w:t>12/2025</w:t>
            </w:r>
          </w:p>
        </w:tc>
        <w:tc>
          <w:tcPr>
            <w:tcW w:w="1984" w:type="dxa"/>
            <w:tcBorders>
              <w:top w:val="single" w:sz="4" w:space="0" w:color="auto"/>
              <w:left w:val="single" w:sz="4" w:space="0" w:color="auto"/>
              <w:bottom w:val="single" w:sz="4" w:space="0" w:color="auto"/>
              <w:right w:val="single" w:sz="4" w:space="0" w:color="auto"/>
            </w:tcBorders>
            <w:vAlign w:val="center"/>
          </w:tcPr>
          <w:p w14:paraId="135BD93D" w14:textId="55177132" w:rsidR="007C7064" w:rsidRPr="007C7064" w:rsidRDefault="007C7064" w:rsidP="007C7064">
            <w:pPr>
              <w:contextualSpacing/>
              <w:jc w:val="center"/>
              <w:rPr>
                <w:rFonts w:cs="Arial"/>
                <w:color w:val="000000" w:themeColor="text1"/>
                <w:sz w:val="18"/>
                <w:szCs w:val="18"/>
                <w:highlight w:val="yellow"/>
              </w:rPr>
            </w:pPr>
            <w:r w:rsidRPr="007C7064">
              <w:rPr>
                <w:rFonts w:cs="Arial"/>
                <w:color w:val="000000"/>
                <w:sz w:val="18"/>
                <w:szCs w:val="18"/>
              </w:rPr>
              <w:t>Biologické centrum AV ČR, v. v. i.</w:t>
            </w:r>
          </w:p>
        </w:tc>
        <w:tc>
          <w:tcPr>
            <w:tcW w:w="1134" w:type="dxa"/>
            <w:tcBorders>
              <w:top w:val="single" w:sz="4" w:space="0" w:color="auto"/>
              <w:left w:val="single" w:sz="4" w:space="0" w:color="auto"/>
              <w:bottom w:val="single" w:sz="4" w:space="0" w:color="auto"/>
              <w:right w:val="single" w:sz="4" w:space="0" w:color="auto"/>
            </w:tcBorders>
            <w:vAlign w:val="center"/>
          </w:tcPr>
          <w:p w14:paraId="45A9C49D" w14:textId="64E5370F" w:rsidR="007C7064" w:rsidRPr="007C7064" w:rsidRDefault="007C7064" w:rsidP="007C7064">
            <w:pPr>
              <w:contextualSpacing/>
              <w:jc w:val="center"/>
              <w:rPr>
                <w:rFonts w:cs="Arial"/>
                <w:color w:val="000000" w:themeColor="text1"/>
                <w:sz w:val="18"/>
                <w:szCs w:val="18"/>
                <w:highlight w:val="yellow"/>
              </w:rPr>
            </w:pPr>
            <w:r w:rsidRPr="007C7064">
              <w:rPr>
                <w:rFonts w:cs="Arial"/>
                <w:sz w:val="18"/>
                <w:szCs w:val="18"/>
              </w:rPr>
              <w:t>4 129,26</w:t>
            </w:r>
          </w:p>
        </w:tc>
      </w:tr>
      <w:tr w:rsidR="007C7064" w:rsidRPr="00104F7D" w14:paraId="1D341E3E" w14:textId="77777777" w:rsidTr="007E29E1">
        <w:trPr>
          <w:trHeight w:val="575"/>
        </w:trPr>
        <w:tc>
          <w:tcPr>
            <w:tcW w:w="1276" w:type="dxa"/>
            <w:tcBorders>
              <w:top w:val="single" w:sz="4" w:space="0" w:color="auto"/>
              <w:left w:val="single" w:sz="4" w:space="0" w:color="auto"/>
              <w:bottom w:val="single" w:sz="4" w:space="0" w:color="auto"/>
              <w:right w:val="single" w:sz="4" w:space="0" w:color="auto"/>
            </w:tcBorders>
            <w:vAlign w:val="center"/>
          </w:tcPr>
          <w:p w14:paraId="2122CCDE" w14:textId="283368AD" w:rsidR="007C7064" w:rsidRPr="007C7064" w:rsidRDefault="007C7064" w:rsidP="007C7064">
            <w:pPr>
              <w:contextualSpacing/>
              <w:jc w:val="center"/>
              <w:rPr>
                <w:rFonts w:cs="Arial"/>
                <w:color w:val="000000" w:themeColor="text1"/>
                <w:sz w:val="18"/>
                <w:szCs w:val="18"/>
                <w:highlight w:val="yellow"/>
              </w:rPr>
            </w:pPr>
            <w:r w:rsidRPr="007C7064">
              <w:rPr>
                <w:rFonts w:cs="Arial"/>
                <w:bCs/>
                <w:sz w:val="18"/>
                <w:szCs w:val="18"/>
              </w:rPr>
              <w:t>QK23020018</w:t>
            </w:r>
          </w:p>
        </w:tc>
        <w:tc>
          <w:tcPr>
            <w:tcW w:w="4111" w:type="dxa"/>
            <w:tcBorders>
              <w:top w:val="single" w:sz="4" w:space="0" w:color="auto"/>
              <w:left w:val="single" w:sz="4" w:space="0" w:color="auto"/>
              <w:bottom w:val="single" w:sz="4" w:space="0" w:color="auto"/>
              <w:right w:val="single" w:sz="4" w:space="0" w:color="auto"/>
            </w:tcBorders>
            <w:vAlign w:val="center"/>
          </w:tcPr>
          <w:p w14:paraId="4F1A33AB" w14:textId="546CD721" w:rsidR="007C7064" w:rsidRPr="007C7064" w:rsidRDefault="007C7064" w:rsidP="007C7064">
            <w:pPr>
              <w:contextualSpacing/>
              <w:rPr>
                <w:rFonts w:cs="Arial"/>
                <w:color w:val="000000" w:themeColor="text1"/>
                <w:sz w:val="18"/>
                <w:szCs w:val="18"/>
                <w:highlight w:val="yellow"/>
              </w:rPr>
            </w:pPr>
            <w:r w:rsidRPr="007C7064">
              <w:rPr>
                <w:rFonts w:cs="Arial"/>
                <w:color w:val="000000"/>
                <w:sz w:val="18"/>
                <w:szCs w:val="18"/>
              </w:rPr>
              <w:t>Co nevíme o organickém znečištění zdrojů pitné a závlahové vody: Identifikace emergentních sloučenin pomocí necíleného screeningu</w:t>
            </w:r>
          </w:p>
        </w:tc>
        <w:tc>
          <w:tcPr>
            <w:tcW w:w="1276" w:type="dxa"/>
            <w:tcBorders>
              <w:top w:val="single" w:sz="4" w:space="0" w:color="auto"/>
              <w:left w:val="single" w:sz="4" w:space="0" w:color="auto"/>
              <w:bottom w:val="single" w:sz="4" w:space="0" w:color="auto"/>
              <w:right w:val="single" w:sz="4" w:space="0" w:color="auto"/>
            </w:tcBorders>
            <w:vAlign w:val="center"/>
          </w:tcPr>
          <w:p w14:paraId="2142ECB5" w14:textId="77777777" w:rsidR="007C7064" w:rsidRPr="007C7064" w:rsidRDefault="007C7064" w:rsidP="007C7064">
            <w:pPr>
              <w:jc w:val="center"/>
              <w:rPr>
                <w:rFonts w:cs="Arial"/>
                <w:color w:val="000000"/>
                <w:sz w:val="18"/>
                <w:szCs w:val="18"/>
              </w:rPr>
            </w:pPr>
            <w:r w:rsidRPr="007C7064">
              <w:rPr>
                <w:rFonts w:cs="Arial"/>
                <w:color w:val="000000"/>
                <w:sz w:val="18"/>
                <w:szCs w:val="18"/>
              </w:rPr>
              <w:t>1/2023</w:t>
            </w:r>
          </w:p>
          <w:p w14:paraId="2FD61DF8" w14:textId="1F7FA81C" w:rsidR="007C7064" w:rsidRPr="007C7064" w:rsidRDefault="007C7064" w:rsidP="007C7064">
            <w:pPr>
              <w:contextualSpacing/>
              <w:jc w:val="center"/>
              <w:rPr>
                <w:rFonts w:cs="Arial"/>
                <w:color w:val="000000" w:themeColor="text1"/>
                <w:sz w:val="18"/>
                <w:szCs w:val="18"/>
                <w:highlight w:val="yellow"/>
              </w:rPr>
            </w:pPr>
            <w:r w:rsidRPr="007C7064">
              <w:rPr>
                <w:rFonts w:cs="Arial"/>
                <w:color w:val="000000"/>
                <w:sz w:val="18"/>
                <w:szCs w:val="18"/>
              </w:rPr>
              <w:t>12/2025</w:t>
            </w:r>
          </w:p>
        </w:tc>
        <w:tc>
          <w:tcPr>
            <w:tcW w:w="1984" w:type="dxa"/>
            <w:tcBorders>
              <w:top w:val="single" w:sz="4" w:space="0" w:color="auto"/>
              <w:left w:val="single" w:sz="4" w:space="0" w:color="auto"/>
              <w:bottom w:val="single" w:sz="4" w:space="0" w:color="auto"/>
              <w:right w:val="single" w:sz="4" w:space="0" w:color="auto"/>
            </w:tcBorders>
            <w:vAlign w:val="center"/>
          </w:tcPr>
          <w:p w14:paraId="44488597" w14:textId="4510E4E6" w:rsidR="007C7064" w:rsidRPr="007C7064" w:rsidRDefault="007C7064" w:rsidP="007C7064">
            <w:pPr>
              <w:contextualSpacing/>
              <w:jc w:val="center"/>
              <w:rPr>
                <w:rFonts w:cs="Arial"/>
                <w:color w:val="000000" w:themeColor="text1"/>
                <w:sz w:val="18"/>
                <w:szCs w:val="18"/>
                <w:highlight w:val="yellow"/>
              </w:rPr>
            </w:pPr>
            <w:r w:rsidRPr="007C7064">
              <w:rPr>
                <w:rFonts w:cs="Arial"/>
                <w:color w:val="000000"/>
                <w:sz w:val="18"/>
                <w:szCs w:val="18"/>
              </w:rPr>
              <w:t>Jihočeská univerzita v Českých Budějovicích</w:t>
            </w:r>
          </w:p>
        </w:tc>
        <w:tc>
          <w:tcPr>
            <w:tcW w:w="1134" w:type="dxa"/>
            <w:tcBorders>
              <w:top w:val="single" w:sz="4" w:space="0" w:color="auto"/>
              <w:left w:val="single" w:sz="4" w:space="0" w:color="auto"/>
              <w:bottom w:val="single" w:sz="4" w:space="0" w:color="auto"/>
              <w:right w:val="single" w:sz="4" w:space="0" w:color="auto"/>
            </w:tcBorders>
            <w:vAlign w:val="center"/>
          </w:tcPr>
          <w:p w14:paraId="2D39CB2C" w14:textId="4F93293E" w:rsidR="007C7064" w:rsidRPr="007C7064" w:rsidRDefault="007C7064" w:rsidP="007C7064">
            <w:pPr>
              <w:contextualSpacing/>
              <w:jc w:val="center"/>
              <w:rPr>
                <w:rFonts w:cs="Arial"/>
                <w:color w:val="000000" w:themeColor="text1"/>
                <w:sz w:val="18"/>
                <w:szCs w:val="18"/>
                <w:highlight w:val="yellow"/>
              </w:rPr>
            </w:pPr>
            <w:r w:rsidRPr="007C7064">
              <w:rPr>
                <w:rFonts w:cs="Arial"/>
                <w:sz w:val="18"/>
                <w:szCs w:val="18"/>
              </w:rPr>
              <w:t>3 977, 39</w:t>
            </w:r>
          </w:p>
        </w:tc>
      </w:tr>
      <w:tr w:rsidR="007C7064" w:rsidRPr="00104F7D" w14:paraId="5E3A9E27" w14:textId="77777777" w:rsidTr="007E29E1">
        <w:trPr>
          <w:trHeight w:val="575"/>
        </w:trPr>
        <w:tc>
          <w:tcPr>
            <w:tcW w:w="1276" w:type="dxa"/>
            <w:tcBorders>
              <w:top w:val="single" w:sz="4" w:space="0" w:color="auto"/>
              <w:left w:val="single" w:sz="4" w:space="0" w:color="auto"/>
              <w:bottom w:val="single" w:sz="4" w:space="0" w:color="auto"/>
              <w:right w:val="single" w:sz="4" w:space="0" w:color="auto"/>
            </w:tcBorders>
            <w:vAlign w:val="center"/>
          </w:tcPr>
          <w:p w14:paraId="73790065" w14:textId="7384787D" w:rsidR="007C7064" w:rsidRPr="007C7064" w:rsidRDefault="007C7064" w:rsidP="007C7064">
            <w:pPr>
              <w:contextualSpacing/>
              <w:jc w:val="center"/>
              <w:rPr>
                <w:rFonts w:cs="Arial"/>
                <w:color w:val="000000" w:themeColor="text1"/>
                <w:sz w:val="18"/>
                <w:szCs w:val="18"/>
                <w:highlight w:val="yellow"/>
              </w:rPr>
            </w:pPr>
            <w:r w:rsidRPr="007C7064">
              <w:rPr>
                <w:rFonts w:cs="Arial"/>
                <w:bCs/>
                <w:sz w:val="18"/>
                <w:szCs w:val="18"/>
              </w:rPr>
              <w:t>QK23020064</w:t>
            </w:r>
          </w:p>
        </w:tc>
        <w:tc>
          <w:tcPr>
            <w:tcW w:w="4111" w:type="dxa"/>
            <w:tcBorders>
              <w:top w:val="single" w:sz="4" w:space="0" w:color="auto"/>
              <w:left w:val="single" w:sz="4" w:space="0" w:color="auto"/>
              <w:bottom w:val="single" w:sz="4" w:space="0" w:color="auto"/>
              <w:right w:val="single" w:sz="4" w:space="0" w:color="auto"/>
            </w:tcBorders>
            <w:vAlign w:val="center"/>
          </w:tcPr>
          <w:p w14:paraId="041114A9" w14:textId="2F80E864" w:rsidR="007C7064" w:rsidRPr="007C7064" w:rsidRDefault="007C7064" w:rsidP="007C7064">
            <w:pPr>
              <w:contextualSpacing/>
              <w:rPr>
                <w:rFonts w:cs="Arial"/>
                <w:color w:val="000000" w:themeColor="text1"/>
                <w:sz w:val="18"/>
                <w:szCs w:val="18"/>
                <w:highlight w:val="yellow"/>
              </w:rPr>
            </w:pPr>
            <w:r w:rsidRPr="007C7064">
              <w:rPr>
                <w:rFonts w:cs="Arial"/>
                <w:color w:val="000000"/>
                <w:sz w:val="18"/>
                <w:szCs w:val="18"/>
              </w:rPr>
              <w:t>Zhodnocení hydrologické situace pstruhových toků ČR a stavu populací lososovitých ryb v souvislosti s klimatickou změnou</w:t>
            </w:r>
          </w:p>
        </w:tc>
        <w:tc>
          <w:tcPr>
            <w:tcW w:w="1276" w:type="dxa"/>
            <w:tcBorders>
              <w:top w:val="single" w:sz="4" w:space="0" w:color="auto"/>
              <w:left w:val="single" w:sz="4" w:space="0" w:color="auto"/>
              <w:bottom w:val="single" w:sz="4" w:space="0" w:color="auto"/>
              <w:right w:val="single" w:sz="4" w:space="0" w:color="auto"/>
            </w:tcBorders>
            <w:vAlign w:val="center"/>
          </w:tcPr>
          <w:p w14:paraId="24DF8FE4" w14:textId="77777777" w:rsidR="007C7064" w:rsidRPr="007C7064" w:rsidRDefault="007C7064" w:rsidP="007C7064">
            <w:pPr>
              <w:jc w:val="center"/>
              <w:rPr>
                <w:rFonts w:cs="Arial"/>
                <w:color w:val="000000"/>
                <w:sz w:val="18"/>
                <w:szCs w:val="18"/>
              </w:rPr>
            </w:pPr>
            <w:r w:rsidRPr="007C7064">
              <w:rPr>
                <w:rFonts w:cs="Arial"/>
                <w:color w:val="000000"/>
                <w:sz w:val="18"/>
                <w:szCs w:val="18"/>
              </w:rPr>
              <w:t>1/2023</w:t>
            </w:r>
          </w:p>
          <w:p w14:paraId="57A74C51" w14:textId="2F9FE34A" w:rsidR="007C7064" w:rsidRPr="007C7064" w:rsidRDefault="007C7064" w:rsidP="007C7064">
            <w:pPr>
              <w:contextualSpacing/>
              <w:jc w:val="center"/>
              <w:rPr>
                <w:rFonts w:cs="Arial"/>
                <w:color w:val="000000" w:themeColor="text1"/>
                <w:sz w:val="18"/>
                <w:szCs w:val="18"/>
                <w:highlight w:val="yellow"/>
              </w:rPr>
            </w:pPr>
            <w:r w:rsidRPr="007C7064">
              <w:rPr>
                <w:rFonts w:cs="Arial"/>
                <w:color w:val="000000"/>
                <w:sz w:val="18"/>
                <w:szCs w:val="18"/>
              </w:rPr>
              <w:t>12/2025</w:t>
            </w:r>
          </w:p>
        </w:tc>
        <w:tc>
          <w:tcPr>
            <w:tcW w:w="1984" w:type="dxa"/>
            <w:tcBorders>
              <w:top w:val="single" w:sz="4" w:space="0" w:color="auto"/>
              <w:left w:val="single" w:sz="4" w:space="0" w:color="auto"/>
              <w:bottom w:val="single" w:sz="4" w:space="0" w:color="auto"/>
              <w:right w:val="single" w:sz="4" w:space="0" w:color="auto"/>
            </w:tcBorders>
            <w:vAlign w:val="center"/>
          </w:tcPr>
          <w:p w14:paraId="4827B570" w14:textId="23DF4FF9" w:rsidR="007C7064" w:rsidRPr="007C7064" w:rsidRDefault="007C7064" w:rsidP="007C7064">
            <w:pPr>
              <w:contextualSpacing/>
              <w:jc w:val="center"/>
              <w:rPr>
                <w:rFonts w:cs="Arial"/>
                <w:color w:val="000000" w:themeColor="text1"/>
                <w:sz w:val="18"/>
                <w:szCs w:val="18"/>
                <w:highlight w:val="yellow"/>
              </w:rPr>
            </w:pPr>
            <w:r w:rsidRPr="007C7064">
              <w:rPr>
                <w:rFonts w:cs="Arial"/>
                <w:color w:val="000000"/>
                <w:sz w:val="18"/>
                <w:szCs w:val="18"/>
              </w:rPr>
              <w:t>Mendelova univerzita v Brně</w:t>
            </w:r>
          </w:p>
        </w:tc>
        <w:tc>
          <w:tcPr>
            <w:tcW w:w="1134" w:type="dxa"/>
            <w:tcBorders>
              <w:top w:val="single" w:sz="4" w:space="0" w:color="auto"/>
              <w:left w:val="single" w:sz="4" w:space="0" w:color="auto"/>
              <w:bottom w:val="single" w:sz="4" w:space="0" w:color="auto"/>
              <w:right w:val="single" w:sz="4" w:space="0" w:color="auto"/>
            </w:tcBorders>
            <w:vAlign w:val="center"/>
          </w:tcPr>
          <w:p w14:paraId="366866C0" w14:textId="62A672C9" w:rsidR="007C7064" w:rsidRPr="007C7064" w:rsidRDefault="007C7064" w:rsidP="007C7064">
            <w:pPr>
              <w:contextualSpacing/>
              <w:jc w:val="center"/>
              <w:rPr>
                <w:rFonts w:cs="Arial"/>
                <w:color w:val="000000" w:themeColor="text1"/>
                <w:sz w:val="18"/>
                <w:szCs w:val="18"/>
                <w:highlight w:val="yellow"/>
              </w:rPr>
            </w:pPr>
            <w:r w:rsidRPr="007C7064">
              <w:rPr>
                <w:rFonts w:cs="Arial"/>
                <w:sz w:val="18"/>
                <w:szCs w:val="18"/>
              </w:rPr>
              <w:t>3 716, 74</w:t>
            </w:r>
          </w:p>
        </w:tc>
      </w:tr>
      <w:tr w:rsidR="007C7064" w:rsidRPr="00104F7D" w14:paraId="4434DDA2" w14:textId="77777777" w:rsidTr="007E29E1">
        <w:trPr>
          <w:trHeight w:val="575"/>
        </w:trPr>
        <w:tc>
          <w:tcPr>
            <w:tcW w:w="1276" w:type="dxa"/>
            <w:tcBorders>
              <w:top w:val="single" w:sz="4" w:space="0" w:color="auto"/>
              <w:left w:val="single" w:sz="4" w:space="0" w:color="auto"/>
              <w:bottom w:val="single" w:sz="4" w:space="0" w:color="auto"/>
              <w:right w:val="single" w:sz="4" w:space="0" w:color="auto"/>
            </w:tcBorders>
            <w:vAlign w:val="center"/>
          </w:tcPr>
          <w:p w14:paraId="09D2262C" w14:textId="42E8BBC3" w:rsidR="007C7064" w:rsidRPr="007C7064" w:rsidRDefault="007C7064" w:rsidP="007C7064">
            <w:pPr>
              <w:contextualSpacing/>
              <w:jc w:val="center"/>
              <w:rPr>
                <w:rFonts w:cs="Arial"/>
                <w:color w:val="000000" w:themeColor="text1"/>
                <w:sz w:val="18"/>
                <w:szCs w:val="18"/>
                <w:highlight w:val="yellow"/>
              </w:rPr>
            </w:pPr>
            <w:r w:rsidRPr="007C7064">
              <w:rPr>
                <w:rFonts w:cs="Arial"/>
                <w:bCs/>
                <w:sz w:val="18"/>
                <w:szCs w:val="18"/>
              </w:rPr>
              <w:t>QL24010054</w:t>
            </w:r>
          </w:p>
        </w:tc>
        <w:tc>
          <w:tcPr>
            <w:tcW w:w="4111" w:type="dxa"/>
            <w:tcBorders>
              <w:top w:val="single" w:sz="4" w:space="0" w:color="auto"/>
              <w:left w:val="single" w:sz="4" w:space="0" w:color="auto"/>
              <w:bottom w:val="single" w:sz="4" w:space="0" w:color="auto"/>
              <w:right w:val="single" w:sz="4" w:space="0" w:color="auto"/>
            </w:tcBorders>
            <w:vAlign w:val="center"/>
          </w:tcPr>
          <w:p w14:paraId="5E0F1DF4" w14:textId="1755885A" w:rsidR="007C7064" w:rsidRPr="007C7064" w:rsidRDefault="007C7064" w:rsidP="007C7064">
            <w:pPr>
              <w:contextualSpacing/>
              <w:rPr>
                <w:rFonts w:cs="Arial"/>
                <w:color w:val="000000" w:themeColor="text1"/>
                <w:sz w:val="18"/>
                <w:szCs w:val="18"/>
                <w:highlight w:val="yellow"/>
              </w:rPr>
            </w:pPr>
            <w:r w:rsidRPr="007C7064">
              <w:rPr>
                <w:rFonts w:cs="Arial"/>
                <w:color w:val="000000"/>
                <w:sz w:val="18"/>
                <w:szCs w:val="18"/>
              </w:rPr>
              <w:t>Dopady klimatické změny na malá lesní povodí a možnosti jejich zmírnění prostřednictvím lesnického managementu a vodohospodářských opatření</w:t>
            </w:r>
          </w:p>
        </w:tc>
        <w:tc>
          <w:tcPr>
            <w:tcW w:w="1276" w:type="dxa"/>
            <w:tcBorders>
              <w:top w:val="single" w:sz="4" w:space="0" w:color="auto"/>
              <w:left w:val="single" w:sz="4" w:space="0" w:color="auto"/>
              <w:bottom w:val="single" w:sz="4" w:space="0" w:color="auto"/>
              <w:right w:val="single" w:sz="4" w:space="0" w:color="auto"/>
            </w:tcBorders>
            <w:vAlign w:val="center"/>
          </w:tcPr>
          <w:p w14:paraId="485789DC" w14:textId="77777777" w:rsidR="007C7064" w:rsidRPr="007C7064" w:rsidRDefault="007C7064" w:rsidP="007C7064">
            <w:pPr>
              <w:jc w:val="center"/>
              <w:rPr>
                <w:rFonts w:cs="Arial"/>
                <w:color w:val="000000"/>
                <w:sz w:val="18"/>
                <w:szCs w:val="18"/>
              </w:rPr>
            </w:pPr>
            <w:r w:rsidRPr="007C7064">
              <w:rPr>
                <w:rFonts w:cs="Arial"/>
                <w:color w:val="000000"/>
                <w:sz w:val="18"/>
                <w:szCs w:val="18"/>
              </w:rPr>
              <w:t>3/2024</w:t>
            </w:r>
          </w:p>
          <w:p w14:paraId="7B0679F5" w14:textId="61509F4D" w:rsidR="007C7064" w:rsidRPr="007C7064" w:rsidRDefault="007C7064" w:rsidP="007C7064">
            <w:pPr>
              <w:contextualSpacing/>
              <w:jc w:val="center"/>
              <w:rPr>
                <w:rFonts w:cs="Arial"/>
                <w:color w:val="000000" w:themeColor="text1"/>
                <w:sz w:val="18"/>
                <w:szCs w:val="18"/>
                <w:highlight w:val="yellow"/>
              </w:rPr>
            </w:pPr>
            <w:r w:rsidRPr="007C7064">
              <w:rPr>
                <w:rFonts w:cs="Arial"/>
                <w:color w:val="000000"/>
                <w:sz w:val="18"/>
                <w:szCs w:val="18"/>
              </w:rPr>
              <w:t>2/2028</w:t>
            </w:r>
          </w:p>
        </w:tc>
        <w:tc>
          <w:tcPr>
            <w:tcW w:w="1984" w:type="dxa"/>
            <w:tcBorders>
              <w:top w:val="single" w:sz="4" w:space="0" w:color="auto"/>
              <w:left w:val="single" w:sz="4" w:space="0" w:color="auto"/>
              <w:bottom w:val="single" w:sz="4" w:space="0" w:color="auto"/>
              <w:right w:val="single" w:sz="4" w:space="0" w:color="auto"/>
            </w:tcBorders>
            <w:vAlign w:val="center"/>
          </w:tcPr>
          <w:p w14:paraId="4281B712" w14:textId="23410A84" w:rsidR="007C7064" w:rsidRPr="007C7064" w:rsidRDefault="007C7064" w:rsidP="007C7064">
            <w:pPr>
              <w:contextualSpacing/>
              <w:jc w:val="center"/>
              <w:rPr>
                <w:rFonts w:cs="Arial"/>
                <w:color w:val="000000" w:themeColor="text1"/>
                <w:sz w:val="18"/>
                <w:szCs w:val="18"/>
                <w:highlight w:val="yellow"/>
              </w:rPr>
            </w:pPr>
            <w:r w:rsidRPr="007C7064">
              <w:rPr>
                <w:rFonts w:cs="Arial"/>
                <w:color w:val="000000"/>
                <w:sz w:val="18"/>
                <w:szCs w:val="18"/>
              </w:rPr>
              <w:t xml:space="preserve">Výzkumný ústav lesního hospodářství a myslivosti, v. v. i. </w:t>
            </w:r>
          </w:p>
        </w:tc>
        <w:tc>
          <w:tcPr>
            <w:tcW w:w="1134" w:type="dxa"/>
            <w:tcBorders>
              <w:top w:val="single" w:sz="4" w:space="0" w:color="auto"/>
              <w:left w:val="single" w:sz="4" w:space="0" w:color="auto"/>
              <w:bottom w:val="single" w:sz="4" w:space="0" w:color="auto"/>
              <w:right w:val="single" w:sz="4" w:space="0" w:color="auto"/>
            </w:tcBorders>
            <w:vAlign w:val="center"/>
          </w:tcPr>
          <w:p w14:paraId="05590C2D" w14:textId="754AA0D5" w:rsidR="007C7064" w:rsidRPr="007C7064" w:rsidRDefault="007C7064" w:rsidP="007C7064">
            <w:pPr>
              <w:contextualSpacing/>
              <w:jc w:val="center"/>
              <w:rPr>
                <w:rFonts w:cs="Arial"/>
                <w:color w:val="000000" w:themeColor="text1"/>
                <w:sz w:val="18"/>
                <w:szCs w:val="18"/>
                <w:highlight w:val="yellow"/>
              </w:rPr>
            </w:pPr>
            <w:r w:rsidRPr="007C7064">
              <w:rPr>
                <w:rFonts w:cs="Arial"/>
                <w:sz w:val="18"/>
                <w:szCs w:val="18"/>
              </w:rPr>
              <w:t>2 335, 53</w:t>
            </w:r>
          </w:p>
        </w:tc>
      </w:tr>
      <w:tr w:rsidR="007C7064" w:rsidRPr="00104F7D" w14:paraId="5386C382" w14:textId="77777777" w:rsidTr="007E29E1">
        <w:trPr>
          <w:trHeight w:val="575"/>
        </w:trPr>
        <w:tc>
          <w:tcPr>
            <w:tcW w:w="1276" w:type="dxa"/>
            <w:tcBorders>
              <w:top w:val="single" w:sz="4" w:space="0" w:color="auto"/>
              <w:left w:val="single" w:sz="4" w:space="0" w:color="auto"/>
              <w:bottom w:val="single" w:sz="4" w:space="0" w:color="auto"/>
              <w:right w:val="single" w:sz="4" w:space="0" w:color="auto"/>
            </w:tcBorders>
            <w:vAlign w:val="center"/>
          </w:tcPr>
          <w:p w14:paraId="3B276E09" w14:textId="3109132D" w:rsidR="007C7064" w:rsidRPr="007C7064" w:rsidRDefault="007C7064" w:rsidP="007C7064">
            <w:pPr>
              <w:contextualSpacing/>
              <w:jc w:val="center"/>
              <w:rPr>
                <w:rFonts w:cs="Arial"/>
                <w:color w:val="000000" w:themeColor="text1"/>
                <w:sz w:val="18"/>
                <w:szCs w:val="18"/>
                <w:highlight w:val="yellow"/>
              </w:rPr>
            </w:pPr>
            <w:r w:rsidRPr="007C7064">
              <w:rPr>
                <w:rFonts w:cs="Arial"/>
                <w:bCs/>
                <w:sz w:val="18"/>
                <w:szCs w:val="18"/>
              </w:rPr>
              <w:t>QL24010263</w:t>
            </w:r>
          </w:p>
        </w:tc>
        <w:tc>
          <w:tcPr>
            <w:tcW w:w="4111" w:type="dxa"/>
            <w:tcBorders>
              <w:top w:val="single" w:sz="4" w:space="0" w:color="auto"/>
              <w:left w:val="single" w:sz="4" w:space="0" w:color="auto"/>
              <w:bottom w:val="single" w:sz="4" w:space="0" w:color="auto"/>
              <w:right w:val="single" w:sz="4" w:space="0" w:color="auto"/>
            </w:tcBorders>
            <w:vAlign w:val="center"/>
          </w:tcPr>
          <w:p w14:paraId="72B53578" w14:textId="37C41ED0" w:rsidR="007C7064" w:rsidRPr="007C7064" w:rsidRDefault="007C7064" w:rsidP="007C7064">
            <w:pPr>
              <w:contextualSpacing/>
              <w:rPr>
                <w:rFonts w:cs="Arial"/>
                <w:color w:val="000000" w:themeColor="text1"/>
                <w:sz w:val="18"/>
                <w:szCs w:val="18"/>
                <w:highlight w:val="yellow"/>
              </w:rPr>
            </w:pPr>
            <w:r w:rsidRPr="007C7064">
              <w:rPr>
                <w:rFonts w:cs="Arial"/>
                <w:color w:val="000000"/>
                <w:sz w:val="18"/>
                <w:szCs w:val="18"/>
              </w:rPr>
              <w:t xml:space="preserve">Smart nástroje pro řízení závlahových systémů a zlepšení vodní bilance zemědělských pozemků </w:t>
            </w:r>
          </w:p>
        </w:tc>
        <w:tc>
          <w:tcPr>
            <w:tcW w:w="1276" w:type="dxa"/>
            <w:tcBorders>
              <w:top w:val="single" w:sz="4" w:space="0" w:color="auto"/>
              <w:left w:val="single" w:sz="4" w:space="0" w:color="auto"/>
              <w:bottom w:val="single" w:sz="4" w:space="0" w:color="auto"/>
              <w:right w:val="single" w:sz="4" w:space="0" w:color="auto"/>
            </w:tcBorders>
            <w:vAlign w:val="center"/>
          </w:tcPr>
          <w:p w14:paraId="752260CE" w14:textId="77777777" w:rsidR="007C7064" w:rsidRPr="007C7064" w:rsidRDefault="007C7064" w:rsidP="007C7064">
            <w:pPr>
              <w:jc w:val="center"/>
              <w:rPr>
                <w:rFonts w:cs="Arial"/>
                <w:color w:val="000000"/>
                <w:sz w:val="18"/>
                <w:szCs w:val="18"/>
              </w:rPr>
            </w:pPr>
            <w:r w:rsidRPr="007C7064">
              <w:rPr>
                <w:rFonts w:cs="Arial"/>
                <w:color w:val="000000"/>
                <w:sz w:val="18"/>
                <w:szCs w:val="18"/>
              </w:rPr>
              <w:t>3/2024</w:t>
            </w:r>
          </w:p>
          <w:p w14:paraId="70B1BFE4" w14:textId="42E8C57B" w:rsidR="007C7064" w:rsidRPr="007C7064" w:rsidRDefault="007C7064" w:rsidP="007C7064">
            <w:pPr>
              <w:contextualSpacing/>
              <w:jc w:val="center"/>
              <w:rPr>
                <w:rFonts w:cs="Arial"/>
                <w:color w:val="000000" w:themeColor="text1"/>
                <w:sz w:val="18"/>
                <w:szCs w:val="18"/>
                <w:highlight w:val="yellow"/>
              </w:rPr>
            </w:pPr>
            <w:r w:rsidRPr="007C7064">
              <w:rPr>
                <w:rFonts w:cs="Arial"/>
                <w:color w:val="000000"/>
                <w:sz w:val="18"/>
                <w:szCs w:val="18"/>
              </w:rPr>
              <w:t>12/2028</w:t>
            </w:r>
          </w:p>
        </w:tc>
        <w:tc>
          <w:tcPr>
            <w:tcW w:w="1984" w:type="dxa"/>
            <w:tcBorders>
              <w:top w:val="single" w:sz="4" w:space="0" w:color="auto"/>
              <w:left w:val="single" w:sz="4" w:space="0" w:color="auto"/>
              <w:bottom w:val="single" w:sz="4" w:space="0" w:color="auto"/>
              <w:right w:val="single" w:sz="4" w:space="0" w:color="auto"/>
            </w:tcBorders>
            <w:vAlign w:val="center"/>
          </w:tcPr>
          <w:p w14:paraId="6E1B7A79" w14:textId="79BD6031" w:rsidR="007C7064" w:rsidRPr="007C7064" w:rsidRDefault="007C7064" w:rsidP="007C7064">
            <w:pPr>
              <w:contextualSpacing/>
              <w:jc w:val="center"/>
              <w:rPr>
                <w:rFonts w:cs="Arial"/>
                <w:color w:val="000000" w:themeColor="text1"/>
                <w:sz w:val="18"/>
                <w:szCs w:val="18"/>
                <w:highlight w:val="yellow"/>
              </w:rPr>
            </w:pPr>
            <w:r w:rsidRPr="007C7064">
              <w:rPr>
                <w:rFonts w:cs="Arial"/>
                <w:color w:val="000000"/>
                <w:sz w:val="18"/>
                <w:szCs w:val="18"/>
              </w:rPr>
              <w:t xml:space="preserve">Výzkumný ústav meliorací a ochrany </w:t>
            </w:r>
            <w:proofErr w:type="spellStart"/>
            <w:proofErr w:type="gramStart"/>
            <w:r w:rsidRPr="007C7064">
              <w:rPr>
                <w:rFonts w:cs="Arial"/>
                <w:color w:val="000000"/>
                <w:sz w:val="18"/>
                <w:szCs w:val="18"/>
              </w:rPr>
              <w:t>půdy,v</w:t>
            </w:r>
            <w:proofErr w:type="spellEnd"/>
            <w:r w:rsidRPr="007C7064">
              <w:rPr>
                <w:rFonts w:cs="Arial"/>
                <w:color w:val="000000"/>
                <w:sz w:val="18"/>
                <w:szCs w:val="18"/>
              </w:rPr>
              <w:t>.</w:t>
            </w:r>
            <w:proofErr w:type="gramEnd"/>
            <w:r w:rsidRPr="007C7064">
              <w:rPr>
                <w:rFonts w:cs="Arial"/>
                <w:color w:val="000000"/>
                <w:sz w:val="18"/>
                <w:szCs w:val="18"/>
              </w:rPr>
              <w:t xml:space="preserve"> v. i.</w:t>
            </w:r>
          </w:p>
        </w:tc>
        <w:tc>
          <w:tcPr>
            <w:tcW w:w="1134" w:type="dxa"/>
            <w:tcBorders>
              <w:top w:val="single" w:sz="4" w:space="0" w:color="auto"/>
              <w:left w:val="single" w:sz="4" w:space="0" w:color="auto"/>
              <w:bottom w:val="single" w:sz="4" w:space="0" w:color="auto"/>
              <w:right w:val="single" w:sz="4" w:space="0" w:color="auto"/>
            </w:tcBorders>
            <w:vAlign w:val="center"/>
          </w:tcPr>
          <w:p w14:paraId="2F365C7C" w14:textId="78C9F5DF" w:rsidR="007C7064" w:rsidRPr="007C7064" w:rsidRDefault="007C7064" w:rsidP="007C7064">
            <w:pPr>
              <w:contextualSpacing/>
              <w:jc w:val="center"/>
              <w:rPr>
                <w:rFonts w:cs="Arial"/>
                <w:color w:val="000000" w:themeColor="text1"/>
                <w:sz w:val="18"/>
                <w:szCs w:val="18"/>
                <w:highlight w:val="yellow"/>
              </w:rPr>
            </w:pPr>
            <w:r w:rsidRPr="007C7064">
              <w:rPr>
                <w:rFonts w:cs="Arial"/>
                <w:sz w:val="18"/>
                <w:szCs w:val="18"/>
              </w:rPr>
              <w:t>3 322, 21</w:t>
            </w:r>
          </w:p>
        </w:tc>
      </w:tr>
      <w:tr w:rsidR="007C7064" w:rsidRPr="00104F7D" w14:paraId="29924664" w14:textId="77777777" w:rsidTr="007E29E1">
        <w:trPr>
          <w:trHeight w:val="575"/>
        </w:trPr>
        <w:tc>
          <w:tcPr>
            <w:tcW w:w="1276" w:type="dxa"/>
            <w:tcBorders>
              <w:top w:val="single" w:sz="4" w:space="0" w:color="auto"/>
              <w:left w:val="single" w:sz="4" w:space="0" w:color="auto"/>
              <w:bottom w:val="single" w:sz="4" w:space="0" w:color="auto"/>
              <w:right w:val="single" w:sz="4" w:space="0" w:color="auto"/>
            </w:tcBorders>
            <w:vAlign w:val="center"/>
          </w:tcPr>
          <w:p w14:paraId="7407307C" w14:textId="179FEA40" w:rsidR="007C7064" w:rsidRPr="007C7064" w:rsidRDefault="007C7064" w:rsidP="007C7064">
            <w:pPr>
              <w:contextualSpacing/>
              <w:jc w:val="center"/>
              <w:rPr>
                <w:rFonts w:cs="Arial"/>
                <w:color w:val="000000" w:themeColor="text1"/>
                <w:sz w:val="18"/>
                <w:szCs w:val="18"/>
                <w:highlight w:val="yellow"/>
              </w:rPr>
            </w:pPr>
            <w:r w:rsidRPr="007C7064">
              <w:rPr>
                <w:rFonts w:cs="Arial"/>
                <w:bCs/>
                <w:sz w:val="18"/>
                <w:szCs w:val="18"/>
              </w:rPr>
              <w:t>QL24010384</w:t>
            </w:r>
          </w:p>
        </w:tc>
        <w:tc>
          <w:tcPr>
            <w:tcW w:w="4111" w:type="dxa"/>
            <w:tcBorders>
              <w:top w:val="single" w:sz="4" w:space="0" w:color="auto"/>
              <w:left w:val="single" w:sz="4" w:space="0" w:color="auto"/>
              <w:bottom w:val="single" w:sz="4" w:space="0" w:color="auto"/>
              <w:right w:val="single" w:sz="4" w:space="0" w:color="auto"/>
            </w:tcBorders>
            <w:vAlign w:val="center"/>
          </w:tcPr>
          <w:p w14:paraId="52DBF237" w14:textId="7690AA94" w:rsidR="007C7064" w:rsidRPr="007C7064" w:rsidRDefault="007C7064" w:rsidP="007C7064">
            <w:pPr>
              <w:contextualSpacing/>
              <w:rPr>
                <w:rFonts w:cs="Arial"/>
                <w:color w:val="000000" w:themeColor="text1"/>
                <w:sz w:val="18"/>
                <w:szCs w:val="18"/>
                <w:highlight w:val="yellow"/>
              </w:rPr>
            </w:pPr>
            <w:r w:rsidRPr="007C7064">
              <w:rPr>
                <w:rFonts w:cs="Arial"/>
                <w:bCs/>
                <w:color w:val="000000"/>
                <w:sz w:val="18"/>
                <w:szCs w:val="18"/>
              </w:rPr>
              <w:t xml:space="preserve">Střednědobý trend v chování </w:t>
            </w:r>
            <w:proofErr w:type="spellStart"/>
            <w:r w:rsidRPr="007C7064">
              <w:rPr>
                <w:rFonts w:cs="Arial"/>
                <w:bCs/>
                <w:color w:val="000000"/>
                <w:sz w:val="18"/>
                <w:szCs w:val="18"/>
              </w:rPr>
              <w:t>mikropolutantů</w:t>
            </w:r>
            <w:proofErr w:type="spellEnd"/>
            <w:r w:rsidRPr="007C7064">
              <w:rPr>
                <w:rFonts w:cs="Arial"/>
                <w:bCs/>
                <w:color w:val="000000"/>
                <w:sz w:val="18"/>
                <w:szCs w:val="18"/>
              </w:rPr>
              <w:t xml:space="preserve"> pocházejících z odpadní vody nebo kalů z čistíren odpadních vod v půdním prostředí</w:t>
            </w:r>
          </w:p>
        </w:tc>
        <w:tc>
          <w:tcPr>
            <w:tcW w:w="1276" w:type="dxa"/>
            <w:tcBorders>
              <w:top w:val="single" w:sz="4" w:space="0" w:color="auto"/>
              <w:left w:val="single" w:sz="4" w:space="0" w:color="auto"/>
              <w:bottom w:val="single" w:sz="4" w:space="0" w:color="auto"/>
              <w:right w:val="single" w:sz="4" w:space="0" w:color="auto"/>
            </w:tcBorders>
            <w:vAlign w:val="center"/>
          </w:tcPr>
          <w:p w14:paraId="6BE9C163" w14:textId="77777777" w:rsidR="007C7064" w:rsidRPr="007C7064" w:rsidRDefault="007C7064" w:rsidP="007C7064">
            <w:pPr>
              <w:jc w:val="center"/>
              <w:rPr>
                <w:rFonts w:cs="Arial"/>
                <w:color w:val="000000"/>
                <w:sz w:val="18"/>
                <w:szCs w:val="18"/>
              </w:rPr>
            </w:pPr>
            <w:r w:rsidRPr="007C7064">
              <w:rPr>
                <w:rFonts w:cs="Arial"/>
                <w:color w:val="000000"/>
                <w:sz w:val="18"/>
                <w:szCs w:val="18"/>
              </w:rPr>
              <w:t>3/2024</w:t>
            </w:r>
          </w:p>
          <w:p w14:paraId="155ABBC5" w14:textId="01ACF319" w:rsidR="007C7064" w:rsidRPr="007C7064" w:rsidRDefault="007C7064" w:rsidP="007C7064">
            <w:pPr>
              <w:contextualSpacing/>
              <w:jc w:val="center"/>
              <w:rPr>
                <w:rFonts w:cs="Arial"/>
                <w:color w:val="000000" w:themeColor="text1"/>
                <w:sz w:val="18"/>
                <w:szCs w:val="18"/>
                <w:highlight w:val="yellow"/>
              </w:rPr>
            </w:pPr>
            <w:r w:rsidRPr="007C7064">
              <w:rPr>
                <w:rFonts w:cs="Arial"/>
                <w:color w:val="000000"/>
                <w:sz w:val="18"/>
                <w:szCs w:val="18"/>
              </w:rPr>
              <w:t>12/2028</w:t>
            </w:r>
          </w:p>
        </w:tc>
        <w:tc>
          <w:tcPr>
            <w:tcW w:w="1984" w:type="dxa"/>
            <w:tcBorders>
              <w:top w:val="single" w:sz="4" w:space="0" w:color="auto"/>
              <w:left w:val="single" w:sz="4" w:space="0" w:color="auto"/>
              <w:bottom w:val="single" w:sz="4" w:space="0" w:color="auto"/>
              <w:right w:val="single" w:sz="4" w:space="0" w:color="auto"/>
            </w:tcBorders>
            <w:vAlign w:val="center"/>
          </w:tcPr>
          <w:p w14:paraId="54E22C3D" w14:textId="2BFA8E7D" w:rsidR="007C7064" w:rsidRPr="007C7064" w:rsidRDefault="007C7064" w:rsidP="007C7064">
            <w:pPr>
              <w:contextualSpacing/>
              <w:jc w:val="center"/>
              <w:rPr>
                <w:rFonts w:cs="Arial"/>
                <w:color w:val="000000" w:themeColor="text1"/>
                <w:sz w:val="18"/>
                <w:szCs w:val="18"/>
                <w:highlight w:val="yellow"/>
              </w:rPr>
            </w:pPr>
            <w:r w:rsidRPr="007C7064">
              <w:rPr>
                <w:rFonts w:cs="Arial"/>
                <w:color w:val="000000"/>
                <w:sz w:val="18"/>
                <w:szCs w:val="18"/>
              </w:rPr>
              <w:t xml:space="preserve">Česká zemědělská univerzita v Praze </w:t>
            </w:r>
          </w:p>
        </w:tc>
        <w:tc>
          <w:tcPr>
            <w:tcW w:w="1134" w:type="dxa"/>
            <w:tcBorders>
              <w:top w:val="single" w:sz="4" w:space="0" w:color="auto"/>
              <w:left w:val="single" w:sz="4" w:space="0" w:color="auto"/>
              <w:bottom w:val="single" w:sz="4" w:space="0" w:color="auto"/>
              <w:right w:val="single" w:sz="4" w:space="0" w:color="auto"/>
            </w:tcBorders>
            <w:vAlign w:val="center"/>
          </w:tcPr>
          <w:p w14:paraId="03C7F86E" w14:textId="1AA76324" w:rsidR="007C7064" w:rsidRPr="007C7064" w:rsidRDefault="007C7064" w:rsidP="007C7064">
            <w:pPr>
              <w:contextualSpacing/>
              <w:jc w:val="center"/>
              <w:rPr>
                <w:rFonts w:cs="Arial"/>
                <w:color w:val="000000" w:themeColor="text1"/>
                <w:sz w:val="18"/>
                <w:szCs w:val="18"/>
                <w:highlight w:val="yellow"/>
              </w:rPr>
            </w:pPr>
            <w:r w:rsidRPr="007C7064">
              <w:rPr>
                <w:rFonts w:cs="Arial"/>
                <w:sz w:val="18"/>
                <w:szCs w:val="18"/>
              </w:rPr>
              <w:t>4 184, 25</w:t>
            </w:r>
          </w:p>
        </w:tc>
      </w:tr>
      <w:tr w:rsidR="007C7064" w:rsidRPr="00104F7D" w14:paraId="28C73A1E" w14:textId="77777777" w:rsidTr="007E29E1">
        <w:trPr>
          <w:trHeight w:val="575"/>
        </w:trPr>
        <w:tc>
          <w:tcPr>
            <w:tcW w:w="1276" w:type="dxa"/>
            <w:tcBorders>
              <w:top w:val="single" w:sz="4" w:space="0" w:color="auto"/>
              <w:left w:val="single" w:sz="4" w:space="0" w:color="auto"/>
              <w:bottom w:val="single" w:sz="4" w:space="0" w:color="auto"/>
              <w:right w:val="single" w:sz="4" w:space="0" w:color="auto"/>
            </w:tcBorders>
            <w:vAlign w:val="center"/>
          </w:tcPr>
          <w:p w14:paraId="6BA3272B" w14:textId="7EDCAB59" w:rsidR="007C7064" w:rsidRPr="007C7064" w:rsidRDefault="007C7064" w:rsidP="007C7064">
            <w:pPr>
              <w:contextualSpacing/>
              <w:jc w:val="center"/>
              <w:rPr>
                <w:rFonts w:cs="Arial"/>
                <w:color w:val="000000" w:themeColor="text1"/>
                <w:sz w:val="18"/>
                <w:szCs w:val="18"/>
                <w:highlight w:val="yellow"/>
              </w:rPr>
            </w:pPr>
            <w:r w:rsidRPr="007C7064">
              <w:rPr>
                <w:rFonts w:cs="Arial"/>
                <w:bCs/>
                <w:sz w:val="18"/>
                <w:szCs w:val="18"/>
              </w:rPr>
              <w:t>QL24020321</w:t>
            </w:r>
          </w:p>
        </w:tc>
        <w:tc>
          <w:tcPr>
            <w:tcW w:w="4111" w:type="dxa"/>
            <w:tcBorders>
              <w:top w:val="single" w:sz="4" w:space="0" w:color="auto"/>
              <w:left w:val="single" w:sz="4" w:space="0" w:color="auto"/>
              <w:bottom w:val="single" w:sz="4" w:space="0" w:color="auto"/>
              <w:right w:val="single" w:sz="4" w:space="0" w:color="auto"/>
            </w:tcBorders>
            <w:vAlign w:val="center"/>
          </w:tcPr>
          <w:p w14:paraId="6D228957" w14:textId="7853AACA" w:rsidR="007C7064" w:rsidRPr="007C7064" w:rsidRDefault="007C7064" w:rsidP="007C7064">
            <w:pPr>
              <w:contextualSpacing/>
              <w:rPr>
                <w:rFonts w:cs="Arial"/>
                <w:color w:val="000000" w:themeColor="text1"/>
                <w:sz w:val="18"/>
                <w:szCs w:val="18"/>
                <w:highlight w:val="yellow"/>
              </w:rPr>
            </w:pPr>
            <w:r w:rsidRPr="007C7064">
              <w:rPr>
                <w:rFonts w:cs="Arial"/>
                <w:bCs/>
                <w:color w:val="000000"/>
                <w:sz w:val="18"/>
                <w:szCs w:val="18"/>
              </w:rPr>
              <w:t xml:space="preserve"> Vyhodnocení možností posílit zásobování obyvatel pitnou vodou propojením skupinových vodovodů a vodárenských soustav jako adaptační opatření na změnu klimatu  </w:t>
            </w:r>
          </w:p>
        </w:tc>
        <w:tc>
          <w:tcPr>
            <w:tcW w:w="1276" w:type="dxa"/>
            <w:tcBorders>
              <w:top w:val="single" w:sz="4" w:space="0" w:color="auto"/>
              <w:left w:val="single" w:sz="4" w:space="0" w:color="auto"/>
              <w:bottom w:val="single" w:sz="4" w:space="0" w:color="auto"/>
              <w:right w:val="single" w:sz="4" w:space="0" w:color="auto"/>
            </w:tcBorders>
            <w:vAlign w:val="center"/>
          </w:tcPr>
          <w:p w14:paraId="7A4057C1" w14:textId="77777777" w:rsidR="007C7064" w:rsidRPr="007C7064" w:rsidRDefault="007C7064" w:rsidP="007C7064">
            <w:pPr>
              <w:jc w:val="center"/>
              <w:rPr>
                <w:rFonts w:cs="Arial"/>
                <w:color w:val="000000"/>
                <w:sz w:val="18"/>
                <w:szCs w:val="18"/>
              </w:rPr>
            </w:pPr>
            <w:r w:rsidRPr="007C7064">
              <w:rPr>
                <w:rFonts w:cs="Arial"/>
                <w:color w:val="000000"/>
                <w:sz w:val="18"/>
                <w:szCs w:val="18"/>
              </w:rPr>
              <w:t>3/2024</w:t>
            </w:r>
          </w:p>
          <w:p w14:paraId="60FBBE06" w14:textId="117377F5" w:rsidR="007C7064" w:rsidRPr="007C7064" w:rsidRDefault="007C7064" w:rsidP="007C7064">
            <w:pPr>
              <w:jc w:val="center"/>
              <w:rPr>
                <w:rFonts w:cs="Arial"/>
                <w:color w:val="000000" w:themeColor="text1"/>
                <w:sz w:val="18"/>
                <w:szCs w:val="18"/>
                <w:highlight w:val="yellow"/>
              </w:rPr>
            </w:pPr>
            <w:r w:rsidRPr="007C7064">
              <w:rPr>
                <w:rFonts w:cs="Arial"/>
                <w:color w:val="000000"/>
                <w:sz w:val="18"/>
                <w:szCs w:val="18"/>
              </w:rPr>
              <w:t>12/2026</w:t>
            </w:r>
          </w:p>
        </w:tc>
        <w:tc>
          <w:tcPr>
            <w:tcW w:w="1984" w:type="dxa"/>
            <w:tcBorders>
              <w:top w:val="single" w:sz="4" w:space="0" w:color="auto"/>
              <w:left w:val="single" w:sz="4" w:space="0" w:color="auto"/>
              <w:bottom w:val="single" w:sz="4" w:space="0" w:color="auto"/>
              <w:right w:val="single" w:sz="4" w:space="0" w:color="auto"/>
            </w:tcBorders>
            <w:vAlign w:val="center"/>
          </w:tcPr>
          <w:p w14:paraId="34B5C9EA" w14:textId="10828CA1" w:rsidR="007C7064" w:rsidRPr="007C7064" w:rsidRDefault="007C7064" w:rsidP="007C7064">
            <w:pPr>
              <w:contextualSpacing/>
              <w:jc w:val="center"/>
              <w:rPr>
                <w:rFonts w:cs="Arial"/>
                <w:color w:val="000000" w:themeColor="text1"/>
                <w:sz w:val="18"/>
                <w:szCs w:val="18"/>
                <w:highlight w:val="yellow"/>
              </w:rPr>
            </w:pPr>
            <w:r w:rsidRPr="007C7064">
              <w:rPr>
                <w:rFonts w:cs="Arial"/>
                <w:color w:val="000000"/>
                <w:sz w:val="18"/>
                <w:szCs w:val="18"/>
              </w:rPr>
              <w:t xml:space="preserve">Výzkumný ústav monitoringu a ochrany </w:t>
            </w:r>
            <w:proofErr w:type="spellStart"/>
            <w:proofErr w:type="gramStart"/>
            <w:r w:rsidRPr="007C7064">
              <w:rPr>
                <w:rFonts w:cs="Arial"/>
                <w:color w:val="000000"/>
                <w:sz w:val="18"/>
                <w:szCs w:val="18"/>
              </w:rPr>
              <w:t>půdy,v</w:t>
            </w:r>
            <w:proofErr w:type="spellEnd"/>
            <w:r w:rsidRPr="007C7064">
              <w:rPr>
                <w:rFonts w:cs="Arial"/>
                <w:color w:val="000000"/>
                <w:sz w:val="18"/>
                <w:szCs w:val="18"/>
              </w:rPr>
              <w:t>.</w:t>
            </w:r>
            <w:proofErr w:type="gramEnd"/>
            <w:r w:rsidRPr="007C7064">
              <w:rPr>
                <w:rFonts w:cs="Arial"/>
                <w:color w:val="000000"/>
                <w:sz w:val="18"/>
                <w:szCs w:val="18"/>
              </w:rPr>
              <w:t xml:space="preserve"> v. i. </w:t>
            </w:r>
          </w:p>
        </w:tc>
        <w:tc>
          <w:tcPr>
            <w:tcW w:w="1134" w:type="dxa"/>
            <w:tcBorders>
              <w:top w:val="single" w:sz="4" w:space="0" w:color="auto"/>
              <w:left w:val="single" w:sz="4" w:space="0" w:color="auto"/>
              <w:bottom w:val="single" w:sz="4" w:space="0" w:color="auto"/>
              <w:right w:val="single" w:sz="4" w:space="0" w:color="auto"/>
            </w:tcBorders>
            <w:vAlign w:val="center"/>
          </w:tcPr>
          <w:p w14:paraId="3D0FF8C4" w14:textId="3D838897" w:rsidR="007C7064" w:rsidRPr="007C7064" w:rsidRDefault="007C7064" w:rsidP="007C7064">
            <w:pPr>
              <w:contextualSpacing/>
              <w:jc w:val="center"/>
              <w:rPr>
                <w:rFonts w:cs="Arial"/>
                <w:color w:val="000000" w:themeColor="text1"/>
                <w:sz w:val="18"/>
                <w:szCs w:val="18"/>
                <w:highlight w:val="yellow"/>
              </w:rPr>
            </w:pPr>
            <w:r w:rsidRPr="007C7064">
              <w:rPr>
                <w:rFonts w:cs="Arial"/>
                <w:sz w:val="18"/>
                <w:szCs w:val="18"/>
              </w:rPr>
              <w:t>4 418, 56</w:t>
            </w:r>
          </w:p>
        </w:tc>
      </w:tr>
      <w:tr w:rsidR="007C7064" w:rsidRPr="00104F7D" w14:paraId="5C588342" w14:textId="77777777" w:rsidTr="007E29E1">
        <w:trPr>
          <w:trHeight w:val="575"/>
        </w:trPr>
        <w:tc>
          <w:tcPr>
            <w:tcW w:w="1276" w:type="dxa"/>
            <w:tcBorders>
              <w:top w:val="single" w:sz="4" w:space="0" w:color="auto"/>
              <w:left w:val="single" w:sz="4" w:space="0" w:color="auto"/>
              <w:bottom w:val="single" w:sz="4" w:space="0" w:color="auto"/>
              <w:right w:val="single" w:sz="4" w:space="0" w:color="auto"/>
            </w:tcBorders>
            <w:vAlign w:val="center"/>
          </w:tcPr>
          <w:p w14:paraId="7E0D4C3D" w14:textId="1850B54F" w:rsidR="007C7064" w:rsidRPr="007C7064" w:rsidRDefault="007C7064" w:rsidP="007C7064">
            <w:pPr>
              <w:contextualSpacing/>
              <w:jc w:val="center"/>
              <w:rPr>
                <w:rFonts w:cs="Arial"/>
                <w:color w:val="000000" w:themeColor="text1"/>
                <w:sz w:val="18"/>
                <w:szCs w:val="18"/>
                <w:highlight w:val="yellow"/>
              </w:rPr>
            </w:pPr>
            <w:r w:rsidRPr="007C7064">
              <w:rPr>
                <w:rFonts w:cs="Arial"/>
                <w:bCs/>
                <w:sz w:val="18"/>
                <w:szCs w:val="18"/>
              </w:rPr>
              <w:t>QL24020457</w:t>
            </w:r>
          </w:p>
        </w:tc>
        <w:tc>
          <w:tcPr>
            <w:tcW w:w="4111" w:type="dxa"/>
            <w:tcBorders>
              <w:top w:val="single" w:sz="4" w:space="0" w:color="auto"/>
              <w:left w:val="single" w:sz="4" w:space="0" w:color="auto"/>
              <w:bottom w:val="single" w:sz="4" w:space="0" w:color="auto"/>
              <w:right w:val="single" w:sz="4" w:space="0" w:color="auto"/>
            </w:tcBorders>
            <w:vAlign w:val="center"/>
          </w:tcPr>
          <w:p w14:paraId="5F32BAF7" w14:textId="4FC94B66" w:rsidR="007C7064" w:rsidRPr="007C7064" w:rsidRDefault="007C7064" w:rsidP="007C7064">
            <w:pPr>
              <w:contextualSpacing/>
              <w:rPr>
                <w:rFonts w:cs="Arial"/>
                <w:color w:val="000000" w:themeColor="text1"/>
                <w:sz w:val="18"/>
                <w:szCs w:val="18"/>
                <w:highlight w:val="yellow"/>
              </w:rPr>
            </w:pPr>
            <w:r w:rsidRPr="007C7064">
              <w:rPr>
                <w:rFonts w:cs="Arial"/>
                <w:bCs/>
                <w:color w:val="000000"/>
                <w:sz w:val="18"/>
                <w:szCs w:val="18"/>
              </w:rPr>
              <w:t>Vliv změny klimatu na evapotranspiraci a vodní bilanci v krajině v kontextu zabezpečenosti a udržitelnosti vodních zdrojů</w:t>
            </w:r>
          </w:p>
        </w:tc>
        <w:tc>
          <w:tcPr>
            <w:tcW w:w="1276" w:type="dxa"/>
            <w:tcBorders>
              <w:top w:val="single" w:sz="4" w:space="0" w:color="auto"/>
              <w:left w:val="single" w:sz="4" w:space="0" w:color="auto"/>
              <w:bottom w:val="single" w:sz="4" w:space="0" w:color="auto"/>
              <w:right w:val="single" w:sz="4" w:space="0" w:color="auto"/>
            </w:tcBorders>
            <w:vAlign w:val="center"/>
          </w:tcPr>
          <w:p w14:paraId="57C760E6" w14:textId="77777777" w:rsidR="007C7064" w:rsidRPr="007C7064" w:rsidRDefault="007C7064" w:rsidP="007C7064">
            <w:pPr>
              <w:jc w:val="center"/>
              <w:rPr>
                <w:rFonts w:cs="Arial"/>
                <w:bCs/>
                <w:color w:val="000000"/>
                <w:sz w:val="18"/>
                <w:szCs w:val="18"/>
              </w:rPr>
            </w:pPr>
            <w:r w:rsidRPr="007C7064">
              <w:rPr>
                <w:rFonts w:cs="Arial"/>
                <w:bCs/>
                <w:color w:val="000000"/>
                <w:sz w:val="18"/>
                <w:szCs w:val="18"/>
              </w:rPr>
              <w:t>3/2024</w:t>
            </w:r>
          </w:p>
          <w:p w14:paraId="383B8AD8" w14:textId="16DD2BB4" w:rsidR="007C7064" w:rsidRPr="007C7064" w:rsidRDefault="007C7064" w:rsidP="007C7064">
            <w:pPr>
              <w:contextualSpacing/>
              <w:jc w:val="center"/>
              <w:rPr>
                <w:rFonts w:cs="Arial"/>
                <w:color w:val="000000" w:themeColor="text1"/>
                <w:sz w:val="18"/>
                <w:szCs w:val="18"/>
                <w:highlight w:val="yellow"/>
              </w:rPr>
            </w:pPr>
            <w:r w:rsidRPr="007C7064">
              <w:rPr>
                <w:rFonts w:cs="Arial"/>
                <w:bCs/>
                <w:color w:val="000000"/>
                <w:sz w:val="18"/>
                <w:szCs w:val="18"/>
              </w:rPr>
              <w:t>12/2026</w:t>
            </w:r>
          </w:p>
        </w:tc>
        <w:tc>
          <w:tcPr>
            <w:tcW w:w="1984" w:type="dxa"/>
            <w:tcBorders>
              <w:top w:val="single" w:sz="4" w:space="0" w:color="auto"/>
              <w:left w:val="single" w:sz="4" w:space="0" w:color="auto"/>
              <w:bottom w:val="single" w:sz="4" w:space="0" w:color="auto"/>
              <w:right w:val="single" w:sz="4" w:space="0" w:color="auto"/>
            </w:tcBorders>
            <w:vAlign w:val="center"/>
          </w:tcPr>
          <w:p w14:paraId="5F4A56A2" w14:textId="2D6B767C" w:rsidR="007C7064" w:rsidRPr="007C7064" w:rsidRDefault="007C7064" w:rsidP="007C7064">
            <w:pPr>
              <w:contextualSpacing/>
              <w:jc w:val="center"/>
              <w:rPr>
                <w:rFonts w:cs="Arial"/>
                <w:color w:val="000000" w:themeColor="text1"/>
                <w:sz w:val="18"/>
                <w:szCs w:val="18"/>
                <w:highlight w:val="yellow"/>
              </w:rPr>
            </w:pPr>
            <w:r w:rsidRPr="007C7064">
              <w:rPr>
                <w:rFonts w:cs="Arial"/>
                <w:bCs/>
                <w:color w:val="000000"/>
                <w:sz w:val="18"/>
                <w:szCs w:val="18"/>
              </w:rPr>
              <w:t xml:space="preserve">Ústav výzkumu globální změny AV ČR, v. v. i. </w:t>
            </w:r>
          </w:p>
        </w:tc>
        <w:tc>
          <w:tcPr>
            <w:tcW w:w="1134" w:type="dxa"/>
            <w:tcBorders>
              <w:top w:val="single" w:sz="4" w:space="0" w:color="auto"/>
              <w:left w:val="single" w:sz="4" w:space="0" w:color="auto"/>
              <w:bottom w:val="single" w:sz="4" w:space="0" w:color="auto"/>
              <w:right w:val="single" w:sz="4" w:space="0" w:color="auto"/>
            </w:tcBorders>
            <w:vAlign w:val="center"/>
          </w:tcPr>
          <w:p w14:paraId="41EA80B5" w14:textId="32DCE123" w:rsidR="007C7064" w:rsidRPr="007C7064" w:rsidRDefault="007C7064" w:rsidP="007C7064">
            <w:pPr>
              <w:contextualSpacing/>
              <w:jc w:val="center"/>
              <w:rPr>
                <w:rFonts w:cs="Arial"/>
                <w:color w:val="000000" w:themeColor="text1"/>
                <w:sz w:val="18"/>
                <w:szCs w:val="18"/>
                <w:highlight w:val="yellow"/>
              </w:rPr>
            </w:pPr>
            <w:r w:rsidRPr="007C7064">
              <w:rPr>
                <w:rFonts w:cs="Arial"/>
                <w:sz w:val="18"/>
                <w:szCs w:val="18"/>
              </w:rPr>
              <w:t>4</w:t>
            </w:r>
            <w:r w:rsidR="00E95E0C">
              <w:rPr>
                <w:rFonts w:cs="Arial"/>
                <w:sz w:val="18"/>
                <w:szCs w:val="18"/>
              </w:rPr>
              <w:t> </w:t>
            </w:r>
            <w:r w:rsidRPr="007C7064">
              <w:rPr>
                <w:rFonts w:cs="Arial"/>
                <w:sz w:val="18"/>
                <w:szCs w:val="18"/>
              </w:rPr>
              <w:t>375</w:t>
            </w:r>
            <w:r w:rsidR="00E95E0C">
              <w:rPr>
                <w:rFonts w:cs="Arial"/>
                <w:sz w:val="18"/>
                <w:szCs w:val="18"/>
              </w:rPr>
              <w:t>,00</w:t>
            </w:r>
          </w:p>
        </w:tc>
      </w:tr>
      <w:tr w:rsidR="007C7064" w:rsidRPr="00104F7D" w14:paraId="34EA8229" w14:textId="77777777" w:rsidTr="007E29E1">
        <w:trPr>
          <w:trHeight w:val="575"/>
        </w:trPr>
        <w:tc>
          <w:tcPr>
            <w:tcW w:w="1276" w:type="dxa"/>
            <w:tcBorders>
              <w:top w:val="single" w:sz="4" w:space="0" w:color="auto"/>
              <w:left w:val="single" w:sz="4" w:space="0" w:color="auto"/>
              <w:bottom w:val="single" w:sz="4" w:space="0" w:color="auto"/>
              <w:right w:val="single" w:sz="4" w:space="0" w:color="auto"/>
            </w:tcBorders>
            <w:vAlign w:val="center"/>
          </w:tcPr>
          <w:p w14:paraId="3ADEDF5F" w14:textId="77777777" w:rsidR="007C7064" w:rsidRPr="007C7064" w:rsidRDefault="007C7064" w:rsidP="007C7064">
            <w:pPr>
              <w:jc w:val="center"/>
              <w:rPr>
                <w:rFonts w:cs="Arial"/>
                <w:bCs/>
                <w:sz w:val="18"/>
                <w:szCs w:val="18"/>
              </w:rPr>
            </w:pPr>
            <w:r w:rsidRPr="007C7064">
              <w:rPr>
                <w:rFonts w:cs="Arial"/>
                <w:bCs/>
                <w:sz w:val="18"/>
                <w:szCs w:val="18"/>
              </w:rPr>
              <w:t>QL25020021</w:t>
            </w:r>
          </w:p>
          <w:p w14:paraId="4AB05D35" w14:textId="31B2FE9F" w:rsidR="007C7064" w:rsidRPr="007C7064" w:rsidRDefault="007C7064" w:rsidP="007C7064">
            <w:pPr>
              <w:contextualSpacing/>
              <w:jc w:val="center"/>
              <w:rPr>
                <w:rFonts w:cs="Arial"/>
                <w:color w:val="000000" w:themeColor="text1"/>
                <w:sz w:val="18"/>
                <w:szCs w:val="18"/>
                <w:highlight w:val="yellow"/>
              </w:rPr>
            </w:pPr>
          </w:p>
        </w:tc>
        <w:tc>
          <w:tcPr>
            <w:tcW w:w="4111" w:type="dxa"/>
            <w:tcBorders>
              <w:top w:val="single" w:sz="4" w:space="0" w:color="auto"/>
              <w:left w:val="single" w:sz="4" w:space="0" w:color="auto"/>
              <w:bottom w:val="single" w:sz="4" w:space="0" w:color="auto"/>
              <w:right w:val="single" w:sz="4" w:space="0" w:color="auto"/>
            </w:tcBorders>
            <w:vAlign w:val="center"/>
          </w:tcPr>
          <w:p w14:paraId="6AF4991C" w14:textId="1C5CD450" w:rsidR="007C7064" w:rsidRPr="007C7064" w:rsidRDefault="007C7064" w:rsidP="007C7064">
            <w:pPr>
              <w:contextualSpacing/>
              <w:rPr>
                <w:rFonts w:cs="Arial"/>
                <w:color w:val="000000" w:themeColor="text1"/>
                <w:sz w:val="18"/>
                <w:szCs w:val="18"/>
                <w:highlight w:val="yellow"/>
              </w:rPr>
            </w:pPr>
            <w:r w:rsidRPr="007C7064">
              <w:rPr>
                <w:rFonts w:cs="Arial"/>
                <w:bCs/>
                <w:sz w:val="18"/>
                <w:szCs w:val="18"/>
              </w:rPr>
              <w:br/>
              <w:t>Integrované strategie pro přehradní nádrže k udržení jakosti vody při klimatické změně</w:t>
            </w:r>
          </w:p>
        </w:tc>
        <w:tc>
          <w:tcPr>
            <w:tcW w:w="1276" w:type="dxa"/>
            <w:tcBorders>
              <w:top w:val="single" w:sz="4" w:space="0" w:color="auto"/>
              <w:left w:val="single" w:sz="4" w:space="0" w:color="auto"/>
              <w:bottom w:val="single" w:sz="4" w:space="0" w:color="auto"/>
              <w:right w:val="single" w:sz="4" w:space="0" w:color="auto"/>
            </w:tcBorders>
            <w:vAlign w:val="center"/>
          </w:tcPr>
          <w:p w14:paraId="33884278" w14:textId="16F8FFCC" w:rsidR="007C7064" w:rsidRPr="007C7064" w:rsidRDefault="007C7064" w:rsidP="007C7064">
            <w:pPr>
              <w:contextualSpacing/>
              <w:jc w:val="center"/>
              <w:rPr>
                <w:rFonts w:cs="Arial"/>
                <w:color w:val="000000" w:themeColor="text1"/>
                <w:sz w:val="18"/>
                <w:szCs w:val="18"/>
                <w:highlight w:val="yellow"/>
              </w:rPr>
            </w:pPr>
            <w:r w:rsidRPr="007C7064">
              <w:rPr>
                <w:rFonts w:cs="Arial"/>
                <w:bCs/>
                <w:sz w:val="18"/>
                <w:szCs w:val="18"/>
              </w:rPr>
              <w:t>01/2025    12/2027</w:t>
            </w:r>
          </w:p>
        </w:tc>
        <w:tc>
          <w:tcPr>
            <w:tcW w:w="1984" w:type="dxa"/>
            <w:tcBorders>
              <w:top w:val="single" w:sz="4" w:space="0" w:color="auto"/>
              <w:left w:val="single" w:sz="4" w:space="0" w:color="auto"/>
              <w:bottom w:val="single" w:sz="4" w:space="0" w:color="auto"/>
              <w:right w:val="single" w:sz="4" w:space="0" w:color="auto"/>
            </w:tcBorders>
            <w:vAlign w:val="center"/>
          </w:tcPr>
          <w:p w14:paraId="0D6ABD87" w14:textId="08A54896" w:rsidR="007C7064" w:rsidRPr="007C7064" w:rsidRDefault="007C7064" w:rsidP="007C7064">
            <w:pPr>
              <w:contextualSpacing/>
              <w:jc w:val="center"/>
              <w:rPr>
                <w:rFonts w:cs="Arial"/>
                <w:color w:val="000000" w:themeColor="text1"/>
                <w:sz w:val="18"/>
                <w:szCs w:val="18"/>
                <w:highlight w:val="yellow"/>
              </w:rPr>
            </w:pPr>
            <w:r w:rsidRPr="007C7064">
              <w:rPr>
                <w:rFonts w:cs="Arial"/>
                <w:bCs/>
                <w:sz w:val="18"/>
                <w:szCs w:val="18"/>
              </w:rPr>
              <w:t> Výzkumný ústav monitoringu a ochrany půdy, v. v. i.</w:t>
            </w:r>
          </w:p>
        </w:tc>
        <w:tc>
          <w:tcPr>
            <w:tcW w:w="1134" w:type="dxa"/>
            <w:tcBorders>
              <w:top w:val="single" w:sz="4" w:space="0" w:color="auto"/>
              <w:left w:val="single" w:sz="4" w:space="0" w:color="auto"/>
              <w:bottom w:val="single" w:sz="4" w:space="0" w:color="auto"/>
              <w:right w:val="single" w:sz="4" w:space="0" w:color="auto"/>
            </w:tcBorders>
            <w:vAlign w:val="center"/>
          </w:tcPr>
          <w:p w14:paraId="52F5A5E7" w14:textId="365B8ADD" w:rsidR="007C7064" w:rsidRPr="007C7064" w:rsidRDefault="007C7064" w:rsidP="007C7064">
            <w:pPr>
              <w:contextualSpacing/>
              <w:jc w:val="center"/>
              <w:rPr>
                <w:rFonts w:cs="Arial"/>
                <w:color w:val="000000" w:themeColor="text1"/>
                <w:sz w:val="18"/>
                <w:szCs w:val="18"/>
                <w:highlight w:val="yellow"/>
              </w:rPr>
            </w:pPr>
            <w:r w:rsidRPr="007C7064">
              <w:rPr>
                <w:rFonts w:cs="Arial"/>
                <w:sz w:val="18"/>
                <w:szCs w:val="18"/>
              </w:rPr>
              <w:t>4 546,25</w:t>
            </w:r>
          </w:p>
        </w:tc>
      </w:tr>
      <w:tr w:rsidR="007C7064" w:rsidRPr="00104F7D" w14:paraId="3B5FC171" w14:textId="77777777" w:rsidTr="007E29E1">
        <w:trPr>
          <w:trHeight w:val="575"/>
        </w:trPr>
        <w:tc>
          <w:tcPr>
            <w:tcW w:w="1276" w:type="dxa"/>
            <w:tcBorders>
              <w:top w:val="single" w:sz="4" w:space="0" w:color="auto"/>
              <w:left w:val="single" w:sz="4" w:space="0" w:color="auto"/>
              <w:bottom w:val="single" w:sz="4" w:space="0" w:color="auto"/>
              <w:right w:val="single" w:sz="4" w:space="0" w:color="auto"/>
            </w:tcBorders>
            <w:vAlign w:val="center"/>
          </w:tcPr>
          <w:p w14:paraId="04988359" w14:textId="77777777" w:rsidR="007C7064" w:rsidRPr="007C7064" w:rsidRDefault="007C7064" w:rsidP="007C7064">
            <w:pPr>
              <w:jc w:val="center"/>
              <w:rPr>
                <w:rFonts w:cs="Arial"/>
                <w:sz w:val="18"/>
                <w:szCs w:val="18"/>
              </w:rPr>
            </w:pPr>
          </w:p>
          <w:p w14:paraId="69F39305" w14:textId="77777777" w:rsidR="007C7064" w:rsidRPr="007C7064" w:rsidRDefault="007C7064" w:rsidP="007C7064">
            <w:pPr>
              <w:jc w:val="center"/>
              <w:rPr>
                <w:rFonts w:cs="Arial"/>
                <w:sz w:val="18"/>
                <w:szCs w:val="18"/>
              </w:rPr>
            </w:pPr>
            <w:r w:rsidRPr="007C7064">
              <w:rPr>
                <w:rFonts w:cs="Arial"/>
                <w:sz w:val="18"/>
                <w:szCs w:val="18"/>
              </w:rPr>
              <w:t>QL25020081</w:t>
            </w:r>
          </w:p>
          <w:p w14:paraId="2390204F" w14:textId="70EB0E82" w:rsidR="007C7064" w:rsidRPr="007C7064" w:rsidRDefault="007C7064" w:rsidP="007C7064">
            <w:pPr>
              <w:contextualSpacing/>
              <w:jc w:val="center"/>
              <w:rPr>
                <w:rFonts w:cs="Arial"/>
                <w:color w:val="000000" w:themeColor="text1"/>
                <w:sz w:val="18"/>
                <w:szCs w:val="18"/>
                <w:highlight w:val="yellow"/>
              </w:rPr>
            </w:pPr>
          </w:p>
        </w:tc>
        <w:tc>
          <w:tcPr>
            <w:tcW w:w="4111" w:type="dxa"/>
            <w:tcBorders>
              <w:top w:val="single" w:sz="4" w:space="0" w:color="auto"/>
              <w:left w:val="single" w:sz="4" w:space="0" w:color="auto"/>
              <w:bottom w:val="single" w:sz="4" w:space="0" w:color="auto"/>
              <w:right w:val="single" w:sz="4" w:space="0" w:color="auto"/>
            </w:tcBorders>
            <w:vAlign w:val="center"/>
          </w:tcPr>
          <w:p w14:paraId="6B344020" w14:textId="26AB8685" w:rsidR="007C7064" w:rsidRPr="007C7064" w:rsidRDefault="007C7064" w:rsidP="007C7064">
            <w:pPr>
              <w:contextualSpacing/>
              <w:rPr>
                <w:rFonts w:cs="Arial"/>
                <w:color w:val="000000" w:themeColor="text1"/>
                <w:sz w:val="18"/>
                <w:szCs w:val="18"/>
                <w:highlight w:val="yellow"/>
              </w:rPr>
            </w:pPr>
            <w:r w:rsidRPr="007C7064">
              <w:rPr>
                <w:rFonts w:cs="Arial"/>
                <w:sz w:val="18"/>
                <w:szCs w:val="18"/>
              </w:rPr>
              <w:t>Rizikové oblastí z hlediska výskytu pesticidů a reziduí pesticidů ve vodách</w:t>
            </w:r>
          </w:p>
        </w:tc>
        <w:tc>
          <w:tcPr>
            <w:tcW w:w="1276" w:type="dxa"/>
            <w:tcBorders>
              <w:top w:val="single" w:sz="4" w:space="0" w:color="auto"/>
              <w:left w:val="single" w:sz="4" w:space="0" w:color="auto"/>
              <w:bottom w:val="single" w:sz="4" w:space="0" w:color="auto"/>
              <w:right w:val="single" w:sz="4" w:space="0" w:color="auto"/>
            </w:tcBorders>
            <w:vAlign w:val="center"/>
          </w:tcPr>
          <w:p w14:paraId="4E8D0C20" w14:textId="4BB314CC" w:rsidR="007C7064" w:rsidRPr="007C7064" w:rsidRDefault="007C7064" w:rsidP="007C7064">
            <w:pPr>
              <w:contextualSpacing/>
              <w:jc w:val="center"/>
              <w:rPr>
                <w:rFonts w:cs="Arial"/>
                <w:color w:val="000000" w:themeColor="text1"/>
                <w:sz w:val="18"/>
                <w:szCs w:val="18"/>
                <w:highlight w:val="yellow"/>
              </w:rPr>
            </w:pPr>
            <w:r w:rsidRPr="007C7064">
              <w:rPr>
                <w:rFonts w:cs="Arial"/>
                <w:bCs/>
                <w:sz w:val="18"/>
                <w:szCs w:val="18"/>
              </w:rPr>
              <w:t>01/2025    12/2026</w:t>
            </w:r>
          </w:p>
        </w:tc>
        <w:tc>
          <w:tcPr>
            <w:tcW w:w="1984" w:type="dxa"/>
            <w:tcBorders>
              <w:top w:val="single" w:sz="4" w:space="0" w:color="auto"/>
              <w:left w:val="single" w:sz="4" w:space="0" w:color="auto"/>
              <w:bottom w:val="single" w:sz="4" w:space="0" w:color="auto"/>
              <w:right w:val="single" w:sz="4" w:space="0" w:color="auto"/>
            </w:tcBorders>
            <w:vAlign w:val="center"/>
          </w:tcPr>
          <w:p w14:paraId="14171540" w14:textId="7FE6D009" w:rsidR="007C7064" w:rsidRPr="007C7064" w:rsidRDefault="007C7064" w:rsidP="007C7064">
            <w:pPr>
              <w:contextualSpacing/>
              <w:jc w:val="center"/>
              <w:rPr>
                <w:rFonts w:cs="Arial"/>
                <w:color w:val="000000" w:themeColor="text1"/>
                <w:sz w:val="18"/>
                <w:szCs w:val="18"/>
                <w:highlight w:val="yellow"/>
              </w:rPr>
            </w:pPr>
            <w:r w:rsidRPr="007C7064">
              <w:rPr>
                <w:rFonts w:cs="Arial"/>
                <w:b/>
                <w:bCs/>
                <w:sz w:val="18"/>
                <w:szCs w:val="18"/>
              </w:rPr>
              <w:t> </w:t>
            </w:r>
            <w:r w:rsidRPr="007C7064">
              <w:rPr>
                <w:rFonts w:cs="Arial"/>
                <w:sz w:val="18"/>
                <w:szCs w:val="18"/>
              </w:rPr>
              <w:t>Český hydrometeorologický ústav</w:t>
            </w:r>
          </w:p>
        </w:tc>
        <w:tc>
          <w:tcPr>
            <w:tcW w:w="1134" w:type="dxa"/>
            <w:tcBorders>
              <w:top w:val="single" w:sz="4" w:space="0" w:color="auto"/>
              <w:left w:val="single" w:sz="4" w:space="0" w:color="auto"/>
              <w:bottom w:val="single" w:sz="4" w:space="0" w:color="auto"/>
              <w:right w:val="single" w:sz="4" w:space="0" w:color="auto"/>
            </w:tcBorders>
            <w:vAlign w:val="center"/>
          </w:tcPr>
          <w:p w14:paraId="5496E1C2" w14:textId="162363CF" w:rsidR="007C7064" w:rsidRPr="007C7064" w:rsidRDefault="007C7064" w:rsidP="007C7064">
            <w:pPr>
              <w:contextualSpacing/>
              <w:jc w:val="center"/>
              <w:rPr>
                <w:rFonts w:cs="Arial"/>
                <w:color w:val="000000" w:themeColor="text1"/>
                <w:sz w:val="18"/>
                <w:szCs w:val="18"/>
                <w:highlight w:val="yellow"/>
              </w:rPr>
            </w:pPr>
            <w:r w:rsidRPr="007C7064">
              <w:rPr>
                <w:rFonts w:cs="Arial"/>
                <w:sz w:val="18"/>
                <w:szCs w:val="18"/>
              </w:rPr>
              <w:t>3 853, 36</w:t>
            </w:r>
          </w:p>
        </w:tc>
      </w:tr>
      <w:tr w:rsidR="007C7064" w:rsidRPr="00104F7D" w14:paraId="04EB12E5" w14:textId="77777777" w:rsidTr="007E29E1">
        <w:trPr>
          <w:trHeight w:val="575"/>
        </w:trPr>
        <w:tc>
          <w:tcPr>
            <w:tcW w:w="1276" w:type="dxa"/>
            <w:tcBorders>
              <w:top w:val="single" w:sz="4" w:space="0" w:color="auto"/>
              <w:left w:val="single" w:sz="4" w:space="0" w:color="auto"/>
              <w:bottom w:val="single" w:sz="4" w:space="0" w:color="auto"/>
              <w:right w:val="single" w:sz="4" w:space="0" w:color="auto"/>
            </w:tcBorders>
            <w:vAlign w:val="center"/>
          </w:tcPr>
          <w:p w14:paraId="5A34C39C" w14:textId="77777777" w:rsidR="007C7064" w:rsidRPr="007C7064" w:rsidRDefault="007C7064" w:rsidP="007C7064">
            <w:pPr>
              <w:jc w:val="center"/>
              <w:rPr>
                <w:rFonts w:cs="Arial"/>
                <w:sz w:val="18"/>
                <w:szCs w:val="18"/>
              </w:rPr>
            </w:pPr>
            <w:r w:rsidRPr="007C7064">
              <w:rPr>
                <w:rFonts w:cs="Arial"/>
                <w:sz w:val="18"/>
                <w:szCs w:val="18"/>
              </w:rPr>
              <w:t>QL25020052</w:t>
            </w:r>
          </w:p>
          <w:p w14:paraId="638CF074" w14:textId="66B8CA46" w:rsidR="007C7064" w:rsidRPr="007C7064" w:rsidRDefault="007C7064" w:rsidP="007C7064">
            <w:pPr>
              <w:contextualSpacing/>
              <w:jc w:val="center"/>
              <w:rPr>
                <w:rFonts w:cs="Arial"/>
                <w:color w:val="000000" w:themeColor="text1"/>
                <w:sz w:val="18"/>
                <w:szCs w:val="18"/>
                <w:highlight w:val="yellow"/>
              </w:rPr>
            </w:pPr>
          </w:p>
        </w:tc>
        <w:tc>
          <w:tcPr>
            <w:tcW w:w="4111" w:type="dxa"/>
            <w:tcBorders>
              <w:top w:val="single" w:sz="4" w:space="0" w:color="auto"/>
              <w:left w:val="single" w:sz="4" w:space="0" w:color="auto"/>
              <w:bottom w:val="single" w:sz="4" w:space="0" w:color="auto"/>
              <w:right w:val="single" w:sz="4" w:space="0" w:color="auto"/>
            </w:tcBorders>
            <w:vAlign w:val="center"/>
          </w:tcPr>
          <w:p w14:paraId="30F17B44" w14:textId="1B7209F7" w:rsidR="007C7064" w:rsidRPr="007C7064" w:rsidRDefault="007C7064" w:rsidP="007C7064">
            <w:pPr>
              <w:contextualSpacing/>
              <w:rPr>
                <w:rFonts w:cs="Arial"/>
                <w:color w:val="000000" w:themeColor="text1"/>
                <w:sz w:val="18"/>
                <w:szCs w:val="18"/>
                <w:highlight w:val="yellow"/>
              </w:rPr>
            </w:pPr>
            <w:r w:rsidRPr="007C7064">
              <w:rPr>
                <w:rFonts w:cs="Arial"/>
                <w:sz w:val="18"/>
                <w:szCs w:val="18"/>
              </w:rPr>
              <w:t>Hodnocení biodiverzity, populačního stavu a hospodaření v </w:t>
            </w:r>
            <w:proofErr w:type="spellStart"/>
            <w:r w:rsidRPr="007C7064">
              <w:rPr>
                <w:rFonts w:cs="Arial"/>
                <w:sz w:val="18"/>
                <w:szCs w:val="18"/>
              </w:rPr>
              <w:t>mimopstruhových</w:t>
            </w:r>
            <w:proofErr w:type="spellEnd"/>
            <w:r w:rsidRPr="007C7064">
              <w:rPr>
                <w:rFonts w:cs="Arial"/>
                <w:sz w:val="18"/>
                <w:szCs w:val="18"/>
              </w:rPr>
              <w:t xml:space="preserve"> rybářských revírech</w:t>
            </w:r>
          </w:p>
        </w:tc>
        <w:tc>
          <w:tcPr>
            <w:tcW w:w="1276" w:type="dxa"/>
            <w:tcBorders>
              <w:top w:val="single" w:sz="4" w:space="0" w:color="auto"/>
              <w:left w:val="single" w:sz="4" w:space="0" w:color="auto"/>
              <w:bottom w:val="single" w:sz="4" w:space="0" w:color="auto"/>
              <w:right w:val="single" w:sz="4" w:space="0" w:color="auto"/>
            </w:tcBorders>
            <w:vAlign w:val="center"/>
          </w:tcPr>
          <w:p w14:paraId="3B12B379" w14:textId="51BE6BF3" w:rsidR="007C7064" w:rsidRPr="007C7064" w:rsidRDefault="007C7064" w:rsidP="007C7064">
            <w:pPr>
              <w:contextualSpacing/>
              <w:jc w:val="center"/>
              <w:rPr>
                <w:rFonts w:cs="Arial"/>
                <w:color w:val="000000" w:themeColor="text1"/>
                <w:sz w:val="18"/>
                <w:szCs w:val="18"/>
                <w:highlight w:val="yellow"/>
              </w:rPr>
            </w:pPr>
            <w:r w:rsidRPr="007C7064">
              <w:rPr>
                <w:rFonts w:cs="Arial"/>
                <w:sz w:val="18"/>
                <w:szCs w:val="18"/>
              </w:rPr>
              <w:t>01/2025    12/2027</w:t>
            </w:r>
          </w:p>
        </w:tc>
        <w:tc>
          <w:tcPr>
            <w:tcW w:w="1984" w:type="dxa"/>
            <w:tcBorders>
              <w:top w:val="single" w:sz="4" w:space="0" w:color="auto"/>
              <w:left w:val="single" w:sz="4" w:space="0" w:color="auto"/>
              <w:bottom w:val="single" w:sz="4" w:space="0" w:color="auto"/>
              <w:right w:val="single" w:sz="4" w:space="0" w:color="auto"/>
            </w:tcBorders>
            <w:vAlign w:val="center"/>
          </w:tcPr>
          <w:p w14:paraId="577C05A4" w14:textId="6789D0C3" w:rsidR="007C7064" w:rsidRPr="007C7064" w:rsidRDefault="007C7064" w:rsidP="007C7064">
            <w:pPr>
              <w:contextualSpacing/>
              <w:jc w:val="center"/>
              <w:rPr>
                <w:rFonts w:cs="Arial"/>
                <w:color w:val="000000" w:themeColor="text1"/>
                <w:sz w:val="18"/>
                <w:szCs w:val="18"/>
                <w:highlight w:val="yellow"/>
              </w:rPr>
            </w:pPr>
            <w:r w:rsidRPr="007C7064">
              <w:rPr>
                <w:rFonts w:cs="Arial"/>
                <w:sz w:val="18"/>
                <w:szCs w:val="18"/>
              </w:rPr>
              <w:t> Biologické centrum AV ČR, v. v. i.</w:t>
            </w:r>
          </w:p>
        </w:tc>
        <w:tc>
          <w:tcPr>
            <w:tcW w:w="1134" w:type="dxa"/>
            <w:tcBorders>
              <w:top w:val="single" w:sz="4" w:space="0" w:color="auto"/>
              <w:left w:val="single" w:sz="4" w:space="0" w:color="auto"/>
              <w:bottom w:val="single" w:sz="4" w:space="0" w:color="auto"/>
              <w:right w:val="single" w:sz="4" w:space="0" w:color="auto"/>
            </w:tcBorders>
            <w:vAlign w:val="center"/>
          </w:tcPr>
          <w:p w14:paraId="4BF158DE" w14:textId="73ABAA30" w:rsidR="007C7064" w:rsidRPr="007C7064" w:rsidRDefault="007C7064" w:rsidP="007C7064">
            <w:pPr>
              <w:contextualSpacing/>
              <w:jc w:val="center"/>
              <w:rPr>
                <w:rFonts w:cs="Arial"/>
                <w:color w:val="000000" w:themeColor="text1"/>
                <w:sz w:val="18"/>
                <w:szCs w:val="18"/>
                <w:highlight w:val="yellow"/>
              </w:rPr>
            </w:pPr>
            <w:r w:rsidRPr="007C7064">
              <w:rPr>
                <w:rFonts w:cs="Arial"/>
                <w:sz w:val="18"/>
                <w:szCs w:val="18"/>
              </w:rPr>
              <w:t>3 977, 95</w:t>
            </w:r>
          </w:p>
        </w:tc>
      </w:tr>
      <w:tr w:rsidR="00EE6F9F" w:rsidRPr="00444F4D" w14:paraId="2234ED0F" w14:textId="77777777" w:rsidTr="00EC1043">
        <w:trPr>
          <w:trHeight w:val="575"/>
        </w:trPr>
        <w:tc>
          <w:tcPr>
            <w:tcW w:w="1276" w:type="dxa"/>
            <w:shd w:val="clear" w:color="auto" w:fill="AEAAAA"/>
            <w:vAlign w:val="center"/>
          </w:tcPr>
          <w:p w14:paraId="63C3C5FD" w14:textId="53BDD036" w:rsidR="007E29E1" w:rsidRPr="00444F4D" w:rsidRDefault="007E29E1" w:rsidP="007C4955">
            <w:pPr>
              <w:contextualSpacing/>
              <w:jc w:val="center"/>
              <w:rPr>
                <w:rFonts w:cs="Arial"/>
                <w:b/>
                <w:bCs/>
                <w:sz w:val="18"/>
                <w:szCs w:val="18"/>
              </w:rPr>
            </w:pPr>
            <w:r w:rsidRPr="00444F4D">
              <w:rPr>
                <w:rFonts w:cs="Arial"/>
                <w:b/>
                <w:bCs/>
                <w:sz w:val="18"/>
                <w:szCs w:val="18"/>
              </w:rPr>
              <w:t>Celkem</w:t>
            </w:r>
          </w:p>
        </w:tc>
        <w:tc>
          <w:tcPr>
            <w:tcW w:w="7371" w:type="dxa"/>
            <w:gridSpan w:val="3"/>
            <w:shd w:val="clear" w:color="auto" w:fill="AEAAAA"/>
            <w:vAlign w:val="center"/>
          </w:tcPr>
          <w:p w14:paraId="2AFFCE42" w14:textId="2C5C5AED" w:rsidR="007E29E1" w:rsidRPr="00444F4D" w:rsidRDefault="007E29E1" w:rsidP="007C4955">
            <w:pPr>
              <w:contextualSpacing/>
              <w:jc w:val="center"/>
              <w:rPr>
                <w:rFonts w:cs="Arial"/>
                <w:b/>
                <w:bCs/>
                <w:sz w:val="18"/>
                <w:szCs w:val="18"/>
              </w:rPr>
            </w:pPr>
          </w:p>
        </w:tc>
        <w:tc>
          <w:tcPr>
            <w:tcW w:w="1134" w:type="dxa"/>
            <w:shd w:val="clear" w:color="auto" w:fill="AEAAAA"/>
            <w:vAlign w:val="center"/>
          </w:tcPr>
          <w:p w14:paraId="32989265" w14:textId="2E31EFD5" w:rsidR="007E29E1" w:rsidRPr="00444F4D" w:rsidRDefault="00444F4D" w:rsidP="007C4955">
            <w:pPr>
              <w:contextualSpacing/>
              <w:jc w:val="center"/>
              <w:rPr>
                <w:rFonts w:cs="Arial"/>
                <w:b/>
                <w:bCs/>
                <w:sz w:val="18"/>
                <w:szCs w:val="18"/>
              </w:rPr>
            </w:pPr>
            <w:r w:rsidRPr="00444F4D">
              <w:rPr>
                <w:rFonts w:cs="Arial"/>
                <w:b/>
                <w:sz w:val="18"/>
                <w:szCs w:val="18"/>
              </w:rPr>
              <w:t>55 228,11</w:t>
            </w:r>
          </w:p>
        </w:tc>
      </w:tr>
    </w:tbl>
    <w:p w14:paraId="09F6B263" w14:textId="77777777" w:rsidR="002B1584" w:rsidRPr="00444F4D" w:rsidRDefault="002B1584" w:rsidP="007C4955">
      <w:pPr>
        <w:pStyle w:val="Textpsmene"/>
        <w:numPr>
          <w:ilvl w:val="0"/>
          <w:numId w:val="0"/>
        </w:numPr>
        <w:tabs>
          <w:tab w:val="left" w:pos="1701"/>
        </w:tabs>
        <w:ind w:left="1701" w:hanging="1701"/>
        <w:contextualSpacing/>
        <w:jc w:val="left"/>
        <w:rPr>
          <w:rFonts w:ascii="Arial" w:hAnsi="Arial" w:cs="Arial"/>
          <w:i/>
          <w:sz w:val="20"/>
        </w:rPr>
      </w:pPr>
      <w:r w:rsidRPr="00444F4D">
        <w:rPr>
          <w:rFonts w:ascii="Arial" w:hAnsi="Arial" w:cs="Arial"/>
          <w:i/>
          <w:sz w:val="20"/>
        </w:rPr>
        <w:t>Pramen: MZe</w:t>
      </w:r>
    </w:p>
    <w:p w14:paraId="58262534" w14:textId="77777777" w:rsidR="002B1584" w:rsidRPr="00104F7D" w:rsidRDefault="002B1584" w:rsidP="007C4955">
      <w:pPr>
        <w:contextualSpacing/>
        <w:rPr>
          <w:highlight w:val="yellow"/>
        </w:rPr>
      </w:pPr>
    </w:p>
    <w:p w14:paraId="4A6E204B" w14:textId="2936A4B7" w:rsidR="00BE4EE9" w:rsidRPr="00BD46DA" w:rsidRDefault="00BE4EE9" w:rsidP="00F6279D">
      <w:pPr>
        <w:pStyle w:val="Nadpis2"/>
        <w:spacing w:before="0"/>
        <w:ind w:firstLine="708"/>
        <w:contextualSpacing/>
      </w:pPr>
      <w:bookmarkStart w:id="220" w:name="_Toc10183469"/>
      <w:bookmarkStart w:id="221" w:name="_Toc236991654"/>
      <w:r w:rsidRPr="00BD46DA">
        <w:t>1</w:t>
      </w:r>
      <w:r w:rsidR="00EB2B2D" w:rsidRPr="00BD46DA">
        <w:t>5</w:t>
      </w:r>
      <w:r w:rsidRPr="00BD46DA">
        <w:t>.2 Výzkum a vývoj v působnost</w:t>
      </w:r>
      <w:r w:rsidR="00757718" w:rsidRPr="00BD46DA">
        <w:t>i</w:t>
      </w:r>
      <w:r w:rsidRPr="00BD46DA">
        <w:t xml:space="preserve"> Ministerstva životního prostředí</w:t>
      </w:r>
      <w:bookmarkEnd w:id="220"/>
      <w:bookmarkEnd w:id="221"/>
    </w:p>
    <w:p w14:paraId="751016E9" w14:textId="77777777" w:rsidR="00CA04FA" w:rsidRPr="00104F7D" w:rsidRDefault="00CA04FA" w:rsidP="007D6773">
      <w:pPr>
        <w:rPr>
          <w:rFonts w:cs="Arial"/>
          <w:b/>
          <w:bCs/>
          <w:color w:val="000000"/>
          <w:highlight w:val="yellow"/>
        </w:rPr>
      </w:pPr>
    </w:p>
    <w:p w14:paraId="1F91DA39" w14:textId="5B6BB64B" w:rsidR="00EB1B01" w:rsidRPr="00210AC2" w:rsidRDefault="007256BE" w:rsidP="00210AC2">
      <w:pPr>
        <w:rPr>
          <w:rFonts w:cs="Arial"/>
          <w:b/>
          <w:bCs/>
          <w:color w:val="000000"/>
        </w:rPr>
      </w:pPr>
      <w:r>
        <w:rPr>
          <w:rFonts w:cs="Arial"/>
          <w:b/>
          <w:bCs/>
          <w:color w:val="000000"/>
        </w:rPr>
        <w:t xml:space="preserve">Ministerstvo životního prostředí poskytlo v roce 2025 institucionální podporu </w:t>
      </w:r>
      <w:r w:rsidRPr="008B4249">
        <w:rPr>
          <w:rFonts w:cs="Arial"/>
          <w:b/>
          <w:bCs/>
          <w:color w:val="000000"/>
        </w:rPr>
        <w:t>na dlouhodobý koncepční rozvoj výzkumné organizace</w:t>
      </w:r>
      <w:r>
        <w:rPr>
          <w:rFonts w:cs="Arial"/>
          <w:b/>
          <w:bCs/>
          <w:color w:val="000000"/>
        </w:rPr>
        <w:t xml:space="preserve"> v celkové výši 134 234 098 </w:t>
      </w:r>
      <w:r w:rsidRPr="00BB65CA">
        <w:rPr>
          <w:rFonts w:cs="Arial"/>
          <w:b/>
          <w:bCs/>
          <w:color w:val="000000"/>
        </w:rPr>
        <w:t>Kč</w:t>
      </w:r>
      <w:r>
        <w:rPr>
          <w:rFonts w:cs="Arial"/>
          <w:b/>
          <w:bCs/>
          <w:color w:val="000000"/>
        </w:rPr>
        <w:t xml:space="preserve"> </w:t>
      </w:r>
      <w:r w:rsidRPr="008B4249">
        <w:rPr>
          <w:rFonts w:cs="Arial"/>
          <w:b/>
          <w:bCs/>
          <w:color w:val="000000"/>
        </w:rPr>
        <w:t>dvěma svým</w:t>
      </w:r>
      <w:r>
        <w:rPr>
          <w:rFonts w:cs="Arial"/>
          <w:b/>
          <w:bCs/>
          <w:color w:val="000000"/>
        </w:rPr>
        <w:t xml:space="preserve"> výzkumným organizacím </w:t>
      </w:r>
      <w:r w:rsidRPr="008B4249">
        <w:rPr>
          <w:rFonts w:cs="Arial"/>
          <w:b/>
          <w:bCs/>
          <w:color w:val="000000"/>
        </w:rPr>
        <w:t>působícím</w:t>
      </w:r>
      <w:r>
        <w:rPr>
          <w:rFonts w:cs="Arial"/>
          <w:b/>
          <w:bCs/>
          <w:color w:val="000000"/>
        </w:rPr>
        <w:t xml:space="preserve"> v oblasti vod – Výzkumnému ústavu vodohospodářskému T. G. Masaryka, v. v. i., a Českému hydrometeorologickému ústavu. </w:t>
      </w:r>
      <w:r w:rsidRPr="000144D5">
        <w:rPr>
          <w:rFonts w:cs="Arial"/>
          <w:b/>
          <w:bCs/>
          <w:color w:val="000000"/>
        </w:rPr>
        <w:t>Výzkumný ústav vodohospodářský T. G. Masaryka, v. v. i., obdržel 78</w:t>
      </w:r>
      <w:r>
        <w:rPr>
          <w:rFonts w:cs="Arial"/>
          <w:b/>
          <w:bCs/>
          <w:color w:val="000000"/>
        </w:rPr>
        <w:t> </w:t>
      </w:r>
      <w:r w:rsidRPr="000144D5">
        <w:rPr>
          <w:rFonts w:cs="Arial"/>
          <w:b/>
          <w:bCs/>
          <w:color w:val="000000"/>
        </w:rPr>
        <w:t>415</w:t>
      </w:r>
      <w:r>
        <w:rPr>
          <w:rFonts w:cs="Arial"/>
          <w:b/>
          <w:bCs/>
          <w:color w:val="000000"/>
        </w:rPr>
        <w:t> </w:t>
      </w:r>
      <w:r w:rsidRPr="000144D5">
        <w:rPr>
          <w:rFonts w:cs="Arial"/>
          <w:b/>
          <w:bCs/>
          <w:color w:val="000000"/>
        </w:rPr>
        <w:t>241</w:t>
      </w:r>
      <w:r>
        <w:rPr>
          <w:rFonts w:cs="Arial"/>
          <w:b/>
          <w:bCs/>
          <w:color w:val="000000"/>
        </w:rPr>
        <w:t> </w:t>
      </w:r>
      <w:r w:rsidRPr="000144D5">
        <w:rPr>
          <w:rFonts w:cs="Arial"/>
          <w:b/>
          <w:bCs/>
          <w:color w:val="000000"/>
        </w:rPr>
        <w:t>Kč a Český hydrometeorologický ústav 55 818 857 Kč</w:t>
      </w:r>
      <w:r w:rsidRPr="00BB65CA">
        <w:rPr>
          <w:rFonts w:cs="Arial"/>
          <w:b/>
          <w:bCs/>
          <w:color w:val="000000"/>
        </w:rPr>
        <w:t>.</w:t>
      </w:r>
    </w:p>
    <w:p w14:paraId="1BED4277" w14:textId="77777777" w:rsidR="00EB1B01" w:rsidRDefault="00EB1B01" w:rsidP="007256BE">
      <w:pPr>
        <w:shd w:val="clear" w:color="auto" w:fill="FFFFFF"/>
        <w:contextualSpacing/>
        <w:rPr>
          <w:rFonts w:cs="Arial"/>
          <w:b/>
          <w:i/>
          <w:color w:val="000000"/>
        </w:rPr>
      </w:pPr>
    </w:p>
    <w:p w14:paraId="71194FF7" w14:textId="77777777" w:rsidR="0060446C" w:rsidRPr="00104F7D" w:rsidRDefault="0060446C" w:rsidP="007C4955">
      <w:pPr>
        <w:shd w:val="clear" w:color="auto" w:fill="FFFFFF"/>
        <w:contextualSpacing/>
        <w:rPr>
          <w:rFonts w:cs="Arial"/>
          <w:b/>
          <w:i/>
          <w:color w:val="FF0000"/>
          <w:sz w:val="18"/>
          <w:szCs w:val="18"/>
          <w:highlight w:val="yellow"/>
        </w:rPr>
      </w:pPr>
    </w:p>
    <w:p w14:paraId="731DA4A6" w14:textId="20D637AF" w:rsidR="005276B5" w:rsidRPr="00DE2D66" w:rsidRDefault="005276B5" w:rsidP="00F6279D">
      <w:pPr>
        <w:pStyle w:val="Nadpis2"/>
        <w:spacing w:before="0"/>
        <w:ind w:firstLine="708"/>
        <w:contextualSpacing/>
      </w:pPr>
      <w:bookmarkStart w:id="222" w:name="_Toc236991655"/>
      <w:r w:rsidRPr="00DE2D66">
        <w:t>1</w:t>
      </w:r>
      <w:r w:rsidR="00EB2B2D" w:rsidRPr="00DE2D66">
        <w:t>5</w:t>
      </w:r>
      <w:r w:rsidRPr="00DE2D66">
        <w:t xml:space="preserve">.3 Výzkum a vývoj v působnosti </w:t>
      </w:r>
      <w:r w:rsidR="00E2179D" w:rsidRPr="00DE2D66">
        <w:t>Ministerstva školství, mládeže a tělovýchovy</w:t>
      </w:r>
      <w:bookmarkEnd w:id="222"/>
    </w:p>
    <w:p w14:paraId="40504CB2" w14:textId="639B25F3" w:rsidR="0088193F" w:rsidRPr="00104F7D" w:rsidRDefault="0088193F" w:rsidP="007C4955">
      <w:pPr>
        <w:autoSpaceDE w:val="0"/>
        <w:autoSpaceDN w:val="0"/>
        <w:adjustRightInd w:val="0"/>
        <w:contextualSpacing/>
        <w:rPr>
          <w:rFonts w:eastAsia="GillSansMT-Bold" w:cs="Calibri"/>
          <w:b/>
          <w:bCs/>
          <w:color w:val="FF0000"/>
          <w:highlight w:val="yellow"/>
        </w:rPr>
      </w:pPr>
    </w:p>
    <w:p w14:paraId="56F34D1D" w14:textId="77777777" w:rsidR="00DE2D66" w:rsidRPr="008C06E5" w:rsidRDefault="00DE2D66" w:rsidP="00DE2D66">
      <w:pPr>
        <w:autoSpaceDE w:val="0"/>
        <w:autoSpaceDN w:val="0"/>
        <w:adjustRightInd w:val="0"/>
        <w:spacing w:after="120"/>
        <w:contextualSpacing/>
        <w:rPr>
          <w:rFonts w:eastAsia="GillSansMT-Bold" w:cstheme="minorHAnsi"/>
          <w:b/>
          <w:bCs/>
        </w:rPr>
      </w:pPr>
      <w:r w:rsidRPr="008C06E5">
        <w:rPr>
          <w:rFonts w:eastAsia="GillSansMT-Bold" w:cstheme="minorHAnsi"/>
          <w:b/>
          <w:bCs/>
        </w:rPr>
        <w:t xml:space="preserve">Ministerstvo školství, mládeže a tělovýchovy podporuje výzkum a vývoj v oblastech dotýkajících se vodního hospodářství prostřednictvím </w:t>
      </w:r>
      <w:r>
        <w:rPr>
          <w:rFonts w:eastAsia="GillSansMT-Bold" w:cstheme="minorHAnsi"/>
          <w:b/>
          <w:bCs/>
        </w:rPr>
        <w:t xml:space="preserve">projektů </w:t>
      </w:r>
      <w:r w:rsidRPr="008C06E5">
        <w:rPr>
          <w:rFonts w:eastAsia="GillSansMT-Bold" w:cstheme="minorHAnsi"/>
          <w:b/>
          <w:bCs/>
        </w:rPr>
        <w:t xml:space="preserve">velkých výzkumných infrastruktur </w:t>
      </w:r>
      <w:proofErr w:type="spellStart"/>
      <w:r w:rsidRPr="008C06E5">
        <w:rPr>
          <w:rFonts w:eastAsia="GillSansMT-Bold" w:cstheme="minorHAnsi"/>
          <w:b/>
          <w:bCs/>
        </w:rPr>
        <w:t>CzeCOS</w:t>
      </w:r>
      <w:proofErr w:type="spellEnd"/>
      <w:r w:rsidRPr="008C06E5">
        <w:rPr>
          <w:rFonts w:eastAsia="GillSansMT-Bold" w:cstheme="minorHAnsi"/>
          <w:b/>
          <w:bCs/>
        </w:rPr>
        <w:t xml:space="preserve"> a CENAKVA a na ně navázané projekty mezinárodní spolupráce České republiky ve výzkumu a vývoji. V roce </w:t>
      </w:r>
      <w:r w:rsidRPr="009274A2">
        <w:rPr>
          <w:rFonts w:eastAsia="GillSansMT-Bold" w:cstheme="minorHAnsi"/>
          <w:b/>
          <w:bCs/>
        </w:rPr>
        <w:t>2</w:t>
      </w:r>
      <w:r>
        <w:rPr>
          <w:rFonts w:eastAsia="GillSansMT-Bold" w:cstheme="minorHAnsi"/>
          <w:b/>
          <w:bCs/>
        </w:rPr>
        <w:t>025</w:t>
      </w:r>
      <w:r w:rsidRPr="008C06E5">
        <w:rPr>
          <w:rFonts w:eastAsia="GillSansMT-Bold" w:cstheme="minorHAnsi"/>
          <w:b/>
          <w:bCs/>
        </w:rPr>
        <w:t xml:space="preserve"> bylo poskytnuto více než</w:t>
      </w:r>
      <w:r>
        <w:rPr>
          <w:rFonts w:eastAsia="GillSansMT-Bold" w:cstheme="minorHAnsi"/>
          <w:b/>
          <w:bCs/>
        </w:rPr>
        <w:t xml:space="preserve"> </w:t>
      </w:r>
      <w:r w:rsidRPr="007854B1">
        <w:rPr>
          <w:rFonts w:eastAsia="GillSansMT-Bold" w:cstheme="minorHAnsi"/>
          <w:b/>
          <w:bCs/>
        </w:rPr>
        <w:t>7</w:t>
      </w:r>
      <w:r>
        <w:rPr>
          <w:rFonts w:eastAsia="GillSansMT-Bold" w:cstheme="minorHAnsi"/>
          <w:b/>
          <w:bCs/>
        </w:rPr>
        <w:t>1</w:t>
      </w:r>
      <w:r w:rsidRPr="008F6D44">
        <w:rPr>
          <w:rFonts w:eastAsia="GillSansMT-Bold" w:cstheme="minorHAnsi"/>
          <w:b/>
          <w:bCs/>
        </w:rPr>
        <w:t> mil. Kč.</w:t>
      </w:r>
    </w:p>
    <w:p w14:paraId="111CA713" w14:textId="77777777" w:rsidR="007E1FBE" w:rsidRPr="00104F7D" w:rsidRDefault="007E1FBE" w:rsidP="00F643E2">
      <w:pPr>
        <w:autoSpaceDE w:val="0"/>
        <w:autoSpaceDN w:val="0"/>
        <w:adjustRightInd w:val="0"/>
        <w:spacing w:after="120"/>
        <w:contextualSpacing/>
        <w:rPr>
          <w:rFonts w:eastAsia="GillSansMT-Bold" w:cstheme="minorHAnsi"/>
          <w:b/>
          <w:bCs/>
          <w:highlight w:val="yellow"/>
        </w:rPr>
      </w:pPr>
    </w:p>
    <w:p w14:paraId="6715ECD3" w14:textId="77777777" w:rsidR="005632BF" w:rsidRPr="008C06E5" w:rsidRDefault="005632BF" w:rsidP="005632BF">
      <w:pPr>
        <w:spacing w:after="120"/>
        <w:rPr>
          <w:rFonts w:cstheme="minorHAnsi"/>
          <w:b/>
          <w:i/>
        </w:rPr>
      </w:pPr>
      <w:r w:rsidRPr="008C06E5">
        <w:rPr>
          <w:rFonts w:cstheme="minorHAnsi"/>
          <w:b/>
          <w:i/>
        </w:rPr>
        <w:t xml:space="preserve">Velká výzkumná infrastruktura </w:t>
      </w:r>
      <w:proofErr w:type="spellStart"/>
      <w:proofErr w:type="gramStart"/>
      <w:r w:rsidRPr="008C06E5">
        <w:rPr>
          <w:rFonts w:cstheme="minorHAnsi"/>
          <w:b/>
          <w:i/>
        </w:rPr>
        <w:t>CzeCOS</w:t>
      </w:r>
      <w:proofErr w:type="spellEnd"/>
      <w:r w:rsidRPr="008C06E5">
        <w:rPr>
          <w:rFonts w:cstheme="minorHAnsi"/>
          <w:b/>
          <w:i/>
        </w:rPr>
        <w:t xml:space="preserve"> - Česká</w:t>
      </w:r>
      <w:proofErr w:type="gramEnd"/>
      <w:r w:rsidRPr="008C06E5">
        <w:rPr>
          <w:rFonts w:cstheme="minorHAnsi"/>
          <w:b/>
          <w:i/>
        </w:rPr>
        <w:t xml:space="preserve"> infrastruktura sledování uhlíku</w:t>
      </w:r>
    </w:p>
    <w:p w14:paraId="4F2B5370" w14:textId="77777777" w:rsidR="005632BF" w:rsidRPr="009A45E2" w:rsidRDefault="005632BF" w:rsidP="005632BF">
      <w:r w:rsidRPr="006C2CA5">
        <w:rPr>
          <w:rFonts w:cstheme="minorHAnsi"/>
        </w:rPr>
        <w:t>V roce 2025 pokračovaly na výzkumné infrastruktuře</w:t>
      </w:r>
      <w:r>
        <w:rPr>
          <w:rFonts w:cstheme="minorHAnsi"/>
        </w:rPr>
        <w:t xml:space="preserve"> </w:t>
      </w:r>
      <w:proofErr w:type="spellStart"/>
      <w:r w:rsidRPr="008C06E5">
        <w:rPr>
          <w:rFonts w:cstheme="minorHAnsi"/>
        </w:rPr>
        <w:t>CzeCOS</w:t>
      </w:r>
      <w:proofErr w:type="spellEnd"/>
      <w:r w:rsidRPr="008C06E5">
        <w:rPr>
          <w:rFonts w:cstheme="minorHAnsi"/>
        </w:rPr>
        <w:t xml:space="preserve"> (dále jen „VVI </w:t>
      </w:r>
      <w:proofErr w:type="spellStart"/>
      <w:r w:rsidRPr="008C06E5">
        <w:rPr>
          <w:rFonts w:cstheme="minorHAnsi"/>
        </w:rPr>
        <w:t>CzeCOS</w:t>
      </w:r>
      <w:proofErr w:type="spellEnd"/>
      <w:r w:rsidRPr="008C06E5">
        <w:rPr>
          <w:rFonts w:cstheme="minorHAnsi"/>
        </w:rPr>
        <w:t xml:space="preserve">“) </w:t>
      </w:r>
      <w:r w:rsidRPr="009A45E2">
        <w:t>rozsáhlé manipulační, observační i analytické aktivity zaměřené na studium dopadů klimatických a</w:t>
      </w:r>
      <w:r>
        <w:t> </w:t>
      </w:r>
      <w:r w:rsidRPr="009A45E2">
        <w:t>environmentálních změn na suchozemské i vodní ekosystémy.</w:t>
      </w:r>
      <w:r>
        <w:t xml:space="preserve"> </w:t>
      </w:r>
      <w:r w:rsidRPr="00F660AD">
        <w:t>Jednou z klíčových aktivit bylo monitorování</w:t>
      </w:r>
      <w:r>
        <w:t xml:space="preserve"> </w:t>
      </w:r>
      <w:r w:rsidRPr="00F660AD">
        <w:t xml:space="preserve">15 malých lesních povodí v rámci sítě GEOMON, </w:t>
      </w:r>
      <w:r>
        <w:t>přičemž</w:t>
      </w:r>
      <w:r w:rsidRPr="00F660AD">
        <w:t xml:space="preserve"> byly měřeny hydrologické a</w:t>
      </w:r>
      <w:r>
        <w:t> </w:t>
      </w:r>
      <w:r w:rsidRPr="00F660AD">
        <w:t>chemické parametry v</w:t>
      </w:r>
      <w:r>
        <w:t>e srážkové vodě a přímo ve vodních tocích.</w:t>
      </w:r>
      <w:r w:rsidRPr="008C06E5">
        <w:rPr>
          <w:rFonts w:cstheme="minorHAnsi"/>
        </w:rPr>
        <w:t xml:space="preserve"> </w:t>
      </w:r>
      <w:r>
        <w:rPr>
          <w:rFonts w:cstheme="minorHAnsi"/>
        </w:rPr>
        <w:t xml:space="preserve"> </w:t>
      </w:r>
      <w:r w:rsidRPr="009A45E2">
        <w:t xml:space="preserve">Posílena byla také </w:t>
      </w:r>
      <w:proofErr w:type="spellStart"/>
      <w:r w:rsidRPr="009A45E2">
        <w:t>hydroekologická</w:t>
      </w:r>
      <w:proofErr w:type="spellEnd"/>
      <w:r w:rsidRPr="009A45E2">
        <w:t xml:space="preserve"> infrastruktura pro hodnocení zásahů do hydrologické bilance krajiny a kvality vod, analytická platforma pro </w:t>
      </w:r>
      <w:proofErr w:type="spellStart"/>
      <w:r w:rsidRPr="009A45E2">
        <w:t>metabolomiku</w:t>
      </w:r>
      <w:proofErr w:type="spellEnd"/>
      <w:r w:rsidRPr="009A45E2">
        <w:t xml:space="preserve"> a izotopové analýzy, a modernizována byla i technologie pro dálkový průzkum Země, včetně </w:t>
      </w:r>
      <w:r>
        <w:t>zapojení nového</w:t>
      </w:r>
      <w:r w:rsidRPr="009A45E2">
        <w:t xml:space="preserve"> VNIR-SWIR spektrometru a vylepšeného </w:t>
      </w:r>
      <w:proofErr w:type="spellStart"/>
      <w:r w:rsidRPr="009A45E2">
        <w:t>dronového</w:t>
      </w:r>
      <w:proofErr w:type="spellEnd"/>
      <w:r w:rsidRPr="009A45E2">
        <w:t xml:space="preserve"> nosiče.</w:t>
      </w:r>
    </w:p>
    <w:p w14:paraId="546A3313" w14:textId="77777777" w:rsidR="005632BF" w:rsidRDefault="005632BF" w:rsidP="005632BF"/>
    <w:p w14:paraId="4C2CC209" w14:textId="56B0B706" w:rsidR="005632BF" w:rsidRPr="00F660AD" w:rsidRDefault="005632BF" w:rsidP="005632BF">
      <w:r>
        <w:t xml:space="preserve">VVI </w:t>
      </w:r>
      <w:proofErr w:type="spellStart"/>
      <w:r w:rsidRPr="00F660AD">
        <w:t>CzeCOS</w:t>
      </w:r>
      <w:proofErr w:type="spellEnd"/>
      <w:r w:rsidRPr="00F660AD">
        <w:t xml:space="preserve"> sehrál</w:t>
      </w:r>
      <w:r>
        <w:t>a</w:t>
      </w:r>
      <w:r w:rsidRPr="00F660AD">
        <w:t xml:space="preserve"> klíčovou roli v mezinárodních spolupracích a iniciativách s otevřeným přístupem, zejména díky své účasti v DANUBIUS-</w:t>
      </w:r>
      <w:r>
        <w:t>ERIC</w:t>
      </w:r>
      <w:r w:rsidRPr="00F660AD">
        <w:t xml:space="preserve">, který podporuje hydrologický výzkum interakcí řeka-moře. Infrastruktura také přispěla k veřejně dostupným portálům pro hodnocení klimatických rizik, včetně </w:t>
      </w:r>
      <w:proofErr w:type="spellStart"/>
      <w:r w:rsidRPr="0095766F">
        <w:rPr>
          <w:i/>
          <w:iCs/>
        </w:rPr>
        <w:t>Intersucho</w:t>
      </w:r>
      <w:proofErr w:type="spellEnd"/>
      <w:r w:rsidRPr="00F660AD">
        <w:t xml:space="preserve"> (monitorování sucha), </w:t>
      </w:r>
      <w:proofErr w:type="spellStart"/>
      <w:r w:rsidRPr="0095766F">
        <w:rPr>
          <w:i/>
          <w:iCs/>
        </w:rPr>
        <w:t>FireRisk</w:t>
      </w:r>
      <w:proofErr w:type="spellEnd"/>
      <w:r w:rsidRPr="00F660AD">
        <w:t xml:space="preserve"> (predikce rizika požárů) a </w:t>
      </w:r>
      <w:r w:rsidRPr="0095766F">
        <w:rPr>
          <w:i/>
          <w:iCs/>
        </w:rPr>
        <w:t>Klimatická změna</w:t>
      </w:r>
      <w:r w:rsidRPr="00F660AD">
        <w:t xml:space="preserve"> (analýza dopadů klimatických změn).</w:t>
      </w:r>
    </w:p>
    <w:p w14:paraId="4ADA4E85" w14:textId="77777777" w:rsidR="001F0A80" w:rsidRDefault="001F0A80" w:rsidP="005632BF">
      <w:pPr>
        <w:spacing w:after="120"/>
        <w:rPr>
          <w:rFonts w:cstheme="minorHAnsi"/>
          <w:b/>
          <w:bCs/>
          <w:i/>
        </w:rPr>
      </w:pPr>
    </w:p>
    <w:p w14:paraId="6C1C9EA5" w14:textId="13EB7453" w:rsidR="005632BF" w:rsidRPr="008C06E5" w:rsidRDefault="005632BF" w:rsidP="005632BF">
      <w:pPr>
        <w:spacing w:after="120"/>
        <w:rPr>
          <w:rFonts w:cstheme="minorHAnsi"/>
          <w:b/>
          <w:bCs/>
          <w:i/>
        </w:rPr>
      </w:pPr>
      <w:r w:rsidRPr="008C06E5">
        <w:rPr>
          <w:rFonts w:cstheme="minorHAnsi"/>
          <w:b/>
          <w:bCs/>
          <w:i/>
        </w:rPr>
        <w:t xml:space="preserve">Velká výzkumná infrastruktura CENAKVA – Jihočeské výzkumné centrum akvakultury a biodiverzity </w:t>
      </w:r>
      <w:proofErr w:type="spellStart"/>
      <w:r w:rsidRPr="008C06E5">
        <w:rPr>
          <w:rFonts w:cstheme="minorHAnsi"/>
          <w:b/>
          <w:bCs/>
          <w:i/>
        </w:rPr>
        <w:t>hydrocenóz</w:t>
      </w:r>
      <w:proofErr w:type="spellEnd"/>
      <w:r w:rsidRPr="008C06E5">
        <w:rPr>
          <w:rFonts w:cstheme="minorHAnsi"/>
          <w:b/>
          <w:bCs/>
          <w:i/>
        </w:rPr>
        <w:t xml:space="preserve"> </w:t>
      </w:r>
    </w:p>
    <w:p w14:paraId="20FF15CE" w14:textId="77777777" w:rsidR="005632BF" w:rsidRPr="000A30F6" w:rsidRDefault="005632BF" w:rsidP="005632BF">
      <w:pPr>
        <w:rPr>
          <w:rFonts w:cstheme="minorHAnsi"/>
        </w:rPr>
      </w:pPr>
      <w:r w:rsidRPr="003D19F2">
        <w:rPr>
          <w:rFonts w:cstheme="minorHAnsi"/>
        </w:rPr>
        <w:t xml:space="preserve">V roce 2025 </w:t>
      </w:r>
      <w:r>
        <w:rPr>
          <w:rFonts w:cstheme="minorHAnsi"/>
        </w:rPr>
        <w:t xml:space="preserve">VVI </w:t>
      </w:r>
      <w:r w:rsidRPr="003D19F2">
        <w:rPr>
          <w:rFonts w:cstheme="minorHAnsi"/>
        </w:rPr>
        <w:t>CENAKVA udržela vysoce kvalitní otevřený přístup k infrastruktuře, a to navzdory plánovanému snižování rozsahu služeb z důvodu rostoucích nákladů.</w:t>
      </w:r>
      <w:r w:rsidRPr="000A30F6">
        <w:rPr>
          <w:rFonts w:cstheme="minorHAnsi"/>
        </w:rPr>
        <w:t xml:space="preserve"> </w:t>
      </w:r>
      <w:r>
        <w:rPr>
          <w:rFonts w:cstheme="minorHAnsi"/>
        </w:rPr>
        <w:t>Přes problémy se p</w:t>
      </w:r>
      <w:r w:rsidRPr="003D19F2">
        <w:rPr>
          <w:rFonts w:cstheme="minorHAnsi"/>
        </w:rPr>
        <w:t>odařilo zachovat téměř stejný objem přístupových jednotek jako v roce 2024</w:t>
      </w:r>
      <w:r w:rsidRPr="000A30F6">
        <w:rPr>
          <w:rFonts w:cstheme="minorHAnsi"/>
        </w:rPr>
        <w:t>. Tyto soubory vzbudily značný zájem vědecké komunity. CENAKVA zároveň pos</w:t>
      </w:r>
      <w:r>
        <w:rPr>
          <w:rFonts w:cstheme="minorHAnsi"/>
        </w:rPr>
        <w:t>iluje</w:t>
      </w:r>
      <w:r w:rsidRPr="000A30F6">
        <w:rPr>
          <w:rFonts w:cstheme="minorHAnsi"/>
        </w:rPr>
        <w:t xml:space="preserve"> svou roli v mezinárodním hydrologickém výzkumu, </w:t>
      </w:r>
      <w:r>
        <w:rPr>
          <w:rFonts w:cstheme="minorHAnsi"/>
        </w:rPr>
        <w:t>jakožto provozovatel</w:t>
      </w:r>
      <w:r w:rsidRPr="000A30F6">
        <w:rPr>
          <w:rFonts w:cstheme="minorHAnsi"/>
        </w:rPr>
        <w:t xml:space="preserve"> jednoho z komponentů evropské výzkumné infrastruktury DANUBIUS</w:t>
      </w:r>
      <w:r>
        <w:rPr>
          <w:rFonts w:cstheme="minorHAnsi"/>
        </w:rPr>
        <w:t xml:space="preserve">-ERIC </w:t>
      </w:r>
      <w:r w:rsidRPr="000A30F6">
        <w:t xml:space="preserve">(International Centre </w:t>
      </w:r>
      <w:proofErr w:type="spellStart"/>
      <w:r w:rsidRPr="000A30F6">
        <w:t>for</w:t>
      </w:r>
      <w:proofErr w:type="spellEnd"/>
      <w:r w:rsidRPr="000A30F6">
        <w:t xml:space="preserve"> </w:t>
      </w:r>
      <w:proofErr w:type="spellStart"/>
      <w:r w:rsidRPr="000A30F6">
        <w:t>Advanced</w:t>
      </w:r>
      <w:proofErr w:type="spellEnd"/>
      <w:r w:rsidRPr="000A30F6">
        <w:t xml:space="preserve"> </w:t>
      </w:r>
      <w:proofErr w:type="spellStart"/>
      <w:r w:rsidRPr="000A30F6">
        <w:t>Studies</w:t>
      </w:r>
      <w:proofErr w:type="spellEnd"/>
      <w:r w:rsidRPr="000A30F6">
        <w:t xml:space="preserve"> on River-</w:t>
      </w:r>
      <w:proofErr w:type="spellStart"/>
      <w:r w:rsidRPr="000A30F6">
        <w:t>Sea</w:t>
      </w:r>
      <w:proofErr w:type="spellEnd"/>
      <w:r w:rsidRPr="000A30F6">
        <w:t xml:space="preserve"> Systems)</w:t>
      </w:r>
      <w:r>
        <w:rPr>
          <w:b/>
          <w:bCs/>
        </w:rPr>
        <w:t xml:space="preserve"> </w:t>
      </w:r>
      <w:r w:rsidRPr="000A30F6">
        <w:rPr>
          <w:rFonts w:cstheme="minorHAnsi"/>
        </w:rPr>
        <w:t xml:space="preserve">– </w:t>
      </w:r>
      <w:proofErr w:type="spellStart"/>
      <w:r w:rsidRPr="000A30F6">
        <w:rPr>
          <w:rFonts w:cstheme="minorHAnsi"/>
        </w:rPr>
        <w:t>Hydrological</w:t>
      </w:r>
      <w:proofErr w:type="spellEnd"/>
      <w:r w:rsidRPr="000A30F6">
        <w:rPr>
          <w:rFonts w:cstheme="minorHAnsi"/>
        </w:rPr>
        <w:t xml:space="preserve"> Nexus </w:t>
      </w:r>
      <w:proofErr w:type="spellStart"/>
      <w:r w:rsidRPr="000A30F6">
        <w:rPr>
          <w:rFonts w:cstheme="minorHAnsi"/>
        </w:rPr>
        <w:t>of</w:t>
      </w:r>
      <w:proofErr w:type="spellEnd"/>
      <w:r w:rsidRPr="000A30F6">
        <w:rPr>
          <w:rFonts w:cstheme="minorHAnsi"/>
        </w:rPr>
        <w:t xml:space="preserve"> </w:t>
      </w:r>
      <w:proofErr w:type="spellStart"/>
      <w:r w:rsidRPr="000A30F6">
        <w:rPr>
          <w:rFonts w:cstheme="minorHAnsi"/>
        </w:rPr>
        <w:t>Central</w:t>
      </w:r>
      <w:proofErr w:type="spellEnd"/>
      <w:r w:rsidRPr="000A30F6">
        <w:rPr>
          <w:rFonts w:cstheme="minorHAnsi"/>
        </w:rPr>
        <w:t xml:space="preserve"> </w:t>
      </w:r>
      <w:proofErr w:type="spellStart"/>
      <w:r w:rsidRPr="000A30F6">
        <w:rPr>
          <w:rFonts w:cstheme="minorHAnsi"/>
        </w:rPr>
        <w:t>Europe</w:t>
      </w:r>
      <w:proofErr w:type="spellEnd"/>
      <w:r w:rsidRPr="000A30F6">
        <w:rPr>
          <w:rFonts w:cstheme="minorHAnsi"/>
        </w:rPr>
        <w:t>, který sdružuje služby výzkumných center CENAKVA a</w:t>
      </w:r>
      <w:r>
        <w:rPr>
          <w:rFonts w:cstheme="minorHAnsi"/>
        </w:rPr>
        <w:t> </w:t>
      </w:r>
      <w:proofErr w:type="spellStart"/>
      <w:r w:rsidRPr="000A30F6">
        <w:rPr>
          <w:rFonts w:cstheme="minorHAnsi"/>
        </w:rPr>
        <w:t>CzechGlobe</w:t>
      </w:r>
      <w:proofErr w:type="spellEnd"/>
      <w:r w:rsidRPr="000A30F6">
        <w:rPr>
          <w:rFonts w:cstheme="minorHAnsi"/>
        </w:rPr>
        <w:t xml:space="preserve"> a zaměřuje se na výzkum sladkovodních ekosystémů, biodiverzity a ochrany vodního prostředí</w:t>
      </w:r>
      <w:r>
        <w:rPr>
          <w:rFonts w:cstheme="minorHAnsi"/>
        </w:rPr>
        <w:t xml:space="preserve"> na českém území.</w:t>
      </w:r>
    </w:p>
    <w:p w14:paraId="0BF895A3" w14:textId="77777777" w:rsidR="005632BF" w:rsidRDefault="005632BF" w:rsidP="005632BF">
      <w:pPr>
        <w:rPr>
          <w:rFonts w:cstheme="minorHAnsi"/>
        </w:rPr>
      </w:pPr>
    </w:p>
    <w:p w14:paraId="74F44F08" w14:textId="3E56333E" w:rsidR="005632BF" w:rsidRPr="000A30F6" w:rsidRDefault="005632BF" w:rsidP="005632BF">
      <w:pPr>
        <w:rPr>
          <w:rFonts w:cstheme="minorHAnsi"/>
        </w:rPr>
      </w:pPr>
      <w:r w:rsidRPr="000A30F6">
        <w:rPr>
          <w:rFonts w:cstheme="minorHAnsi"/>
        </w:rPr>
        <w:t xml:space="preserve">Vědecký výzkum realizovaný v CENAKVA přinesl cenné poznatky o kvalitě vody, biodiverzitě a znečištění vodních ekosystémů. Mezi klíčové studie patří výzkum účinků farmaceutik a klimatických změn na sladkovodní ekosystémy, analýza </w:t>
      </w:r>
      <w:proofErr w:type="spellStart"/>
      <w:r w:rsidRPr="000A30F6">
        <w:rPr>
          <w:rFonts w:cstheme="minorHAnsi"/>
        </w:rPr>
        <w:t>elektrosenzorických</w:t>
      </w:r>
      <w:proofErr w:type="spellEnd"/>
      <w:r w:rsidRPr="000A30F6">
        <w:rPr>
          <w:rFonts w:cstheme="minorHAnsi"/>
        </w:rPr>
        <w:t xml:space="preserve"> a </w:t>
      </w:r>
      <w:proofErr w:type="spellStart"/>
      <w:r w:rsidRPr="000A30F6">
        <w:rPr>
          <w:rFonts w:cstheme="minorHAnsi"/>
        </w:rPr>
        <w:t>mechanosenzorických</w:t>
      </w:r>
      <w:proofErr w:type="spellEnd"/>
      <w:r w:rsidRPr="000A30F6">
        <w:rPr>
          <w:rFonts w:cstheme="minorHAnsi"/>
        </w:rPr>
        <w:t xml:space="preserve"> systémů ryb, která poskytuje nové poznatky o adaptaci vodních druhů, či zkoumání vlivu antidepresiv na interakce mezi rybami a sladkovodními mlži. Prostřednictvím DANUBIUS-</w:t>
      </w:r>
      <w:r>
        <w:rPr>
          <w:rFonts w:cstheme="minorHAnsi"/>
        </w:rPr>
        <w:t>ER</w:t>
      </w:r>
      <w:r w:rsidRPr="000A30F6">
        <w:rPr>
          <w:rFonts w:cstheme="minorHAnsi"/>
        </w:rPr>
        <w:t>I</w:t>
      </w:r>
      <w:r>
        <w:rPr>
          <w:rFonts w:cstheme="minorHAnsi"/>
        </w:rPr>
        <w:t>C</w:t>
      </w:r>
      <w:r w:rsidRPr="000A30F6">
        <w:rPr>
          <w:rFonts w:cstheme="minorHAnsi"/>
        </w:rPr>
        <w:t xml:space="preserve"> CENAKVA zprostředkov</w:t>
      </w:r>
      <w:r>
        <w:rPr>
          <w:rFonts w:cstheme="minorHAnsi"/>
        </w:rPr>
        <w:t>ává</w:t>
      </w:r>
      <w:r w:rsidRPr="000A30F6">
        <w:rPr>
          <w:rFonts w:cstheme="minorHAnsi"/>
        </w:rPr>
        <w:t xml:space="preserve"> projekty otevřeného přístupu, čímž rozšířila své služby a přilákala nové vědce zabývající se hydrologií a správou vodních ekosystémů.</w:t>
      </w:r>
    </w:p>
    <w:p w14:paraId="1235CD9B" w14:textId="77777777" w:rsidR="005632BF" w:rsidRDefault="005632BF" w:rsidP="005632BF">
      <w:pPr>
        <w:rPr>
          <w:rFonts w:cstheme="minorHAnsi"/>
          <w:b/>
          <w:bCs/>
          <w:i/>
        </w:rPr>
      </w:pPr>
    </w:p>
    <w:p w14:paraId="5B88E5E2" w14:textId="5A9145F6" w:rsidR="005632BF" w:rsidRPr="008C06E5" w:rsidRDefault="005632BF" w:rsidP="005632BF">
      <w:pPr>
        <w:rPr>
          <w:rFonts w:cstheme="minorHAnsi"/>
          <w:b/>
          <w:bCs/>
          <w:i/>
        </w:rPr>
      </w:pPr>
      <w:r w:rsidRPr="008C06E5">
        <w:rPr>
          <w:rFonts w:cstheme="minorHAnsi"/>
          <w:b/>
          <w:bCs/>
          <w:i/>
        </w:rPr>
        <w:t xml:space="preserve">Česká účast v evropských výzkumných infrastrukturách </w:t>
      </w:r>
    </w:p>
    <w:p w14:paraId="2DE7F23C" w14:textId="77777777" w:rsidR="005632BF" w:rsidRDefault="005632BF" w:rsidP="005632BF">
      <w:pPr>
        <w:rPr>
          <w:rFonts w:cstheme="minorHAnsi"/>
        </w:rPr>
      </w:pPr>
      <w:r>
        <w:rPr>
          <w:rFonts w:cstheme="minorHAnsi"/>
        </w:rPr>
        <w:t xml:space="preserve">Česká republika má strategickou polohu pramenné oblasti několika evropských říčních systémů, což ji činí nezbytným aktérem pro udržitelné hospodaření s vodou v globálním měřítku. </w:t>
      </w:r>
      <w:r w:rsidRPr="008C06E5">
        <w:rPr>
          <w:rFonts w:cstheme="minorHAnsi"/>
        </w:rPr>
        <w:t>Česká republika se prostřednictvím MŠMT</w:t>
      </w:r>
      <w:r>
        <w:rPr>
          <w:rFonts w:cstheme="minorHAnsi"/>
        </w:rPr>
        <w:t>,</w:t>
      </w:r>
      <w:r w:rsidRPr="008C06E5">
        <w:rPr>
          <w:rFonts w:cstheme="minorHAnsi"/>
        </w:rPr>
        <w:t xml:space="preserve"> VVI CENAKVA a VVI </w:t>
      </w:r>
      <w:proofErr w:type="spellStart"/>
      <w:r w:rsidRPr="008C06E5">
        <w:rPr>
          <w:rFonts w:cstheme="minorHAnsi"/>
        </w:rPr>
        <w:t>CzeCOS</w:t>
      </w:r>
      <w:proofErr w:type="spellEnd"/>
      <w:r w:rsidRPr="008C06E5">
        <w:rPr>
          <w:rFonts w:cstheme="minorHAnsi"/>
        </w:rPr>
        <w:t xml:space="preserve"> účastní několika výzkumných evropských konsorcií zaměřených na enviromentální oblasti výzkumu. Jsou jimi </w:t>
      </w:r>
      <w:proofErr w:type="spellStart"/>
      <w:r w:rsidRPr="008C06E5">
        <w:rPr>
          <w:rFonts w:cstheme="minorHAnsi"/>
        </w:rPr>
        <w:t>AnaEE</w:t>
      </w:r>
      <w:proofErr w:type="spellEnd"/>
      <w:r w:rsidRPr="008C06E5">
        <w:rPr>
          <w:rFonts w:cstheme="minorHAnsi"/>
        </w:rPr>
        <w:t>-ERIC, ACTRIS ERIC</w:t>
      </w:r>
      <w:r>
        <w:rPr>
          <w:rFonts w:cstheme="minorHAnsi"/>
        </w:rPr>
        <w:t xml:space="preserve">, </w:t>
      </w:r>
      <w:r w:rsidRPr="008C06E5">
        <w:rPr>
          <w:rFonts w:cstheme="minorHAnsi"/>
        </w:rPr>
        <w:t>ICOS ERIC</w:t>
      </w:r>
      <w:r>
        <w:rPr>
          <w:rFonts w:cstheme="minorHAnsi"/>
        </w:rPr>
        <w:t xml:space="preserve"> a DANUBIUS-ERIC. DANUBIUS-ERIC vzniklo jako plnohodnotné konsorcium v létě 2025 a ČR v něm od začátku hraje významnou roli zakladatelské země</w:t>
      </w:r>
      <w:r w:rsidRPr="008C06E5">
        <w:rPr>
          <w:rFonts w:cstheme="minorHAnsi"/>
        </w:rPr>
        <w:t>. Vedle</w:t>
      </w:r>
      <w:r>
        <w:rPr>
          <w:rFonts w:cstheme="minorHAnsi"/>
        </w:rPr>
        <w:t xml:space="preserve"> plnohodnotných konsorcií ERIC</w:t>
      </w:r>
      <w:r w:rsidRPr="008C06E5">
        <w:rPr>
          <w:rFonts w:cstheme="minorHAnsi"/>
        </w:rPr>
        <w:t xml:space="preserve"> se ČR jako zakládající členský stát rovněž zapojuje do příprav konsorci</w:t>
      </w:r>
      <w:r>
        <w:rPr>
          <w:rFonts w:cstheme="minorHAnsi"/>
        </w:rPr>
        <w:t>a</w:t>
      </w:r>
      <w:r w:rsidRPr="008C06E5">
        <w:rPr>
          <w:rFonts w:cstheme="minorHAnsi"/>
        </w:rPr>
        <w:t xml:space="preserve">, </w:t>
      </w:r>
      <w:r>
        <w:rPr>
          <w:rFonts w:cstheme="minorHAnsi"/>
        </w:rPr>
        <w:t>které bude</w:t>
      </w:r>
      <w:r w:rsidRPr="008C06E5">
        <w:rPr>
          <w:rFonts w:cstheme="minorHAnsi"/>
        </w:rPr>
        <w:t xml:space="preserve"> řídit evropsk</w:t>
      </w:r>
      <w:r>
        <w:rPr>
          <w:rFonts w:cstheme="minorHAnsi"/>
        </w:rPr>
        <w:t>ou</w:t>
      </w:r>
      <w:r w:rsidRPr="008C06E5">
        <w:rPr>
          <w:rFonts w:cstheme="minorHAnsi"/>
        </w:rPr>
        <w:t xml:space="preserve"> výzkumn</w:t>
      </w:r>
      <w:r>
        <w:rPr>
          <w:rFonts w:cstheme="minorHAnsi"/>
        </w:rPr>
        <w:t>ou</w:t>
      </w:r>
      <w:r w:rsidRPr="008C06E5">
        <w:rPr>
          <w:rFonts w:cstheme="minorHAnsi"/>
        </w:rPr>
        <w:t xml:space="preserve"> infrastruktur</w:t>
      </w:r>
      <w:r>
        <w:rPr>
          <w:rFonts w:cstheme="minorHAnsi"/>
        </w:rPr>
        <w:t>u</w:t>
      </w:r>
      <w:r w:rsidRPr="008C06E5">
        <w:rPr>
          <w:rFonts w:cstheme="minorHAnsi"/>
        </w:rPr>
        <w:t xml:space="preserve"> </w:t>
      </w:r>
      <w:proofErr w:type="spellStart"/>
      <w:r w:rsidRPr="008C06E5">
        <w:rPr>
          <w:rFonts w:cstheme="minorHAnsi"/>
        </w:rPr>
        <w:t>eLTER</w:t>
      </w:r>
      <w:proofErr w:type="spellEnd"/>
      <w:r w:rsidRPr="008C06E5">
        <w:rPr>
          <w:rFonts w:cstheme="minorHAnsi"/>
        </w:rPr>
        <w:t>-RI.</w:t>
      </w:r>
      <w:r>
        <w:rPr>
          <w:rFonts w:cstheme="minorHAnsi"/>
        </w:rPr>
        <w:t xml:space="preserve"> Vznik plnohodnotného konsorcia </w:t>
      </w:r>
      <w:proofErr w:type="spellStart"/>
      <w:r w:rsidRPr="008C06E5">
        <w:rPr>
          <w:rFonts w:cstheme="minorHAnsi"/>
        </w:rPr>
        <w:t>eLTER</w:t>
      </w:r>
      <w:proofErr w:type="spellEnd"/>
      <w:r>
        <w:rPr>
          <w:rFonts w:cstheme="minorHAnsi"/>
        </w:rPr>
        <w:t xml:space="preserve"> ERIC je předpokládán v roce 2027.</w:t>
      </w:r>
    </w:p>
    <w:p w14:paraId="655453AA" w14:textId="77777777" w:rsidR="005632BF" w:rsidRDefault="005632BF" w:rsidP="005632BF">
      <w:pPr>
        <w:rPr>
          <w:rFonts w:cstheme="minorHAnsi"/>
        </w:rPr>
      </w:pPr>
    </w:p>
    <w:p w14:paraId="3644A730" w14:textId="7DE21533" w:rsidR="005632BF" w:rsidRDefault="005632BF" w:rsidP="005632BF">
      <w:pPr>
        <w:rPr>
          <w:rFonts w:cstheme="minorHAnsi"/>
        </w:rPr>
      </w:pPr>
      <w:r>
        <w:rPr>
          <w:rFonts w:cstheme="minorHAnsi"/>
        </w:rPr>
        <w:t>VVI CENAKVA je v rámci evropského konsorcia DANUBIUS-ERIC zodpovědná za komponent s názvem „</w:t>
      </w:r>
      <w:proofErr w:type="spellStart"/>
      <w:r w:rsidRPr="000A30F6">
        <w:rPr>
          <w:rFonts w:cstheme="minorHAnsi"/>
        </w:rPr>
        <w:t>Hydrological</w:t>
      </w:r>
      <w:proofErr w:type="spellEnd"/>
      <w:r w:rsidRPr="000A30F6">
        <w:rPr>
          <w:rFonts w:cstheme="minorHAnsi"/>
        </w:rPr>
        <w:t xml:space="preserve"> Nexus </w:t>
      </w:r>
      <w:proofErr w:type="spellStart"/>
      <w:r w:rsidRPr="000A30F6">
        <w:rPr>
          <w:rFonts w:cstheme="minorHAnsi"/>
        </w:rPr>
        <w:t>of</w:t>
      </w:r>
      <w:proofErr w:type="spellEnd"/>
      <w:r w:rsidRPr="000A30F6">
        <w:rPr>
          <w:rFonts w:cstheme="minorHAnsi"/>
        </w:rPr>
        <w:t xml:space="preserve"> </w:t>
      </w:r>
      <w:proofErr w:type="spellStart"/>
      <w:r w:rsidRPr="000A30F6">
        <w:rPr>
          <w:rFonts w:cstheme="minorHAnsi"/>
        </w:rPr>
        <w:t>Central</w:t>
      </w:r>
      <w:proofErr w:type="spellEnd"/>
      <w:r w:rsidRPr="000A30F6">
        <w:rPr>
          <w:rFonts w:cstheme="minorHAnsi"/>
        </w:rPr>
        <w:t xml:space="preserve"> </w:t>
      </w:r>
      <w:proofErr w:type="spellStart"/>
      <w:r w:rsidRPr="000A30F6">
        <w:rPr>
          <w:rFonts w:cstheme="minorHAnsi"/>
        </w:rPr>
        <w:t>Europe</w:t>
      </w:r>
      <w:proofErr w:type="spellEnd"/>
      <w:r>
        <w:rPr>
          <w:rFonts w:cstheme="minorHAnsi"/>
        </w:rPr>
        <w:t>“ lokalizovaný v ČR.</w:t>
      </w:r>
      <w:r w:rsidRPr="00D71C86">
        <w:rPr>
          <w:rFonts w:cstheme="minorHAnsi"/>
        </w:rPr>
        <w:t xml:space="preserve"> </w:t>
      </w:r>
      <w:r>
        <w:rPr>
          <w:rFonts w:cstheme="minorHAnsi"/>
        </w:rPr>
        <w:t xml:space="preserve">Tento komponent je vybudovaný na základě infrastruktury poskytované výzkumnými centry CENAKVA a </w:t>
      </w:r>
      <w:proofErr w:type="spellStart"/>
      <w:r>
        <w:rPr>
          <w:rFonts w:cstheme="minorHAnsi"/>
        </w:rPr>
        <w:t>CzechGlobe</w:t>
      </w:r>
      <w:proofErr w:type="spellEnd"/>
      <w:r>
        <w:rPr>
          <w:rFonts w:cstheme="minorHAnsi"/>
        </w:rPr>
        <w:t xml:space="preserve"> a je zaměřen na komplexní výzkum procesů ve sladkovodních ekosystémech, s důrazem na udržení biodiverzity a ochranu vodního prostředí. Unikátní služby poskytované českým komponentem přispívají k výzkumu udržitelnosti využívání vodních zdrojů v celoevropském měřítku.</w:t>
      </w:r>
    </w:p>
    <w:p w14:paraId="30FD3EAF" w14:textId="77777777" w:rsidR="00F643E2" w:rsidRPr="00104F7D" w:rsidRDefault="00F643E2" w:rsidP="00F643E2">
      <w:pPr>
        <w:pStyle w:val="Textpsmene"/>
        <w:numPr>
          <w:ilvl w:val="0"/>
          <w:numId w:val="0"/>
        </w:numPr>
        <w:tabs>
          <w:tab w:val="left" w:pos="-567"/>
        </w:tabs>
        <w:spacing w:after="120"/>
        <w:contextualSpacing/>
        <w:rPr>
          <w:rFonts w:asciiTheme="minorHAnsi" w:hAnsiTheme="minorHAnsi" w:cstheme="minorHAnsi"/>
          <w:b/>
          <w:i/>
          <w:sz w:val="22"/>
          <w:szCs w:val="22"/>
          <w:highlight w:val="yellow"/>
        </w:rPr>
      </w:pPr>
    </w:p>
    <w:p w14:paraId="456CB60C" w14:textId="478D0097" w:rsidR="00F643E2" w:rsidRPr="005632BF" w:rsidRDefault="00F643E2" w:rsidP="00F643E2">
      <w:pPr>
        <w:pStyle w:val="Textpsmene"/>
        <w:numPr>
          <w:ilvl w:val="0"/>
          <w:numId w:val="0"/>
        </w:numPr>
        <w:tabs>
          <w:tab w:val="left" w:pos="1701"/>
        </w:tabs>
        <w:contextualSpacing/>
        <w:jc w:val="left"/>
        <w:rPr>
          <w:rFonts w:ascii="Arial" w:hAnsi="Arial" w:cs="Arial"/>
          <w:b/>
          <w:i/>
          <w:sz w:val="22"/>
          <w:szCs w:val="22"/>
        </w:rPr>
      </w:pPr>
      <w:r w:rsidRPr="005632BF">
        <w:rPr>
          <w:rFonts w:ascii="Arial" w:hAnsi="Arial" w:cs="Arial"/>
          <w:b/>
          <w:i/>
          <w:sz w:val="22"/>
          <w:szCs w:val="22"/>
        </w:rPr>
        <w:t>Tabulka 15.3.1</w:t>
      </w:r>
      <w:r w:rsidRPr="005632BF">
        <w:rPr>
          <w:rFonts w:ascii="Arial" w:hAnsi="Arial" w:cs="Arial"/>
          <w:b/>
          <w:i/>
          <w:sz w:val="22"/>
          <w:szCs w:val="22"/>
        </w:rPr>
        <w:tab/>
      </w:r>
    </w:p>
    <w:p w14:paraId="71EA5285" w14:textId="1DF60B56" w:rsidR="00F643E2" w:rsidRPr="005632BF" w:rsidRDefault="00F643E2" w:rsidP="000E2418">
      <w:pPr>
        <w:pStyle w:val="Textpsmene"/>
        <w:numPr>
          <w:ilvl w:val="0"/>
          <w:numId w:val="0"/>
        </w:numPr>
        <w:tabs>
          <w:tab w:val="left" w:pos="-567"/>
        </w:tabs>
        <w:contextualSpacing/>
        <w:rPr>
          <w:rFonts w:ascii="Arial" w:hAnsi="Arial" w:cs="Arial"/>
          <w:b/>
          <w:i/>
          <w:sz w:val="22"/>
          <w:szCs w:val="22"/>
        </w:rPr>
      </w:pPr>
      <w:r w:rsidRPr="005632BF">
        <w:rPr>
          <w:rFonts w:ascii="Arial" w:hAnsi="Arial" w:cs="Arial"/>
          <w:b/>
          <w:i/>
          <w:sz w:val="22"/>
          <w:szCs w:val="22"/>
        </w:rPr>
        <w:t>Projekty výzkumu a vývoje v oblasti vodního hospodaření financované z kapitoly Ministerstva školství, mládeže a tělovýchovy v roce 202</w:t>
      </w:r>
      <w:r w:rsidR="005632BF" w:rsidRPr="005632BF">
        <w:rPr>
          <w:rFonts w:ascii="Arial" w:hAnsi="Arial" w:cs="Arial"/>
          <w:b/>
          <w:i/>
          <w:sz w:val="22"/>
          <w:szCs w:val="22"/>
        </w:rPr>
        <w:t>5</w:t>
      </w:r>
      <w:r w:rsidRPr="005632BF">
        <w:rPr>
          <w:rFonts w:ascii="Arial" w:hAnsi="Arial" w:cs="Arial"/>
          <w:b/>
          <w:i/>
          <w:sz w:val="22"/>
          <w:szCs w:val="22"/>
        </w:rPr>
        <w:t xml:space="preserve">            </w:t>
      </w:r>
    </w:p>
    <w:tbl>
      <w:tblPr>
        <w:tblW w:w="9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52"/>
        <w:gridCol w:w="1745"/>
        <w:gridCol w:w="4116"/>
        <w:gridCol w:w="2077"/>
      </w:tblGrid>
      <w:tr w:rsidR="00F643E2" w:rsidRPr="00E95A75" w14:paraId="320AA27B" w14:textId="77777777" w:rsidTr="00EC1043">
        <w:trPr>
          <w:trHeight w:val="570"/>
          <w:jc w:val="center"/>
        </w:trPr>
        <w:tc>
          <w:tcPr>
            <w:tcW w:w="1652" w:type="dxa"/>
            <w:shd w:val="clear" w:color="auto" w:fill="AEAAAA"/>
            <w:vAlign w:val="center"/>
          </w:tcPr>
          <w:p w14:paraId="4F50CF0A" w14:textId="77777777" w:rsidR="00F643E2" w:rsidRPr="00E95A75" w:rsidRDefault="00F643E2" w:rsidP="00EC1043">
            <w:pPr>
              <w:spacing w:after="120"/>
              <w:contextualSpacing/>
              <w:jc w:val="center"/>
              <w:rPr>
                <w:rFonts w:cs="Calibri"/>
                <w:b/>
                <w:bCs/>
                <w:sz w:val="20"/>
                <w:szCs w:val="20"/>
              </w:rPr>
            </w:pPr>
            <w:r w:rsidRPr="00E95A75">
              <w:rPr>
                <w:rFonts w:cs="Calibri"/>
                <w:b/>
                <w:bCs/>
                <w:sz w:val="20"/>
                <w:szCs w:val="20"/>
              </w:rPr>
              <w:t>Projekt č./ označení</w:t>
            </w:r>
          </w:p>
        </w:tc>
        <w:tc>
          <w:tcPr>
            <w:tcW w:w="1745" w:type="dxa"/>
            <w:shd w:val="clear" w:color="auto" w:fill="AEAAAA"/>
            <w:vAlign w:val="center"/>
          </w:tcPr>
          <w:p w14:paraId="6A239875" w14:textId="77777777" w:rsidR="00F643E2" w:rsidRPr="00E95A75" w:rsidRDefault="00F643E2" w:rsidP="00EC1043">
            <w:pPr>
              <w:spacing w:after="120"/>
              <w:contextualSpacing/>
              <w:jc w:val="center"/>
              <w:rPr>
                <w:rFonts w:cs="Calibri"/>
                <w:b/>
                <w:bCs/>
                <w:sz w:val="20"/>
                <w:szCs w:val="20"/>
              </w:rPr>
            </w:pPr>
            <w:r w:rsidRPr="00E95A75">
              <w:rPr>
                <w:rFonts w:cs="Calibri"/>
                <w:b/>
                <w:bCs/>
                <w:sz w:val="20"/>
                <w:szCs w:val="20"/>
              </w:rPr>
              <w:t>Akronym</w:t>
            </w:r>
          </w:p>
        </w:tc>
        <w:tc>
          <w:tcPr>
            <w:tcW w:w="4116" w:type="dxa"/>
            <w:shd w:val="clear" w:color="auto" w:fill="AEAAAA"/>
            <w:vAlign w:val="center"/>
          </w:tcPr>
          <w:p w14:paraId="729CBAEF" w14:textId="77777777" w:rsidR="00F643E2" w:rsidRPr="00E95A75" w:rsidRDefault="00F643E2" w:rsidP="00EC1043">
            <w:pPr>
              <w:spacing w:after="120"/>
              <w:contextualSpacing/>
              <w:jc w:val="center"/>
              <w:rPr>
                <w:rFonts w:cs="Calibri"/>
                <w:b/>
                <w:bCs/>
                <w:sz w:val="20"/>
                <w:szCs w:val="20"/>
              </w:rPr>
            </w:pPr>
            <w:r w:rsidRPr="00E95A75">
              <w:rPr>
                <w:rFonts w:cs="Calibri"/>
                <w:b/>
                <w:bCs/>
                <w:sz w:val="20"/>
                <w:szCs w:val="20"/>
              </w:rPr>
              <w:t>Řešitel, název</w:t>
            </w:r>
          </w:p>
        </w:tc>
        <w:tc>
          <w:tcPr>
            <w:tcW w:w="2077" w:type="dxa"/>
            <w:shd w:val="clear" w:color="auto" w:fill="AEAAAA"/>
            <w:vAlign w:val="center"/>
          </w:tcPr>
          <w:p w14:paraId="01BC5B63" w14:textId="180DF292" w:rsidR="00F643E2" w:rsidRPr="00E95A75" w:rsidRDefault="00F643E2" w:rsidP="00EC1043">
            <w:pPr>
              <w:spacing w:after="120"/>
              <w:contextualSpacing/>
              <w:jc w:val="center"/>
              <w:rPr>
                <w:rFonts w:cs="Calibri"/>
                <w:b/>
                <w:bCs/>
                <w:sz w:val="20"/>
                <w:szCs w:val="20"/>
              </w:rPr>
            </w:pPr>
            <w:r w:rsidRPr="00E95A75">
              <w:rPr>
                <w:rFonts w:cs="Calibri"/>
                <w:b/>
                <w:bCs/>
                <w:sz w:val="20"/>
                <w:szCs w:val="20"/>
              </w:rPr>
              <w:t>Finanční prostředky (Kč)</w:t>
            </w:r>
          </w:p>
        </w:tc>
      </w:tr>
      <w:tr w:rsidR="000F060E" w:rsidRPr="00E95A75" w14:paraId="20F74555" w14:textId="77777777" w:rsidTr="00EC1043">
        <w:trPr>
          <w:trHeight w:val="397"/>
          <w:jc w:val="center"/>
        </w:trPr>
        <w:tc>
          <w:tcPr>
            <w:tcW w:w="1652" w:type="dxa"/>
            <w:vAlign w:val="center"/>
          </w:tcPr>
          <w:p w14:paraId="23B13A35" w14:textId="77777777" w:rsidR="000F060E" w:rsidRPr="00A22284" w:rsidRDefault="000F060E" w:rsidP="000F060E">
            <w:pPr>
              <w:spacing w:after="120"/>
              <w:contextualSpacing/>
              <w:rPr>
                <w:rFonts w:cstheme="minorHAnsi"/>
                <w:sz w:val="18"/>
                <w:szCs w:val="18"/>
              </w:rPr>
            </w:pPr>
          </w:p>
          <w:p w14:paraId="5D082765" w14:textId="77777777" w:rsidR="000F060E" w:rsidRPr="00A22284" w:rsidRDefault="000F060E" w:rsidP="000F060E">
            <w:pPr>
              <w:spacing w:after="120"/>
              <w:contextualSpacing/>
              <w:rPr>
                <w:rFonts w:cs="Calibri"/>
                <w:sz w:val="18"/>
                <w:szCs w:val="18"/>
              </w:rPr>
            </w:pPr>
          </w:p>
        </w:tc>
        <w:tc>
          <w:tcPr>
            <w:tcW w:w="1745" w:type="dxa"/>
            <w:vAlign w:val="center"/>
          </w:tcPr>
          <w:p w14:paraId="1CDC2EF3" w14:textId="26F5EA3A" w:rsidR="000F060E" w:rsidRPr="00A22284" w:rsidRDefault="000F060E" w:rsidP="000F060E">
            <w:pPr>
              <w:spacing w:after="120"/>
              <w:contextualSpacing/>
              <w:rPr>
                <w:rFonts w:cs="Calibri"/>
                <w:color w:val="000000"/>
                <w:sz w:val="18"/>
                <w:szCs w:val="18"/>
              </w:rPr>
            </w:pPr>
            <w:proofErr w:type="spellStart"/>
            <w:r w:rsidRPr="00A22284">
              <w:rPr>
                <w:rFonts w:cstheme="minorHAnsi"/>
                <w:sz w:val="18"/>
                <w:szCs w:val="18"/>
              </w:rPr>
              <w:t>AnaEE</w:t>
            </w:r>
            <w:proofErr w:type="spellEnd"/>
            <w:r w:rsidRPr="00A22284">
              <w:rPr>
                <w:rFonts w:cstheme="minorHAnsi"/>
                <w:sz w:val="18"/>
                <w:szCs w:val="18"/>
              </w:rPr>
              <w:t>-ERIC</w:t>
            </w:r>
          </w:p>
        </w:tc>
        <w:tc>
          <w:tcPr>
            <w:tcW w:w="4116" w:type="dxa"/>
            <w:vAlign w:val="center"/>
          </w:tcPr>
          <w:p w14:paraId="4601F146" w14:textId="5CA97718" w:rsidR="000F060E" w:rsidRPr="00A22284" w:rsidRDefault="000F060E" w:rsidP="000F060E">
            <w:pPr>
              <w:spacing w:after="120"/>
              <w:contextualSpacing/>
              <w:rPr>
                <w:rFonts w:cs="Calibri"/>
                <w:bCs/>
                <w:sz w:val="18"/>
                <w:szCs w:val="18"/>
              </w:rPr>
            </w:pPr>
            <w:r w:rsidRPr="00A22284">
              <w:rPr>
                <w:rFonts w:cstheme="minorHAnsi"/>
                <w:bCs/>
                <w:sz w:val="18"/>
                <w:szCs w:val="18"/>
              </w:rPr>
              <w:t xml:space="preserve">Konsorcium evropské výzkumné infrastruktury </w:t>
            </w:r>
            <w:proofErr w:type="spellStart"/>
            <w:r w:rsidRPr="00A22284">
              <w:rPr>
                <w:rFonts w:cstheme="minorHAnsi"/>
                <w:bCs/>
                <w:sz w:val="18"/>
                <w:szCs w:val="18"/>
              </w:rPr>
              <w:t>AnaEE</w:t>
            </w:r>
            <w:proofErr w:type="spellEnd"/>
            <w:r w:rsidRPr="00A22284">
              <w:rPr>
                <w:rFonts w:cstheme="minorHAnsi"/>
                <w:bCs/>
                <w:sz w:val="18"/>
                <w:szCs w:val="18"/>
              </w:rPr>
              <w:t xml:space="preserve"> </w:t>
            </w:r>
          </w:p>
        </w:tc>
        <w:tc>
          <w:tcPr>
            <w:tcW w:w="2077" w:type="dxa"/>
            <w:vAlign w:val="center"/>
          </w:tcPr>
          <w:p w14:paraId="5391F1D4" w14:textId="0B2173E5" w:rsidR="000F060E" w:rsidRPr="00A22284" w:rsidRDefault="000F060E" w:rsidP="000F060E">
            <w:pPr>
              <w:spacing w:after="120"/>
              <w:ind w:right="326"/>
              <w:contextualSpacing/>
              <w:jc w:val="right"/>
              <w:rPr>
                <w:rFonts w:cs="Calibri"/>
                <w:bCs/>
                <w:sz w:val="18"/>
                <w:szCs w:val="18"/>
              </w:rPr>
            </w:pPr>
            <w:r w:rsidRPr="00A22284">
              <w:rPr>
                <w:rFonts w:cstheme="minorHAnsi"/>
                <w:bCs/>
                <w:sz w:val="18"/>
                <w:szCs w:val="18"/>
              </w:rPr>
              <w:t>2 637 024</w:t>
            </w:r>
          </w:p>
        </w:tc>
      </w:tr>
      <w:tr w:rsidR="000F060E" w:rsidRPr="00E95A75" w14:paraId="780F3EF0" w14:textId="77777777" w:rsidTr="00EC1043">
        <w:trPr>
          <w:trHeight w:val="397"/>
          <w:jc w:val="center"/>
        </w:trPr>
        <w:tc>
          <w:tcPr>
            <w:tcW w:w="1652" w:type="dxa"/>
            <w:vAlign w:val="center"/>
          </w:tcPr>
          <w:p w14:paraId="492B9642" w14:textId="77777777" w:rsidR="000F060E" w:rsidRPr="00A22284" w:rsidRDefault="000F060E" w:rsidP="000F060E">
            <w:pPr>
              <w:spacing w:after="120"/>
              <w:contextualSpacing/>
              <w:rPr>
                <w:rFonts w:cs="Calibri"/>
                <w:sz w:val="18"/>
                <w:szCs w:val="18"/>
              </w:rPr>
            </w:pPr>
          </w:p>
        </w:tc>
        <w:tc>
          <w:tcPr>
            <w:tcW w:w="1745" w:type="dxa"/>
            <w:vAlign w:val="center"/>
          </w:tcPr>
          <w:p w14:paraId="28304DA6" w14:textId="34C610B9" w:rsidR="000F060E" w:rsidRPr="00A22284" w:rsidRDefault="000F060E" w:rsidP="000F060E">
            <w:pPr>
              <w:spacing w:after="120"/>
              <w:contextualSpacing/>
              <w:rPr>
                <w:rFonts w:cs="Calibri"/>
                <w:sz w:val="18"/>
                <w:szCs w:val="18"/>
              </w:rPr>
            </w:pPr>
            <w:r w:rsidRPr="00A22284">
              <w:rPr>
                <w:rFonts w:cstheme="minorHAnsi"/>
                <w:sz w:val="18"/>
                <w:szCs w:val="18"/>
              </w:rPr>
              <w:t>ICOS ERIC</w:t>
            </w:r>
          </w:p>
        </w:tc>
        <w:tc>
          <w:tcPr>
            <w:tcW w:w="4116" w:type="dxa"/>
            <w:vAlign w:val="center"/>
          </w:tcPr>
          <w:p w14:paraId="601FB3D1" w14:textId="1430803B" w:rsidR="000F060E" w:rsidRPr="00A22284" w:rsidRDefault="000F060E" w:rsidP="000F060E">
            <w:pPr>
              <w:spacing w:after="120"/>
              <w:contextualSpacing/>
              <w:rPr>
                <w:rFonts w:cs="Calibri"/>
                <w:sz w:val="18"/>
                <w:szCs w:val="18"/>
              </w:rPr>
            </w:pPr>
            <w:r w:rsidRPr="00A22284">
              <w:rPr>
                <w:rFonts w:cstheme="minorHAnsi"/>
                <w:bCs/>
                <w:sz w:val="18"/>
                <w:szCs w:val="18"/>
              </w:rPr>
              <w:t>Konsorcium evropské výzkumné infrastruktury ICOS RI</w:t>
            </w:r>
          </w:p>
        </w:tc>
        <w:tc>
          <w:tcPr>
            <w:tcW w:w="2077" w:type="dxa"/>
            <w:vAlign w:val="center"/>
          </w:tcPr>
          <w:p w14:paraId="3B4242F3" w14:textId="4C4FE71C" w:rsidR="000F060E" w:rsidRPr="00A22284" w:rsidRDefault="000F060E" w:rsidP="000F060E">
            <w:pPr>
              <w:spacing w:after="120"/>
              <w:ind w:right="326"/>
              <w:contextualSpacing/>
              <w:jc w:val="right"/>
              <w:rPr>
                <w:rFonts w:cs="Calibri"/>
                <w:bCs/>
                <w:sz w:val="18"/>
                <w:szCs w:val="18"/>
              </w:rPr>
            </w:pPr>
            <w:r w:rsidRPr="00A22284">
              <w:rPr>
                <w:rFonts w:cstheme="minorHAnsi"/>
                <w:bCs/>
                <w:sz w:val="18"/>
                <w:szCs w:val="18"/>
              </w:rPr>
              <w:t>2 087 794</w:t>
            </w:r>
          </w:p>
        </w:tc>
      </w:tr>
      <w:tr w:rsidR="000F060E" w:rsidRPr="00E95A75" w14:paraId="794BA4ED" w14:textId="77777777" w:rsidTr="00EC1043">
        <w:trPr>
          <w:trHeight w:val="397"/>
          <w:jc w:val="center"/>
        </w:trPr>
        <w:tc>
          <w:tcPr>
            <w:tcW w:w="1652" w:type="dxa"/>
            <w:vAlign w:val="center"/>
          </w:tcPr>
          <w:p w14:paraId="492FE272" w14:textId="3AFD2C5D" w:rsidR="000F060E" w:rsidRPr="00A22284" w:rsidRDefault="000F060E" w:rsidP="000F060E">
            <w:pPr>
              <w:spacing w:after="120"/>
              <w:contextualSpacing/>
              <w:rPr>
                <w:rFonts w:cs="Calibri"/>
                <w:bCs/>
                <w:sz w:val="18"/>
                <w:szCs w:val="18"/>
              </w:rPr>
            </w:pPr>
            <w:r w:rsidRPr="00A22284">
              <w:rPr>
                <w:rFonts w:cstheme="minorHAnsi"/>
                <w:sz w:val="18"/>
                <w:szCs w:val="18"/>
              </w:rPr>
              <w:t>LM2023038</w:t>
            </w:r>
          </w:p>
        </w:tc>
        <w:tc>
          <w:tcPr>
            <w:tcW w:w="1745" w:type="dxa"/>
            <w:vAlign w:val="center"/>
          </w:tcPr>
          <w:p w14:paraId="4D0F104C" w14:textId="7B416512" w:rsidR="000F060E" w:rsidRPr="00A22284" w:rsidRDefault="000F060E" w:rsidP="000F060E">
            <w:pPr>
              <w:spacing w:after="120"/>
              <w:contextualSpacing/>
              <w:rPr>
                <w:rFonts w:cs="Calibri"/>
                <w:bCs/>
                <w:sz w:val="18"/>
                <w:szCs w:val="18"/>
              </w:rPr>
            </w:pPr>
            <w:r w:rsidRPr="00A22284">
              <w:rPr>
                <w:rFonts w:cstheme="minorHAnsi"/>
                <w:color w:val="000000"/>
                <w:sz w:val="18"/>
                <w:szCs w:val="18"/>
              </w:rPr>
              <w:t>CENAKVA</w:t>
            </w:r>
          </w:p>
        </w:tc>
        <w:tc>
          <w:tcPr>
            <w:tcW w:w="4116" w:type="dxa"/>
            <w:vAlign w:val="center"/>
          </w:tcPr>
          <w:p w14:paraId="55F10821" w14:textId="2C690AD3" w:rsidR="000F060E" w:rsidRPr="00A22284" w:rsidRDefault="000F060E" w:rsidP="000F060E">
            <w:pPr>
              <w:spacing w:after="120"/>
              <w:contextualSpacing/>
              <w:rPr>
                <w:rFonts w:cs="Calibri"/>
                <w:bCs/>
                <w:sz w:val="18"/>
                <w:szCs w:val="18"/>
              </w:rPr>
            </w:pPr>
            <w:r w:rsidRPr="00A22284">
              <w:rPr>
                <w:rFonts w:cstheme="minorHAnsi"/>
                <w:bCs/>
                <w:sz w:val="18"/>
                <w:szCs w:val="18"/>
              </w:rPr>
              <w:t xml:space="preserve">Jihočeské výzkumné centrum akvakultury a biodiverzity </w:t>
            </w:r>
            <w:proofErr w:type="spellStart"/>
            <w:r w:rsidRPr="00A22284">
              <w:rPr>
                <w:rFonts w:cstheme="minorHAnsi"/>
                <w:bCs/>
                <w:sz w:val="18"/>
                <w:szCs w:val="18"/>
              </w:rPr>
              <w:t>hydrocenóz</w:t>
            </w:r>
            <w:proofErr w:type="spellEnd"/>
            <w:r w:rsidRPr="00A22284">
              <w:rPr>
                <w:rFonts w:cstheme="minorHAnsi"/>
                <w:bCs/>
                <w:sz w:val="18"/>
                <w:szCs w:val="18"/>
              </w:rPr>
              <w:t xml:space="preserve"> – velká výzkumná infrastruktura CENAKVA.</w:t>
            </w:r>
          </w:p>
        </w:tc>
        <w:tc>
          <w:tcPr>
            <w:tcW w:w="2077" w:type="dxa"/>
            <w:vAlign w:val="center"/>
          </w:tcPr>
          <w:p w14:paraId="1AD1AFA2" w14:textId="73291A01" w:rsidR="000F060E" w:rsidRPr="00A22284" w:rsidRDefault="000F060E" w:rsidP="000F060E">
            <w:pPr>
              <w:spacing w:after="120"/>
              <w:ind w:right="326"/>
              <w:contextualSpacing/>
              <w:jc w:val="right"/>
              <w:rPr>
                <w:rFonts w:cs="Calibri"/>
                <w:bCs/>
                <w:sz w:val="18"/>
                <w:szCs w:val="18"/>
              </w:rPr>
            </w:pPr>
            <w:r w:rsidRPr="00A22284">
              <w:rPr>
                <w:sz w:val="18"/>
                <w:szCs w:val="18"/>
              </w:rPr>
              <w:t>16 860 000</w:t>
            </w:r>
          </w:p>
        </w:tc>
      </w:tr>
      <w:tr w:rsidR="000F060E" w:rsidRPr="00E95A75" w14:paraId="20501F81" w14:textId="77777777" w:rsidTr="00EC1043">
        <w:trPr>
          <w:trHeight w:val="397"/>
          <w:jc w:val="center"/>
        </w:trPr>
        <w:tc>
          <w:tcPr>
            <w:tcW w:w="1652" w:type="dxa"/>
            <w:vAlign w:val="center"/>
          </w:tcPr>
          <w:p w14:paraId="66031873" w14:textId="0C695FF9" w:rsidR="000F060E" w:rsidRPr="00A22284" w:rsidRDefault="000F060E" w:rsidP="000F060E">
            <w:pPr>
              <w:spacing w:after="120"/>
              <w:contextualSpacing/>
              <w:rPr>
                <w:rFonts w:cs="Calibri"/>
                <w:bCs/>
                <w:sz w:val="18"/>
                <w:szCs w:val="18"/>
              </w:rPr>
            </w:pPr>
            <w:r w:rsidRPr="00A22284">
              <w:rPr>
                <w:rFonts w:cstheme="minorHAnsi"/>
                <w:sz w:val="18"/>
                <w:szCs w:val="18"/>
              </w:rPr>
              <w:t>LM2023048</w:t>
            </w:r>
          </w:p>
        </w:tc>
        <w:tc>
          <w:tcPr>
            <w:tcW w:w="1745" w:type="dxa"/>
            <w:vAlign w:val="center"/>
          </w:tcPr>
          <w:p w14:paraId="1FCDD377" w14:textId="5713494F" w:rsidR="000F060E" w:rsidRPr="00A22284" w:rsidRDefault="000F060E" w:rsidP="000F060E">
            <w:pPr>
              <w:spacing w:after="120"/>
              <w:ind w:right="326"/>
              <w:contextualSpacing/>
              <w:rPr>
                <w:rFonts w:cs="Calibri"/>
                <w:bCs/>
                <w:sz w:val="18"/>
                <w:szCs w:val="18"/>
              </w:rPr>
            </w:pPr>
            <w:proofErr w:type="spellStart"/>
            <w:r w:rsidRPr="00A22284">
              <w:rPr>
                <w:rFonts w:cstheme="minorHAnsi"/>
                <w:sz w:val="18"/>
                <w:szCs w:val="18"/>
              </w:rPr>
              <w:t>CzeCOS</w:t>
            </w:r>
            <w:proofErr w:type="spellEnd"/>
          </w:p>
        </w:tc>
        <w:tc>
          <w:tcPr>
            <w:tcW w:w="4116" w:type="dxa"/>
            <w:vAlign w:val="center"/>
          </w:tcPr>
          <w:p w14:paraId="36362DFC" w14:textId="31C983B5" w:rsidR="000F060E" w:rsidRPr="00A22284" w:rsidRDefault="000F060E" w:rsidP="000F060E">
            <w:pPr>
              <w:spacing w:after="120"/>
              <w:contextualSpacing/>
              <w:rPr>
                <w:rFonts w:cs="Calibri"/>
                <w:bCs/>
                <w:sz w:val="18"/>
                <w:szCs w:val="18"/>
              </w:rPr>
            </w:pPr>
            <w:r w:rsidRPr="00A22284">
              <w:rPr>
                <w:rFonts w:cstheme="minorHAnsi"/>
                <w:bCs/>
                <w:sz w:val="18"/>
                <w:szCs w:val="18"/>
              </w:rPr>
              <w:t xml:space="preserve">Česká infrastruktura sledování uhlíku – Velká výzkumná infrastruktura </w:t>
            </w:r>
            <w:proofErr w:type="spellStart"/>
            <w:r w:rsidRPr="00A22284">
              <w:rPr>
                <w:rFonts w:cstheme="minorHAnsi"/>
                <w:bCs/>
                <w:sz w:val="18"/>
                <w:szCs w:val="18"/>
              </w:rPr>
              <w:t>CzeCOS</w:t>
            </w:r>
            <w:proofErr w:type="spellEnd"/>
            <w:r w:rsidRPr="00A22284">
              <w:rPr>
                <w:rFonts w:cstheme="minorHAnsi"/>
                <w:bCs/>
                <w:sz w:val="18"/>
                <w:szCs w:val="18"/>
              </w:rPr>
              <w:t xml:space="preserve"> </w:t>
            </w:r>
          </w:p>
        </w:tc>
        <w:tc>
          <w:tcPr>
            <w:tcW w:w="2077" w:type="dxa"/>
            <w:vAlign w:val="center"/>
          </w:tcPr>
          <w:p w14:paraId="578EE766" w14:textId="008294EC" w:rsidR="000F060E" w:rsidRPr="00A22284" w:rsidRDefault="000F060E" w:rsidP="000F060E">
            <w:pPr>
              <w:spacing w:after="120"/>
              <w:ind w:right="326"/>
              <w:contextualSpacing/>
              <w:jc w:val="right"/>
              <w:rPr>
                <w:rFonts w:cs="Calibri"/>
                <w:bCs/>
                <w:sz w:val="18"/>
                <w:szCs w:val="18"/>
              </w:rPr>
            </w:pPr>
            <w:r w:rsidRPr="00A22284">
              <w:rPr>
                <w:sz w:val="18"/>
                <w:szCs w:val="18"/>
              </w:rPr>
              <w:t>49 512 000</w:t>
            </w:r>
          </w:p>
        </w:tc>
      </w:tr>
      <w:tr w:rsidR="00F643E2" w:rsidRPr="00E95A75" w14:paraId="396508B9" w14:textId="77777777" w:rsidTr="00EC1043">
        <w:trPr>
          <w:trHeight w:val="397"/>
          <w:jc w:val="center"/>
        </w:trPr>
        <w:tc>
          <w:tcPr>
            <w:tcW w:w="7513" w:type="dxa"/>
            <w:gridSpan w:val="3"/>
            <w:shd w:val="clear" w:color="auto" w:fill="A6A6A6"/>
            <w:vAlign w:val="center"/>
          </w:tcPr>
          <w:p w14:paraId="3CD55D79" w14:textId="645DC2A4" w:rsidR="00F643E2" w:rsidRPr="00E95A75" w:rsidRDefault="00F643E2" w:rsidP="00F643E2">
            <w:pPr>
              <w:spacing w:after="120"/>
              <w:ind w:right="326"/>
              <w:contextualSpacing/>
              <w:rPr>
                <w:rFonts w:cs="Calibri"/>
                <w:b/>
                <w:sz w:val="18"/>
                <w:szCs w:val="18"/>
              </w:rPr>
            </w:pPr>
            <w:r w:rsidRPr="00E95A75">
              <w:rPr>
                <w:rFonts w:cstheme="minorHAnsi"/>
                <w:b/>
                <w:sz w:val="20"/>
                <w:szCs w:val="20"/>
              </w:rPr>
              <w:t>Celkem</w:t>
            </w:r>
          </w:p>
        </w:tc>
        <w:tc>
          <w:tcPr>
            <w:tcW w:w="2077" w:type="dxa"/>
            <w:shd w:val="clear" w:color="auto" w:fill="A6A6A6"/>
            <w:vAlign w:val="center"/>
          </w:tcPr>
          <w:p w14:paraId="606FBAFB" w14:textId="4FAAC567" w:rsidR="00F643E2" w:rsidRPr="00E95A75" w:rsidRDefault="00E95A75" w:rsidP="00F643E2">
            <w:pPr>
              <w:spacing w:after="120"/>
              <w:ind w:right="326"/>
              <w:contextualSpacing/>
              <w:jc w:val="right"/>
              <w:rPr>
                <w:rFonts w:cs="Calibri"/>
                <w:b/>
                <w:sz w:val="18"/>
                <w:szCs w:val="18"/>
              </w:rPr>
            </w:pPr>
            <w:r w:rsidRPr="00E95A75">
              <w:rPr>
                <w:rFonts w:cstheme="minorHAnsi"/>
                <w:b/>
                <w:sz w:val="20"/>
                <w:szCs w:val="20"/>
              </w:rPr>
              <w:t>71 096 818</w:t>
            </w:r>
          </w:p>
        </w:tc>
      </w:tr>
    </w:tbl>
    <w:p w14:paraId="2A64360A" w14:textId="7086F2A1" w:rsidR="009E3664" w:rsidRDefault="00F643E2" w:rsidP="007A04DB">
      <w:pPr>
        <w:autoSpaceDE w:val="0"/>
        <w:autoSpaceDN w:val="0"/>
        <w:adjustRightInd w:val="0"/>
        <w:contextualSpacing/>
        <w:rPr>
          <w:rFonts w:cs="Calibri"/>
          <w:i/>
          <w:sz w:val="20"/>
          <w:szCs w:val="20"/>
        </w:rPr>
      </w:pPr>
      <w:r w:rsidRPr="00E95A75">
        <w:rPr>
          <w:rFonts w:cs="Calibri"/>
          <w:i/>
          <w:sz w:val="20"/>
          <w:szCs w:val="20"/>
        </w:rPr>
        <w:t>Pramen: MŠMT</w:t>
      </w:r>
    </w:p>
    <w:p w14:paraId="572601DF" w14:textId="77777777" w:rsidR="00283CD1" w:rsidRDefault="00283CD1" w:rsidP="007A04DB">
      <w:pPr>
        <w:autoSpaceDE w:val="0"/>
        <w:autoSpaceDN w:val="0"/>
        <w:adjustRightInd w:val="0"/>
        <w:contextualSpacing/>
        <w:rPr>
          <w:rFonts w:cs="Calibri"/>
          <w:i/>
          <w:sz w:val="20"/>
          <w:szCs w:val="20"/>
        </w:rPr>
      </w:pPr>
    </w:p>
    <w:p w14:paraId="343B968D" w14:textId="77777777" w:rsidR="00283CD1" w:rsidRPr="00104F7D" w:rsidRDefault="00283CD1" w:rsidP="00283CD1">
      <w:pPr>
        <w:pStyle w:val="Textpsmene"/>
        <w:numPr>
          <w:ilvl w:val="0"/>
          <w:numId w:val="0"/>
        </w:numPr>
        <w:tabs>
          <w:tab w:val="left" w:pos="-567"/>
        </w:tabs>
        <w:spacing w:after="120"/>
        <w:contextualSpacing/>
        <w:rPr>
          <w:rFonts w:asciiTheme="minorHAnsi" w:hAnsiTheme="minorHAnsi" w:cstheme="minorHAnsi"/>
          <w:b/>
          <w:i/>
          <w:sz w:val="22"/>
          <w:szCs w:val="22"/>
          <w:highlight w:val="yellow"/>
        </w:rPr>
      </w:pPr>
    </w:p>
    <w:p w14:paraId="6D0B7337" w14:textId="77777777" w:rsidR="00283CD1" w:rsidRPr="00BD46DA" w:rsidRDefault="00283CD1" w:rsidP="00283CD1">
      <w:pPr>
        <w:pStyle w:val="Nadpis2"/>
        <w:spacing w:before="0"/>
        <w:ind w:firstLine="708"/>
        <w:contextualSpacing/>
      </w:pPr>
      <w:bookmarkStart w:id="223" w:name="_Toc233199861"/>
      <w:bookmarkStart w:id="224" w:name="_Toc236991656"/>
      <w:r w:rsidRPr="00BD46DA">
        <w:t>15.4 Výzkum a vývoj v působnosti Technologické agentury České republiky</w:t>
      </w:r>
      <w:bookmarkEnd w:id="223"/>
      <w:bookmarkEnd w:id="224"/>
    </w:p>
    <w:p w14:paraId="6B4FF692" w14:textId="77777777" w:rsidR="00283CD1" w:rsidRPr="00104F7D" w:rsidRDefault="00283CD1" w:rsidP="00283CD1">
      <w:pPr>
        <w:pStyle w:val="Textpsmene"/>
        <w:numPr>
          <w:ilvl w:val="0"/>
          <w:numId w:val="0"/>
        </w:numPr>
        <w:tabs>
          <w:tab w:val="left" w:pos="-567"/>
        </w:tabs>
        <w:contextualSpacing/>
        <w:rPr>
          <w:rFonts w:asciiTheme="minorHAnsi" w:hAnsiTheme="minorHAnsi" w:cstheme="minorHAnsi"/>
          <w:b/>
          <w:i/>
          <w:sz w:val="22"/>
          <w:szCs w:val="22"/>
          <w:highlight w:val="yellow"/>
        </w:rPr>
      </w:pPr>
    </w:p>
    <w:p w14:paraId="5370ED29" w14:textId="77777777" w:rsidR="0039696B" w:rsidRPr="0039696B" w:rsidRDefault="0039696B" w:rsidP="0039696B">
      <w:pPr>
        <w:rPr>
          <w:rFonts w:cs="Arial"/>
          <w:b/>
          <w:bCs/>
        </w:rPr>
      </w:pPr>
      <w:r w:rsidRPr="0039696B">
        <w:rPr>
          <w:rFonts w:cs="Arial"/>
          <w:b/>
          <w:bCs/>
        </w:rPr>
        <w:t xml:space="preserve">Kromě institucionální podpory nabízí Ministerstvo životního prostředí od roku 2024 výzkumný program s názvem Prostředí pro život 2. Program je zaměřen na podporu projektů v tematických oblastech, ve kterých vznikají největší tlaky na životní prostředí, zejména v oblasti přírodních zdrojů, globálních změn, oběhového hospodářství, udržitelného rozvoje krajiny a sídel, environmentálně příznivých technologií, </w:t>
      </w:r>
      <w:proofErr w:type="spellStart"/>
      <w:r w:rsidRPr="0039696B">
        <w:rPr>
          <w:rFonts w:cs="Arial"/>
          <w:b/>
          <w:bCs/>
        </w:rPr>
        <w:t>ekoinovací</w:t>
      </w:r>
      <w:proofErr w:type="spellEnd"/>
      <w:r w:rsidRPr="0039696B">
        <w:rPr>
          <w:rFonts w:cs="Arial"/>
          <w:b/>
          <w:bCs/>
        </w:rPr>
        <w:t xml:space="preserve"> a rozvoje environmentálně odpovědné společnosti.</w:t>
      </w:r>
    </w:p>
    <w:p w14:paraId="0B51405C" w14:textId="77777777" w:rsidR="0039696B" w:rsidRDefault="0039696B" w:rsidP="0039696B">
      <w:pPr>
        <w:rPr>
          <w:rFonts w:cs="Arial"/>
          <w:b/>
          <w:bCs/>
        </w:rPr>
      </w:pPr>
    </w:p>
    <w:p w14:paraId="2E472692" w14:textId="02FBA763" w:rsidR="0039696B" w:rsidRPr="0039696B" w:rsidRDefault="0039696B" w:rsidP="0039696B">
      <w:pPr>
        <w:rPr>
          <w:rFonts w:cs="Arial"/>
          <w:b/>
          <w:bCs/>
        </w:rPr>
      </w:pPr>
      <w:r w:rsidRPr="0039696B">
        <w:rPr>
          <w:rFonts w:cs="Arial"/>
          <w:b/>
          <w:bCs/>
        </w:rPr>
        <w:t>Poskytovatelem a realizátorem programu je Technologická agentura České republiky. Program je plánován na období deseti let (2024–2033) s celkovou alokací 12,66 mld. Kč. Polovina této částky je určena na výzkum zaměřený na problematiku změny klimatu. V roce 2025 byla poskytnuta částka na podporu projektů zaměřené na vodu a vodní hospodářství ve výši 53,5 mil. Kč.</w:t>
      </w:r>
    </w:p>
    <w:p w14:paraId="75E3AFF3" w14:textId="77777777" w:rsidR="00283CD1" w:rsidRPr="00104F7D" w:rsidRDefault="00283CD1" w:rsidP="00283CD1">
      <w:pPr>
        <w:rPr>
          <w:rFonts w:cs="Arial"/>
          <w:highlight w:val="yellow"/>
        </w:rPr>
      </w:pPr>
    </w:p>
    <w:p w14:paraId="3AE1E8BA" w14:textId="77777777" w:rsidR="00283CD1" w:rsidRPr="002363E3" w:rsidRDefault="00283CD1" w:rsidP="00283CD1">
      <w:pPr>
        <w:rPr>
          <w:rFonts w:cs="Arial"/>
        </w:rPr>
      </w:pPr>
      <w:r w:rsidRPr="002363E3">
        <w:rPr>
          <w:rFonts w:cs="Arial"/>
        </w:rPr>
        <w:t>Program se dělí na tři podprogramy:</w:t>
      </w:r>
    </w:p>
    <w:p w14:paraId="07A9ED55" w14:textId="77777777" w:rsidR="00283CD1" w:rsidRPr="002363E3" w:rsidRDefault="00283CD1" w:rsidP="00283CD1">
      <w:pPr>
        <w:rPr>
          <w:rFonts w:cs="Arial"/>
        </w:rPr>
      </w:pPr>
      <w:r w:rsidRPr="002363E3">
        <w:rPr>
          <w:rFonts w:cs="Arial"/>
        </w:rPr>
        <w:t>•</w:t>
      </w:r>
      <w:r w:rsidRPr="002363E3">
        <w:rPr>
          <w:rFonts w:cs="Arial"/>
        </w:rPr>
        <w:tab/>
      </w:r>
      <w:r w:rsidRPr="004F1066">
        <w:rPr>
          <w:rFonts w:cs="Arial"/>
        </w:rPr>
        <w:t xml:space="preserve">Inovace a operativní výzkum ve veřejném zájmu </w:t>
      </w:r>
      <w:r w:rsidRPr="002363E3">
        <w:rPr>
          <w:rFonts w:cs="Arial"/>
        </w:rPr>
        <w:t>(dále jen „PP1“)</w:t>
      </w:r>
      <w:r>
        <w:rPr>
          <w:rFonts w:cs="Arial"/>
        </w:rPr>
        <w:t>,</w:t>
      </w:r>
    </w:p>
    <w:p w14:paraId="1D028D7A" w14:textId="77777777" w:rsidR="00283CD1" w:rsidRPr="002363E3" w:rsidRDefault="00283CD1" w:rsidP="00283CD1">
      <w:pPr>
        <w:rPr>
          <w:rFonts w:cs="Arial"/>
        </w:rPr>
      </w:pPr>
      <w:r w:rsidRPr="002363E3">
        <w:rPr>
          <w:rFonts w:cs="Arial"/>
        </w:rPr>
        <w:t>•</w:t>
      </w:r>
      <w:r w:rsidRPr="002363E3">
        <w:rPr>
          <w:rFonts w:cs="Arial"/>
        </w:rPr>
        <w:tab/>
      </w:r>
      <w:r w:rsidRPr="004F1066">
        <w:rPr>
          <w:rFonts w:cs="Arial"/>
        </w:rPr>
        <w:t xml:space="preserve">Nová řešení pro ekonomiku, životní prostředí a společnost </w:t>
      </w:r>
      <w:r w:rsidRPr="002363E3">
        <w:rPr>
          <w:rFonts w:cs="Arial"/>
        </w:rPr>
        <w:t>(dále jen „PP2“)</w:t>
      </w:r>
      <w:r>
        <w:rPr>
          <w:rFonts w:cs="Arial"/>
        </w:rPr>
        <w:t>,</w:t>
      </w:r>
    </w:p>
    <w:p w14:paraId="05FA529F" w14:textId="77777777" w:rsidR="00283CD1" w:rsidRDefault="00283CD1" w:rsidP="00283CD1">
      <w:pPr>
        <w:rPr>
          <w:rFonts w:cs="Arial"/>
        </w:rPr>
      </w:pPr>
      <w:r w:rsidRPr="002363E3">
        <w:rPr>
          <w:rFonts w:cs="Arial"/>
        </w:rPr>
        <w:t>•</w:t>
      </w:r>
      <w:r w:rsidRPr="002363E3">
        <w:rPr>
          <w:rFonts w:cs="Arial"/>
        </w:rPr>
        <w:tab/>
      </w:r>
      <w:r w:rsidRPr="004F1066">
        <w:rPr>
          <w:rFonts w:cs="Arial"/>
        </w:rPr>
        <w:t xml:space="preserve">Environmentální a klimatické výzvy v dlouhodobé perspektivě </w:t>
      </w:r>
      <w:r w:rsidRPr="002363E3">
        <w:rPr>
          <w:rFonts w:cs="Arial"/>
        </w:rPr>
        <w:t>(dále jen „PP3“)</w:t>
      </w:r>
      <w:r>
        <w:rPr>
          <w:rFonts w:cs="Arial"/>
        </w:rPr>
        <w:t>.</w:t>
      </w:r>
    </w:p>
    <w:p w14:paraId="6F40544F" w14:textId="77777777" w:rsidR="00283CD1" w:rsidRDefault="00283CD1" w:rsidP="00283CD1">
      <w:pPr>
        <w:rPr>
          <w:rFonts w:cs="Arial"/>
        </w:rPr>
      </w:pPr>
    </w:p>
    <w:p w14:paraId="11EF3D88" w14:textId="77777777" w:rsidR="00283CD1" w:rsidRDefault="00283CD1" w:rsidP="00283CD1">
      <w:pPr>
        <w:rPr>
          <w:rFonts w:cs="Arial"/>
        </w:rPr>
      </w:pPr>
      <w:r w:rsidRPr="00DF550E">
        <w:rPr>
          <w:rFonts w:cs="Arial"/>
        </w:rPr>
        <w:t>Dne 28. 5. 2025 byla vyhlášena druhá veřejná soutěž s příjmem žádostí do 13. 7. 2025</w:t>
      </w:r>
      <w:r w:rsidRPr="00A60E0A">
        <w:rPr>
          <w:rFonts w:cs="Arial"/>
        </w:rPr>
        <w:t xml:space="preserve">. </w:t>
      </w:r>
      <w:r w:rsidRPr="00B07B80">
        <w:rPr>
          <w:rFonts w:cs="Arial"/>
        </w:rPr>
        <w:t>Soutěž byla vyhlášena v podprogramu PP1 s alokací 460 mil. Kč. Pro oblast vodního hospodářství byly stanoveny tři prioritní výzkumné cíle (PVC). Do soutěže bylo podáno 160 návrhů projektů, z nichž bylo podpořeno 32, což odpovídá míře úspěšnosti 20 %. Podpořené projekty v oblasti vodního hospodářství jsou uvedeny v tabulce 15.4.1.</w:t>
      </w:r>
    </w:p>
    <w:p w14:paraId="2218545D" w14:textId="77777777" w:rsidR="00283CD1" w:rsidRDefault="00283CD1" w:rsidP="00283CD1">
      <w:pPr>
        <w:rPr>
          <w:rFonts w:cs="Arial"/>
        </w:rPr>
      </w:pPr>
    </w:p>
    <w:p w14:paraId="1A6931FA" w14:textId="77777777" w:rsidR="00283CD1" w:rsidRDefault="00283CD1" w:rsidP="00283CD1">
      <w:pPr>
        <w:rPr>
          <w:rFonts w:cs="Arial"/>
        </w:rPr>
      </w:pPr>
      <w:r w:rsidRPr="00B07B80">
        <w:rPr>
          <w:rFonts w:cs="Arial"/>
        </w:rPr>
        <w:t xml:space="preserve">Dne 17. 12. 2025 byla vyhlášena třetí veřejná soutěž s příjmem žádostí do 4. 3. 2026. Soutěž byla vyhlášena v podprogramu PP3, a to v deseti tematických oblastech. Pro vodní hospodářství jsou relevantní zejména témata </w:t>
      </w:r>
      <w:r w:rsidRPr="00B07B80">
        <w:rPr>
          <w:rFonts w:cs="Arial"/>
          <w:b/>
          <w:bCs/>
        </w:rPr>
        <w:t>Změna klimatu a její dopady v ČR</w:t>
      </w:r>
      <w:r w:rsidRPr="00B07B80">
        <w:rPr>
          <w:rFonts w:cs="Arial"/>
        </w:rPr>
        <w:t xml:space="preserve"> a </w:t>
      </w:r>
      <w:r w:rsidRPr="00B07B80">
        <w:rPr>
          <w:rFonts w:cs="Arial"/>
          <w:b/>
          <w:bCs/>
        </w:rPr>
        <w:t>Voda v</w:t>
      </w:r>
      <w:r>
        <w:rPr>
          <w:rFonts w:cs="Arial"/>
          <w:b/>
          <w:bCs/>
        </w:rPr>
        <w:t> </w:t>
      </w:r>
      <w:r w:rsidRPr="00B07B80">
        <w:rPr>
          <w:rFonts w:cs="Arial"/>
          <w:b/>
          <w:bCs/>
        </w:rPr>
        <w:t>přírodě, v životním prostředí a využití vody ve společnosti</w:t>
      </w:r>
      <w:r w:rsidRPr="00B07B80">
        <w:rPr>
          <w:rFonts w:cs="Arial"/>
        </w:rPr>
        <w:t>. Výše podpory těchto dvou tematických oblastí může dosáhnout až 1,41 mld. Kč</w:t>
      </w:r>
      <w:r>
        <w:rPr>
          <w:rFonts w:cs="Arial"/>
        </w:rPr>
        <w:t>.</w:t>
      </w:r>
    </w:p>
    <w:p w14:paraId="61308E8E" w14:textId="77777777" w:rsidR="00283CD1" w:rsidRDefault="00283CD1" w:rsidP="00283CD1">
      <w:pPr>
        <w:rPr>
          <w:rFonts w:cs="Arial"/>
        </w:rPr>
      </w:pPr>
    </w:p>
    <w:p w14:paraId="08E1EC21" w14:textId="77777777" w:rsidR="00283CD1" w:rsidRPr="002363E3" w:rsidRDefault="00283CD1" w:rsidP="00283CD1">
      <w:pPr>
        <w:shd w:val="clear" w:color="auto" w:fill="FFFFFF"/>
        <w:contextualSpacing/>
        <w:rPr>
          <w:rFonts w:cs="Arial"/>
          <w:i/>
          <w:color w:val="222222"/>
        </w:rPr>
      </w:pPr>
      <w:r w:rsidRPr="002363E3">
        <w:rPr>
          <w:rFonts w:cs="Arial"/>
          <w:b/>
          <w:i/>
          <w:color w:val="000000"/>
        </w:rPr>
        <w:t>Tabulka 1</w:t>
      </w:r>
      <w:r>
        <w:rPr>
          <w:rFonts w:cs="Arial"/>
          <w:b/>
          <w:i/>
          <w:color w:val="000000"/>
        </w:rPr>
        <w:t>5</w:t>
      </w:r>
      <w:r w:rsidRPr="002363E3">
        <w:rPr>
          <w:rFonts w:cs="Arial"/>
          <w:b/>
          <w:i/>
          <w:color w:val="000000"/>
        </w:rPr>
        <w:t>.</w:t>
      </w:r>
      <w:r>
        <w:rPr>
          <w:rFonts w:cs="Arial"/>
          <w:b/>
          <w:i/>
          <w:color w:val="000000"/>
        </w:rPr>
        <w:t>4</w:t>
      </w:r>
      <w:r w:rsidRPr="002363E3">
        <w:rPr>
          <w:rFonts w:cs="Arial"/>
          <w:b/>
          <w:i/>
          <w:color w:val="000000"/>
        </w:rPr>
        <w:t xml:space="preserve">.1 </w:t>
      </w:r>
    </w:p>
    <w:p w14:paraId="5E2C5865" w14:textId="77777777" w:rsidR="00283CD1" w:rsidRDefault="00283CD1" w:rsidP="00283CD1">
      <w:pPr>
        <w:shd w:val="clear" w:color="auto" w:fill="FFFFFF"/>
        <w:contextualSpacing/>
        <w:rPr>
          <w:rFonts w:cs="Arial"/>
          <w:b/>
          <w:i/>
          <w:color w:val="000000"/>
        </w:rPr>
      </w:pPr>
      <w:r w:rsidRPr="002363E3">
        <w:rPr>
          <w:rFonts w:cs="Arial"/>
          <w:b/>
          <w:i/>
          <w:color w:val="000000"/>
        </w:rPr>
        <w:t xml:space="preserve">Projekty výzkumu a vývoje v oblasti vodního hospodářství podpořených Ministerstvem životního prostředí v rámci </w:t>
      </w:r>
      <w:r>
        <w:rPr>
          <w:rFonts w:cs="Arial"/>
          <w:b/>
          <w:i/>
          <w:color w:val="000000"/>
        </w:rPr>
        <w:t>druhé</w:t>
      </w:r>
      <w:r w:rsidRPr="002363E3">
        <w:rPr>
          <w:rFonts w:cs="Arial"/>
          <w:b/>
          <w:i/>
          <w:color w:val="000000"/>
        </w:rPr>
        <w:t xml:space="preserve"> veřejné soutěže programu Prostředí pro život</w:t>
      </w:r>
      <w:r>
        <w:rPr>
          <w:rFonts w:cs="Arial"/>
          <w:b/>
          <w:i/>
          <w:color w:val="000000"/>
        </w:rPr>
        <w:t> 2</w:t>
      </w:r>
      <w:r w:rsidRPr="002363E3">
        <w:rPr>
          <w:rFonts w:cs="Arial"/>
          <w:b/>
          <w:i/>
          <w:color w:val="000000"/>
        </w:rPr>
        <w:t xml:space="preserve"> v roce 202</w:t>
      </w:r>
      <w:r>
        <w:rPr>
          <w:rFonts w:cs="Arial"/>
          <w:b/>
          <w:i/>
          <w:color w:val="000000"/>
        </w:rPr>
        <w:t>5 v PP1</w:t>
      </w:r>
    </w:p>
    <w:tbl>
      <w:tblPr>
        <w:tblW w:w="5000" w:type="pct"/>
        <w:jc w:val="center"/>
        <w:tblCellMar>
          <w:left w:w="70" w:type="dxa"/>
          <w:right w:w="70" w:type="dxa"/>
        </w:tblCellMar>
        <w:tblLook w:val="04A0" w:firstRow="1" w:lastRow="0" w:firstColumn="1" w:lastColumn="0" w:noHBand="0" w:noVBand="1"/>
      </w:tblPr>
      <w:tblGrid>
        <w:gridCol w:w="1437"/>
        <w:gridCol w:w="4035"/>
        <w:gridCol w:w="2077"/>
        <w:gridCol w:w="2069"/>
      </w:tblGrid>
      <w:tr w:rsidR="001B7241" w:rsidRPr="001B7241" w14:paraId="45CE3F08" w14:textId="77777777" w:rsidTr="00033C0E">
        <w:trPr>
          <w:trHeight w:val="392"/>
          <w:jc w:val="center"/>
        </w:trPr>
        <w:tc>
          <w:tcPr>
            <w:tcW w:w="699" w:type="pct"/>
            <w:tcBorders>
              <w:top w:val="single" w:sz="8" w:space="0" w:color="auto"/>
              <w:left w:val="single" w:sz="8" w:space="0" w:color="auto"/>
              <w:bottom w:val="single" w:sz="8" w:space="0" w:color="auto"/>
              <w:right w:val="single" w:sz="8" w:space="0" w:color="auto"/>
            </w:tcBorders>
            <w:shd w:val="clear" w:color="auto" w:fill="A6A6A6" w:themeFill="background1" w:themeFillShade="A6"/>
            <w:noWrap/>
            <w:vAlign w:val="center"/>
            <w:hideMark/>
          </w:tcPr>
          <w:p w14:paraId="3D59AA6E" w14:textId="77777777" w:rsidR="001B7241" w:rsidRPr="00A22284" w:rsidRDefault="001B7241" w:rsidP="001B7241">
            <w:pPr>
              <w:shd w:val="clear" w:color="auto" w:fill="FFFFFF"/>
              <w:contextualSpacing/>
              <w:rPr>
                <w:rFonts w:cs="Arial"/>
                <w:b/>
                <w:color w:val="000000"/>
                <w:sz w:val="18"/>
                <w:szCs w:val="18"/>
                <w:highlight w:val="lightGray"/>
              </w:rPr>
            </w:pPr>
            <w:r w:rsidRPr="00A22284">
              <w:rPr>
                <w:rFonts w:cs="Arial"/>
                <w:b/>
                <w:color w:val="000000"/>
                <w:sz w:val="18"/>
                <w:szCs w:val="18"/>
                <w:highlight w:val="lightGray"/>
              </w:rPr>
              <w:t>Projekt č.</w:t>
            </w:r>
          </w:p>
        </w:tc>
        <w:tc>
          <w:tcPr>
            <w:tcW w:w="2114" w:type="pct"/>
            <w:tcBorders>
              <w:top w:val="single" w:sz="8" w:space="0" w:color="auto"/>
              <w:left w:val="nil"/>
              <w:bottom w:val="single" w:sz="8" w:space="0" w:color="auto"/>
              <w:right w:val="single" w:sz="8" w:space="0" w:color="auto"/>
            </w:tcBorders>
            <w:shd w:val="clear" w:color="auto" w:fill="A6A6A6" w:themeFill="background1" w:themeFillShade="A6"/>
            <w:noWrap/>
            <w:vAlign w:val="center"/>
            <w:hideMark/>
          </w:tcPr>
          <w:p w14:paraId="33EC0D9C" w14:textId="77777777" w:rsidR="001B7241" w:rsidRPr="00A22284" w:rsidRDefault="001B7241" w:rsidP="001B7241">
            <w:pPr>
              <w:shd w:val="clear" w:color="auto" w:fill="FFFFFF"/>
              <w:contextualSpacing/>
              <w:rPr>
                <w:rFonts w:cs="Arial"/>
                <w:b/>
                <w:color w:val="000000"/>
                <w:sz w:val="18"/>
                <w:szCs w:val="18"/>
                <w:highlight w:val="lightGray"/>
              </w:rPr>
            </w:pPr>
            <w:r w:rsidRPr="00A22284">
              <w:rPr>
                <w:rFonts w:cs="Arial"/>
                <w:b/>
                <w:color w:val="000000"/>
                <w:sz w:val="18"/>
                <w:szCs w:val="18"/>
                <w:highlight w:val="lightGray"/>
              </w:rPr>
              <w:t>Název projektu</w:t>
            </w:r>
          </w:p>
        </w:tc>
        <w:tc>
          <w:tcPr>
            <w:tcW w:w="1096" w:type="pct"/>
            <w:tcBorders>
              <w:top w:val="single" w:sz="8" w:space="0" w:color="auto"/>
              <w:left w:val="single" w:sz="8" w:space="0" w:color="auto"/>
              <w:bottom w:val="single" w:sz="8" w:space="0" w:color="auto"/>
              <w:right w:val="single" w:sz="8" w:space="0" w:color="auto"/>
            </w:tcBorders>
            <w:shd w:val="clear" w:color="auto" w:fill="A6A6A6" w:themeFill="background1" w:themeFillShade="A6"/>
            <w:noWrap/>
            <w:vAlign w:val="center"/>
            <w:hideMark/>
          </w:tcPr>
          <w:p w14:paraId="01D2F6BD" w14:textId="77777777" w:rsidR="001B7241" w:rsidRPr="00A22284" w:rsidRDefault="001B7241" w:rsidP="001B7241">
            <w:pPr>
              <w:shd w:val="clear" w:color="auto" w:fill="FFFFFF"/>
              <w:contextualSpacing/>
              <w:rPr>
                <w:rFonts w:cs="Arial"/>
                <w:b/>
                <w:color w:val="000000"/>
                <w:sz w:val="18"/>
                <w:szCs w:val="18"/>
                <w:highlight w:val="lightGray"/>
              </w:rPr>
            </w:pPr>
            <w:r w:rsidRPr="00A22284">
              <w:rPr>
                <w:rFonts w:cs="Arial"/>
                <w:b/>
                <w:color w:val="000000"/>
                <w:sz w:val="18"/>
                <w:szCs w:val="18"/>
                <w:highlight w:val="lightGray"/>
              </w:rPr>
              <w:t>Hlavní řešitel</w:t>
            </w:r>
          </w:p>
        </w:tc>
        <w:tc>
          <w:tcPr>
            <w:tcW w:w="1091" w:type="pct"/>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55054B4" w14:textId="77777777" w:rsidR="001B7241" w:rsidRPr="00A22284" w:rsidRDefault="001B7241" w:rsidP="001B7241">
            <w:pPr>
              <w:shd w:val="clear" w:color="auto" w:fill="FFFFFF"/>
              <w:contextualSpacing/>
              <w:rPr>
                <w:rFonts w:cs="Arial"/>
                <w:b/>
                <w:color w:val="000000"/>
                <w:sz w:val="18"/>
                <w:szCs w:val="18"/>
                <w:highlight w:val="lightGray"/>
              </w:rPr>
            </w:pPr>
            <w:r w:rsidRPr="00A22284">
              <w:rPr>
                <w:rFonts w:cs="Arial"/>
                <w:b/>
                <w:bCs/>
                <w:color w:val="000000"/>
                <w:sz w:val="18"/>
                <w:szCs w:val="18"/>
                <w:highlight w:val="lightGray"/>
              </w:rPr>
              <w:t>Výše finanční podpory (tis. Kč)</w:t>
            </w:r>
          </w:p>
        </w:tc>
      </w:tr>
      <w:tr w:rsidR="001B7241" w:rsidRPr="001B7241" w14:paraId="6467E620" w14:textId="77777777">
        <w:trPr>
          <w:trHeight w:val="694"/>
          <w:jc w:val="center"/>
        </w:trPr>
        <w:tc>
          <w:tcPr>
            <w:tcW w:w="699" w:type="pct"/>
            <w:tcBorders>
              <w:top w:val="single" w:sz="8" w:space="0" w:color="auto"/>
              <w:left w:val="single" w:sz="8" w:space="0" w:color="auto"/>
              <w:bottom w:val="single" w:sz="8" w:space="0" w:color="auto"/>
              <w:right w:val="single" w:sz="8" w:space="0" w:color="auto"/>
            </w:tcBorders>
            <w:noWrap/>
            <w:vAlign w:val="center"/>
            <w:hideMark/>
          </w:tcPr>
          <w:p w14:paraId="1454E4E2" w14:textId="77777777" w:rsidR="001B7241" w:rsidRPr="00A22284" w:rsidRDefault="001B7241" w:rsidP="001B7241">
            <w:pPr>
              <w:shd w:val="clear" w:color="auto" w:fill="FFFFFF"/>
              <w:contextualSpacing/>
              <w:rPr>
                <w:rFonts w:cs="Arial"/>
                <w:b/>
                <w:color w:val="000000"/>
                <w:sz w:val="18"/>
                <w:szCs w:val="18"/>
              </w:rPr>
            </w:pPr>
            <w:r w:rsidRPr="00A22284">
              <w:rPr>
                <w:rFonts w:cs="Arial"/>
                <w:b/>
                <w:color w:val="000000"/>
                <w:sz w:val="18"/>
                <w:szCs w:val="18"/>
              </w:rPr>
              <w:t>SQ02010131</w:t>
            </w:r>
          </w:p>
        </w:tc>
        <w:tc>
          <w:tcPr>
            <w:tcW w:w="2114" w:type="pct"/>
            <w:tcBorders>
              <w:top w:val="single" w:sz="8" w:space="0" w:color="auto"/>
              <w:left w:val="nil"/>
              <w:bottom w:val="single" w:sz="8" w:space="0" w:color="auto"/>
              <w:right w:val="single" w:sz="8" w:space="0" w:color="auto"/>
            </w:tcBorders>
            <w:vAlign w:val="center"/>
            <w:hideMark/>
          </w:tcPr>
          <w:p w14:paraId="17DD76D0" w14:textId="77777777" w:rsidR="001B7241" w:rsidRPr="00A22284" w:rsidRDefault="001B7241" w:rsidP="001B7241">
            <w:pPr>
              <w:shd w:val="clear" w:color="auto" w:fill="FFFFFF"/>
              <w:contextualSpacing/>
              <w:rPr>
                <w:rFonts w:cs="Arial"/>
                <w:bCs/>
                <w:color w:val="000000"/>
                <w:sz w:val="18"/>
                <w:szCs w:val="18"/>
              </w:rPr>
            </w:pPr>
            <w:r w:rsidRPr="00A22284">
              <w:rPr>
                <w:rFonts w:cs="Arial"/>
                <w:bCs/>
                <w:color w:val="000000"/>
                <w:sz w:val="18"/>
                <w:szCs w:val="18"/>
              </w:rPr>
              <w:t>Diverzita parazitárních a mikrobiálních společenstev ryb ve vztahu k produkčním a ekosystémovým funkcím a environmentálnímu zatížení chovných rybníků</w:t>
            </w:r>
          </w:p>
        </w:tc>
        <w:tc>
          <w:tcPr>
            <w:tcW w:w="1096" w:type="pct"/>
            <w:tcBorders>
              <w:top w:val="single" w:sz="8" w:space="0" w:color="auto"/>
              <w:left w:val="nil"/>
              <w:bottom w:val="single" w:sz="8" w:space="0" w:color="auto"/>
              <w:right w:val="single" w:sz="8" w:space="0" w:color="auto"/>
            </w:tcBorders>
            <w:vAlign w:val="center"/>
            <w:hideMark/>
          </w:tcPr>
          <w:p w14:paraId="2623D2B2" w14:textId="77777777" w:rsidR="001B7241" w:rsidRPr="00A22284" w:rsidRDefault="001B7241" w:rsidP="001B7241">
            <w:pPr>
              <w:shd w:val="clear" w:color="auto" w:fill="FFFFFF"/>
              <w:contextualSpacing/>
              <w:rPr>
                <w:rFonts w:cs="Arial"/>
                <w:bCs/>
                <w:color w:val="000000"/>
                <w:sz w:val="18"/>
                <w:szCs w:val="18"/>
              </w:rPr>
            </w:pPr>
            <w:r w:rsidRPr="00A22284">
              <w:rPr>
                <w:rFonts w:cs="Arial"/>
                <w:bCs/>
                <w:color w:val="000000"/>
                <w:sz w:val="18"/>
                <w:szCs w:val="18"/>
              </w:rPr>
              <w:t>Jihočeská univerzita v Českých Budějovicích</w:t>
            </w:r>
          </w:p>
        </w:tc>
        <w:tc>
          <w:tcPr>
            <w:tcW w:w="1091" w:type="pct"/>
            <w:tcBorders>
              <w:top w:val="single" w:sz="8" w:space="0" w:color="auto"/>
              <w:left w:val="nil"/>
              <w:bottom w:val="single" w:sz="8" w:space="0" w:color="auto"/>
              <w:right w:val="single" w:sz="8" w:space="0" w:color="auto"/>
            </w:tcBorders>
            <w:vAlign w:val="center"/>
            <w:hideMark/>
          </w:tcPr>
          <w:p w14:paraId="4756B4EE" w14:textId="77777777" w:rsidR="001B7241" w:rsidRPr="00A22284" w:rsidRDefault="001B7241" w:rsidP="001B7241">
            <w:pPr>
              <w:shd w:val="clear" w:color="auto" w:fill="FFFFFF"/>
              <w:contextualSpacing/>
              <w:rPr>
                <w:rFonts w:cs="Arial"/>
                <w:b/>
                <w:color w:val="000000"/>
                <w:sz w:val="18"/>
                <w:szCs w:val="18"/>
              </w:rPr>
            </w:pPr>
            <w:r w:rsidRPr="00A22284">
              <w:rPr>
                <w:rFonts w:cs="Arial"/>
                <w:b/>
                <w:color w:val="000000"/>
                <w:sz w:val="18"/>
                <w:szCs w:val="18"/>
              </w:rPr>
              <w:t>10 103</w:t>
            </w:r>
          </w:p>
        </w:tc>
      </w:tr>
      <w:tr w:rsidR="001B7241" w:rsidRPr="001B7241" w14:paraId="5F9EC837" w14:textId="77777777">
        <w:trPr>
          <w:trHeight w:val="694"/>
          <w:jc w:val="center"/>
        </w:trPr>
        <w:tc>
          <w:tcPr>
            <w:tcW w:w="699" w:type="pct"/>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14:paraId="00F44766" w14:textId="77777777" w:rsidR="001B7241" w:rsidRPr="00A22284" w:rsidRDefault="001B7241" w:rsidP="001B7241">
            <w:pPr>
              <w:shd w:val="clear" w:color="auto" w:fill="FFFFFF"/>
              <w:contextualSpacing/>
              <w:rPr>
                <w:rFonts w:cs="Arial"/>
                <w:b/>
                <w:color w:val="000000"/>
                <w:sz w:val="18"/>
                <w:szCs w:val="18"/>
              </w:rPr>
            </w:pPr>
            <w:r w:rsidRPr="00A22284">
              <w:rPr>
                <w:rFonts w:cs="Arial"/>
                <w:b/>
                <w:color w:val="000000"/>
                <w:sz w:val="18"/>
                <w:szCs w:val="18"/>
              </w:rPr>
              <w:t>SQ02010179</w:t>
            </w:r>
          </w:p>
        </w:tc>
        <w:tc>
          <w:tcPr>
            <w:tcW w:w="2114" w:type="pct"/>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3663CB81" w14:textId="77777777" w:rsidR="001B7241" w:rsidRPr="00A22284" w:rsidRDefault="001B7241" w:rsidP="001B7241">
            <w:pPr>
              <w:shd w:val="clear" w:color="auto" w:fill="FFFFFF"/>
              <w:contextualSpacing/>
              <w:rPr>
                <w:rFonts w:cs="Arial"/>
                <w:bCs/>
                <w:color w:val="000000"/>
                <w:sz w:val="18"/>
                <w:szCs w:val="18"/>
              </w:rPr>
            </w:pPr>
            <w:r w:rsidRPr="00A22284">
              <w:rPr>
                <w:rFonts w:cs="Arial"/>
                <w:bCs/>
                <w:color w:val="000000"/>
                <w:sz w:val="18"/>
                <w:szCs w:val="18"/>
              </w:rPr>
              <w:t>Monitoring a ochrana lužních lesů v ČR: Studium vlivů čerpání podzemní vody a zasolování</w:t>
            </w:r>
          </w:p>
        </w:tc>
        <w:tc>
          <w:tcPr>
            <w:tcW w:w="1096" w:type="pct"/>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2D82D73A" w14:textId="77777777" w:rsidR="001B7241" w:rsidRPr="00A22284" w:rsidRDefault="001B7241" w:rsidP="001B7241">
            <w:pPr>
              <w:shd w:val="clear" w:color="auto" w:fill="FFFFFF"/>
              <w:contextualSpacing/>
              <w:rPr>
                <w:rFonts w:cs="Arial"/>
                <w:bCs/>
                <w:color w:val="000000"/>
                <w:sz w:val="18"/>
                <w:szCs w:val="18"/>
              </w:rPr>
            </w:pPr>
            <w:r w:rsidRPr="00A22284">
              <w:rPr>
                <w:rFonts w:cs="Arial"/>
                <w:bCs/>
                <w:color w:val="000000"/>
                <w:sz w:val="18"/>
                <w:szCs w:val="18"/>
              </w:rPr>
              <w:t>Univerzita Karlova</w:t>
            </w:r>
          </w:p>
        </w:tc>
        <w:tc>
          <w:tcPr>
            <w:tcW w:w="1091" w:type="pct"/>
            <w:tcBorders>
              <w:top w:val="single" w:sz="8" w:space="0" w:color="auto"/>
              <w:left w:val="single" w:sz="8" w:space="0" w:color="auto"/>
              <w:bottom w:val="single" w:sz="8" w:space="0" w:color="auto"/>
              <w:right w:val="single" w:sz="8" w:space="0" w:color="auto"/>
            </w:tcBorders>
            <w:vAlign w:val="center"/>
            <w:hideMark/>
          </w:tcPr>
          <w:p w14:paraId="0F879654" w14:textId="77777777" w:rsidR="001B7241" w:rsidRPr="00A22284" w:rsidRDefault="001B7241" w:rsidP="001B7241">
            <w:pPr>
              <w:shd w:val="clear" w:color="auto" w:fill="FFFFFF"/>
              <w:contextualSpacing/>
              <w:rPr>
                <w:rFonts w:cs="Arial"/>
                <w:b/>
                <w:color w:val="000000"/>
                <w:sz w:val="18"/>
                <w:szCs w:val="18"/>
              </w:rPr>
            </w:pPr>
            <w:r w:rsidRPr="00A22284">
              <w:rPr>
                <w:rFonts w:cs="Arial"/>
                <w:b/>
                <w:color w:val="000000"/>
                <w:sz w:val="18"/>
                <w:szCs w:val="18"/>
              </w:rPr>
              <w:t>10 197</w:t>
            </w:r>
          </w:p>
        </w:tc>
      </w:tr>
      <w:tr w:rsidR="001B7241" w:rsidRPr="001B7241" w14:paraId="44106BDF" w14:textId="77777777">
        <w:trPr>
          <w:trHeight w:val="283"/>
          <w:jc w:val="center"/>
        </w:trPr>
        <w:tc>
          <w:tcPr>
            <w:tcW w:w="699" w:type="pct"/>
            <w:tcBorders>
              <w:top w:val="single" w:sz="8" w:space="0" w:color="auto"/>
              <w:left w:val="single" w:sz="8" w:space="0" w:color="auto"/>
              <w:bottom w:val="single" w:sz="8" w:space="0" w:color="auto"/>
              <w:right w:val="single" w:sz="8" w:space="0" w:color="auto"/>
            </w:tcBorders>
            <w:noWrap/>
            <w:vAlign w:val="center"/>
            <w:hideMark/>
          </w:tcPr>
          <w:p w14:paraId="6973CC8E" w14:textId="77777777" w:rsidR="001B7241" w:rsidRPr="00A22284" w:rsidRDefault="001B7241" w:rsidP="001B7241">
            <w:pPr>
              <w:shd w:val="clear" w:color="auto" w:fill="FFFFFF"/>
              <w:contextualSpacing/>
              <w:rPr>
                <w:rFonts w:cs="Arial"/>
                <w:b/>
                <w:color w:val="000000"/>
                <w:sz w:val="18"/>
                <w:szCs w:val="18"/>
              </w:rPr>
            </w:pPr>
            <w:r w:rsidRPr="00A22284">
              <w:rPr>
                <w:rFonts w:cs="Arial"/>
                <w:b/>
                <w:color w:val="000000"/>
                <w:sz w:val="18"/>
                <w:szCs w:val="18"/>
              </w:rPr>
              <w:t>SQ02010178</w:t>
            </w:r>
          </w:p>
        </w:tc>
        <w:tc>
          <w:tcPr>
            <w:tcW w:w="2114" w:type="pct"/>
            <w:tcBorders>
              <w:top w:val="single" w:sz="8" w:space="0" w:color="auto"/>
              <w:left w:val="nil"/>
              <w:bottom w:val="single" w:sz="8" w:space="0" w:color="auto"/>
              <w:right w:val="single" w:sz="8" w:space="0" w:color="auto"/>
            </w:tcBorders>
            <w:vAlign w:val="center"/>
            <w:hideMark/>
          </w:tcPr>
          <w:p w14:paraId="1A7B56FA" w14:textId="77777777" w:rsidR="001B7241" w:rsidRPr="00A22284" w:rsidRDefault="001B7241" w:rsidP="001B7241">
            <w:pPr>
              <w:shd w:val="clear" w:color="auto" w:fill="FFFFFF"/>
              <w:contextualSpacing/>
              <w:rPr>
                <w:rFonts w:cs="Arial"/>
                <w:bCs/>
                <w:color w:val="000000"/>
                <w:sz w:val="18"/>
                <w:szCs w:val="18"/>
              </w:rPr>
            </w:pPr>
            <w:proofErr w:type="spellStart"/>
            <w:r w:rsidRPr="00A22284">
              <w:rPr>
                <w:rFonts w:cs="Arial"/>
                <w:bCs/>
                <w:color w:val="000000"/>
                <w:sz w:val="18"/>
                <w:szCs w:val="18"/>
              </w:rPr>
              <w:t>Biofiltry</w:t>
            </w:r>
            <w:proofErr w:type="spellEnd"/>
            <w:r w:rsidRPr="00A22284">
              <w:rPr>
                <w:rFonts w:cs="Arial"/>
                <w:bCs/>
                <w:color w:val="000000"/>
                <w:sz w:val="18"/>
                <w:szCs w:val="18"/>
              </w:rPr>
              <w:t xml:space="preserve"> jako opatření k omezení negativních dopadů </w:t>
            </w:r>
            <w:proofErr w:type="spellStart"/>
            <w:r w:rsidRPr="00A22284">
              <w:rPr>
                <w:rFonts w:cs="Arial"/>
                <w:bCs/>
                <w:color w:val="000000"/>
                <w:sz w:val="18"/>
                <w:szCs w:val="18"/>
              </w:rPr>
              <w:t>remobilizace</w:t>
            </w:r>
            <w:proofErr w:type="spellEnd"/>
            <w:r w:rsidRPr="00A22284">
              <w:rPr>
                <w:rFonts w:cs="Arial"/>
                <w:bCs/>
                <w:color w:val="000000"/>
                <w:sz w:val="18"/>
                <w:szCs w:val="18"/>
              </w:rPr>
              <w:t xml:space="preserve"> polutantů v dešťovém odtoku při zimním solení</w:t>
            </w:r>
          </w:p>
        </w:tc>
        <w:tc>
          <w:tcPr>
            <w:tcW w:w="1096" w:type="pct"/>
            <w:tcBorders>
              <w:top w:val="single" w:sz="8" w:space="0" w:color="auto"/>
              <w:left w:val="nil"/>
              <w:bottom w:val="single" w:sz="8" w:space="0" w:color="auto"/>
              <w:right w:val="single" w:sz="8" w:space="0" w:color="auto"/>
            </w:tcBorders>
            <w:vAlign w:val="center"/>
            <w:hideMark/>
          </w:tcPr>
          <w:p w14:paraId="08C4842C" w14:textId="77777777" w:rsidR="001B7241" w:rsidRPr="00A22284" w:rsidRDefault="001B7241" w:rsidP="001B7241">
            <w:pPr>
              <w:shd w:val="clear" w:color="auto" w:fill="FFFFFF"/>
              <w:contextualSpacing/>
              <w:rPr>
                <w:rFonts w:cs="Arial"/>
                <w:bCs/>
                <w:color w:val="000000"/>
                <w:sz w:val="18"/>
                <w:szCs w:val="18"/>
              </w:rPr>
            </w:pPr>
            <w:r w:rsidRPr="00A22284">
              <w:rPr>
                <w:rFonts w:cs="Arial"/>
                <w:bCs/>
                <w:color w:val="000000"/>
                <w:sz w:val="18"/>
                <w:szCs w:val="18"/>
              </w:rPr>
              <w:t>České vysoké učení technické v Praze</w:t>
            </w:r>
          </w:p>
        </w:tc>
        <w:tc>
          <w:tcPr>
            <w:tcW w:w="1091" w:type="pct"/>
            <w:tcBorders>
              <w:top w:val="single" w:sz="8" w:space="0" w:color="auto"/>
              <w:left w:val="nil"/>
              <w:bottom w:val="single" w:sz="8" w:space="0" w:color="auto"/>
              <w:right w:val="single" w:sz="8" w:space="0" w:color="auto"/>
            </w:tcBorders>
            <w:vAlign w:val="center"/>
            <w:hideMark/>
          </w:tcPr>
          <w:p w14:paraId="760F4D2B" w14:textId="77777777" w:rsidR="001B7241" w:rsidRPr="00A22284" w:rsidRDefault="001B7241" w:rsidP="001B7241">
            <w:pPr>
              <w:shd w:val="clear" w:color="auto" w:fill="FFFFFF"/>
              <w:contextualSpacing/>
              <w:rPr>
                <w:rFonts w:cs="Arial"/>
                <w:b/>
                <w:color w:val="000000"/>
                <w:sz w:val="18"/>
                <w:szCs w:val="18"/>
              </w:rPr>
            </w:pPr>
            <w:r w:rsidRPr="00A22284">
              <w:rPr>
                <w:rFonts w:cs="Arial"/>
                <w:b/>
                <w:color w:val="000000"/>
                <w:sz w:val="18"/>
                <w:szCs w:val="18"/>
              </w:rPr>
              <w:t>11 340</w:t>
            </w:r>
          </w:p>
        </w:tc>
      </w:tr>
      <w:tr w:rsidR="001B7241" w:rsidRPr="001B7241" w14:paraId="19A44E68" w14:textId="77777777">
        <w:trPr>
          <w:trHeight w:val="283"/>
          <w:jc w:val="center"/>
        </w:trPr>
        <w:tc>
          <w:tcPr>
            <w:tcW w:w="699" w:type="pct"/>
            <w:tcBorders>
              <w:top w:val="single" w:sz="4" w:space="0" w:color="auto"/>
              <w:left w:val="single" w:sz="8" w:space="0" w:color="auto"/>
              <w:bottom w:val="single" w:sz="8" w:space="0" w:color="auto"/>
              <w:right w:val="single" w:sz="8" w:space="0" w:color="auto"/>
            </w:tcBorders>
            <w:noWrap/>
            <w:vAlign w:val="center"/>
            <w:hideMark/>
          </w:tcPr>
          <w:p w14:paraId="45073097" w14:textId="77777777" w:rsidR="001B7241" w:rsidRPr="00A22284" w:rsidRDefault="001B7241" w:rsidP="001B7241">
            <w:pPr>
              <w:shd w:val="clear" w:color="auto" w:fill="FFFFFF"/>
              <w:contextualSpacing/>
              <w:rPr>
                <w:rFonts w:cs="Arial"/>
                <w:b/>
                <w:color w:val="000000"/>
                <w:sz w:val="18"/>
                <w:szCs w:val="18"/>
              </w:rPr>
            </w:pPr>
            <w:r w:rsidRPr="00A22284">
              <w:rPr>
                <w:rFonts w:cs="Arial"/>
                <w:b/>
                <w:color w:val="000000"/>
                <w:sz w:val="18"/>
                <w:szCs w:val="18"/>
              </w:rPr>
              <w:t>SQ02010087</w:t>
            </w:r>
          </w:p>
        </w:tc>
        <w:tc>
          <w:tcPr>
            <w:tcW w:w="2114" w:type="pct"/>
            <w:tcBorders>
              <w:top w:val="single" w:sz="4" w:space="0" w:color="auto"/>
              <w:left w:val="nil"/>
              <w:bottom w:val="single" w:sz="8" w:space="0" w:color="auto"/>
              <w:right w:val="single" w:sz="8" w:space="0" w:color="auto"/>
            </w:tcBorders>
            <w:vAlign w:val="center"/>
            <w:hideMark/>
          </w:tcPr>
          <w:p w14:paraId="3FDFDDE2" w14:textId="77777777" w:rsidR="001B7241" w:rsidRPr="00A22284" w:rsidRDefault="001B7241" w:rsidP="001B7241">
            <w:pPr>
              <w:shd w:val="clear" w:color="auto" w:fill="FFFFFF"/>
              <w:contextualSpacing/>
              <w:rPr>
                <w:rFonts w:cs="Arial"/>
                <w:bCs/>
                <w:color w:val="000000"/>
                <w:sz w:val="18"/>
                <w:szCs w:val="18"/>
              </w:rPr>
            </w:pPr>
            <w:r w:rsidRPr="00A22284">
              <w:rPr>
                <w:rFonts w:cs="Arial"/>
                <w:bCs/>
                <w:color w:val="000000"/>
                <w:sz w:val="18"/>
                <w:szCs w:val="18"/>
              </w:rPr>
              <w:t>eDNA4Nature: Nástroje pro detekci a obnovu biologické rozmanitosti vodních ekosystémů pomocí environmentální DNA</w:t>
            </w:r>
          </w:p>
        </w:tc>
        <w:tc>
          <w:tcPr>
            <w:tcW w:w="1096" w:type="pct"/>
            <w:tcBorders>
              <w:top w:val="single" w:sz="4" w:space="0" w:color="auto"/>
              <w:left w:val="nil"/>
              <w:bottom w:val="single" w:sz="8" w:space="0" w:color="auto"/>
              <w:right w:val="single" w:sz="8" w:space="0" w:color="auto"/>
            </w:tcBorders>
            <w:vAlign w:val="center"/>
            <w:hideMark/>
          </w:tcPr>
          <w:p w14:paraId="0A4FF674" w14:textId="77777777" w:rsidR="001B7241" w:rsidRPr="00A22284" w:rsidRDefault="001B7241" w:rsidP="001B7241">
            <w:pPr>
              <w:shd w:val="clear" w:color="auto" w:fill="FFFFFF"/>
              <w:contextualSpacing/>
              <w:rPr>
                <w:rFonts w:cs="Arial"/>
                <w:bCs/>
                <w:color w:val="000000"/>
                <w:sz w:val="18"/>
                <w:szCs w:val="18"/>
              </w:rPr>
            </w:pPr>
            <w:r w:rsidRPr="00A22284">
              <w:rPr>
                <w:rFonts w:cs="Arial"/>
                <w:bCs/>
                <w:color w:val="000000"/>
                <w:sz w:val="18"/>
                <w:szCs w:val="18"/>
              </w:rPr>
              <w:t>Česká zemědělská univerzita v Praze</w:t>
            </w:r>
          </w:p>
        </w:tc>
        <w:tc>
          <w:tcPr>
            <w:tcW w:w="1091" w:type="pct"/>
            <w:tcBorders>
              <w:top w:val="single" w:sz="4" w:space="0" w:color="auto"/>
              <w:left w:val="nil"/>
              <w:bottom w:val="single" w:sz="8" w:space="0" w:color="auto"/>
              <w:right w:val="single" w:sz="8" w:space="0" w:color="auto"/>
            </w:tcBorders>
            <w:vAlign w:val="center"/>
            <w:hideMark/>
          </w:tcPr>
          <w:p w14:paraId="38AE8154" w14:textId="77777777" w:rsidR="001B7241" w:rsidRPr="00A22284" w:rsidRDefault="001B7241" w:rsidP="001B7241">
            <w:pPr>
              <w:shd w:val="clear" w:color="auto" w:fill="FFFFFF"/>
              <w:contextualSpacing/>
              <w:rPr>
                <w:rFonts w:cs="Arial"/>
                <w:b/>
                <w:color w:val="000000"/>
                <w:sz w:val="18"/>
                <w:szCs w:val="18"/>
              </w:rPr>
            </w:pPr>
            <w:r w:rsidRPr="00A22284">
              <w:rPr>
                <w:rFonts w:cs="Arial"/>
                <w:b/>
                <w:color w:val="000000"/>
                <w:sz w:val="18"/>
                <w:szCs w:val="18"/>
              </w:rPr>
              <w:t>11 984</w:t>
            </w:r>
          </w:p>
        </w:tc>
      </w:tr>
      <w:tr w:rsidR="001B7241" w:rsidRPr="001B7241" w14:paraId="67B80EF0" w14:textId="77777777">
        <w:trPr>
          <w:trHeight w:val="283"/>
          <w:jc w:val="center"/>
        </w:trPr>
        <w:tc>
          <w:tcPr>
            <w:tcW w:w="699" w:type="pct"/>
            <w:tcBorders>
              <w:top w:val="single" w:sz="4" w:space="0" w:color="auto"/>
              <w:left w:val="single" w:sz="8" w:space="0" w:color="auto"/>
              <w:bottom w:val="single" w:sz="8" w:space="0" w:color="auto"/>
              <w:right w:val="single" w:sz="8" w:space="0" w:color="auto"/>
            </w:tcBorders>
            <w:noWrap/>
            <w:vAlign w:val="center"/>
            <w:hideMark/>
          </w:tcPr>
          <w:p w14:paraId="4F60ABEB" w14:textId="77777777" w:rsidR="001B7241" w:rsidRPr="00006384" w:rsidRDefault="001B7241" w:rsidP="001B7241">
            <w:pPr>
              <w:shd w:val="clear" w:color="auto" w:fill="FFFFFF"/>
              <w:contextualSpacing/>
              <w:rPr>
                <w:rFonts w:cs="Arial"/>
                <w:b/>
                <w:color w:val="000000"/>
              </w:rPr>
            </w:pPr>
            <w:r w:rsidRPr="00006384">
              <w:rPr>
                <w:rFonts w:cs="Arial"/>
                <w:b/>
                <w:color w:val="000000"/>
              </w:rPr>
              <w:t>SQ02010041</w:t>
            </w:r>
          </w:p>
        </w:tc>
        <w:tc>
          <w:tcPr>
            <w:tcW w:w="2114" w:type="pct"/>
            <w:tcBorders>
              <w:top w:val="single" w:sz="4" w:space="0" w:color="auto"/>
              <w:left w:val="nil"/>
              <w:bottom w:val="single" w:sz="8" w:space="0" w:color="auto"/>
              <w:right w:val="single" w:sz="8" w:space="0" w:color="auto"/>
            </w:tcBorders>
            <w:vAlign w:val="center"/>
            <w:hideMark/>
          </w:tcPr>
          <w:p w14:paraId="4AB042CB" w14:textId="77777777" w:rsidR="001B7241" w:rsidRPr="00006384" w:rsidRDefault="001B7241" w:rsidP="001B7241">
            <w:pPr>
              <w:shd w:val="clear" w:color="auto" w:fill="FFFFFF"/>
              <w:contextualSpacing/>
              <w:rPr>
                <w:rFonts w:cs="Arial"/>
                <w:bCs/>
                <w:color w:val="000000"/>
              </w:rPr>
            </w:pPr>
            <w:r w:rsidRPr="00006384">
              <w:rPr>
                <w:rFonts w:cs="Arial"/>
                <w:bCs/>
                <w:color w:val="000000"/>
              </w:rPr>
              <w:t>Revize zdrojů minerálních vod strukturně souvisejících s CHKO Slavkovský les</w:t>
            </w:r>
          </w:p>
        </w:tc>
        <w:tc>
          <w:tcPr>
            <w:tcW w:w="1096" w:type="pct"/>
            <w:tcBorders>
              <w:top w:val="single" w:sz="4" w:space="0" w:color="auto"/>
              <w:left w:val="nil"/>
              <w:bottom w:val="single" w:sz="8" w:space="0" w:color="auto"/>
              <w:right w:val="single" w:sz="8" w:space="0" w:color="auto"/>
            </w:tcBorders>
            <w:vAlign w:val="center"/>
            <w:hideMark/>
          </w:tcPr>
          <w:p w14:paraId="66FF3937" w14:textId="77777777" w:rsidR="001B7241" w:rsidRPr="00006384" w:rsidRDefault="001B7241" w:rsidP="001B7241">
            <w:pPr>
              <w:shd w:val="clear" w:color="auto" w:fill="FFFFFF"/>
              <w:contextualSpacing/>
              <w:rPr>
                <w:rFonts w:cs="Arial"/>
                <w:b/>
                <w:color w:val="000000"/>
              </w:rPr>
            </w:pPr>
            <w:r w:rsidRPr="00006384">
              <w:rPr>
                <w:rFonts w:cs="Arial"/>
                <w:b/>
                <w:color w:val="000000"/>
              </w:rPr>
              <w:t>Česká geologická služba</w:t>
            </w:r>
          </w:p>
        </w:tc>
        <w:tc>
          <w:tcPr>
            <w:tcW w:w="1091" w:type="pct"/>
            <w:tcBorders>
              <w:top w:val="single" w:sz="4" w:space="0" w:color="auto"/>
              <w:left w:val="nil"/>
              <w:bottom w:val="single" w:sz="8" w:space="0" w:color="auto"/>
              <w:right w:val="single" w:sz="8" w:space="0" w:color="auto"/>
            </w:tcBorders>
            <w:vAlign w:val="center"/>
            <w:hideMark/>
          </w:tcPr>
          <w:p w14:paraId="6842DA28" w14:textId="77777777" w:rsidR="001B7241" w:rsidRPr="00006384" w:rsidRDefault="001B7241" w:rsidP="001B7241">
            <w:pPr>
              <w:shd w:val="clear" w:color="auto" w:fill="FFFFFF"/>
              <w:contextualSpacing/>
              <w:rPr>
                <w:rFonts w:cs="Arial"/>
                <w:b/>
                <w:color w:val="000000"/>
              </w:rPr>
            </w:pPr>
            <w:r w:rsidRPr="00006384">
              <w:rPr>
                <w:rFonts w:cs="Arial"/>
                <w:b/>
                <w:color w:val="000000"/>
              </w:rPr>
              <w:t>9 903</w:t>
            </w:r>
          </w:p>
        </w:tc>
      </w:tr>
      <w:tr w:rsidR="001B7241" w:rsidRPr="001B7241" w14:paraId="6E5BC3D2" w14:textId="77777777" w:rsidTr="00A22284">
        <w:trPr>
          <w:trHeight w:val="283"/>
          <w:jc w:val="center"/>
        </w:trPr>
        <w:tc>
          <w:tcPr>
            <w:tcW w:w="3909" w:type="pct"/>
            <w:gridSpan w:val="3"/>
            <w:tcBorders>
              <w:top w:val="single" w:sz="8" w:space="0" w:color="auto"/>
              <w:left w:val="single" w:sz="8" w:space="0" w:color="auto"/>
              <w:bottom w:val="single" w:sz="8" w:space="0" w:color="auto"/>
              <w:right w:val="single" w:sz="8" w:space="0" w:color="auto"/>
            </w:tcBorders>
            <w:shd w:val="clear" w:color="auto" w:fill="A6A6A6" w:themeFill="background1" w:themeFillShade="A6"/>
            <w:noWrap/>
            <w:vAlign w:val="center"/>
            <w:hideMark/>
          </w:tcPr>
          <w:p w14:paraId="1B22084C" w14:textId="77777777" w:rsidR="001B7241" w:rsidRPr="00006384" w:rsidRDefault="001B7241" w:rsidP="001B7241">
            <w:pPr>
              <w:shd w:val="clear" w:color="auto" w:fill="FFFFFF"/>
              <w:contextualSpacing/>
              <w:rPr>
                <w:rFonts w:cs="Arial"/>
                <w:b/>
                <w:color w:val="000000"/>
              </w:rPr>
            </w:pPr>
            <w:r w:rsidRPr="00006384">
              <w:rPr>
                <w:rFonts w:cs="Arial"/>
                <w:b/>
                <w:color w:val="000000"/>
              </w:rPr>
              <w:t>Celkem</w:t>
            </w:r>
          </w:p>
        </w:tc>
        <w:tc>
          <w:tcPr>
            <w:tcW w:w="1091" w:type="pct"/>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3A50FCC" w14:textId="77777777" w:rsidR="001B7241" w:rsidRPr="00006384" w:rsidRDefault="001B7241" w:rsidP="001B7241">
            <w:pPr>
              <w:shd w:val="clear" w:color="auto" w:fill="FFFFFF"/>
              <w:contextualSpacing/>
              <w:rPr>
                <w:rFonts w:cs="Arial"/>
                <w:b/>
                <w:bCs/>
                <w:color w:val="000000"/>
              </w:rPr>
            </w:pPr>
            <w:r w:rsidRPr="00006384">
              <w:rPr>
                <w:rFonts w:cs="Arial"/>
                <w:b/>
                <w:bCs/>
                <w:color w:val="000000"/>
              </w:rPr>
              <w:t>53 527</w:t>
            </w:r>
          </w:p>
        </w:tc>
      </w:tr>
    </w:tbl>
    <w:p w14:paraId="53A8037E" w14:textId="77777777" w:rsidR="00283CD1" w:rsidRDefault="00283CD1" w:rsidP="00283CD1">
      <w:pPr>
        <w:shd w:val="clear" w:color="auto" w:fill="FFFFFF"/>
        <w:contextualSpacing/>
        <w:rPr>
          <w:rFonts w:cs="Arial"/>
          <w:i/>
          <w:color w:val="000000"/>
          <w:sz w:val="20"/>
          <w:szCs w:val="20"/>
        </w:rPr>
      </w:pPr>
      <w:r w:rsidRPr="002363E3">
        <w:rPr>
          <w:rFonts w:cs="Arial"/>
          <w:i/>
          <w:color w:val="000000"/>
          <w:sz w:val="20"/>
          <w:szCs w:val="20"/>
        </w:rPr>
        <w:t>Pramen: TA</w:t>
      </w:r>
      <w:r>
        <w:rPr>
          <w:rFonts w:cs="Arial"/>
          <w:i/>
          <w:color w:val="000000"/>
          <w:sz w:val="20"/>
          <w:szCs w:val="20"/>
        </w:rPr>
        <w:t xml:space="preserve"> </w:t>
      </w:r>
      <w:r w:rsidRPr="002363E3">
        <w:rPr>
          <w:rFonts w:cs="Arial"/>
          <w:i/>
          <w:color w:val="000000"/>
          <w:sz w:val="20"/>
          <w:szCs w:val="20"/>
        </w:rPr>
        <w:t>ČR</w:t>
      </w:r>
    </w:p>
    <w:p w14:paraId="6F9AE591" w14:textId="77777777" w:rsidR="00283CD1" w:rsidRPr="002363E3" w:rsidRDefault="00283CD1" w:rsidP="00283CD1">
      <w:pPr>
        <w:rPr>
          <w:rFonts w:cs="Arial"/>
        </w:rPr>
      </w:pPr>
    </w:p>
    <w:p w14:paraId="2465E1FD" w14:textId="77777777" w:rsidR="00283CD1" w:rsidRDefault="00283CD1" w:rsidP="00283CD1">
      <w:pPr>
        <w:rPr>
          <w:rFonts w:cs="Arial"/>
        </w:rPr>
      </w:pPr>
      <w:r w:rsidRPr="00B07B80">
        <w:rPr>
          <w:rFonts w:cs="Arial"/>
        </w:rPr>
        <w:t xml:space="preserve">V oblasti výzkumu využívá MŽP i „Program veřejných zakázek v aplikovaném výzkumu a inovacích pro potřeby státní správy BETA3 (2023–2031)“. </w:t>
      </w:r>
      <w:r>
        <w:rPr>
          <w:rFonts w:cs="Arial"/>
        </w:rPr>
        <w:t>Ministerstvo životního prostředí aktuálně pracuje na přípravě 3 výzkumných potřeb souvisejících s problematikou vodního hospodářství. Jejich tematické oblasti prezentuje tabulka 15.4.2.</w:t>
      </w:r>
    </w:p>
    <w:p w14:paraId="5B8FB3B5" w14:textId="77777777" w:rsidR="00F07732" w:rsidRDefault="00F07732" w:rsidP="00283CD1">
      <w:pPr>
        <w:shd w:val="clear" w:color="auto" w:fill="FFFFFF"/>
        <w:contextualSpacing/>
        <w:rPr>
          <w:rFonts w:cs="Arial"/>
          <w:b/>
          <w:i/>
          <w:color w:val="000000"/>
        </w:rPr>
      </w:pPr>
    </w:p>
    <w:p w14:paraId="30BDAB5D" w14:textId="44270882" w:rsidR="007924A0" w:rsidRPr="00BE1D13" w:rsidRDefault="00283CD1" w:rsidP="00283CD1">
      <w:pPr>
        <w:shd w:val="clear" w:color="auto" w:fill="FFFFFF"/>
        <w:contextualSpacing/>
        <w:rPr>
          <w:rFonts w:cs="Arial"/>
          <w:b/>
          <w:i/>
          <w:color w:val="000000"/>
        </w:rPr>
      </w:pPr>
      <w:r w:rsidRPr="00BE1D13">
        <w:rPr>
          <w:rFonts w:cs="Arial"/>
          <w:b/>
          <w:i/>
          <w:color w:val="000000"/>
        </w:rPr>
        <w:t>Tabulka 15.4.2 Výzkumné potřeby v oblasti vodního hospodářství připravované Ministerstvem životního prostředí v rámci programu BETA3</w:t>
      </w:r>
    </w:p>
    <w:tbl>
      <w:tblPr>
        <w:tblW w:w="5000" w:type="pct"/>
        <w:tblInd w:w="-10" w:type="dxa"/>
        <w:tblCellMar>
          <w:left w:w="70" w:type="dxa"/>
          <w:right w:w="70" w:type="dxa"/>
        </w:tblCellMar>
        <w:tblLook w:val="04A0" w:firstRow="1" w:lastRow="0" w:firstColumn="1" w:lastColumn="0" w:noHBand="0" w:noVBand="1"/>
      </w:tblPr>
      <w:tblGrid>
        <w:gridCol w:w="1506"/>
        <w:gridCol w:w="5138"/>
        <w:gridCol w:w="2974"/>
      </w:tblGrid>
      <w:tr w:rsidR="00283CD1" w:rsidRPr="000268B8" w14:paraId="6B51BBCE" w14:textId="77777777" w:rsidTr="00100954">
        <w:trPr>
          <w:trHeight w:val="392"/>
        </w:trPr>
        <w:tc>
          <w:tcPr>
            <w:tcW w:w="783" w:type="pct"/>
            <w:tcBorders>
              <w:top w:val="single" w:sz="8" w:space="0" w:color="auto"/>
              <w:left w:val="single" w:sz="8" w:space="0" w:color="auto"/>
              <w:bottom w:val="single" w:sz="8" w:space="0" w:color="auto"/>
              <w:right w:val="single" w:sz="8" w:space="0" w:color="auto"/>
            </w:tcBorders>
            <w:shd w:val="clear" w:color="auto" w:fill="BFBFBF"/>
            <w:noWrap/>
            <w:vAlign w:val="center"/>
            <w:hideMark/>
          </w:tcPr>
          <w:p w14:paraId="2E9323D7" w14:textId="77777777" w:rsidR="00283CD1" w:rsidRPr="002363E3" w:rsidRDefault="00283CD1" w:rsidP="00100954">
            <w:pPr>
              <w:rPr>
                <w:rFonts w:cs="Arial"/>
                <w:b/>
                <w:iCs/>
                <w:color w:val="000000"/>
                <w:sz w:val="20"/>
                <w:szCs w:val="20"/>
              </w:rPr>
            </w:pPr>
            <w:r>
              <w:rPr>
                <w:rFonts w:cs="Arial"/>
                <w:b/>
                <w:iCs/>
                <w:color w:val="000000"/>
                <w:sz w:val="20"/>
                <w:szCs w:val="20"/>
              </w:rPr>
              <w:t>Číslo potřeby</w:t>
            </w:r>
          </w:p>
        </w:tc>
        <w:tc>
          <w:tcPr>
            <w:tcW w:w="2671" w:type="pct"/>
            <w:tcBorders>
              <w:top w:val="single" w:sz="8" w:space="0" w:color="auto"/>
              <w:left w:val="nil"/>
              <w:bottom w:val="single" w:sz="8" w:space="0" w:color="auto"/>
              <w:right w:val="single" w:sz="8" w:space="0" w:color="auto"/>
            </w:tcBorders>
            <w:shd w:val="clear" w:color="auto" w:fill="BFBFBF"/>
            <w:noWrap/>
            <w:vAlign w:val="center"/>
            <w:hideMark/>
          </w:tcPr>
          <w:p w14:paraId="5DD2AE45" w14:textId="77777777" w:rsidR="00283CD1" w:rsidRPr="002363E3" w:rsidRDefault="00283CD1" w:rsidP="00100954">
            <w:pPr>
              <w:jc w:val="center"/>
              <w:rPr>
                <w:rFonts w:cs="Arial"/>
                <w:b/>
                <w:iCs/>
                <w:color w:val="000000"/>
                <w:sz w:val="20"/>
                <w:szCs w:val="20"/>
              </w:rPr>
            </w:pPr>
            <w:r w:rsidRPr="002363E3">
              <w:rPr>
                <w:rFonts w:cs="Arial"/>
                <w:b/>
                <w:iCs/>
                <w:color w:val="000000"/>
                <w:sz w:val="20"/>
                <w:szCs w:val="20"/>
              </w:rPr>
              <w:t xml:space="preserve">Název </w:t>
            </w:r>
            <w:r>
              <w:rPr>
                <w:rFonts w:cs="Arial"/>
                <w:b/>
                <w:iCs/>
                <w:color w:val="000000"/>
                <w:sz w:val="20"/>
                <w:szCs w:val="20"/>
              </w:rPr>
              <w:t>potřeby</w:t>
            </w:r>
          </w:p>
        </w:tc>
        <w:tc>
          <w:tcPr>
            <w:tcW w:w="1546" w:type="pct"/>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76746B9F" w14:textId="77777777" w:rsidR="00283CD1" w:rsidRPr="000268B8" w:rsidRDefault="00283CD1" w:rsidP="00100954">
            <w:pPr>
              <w:jc w:val="center"/>
              <w:rPr>
                <w:rFonts w:cs="Arial"/>
                <w:b/>
                <w:iCs/>
                <w:color w:val="000000"/>
                <w:sz w:val="20"/>
                <w:szCs w:val="20"/>
              </w:rPr>
            </w:pPr>
            <w:r>
              <w:rPr>
                <w:rFonts w:cs="Arial"/>
                <w:b/>
                <w:bCs/>
                <w:sz w:val="20"/>
                <w:szCs w:val="20"/>
              </w:rPr>
              <w:t>Plánovaný finanční rozsah</w:t>
            </w:r>
            <w:r w:rsidRPr="000268B8">
              <w:rPr>
                <w:rFonts w:cs="Arial"/>
                <w:b/>
                <w:bCs/>
                <w:sz w:val="20"/>
                <w:szCs w:val="20"/>
              </w:rPr>
              <w:t xml:space="preserve"> (tis. Kč)</w:t>
            </w:r>
          </w:p>
        </w:tc>
      </w:tr>
      <w:tr w:rsidR="00283CD1" w:rsidRPr="000268B8" w14:paraId="1F1ECAFD" w14:textId="77777777" w:rsidTr="00100954">
        <w:trPr>
          <w:trHeight w:val="542"/>
        </w:trPr>
        <w:tc>
          <w:tcPr>
            <w:tcW w:w="783" w:type="pct"/>
            <w:tcBorders>
              <w:top w:val="single" w:sz="8" w:space="0" w:color="auto"/>
              <w:left w:val="single" w:sz="8" w:space="0" w:color="auto"/>
              <w:bottom w:val="single" w:sz="8" w:space="0" w:color="auto"/>
              <w:right w:val="single" w:sz="8" w:space="0" w:color="auto"/>
            </w:tcBorders>
            <w:noWrap/>
          </w:tcPr>
          <w:p w14:paraId="399EB038" w14:textId="77777777" w:rsidR="00283CD1" w:rsidRPr="004863A0" w:rsidRDefault="00283CD1" w:rsidP="00100954">
            <w:pPr>
              <w:jc w:val="center"/>
              <w:rPr>
                <w:rFonts w:cs="Arial"/>
                <w:color w:val="000000"/>
                <w:sz w:val="18"/>
                <w:szCs w:val="18"/>
              </w:rPr>
            </w:pPr>
            <w:r w:rsidRPr="00236FD3">
              <w:rPr>
                <w:rFonts w:cs="Arial"/>
                <w:sz w:val="18"/>
                <w:szCs w:val="18"/>
              </w:rPr>
              <w:t>TTMZP0002</w:t>
            </w:r>
          </w:p>
        </w:tc>
        <w:tc>
          <w:tcPr>
            <w:tcW w:w="2671" w:type="pct"/>
            <w:tcBorders>
              <w:top w:val="single" w:sz="8" w:space="0" w:color="auto"/>
              <w:left w:val="nil"/>
              <w:bottom w:val="single" w:sz="8" w:space="0" w:color="auto"/>
              <w:right w:val="single" w:sz="8" w:space="0" w:color="auto"/>
            </w:tcBorders>
          </w:tcPr>
          <w:p w14:paraId="17DB1ADB" w14:textId="77777777" w:rsidR="00283CD1" w:rsidRPr="004863A0" w:rsidRDefault="00283CD1" w:rsidP="00A22284">
            <w:pPr>
              <w:rPr>
                <w:rFonts w:cs="Arial"/>
                <w:sz w:val="18"/>
                <w:szCs w:val="18"/>
              </w:rPr>
            </w:pPr>
            <w:r w:rsidRPr="00303F55">
              <w:rPr>
                <w:rFonts w:cs="Arial"/>
                <w:sz w:val="18"/>
                <w:szCs w:val="18"/>
              </w:rPr>
              <w:t>Možnosti využití travních pásů podél vodních toků ve vazbě na zemědělské hospodaření</w:t>
            </w:r>
          </w:p>
        </w:tc>
        <w:tc>
          <w:tcPr>
            <w:tcW w:w="1546" w:type="pct"/>
            <w:tcBorders>
              <w:top w:val="single" w:sz="8" w:space="0" w:color="auto"/>
              <w:left w:val="nil"/>
              <w:bottom w:val="single" w:sz="8" w:space="0" w:color="auto"/>
              <w:right w:val="single" w:sz="8" w:space="0" w:color="auto"/>
            </w:tcBorders>
          </w:tcPr>
          <w:p w14:paraId="4BA1F41D" w14:textId="77777777" w:rsidR="00283CD1" w:rsidRPr="000268B8" w:rsidRDefault="00283CD1" w:rsidP="00100954">
            <w:pPr>
              <w:ind w:right="715"/>
              <w:jc w:val="center"/>
              <w:rPr>
                <w:rFonts w:cs="Arial"/>
                <w:color w:val="000000"/>
                <w:sz w:val="18"/>
                <w:szCs w:val="18"/>
              </w:rPr>
            </w:pPr>
            <w:r w:rsidRPr="00303F55">
              <w:rPr>
                <w:rFonts w:cs="Arial"/>
                <w:color w:val="000000"/>
                <w:sz w:val="18"/>
                <w:szCs w:val="18"/>
              </w:rPr>
              <w:t>13 500</w:t>
            </w:r>
          </w:p>
        </w:tc>
      </w:tr>
      <w:tr w:rsidR="00283CD1" w:rsidRPr="000268B8" w14:paraId="7D44F2DA" w14:textId="77777777" w:rsidTr="00100954">
        <w:trPr>
          <w:trHeight w:val="550"/>
        </w:trPr>
        <w:tc>
          <w:tcPr>
            <w:tcW w:w="783" w:type="pct"/>
            <w:tcBorders>
              <w:top w:val="single" w:sz="8" w:space="0" w:color="auto"/>
              <w:left w:val="single" w:sz="8" w:space="0" w:color="auto"/>
              <w:bottom w:val="single" w:sz="8" w:space="0" w:color="auto"/>
              <w:right w:val="single" w:sz="8" w:space="0" w:color="auto"/>
            </w:tcBorders>
            <w:noWrap/>
          </w:tcPr>
          <w:p w14:paraId="7B5E0633" w14:textId="77777777" w:rsidR="00283CD1" w:rsidRPr="00236FD3" w:rsidRDefault="00283CD1" w:rsidP="00100954">
            <w:pPr>
              <w:jc w:val="center"/>
              <w:rPr>
                <w:rFonts w:cs="Arial"/>
                <w:sz w:val="18"/>
                <w:szCs w:val="18"/>
              </w:rPr>
            </w:pPr>
            <w:r w:rsidRPr="00303F55">
              <w:rPr>
                <w:rFonts w:cs="Arial"/>
                <w:sz w:val="18"/>
                <w:szCs w:val="18"/>
              </w:rPr>
              <w:t>TTMZP0001</w:t>
            </w:r>
          </w:p>
        </w:tc>
        <w:tc>
          <w:tcPr>
            <w:tcW w:w="2671" w:type="pct"/>
            <w:tcBorders>
              <w:top w:val="single" w:sz="8" w:space="0" w:color="auto"/>
              <w:left w:val="nil"/>
              <w:bottom w:val="single" w:sz="8" w:space="0" w:color="auto"/>
              <w:right w:val="single" w:sz="8" w:space="0" w:color="auto"/>
            </w:tcBorders>
          </w:tcPr>
          <w:p w14:paraId="6120DEDE" w14:textId="77777777" w:rsidR="00283CD1" w:rsidRPr="00303F55" w:rsidRDefault="00283CD1" w:rsidP="00A22284">
            <w:pPr>
              <w:rPr>
                <w:rFonts w:cs="Arial"/>
                <w:sz w:val="18"/>
                <w:szCs w:val="18"/>
              </w:rPr>
            </w:pPr>
            <w:r w:rsidRPr="00303F55">
              <w:rPr>
                <w:rFonts w:cs="Arial"/>
                <w:sz w:val="18"/>
                <w:szCs w:val="18"/>
              </w:rPr>
              <w:t>Metodický postup a vývoj metriky pro hodnocení opatření na snížení stupně fragmentace říční sítě ČR</w:t>
            </w:r>
          </w:p>
        </w:tc>
        <w:tc>
          <w:tcPr>
            <w:tcW w:w="1546" w:type="pct"/>
            <w:tcBorders>
              <w:top w:val="single" w:sz="8" w:space="0" w:color="auto"/>
              <w:left w:val="nil"/>
              <w:bottom w:val="single" w:sz="8" w:space="0" w:color="auto"/>
              <w:right w:val="single" w:sz="8" w:space="0" w:color="auto"/>
            </w:tcBorders>
          </w:tcPr>
          <w:p w14:paraId="4512CCBB" w14:textId="77777777" w:rsidR="00283CD1" w:rsidRPr="00303F55" w:rsidRDefault="00283CD1" w:rsidP="00100954">
            <w:pPr>
              <w:ind w:right="715"/>
              <w:jc w:val="center"/>
              <w:rPr>
                <w:rFonts w:cs="Arial"/>
                <w:color w:val="000000"/>
                <w:sz w:val="18"/>
                <w:szCs w:val="18"/>
              </w:rPr>
            </w:pPr>
            <w:r w:rsidRPr="00303F55">
              <w:rPr>
                <w:rFonts w:cs="Arial"/>
                <w:color w:val="000000"/>
                <w:sz w:val="18"/>
                <w:szCs w:val="18"/>
              </w:rPr>
              <w:t>3 000</w:t>
            </w:r>
          </w:p>
        </w:tc>
      </w:tr>
      <w:tr w:rsidR="00283CD1" w:rsidRPr="000268B8" w14:paraId="6C34D253" w14:textId="77777777" w:rsidTr="00100954">
        <w:trPr>
          <w:trHeight w:val="390"/>
        </w:trPr>
        <w:tc>
          <w:tcPr>
            <w:tcW w:w="783" w:type="pct"/>
            <w:tcBorders>
              <w:top w:val="single" w:sz="8" w:space="0" w:color="auto"/>
              <w:left w:val="single" w:sz="8" w:space="0" w:color="auto"/>
              <w:bottom w:val="single" w:sz="8" w:space="0" w:color="auto"/>
              <w:right w:val="single" w:sz="8" w:space="0" w:color="auto"/>
            </w:tcBorders>
            <w:noWrap/>
          </w:tcPr>
          <w:p w14:paraId="59259BFD" w14:textId="77777777" w:rsidR="00283CD1" w:rsidRPr="00303F55" w:rsidRDefault="00283CD1" w:rsidP="00100954">
            <w:pPr>
              <w:jc w:val="center"/>
              <w:rPr>
                <w:rFonts w:cs="Arial"/>
                <w:sz w:val="18"/>
                <w:szCs w:val="18"/>
              </w:rPr>
            </w:pPr>
            <w:r w:rsidRPr="00303F55">
              <w:rPr>
                <w:rFonts w:cs="Arial"/>
                <w:sz w:val="18"/>
                <w:szCs w:val="18"/>
              </w:rPr>
              <w:t>TTMZP0007</w:t>
            </w:r>
          </w:p>
        </w:tc>
        <w:tc>
          <w:tcPr>
            <w:tcW w:w="2671" w:type="pct"/>
            <w:tcBorders>
              <w:top w:val="single" w:sz="8" w:space="0" w:color="auto"/>
              <w:left w:val="nil"/>
              <w:bottom w:val="single" w:sz="8" w:space="0" w:color="auto"/>
              <w:right w:val="single" w:sz="8" w:space="0" w:color="auto"/>
            </w:tcBorders>
          </w:tcPr>
          <w:p w14:paraId="12DE306D" w14:textId="77777777" w:rsidR="00283CD1" w:rsidRPr="00303F55" w:rsidRDefault="00283CD1" w:rsidP="00A22284">
            <w:pPr>
              <w:rPr>
                <w:rFonts w:cs="Arial"/>
                <w:sz w:val="18"/>
                <w:szCs w:val="18"/>
              </w:rPr>
            </w:pPr>
            <w:r w:rsidRPr="00303F55">
              <w:rPr>
                <w:rFonts w:cs="Arial"/>
                <w:sz w:val="18"/>
                <w:szCs w:val="18"/>
              </w:rPr>
              <w:t>Udržitelná koncepce výroby technického sněhu</w:t>
            </w:r>
          </w:p>
        </w:tc>
        <w:tc>
          <w:tcPr>
            <w:tcW w:w="1546" w:type="pct"/>
            <w:tcBorders>
              <w:top w:val="single" w:sz="8" w:space="0" w:color="auto"/>
              <w:left w:val="nil"/>
              <w:bottom w:val="single" w:sz="8" w:space="0" w:color="auto"/>
              <w:right w:val="single" w:sz="8" w:space="0" w:color="auto"/>
            </w:tcBorders>
          </w:tcPr>
          <w:p w14:paraId="70F46E35" w14:textId="77777777" w:rsidR="00283CD1" w:rsidRPr="00303F55" w:rsidRDefault="00283CD1" w:rsidP="00100954">
            <w:pPr>
              <w:ind w:right="715"/>
              <w:jc w:val="center"/>
              <w:rPr>
                <w:rFonts w:cs="Arial"/>
                <w:color w:val="000000"/>
                <w:sz w:val="18"/>
                <w:szCs w:val="18"/>
              </w:rPr>
            </w:pPr>
            <w:r w:rsidRPr="00303F55">
              <w:rPr>
                <w:rFonts w:cs="Arial"/>
                <w:color w:val="000000"/>
                <w:sz w:val="18"/>
                <w:szCs w:val="18"/>
              </w:rPr>
              <w:t>10 500</w:t>
            </w:r>
          </w:p>
        </w:tc>
      </w:tr>
    </w:tbl>
    <w:p w14:paraId="4175A9B9" w14:textId="77777777" w:rsidR="00283CD1" w:rsidRPr="00104F7D" w:rsidRDefault="00283CD1" w:rsidP="00283CD1">
      <w:pPr>
        <w:contextualSpacing/>
        <w:rPr>
          <w:rFonts w:cs="Arial"/>
          <w:color w:val="FF0000"/>
          <w:highlight w:val="yellow"/>
        </w:rPr>
      </w:pPr>
    </w:p>
    <w:p w14:paraId="24E539AA" w14:textId="77777777" w:rsidR="00283CD1" w:rsidRDefault="00283CD1" w:rsidP="00283CD1">
      <w:pPr>
        <w:rPr>
          <w:rFonts w:cs="Arial"/>
        </w:rPr>
      </w:pPr>
    </w:p>
    <w:p w14:paraId="55B11977" w14:textId="77777777" w:rsidR="00283CD1" w:rsidRDefault="00283CD1" w:rsidP="00283CD1">
      <w:pPr>
        <w:rPr>
          <w:rFonts w:cs="Arial"/>
        </w:rPr>
      </w:pPr>
    </w:p>
    <w:p w14:paraId="341D9C47" w14:textId="77777777" w:rsidR="00283CD1" w:rsidRDefault="00283CD1" w:rsidP="00283CD1">
      <w:pPr>
        <w:rPr>
          <w:rFonts w:cs="Arial"/>
        </w:rPr>
      </w:pPr>
    </w:p>
    <w:p w14:paraId="196ACBC0" w14:textId="77777777" w:rsidR="00283CD1" w:rsidRDefault="00283CD1" w:rsidP="00283CD1">
      <w:pPr>
        <w:rPr>
          <w:rFonts w:cs="Arial"/>
        </w:rPr>
      </w:pPr>
    </w:p>
    <w:p w14:paraId="67752575" w14:textId="77777777" w:rsidR="00283CD1" w:rsidRDefault="00283CD1" w:rsidP="00283CD1">
      <w:pPr>
        <w:rPr>
          <w:rFonts w:cs="Arial"/>
        </w:rPr>
      </w:pPr>
    </w:p>
    <w:p w14:paraId="4E2DB846" w14:textId="77777777" w:rsidR="00283CD1" w:rsidRDefault="00283CD1" w:rsidP="00283CD1">
      <w:pPr>
        <w:rPr>
          <w:rFonts w:cs="Arial"/>
        </w:rPr>
      </w:pPr>
    </w:p>
    <w:p w14:paraId="53254827" w14:textId="77777777" w:rsidR="00283CD1" w:rsidRDefault="00283CD1" w:rsidP="00283CD1">
      <w:pPr>
        <w:rPr>
          <w:rFonts w:cs="Arial"/>
        </w:rPr>
      </w:pPr>
    </w:p>
    <w:p w14:paraId="3F6BFC7C" w14:textId="77777777" w:rsidR="00283CD1" w:rsidRDefault="00283CD1" w:rsidP="00283CD1">
      <w:pPr>
        <w:rPr>
          <w:rFonts w:cs="Arial"/>
        </w:rPr>
      </w:pPr>
    </w:p>
    <w:p w14:paraId="25924CDE" w14:textId="77777777" w:rsidR="00283CD1" w:rsidRDefault="00283CD1" w:rsidP="00283CD1">
      <w:pPr>
        <w:rPr>
          <w:rFonts w:cs="Arial"/>
        </w:rPr>
      </w:pPr>
    </w:p>
    <w:p w14:paraId="06688074" w14:textId="77777777" w:rsidR="00283CD1" w:rsidRDefault="00283CD1" w:rsidP="00283CD1">
      <w:pPr>
        <w:rPr>
          <w:rFonts w:cs="Arial"/>
        </w:rPr>
      </w:pPr>
    </w:p>
    <w:p w14:paraId="12ADE51F" w14:textId="77777777" w:rsidR="00283CD1" w:rsidRPr="00E95A75" w:rsidRDefault="00283CD1" w:rsidP="007A04DB">
      <w:pPr>
        <w:autoSpaceDE w:val="0"/>
        <w:autoSpaceDN w:val="0"/>
        <w:adjustRightInd w:val="0"/>
        <w:contextualSpacing/>
        <w:rPr>
          <w:rFonts w:cs="Calibri"/>
          <w:i/>
          <w:sz w:val="20"/>
          <w:szCs w:val="20"/>
        </w:rPr>
      </w:pPr>
    </w:p>
    <w:p w14:paraId="76AE0589" w14:textId="77777777" w:rsidR="00F643E2" w:rsidRDefault="00F643E2" w:rsidP="00F643E2">
      <w:pPr>
        <w:pStyle w:val="Textpsmene"/>
        <w:numPr>
          <w:ilvl w:val="0"/>
          <w:numId w:val="0"/>
        </w:numPr>
        <w:tabs>
          <w:tab w:val="left" w:pos="-567"/>
        </w:tabs>
        <w:spacing w:after="120"/>
        <w:contextualSpacing/>
        <w:rPr>
          <w:rFonts w:asciiTheme="minorHAnsi" w:hAnsiTheme="minorHAnsi" w:cstheme="minorHAnsi"/>
          <w:b/>
          <w:i/>
          <w:sz w:val="22"/>
          <w:szCs w:val="22"/>
          <w:highlight w:val="yellow"/>
        </w:rPr>
      </w:pPr>
    </w:p>
    <w:p w14:paraId="7985B539" w14:textId="77777777" w:rsidR="001F0A80" w:rsidRDefault="001F0A80" w:rsidP="00F643E2">
      <w:pPr>
        <w:pStyle w:val="Textpsmene"/>
        <w:numPr>
          <w:ilvl w:val="0"/>
          <w:numId w:val="0"/>
        </w:numPr>
        <w:tabs>
          <w:tab w:val="left" w:pos="-567"/>
        </w:tabs>
        <w:spacing w:after="120"/>
        <w:contextualSpacing/>
        <w:rPr>
          <w:rFonts w:asciiTheme="minorHAnsi" w:hAnsiTheme="minorHAnsi" w:cstheme="minorHAnsi"/>
          <w:b/>
          <w:i/>
          <w:sz w:val="22"/>
          <w:szCs w:val="22"/>
          <w:highlight w:val="yellow"/>
        </w:rPr>
      </w:pPr>
    </w:p>
    <w:p w14:paraId="7918B74F" w14:textId="77777777" w:rsidR="001F0A80" w:rsidRDefault="001F0A80" w:rsidP="00F643E2">
      <w:pPr>
        <w:pStyle w:val="Textpsmene"/>
        <w:numPr>
          <w:ilvl w:val="0"/>
          <w:numId w:val="0"/>
        </w:numPr>
        <w:tabs>
          <w:tab w:val="left" w:pos="-567"/>
        </w:tabs>
        <w:spacing w:after="120"/>
        <w:contextualSpacing/>
        <w:rPr>
          <w:rFonts w:asciiTheme="minorHAnsi" w:hAnsiTheme="minorHAnsi" w:cstheme="minorHAnsi"/>
          <w:b/>
          <w:i/>
          <w:sz w:val="22"/>
          <w:szCs w:val="22"/>
          <w:highlight w:val="yellow"/>
        </w:rPr>
      </w:pPr>
    </w:p>
    <w:p w14:paraId="503CF736" w14:textId="77777777" w:rsidR="001F0A80" w:rsidRDefault="001F0A80" w:rsidP="00F643E2">
      <w:pPr>
        <w:pStyle w:val="Textpsmene"/>
        <w:numPr>
          <w:ilvl w:val="0"/>
          <w:numId w:val="0"/>
        </w:numPr>
        <w:tabs>
          <w:tab w:val="left" w:pos="-567"/>
        </w:tabs>
        <w:spacing w:after="120"/>
        <w:contextualSpacing/>
        <w:rPr>
          <w:rFonts w:asciiTheme="minorHAnsi" w:hAnsiTheme="minorHAnsi" w:cstheme="minorHAnsi"/>
          <w:b/>
          <w:i/>
          <w:sz w:val="22"/>
          <w:szCs w:val="22"/>
          <w:highlight w:val="yellow"/>
        </w:rPr>
      </w:pPr>
    </w:p>
    <w:p w14:paraId="64234A41" w14:textId="77777777" w:rsidR="001F0A80" w:rsidRDefault="001F0A80" w:rsidP="00F643E2">
      <w:pPr>
        <w:pStyle w:val="Textpsmene"/>
        <w:numPr>
          <w:ilvl w:val="0"/>
          <w:numId w:val="0"/>
        </w:numPr>
        <w:tabs>
          <w:tab w:val="left" w:pos="-567"/>
        </w:tabs>
        <w:spacing w:after="120"/>
        <w:contextualSpacing/>
        <w:rPr>
          <w:rFonts w:asciiTheme="minorHAnsi" w:hAnsiTheme="minorHAnsi" w:cstheme="minorHAnsi"/>
          <w:b/>
          <w:i/>
          <w:sz w:val="22"/>
          <w:szCs w:val="22"/>
          <w:highlight w:val="yellow"/>
        </w:rPr>
      </w:pPr>
    </w:p>
    <w:p w14:paraId="6CC076E9" w14:textId="77777777" w:rsidR="001F0A80" w:rsidRDefault="001F0A80" w:rsidP="00F643E2">
      <w:pPr>
        <w:pStyle w:val="Textpsmene"/>
        <w:numPr>
          <w:ilvl w:val="0"/>
          <w:numId w:val="0"/>
        </w:numPr>
        <w:tabs>
          <w:tab w:val="left" w:pos="-567"/>
        </w:tabs>
        <w:spacing w:after="120"/>
        <w:contextualSpacing/>
        <w:rPr>
          <w:rFonts w:asciiTheme="minorHAnsi" w:hAnsiTheme="minorHAnsi" w:cstheme="minorHAnsi"/>
          <w:b/>
          <w:i/>
          <w:sz w:val="22"/>
          <w:szCs w:val="22"/>
          <w:highlight w:val="yellow"/>
        </w:rPr>
      </w:pPr>
    </w:p>
    <w:p w14:paraId="5B4F2540" w14:textId="77777777" w:rsidR="001F0A80" w:rsidRDefault="001F0A80" w:rsidP="00F643E2">
      <w:pPr>
        <w:pStyle w:val="Textpsmene"/>
        <w:numPr>
          <w:ilvl w:val="0"/>
          <w:numId w:val="0"/>
        </w:numPr>
        <w:tabs>
          <w:tab w:val="left" w:pos="-567"/>
        </w:tabs>
        <w:spacing w:after="120"/>
        <w:contextualSpacing/>
        <w:rPr>
          <w:rFonts w:asciiTheme="minorHAnsi" w:hAnsiTheme="minorHAnsi" w:cstheme="minorHAnsi"/>
          <w:b/>
          <w:i/>
          <w:sz w:val="22"/>
          <w:szCs w:val="22"/>
          <w:highlight w:val="yellow"/>
        </w:rPr>
      </w:pPr>
    </w:p>
    <w:p w14:paraId="51322FBA" w14:textId="77777777" w:rsidR="001F0A80" w:rsidRDefault="001F0A80" w:rsidP="00F643E2">
      <w:pPr>
        <w:pStyle w:val="Textpsmene"/>
        <w:numPr>
          <w:ilvl w:val="0"/>
          <w:numId w:val="0"/>
        </w:numPr>
        <w:tabs>
          <w:tab w:val="left" w:pos="-567"/>
        </w:tabs>
        <w:spacing w:after="120"/>
        <w:contextualSpacing/>
        <w:rPr>
          <w:rFonts w:asciiTheme="minorHAnsi" w:hAnsiTheme="minorHAnsi" w:cstheme="minorHAnsi"/>
          <w:b/>
          <w:i/>
          <w:sz w:val="22"/>
          <w:szCs w:val="22"/>
          <w:highlight w:val="yellow"/>
        </w:rPr>
      </w:pPr>
    </w:p>
    <w:p w14:paraId="34C55707" w14:textId="77777777" w:rsidR="001F0A80" w:rsidRDefault="001F0A80" w:rsidP="00F643E2">
      <w:pPr>
        <w:pStyle w:val="Textpsmene"/>
        <w:numPr>
          <w:ilvl w:val="0"/>
          <w:numId w:val="0"/>
        </w:numPr>
        <w:tabs>
          <w:tab w:val="left" w:pos="-567"/>
        </w:tabs>
        <w:spacing w:after="120"/>
        <w:contextualSpacing/>
        <w:rPr>
          <w:rFonts w:asciiTheme="minorHAnsi" w:hAnsiTheme="minorHAnsi" w:cstheme="minorHAnsi"/>
          <w:b/>
          <w:i/>
          <w:sz w:val="22"/>
          <w:szCs w:val="22"/>
          <w:highlight w:val="yellow"/>
        </w:rPr>
      </w:pPr>
    </w:p>
    <w:p w14:paraId="64F88C24" w14:textId="77777777" w:rsidR="001F0A80" w:rsidRDefault="001F0A80" w:rsidP="00F643E2">
      <w:pPr>
        <w:pStyle w:val="Textpsmene"/>
        <w:numPr>
          <w:ilvl w:val="0"/>
          <w:numId w:val="0"/>
        </w:numPr>
        <w:tabs>
          <w:tab w:val="left" w:pos="-567"/>
        </w:tabs>
        <w:spacing w:after="120"/>
        <w:contextualSpacing/>
        <w:rPr>
          <w:rFonts w:asciiTheme="minorHAnsi" w:hAnsiTheme="minorHAnsi" w:cstheme="minorHAnsi"/>
          <w:b/>
          <w:i/>
          <w:sz w:val="22"/>
          <w:szCs w:val="22"/>
          <w:highlight w:val="yellow"/>
        </w:rPr>
      </w:pPr>
    </w:p>
    <w:p w14:paraId="3F75028E" w14:textId="77777777" w:rsidR="001F0A80" w:rsidRDefault="001F0A80" w:rsidP="00F643E2">
      <w:pPr>
        <w:pStyle w:val="Textpsmene"/>
        <w:numPr>
          <w:ilvl w:val="0"/>
          <w:numId w:val="0"/>
        </w:numPr>
        <w:tabs>
          <w:tab w:val="left" w:pos="-567"/>
        </w:tabs>
        <w:spacing w:after="120"/>
        <w:contextualSpacing/>
        <w:rPr>
          <w:rFonts w:asciiTheme="minorHAnsi" w:hAnsiTheme="minorHAnsi" w:cstheme="minorHAnsi"/>
          <w:b/>
          <w:i/>
          <w:sz w:val="22"/>
          <w:szCs w:val="22"/>
          <w:highlight w:val="yellow"/>
        </w:rPr>
      </w:pPr>
    </w:p>
    <w:p w14:paraId="5A4C23EA" w14:textId="77777777" w:rsidR="001F0A80" w:rsidRDefault="001F0A80" w:rsidP="00F643E2">
      <w:pPr>
        <w:pStyle w:val="Textpsmene"/>
        <w:numPr>
          <w:ilvl w:val="0"/>
          <w:numId w:val="0"/>
        </w:numPr>
        <w:tabs>
          <w:tab w:val="left" w:pos="-567"/>
        </w:tabs>
        <w:spacing w:after="120"/>
        <w:contextualSpacing/>
        <w:rPr>
          <w:rFonts w:asciiTheme="minorHAnsi" w:hAnsiTheme="minorHAnsi" w:cstheme="minorHAnsi"/>
          <w:b/>
          <w:i/>
          <w:sz w:val="22"/>
          <w:szCs w:val="22"/>
          <w:highlight w:val="yellow"/>
        </w:rPr>
      </w:pPr>
    </w:p>
    <w:p w14:paraId="2A3576FB" w14:textId="77777777" w:rsidR="001F0A80" w:rsidRDefault="001F0A80" w:rsidP="00F643E2">
      <w:pPr>
        <w:pStyle w:val="Textpsmene"/>
        <w:numPr>
          <w:ilvl w:val="0"/>
          <w:numId w:val="0"/>
        </w:numPr>
        <w:tabs>
          <w:tab w:val="left" w:pos="-567"/>
        </w:tabs>
        <w:spacing w:after="120"/>
        <w:contextualSpacing/>
        <w:rPr>
          <w:rFonts w:asciiTheme="minorHAnsi" w:hAnsiTheme="minorHAnsi" w:cstheme="minorHAnsi"/>
          <w:b/>
          <w:i/>
          <w:sz w:val="22"/>
          <w:szCs w:val="22"/>
          <w:highlight w:val="yellow"/>
        </w:rPr>
      </w:pPr>
    </w:p>
    <w:p w14:paraId="787EC246" w14:textId="77777777" w:rsidR="001F0A80" w:rsidRDefault="001F0A80" w:rsidP="00F643E2">
      <w:pPr>
        <w:pStyle w:val="Textpsmene"/>
        <w:numPr>
          <w:ilvl w:val="0"/>
          <w:numId w:val="0"/>
        </w:numPr>
        <w:tabs>
          <w:tab w:val="left" w:pos="-567"/>
        </w:tabs>
        <w:spacing w:after="120"/>
        <w:contextualSpacing/>
        <w:rPr>
          <w:rFonts w:asciiTheme="minorHAnsi" w:hAnsiTheme="minorHAnsi" w:cstheme="minorHAnsi"/>
          <w:b/>
          <w:i/>
          <w:sz w:val="22"/>
          <w:szCs w:val="22"/>
          <w:highlight w:val="yellow"/>
        </w:rPr>
      </w:pPr>
    </w:p>
    <w:p w14:paraId="13255494" w14:textId="77777777" w:rsidR="001F0A80" w:rsidRDefault="001F0A80" w:rsidP="00F643E2">
      <w:pPr>
        <w:pStyle w:val="Textpsmene"/>
        <w:numPr>
          <w:ilvl w:val="0"/>
          <w:numId w:val="0"/>
        </w:numPr>
        <w:tabs>
          <w:tab w:val="left" w:pos="-567"/>
        </w:tabs>
        <w:spacing w:after="120"/>
        <w:contextualSpacing/>
        <w:rPr>
          <w:rFonts w:asciiTheme="minorHAnsi" w:hAnsiTheme="minorHAnsi" w:cstheme="minorHAnsi"/>
          <w:b/>
          <w:i/>
          <w:sz w:val="22"/>
          <w:szCs w:val="22"/>
          <w:highlight w:val="yellow"/>
        </w:rPr>
      </w:pPr>
    </w:p>
    <w:p w14:paraId="11B10345" w14:textId="77777777" w:rsidR="001F0A80" w:rsidRDefault="001F0A80" w:rsidP="00F643E2">
      <w:pPr>
        <w:pStyle w:val="Textpsmene"/>
        <w:numPr>
          <w:ilvl w:val="0"/>
          <w:numId w:val="0"/>
        </w:numPr>
        <w:tabs>
          <w:tab w:val="left" w:pos="-567"/>
        </w:tabs>
        <w:spacing w:after="120"/>
        <w:contextualSpacing/>
        <w:rPr>
          <w:rFonts w:asciiTheme="minorHAnsi" w:hAnsiTheme="minorHAnsi" w:cstheme="minorHAnsi"/>
          <w:b/>
          <w:i/>
          <w:sz w:val="22"/>
          <w:szCs w:val="22"/>
          <w:highlight w:val="yellow"/>
        </w:rPr>
      </w:pPr>
    </w:p>
    <w:p w14:paraId="6995CABA" w14:textId="77777777" w:rsidR="001F0A80" w:rsidRDefault="001F0A80" w:rsidP="00F643E2">
      <w:pPr>
        <w:pStyle w:val="Textpsmene"/>
        <w:numPr>
          <w:ilvl w:val="0"/>
          <w:numId w:val="0"/>
        </w:numPr>
        <w:tabs>
          <w:tab w:val="left" w:pos="-567"/>
        </w:tabs>
        <w:spacing w:after="120"/>
        <w:contextualSpacing/>
        <w:rPr>
          <w:rFonts w:asciiTheme="minorHAnsi" w:hAnsiTheme="minorHAnsi" w:cstheme="minorHAnsi"/>
          <w:b/>
          <w:i/>
          <w:sz w:val="22"/>
          <w:szCs w:val="22"/>
          <w:highlight w:val="yellow"/>
        </w:rPr>
      </w:pPr>
    </w:p>
    <w:p w14:paraId="43BC5ECE" w14:textId="77777777" w:rsidR="001F0A80" w:rsidRDefault="001F0A80" w:rsidP="00F643E2">
      <w:pPr>
        <w:pStyle w:val="Textpsmene"/>
        <w:numPr>
          <w:ilvl w:val="0"/>
          <w:numId w:val="0"/>
        </w:numPr>
        <w:tabs>
          <w:tab w:val="left" w:pos="-567"/>
        </w:tabs>
        <w:spacing w:after="120"/>
        <w:contextualSpacing/>
        <w:rPr>
          <w:rFonts w:asciiTheme="minorHAnsi" w:hAnsiTheme="minorHAnsi" w:cstheme="minorHAnsi"/>
          <w:b/>
          <w:i/>
          <w:sz w:val="22"/>
          <w:szCs w:val="22"/>
          <w:highlight w:val="yellow"/>
        </w:rPr>
      </w:pPr>
    </w:p>
    <w:p w14:paraId="7FC9ED47" w14:textId="77777777" w:rsidR="001F0A80" w:rsidRDefault="001F0A80" w:rsidP="00F643E2">
      <w:pPr>
        <w:pStyle w:val="Textpsmene"/>
        <w:numPr>
          <w:ilvl w:val="0"/>
          <w:numId w:val="0"/>
        </w:numPr>
        <w:tabs>
          <w:tab w:val="left" w:pos="-567"/>
        </w:tabs>
        <w:spacing w:after="120"/>
        <w:contextualSpacing/>
        <w:rPr>
          <w:rFonts w:asciiTheme="minorHAnsi" w:hAnsiTheme="minorHAnsi" w:cstheme="minorHAnsi"/>
          <w:b/>
          <w:i/>
          <w:sz w:val="22"/>
          <w:szCs w:val="22"/>
          <w:highlight w:val="yellow"/>
        </w:rPr>
      </w:pPr>
    </w:p>
    <w:p w14:paraId="0C54B365" w14:textId="77777777" w:rsidR="001F0A80" w:rsidRDefault="001F0A80" w:rsidP="00F643E2">
      <w:pPr>
        <w:pStyle w:val="Textpsmene"/>
        <w:numPr>
          <w:ilvl w:val="0"/>
          <w:numId w:val="0"/>
        </w:numPr>
        <w:tabs>
          <w:tab w:val="left" w:pos="-567"/>
        </w:tabs>
        <w:spacing w:after="120"/>
        <w:contextualSpacing/>
        <w:rPr>
          <w:rFonts w:asciiTheme="minorHAnsi" w:hAnsiTheme="minorHAnsi" w:cstheme="minorHAnsi"/>
          <w:b/>
          <w:i/>
          <w:sz w:val="22"/>
          <w:szCs w:val="22"/>
          <w:highlight w:val="yellow"/>
        </w:rPr>
      </w:pPr>
    </w:p>
    <w:p w14:paraId="13C2FB22" w14:textId="77777777" w:rsidR="001F0A80" w:rsidRDefault="001F0A80" w:rsidP="00F643E2">
      <w:pPr>
        <w:pStyle w:val="Textpsmene"/>
        <w:numPr>
          <w:ilvl w:val="0"/>
          <w:numId w:val="0"/>
        </w:numPr>
        <w:tabs>
          <w:tab w:val="left" w:pos="-567"/>
        </w:tabs>
        <w:spacing w:after="120"/>
        <w:contextualSpacing/>
        <w:rPr>
          <w:rFonts w:asciiTheme="minorHAnsi" w:hAnsiTheme="minorHAnsi" w:cstheme="minorHAnsi"/>
          <w:b/>
          <w:i/>
          <w:sz w:val="22"/>
          <w:szCs w:val="22"/>
          <w:highlight w:val="yellow"/>
        </w:rPr>
      </w:pPr>
    </w:p>
    <w:p w14:paraId="0B39BFEA" w14:textId="77777777" w:rsidR="001F0A80" w:rsidRDefault="001F0A80" w:rsidP="00F643E2">
      <w:pPr>
        <w:pStyle w:val="Textpsmene"/>
        <w:numPr>
          <w:ilvl w:val="0"/>
          <w:numId w:val="0"/>
        </w:numPr>
        <w:tabs>
          <w:tab w:val="left" w:pos="-567"/>
        </w:tabs>
        <w:spacing w:after="120"/>
        <w:contextualSpacing/>
        <w:rPr>
          <w:rFonts w:asciiTheme="minorHAnsi" w:hAnsiTheme="minorHAnsi" w:cstheme="minorHAnsi"/>
          <w:b/>
          <w:i/>
          <w:sz w:val="22"/>
          <w:szCs w:val="22"/>
          <w:highlight w:val="yellow"/>
        </w:rPr>
      </w:pPr>
    </w:p>
    <w:p w14:paraId="177DE5F5" w14:textId="77777777" w:rsidR="00A22284" w:rsidRDefault="00A22284" w:rsidP="007C4955">
      <w:pPr>
        <w:pStyle w:val="Nadpis1"/>
        <w:spacing w:before="0"/>
        <w:contextualSpacing/>
      </w:pPr>
      <w:bookmarkStart w:id="225" w:name="_Toc10183475"/>
      <w:bookmarkStart w:id="226" w:name="_Toc236991657"/>
      <w:bookmarkStart w:id="227" w:name="_Toc522119086"/>
      <w:bookmarkEnd w:id="214"/>
    </w:p>
    <w:p w14:paraId="111A4AF6" w14:textId="77777777" w:rsidR="00A22284" w:rsidRDefault="00A22284" w:rsidP="007C4955">
      <w:pPr>
        <w:pStyle w:val="Nadpis1"/>
        <w:spacing w:before="0"/>
        <w:contextualSpacing/>
      </w:pPr>
    </w:p>
    <w:p w14:paraId="1AD81CB3" w14:textId="77777777" w:rsidR="00A22284" w:rsidRDefault="00A22284" w:rsidP="007C4955">
      <w:pPr>
        <w:pStyle w:val="Nadpis1"/>
        <w:spacing w:before="0"/>
        <w:contextualSpacing/>
      </w:pPr>
    </w:p>
    <w:p w14:paraId="5D65AB1A" w14:textId="77777777" w:rsidR="008F0B14" w:rsidRPr="008F0B14" w:rsidRDefault="008F0B14" w:rsidP="008F0B14"/>
    <w:p w14:paraId="6A41F7C0" w14:textId="057955AA" w:rsidR="00465ABC" w:rsidRPr="006B5E53" w:rsidRDefault="00465ABC" w:rsidP="007C4955">
      <w:pPr>
        <w:pStyle w:val="Nadpis1"/>
        <w:spacing w:before="0"/>
        <w:contextualSpacing/>
      </w:pPr>
      <w:r w:rsidRPr="006B5E53">
        <w:t>Vybrané zajímavé údaje za rok 20</w:t>
      </w:r>
      <w:r w:rsidR="00A925B5" w:rsidRPr="006B5E53">
        <w:t>2</w:t>
      </w:r>
      <w:bookmarkEnd w:id="225"/>
      <w:r w:rsidR="004832DC" w:rsidRPr="006B5E53">
        <w:t>5</w:t>
      </w:r>
      <w:bookmarkEnd w:id="226"/>
    </w:p>
    <w:p w14:paraId="7FCA7376" w14:textId="77777777" w:rsidR="00465ABC" w:rsidRPr="006B5E53" w:rsidRDefault="00465ABC" w:rsidP="007C4955">
      <w:pPr>
        <w:contextualSpacing/>
        <w:rPr>
          <w:color w:val="FF0000"/>
        </w:rPr>
      </w:pPr>
    </w:p>
    <w:p w14:paraId="14BC7998" w14:textId="623916D6" w:rsidR="00465ABC" w:rsidRPr="006B5E53" w:rsidRDefault="00465ABC">
      <w:pPr>
        <w:pStyle w:val="Odstavecseseznamem"/>
        <w:numPr>
          <w:ilvl w:val="0"/>
          <w:numId w:val="15"/>
        </w:numPr>
        <w:rPr>
          <w:rFonts w:cs="Arial"/>
        </w:rPr>
      </w:pPr>
      <w:r w:rsidRPr="006B5E53">
        <w:rPr>
          <w:rFonts w:ascii="Arial" w:hAnsi="Arial" w:cs="Arial"/>
          <w:sz w:val="22"/>
          <w:szCs w:val="22"/>
        </w:rPr>
        <w:t xml:space="preserve">Základní hydrologická síť – </w:t>
      </w:r>
      <w:r w:rsidR="00305F6C" w:rsidRPr="006B5E53">
        <w:rPr>
          <w:rFonts w:ascii="Arial" w:hAnsi="Arial" w:cs="Arial"/>
          <w:sz w:val="22"/>
          <w:szCs w:val="22"/>
        </w:rPr>
        <w:t>9</w:t>
      </w:r>
      <w:r w:rsidR="00F06647" w:rsidRPr="006B5E53">
        <w:rPr>
          <w:rFonts w:ascii="Arial" w:hAnsi="Arial" w:cs="Arial"/>
          <w:sz w:val="22"/>
          <w:szCs w:val="22"/>
        </w:rPr>
        <w:t>9 1</w:t>
      </w:r>
      <w:r w:rsidR="00E22AE7" w:rsidRPr="006B5E53">
        <w:rPr>
          <w:rFonts w:ascii="Arial" w:hAnsi="Arial" w:cs="Arial"/>
          <w:sz w:val="22"/>
          <w:szCs w:val="22"/>
        </w:rPr>
        <w:t>97</w:t>
      </w:r>
      <w:r w:rsidRPr="006B5E53">
        <w:rPr>
          <w:rFonts w:ascii="Arial" w:hAnsi="Arial" w:cs="Arial"/>
          <w:sz w:val="22"/>
          <w:szCs w:val="22"/>
        </w:rPr>
        <w:t xml:space="preserve"> km vodních toků </w:t>
      </w:r>
    </w:p>
    <w:p w14:paraId="1D917C49" w14:textId="77777777" w:rsidR="00F76E8A" w:rsidRPr="006B5E53" w:rsidRDefault="00F76E8A" w:rsidP="00EA4229">
      <w:pPr>
        <w:pStyle w:val="Odstavecseseznamem"/>
        <w:rPr>
          <w:rFonts w:cs="Arial"/>
          <w:color w:val="FF0000"/>
        </w:rPr>
      </w:pPr>
    </w:p>
    <w:p w14:paraId="7159BB9B" w14:textId="12DCBC68" w:rsidR="00F76E8A" w:rsidRPr="006B5E53" w:rsidRDefault="003D483C">
      <w:pPr>
        <w:pStyle w:val="Odstavecseseznamem"/>
        <w:numPr>
          <w:ilvl w:val="0"/>
          <w:numId w:val="15"/>
        </w:numPr>
        <w:rPr>
          <w:rFonts w:cs="Arial"/>
        </w:rPr>
      </w:pPr>
      <w:r w:rsidRPr="006B5E53">
        <w:rPr>
          <w:rFonts w:ascii="Arial" w:hAnsi="Arial" w:cs="Arial"/>
          <w:sz w:val="22"/>
          <w:szCs w:val="22"/>
        </w:rPr>
        <w:t>Finanční prostředky na s</w:t>
      </w:r>
      <w:r w:rsidR="00F76E8A" w:rsidRPr="006B5E53">
        <w:rPr>
          <w:rFonts w:ascii="Arial" w:hAnsi="Arial" w:cs="Arial"/>
          <w:sz w:val="22"/>
          <w:szCs w:val="22"/>
        </w:rPr>
        <w:t>práv</w:t>
      </w:r>
      <w:r w:rsidRPr="006B5E53">
        <w:rPr>
          <w:rFonts w:ascii="Arial" w:hAnsi="Arial" w:cs="Arial"/>
          <w:sz w:val="22"/>
          <w:szCs w:val="22"/>
        </w:rPr>
        <w:t>u</w:t>
      </w:r>
      <w:r w:rsidR="00F76E8A" w:rsidRPr="006B5E53">
        <w:rPr>
          <w:rFonts w:ascii="Arial" w:hAnsi="Arial" w:cs="Arial"/>
          <w:sz w:val="22"/>
          <w:szCs w:val="22"/>
        </w:rPr>
        <w:t xml:space="preserve"> vodních toků (s. p. Povodí, Lesy ČR): </w:t>
      </w:r>
      <w:r w:rsidR="00CA321C" w:rsidRPr="006B5E53">
        <w:rPr>
          <w:rFonts w:ascii="Arial" w:hAnsi="Arial" w:cs="Arial"/>
          <w:sz w:val="22"/>
          <w:szCs w:val="22"/>
        </w:rPr>
        <w:t>4</w:t>
      </w:r>
      <w:r w:rsidR="0008083D" w:rsidRPr="006B5E53">
        <w:rPr>
          <w:rFonts w:ascii="Arial" w:hAnsi="Arial" w:cs="Arial"/>
          <w:sz w:val="22"/>
          <w:szCs w:val="22"/>
        </w:rPr>
        <w:t>,</w:t>
      </w:r>
      <w:r w:rsidR="00E22AE7" w:rsidRPr="006B5E53">
        <w:rPr>
          <w:rFonts w:ascii="Arial" w:hAnsi="Arial" w:cs="Arial"/>
          <w:sz w:val="22"/>
          <w:szCs w:val="22"/>
        </w:rPr>
        <w:t>3</w:t>
      </w:r>
      <w:r w:rsidR="0008083D" w:rsidRPr="006B5E53">
        <w:rPr>
          <w:rFonts w:ascii="Arial" w:hAnsi="Arial" w:cs="Arial"/>
          <w:sz w:val="22"/>
          <w:szCs w:val="22"/>
        </w:rPr>
        <w:t xml:space="preserve"> mld</w:t>
      </w:r>
      <w:r w:rsidR="00F76E8A" w:rsidRPr="006B5E53">
        <w:rPr>
          <w:rFonts w:ascii="Arial" w:hAnsi="Arial" w:cs="Arial"/>
          <w:sz w:val="22"/>
          <w:szCs w:val="22"/>
        </w:rPr>
        <w:t xml:space="preserve">. Kč </w:t>
      </w:r>
    </w:p>
    <w:p w14:paraId="1A7F2744" w14:textId="77777777" w:rsidR="00465ABC" w:rsidRPr="00104F7D" w:rsidRDefault="00465ABC" w:rsidP="00EA4229">
      <w:pPr>
        <w:ind w:left="720"/>
        <w:contextualSpacing/>
        <w:rPr>
          <w:rFonts w:cs="Arial"/>
          <w:color w:val="FF0000"/>
          <w:highlight w:val="yellow"/>
        </w:rPr>
      </w:pPr>
    </w:p>
    <w:p w14:paraId="1B121C38" w14:textId="77777777" w:rsidR="00F76E8A" w:rsidRPr="0024279E" w:rsidRDefault="00F76E8A">
      <w:pPr>
        <w:pStyle w:val="Odstavecseseznamem"/>
        <w:numPr>
          <w:ilvl w:val="0"/>
          <w:numId w:val="15"/>
        </w:numPr>
        <w:rPr>
          <w:rFonts w:cs="Arial"/>
        </w:rPr>
      </w:pPr>
      <w:r w:rsidRPr="0024279E">
        <w:rPr>
          <w:rFonts w:ascii="Arial" w:hAnsi="Arial" w:cs="Arial"/>
          <w:sz w:val="22"/>
          <w:szCs w:val="22"/>
        </w:rPr>
        <w:t>S</w:t>
      </w:r>
      <w:r w:rsidR="00465ABC" w:rsidRPr="0024279E">
        <w:rPr>
          <w:rFonts w:ascii="Arial" w:hAnsi="Arial" w:cs="Arial"/>
          <w:sz w:val="22"/>
          <w:szCs w:val="22"/>
        </w:rPr>
        <w:t>. p. Povodí</w:t>
      </w:r>
      <w:r w:rsidR="000A6887" w:rsidRPr="0024279E">
        <w:rPr>
          <w:rFonts w:ascii="Arial" w:hAnsi="Arial" w:cs="Arial"/>
          <w:sz w:val="22"/>
          <w:szCs w:val="22"/>
        </w:rPr>
        <w:t>:</w:t>
      </w:r>
    </w:p>
    <w:p w14:paraId="20D152E2" w14:textId="26A38511" w:rsidR="00465ABC" w:rsidRPr="00485D32" w:rsidRDefault="00F76E8A">
      <w:pPr>
        <w:pStyle w:val="Odstavecseseznamem"/>
        <w:numPr>
          <w:ilvl w:val="1"/>
          <w:numId w:val="15"/>
        </w:numPr>
        <w:rPr>
          <w:rFonts w:cs="Arial"/>
        </w:rPr>
      </w:pPr>
      <w:r w:rsidRPr="00485D32">
        <w:rPr>
          <w:rFonts w:ascii="Arial" w:hAnsi="Arial" w:cs="Arial"/>
          <w:sz w:val="22"/>
          <w:szCs w:val="22"/>
        </w:rPr>
        <w:t xml:space="preserve">výnosy: </w:t>
      </w:r>
      <w:r w:rsidR="0008083D" w:rsidRPr="00485D32">
        <w:rPr>
          <w:rFonts w:ascii="Arial" w:hAnsi="Arial" w:cs="Arial"/>
          <w:sz w:val="22"/>
          <w:szCs w:val="22"/>
        </w:rPr>
        <w:t>6,</w:t>
      </w:r>
      <w:r w:rsidR="0024279E" w:rsidRPr="00485D32">
        <w:rPr>
          <w:rFonts w:ascii="Arial" w:hAnsi="Arial" w:cs="Arial"/>
          <w:sz w:val="22"/>
          <w:szCs w:val="22"/>
        </w:rPr>
        <w:t>510</w:t>
      </w:r>
      <w:r w:rsidR="0008083D" w:rsidRPr="00485D32">
        <w:rPr>
          <w:rFonts w:ascii="Arial" w:hAnsi="Arial" w:cs="Arial"/>
          <w:sz w:val="22"/>
          <w:szCs w:val="22"/>
        </w:rPr>
        <w:t xml:space="preserve"> mld</w:t>
      </w:r>
      <w:r w:rsidRPr="00485D32">
        <w:rPr>
          <w:rFonts w:ascii="Arial" w:hAnsi="Arial" w:cs="Arial"/>
          <w:sz w:val="22"/>
          <w:szCs w:val="22"/>
        </w:rPr>
        <w:t xml:space="preserve">. </w:t>
      </w:r>
      <w:r w:rsidR="007A495F" w:rsidRPr="00485D32">
        <w:rPr>
          <w:rFonts w:ascii="Arial" w:hAnsi="Arial" w:cs="Arial"/>
          <w:sz w:val="22"/>
          <w:szCs w:val="22"/>
        </w:rPr>
        <w:t xml:space="preserve">Kč </w:t>
      </w:r>
      <w:r w:rsidRPr="00485D32">
        <w:rPr>
          <w:rFonts w:ascii="Arial" w:hAnsi="Arial" w:cs="Arial"/>
          <w:sz w:val="22"/>
          <w:szCs w:val="22"/>
        </w:rPr>
        <w:t>(</w:t>
      </w:r>
      <w:r w:rsidR="002871B9" w:rsidRPr="00485D32">
        <w:rPr>
          <w:rFonts w:ascii="Arial" w:hAnsi="Arial" w:cs="Arial"/>
          <w:sz w:val="22"/>
          <w:szCs w:val="22"/>
        </w:rPr>
        <w:t xml:space="preserve">nárůst </w:t>
      </w:r>
      <w:r w:rsidR="005317BE" w:rsidRPr="00485D32">
        <w:rPr>
          <w:rFonts w:ascii="Arial" w:hAnsi="Arial" w:cs="Arial"/>
          <w:sz w:val="22"/>
          <w:szCs w:val="22"/>
        </w:rPr>
        <w:t>2</w:t>
      </w:r>
      <w:r w:rsidRPr="00485D32">
        <w:rPr>
          <w:rFonts w:ascii="Arial" w:hAnsi="Arial" w:cs="Arial"/>
          <w:sz w:val="22"/>
          <w:szCs w:val="22"/>
        </w:rPr>
        <w:t xml:space="preserve"> %)</w:t>
      </w:r>
    </w:p>
    <w:p w14:paraId="196566F8" w14:textId="3FEC01D9" w:rsidR="007A495F" w:rsidRPr="0024279E" w:rsidRDefault="007A495F">
      <w:pPr>
        <w:pStyle w:val="Odstavecseseznamem"/>
        <w:numPr>
          <w:ilvl w:val="1"/>
          <w:numId w:val="15"/>
        </w:numPr>
        <w:rPr>
          <w:rFonts w:cs="Arial"/>
        </w:rPr>
      </w:pPr>
      <w:r w:rsidRPr="0024279E">
        <w:rPr>
          <w:rFonts w:ascii="Arial" w:hAnsi="Arial" w:cs="Arial"/>
          <w:sz w:val="22"/>
          <w:szCs w:val="22"/>
        </w:rPr>
        <w:t xml:space="preserve">náklady: </w:t>
      </w:r>
      <w:r w:rsidR="0024279E">
        <w:rPr>
          <w:rFonts w:ascii="Arial" w:hAnsi="Arial" w:cs="Arial"/>
          <w:sz w:val="22"/>
          <w:szCs w:val="22"/>
        </w:rPr>
        <w:t>6,204</w:t>
      </w:r>
      <w:r w:rsidR="0008083D" w:rsidRPr="0024279E">
        <w:rPr>
          <w:rFonts w:ascii="Arial" w:hAnsi="Arial" w:cs="Arial"/>
          <w:sz w:val="22"/>
          <w:szCs w:val="22"/>
        </w:rPr>
        <w:t xml:space="preserve"> mld</w:t>
      </w:r>
      <w:r w:rsidRPr="0024279E">
        <w:rPr>
          <w:rFonts w:ascii="Arial" w:hAnsi="Arial" w:cs="Arial"/>
          <w:sz w:val="22"/>
          <w:szCs w:val="22"/>
        </w:rPr>
        <w:t>. Kč (</w:t>
      </w:r>
      <w:r w:rsidR="00E525BD" w:rsidRPr="0024279E">
        <w:rPr>
          <w:rFonts w:ascii="Arial" w:hAnsi="Arial" w:cs="Arial"/>
          <w:sz w:val="22"/>
          <w:szCs w:val="22"/>
        </w:rPr>
        <w:t>nárůst</w:t>
      </w:r>
      <w:r w:rsidRPr="0024279E">
        <w:rPr>
          <w:rFonts w:ascii="Arial" w:hAnsi="Arial" w:cs="Arial"/>
          <w:sz w:val="22"/>
          <w:szCs w:val="22"/>
        </w:rPr>
        <w:t xml:space="preserve"> </w:t>
      </w:r>
      <w:r w:rsidR="0077236B">
        <w:rPr>
          <w:rFonts w:ascii="Arial" w:hAnsi="Arial" w:cs="Arial"/>
          <w:sz w:val="22"/>
          <w:szCs w:val="22"/>
        </w:rPr>
        <w:t>0,6</w:t>
      </w:r>
      <w:r w:rsidRPr="0024279E">
        <w:rPr>
          <w:rFonts w:ascii="Arial" w:hAnsi="Arial" w:cs="Arial"/>
          <w:sz w:val="22"/>
          <w:szCs w:val="22"/>
        </w:rPr>
        <w:t xml:space="preserve"> %)</w:t>
      </w:r>
    </w:p>
    <w:p w14:paraId="622BFAC7" w14:textId="6457C96B" w:rsidR="007A495F" w:rsidRPr="00485D32" w:rsidRDefault="007A495F">
      <w:pPr>
        <w:pStyle w:val="Odstavecseseznamem"/>
        <w:numPr>
          <w:ilvl w:val="1"/>
          <w:numId w:val="15"/>
        </w:numPr>
        <w:rPr>
          <w:rFonts w:cs="Arial"/>
        </w:rPr>
      </w:pPr>
      <w:r w:rsidRPr="0024279E">
        <w:rPr>
          <w:rFonts w:ascii="Arial" w:hAnsi="Arial" w:cs="Arial"/>
          <w:sz w:val="22"/>
          <w:szCs w:val="22"/>
        </w:rPr>
        <w:t xml:space="preserve">investice: </w:t>
      </w:r>
      <w:r w:rsidR="009F062D" w:rsidRPr="0024279E">
        <w:rPr>
          <w:rFonts w:ascii="Arial" w:hAnsi="Arial" w:cs="Arial"/>
          <w:sz w:val="22"/>
          <w:szCs w:val="22"/>
        </w:rPr>
        <w:t>2</w:t>
      </w:r>
      <w:r w:rsidR="00F35831" w:rsidRPr="0024279E">
        <w:rPr>
          <w:rFonts w:ascii="Arial" w:hAnsi="Arial" w:cs="Arial"/>
          <w:sz w:val="22"/>
          <w:szCs w:val="22"/>
        </w:rPr>
        <w:t>,</w:t>
      </w:r>
      <w:r w:rsidR="00A31D02">
        <w:rPr>
          <w:rFonts w:ascii="Arial" w:hAnsi="Arial" w:cs="Arial"/>
          <w:sz w:val="22"/>
          <w:szCs w:val="22"/>
        </w:rPr>
        <w:t xml:space="preserve">8 </w:t>
      </w:r>
      <w:r w:rsidRPr="0024279E">
        <w:rPr>
          <w:rFonts w:ascii="Arial" w:hAnsi="Arial" w:cs="Arial"/>
          <w:sz w:val="22"/>
          <w:szCs w:val="22"/>
        </w:rPr>
        <w:t>m</w:t>
      </w:r>
      <w:r w:rsidR="00F35831" w:rsidRPr="0024279E">
        <w:rPr>
          <w:rFonts w:ascii="Arial" w:hAnsi="Arial" w:cs="Arial"/>
          <w:sz w:val="22"/>
          <w:szCs w:val="22"/>
        </w:rPr>
        <w:t xml:space="preserve">ld. </w:t>
      </w:r>
      <w:r w:rsidRPr="0024279E">
        <w:rPr>
          <w:rFonts w:ascii="Arial" w:hAnsi="Arial" w:cs="Arial"/>
          <w:sz w:val="22"/>
          <w:szCs w:val="22"/>
        </w:rPr>
        <w:t>Kč (</w:t>
      </w:r>
      <w:r w:rsidR="00A31D02">
        <w:rPr>
          <w:rFonts w:ascii="Arial" w:hAnsi="Arial" w:cs="Arial"/>
          <w:sz w:val="22"/>
          <w:szCs w:val="22"/>
        </w:rPr>
        <w:t>nárůst</w:t>
      </w:r>
      <w:r w:rsidR="00375ECC" w:rsidRPr="0024279E">
        <w:rPr>
          <w:rFonts w:ascii="Arial" w:hAnsi="Arial" w:cs="Arial"/>
          <w:sz w:val="22"/>
          <w:szCs w:val="22"/>
        </w:rPr>
        <w:t xml:space="preserve"> </w:t>
      </w:r>
      <w:r w:rsidR="00A31D02">
        <w:rPr>
          <w:rFonts w:ascii="Arial" w:hAnsi="Arial" w:cs="Arial"/>
          <w:sz w:val="22"/>
          <w:szCs w:val="22"/>
        </w:rPr>
        <w:t>6</w:t>
      </w:r>
      <w:r w:rsidRPr="0024279E">
        <w:rPr>
          <w:rFonts w:ascii="Arial" w:hAnsi="Arial" w:cs="Arial"/>
          <w:sz w:val="22"/>
          <w:szCs w:val="22"/>
        </w:rPr>
        <w:t xml:space="preserve"> %) – </w:t>
      </w:r>
      <w:r w:rsidRPr="00485D32">
        <w:rPr>
          <w:rFonts w:ascii="Arial" w:hAnsi="Arial" w:cs="Arial"/>
          <w:sz w:val="22"/>
          <w:szCs w:val="22"/>
        </w:rPr>
        <w:t>z toho 1</w:t>
      </w:r>
      <w:r w:rsidR="001E1457" w:rsidRPr="00485D32">
        <w:rPr>
          <w:rFonts w:ascii="Arial" w:hAnsi="Arial" w:cs="Arial"/>
          <w:sz w:val="22"/>
          <w:szCs w:val="22"/>
        </w:rPr>
        <w:t>,3</w:t>
      </w:r>
      <w:r w:rsidRPr="00485D32">
        <w:rPr>
          <w:rFonts w:ascii="Arial" w:hAnsi="Arial" w:cs="Arial"/>
          <w:sz w:val="22"/>
          <w:szCs w:val="22"/>
        </w:rPr>
        <w:t xml:space="preserve"> m</w:t>
      </w:r>
      <w:r w:rsidR="001E1457" w:rsidRPr="00485D32">
        <w:rPr>
          <w:rFonts w:ascii="Arial" w:hAnsi="Arial" w:cs="Arial"/>
          <w:sz w:val="22"/>
          <w:szCs w:val="22"/>
        </w:rPr>
        <w:t>ld.</w:t>
      </w:r>
      <w:r w:rsidRPr="00485D32">
        <w:rPr>
          <w:rFonts w:ascii="Arial" w:hAnsi="Arial" w:cs="Arial"/>
          <w:sz w:val="22"/>
          <w:szCs w:val="22"/>
        </w:rPr>
        <w:t xml:space="preserve"> Kč z vlastních zdrojů (</w:t>
      </w:r>
      <w:r w:rsidR="001E1457" w:rsidRPr="00485D32">
        <w:rPr>
          <w:rFonts w:ascii="Arial" w:hAnsi="Arial" w:cs="Arial"/>
          <w:sz w:val="22"/>
          <w:szCs w:val="22"/>
        </w:rPr>
        <w:t>49</w:t>
      </w:r>
      <w:r w:rsidRPr="00485D32">
        <w:rPr>
          <w:rFonts w:ascii="Arial" w:hAnsi="Arial" w:cs="Arial"/>
          <w:sz w:val="22"/>
          <w:szCs w:val="22"/>
        </w:rPr>
        <w:t xml:space="preserve"> %)</w:t>
      </w:r>
    </w:p>
    <w:p w14:paraId="4C409775" w14:textId="79DD2215" w:rsidR="007A495F" w:rsidRPr="00483809" w:rsidRDefault="007A495F">
      <w:pPr>
        <w:pStyle w:val="Odstavecseseznamem"/>
        <w:numPr>
          <w:ilvl w:val="1"/>
          <w:numId w:val="15"/>
        </w:numPr>
        <w:rPr>
          <w:rFonts w:cs="Arial"/>
        </w:rPr>
      </w:pPr>
      <w:r w:rsidRPr="00483809">
        <w:rPr>
          <w:rFonts w:ascii="Arial" w:hAnsi="Arial" w:cs="Arial"/>
          <w:sz w:val="22"/>
          <w:szCs w:val="22"/>
        </w:rPr>
        <w:t xml:space="preserve">dotace: </w:t>
      </w:r>
      <w:r w:rsidR="00483809" w:rsidRPr="00483809">
        <w:rPr>
          <w:rFonts w:ascii="Arial" w:hAnsi="Arial" w:cs="Arial"/>
          <w:sz w:val="22"/>
          <w:szCs w:val="22"/>
        </w:rPr>
        <w:t>2</w:t>
      </w:r>
      <w:r w:rsidRPr="00483809">
        <w:rPr>
          <w:rFonts w:ascii="Arial" w:hAnsi="Arial" w:cs="Arial"/>
          <w:sz w:val="22"/>
          <w:szCs w:val="22"/>
        </w:rPr>
        <w:t xml:space="preserve"> m</w:t>
      </w:r>
      <w:r w:rsidR="006F1CFD" w:rsidRPr="00483809">
        <w:rPr>
          <w:rFonts w:ascii="Arial" w:hAnsi="Arial" w:cs="Arial"/>
          <w:sz w:val="22"/>
          <w:szCs w:val="22"/>
        </w:rPr>
        <w:t>ld</w:t>
      </w:r>
      <w:r w:rsidRPr="00483809">
        <w:rPr>
          <w:rFonts w:ascii="Arial" w:hAnsi="Arial" w:cs="Arial"/>
          <w:sz w:val="22"/>
          <w:szCs w:val="22"/>
        </w:rPr>
        <w:t>. Kč</w:t>
      </w:r>
    </w:p>
    <w:p w14:paraId="64FF444F" w14:textId="25F3ECAD" w:rsidR="007A495F" w:rsidRPr="00483809" w:rsidRDefault="007A495F">
      <w:pPr>
        <w:pStyle w:val="Odstavecseseznamem"/>
        <w:numPr>
          <w:ilvl w:val="1"/>
          <w:numId w:val="15"/>
        </w:numPr>
        <w:rPr>
          <w:rFonts w:cs="Arial"/>
        </w:rPr>
      </w:pPr>
      <w:r w:rsidRPr="00483809">
        <w:rPr>
          <w:rFonts w:ascii="Arial" w:hAnsi="Arial" w:cs="Arial"/>
          <w:sz w:val="22"/>
          <w:szCs w:val="22"/>
        </w:rPr>
        <w:t>počet MVE: 10</w:t>
      </w:r>
      <w:r w:rsidR="00483809" w:rsidRPr="00483809">
        <w:rPr>
          <w:rFonts w:ascii="Arial" w:hAnsi="Arial" w:cs="Arial"/>
          <w:sz w:val="22"/>
          <w:szCs w:val="22"/>
        </w:rPr>
        <w:t>9</w:t>
      </w:r>
      <w:r w:rsidR="00C212CD" w:rsidRPr="00483809">
        <w:rPr>
          <w:rFonts w:ascii="Arial" w:hAnsi="Arial" w:cs="Arial"/>
          <w:sz w:val="22"/>
          <w:szCs w:val="22"/>
        </w:rPr>
        <w:t xml:space="preserve"> </w:t>
      </w:r>
      <w:r w:rsidRPr="00483809">
        <w:rPr>
          <w:rFonts w:ascii="Arial" w:hAnsi="Arial" w:cs="Arial"/>
          <w:sz w:val="22"/>
          <w:szCs w:val="22"/>
        </w:rPr>
        <w:t>ks</w:t>
      </w:r>
    </w:p>
    <w:p w14:paraId="1957512E" w14:textId="77777777" w:rsidR="00EA4229" w:rsidRPr="00986C0A" w:rsidRDefault="00EA4229" w:rsidP="00076C5F">
      <w:pPr>
        <w:pStyle w:val="Odstavecseseznamem"/>
        <w:rPr>
          <w:rFonts w:ascii="Arial" w:hAnsi="Arial" w:cs="Arial"/>
          <w:sz w:val="22"/>
          <w:szCs w:val="22"/>
        </w:rPr>
      </w:pPr>
    </w:p>
    <w:bookmarkEnd w:id="227"/>
    <w:p w14:paraId="45D208DC" w14:textId="1BED307B" w:rsidR="00DF232B" w:rsidRPr="00986C0A" w:rsidRDefault="00DF232B">
      <w:pPr>
        <w:pStyle w:val="Odstavecseseznamem"/>
        <w:numPr>
          <w:ilvl w:val="0"/>
          <w:numId w:val="15"/>
        </w:numPr>
        <w:rPr>
          <w:rFonts w:ascii="Arial" w:hAnsi="Arial" w:cs="Arial"/>
          <w:sz w:val="22"/>
          <w:szCs w:val="22"/>
        </w:rPr>
      </w:pPr>
      <w:r w:rsidRPr="00986C0A">
        <w:rPr>
          <w:rFonts w:ascii="Arial" w:hAnsi="Arial" w:cs="Arial"/>
          <w:sz w:val="22"/>
          <w:szCs w:val="22"/>
        </w:rPr>
        <w:t xml:space="preserve">Pozemkové úpravy – </w:t>
      </w:r>
      <w:r w:rsidR="00810588" w:rsidRPr="00986C0A">
        <w:rPr>
          <w:rFonts w:ascii="Arial" w:hAnsi="Arial" w:cs="Arial"/>
          <w:sz w:val="22"/>
          <w:szCs w:val="22"/>
        </w:rPr>
        <w:t xml:space="preserve">realizace ve výši </w:t>
      </w:r>
      <w:r w:rsidR="00581FF0" w:rsidRPr="00986C0A">
        <w:rPr>
          <w:rFonts w:ascii="Arial" w:hAnsi="Arial" w:cs="Arial"/>
          <w:sz w:val="22"/>
          <w:szCs w:val="22"/>
        </w:rPr>
        <w:t>0,553</w:t>
      </w:r>
      <w:r w:rsidRPr="00986C0A">
        <w:rPr>
          <w:rFonts w:ascii="Arial" w:hAnsi="Arial" w:cs="Arial"/>
          <w:sz w:val="22"/>
          <w:szCs w:val="22"/>
        </w:rPr>
        <w:t xml:space="preserve"> m</w:t>
      </w:r>
      <w:r w:rsidR="0008083D" w:rsidRPr="00986C0A">
        <w:rPr>
          <w:rFonts w:ascii="Arial" w:hAnsi="Arial" w:cs="Arial"/>
          <w:sz w:val="22"/>
          <w:szCs w:val="22"/>
        </w:rPr>
        <w:t>ld</w:t>
      </w:r>
      <w:r w:rsidRPr="00986C0A">
        <w:rPr>
          <w:rFonts w:ascii="Arial" w:hAnsi="Arial" w:cs="Arial"/>
          <w:sz w:val="22"/>
          <w:szCs w:val="22"/>
        </w:rPr>
        <w:t xml:space="preserve">. Kč, z toho </w:t>
      </w:r>
      <w:r w:rsidR="00581FF0" w:rsidRPr="00986C0A">
        <w:rPr>
          <w:rFonts w:ascii="Arial" w:hAnsi="Arial" w:cs="Arial"/>
          <w:sz w:val="22"/>
          <w:szCs w:val="22"/>
        </w:rPr>
        <w:t>58,6</w:t>
      </w:r>
      <w:r w:rsidRPr="00986C0A">
        <w:rPr>
          <w:rFonts w:ascii="Arial" w:hAnsi="Arial" w:cs="Arial"/>
          <w:sz w:val="22"/>
          <w:szCs w:val="22"/>
        </w:rPr>
        <w:t xml:space="preserve"> m</w:t>
      </w:r>
      <w:r w:rsidR="007A495F" w:rsidRPr="00986C0A">
        <w:rPr>
          <w:rFonts w:ascii="Arial" w:hAnsi="Arial" w:cs="Arial"/>
          <w:sz w:val="22"/>
          <w:szCs w:val="22"/>
        </w:rPr>
        <w:t>i</w:t>
      </w:r>
      <w:r w:rsidRPr="00986C0A">
        <w:rPr>
          <w:rFonts w:ascii="Arial" w:hAnsi="Arial" w:cs="Arial"/>
          <w:sz w:val="22"/>
          <w:szCs w:val="22"/>
        </w:rPr>
        <w:t xml:space="preserve">l. Kč na vodohospodářská opatření, </w:t>
      </w:r>
      <w:r w:rsidR="00986C0A" w:rsidRPr="00986C0A">
        <w:rPr>
          <w:rFonts w:ascii="Arial" w:hAnsi="Arial" w:cs="Arial"/>
          <w:sz w:val="22"/>
          <w:szCs w:val="22"/>
        </w:rPr>
        <w:t>11,3</w:t>
      </w:r>
      <w:r w:rsidR="00261347" w:rsidRPr="00986C0A">
        <w:rPr>
          <w:rFonts w:ascii="Arial" w:hAnsi="Arial" w:cs="Arial"/>
          <w:sz w:val="22"/>
          <w:szCs w:val="22"/>
        </w:rPr>
        <w:t xml:space="preserve"> </w:t>
      </w:r>
      <w:r w:rsidR="007A495F" w:rsidRPr="00986C0A">
        <w:rPr>
          <w:rFonts w:ascii="Arial" w:hAnsi="Arial" w:cs="Arial"/>
          <w:sz w:val="22"/>
          <w:szCs w:val="22"/>
        </w:rPr>
        <w:t>mil</w:t>
      </w:r>
      <w:r w:rsidR="00993372" w:rsidRPr="00986C0A">
        <w:rPr>
          <w:rFonts w:ascii="Arial" w:hAnsi="Arial" w:cs="Arial"/>
          <w:sz w:val="22"/>
          <w:szCs w:val="22"/>
        </w:rPr>
        <w:t>. </w:t>
      </w:r>
      <w:r w:rsidRPr="00986C0A">
        <w:rPr>
          <w:rFonts w:ascii="Arial" w:hAnsi="Arial" w:cs="Arial"/>
          <w:sz w:val="22"/>
          <w:szCs w:val="22"/>
        </w:rPr>
        <w:t>Kč na protierozní opatření</w:t>
      </w:r>
    </w:p>
    <w:p w14:paraId="25AAADC6" w14:textId="77777777" w:rsidR="00DF232B" w:rsidRPr="00485D32" w:rsidRDefault="00DF232B" w:rsidP="00EA4229">
      <w:pPr>
        <w:pStyle w:val="Odstavecseseznamem"/>
        <w:rPr>
          <w:rFonts w:ascii="Arial" w:hAnsi="Arial" w:cs="Arial"/>
          <w:color w:val="FF0000"/>
          <w:sz w:val="22"/>
          <w:szCs w:val="22"/>
        </w:rPr>
      </w:pPr>
    </w:p>
    <w:p w14:paraId="1FD95435" w14:textId="77777777" w:rsidR="00BA5D1F" w:rsidRPr="00485D32" w:rsidRDefault="00BA5D1F">
      <w:pPr>
        <w:pStyle w:val="Odstavecseseznamem"/>
        <w:numPr>
          <w:ilvl w:val="0"/>
          <w:numId w:val="15"/>
        </w:numPr>
        <w:rPr>
          <w:rFonts w:ascii="Arial" w:hAnsi="Arial" w:cs="Arial"/>
          <w:sz w:val="22"/>
          <w:szCs w:val="22"/>
        </w:rPr>
      </w:pPr>
      <w:r w:rsidRPr="00485D32">
        <w:rPr>
          <w:rFonts w:ascii="Arial" w:hAnsi="Arial" w:cs="Arial"/>
          <w:sz w:val="22"/>
          <w:szCs w:val="22"/>
        </w:rPr>
        <w:t>Vodovody a kanalizace:</w:t>
      </w:r>
    </w:p>
    <w:p w14:paraId="6F802F78" w14:textId="7A41A9C8" w:rsidR="00DF232B" w:rsidRPr="00485D32" w:rsidRDefault="00DF232B">
      <w:pPr>
        <w:pStyle w:val="Odstavecseseznamem"/>
        <w:numPr>
          <w:ilvl w:val="1"/>
          <w:numId w:val="15"/>
        </w:numPr>
        <w:rPr>
          <w:rFonts w:ascii="Arial" w:hAnsi="Arial" w:cs="Arial"/>
          <w:sz w:val="22"/>
          <w:szCs w:val="22"/>
        </w:rPr>
      </w:pPr>
      <w:r w:rsidRPr="00485D32">
        <w:rPr>
          <w:rFonts w:ascii="Arial" w:hAnsi="Arial" w:cs="Arial"/>
          <w:sz w:val="22"/>
          <w:szCs w:val="22"/>
        </w:rPr>
        <w:t>Obyvatelstvo</w:t>
      </w:r>
      <w:r w:rsidR="00BA5D1F" w:rsidRPr="00485D32">
        <w:rPr>
          <w:rFonts w:ascii="Arial" w:hAnsi="Arial" w:cs="Arial"/>
          <w:sz w:val="22"/>
          <w:szCs w:val="22"/>
        </w:rPr>
        <w:t xml:space="preserve"> </w:t>
      </w:r>
      <w:r w:rsidRPr="00485D32">
        <w:rPr>
          <w:rFonts w:ascii="Arial" w:hAnsi="Arial" w:cs="Arial"/>
          <w:sz w:val="22"/>
          <w:szCs w:val="22"/>
        </w:rPr>
        <w:t>zásobované pitnou vodou</w:t>
      </w:r>
      <w:r w:rsidR="00BA5D1F" w:rsidRPr="00485D32">
        <w:rPr>
          <w:rFonts w:ascii="Arial" w:hAnsi="Arial" w:cs="Arial"/>
          <w:sz w:val="22"/>
          <w:szCs w:val="22"/>
        </w:rPr>
        <w:t>:</w:t>
      </w:r>
      <w:r w:rsidRPr="00485D32">
        <w:rPr>
          <w:rFonts w:ascii="Arial" w:hAnsi="Arial" w:cs="Arial"/>
          <w:sz w:val="22"/>
          <w:szCs w:val="22"/>
        </w:rPr>
        <w:t xml:space="preserve"> 10,</w:t>
      </w:r>
      <w:r w:rsidR="007E5EE3" w:rsidRPr="00485D32">
        <w:rPr>
          <w:rFonts w:ascii="Arial" w:hAnsi="Arial" w:cs="Arial"/>
          <w:sz w:val="22"/>
          <w:szCs w:val="22"/>
        </w:rPr>
        <w:t>4</w:t>
      </w:r>
      <w:r w:rsidRPr="00485D32">
        <w:rPr>
          <w:rFonts w:ascii="Arial" w:hAnsi="Arial" w:cs="Arial"/>
          <w:sz w:val="22"/>
          <w:szCs w:val="22"/>
        </w:rPr>
        <w:t xml:space="preserve"> mil. (9</w:t>
      </w:r>
      <w:r w:rsidR="003B0315" w:rsidRPr="00485D32">
        <w:rPr>
          <w:rFonts w:ascii="Arial" w:hAnsi="Arial" w:cs="Arial"/>
          <w:sz w:val="22"/>
          <w:szCs w:val="22"/>
        </w:rPr>
        <w:t>5</w:t>
      </w:r>
      <w:r w:rsidR="00562A8D" w:rsidRPr="00485D32">
        <w:rPr>
          <w:rFonts w:ascii="Arial" w:hAnsi="Arial" w:cs="Arial"/>
          <w:sz w:val="22"/>
          <w:szCs w:val="22"/>
        </w:rPr>
        <w:t>,6</w:t>
      </w:r>
      <w:r w:rsidR="003B0315" w:rsidRPr="00485D32">
        <w:rPr>
          <w:rFonts w:ascii="Arial" w:hAnsi="Arial" w:cs="Arial"/>
          <w:sz w:val="22"/>
          <w:szCs w:val="22"/>
        </w:rPr>
        <w:t xml:space="preserve"> </w:t>
      </w:r>
      <w:r w:rsidRPr="00485D32">
        <w:rPr>
          <w:rFonts w:ascii="Arial" w:hAnsi="Arial" w:cs="Arial"/>
          <w:sz w:val="22"/>
          <w:szCs w:val="22"/>
        </w:rPr>
        <w:t>%)</w:t>
      </w:r>
      <w:r w:rsidR="00BA5D1F" w:rsidRPr="00485D32">
        <w:rPr>
          <w:rFonts w:ascii="Arial" w:hAnsi="Arial" w:cs="Arial"/>
          <w:sz w:val="22"/>
          <w:szCs w:val="22"/>
        </w:rPr>
        <w:t>, připojené na kanalizaci – 9,</w:t>
      </w:r>
      <w:r w:rsidR="001733BE" w:rsidRPr="00485D32">
        <w:rPr>
          <w:rFonts w:ascii="Arial" w:hAnsi="Arial" w:cs="Arial"/>
          <w:sz w:val="22"/>
          <w:szCs w:val="22"/>
        </w:rPr>
        <w:t>8</w:t>
      </w:r>
      <w:r w:rsidR="00BA5D1F" w:rsidRPr="00485D32">
        <w:rPr>
          <w:rFonts w:ascii="Arial" w:hAnsi="Arial" w:cs="Arial"/>
          <w:sz w:val="22"/>
          <w:szCs w:val="22"/>
        </w:rPr>
        <w:t xml:space="preserve"> mil. (</w:t>
      </w:r>
      <w:r w:rsidR="003B0315" w:rsidRPr="00485D32">
        <w:rPr>
          <w:rFonts w:ascii="Arial" w:hAnsi="Arial" w:cs="Arial"/>
          <w:sz w:val="22"/>
          <w:szCs w:val="22"/>
        </w:rPr>
        <w:t>9</w:t>
      </w:r>
      <w:r w:rsidR="002E2A95" w:rsidRPr="00485D32">
        <w:rPr>
          <w:rFonts w:ascii="Arial" w:hAnsi="Arial" w:cs="Arial"/>
          <w:sz w:val="22"/>
          <w:szCs w:val="22"/>
        </w:rPr>
        <w:t>0</w:t>
      </w:r>
      <w:r w:rsidR="00127A47" w:rsidRPr="00485D32">
        <w:rPr>
          <w:rFonts w:ascii="Arial" w:hAnsi="Arial" w:cs="Arial"/>
          <w:sz w:val="22"/>
          <w:szCs w:val="22"/>
        </w:rPr>
        <w:t>,8</w:t>
      </w:r>
      <w:r w:rsidR="00BA5D1F" w:rsidRPr="00485D32">
        <w:rPr>
          <w:rFonts w:ascii="Arial" w:hAnsi="Arial" w:cs="Arial"/>
          <w:sz w:val="22"/>
          <w:szCs w:val="22"/>
        </w:rPr>
        <w:t xml:space="preserve"> %)</w:t>
      </w:r>
    </w:p>
    <w:p w14:paraId="23AA13F8" w14:textId="1D5455DA" w:rsidR="00DF232B" w:rsidRPr="00485D32" w:rsidRDefault="00DF232B">
      <w:pPr>
        <w:pStyle w:val="Odstavecseseznamem"/>
        <w:numPr>
          <w:ilvl w:val="1"/>
          <w:numId w:val="15"/>
        </w:numPr>
        <w:rPr>
          <w:rFonts w:ascii="Arial" w:hAnsi="Arial" w:cs="Arial"/>
          <w:sz w:val="22"/>
          <w:szCs w:val="22"/>
        </w:rPr>
      </w:pPr>
      <w:r w:rsidRPr="00485D32">
        <w:rPr>
          <w:rFonts w:ascii="Arial" w:hAnsi="Arial" w:cs="Arial"/>
          <w:sz w:val="22"/>
          <w:szCs w:val="22"/>
        </w:rPr>
        <w:t xml:space="preserve">Spotřeba vody – voda fakturovaná domácnostem – </w:t>
      </w:r>
      <w:r w:rsidR="006321C0" w:rsidRPr="00485D32">
        <w:rPr>
          <w:rFonts w:ascii="Arial" w:hAnsi="Arial" w:cs="Arial"/>
          <w:sz w:val="22"/>
          <w:szCs w:val="22"/>
        </w:rPr>
        <w:t>8</w:t>
      </w:r>
      <w:r w:rsidR="00A15FDB" w:rsidRPr="00485D32">
        <w:rPr>
          <w:rFonts w:ascii="Arial" w:hAnsi="Arial" w:cs="Arial"/>
          <w:sz w:val="22"/>
          <w:szCs w:val="22"/>
        </w:rPr>
        <w:t>9,7</w:t>
      </w:r>
      <w:r w:rsidRPr="00485D32">
        <w:rPr>
          <w:rFonts w:ascii="Arial" w:hAnsi="Arial" w:cs="Arial"/>
          <w:sz w:val="22"/>
          <w:szCs w:val="22"/>
        </w:rPr>
        <w:t xml:space="preserve"> l/os/den (meziroční </w:t>
      </w:r>
      <w:r w:rsidR="00333A6F" w:rsidRPr="00485D32">
        <w:rPr>
          <w:rFonts w:ascii="Arial" w:hAnsi="Arial" w:cs="Arial"/>
          <w:sz w:val="22"/>
          <w:szCs w:val="22"/>
        </w:rPr>
        <w:t>nárůst</w:t>
      </w:r>
      <w:r w:rsidRPr="00485D32">
        <w:rPr>
          <w:rFonts w:ascii="Arial" w:hAnsi="Arial" w:cs="Arial"/>
          <w:sz w:val="22"/>
          <w:szCs w:val="22"/>
        </w:rPr>
        <w:t xml:space="preserve"> </w:t>
      </w:r>
      <w:r w:rsidR="00333A6F" w:rsidRPr="00485D32">
        <w:rPr>
          <w:rFonts w:ascii="Arial" w:hAnsi="Arial" w:cs="Arial"/>
          <w:sz w:val="22"/>
          <w:szCs w:val="22"/>
        </w:rPr>
        <w:br/>
      </w:r>
      <w:r w:rsidRPr="00485D32">
        <w:rPr>
          <w:rFonts w:ascii="Arial" w:hAnsi="Arial" w:cs="Arial"/>
          <w:sz w:val="22"/>
          <w:szCs w:val="22"/>
        </w:rPr>
        <w:t xml:space="preserve">o </w:t>
      </w:r>
      <w:r w:rsidR="00E86D9D" w:rsidRPr="00485D32">
        <w:rPr>
          <w:rFonts w:ascii="Arial" w:hAnsi="Arial" w:cs="Arial"/>
          <w:sz w:val="22"/>
          <w:szCs w:val="22"/>
        </w:rPr>
        <w:t>1,</w:t>
      </w:r>
      <w:r w:rsidR="00A15FDB" w:rsidRPr="00485D32">
        <w:rPr>
          <w:rFonts w:ascii="Arial" w:hAnsi="Arial" w:cs="Arial"/>
          <w:sz w:val="22"/>
          <w:szCs w:val="22"/>
        </w:rPr>
        <w:t>4</w:t>
      </w:r>
      <w:r w:rsidRPr="00485D32">
        <w:rPr>
          <w:rFonts w:ascii="Arial" w:hAnsi="Arial" w:cs="Arial"/>
          <w:sz w:val="22"/>
          <w:szCs w:val="22"/>
        </w:rPr>
        <w:t xml:space="preserve"> l/os/den) </w:t>
      </w:r>
    </w:p>
    <w:p w14:paraId="4ECCD0DB" w14:textId="59093019" w:rsidR="00DF232B" w:rsidRPr="00485D32" w:rsidRDefault="00DF232B">
      <w:pPr>
        <w:pStyle w:val="Odstavecseseznamem"/>
        <w:numPr>
          <w:ilvl w:val="1"/>
          <w:numId w:val="15"/>
        </w:numPr>
        <w:rPr>
          <w:rFonts w:ascii="Arial" w:hAnsi="Arial" w:cs="Arial"/>
          <w:sz w:val="22"/>
          <w:szCs w:val="22"/>
        </w:rPr>
      </w:pPr>
      <w:r w:rsidRPr="00485D32">
        <w:rPr>
          <w:rFonts w:ascii="Arial" w:hAnsi="Arial" w:cs="Arial"/>
          <w:sz w:val="22"/>
          <w:szCs w:val="22"/>
        </w:rPr>
        <w:t xml:space="preserve">Délka vodovodní sítě </w:t>
      </w:r>
      <w:r w:rsidR="00156041" w:rsidRPr="00485D32">
        <w:rPr>
          <w:rFonts w:ascii="Arial" w:hAnsi="Arial" w:cs="Arial"/>
          <w:sz w:val="22"/>
          <w:szCs w:val="22"/>
        </w:rPr>
        <w:t>8</w:t>
      </w:r>
      <w:r w:rsidR="00127A47" w:rsidRPr="00485D32">
        <w:rPr>
          <w:rFonts w:ascii="Arial" w:hAnsi="Arial" w:cs="Arial"/>
          <w:sz w:val="22"/>
          <w:szCs w:val="22"/>
        </w:rPr>
        <w:t>4 703</w:t>
      </w:r>
      <w:r w:rsidR="00161D96" w:rsidRPr="00485D32">
        <w:rPr>
          <w:rFonts w:ascii="Arial" w:hAnsi="Arial" w:cs="Arial"/>
          <w:sz w:val="22"/>
          <w:szCs w:val="22"/>
        </w:rPr>
        <w:t xml:space="preserve"> </w:t>
      </w:r>
      <w:r w:rsidRPr="00485D32">
        <w:rPr>
          <w:rFonts w:ascii="Arial" w:hAnsi="Arial" w:cs="Arial"/>
          <w:sz w:val="22"/>
          <w:szCs w:val="22"/>
        </w:rPr>
        <w:t xml:space="preserve">km (prodlouženo o </w:t>
      </w:r>
      <w:r w:rsidR="00127A47" w:rsidRPr="00485D32">
        <w:rPr>
          <w:rFonts w:ascii="Arial" w:hAnsi="Arial" w:cs="Arial"/>
          <w:sz w:val="22"/>
          <w:szCs w:val="22"/>
        </w:rPr>
        <w:t>836</w:t>
      </w:r>
      <w:r w:rsidR="00156041" w:rsidRPr="00485D32">
        <w:rPr>
          <w:rFonts w:ascii="Arial" w:hAnsi="Arial" w:cs="Arial"/>
          <w:sz w:val="22"/>
          <w:szCs w:val="22"/>
        </w:rPr>
        <w:t xml:space="preserve"> </w:t>
      </w:r>
      <w:r w:rsidRPr="00485D32">
        <w:rPr>
          <w:rFonts w:ascii="Arial" w:hAnsi="Arial" w:cs="Arial"/>
          <w:sz w:val="22"/>
          <w:szCs w:val="22"/>
        </w:rPr>
        <w:t>km</w:t>
      </w:r>
      <w:r w:rsidR="00DE6A45" w:rsidRPr="00485D32">
        <w:rPr>
          <w:rFonts w:ascii="Arial" w:hAnsi="Arial" w:cs="Arial"/>
          <w:sz w:val="22"/>
          <w:szCs w:val="22"/>
        </w:rPr>
        <w:t xml:space="preserve"> oproti </w:t>
      </w:r>
      <w:r w:rsidR="00BA5D1F" w:rsidRPr="00485D32">
        <w:rPr>
          <w:rFonts w:ascii="Arial" w:hAnsi="Arial" w:cs="Arial"/>
          <w:sz w:val="22"/>
          <w:szCs w:val="22"/>
        </w:rPr>
        <w:t xml:space="preserve">předchozímu </w:t>
      </w:r>
      <w:r w:rsidR="00DE6A45" w:rsidRPr="00485D32">
        <w:rPr>
          <w:rFonts w:ascii="Arial" w:hAnsi="Arial" w:cs="Arial"/>
          <w:sz w:val="22"/>
          <w:szCs w:val="22"/>
        </w:rPr>
        <w:t>roku</w:t>
      </w:r>
      <w:r w:rsidRPr="00485D32">
        <w:rPr>
          <w:rFonts w:ascii="Arial" w:hAnsi="Arial" w:cs="Arial"/>
          <w:sz w:val="22"/>
          <w:szCs w:val="22"/>
        </w:rPr>
        <w:t>)</w:t>
      </w:r>
    </w:p>
    <w:p w14:paraId="22755181" w14:textId="5036ACF0" w:rsidR="00DF232B" w:rsidRPr="00485D32" w:rsidRDefault="00DF232B">
      <w:pPr>
        <w:pStyle w:val="Odstavecseseznamem"/>
        <w:numPr>
          <w:ilvl w:val="1"/>
          <w:numId w:val="15"/>
        </w:numPr>
        <w:rPr>
          <w:rFonts w:ascii="Arial" w:hAnsi="Arial" w:cs="Arial"/>
          <w:sz w:val="22"/>
          <w:szCs w:val="22"/>
        </w:rPr>
      </w:pPr>
      <w:r w:rsidRPr="00485D32">
        <w:rPr>
          <w:rFonts w:ascii="Arial" w:hAnsi="Arial" w:cs="Arial"/>
          <w:sz w:val="22"/>
          <w:szCs w:val="22"/>
        </w:rPr>
        <w:t xml:space="preserve">Délka kanalizační sítě </w:t>
      </w:r>
      <w:r w:rsidR="0008083D" w:rsidRPr="00485D32">
        <w:rPr>
          <w:rFonts w:ascii="Arial" w:hAnsi="Arial" w:cs="Arial"/>
          <w:sz w:val="22"/>
          <w:szCs w:val="22"/>
        </w:rPr>
        <w:t>5</w:t>
      </w:r>
      <w:r w:rsidR="00CC04BA" w:rsidRPr="00485D32">
        <w:rPr>
          <w:rFonts w:ascii="Arial" w:hAnsi="Arial" w:cs="Arial"/>
          <w:sz w:val="22"/>
          <w:szCs w:val="22"/>
        </w:rPr>
        <w:t>6 111</w:t>
      </w:r>
      <w:r w:rsidR="00BA5D1F" w:rsidRPr="00485D32">
        <w:rPr>
          <w:rFonts w:ascii="Arial" w:hAnsi="Arial" w:cs="Arial"/>
          <w:sz w:val="22"/>
          <w:szCs w:val="22"/>
        </w:rPr>
        <w:t xml:space="preserve"> </w:t>
      </w:r>
      <w:r w:rsidRPr="00485D32">
        <w:rPr>
          <w:rFonts w:ascii="Arial" w:hAnsi="Arial" w:cs="Arial"/>
          <w:sz w:val="22"/>
          <w:szCs w:val="22"/>
        </w:rPr>
        <w:t xml:space="preserve">km (prodlouženo o </w:t>
      </w:r>
      <w:r w:rsidR="00870CCB" w:rsidRPr="00485D32">
        <w:rPr>
          <w:rFonts w:ascii="Arial" w:hAnsi="Arial" w:cs="Arial"/>
          <w:sz w:val="22"/>
          <w:szCs w:val="22"/>
        </w:rPr>
        <w:t>3 05</w:t>
      </w:r>
      <w:r w:rsidR="00310BE0" w:rsidRPr="00485D32">
        <w:rPr>
          <w:rFonts w:ascii="Arial" w:hAnsi="Arial" w:cs="Arial"/>
          <w:sz w:val="22"/>
          <w:szCs w:val="22"/>
        </w:rPr>
        <w:t>2</w:t>
      </w:r>
      <w:r w:rsidR="00156041" w:rsidRPr="00485D32">
        <w:rPr>
          <w:rFonts w:ascii="Arial" w:hAnsi="Arial" w:cs="Arial"/>
          <w:sz w:val="22"/>
          <w:szCs w:val="22"/>
        </w:rPr>
        <w:t xml:space="preserve"> </w:t>
      </w:r>
      <w:r w:rsidRPr="00485D32">
        <w:rPr>
          <w:rFonts w:ascii="Arial" w:hAnsi="Arial" w:cs="Arial"/>
          <w:sz w:val="22"/>
          <w:szCs w:val="22"/>
        </w:rPr>
        <w:t>km</w:t>
      </w:r>
      <w:r w:rsidR="00DE6A45" w:rsidRPr="00485D32">
        <w:rPr>
          <w:rFonts w:ascii="Arial" w:hAnsi="Arial" w:cs="Arial"/>
          <w:sz w:val="22"/>
          <w:szCs w:val="22"/>
        </w:rPr>
        <w:t xml:space="preserve"> oproti </w:t>
      </w:r>
      <w:r w:rsidR="00BA5D1F" w:rsidRPr="00485D32">
        <w:rPr>
          <w:rFonts w:ascii="Arial" w:hAnsi="Arial" w:cs="Arial"/>
          <w:sz w:val="22"/>
          <w:szCs w:val="22"/>
        </w:rPr>
        <w:t xml:space="preserve">předchozímu </w:t>
      </w:r>
      <w:r w:rsidR="00DE6A45" w:rsidRPr="00485D32">
        <w:rPr>
          <w:rFonts w:ascii="Arial" w:hAnsi="Arial" w:cs="Arial"/>
          <w:sz w:val="22"/>
          <w:szCs w:val="22"/>
        </w:rPr>
        <w:t>roku</w:t>
      </w:r>
      <w:r w:rsidRPr="00485D32">
        <w:rPr>
          <w:rFonts w:ascii="Arial" w:hAnsi="Arial" w:cs="Arial"/>
          <w:sz w:val="22"/>
          <w:szCs w:val="22"/>
        </w:rPr>
        <w:t>)</w:t>
      </w:r>
    </w:p>
    <w:p w14:paraId="09C48394" w14:textId="667F59CD" w:rsidR="00DF232B" w:rsidRPr="00485D32" w:rsidRDefault="00DF232B">
      <w:pPr>
        <w:pStyle w:val="Odstavecseseznamem"/>
        <w:numPr>
          <w:ilvl w:val="1"/>
          <w:numId w:val="15"/>
        </w:numPr>
        <w:rPr>
          <w:rFonts w:ascii="Arial" w:hAnsi="Arial" w:cs="Arial"/>
          <w:sz w:val="22"/>
          <w:szCs w:val="22"/>
        </w:rPr>
      </w:pPr>
      <w:r w:rsidRPr="00485D32">
        <w:rPr>
          <w:rFonts w:ascii="Arial" w:hAnsi="Arial" w:cs="Arial"/>
          <w:sz w:val="22"/>
          <w:szCs w:val="22"/>
        </w:rPr>
        <w:t>Počet čistíren odpadních vod</w:t>
      </w:r>
      <w:r w:rsidR="00156041" w:rsidRPr="00485D32">
        <w:rPr>
          <w:rFonts w:ascii="Arial" w:hAnsi="Arial" w:cs="Arial"/>
          <w:sz w:val="22"/>
          <w:szCs w:val="22"/>
        </w:rPr>
        <w:t>:</w:t>
      </w:r>
      <w:r w:rsidRPr="00485D32">
        <w:rPr>
          <w:rFonts w:ascii="Arial" w:hAnsi="Arial" w:cs="Arial"/>
          <w:sz w:val="22"/>
          <w:szCs w:val="22"/>
        </w:rPr>
        <w:t xml:space="preserve"> </w:t>
      </w:r>
      <w:r w:rsidR="00870CCB" w:rsidRPr="00485D32">
        <w:rPr>
          <w:rFonts w:ascii="Arial" w:hAnsi="Arial" w:cs="Arial"/>
          <w:sz w:val="22"/>
          <w:szCs w:val="22"/>
        </w:rPr>
        <w:t xml:space="preserve">3 </w:t>
      </w:r>
      <w:r w:rsidR="00AA0FBD" w:rsidRPr="00485D32">
        <w:rPr>
          <w:rFonts w:ascii="Arial" w:hAnsi="Arial" w:cs="Arial"/>
          <w:sz w:val="22"/>
          <w:szCs w:val="22"/>
        </w:rPr>
        <w:t>4</w:t>
      </w:r>
      <w:r w:rsidR="00F5448E" w:rsidRPr="00485D32">
        <w:rPr>
          <w:rFonts w:ascii="Arial" w:hAnsi="Arial" w:cs="Arial"/>
          <w:sz w:val="22"/>
          <w:szCs w:val="22"/>
        </w:rPr>
        <w:t>89</w:t>
      </w:r>
      <w:r w:rsidR="00B06BC3" w:rsidRPr="00485D32">
        <w:rPr>
          <w:rFonts w:ascii="Arial" w:hAnsi="Arial" w:cs="Arial"/>
          <w:sz w:val="22"/>
          <w:szCs w:val="22"/>
        </w:rPr>
        <w:t xml:space="preserve"> </w:t>
      </w:r>
      <w:r w:rsidRPr="00485D32">
        <w:rPr>
          <w:rFonts w:ascii="Arial" w:hAnsi="Arial" w:cs="Arial"/>
          <w:sz w:val="22"/>
          <w:szCs w:val="22"/>
        </w:rPr>
        <w:t>(</w:t>
      </w:r>
      <w:r w:rsidR="00BA5D1F" w:rsidRPr="00485D32">
        <w:rPr>
          <w:rFonts w:ascii="Arial" w:hAnsi="Arial" w:cs="Arial"/>
          <w:sz w:val="22"/>
          <w:szCs w:val="22"/>
        </w:rPr>
        <w:t xml:space="preserve">nárůst </w:t>
      </w:r>
      <w:r w:rsidRPr="00485D32">
        <w:rPr>
          <w:rFonts w:ascii="Arial" w:hAnsi="Arial" w:cs="Arial"/>
          <w:sz w:val="22"/>
          <w:szCs w:val="22"/>
        </w:rPr>
        <w:t xml:space="preserve">o </w:t>
      </w:r>
      <w:r w:rsidR="00F5448E" w:rsidRPr="00485D32">
        <w:rPr>
          <w:rFonts w:ascii="Arial" w:hAnsi="Arial" w:cs="Arial"/>
          <w:sz w:val="22"/>
          <w:szCs w:val="22"/>
        </w:rPr>
        <w:t>73</w:t>
      </w:r>
      <w:r w:rsidR="00B06BC3" w:rsidRPr="00485D32">
        <w:rPr>
          <w:rFonts w:ascii="Arial" w:hAnsi="Arial" w:cs="Arial"/>
          <w:sz w:val="22"/>
          <w:szCs w:val="22"/>
        </w:rPr>
        <w:t xml:space="preserve"> </w:t>
      </w:r>
      <w:r w:rsidR="00DE6A45" w:rsidRPr="00485D32">
        <w:rPr>
          <w:rFonts w:ascii="Arial" w:hAnsi="Arial" w:cs="Arial"/>
          <w:sz w:val="22"/>
          <w:szCs w:val="22"/>
        </w:rPr>
        <w:t xml:space="preserve">oproti </w:t>
      </w:r>
      <w:r w:rsidR="00BA5D1F" w:rsidRPr="00485D32">
        <w:rPr>
          <w:rFonts w:ascii="Arial" w:hAnsi="Arial" w:cs="Arial"/>
          <w:sz w:val="22"/>
          <w:szCs w:val="22"/>
        </w:rPr>
        <w:t xml:space="preserve">předchozímu </w:t>
      </w:r>
      <w:r w:rsidR="00DE6A45" w:rsidRPr="00485D32">
        <w:rPr>
          <w:rFonts w:ascii="Arial" w:hAnsi="Arial" w:cs="Arial"/>
          <w:sz w:val="22"/>
          <w:szCs w:val="22"/>
        </w:rPr>
        <w:t>roku</w:t>
      </w:r>
      <w:r w:rsidRPr="00485D32">
        <w:rPr>
          <w:rFonts w:ascii="Arial" w:hAnsi="Arial" w:cs="Arial"/>
          <w:sz w:val="22"/>
          <w:szCs w:val="22"/>
        </w:rPr>
        <w:t>)</w:t>
      </w:r>
    </w:p>
    <w:p w14:paraId="52F883B4" w14:textId="3EA4EC8F" w:rsidR="00DF232B" w:rsidRPr="00485D32" w:rsidRDefault="00DF232B">
      <w:pPr>
        <w:pStyle w:val="Odstavecseseznamem"/>
        <w:numPr>
          <w:ilvl w:val="1"/>
          <w:numId w:val="15"/>
        </w:numPr>
        <w:rPr>
          <w:rFonts w:cs="Arial"/>
        </w:rPr>
      </w:pPr>
      <w:r w:rsidRPr="00485D32">
        <w:rPr>
          <w:rFonts w:ascii="Arial" w:hAnsi="Arial" w:cs="Arial"/>
          <w:sz w:val="22"/>
          <w:szCs w:val="22"/>
        </w:rPr>
        <w:t xml:space="preserve">Vodné: průměrná cena – </w:t>
      </w:r>
      <w:r w:rsidR="0072125A" w:rsidRPr="00485D32">
        <w:rPr>
          <w:rFonts w:ascii="Arial" w:hAnsi="Arial" w:cs="Arial"/>
          <w:sz w:val="22"/>
          <w:szCs w:val="22"/>
        </w:rPr>
        <w:t>5</w:t>
      </w:r>
      <w:r w:rsidR="00F5448E" w:rsidRPr="00485D32">
        <w:rPr>
          <w:rFonts w:ascii="Arial" w:hAnsi="Arial" w:cs="Arial"/>
          <w:sz w:val="22"/>
          <w:szCs w:val="22"/>
        </w:rPr>
        <w:t>9,95</w:t>
      </w:r>
      <w:r w:rsidRPr="00485D32">
        <w:rPr>
          <w:rFonts w:ascii="Arial" w:hAnsi="Arial" w:cs="Arial"/>
          <w:sz w:val="22"/>
          <w:szCs w:val="22"/>
        </w:rPr>
        <w:t xml:space="preserve"> Kč/m</w:t>
      </w:r>
      <w:r w:rsidRPr="00485D32">
        <w:rPr>
          <w:rFonts w:ascii="Arial" w:hAnsi="Arial" w:cs="Arial"/>
          <w:sz w:val="22"/>
          <w:szCs w:val="22"/>
          <w:vertAlign w:val="superscript"/>
        </w:rPr>
        <w:t>3</w:t>
      </w:r>
      <w:r w:rsidRPr="00485D32">
        <w:rPr>
          <w:rFonts w:ascii="Arial" w:hAnsi="Arial" w:cs="Arial"/>
          <w:sz w:val="22"/>
          <w:szCs w:val="22"/>
        </w:rPr>
        <w:t xml:space="preserve"> </w:t>
      </w:r>
    </w:p>
    <w:p w14:paraId="22E18069" w14:textId="3D365BA9" w:rsidR="00DF232B" w:rsidRPr="00485D32" w:rsidRDefault="00DF232B">
      <w:pPr>
        <w:pStyle w:val="Odstavecseseznamem"/>
        <w:numPr>
          <w:ilvl w:val="1"/>
          <w:numId w:val="15"/>
        </w:numPr>
        <w:rPr>
          <w:rFonts w:ascii="Arial" w:hAnsi="Arial" w:cs="Arial"/>
          <w:sz w:val="22"/>
          <w:szCs w:val="22"/>
        </w:rPr>
      </w:pPr>
      <w:r w:rsidRPr="00485D32">
        <w:rPr>
          <w:rFonts w:ascii="Arial" w:hAnsi="Arial" w:cs="Arial"/>
          <w:sz w:val="22"/>
          <w:szCs w:val="22"/>
        </w:rPr>
        <w:t xml:space="preserve">Stočné: průměrná cena – </w:t>
      </w:r>
      <w:r w:rsidR="0072125A" w:rsidRPr="00485D32">
        <w:rPr>
          <w:rFonts w:ascii="Arial" w:hAnsi="Arial" w:cs="Arial"/>
          <w:sz w:val="22"/>
          <w:szCs w:val="22"/>
        </w:rPr>
        <w:t>5</w:t>
      </w:r>
      <w:r w:rsidR="00F5448E" w:rsidRPr="00485D32">
        <w:rPr>
          <w:rFonts w:ascii="Arial" w:hAnsi="Arial" w:cs="Arial"/>
          <w:sz w:val="22"/>
          <w:szCs w:val="22"/>
        </w:rPr>
        <w:t>4,16</w:t>
      </w:r>
      <w:r w:rsidR="006321C0" w:rsidRPr="00485D32">
        <w:rPr>
          <w:rFonts w:ascii="Arial" w:hAnsi="Arial" w:cs="Arial"/>
          <w:sz w:val="22"/>
          <w:szCs w:val="22"/>
        </w:rPr>
        <w:t xml:space="preserve"> </w:t>
      </w:r>
      <w:r w:rsidRPr="00485D32">
        <w:rPr>
          <w:rFonts w:ascii="Arial" w:hAnsi="Arial" w:cs="Arial"/>
          <w:sz w:val="22"/>
          <w:szCs w:val="22"/>
        </w:rPr>
        <w:t>Kč/m</w:t>
      </w:r>
      <w:r w:rsidRPr="00485D32">
        <w:rPr>
          <w:rFonts w:ascii="Arial" w:hAnsi="Arial" w:cs="Arial"/>
          <w:sz w:val="22"/>
          <w:szCs w:val="22"/>
          <w:vertAlign w:val="superscript"/>
        </w:rPr>
        <w:t>3</w:t>
      </w:r>
      <w:r w:rsidRPr="00485D32">
        <w:rPr>
          <w:rFonts w:ascii="Arial" w:hAnsi="Arial" w:cs="Arial"/>
          <w:sz w:val="22"/>
          <w:szCs w:val="22"/>
        </w:rPr>
        <w:t xml:space="preserve"> </w:t>
      </w:r>
    </w:p>
    <w:p w14:paraId="400804D3" w14:textId="77777777" w:rsidR="000A6887" w:rsidRPr="00104F7D" w:rsidRDefault="000A6887" w:rsidP="00EA4229">
      <w:pPr>
        <w:pStyle w:val="Odstavecseseznamem"/>
        <w:rPr>
          <w:rFonts w:ascii="Arial" w:hAnsi="Arial" w:cs="Arial"/>
          <w:color w:val="FF0000"/>
          <w:sz w:val="22"/>
          <w:szCs w:val="22"/>
          <w:highlight w:val="yellow"/>
        </w:rPr>
      </w:pPr>
    </w:p>
    <w:p w14:paraId="0EADF3D6" w14:textId="4C5817A3" w:rsidR="00DF232B" w:rsidRPr="00817709" w:rsidRDefault="00DF232B">
      <w:pPr>
        <w:pStyle w:val="Odstavecseseznamem"/>
        <w:numPr>
          <w:ilvl w:val="0"/>
          <w:numId w:val="15"/>
        </w:numPr>
        <w:rPr>
          <w:rFonts w:ascii="Arial" w:hAnsi="Arial" w:cs="Arial"/>
          <w:sz w:val="22"/>
          <w:szCs w:val="22"/>
        </w:rPr>
      </w:pPr>
      <w:r w:rsidRPr="00817709">
        <w:rPr>
          <w:rFonts w:ascii="Arial" w:hAnsi="Arial" w:cs="Arial"/>
          <w:sz w:val="22"/>
          <w:szCs w:val="22"/>
        </w:rPr>
        <w:t xml:space="preserve">Státní finanční podpora v oblasti vodního hospodářství – </w:t>
      </w:r>
      <w:r w:rsidR="007C7112">
        <w:rPr>
          <w:rFonts w:ascii="Arial" w:hAnsi="Arial" w:cs="Arial"/>
          <w:sz w:val="22"/>
          <w:szCs w:val="22"/>
        </w:rPr>
        <w:t>12,8</w:t>
      </w:r>
      <w:r w:rsidRPr="00817709">
        <w:rPr>
          <w:rFonts w:ascii="Arial" w:hAnsi="Arial" w:cs="Arial"/>
          <w:sz w:val="22"/>
          <w:szCs w:val="22"/>
        </w:rPr>
        <w:t xml:space="preserve"> m</w:t>
      </w:r>
      <w:r w:rsidR="009746E3" w:rsidRPr="00817709">
        <w:rPr>
          <w:rFonts w:ascii="Arial" w:hAnsi="Arial" w:cs="Arial"/>
          <w:sz w:val="22"/>
          <w:szCs w:val="22"/>
        </w:rPr>
        <w:t>ld</w:t>
      </w:r>
      <w:r w:rsidRPr="00817709">
        <w:rPr>
          <w:rFonts w:ascii="Arial" w:hAnsi="Arial" w:cs="Arial"/>
          <w:sz w:val="22"/>
          <w:szCs w:val="22"/>
        </w:rPr>
        <w:t>. Kč</w:t>
      </w:r>
      <w:r w:rsidR="00C75C2A" w:rsidRPr="00817709">
        <w:rPr>
          <w:rFonts w:ascii="Arial" w:hAnsi="Arial" w:cs="Arial"/>
          <w:sz w:val="22"/>
          <w:szCs w:val="22"/>
        </w:rPr>
        <w:t xml:space="preserve"> </w:t>
      </w:r>
    </w:p>
    <w:p w14:paraId="427022C6" w14:textId="209B864A" w:rsidR="00E259C6" w:rsidRPr="00817709" w:rsidRDefault="00DF232B">
      <w:pPr>
        <w:pStyle w:val="Odstavecseseznamem"/>
        <w:numPr>
          <w:ilvl w:val="1"/>
          <w:numId w:val="15"/>
        </w:numPr>
        <w:rPr>
          <w:rFonts w:ascii="Arial" w:hAnsi="Arial" w:cs="Arial"/>
          <w:sz w:val="22"/>
          <w:szCs w:val="22"/>
        </w:rPr>
      </w:pPr>
      <w:r w:rsidRPr="00817709">
        <w:rPr>
          <w:rFonts w:ascii="Arial" w:hAnsi="Arial" w:cs="Arial"/>
          <w:sz w:val="22"/>
          <w:szCs w:val="22"/>
        </w:rPr>
        <w:t xml:space="preserve">Programy Ministerstva zemědělství </w:t>
      </w:r>
      <w:r w:rsidR="007C7112" w:rsidRPr="00817709">
        <w:rPr>
          <w:rFonts w:ascii="Arial" w:hAnsi="Arial" w:cs="Arial"/>
          <w:sz w:val="22"/>
          <w:szCs w:val="22"/>
        </w:rPr>
        <w:t xml:space="preserve">– </w:t>
      </w:r>
      <w:r w:rsidR="007C7112">
        <w:rPr>
          <w:rFonts w:ascii="Arial" w:hAnsi="Arial" w:cs="Arial"/>
          <w:sz w:val="22"/>
          <w:szCs w:val="22"/>
        </w:rPr>
        <w:t>4 387</w:t>
      </w:r>
      <w:r w:rsidRPr="00817709">
        <w:rPr>
          <w:rFonts w:ascii="Arial" w:hAnsi="Arial" w:cs="Arial"/>
          <w:sz w:val="22"/>
          <w:szCs w:val="22"/>
        </w:rPr>
        <w:t xml:space="preserve"> m</w:t>
      </w:r>
      <w:r w:rsidR="005568B4" w:rsidRPr="00817709">
        <w:rPr>
          <w:rFonts w:ascii="Arial" w:hAnsi="Arial" w:cs="Arial"/>
          <w:sz w:val="22"/>
          <w:szCs w:val="22"/>
        </w:rPr>
        <w:t>i</w:t>
      </w:r>
      <w:r w:rsidRPr="00817709">
        <w:rPr>
          <w:rFonts w:ascii="Arial" w:hAnsi="Arial" w:cs="Arial"/>
          <w:sz w:val="22"/>
          <w:szCs w:val="22"/>
        </w:rPr>
        <w:t>l. Kč</w:t>
      </w:r>
      <w:r w:rsidR="008632C3" w:rsidRPr="00817709">
        <w:rPr>
          <w:rFonts w:ascii="Arial" w:hAnsi="Arial" w:cs="Arial"/>
          <w:sz w:val="22"/>
          <w:szCs w:val="22"/>
        </w:rPr>
        <w:t xml:space="preserve"> </w:t>
      </w:r>
    </w:p>
    <w:p w14:paraId="62F2CB16" w14:textId="1F907222" w:rsidR="008632C3" w:rsidRPr="00817709" w:rsidRDefault="008632C3">
      <w:pPr>
        <w:pStyle w:val="Odstavecseseznamem"/>
        <w:numPr>
          <w:ilvl w:val="2"/>
          <w:numId w:val="15"/>
        </w:numPr>
        <w:rPr>
          <w:rFonts w:ascii="Arial" w:hAnsi="Arial" w:cs="Arial"/>
          <w:sz w:val="22"/>
          <w:szCs w:val="22"/>
        </w:rPr>
      </w:pPr>
      <w:r w:rsidRPr="00817709">
        <w:rPr>
          <w:rFonts w:ascii="Arial" w:hAnsi="Arial" w:cs="Arial"/>
          <w:sz w:val="22"/>
          <w:szCs w:val="22"/>
        </w:rPr>
        <w:t>1</w:t>
      </w:r>
      <w:r w:rsidR="004A28DA" w:rsidRPr="00817709">
        <w:rPr>
          <w:rFonts w:ascii="Arial" w:hAnsi="Arial" w:cs="Arial"/>
          <w:sz w:val="22"/>
          <w:szCs w:val="22"/>
        </w:rPr>
        <w:t>3</w:t>
      </w:r>
      <w:r w:rsidRPr="00817709">
        <w:rPr>
          <w:rFonts w:ascii="Arial" w:hAnsi="Arial" w:cs="Arial"/>
          <w:sz w:val="22"/>
          <w:szCs w:val="22"/>
        </w:rPr>
        <w:t xml:space="preserve"> národních programů (</w:t>
      </w:r>
      <w:r w:rsidR="007C7112">
        <w:rPr>
          <w:rFonts w:ascii="Arial" w:hAnsi="Arial" w:cs="Arial"/>
          <w:sz w:val="22"/>
          <w:szCs w:val="22"/>
        </w:rPr>
        <w:t>2 908</w:t>
      </w:r>
      <w:r w:rsidRPr="00817709">
        <w:rPr>
          <w:rFonts w:ascii="Arial" w:hAnsi="Arial" w:cs="Arial"/>
          <w:sz w:val="22"/>
          <w:szCs w:val="22"/>
        </w:rPr>
        <w:t xml:space="preserve"> m</w:t>
      </w:r>
      <w:r w:rsidR="005568B4" w:rsidRPr="00817709">
        <w:rPr>
          <w:rFonts w:ascii="Arial" w:hAnsi="Arial" w:cs="Arial"/>
          <w:sz w:val="22"/>
          <w:szCs w:val="22"/>
        </w:rPr>
        <w:t>i</w:t>
      </w:r>
      <w:r w:rsidRPr="00817709">
        <w:rPr>
          <w:rFonts w:ascii="Arial" w:hAnsi="Arial" w:cs="Arial"/>
          <w:sz w:val="22"/>
          <w:szCs w:val="22"/>
        </w:rPr>
        <w:t xml:space="preserve">l. Kč) + </w:t>
      </w:r>
      <w:r w:rsidR="000D03B8" w:rsidRPr="00817709">
        <w:rPr>
          <w:rFonts w:ascii="Arial" w:hAnsi="Arial" w:cs="Arial"/>
          <w:sz w:val="22"/>
          <w:szCs w:val="22"/>
        </w:rPr>
        <w:t>2</w:t>
      </w:r>
      <w:r w:rsidRPr="00817709">
        <w:rPr>
          <w:rFonts w:ascii="Arial" w:hAnsi="Arial" w:cs="Arial"/>
          <w:sz w:val="22"/>
          <w:szCs w:val="22"/>
        </w:rPr>
        <w:t xml:space="preserve"> nadnárodní program (</w:t>
      </w:r>
      <w:r w:rsidR="003126F8" w:rsidRPr="00817709">
        <w:rPr>
          <w:rFonts w:ascii="Arial" w:hAnsi="Arial" w:cs="Arial"/>
          <w:sz w:val="22"/>
          <w:szCs w:val="22"/>
        </w:rPr>
        <w:t>1</w:t>
      </w:r>
      <w:r w:rsidR="001718EB" w:rsidRPr="00817709">
        <w:rPr>
          <w:rFonts w:ascii="Arial" w:hAnsi="Arial" w:cs="Arial"/>
          <w:sz w:val="22"/>
          <w:szCs w:val="22"/>
        </w:rPr>
        <w:t xml:space="preserve"> 47</w:t>
      </w:r>
      <w:r w:rsidR="003A4019">
        <w:rPr>
          <w:rFonts w:ascii="Arial" w:hAnsi="Arial" w:cs="Arial"/>
          <w:sz w:val="22"/>
          <w:szCs w:val="22"/>
        </w:rPr>
        <w:t>9</w:t>
      </w:r>
      <w:r w:rsidR="004630C3" w:rsidRPr="00817709">
        <w:rPr>
          <w:rFonts w:ascii="Arial" w:hAnsi="Arial" w:cs="Arial"/>
          <w:sz w:val="22"/>
          <w:szCs w:val="22"/>
        </w:rPr>
        <w:t> </w:t>
      </w:r>
      <w:r w:rsidRPr="00817709">
        <w:rPr>
          <w:rFonts w:ascii="Arial" w:hAnsi="Arial" w:cs="Arial"/>
          <w:sz w:val="22"/>
          <w:szCs w:val="22"/>
        </w:rPr>
        <w:t>m</w:t>
      </w:r>
      <w:r w:rsidR="005568B4" w:rsidRPr="00817709">
        <w:rPr>
          <w:rFonts w:ascii="Arial" w:hAnsi="Arial" w:cs="Arial"/>
          <w:sz w:val="22"/>
          <w:szCs w:val="22"/>
        </w:rPr>
        <w:t>i</w:t>
      </w:r>
      <w:r w:rsidRPr="00817709">
        <w:rPr>
          <w:rFonts w:ascii="Arial" w:hAnsi="Arial" w:cs="Arial"/>
          <w:sz w:val="22"/>
          <w:szCs w:val="22"/>
        </w:rPr>
        <w:t>l. Kč)</w:t>
      </w:r>
    </w:p>
    <w:p w14:paraId="1765FDEF" w14:textId="3D141627" w:rsidR="00DF232B" w:rsidRPr="00817709" w:rsidRDefault="00DF232B">
      <w:pPr>
        <w:pStyle w:val="Odstavecseseznamem"/>
        <w:numPr>
          <w:ilvl w:val="1"/>
          <w:numId w:val="15"/>
        </w:numPr>
        <w:rPr>
          <w:rFonts w:ascii="Arial" w:hAnsi="Arial" w:cs="Arial"/>
          <w:color w:val="000000" w:themeColor="text1"/>
          <w:sz w:val="22"/>
          <w:szCs w:val="22"/>
        </w:rPr>
      </w:pPr>
      <w:r w:rsidRPr="00817709">
        <w:rPr>
          <w:rFonts w:ascii="Arial" w:hAnsi="Arial" w:cs="Arial"/>
          <w:sz w:val="22"/>
          <w:szCs w:val="22"/>
        </w:rPr>
        <w:t>Programy Ministerstva životního prostředí –</w:t>
      </w:r>
      <w:r w:rsidR="006321C0" w:rsidRPr="00817709">
        <w:rPr>
          <w:rFonts w:ascii="Arial" w:hAnsi="Arial" w:cs="Arial"/>
          <w:sz w:val="22"/>
          <w:szCs w:val="22"/>
        </w:rPr>
        <w:t xml:space="preserve"> </w:t>
      </w:r>
      <w:r w:rsidR="00C80BD3" w:rsidRPr="00817709">
        <w:rPr>
          <w:rFonts w:ascii="Arial" w:hAnsi="Arial" w:cs="Arial"/>
          <w:color w:val="000000" w:themeColor="text1"/>
          <w:sz w:val="22"/>
          <w:szCs w:val="22"/>
        </w:rPr>
        <w:t>7 662</w:t>
      </w:r>
      <w:r w:rsidR="006321C0" w:rsidRPr="00817709">
        <w:rPr>
          <w:rFonts w:ascii="Arial" w:hAnsi="Arial" w:cs="Arial"/>
          <w:color w:val="000000" w:themeColor="text1"/>
          <w:sz w:val="22"/>
          <w:szCs w:val="22"/>
        </w:rPr>
        <w:t xml:space="preserve"> </w:t>
      </w:r>
      <w:r w:rsidRPr="00817709">
        <w:rPr>
          <w:rFonts w:ascii="Arial" w:hAnsi="Arial" w:cs="Arial"/>
          <w:color w:val="000000" w:themeColor="text1"/>
          <w:sz w:val="22"/>
          <w:szCs w:val="22"/>
        </w:rPr>
        <w:t>m</w:t>
      </w:r>
      <w:r w:rsidR="005568B4" w:rsidRPr="00817709">
        <w:rPr>
          <w:rFonts w:ascii="Arial" w:hAnsi="Arial" w:cs="Arial"/>
          <w:color w:val="000000" w:themeColor="text1"/>
          <w:sz w:val="22"/>
          <w:szCs w:val="22"/>
        </w:rPr>
        <w:t>i</w:t>
      </w:r>
      <w:r w:rsidRPr="00817709">
        <w:rPr>
          <w:rFonts w:ascii="Arial" w:hAnsi="Arial" w:cs="Arial"/>
          <w:color w:val="000000" w:themeColor="text1"/>
          <w:sz w:val="22"/>
          <w:szCs w:val="22"/>
        </w:rPr>
        <w:t>l. Kč:</w:t>
      </w:r>
    </w:p>
    <w:p w14:paraId="3ECB85BA" w14:textId="279F70D9" w:rsidR="00DF232B" w:rsidRPr="00817709" w:rsidRDefault="00DF232B">
      <w:pPr>
        <w:pStyle w:val="Odstavecseseznamem"/>
        <w:numPr>
          <w:ilvl w:val="2"/>
          <w:numId w:val="15"/>
        </w:numPr>
        <w:tabs>
          <w:tab w:val="left" w:pos="1134"/>
        </w:tabs>
        <w:rPr>
          <w:rFonts w:ascii="Arial" w:hAnsi="Arial" w:cs="Arial"/>
          <w:strike/>
          <w:color w:val="000000" w:themeColor="text1"/>
          <w:sz w:val="22"/>
          <w:szCs w:val="22"/>
        </w:rPr>
      </w:pPr>
      <w:r w:rsidRPr="00817709">
        <w:rPr>
          <w:rFonts w:ascii="Arial" w:hAnsi="Arial" w:cs="Arial"/>
          <w:color w:val="000000" w:themeColor="text1"/>
          <w:sz w:val="22"/>
          <w:szCs w:val="22"/>
        </w:rPr>
        <w:t>Operační program Životní prostředí 2014–2020</w:t>
      </w:r>
      <w:r w:rsidR="00985414" w:rsidRPr="00817709">
        <w:rPr>
          <w:rFonts w:ascii="Arial" w:hAnsi="Arial" w:cs="Arial"/>
          <w:color w:val="000000" w:themeColor="text1"/>
          <w:sz w:val="22"/>
          <w:szCs w:val="22"/>
        </w:rPr>
        <w:t>,</w:t>
      </w:r>
      <w:r w:rsidRPr="00817709">
        <w:rPr>
          <w:rFonts w:ascii="Arial" w:hAnsi="Arial" w:cs="Arial"/>
          <w:color w:val="000000" w:themeColor="text1"/>
          <w:sz w:val="22"/>
          <w:szCs w:val="22"/>
        </w:rPr>
        <w:t xml:space="preserve"> oblast vodního hospodářství </w:t>
      </w:r>
      <w:r w:rsidR="00985414" w:rsidRPr="00817709">
        <w:rPr>
          <w:rFonts w:ascii="Arial" w:hAnsi="Arial" w:cs="Arial"/>
          <w:color w:val="000000" w:themeColor="text1"/>
          <w:sz w:val="22"/>
          <w:szCs w:val="22"/>
        </w:rPr>
        <w:t>(</w:t>
      </w:r>
      <w:r w:rsidR="00C80BD3" w:rsidRPr="00817709">
        <w:rPr>
          <w:rFonts w:ascii="Arial" w:hAnsi="Arial" w:cs="Arial"/>
          <w:color w:val="000000" w:themeColor="text1"/>
          <w:sz w:val="22"/>
          <w:szCs w:val="22"/>
        </w:rPr>
        <w:t>3 753</w:t>
      </w:r>
      <w:r w:rsidR="005568B4" w:rsidRPr="00817709">
        <w:rPr>
          <w:rFonts w:ascii="Arial" w:hAnsi="Arial" w:cs="Arial"/>
          <w:color w:val="000000" w:themeColor="text1"/>
          <w:sz w:val="22"/>
          <w:szCs w:val="22"/>
        </w:rPr>
        <w:t xml:space="preserve"> mil</w:t>
      </w:r>
      <w:r w:rsidRPr="00817709">
        <w:rPr>
          <w:rFonts w:ascii="Arial" w:hAnsi="Arial" w:cs="Arial"/>
          <w:color w:val="000000" w:themeColor="text1"/>
          <w:sz w:val="22"/>
          <w:szCs w:val="22"/>
        </w:rPr>
        <w:t>. Kč</w:t>
      </w:r>
      <w:r w:rsidR="00985414" w:rsidRPr="00817709">
        <w:rPr>
          <w:rFonts w:ascii="Arial" w:hAnsi="Arial" w:cs="Arial"/>
          <w:color w:val="000000" w:themeColor="text1"/>
          <w:sz w:val="22"/>
          <w:szCs w:val="22"/>
        </w:rPr>
        <w:t>)</w:t>
      </w:r>
      <w:r w:rsidR="008632C3" w:rsidRPr="00817709">
        <w:rPr>
          <w:rFonts w:ascii="Arial" w:hAnsi="Arial" w:cs="Arial"/>
          <w:color w:val="000000" w:themeColor="text1"/>
          <w:sz w:val="22"/>
          <w:szCs w:val="22"/>
        </w:rPr>
        <w:t xml:space="preserve">, </w:t>
      </w:r>
      <w:r w:rsidR="006321C0" w:rsidRPr="00817709">
        <w:rPr>
          <w:rFonts w:ascii="Arial" w:hAnsi="Arial" w:cs="Arial"/>
          <w:color w:val="000000" w:themeColor="text1"/>
          <w:sz w:val="22"/>
          <w:szCs w:val="22"/>
        </w:rPr>
        <w:t>Státní fond životního prostředí</w:t>
      </w:r>
      <w:r w:rsidR="008632C3" w:rsidRPr="00817709">
        <w:rPr>
          <w:rFonts w:ascii="Arial" w:hAnsi="Arial" w:cs="Arial"/>
          <w:color w:val="000000" w:themeColor="text1"/>
          <w:sz w:val="22"/>
          <w:szCs w:val="22"/>
        </w:rPr>
        <w:t xml:space="preserve"> </w:t>
      </w:r>
      <w:r w:rsidR="00985414" w:rsidRPr="00817709">
        <w:rPr>
          <w:rFonts w:ascii="Arial" w:hAnsi="Arial" w:cs="Arial"/>
          <w:color w:val="000000" w:themeColor="text1"/>
          <w:sz w:val="22"/>
          <w:szCs w:val="22"/>
        </w:rPr>
        <w:t>(</w:t>
      </w:r>
      <w:r w:rsidR="004A3A4F" w:rsidRPr="00817709">
        <w:rPr>
          <w:rFonts w:ascii="Arial" w:hAnsi="Arial" w:cs="Arial"/>
          <w:color w:val="000000" w:themeColor="text1"/>
          <w:sz w:val="22"/>
          <w:szCs w:val="22"/>
        </w:rPr>
        <w:t>3 909</w:t>
      </w:r>
      <w:r w:rsidR="008D646C" w:rsidRPr="00817709">
        <w:rPr>
          <w:rFonts w:ascii="Arial" w:hAnsi="Arial" w:cs="Arial"/>
          <w:color w:val="000000" w:themeColor="text1"/>
          <w:sz w:val="22"/>
          <w:szCs w:val="22"/>
        </w:rPr>
        <w:t xml:space="preserve"> </w:t>
      </w:r>
      <w:r w:rsidR="008632C3" w:rsidRPr="00817709">
        <w:rPr>
          <w:rFonts w:ascii="Arial" w:hAnsi="Arial" w:cs="Arial"/>
          <w:color w:val="000000" w:themeColor="text1"/>
          <w:sz w:val="22"/>
          <w:szCs w:val="22"/>
        </w:rPr>
        <w:t>m</w:t>
      </w:r>
      <w:r w:rsidR="005568B4" w:rsidRPr="00817709">
        <w:rPr>
          <w:rFonts w:ascii="Arial" w:hAnsi="Arial" w:cs="Arial"/>
          <w:color w:val="000000" w:themeColor="text1"/>
          <w:sz w:val="22"/>
          <w:szCs w:val="22"/>
        </w:rPr>
        <w:t>i</w:t>
      </w:r>
      <w:r w:rsidR="008632C3" w:rsidRPr="00817709">
        <w:rPr>
          <w:rFonts w:ascii="Arial" w:hAnsi="Arial" w:cs="Arial"/>
          <w:color w:val="000000" w:themeColor="text1"/>
          <w:sz w:val="22"/>
          <w:szCs w:val="22"/>
        </w:rPr>
        <w:t>l. Kč</w:t>
      </w:r>
      <w:r w:rsidR="00985414" w:rsidRPr="00817709">
        <w:rPr>
          <w:rFonts w:ascii="Arial" w:hAnsi="Arial" w:cs="Arial"/>
          <w:color w:val="000000" w:themeColor="text1"/>
          <w:sz w:val="22"/>
          <w:szCs w:val="22"/>
        </w:rPr>
        <w:t>)</w:t>
      </w:r>
      <w:r w:rsidR="00F74B7F" w:rsidRPr="00817709">
        <w:rPr>
          <w:rFonts w:ascii="Arial" w:hAnsi="Arial" w:cs="Arial"/>
          <w:color w:val="000000" w:themeColor="text1"/>
          <w:sz w:val="22"/>
          <w:szCs w:val="22"/>
        </w:rPr>
        <w:t xml:space="preserve"> </w:t>
      </w:r>
    </w:p>
    <w:p w14:paraId="20D60A7D" w14:textId="06289B05" w:rsidR="00DF232B" w:rsidRPr="00817709" w:rsidRDefault="00731A1F">
      <w:pPr>
        <w:pStyle w:val="Odstavecseseznamem"/>
        <w:numPr>
          <w:ilvl w:val="1"/>
          <w:numId w:val="15"/>
        </w:numPr>
        <w:rPr>
          <w:rFonts w:ascii="Arial" w:hAnsi="Arial" w:cs="Arial"/>
          <w:sz w:val="22"/>
          <w:szCs w:val="22"/>
        </w:rPr>
      </w:pPr>
      <w:r w:rsidRPr="00817709">
        <w:rPr>
          <w:rFonts w:ascii="Arial" w:hAnsi="Arial" w:cs="Arial"/>
          <w:sz w:val="22"/>
          <w:szCs w:val="22"/>
        </w:rPr>
        <w:t>Podpora Ministerstva dopravy</w:t>
      </w:r>
      <w:r w:rsidR="00DF232B" w:rsidRPr="00817709">
        <w:rPr>
          <w:rFonts w:ascii="Arial" w:hAnsi="Arial" w:cs="Arial"/>
          <w:sz w:val="22"/>
          <w:szCs w:val="22"/>
        </w:rPr>
        <w:t xml:space="preserve"> – </w:t>
      </w:r>
      <w:r w:rsidR="004A3A4F" w:rsidRPr="00817709">
        <w:rPr>
          <w:rFonts w:ascii="Arial" w:hAnsi="Arial" w:cs="Arial"/>
          <w:sz w:val="22"/>
          <w:szCs w:val="22"/>
        </w:rPr>
        <w:t>790</w:t>
      </w:r>
      <w:r w:rsidR="00F52700" w:rsidRPr="00817709">
        <w:rPr>
          <w:rFonts w:ascii="Arial" w:hAnsi="Arial" w:cs="Arial"/>
          <w:sz w:val="22"/>
          <w:szCs w:val="22"/>
        </w:rPr>
        <w:t xml:space="preserve"> </w:t>
      </w:r>
      <w:r w:rsidR="00D77CDF" w:rsidRPr="00817709">
        <w:rPr>
          <w:rFonts w:ascii="Arial" w:hAnsi="Arial" w:cs="Arial"/>
          <w:sz w:val="22"/>
          <w:szCs w:val="22"/>
        </w:rPr>
        <w:t>m</w:t>
      </w:r>
      <w:r w:rsidR="005568B4" w:rsidRPr="00817709">
        <w:rPr>
          <w:rFonts w:ascii="Arial" w:hAnsi="Arial" w:cs="Arial"/>
          <w:sz w:val="22"/>
          <w:szCs w:val="22"/>
        </w:rPr>
        <w:t>i</w:t>
      </w:r>
      <w:r w:rsidR="00D77CDF" w:rsidRPr="00817709">
        <w:rPr>
          <w:rFonts w:ascii="Arial" w:hAnsi="Arial" w:cs="Arial"/>
          <w:sz w:val="22"/>
          <w:szCs w:val="22"/>
        </w:rPr>
        <w:t>l</w:t>
      </w:r>
      <w:r w:rsidR="00DF232B" w:rsidRPr="00817709">
        <w:rPr>
          <w:rFonts w:ascii="Arial" w:hAnsi="Arial" w:cs="Arial"/>
          <w:sz w:val="22"/>
          <w:szCs w:val="22"/>
        </w:rPr>
        <w:t>. Kč</w:t>
      </w:r>
      <w:r w:rsidRPr="00817709">
        <w:rPr>
          <w:rFonts w:ascii="Arial" w:hAnsi="Arial" w:cs="Arial"/>
          <w:sz w:val="22"/>
          <w:szCs w:val="22"/>
        </w:rPr>
        <w:t>:</w:t>
      </w:r>
    </w:p>
    <w:p w14:paraId="6FC8CAA3" w14:textId="45F39121" w:rsidR="009F062D" w:rsidRPr="00817709" w:rsidRDefault="00731A1F">
      <w:pPr>
        <w:pStyle w:val="Odstavecseseznamem"/>
        <w:numPr>
          <w:ilvl w:val="2"/>
          <w:numId w:val="15"/>
        </w:numPr>
        <w:rPr>
          <w:rFonts w:ascii="Arial" w:hAnsi="Arial" w:cs="Arial"/>
          <w:sz w:val="22"/>
          <w:szCs w:val="22"/>
        </w:rPr>
      </w:pPr>
      <w:r w:rsidRPr="00817709">
        <w:rPr>
          <w:rFonts w:ascii="Arial" w:hAnsi="Arial" w:cs="Arial"/>
          <w:sz w:val="22"/>
          <w:szCs w:val="22"/>
        </w:rPr>
        <w:t>Státní</w:t>
      </w:r>
      <w:r w:rsidR="008632C3" w:rsidRPr="00817709">
        <w:rPr>
          <w:rFonts w:ascii="Arial" w:hAnsi="Arial" w:cs="Arial"/>
          <w:sz w:val="22"/>
          <w:szCs w:val="22"/>
        </w:rPr>
        <w:t xml:space="preserve"> </w:t>
      </w:r>
      <w:r w:rsidRPr="00817709">
        <w:rPr>
          <w:rFonts w:ascii="Arial" w:hAnsi="Arial" w:cs="Arial"/>
          <w:sz w:val="22"/>
          <w:szCs w:val="22"/>
        </w:rPr>
        <w:t xml:space="preserve">fond dopravní infrastruktury </w:t>
      </w:r>
      <w:r w:rsidR="00594DF8" w:rsidRPr="00817709">
        <w:rPr>
          <w:rFonts w:ascii="Arial" w:hAnsi="Arial" w:cs="Arial"/>
          <w:sz w:val="22"/>
          <w:szCs w:val="22"/>
        </w:rPr>
        <w:t>(</w:t>
      </w:r>
      <w:r w:rsidR="004A3A4F" w:rsidRPr="00817709">
        <w:rPr>
          <w:rFonts w:ascii="Arial" w:hAnsi="Arial" w:cs="Arial"/>
          <w:sz w:val="22"/>
          <w:szCs w:val="22"/>
        </w:rPr>
        <w:t>789</w:t>
      </w:r>
      <w:r w:rsidR="00F52700" w:rsidRPr="00817709">
        <w:rPr>
          <w:rFonts w:ascii="Arial" w:hAnsi="Arial" w:cs="Arial"/>
          <w:sz w:val="22"/>
          <w:szCs w:val="22"/>
        </w:rPr>
        <w:t xml:space="preserve"> mil.</w:t>
      </w:r>
      <w:r w:rsidRPr="00817709">
        <w:rPr>
          <w:rFonts w:ascii="Arial" w:hAnsi="Arial" w:cs="Arial"/>
          <w:sz w:val="22"/>
          <w:szCs w:val="22"/>
        </w:rPr>
        <w:t xml:space="preserve"> Kč</w:t>
      </w:r>
      <w:r w:rsidR="00D842D6" w:rsidRPr="00817709">
        <w:rPr>
          <w:rFonts w:ascii="Arial" w:hAnsi="Arial" w:cs="Arial"/>
          <w:sz w:val="22"/>
          <w:szCs w:val="22"/>
        </w:rPr>
        <w:t>)</w:t>
      </w:r>
    </w:p>
    <w:p w14:paraId="632FA834" w14:textId="311AE4D0" w:rsidR="00076C5F" w:rsidRPr="000D2232" w:rsidRDefault="008632C3" w:rsidP="009F062D">
      <w:pPr>
        <w:pStyle w:val="Odstavecseseznamem"/>
        <w:ind w:left="2160"/>
        <w:rPr>
          <w:rFonts w:ascii="Arial" w:hAnsi="Arial" w:cs="Arial"/>
          <w:sz w:val="22"/>
          <w:szCs w:val="22"/>
        </w:rPr>
      </w:pPr>
      <w:r w:rsidRPr="000D2232">
        <w:rPr>
          <w:rFonts w:ascii="Arial" w:hAnsi="Arial" w:cs="Arial"/>
          <w:sz w:val="22"/>
          <w:szCs w:val="22"/>
        </w:rPr>
        <w:t xml:space="preserve"> </w:t>
      </w:r>
    </w:p>
    <w:p w14:paraId="3654C7DB" w14:textId="35EA7F95" w:rsidR="00731A1F" w:rsidRPr="000D2232" w:rsidRDefault="00CC42D0">
      <w:pPr>
        <w:pStyle w:val="Odstavecseseznamem"/>
        <w:numPr>
          <w:ilvl w:val="0"/>
          <w:numId w:val="15"/>
        </w:numPr>
        <w:rPr>
          <w:rFonts w:ascii="Arial" w:hAnsi="Arial" w:cs="Arial"/>
          <w:sz w:val="22"/>
          <w:szCs w:val="22"/>
        </w:rPr>
      </w:pPr>
      <w:r w:rsidRPr="000D2232">
        <w:rPr>
          <w:rFonts w:ascii="Arial" w:hAnsi="Arial" w:cs="Arial"/>
          <w:sz w:val="22"/>
          <w:szCs w:val="22"/>
        </w:rPr>
        <w:t xml:space="preserve">Věda a výzkum ve vodním hospodářství </w:t>
      </w:r>
      <w:r w:rsidR="00332825" w:rsidRPr="000D2232">
        <w:rPr>
          <w:rFonts w:ascii="Arial" w:hAnsi="Arial" w:cs="Arial"/>
          <w:sz w:val="22"/>
          <w:szCs w:val="22"/>
        </w:rPr>
        <w:t>–</w:t>
      </w:r>
      <w:r w:rsidRPr="000D2232">
        <w:rPr>
          <w:rFonts w:ascii="Arial" w:hAnsi="Arial" w:cs="Arial"/>
          <w:sz w:val="22"/>
          <w:szCs w:val="22"/>
        </w:rPr>
        <w:t xml:space="preserve"> </w:t>
      </w:r>
      <w:r w:rsidR="001C0871" w:rsidRPr="000D2232">
        <w:rPr>
          <w:rFonts w:ascii="Arial" w:hAnsi="Arial" w:cs="Arial"/>
          <w:sz w:val="22"/>
          <w:szCs w:val="22"/>
        </w:rPr>
        <w:t>32</w:t>
      </w:r>
      <w:r w:rsidR="007E0B9F" w:rsidRPr="000D2232">
        <w:rPr>
          <w:rFonts w:ascii="Arial" w:hAnsi="Arial" w:cs="Arial"/>
          <w:sz w:val="22"/>
          <w:szCs w:val="22"/>
        </w:rPr>
        <w:t>4</w:t>
      </w:r>
      <w:r w:rsidR="005D7214" w:rsidRPr="000D2232">
        <w:rPr>
          <w:rFonts w:ascii="Arial" w:hAnsi="Arial" w:cs="Arial"/>
          <w:sz w:val="22"/>
          <w:szCs w:val="22"/>
        </w:rPr>
        <w:t>,</w:t>
      </w:r>
      <w:r w:rsidR="00BF3AB6" w:rsidRPr="000D2232">
        <w:rPr>
          <w:rFonts w:ascii="Arial" w:hAnsi="Arial" w:cs="Arial"/>
          <w:sz w:val="22"/>
          <w:szCs w:val="22"/>
        </w:rPr>
        <w:t>2</w:t>
      </w:r>
      <w:r w:rsidR="00332825" w:rsidRPr="000D2232">
        <w:rPr>
          <w:rFonts w:ascii="Arial" w:hAnsi="Arial" w:cs="Arial"/>
          <w:sz w:val="22"/>
          <w:szCs w:val="22"/>
        </w:rPr>
        <w:t xml:space="preserve"> mil. Kč</w:t>
      </w:r>
    </w:p>
    <w:p w14:paraId="6D83E4C9" w14:textId="14279779" w:rsidR="00332825" w:rsidRPr="000D2232" w:rsidRDefault="00332825">
      <w:pPr>
        <w:pStyle w:val="Odstavecseseznamem"/>
        <w:numPr>
          <w:ilvl w:val="1"/>
          <w:numId w:val="15"/>
        </w:numPr>
        <w:rPr>
          <w:rFonts w:ascii="Arial" w:hAnsi="Arial" w:cs="Arial"/>
          <w:sz w:val="22"/>
          <w:szCs w:val="22"/>
        </w:rPr>
      </w:pPr>
      <w:r w:rsidRPr="000D2232">
        <w:rPr>
          <w:rFonts w:ascii="Arial" w:hAnsi="Arial" w:cs="Arial"/>
          <w:sz w:val="22"/>
          <w:szCs w:val="22"/>
        </w:rPr>
        <w:t xml:space="preserve">MZe </w:t>
      </w:r>
      <w:r w:rsidR="00BB281F" w:rsidRPr="000D2232">
        <w:rPr>
          <w:rFonts w:ascii="Arial" w:hAnsi="Arial" w:cs="Arial"/>
          <w:sz w:val="22"/>
          <w:szCs w:val="22"/>
        </w:rPr>
        <w:t xml:space="preserve">– </w:t>
      </w:r>
      <w:r w:rsidR="0090424C" w:rsidRPr="000D2232">
        <w:rPr>
          <w:rFonts w:ascii="Arial" w:hAnsi="Arial" w:cs="Arial"/>
          <w:sz w:val="22"/>
          <w:szCs w:val="22"/>
        </w:rPr>
        <w:t>6</w:t>
      </w:r>
      <w:r w:rsidR="00842154" w:rsidRPr="000D2232">
        <w:rPr>
          <w:rFonts w:ascii="Arial" w:hAnsi="Arial" w:cs="Arial"/>
          <w:sz w:val="22"/>
          <w:szCs w:val="22"/>
        </w:rPr>
        <w:t>5</w:t>
      </w:r>
      <w:r w:rsidR="005D7214" w:rsidRPr="000D2232">
        <w:rPr>
          <w:rFonts w:ascii="Arial" w:hAnsi="Arial" w:cs="Arial"/>
          <w:sz w:val="22"/>
          <w:szCs w:val="22"/>
        </w:rPr>
        <w:t>,4</w:t>
      </w:r>
      <w:r w:rsidRPr="000D2232">
        <w:rPr>
          <w:rFonts w:ascii="Arial" w:hAnsi="Arial" w:cs="Arial"/>
          <w:sz w:val="22"/>
          <w:szCs w:val="22"/>
        </w:rPr>
        <w:t xml:space="preserve"> mil. Kč</w:t>
      </w:r>
    </w:p>
    <w:p w14:paraId="77ECF71D" w14:textId="40B080B1" w:rsidR="00332825" w:rsidRPr="000D2232" w:rsidRDefault="00332825">
      <w:pPr>
        <w:pStyle w:val="Odstavecseseznamem"/>
        <w:numPr>
          <w:ilvl w:val="1"/>
          <w:numId w:val="15"/>
        </w:numPr>
        <w:rPr>
          <w:rFonts w:ascii="Arial" w:hAnsi="Arial" w:cs="Arial"/>
          <w:sz w:val="22"/>
          <w:szCs w:val="22"/>
        </w:rPr>
      </w:pPr>
      <w:r w:rsidRPr="000D2232">
        <w:rPr>
          <w:rFonts w:ascii="Arial" w:hAnsi="Arial" w:cs="Arial"/>
          <w:sz w:val="22"/>
          <w:szCs w:val="22"/>
        </w:rPr>
        <w:t xml:space="preserve">MŽP – </w:t>
      </w:r>
      <w:r w:rsidR="0048385C" w:rsidRPr="000D2232">
        <w:rPr>
          <w:rFonts w:ascii="Arial" w:hAnsi="Arial" w:cs="Arial"/>
          <w:sz w:val="22"/>
          <w:szCs w:val="22"/>
        </w:rPr>
        <w:t>1</w:t>
      </w:r>
      <w:r w:rsidR="00842154" w:rsidRPr="000D2232">
        <w:rPr>
          <w:rFonts w:ascii="Arial" w:hAnsi="Arial" w:cs="Arial"/>
          <w:sz w:val="22"/>
          <w:szCs w:val="22"/>
        </w:rPr>
        <w:t>34</w:t>
      </w:r>
      <w:r w:rsidR="005D7214" w:rsidRPr="000D2232">
        <w:rPr>
          <w:rFonts w:ascii="Arial" w:hAnsi="Arial" w:cs="Arial"/>
          <w:sz w:val="22"/>
          <w:szCs w:val="22"/>
        </w:rPr>
        <w:t>,2</w:t>
      </w:r>
      <w:r w:rsidRPr="000D2232">
        <w:rPr>
          <w:rFonts w:ascii="Arial" w:hAnsi="Arial" w:cs="Arial"/>
          <w:sz w:val="22"/>
          <w:szCs w:val="22"/>
        </w:rPr>
        <w:t xml:space="preserve"> mil. Kč</w:t>
      </w:r>
    </w:p>
    <w:p w14:paraId="58D11CBA" w14:textId="6D8766C3" w:rsidR="00332825" w:rsidRPr="000D2232" w:rsidRDefault="00145DC5">
      <w:pPr>
        <w:pStyle w:val="Odstavecseseznamem"/>
        <w:numPr>
          <w:ilvl w:val="1"/>
          <w:numId w:val="15"/>
        </w:numPr>
        <w:rPr>
          <w:rFonts w:ascii="Arial" w:hAnsi="Arial" w:cs="Arial"/>
          <w:sz w:val="22"/>
          <w:szCs w:val="22"/>
        </w:rPr>
      </w:pPr>
      <w:r w:rsidRPr="000D2232">
        <w:rPr>
          <w:rFonts w:ascii="Arial" w:hAnsi="Arial" w:cs="Arial"/>
          <w:sz w:val="22"/>
          <w:szCs w:val="22"/>
        </w:rPr>
        <w:t>MŠMT</w:t>
      </w:r>
      <w:r w:rsidR="00332825" w:rsidRPr="000D2232">
        <w:rPr>
          <w:rFonts w:ascii="Arial" w:hAnsi="Arial" w:cs="Arial"/>
          <w:sz w:val="22"/>
          <w:szCs w:val="22"/>
        </w:rPr>
        <w:t xml:space="preserve"> – </w:t>
      </w:r>
      <w:r w:rsidR="0090424C" w:rsidRPr="000D2232">
        <w:rPr>
          <w:rFonts w:ascii="Arial" w:hAnsi="Arial" w:cs="Arial"/>
          <w:sz w:val="22"/>
          <w:szCs w:val="22"/>
        </w:rPr>
        <w:t>7</w:t>
      </w:r>
      <w:r w:rsidR="00307313" w:rsidRPr="000D2232">
        <w:rPr>
          <w:rFonts w:ascii="Arial" w:hAnsi="Arial" w:cs="Arial"/>
          <w:sz w:val="22"/>
          <w:szCs w:val="22"/>
        </w:rPr>
        <w:t>1</w:t>
      </w:r>
      <w:r w:rsidR="005D7214" w:rsidRPr="000D2232">
        <w:rPr>
          <w:rFonts w:ascii="Arial" w:hAnsi="Arial" w:cs="Arial"/>
          <w:sz w:val="22"/>
          <w:szCs w:val="22"/>
        </w:rPr>
        <w:t>,</w:t>
      </w:r>
      <w:r w:rsidR="00BF3AB6" w:rsidRPr="000D2232">
        <w:rPr>
          <w:rFonts w:ascii="Arial" w:hAnsi="Arial" w:cs="Arial"/>
          <w:sz w:val="22"/>
          <w:szCs w:val="22"/>
        </w:rPr>
        <w:t>1</w:t>
      </w:r>
      <w:r w:rsidR="00332825" w:rsidRPr="000D2232">
        <w:rPr>
          <w:rFonts w:ascii="Arial" w:hAnsi="Arial" w:cs="Arial"/>
          <w:sz w:val="22"/>
          <w:szCs w:val="22"/>
        </w:rPr>
        <w:t xml:space="preserve"> mil. Kč</w:t>
      </w:r>
    </w:p>
    <w:p w14:paraId="12338CC4" w14:textId="2E80B8FC" w:rsidR="004B3432" w:rsidRPr="000D2232" w:rsidRDefault="004B3432">
      <w:pPr>
        <w:pStyle w:val="Odstavecseseznamem"/>
        <w:numPr>
          <w:ilvl w:val="1"/>
          <w:numId w:val="15"/>
        </w:numPr>
        <w:rPr>
          <w:rFonts w:ascii="Arial" w:hAnsi="Arial" w:cs="Arial"/>
          <w:sz w:val="22"/>
          <w:szCs w:val="22"/>
        </w:rPr>
      </w:pPr>
      <w:r w:rsidRPr="000D2232">
        <w:rPr>
          <w:rFonts w:ascii="Arial" w:hAnsi="Arial" w:cs="Arial"/>
          <w:sz w:val="22"/>
          <w:szCs w:val="22"/>
        </w:rPr>
        <w:t>TA</w:t>
      </w:r>
      <w:r w:rsidR="00F83F61" w:rsidRPr="000D2232">
        <w:rPr>
          <w:rFonts w:ascii="Arial" w:hAnsi="Arial" w:cs="Arial"/>
          <w:sz w:val="22"/>
          <w:szCs w:val="22"/>
        </w:rPr>
        <w:t xml:space="preserve"> </w:t>
      </w:r>
      <w:r w:rsidRPr="000D2232">
        <w:rPr>
          <w:rFonts w:ascii="Arial" w:hAnsi="Arial" w:cs="Arial"/>
          <w:sz w:val="22"/>
          <w:szCs w:val="22"/>
        </w:rPr>
        <w:t>ČR –</w:t>
      </w:r>
      <w:r w:rsidR="00232DDD" w:rsidRPr="000D2232">
        <w:rPr>
          <w:rFonts w:ascii="Arial" w:hAnsi="Arial" w:cs="Arial"/>
          <w:sz w:val="22"/>
          <w:szCs w:val="22"/>
        </w:rPr>
        <w:t xml:space="preserve"> 5</w:t>
      </w:r>
      <w:r w:rsidR="001E4AAF" w:rsidRPr="000D2232">
        <w:rPr>
          <w:rFonts w:ascii="Arial" w:hAnsi="Arial" w:cs="Arial"/>
          <w:sz w:val="22"/>
          <w:szCs w:val="22"/>
        </w:rPr>
        <w:t>3,5</w:t>
      </w:r>
      <w:r w:rsidRPr="000D2232">
        <w:rPr>
          <w:rFonts w:ascii="Arial" w:hAnsi="Arial" w:cs="Arial"/>
          <w:sz w:val="22"/>
          <w:szCs w:val="22"/>
        </w:rPr>
        <w:t xml:space="preserve"> mil. Kč </w:t>
      </w:r>
    </w:p>
    <w:p w14:paraId="6947FBE3" w14:textId="77777777" w:rsidR="00DF232B" w:rsidRPr="00DE52C8" w:rsidRDefault="00DF232B" w:rsidP="004B3432">
      <w:pPr>
        <w:pStyle w:val="Nadpis1"/>
        <w:shd w:val="clear" w:color="auto" w:fill="FFFFFF" w:themeFill="background1"/>
        <w:spacing w:before="0"/>
        <w:contextualSpacing/>
      </w:pPr>
      <w:r w:rsidRPr="00104F7D">
        <w:rPr>
          <w:highlight w:val="yellow"/>
        </w:rPr>
        <w:br w:type="page"/>
      </w:r>
      <w:bookmarkStart w:id="228" w:name="_Toc482606478"/>
      <w:bookmarkStart w:id="229" w:name="_Toc522119087"/>
      <w:bookmarkStart w:id="230" w:name="_Toc10183476"/>
      <w:bookmarkStart w:id="231" w:name="_Toc236991658"/>
      <w:r w:rsidRPr="00DE52C8">
        <w:t>Vysvětlivky zkratek</w:t>
      </w:r>
      <w:bookmarkEnd w:id="228"/>
      <w:bookmarkEnd w:id="229"/>
      <w:bookmarkEnd w:id="230"/>
      <w:bookmarkEnd w:id="231"/>
    </w:p>
    <w:tbl>
      <w:tblPr>
        <w:tblW w:w="9229" w:type="dxa"/>
        <w:tblInd w:w="57" w:type="dxa"/>
        <w:tblCellMar>
          <w:left w:w="70" w:type="dxa"/>
          <w:right w:w="70" w:type="dxa"/>
        </w:tblCellMar>
        <w:tblLook w:val="04A0" w:firstRow="1" w:lastRow="0" w:firstColumn="1" w:lastColumn="0" w:noHBand="0" w:noVBand="1"/>
      </w:tblPr>
      <w:tblGrid>
        <w:gridCol w:w="2220"/>
        <w:gridCol w:w="7009"/>
      </w:tblGrid>
      <w:tr w:rsidR="00AA08C9" w:rsidRPr="00DE52C8" w14:paraId="6EC7BB7A" w14:textId="77777777" w:rsidTr="004105E4">
        <w:trPr>
          <w:trHeight w:val="283"/>
        </w:trPr>
        <w:tc>
          <w:tcPr>
            <w:tcW w:w="2220" w:type="dxa"/>
            <w:tcBorders>
              <w:top w:val="nil"/>
              <w:left w:val="nil"/>
              <w:bottom w:val="nil"/>
              <w:right w:val="nil"/>
            </w:tcBorders>
            <w:noWrap/>
            <w:vAlign w:val="center"/>
          </w:tcPr>
          <w:p w14:paraId="6B3D1F9B" w14:textId="69634A4B" w:rsidR="00146E8A" w:rsidRPr="00DE52C8" w:rsidRDefault="00146E8A" w:rsidP="004B3432">
            <w:pPr>
              <w:shd w:val="clear" w:color="auto" w:fill="FFFFFF" w:themeFill="background1"/>
              <w:contextualSpacing/>
              <w:rPr>
                <w:rFonts w:cs="Arial"/>
                <w:sz w:val="18"/>
                <w:szCs w:val="18"/>
              </w:rPr>
            </w:pPr>
            <w:r w:rsidRPr="00DE52C8">
              <w:rPr>
                <w:rFonts w:cs="Arial"/>
                <w:sz w:val="18"/>
                <w:szCs w:val="18"/>
              </w:rPr>
              <w:t>AMPA</w:t>
            </w:r>
          </w:p>
          <w:p w14:paraId="4A1D4CCF" w14:textId="6DB052F8" w:rsidR="008F0F16" w:rsidRPr="00DE52C8" w:rsidRDefault="008F0F16" w:rsidP="004B3432">
            <w:pPr>
              <w:shd w:val="clear" w:color="auto" w:fill="FFFFFF" w:themeFill="background1"/>
              <w:contextualSpacing/>
              <w:rPr>
                <w:rFonts w:cs="Arial"/>
                <w:sz w:val="18"/>
                <w:szCs w:val="18"/>
              </w:rPr>
            </w:pPr>
            <w:r w:rsidRPr="00DE52C8">
              <w:rPr>
                <w:rFonts w:cs="Arial"/>
                <w:sz w:val="18"/>
                <w:szCs w:val="18"/>
              </w:rPr>
              <w:t>AOX</w:t>
            </w:r>
          </w:p>
          <w:p w14:paraId="09971806" w14:textId="4AE83A9C" w:rsidR="006822F2" w:rsidRPr="00DE52C8" w:rsidRDefault="006822F2" w:rsidP="004B3432">
            <w:pPr>
              <w:shd w:val="clear" w:color="auto" w:fill="FFFFFF" w:themeFill="background1"/>
              <w:contextualSpacing/>
              <w:rPr>
                <w:rFonts w:cs="Arial"/>
                <w:sz w:val="18"/>
                <w:szCs w:val="18"/>
              </w:rPr>
            </w:pPr>
            <w:r w:rsidRPr="00DE52C8">
              <w:rPr>
                <w:rFonts w:cs="Arial"/>
                <w:sz w:val="18"/>
                <w:szCs w:val="18"/>
              </w:rPr>
              <w:t>AV ČR</w:t>
            </w:r>
          </w:p>
        </w:tc>
        <w:tc>
          <w:tcPr>
            <w:tcW w:w="7009" w:type="dxa"/>
            <w:tcBorders>
              <w:top w:val="nil"/>
              <w:left w:val="nil"/>
              <w:bottom w:val="nil"/>
              <w:right w:val="nil"/>
            </w:tcBorders>
            <w:noWrap/>
            <w:vAlign w:val="center"/>
          </w:tcPr>
          <w:p w14:paraId="7B753E9F" w14:textId="4DFEECD4" w:rsidR="007C60A3" w:rsidRPr="00DE52C8" w:rsidRDefault="007C60A3" w:rsidP="004B3432">
            <w:pPr>
              <w:shd w:val="clear" w:color="auto" w:fill="FFFFFF" w:themeFill="background1"/>
              <w:contextualSpacing/>
              <w:rPr>
                <w:rFonts w:cs="Arial"/>
                <w:sz w:val="18"/>
                <w:szCs w:val="18"/>
              </w:rPr>
            </w:pPr>
            <w:r w:rsidRPr="00DE52C8">
              <w:rPr>
                <w:rFonts w:cs="Arial"/>
                <w:sz w:val="18"/>
                <w:szCs w:val="18"/>
              </w:rPr>
              <w:t xml:space="preserve">metabolit </w:t>
            </w:r>
            <w:r w:rsidR="003B0367" w:rsidRPr="003B0367">
              <w:rPr>
                <w:rFonts w:cs="Arial"/>
                <w:sz w:val="18"/>
                <w:szCs w:val="18"/>
              </w:rPr>
              <w:t>neselektivní</w:t>
            </w:r>
            <w:r w:rsidRPr="00DE52C8">
              <w:rPr>
                <w:rFonts w:cs="Arial"/>
                <w:sz w:val="18"/>
                <w:szCs w:val="18"/>
              </w:rPr>
              <w:t xml:space="preserve"> herbicidu glyfosát</w:t>
            </w:r>
          </w:p>
          <w:p w14:paraId="644F09FB" w14:textId="28E0F999" w:rsidR="008F0F16" w:rsidRPr="00DE52C8" w:rsidRDefault="008F0F16" w:rsidP="004B3432">
            <w:pPr>
              <w:shd w:val="clear" w:color="auto" w:fill="FFFFFF" w:themeFill="background1"/>
              <w:contextualSpacing/>
              <w:rPr>
                <w:rFonts w:cs="Arial"/>
                <w:sz w:val="18"/>
                <w:szCs w:val="18"/>
              </w:rPr>
            </w:pPr>
            <w:r w:rsidRPr="00DE52C8">
              <w:rPr>
                <w:rFonts w:cs="Arial"/>
                <w:sz w:val="18"/>
                <w:szCs w:val="18"/>
              </w:rPr>
              <w:t>adsorbovatelné organicky vázané halogenované sloučeniny (halogeny)</w:t>
            </w:r>
          </w:p>
          <w:p w14:paraId="04814885" w14:textId="206BD820" w:rsidR="006822F2" w:rsidRPr="00DE52C8" w:rsidRDefault="006822F2" w:rsidP="004B3432">
            <w:pPr>
              <w:shd w:val="clear" w:color="auto" w:fill="FFFFFF" w:themeFill="background1"/>
              <w:contextualSpacing/>
              <w:rPr>
                <w:rFonts w:cs="Arial"/>
                <w:sz w:val="18"/>
                <w:szCs w:val="18"/>
              </w:rPr>
            </w:pPr>
            <w:r w:rsidRPr="00DE52C8">
              <w:rPr>
                <w:rFonts w:cs="Arial"/>
                <w:sz w:val="18"/>
                <w:szCs w:val="18"/>
              </w:rPr>
              <w:t>Akademie věd České republiky</w:t>
            </w:r>
          </w:p>
        </w:tc>
      </w:tr>
      <w:tr w:rsidR="00AA08C9" w:rsidRPr="00DE52C8" w14:paraId="761ECDC7" w14:textId="77777777" w:rsidTr="004105E4">
        <w:trPr>
          <w:trHeight w:val="283"/>
        </w:trPr>
        <w:tc>
          <w:tcPr>
            <w:tcW w:w="2220" w:type="dxa"/>
            <w:tcBorders>
              <w:top w:val="nil"/>
              <w:left w:val="nil"/>
              <w:bottom w:val="nil"/>
              <w:right w:val="nil"/>
            </w:tcBorders>
            <w:noWrap/>
            <w:vAlign w:val="center"/>
            <w:hideMark/>
          </w:tcPr>
          <w:p w14:paraId="5CC45B2B" w14:textId="18BDD7A0" w:rsidR="007C60A3" w:rsidRPr="00DE52C8" w:rsidRDefault="007C60A3" w:rsidP="004B3432">
            <w:pPr>
              <w:shd w:val="clear" w:color="auto" w:fill="FFFFFF" w:themeFill="background1"/>
              <w:contextualSpacing/>
              <w:rPr>
                <w:rFonts w:cs="Arial"/>
                <w:sz w:val="18"/>
                <w:szCs w:val="18"/>
              </w:rPr>
            </w:pPr>
            <w:r w:rsidRPr="00DE52C8">
              <w:rPr>
                <w:rFonts w:cs="Arial"/>
                <w:sz w:val="18"/>
                <w:szCs w:val="18"/>
              </w:rPr>
              <w:t>BP</w:t>
            </w:r>
          </w:p>
          <w:p w14:paraId="7F703B1E" w14:textId="6C824600"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BSK5</w:t>
            </w:r>
          </w:p>
        </w:tc>
        <w:tc>
          <w:tcPr>
            <w:tcW w:w="7009" w:type="dxa"/>
            <w:tcBorders>
              <w:top w:val="nil"/>
              <w:left w:val="nil"/>
              <w:bottom w:val="nil"/>
              <w:right w:val="nil"/>
            </w:tcBorders>
            <w:noWrap/>
            <w:vAlign w:val="center"/>
            <w:hideMark/>
          </w:tcPr>
          <w:p w14:paraId="6D014D5D" w14:textId="4984B8B1" w:rsidR="007C60A3" w:rsidRPr="00DE52C8" w:rsidRDefault="007C60A3" w:rsidP="004B3432">
            <w:pPr>
              <w:shd w:val="clear" w:color="auto" w:fill="FFFFFF" w:themeFill="background1"/>
              <w:contextualSpacing/>
              <w:rPr>
                <w:rFonts w:cs="Arial"/>
                <w:sz w:val="18"/>
                <w:szCs w:val="18"/>
              </w:rPr>
            </w:pPr>
            <w:r w:rsidRPr="00DE52C8">
              <w:rPr>
                <w:rFonts w:cs="Arial"/>
                <w:sz w:val="18"/>
                <w:szCs w:val="18"/>
              </w:rPr>
              <w:t>biologické odstraňování fosforu</w:t>
            </w:r>
          </w:p>
          <w:p w14:paraId="0F98DB39" w14:textId="7411E168"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pětidenní biochemická spotřeba kyslíku</w:t>
            </w:r>
          </w:p>
        </w:tc>
      </w:tr>
      <w:tr w:rsidR="00AA08C9" w:rsidRPr="00DE52C8" w14:paraId="213936E2" w14:textId="77777777" w:rsidTr="004105E4">
        <w:trPr>
          <w:trHeight w:val="283"/>
        </w:trPr>
        <w:tc>
          <w:tcPr>
            <w:tcW w:w="2220" w:type="dxa"/>
            <w:tcBorders>
              <w:top w:val="nil"/>
              <w:left w:val="nil"/>
              <w:bottom w:val="nil"/>
              <w:right w:val="nil"/>
            </w:tcBorders>
            <w:noWrap/>
            <w:vAlign w:val="center"/>
            <w:hideMark/>
          </w:tcPr>
          <w:p w14:paraId="408F4F7D" w14:textId="6759AEDF" w:rsidR="007C60A3" w:rsidRPr="00DE52C8" w:rsidRDefault="007C60A3" w:rsidP="004B3432">
            <w:pPr>
              <w:shd w:val="clear" w:color="auto" w:fill="FFFFFF" w:themeFill="background1"/>
              <w:contextualSpacing/>
              <w:rPr>
                <w:rFonts w:cs="Arial"/>
                <w:sz w:val="18"/>
                <w:szCs w:val="18"/>
              </w:rPr>
            </w:pPr>
            <w:proofErr w:type="spellStart"/>
            <w:r w:rsidRPr="00DE52C8">
              <w:rPr>
                <w:rFonts w:cs="Arial"/>
                <w:sz w:val="18"/>
                <w:szCs w:val="18"/>
              </w:rPr>
              <w:t>Bq</w:t>
            </w:r>
            <w:proofErr w:type="spellEnd"/>
          </w:p>
          <w:p w14:paraId="769689FC" w14:textId="18842D9E" w:rsidR="007C60A3" w:rsidRPr="00DE52C8" w:rsidRDefault="007C60A3" w:rsidP="004B3432">
            <w:pPr>
              <w:shd w:val="clear" w:color="auto" w:fill="FFFFFF" w:themeFill="background1"/>
              <w:contextualSpacing/>
              <w:rPr>
                <w:rFonts w:cs="Arial"/>
                <w:sz w:val="18"/>
                <w:szCs w:val="18"/>
              </w:rPr>
            </w:pPr>
            <w:r w:rsidRPr="00DE52C8">
              <w:rPr>
                <w:rFonts w:cs="Arial"/>
                <w:sz w:val="18"/>
                <w:szCs w:val="18"/>
              </w:rPr>
              <w:t>CEA</w:t>
            </w:r>
          </w:p>
          <w:p w14:paraId="16C954B7" w14:textId="7EC4020B"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CEB</w:t>
            </w:r>
          </w:p>
        </w:tc>
        <w:tc>
          <w:tcPr>
            <w:tcW w:w="7009" w:type="dxa"/>
            <w:tcBorders>
              <w:top w:val="nil"/>
              <w:left w:val="nil"/>
              <w:bottom w:val="nil"/>
              <w:right w:val="nil"/>
            </w:tcBorders>
            <w:noWrap/>
            <w:vAlign w:val="center"/>
            <w:hideMark/>
          </w:tcPr>
          <w:p w14:paraId="536ADA0B" w14:textId="42FD29F8" w:rsidR="007C60A3" w:rsidRPr="00DE52C8" w:rsidRDefault="007C60A3" w:rsidP="004B3432">
            <w:pPr>
              <w:shd w:val="clear" w:color="auto" w:fill="FFFFFF" w:themeFill="background1"/>
              <w:contextualSpacing/>
              <w:rPr>
                <w:rFonts w:cs="Arial"/>
                <w:sz w:val="18"/>
                <w:szCs w:val="18"/>
              </w:rPr>
            </w:pPr>
            <w:r w:rsidRPr="00DE52C8">
              <w:rPr>
                <w:rFonts w:cs="Arial"/>
                <w:sz w:val="18"/>
                <w:szCs w:val="18"/>
              </w:rPr>
              <w:t>Becquerel</w:t>
            </w:r>
          </w:p>
          <w:p w14:paraId="136BD81E" w14:textId="6BC6216A" w:rsidR="007C60A3" w:rsidRPr="00DE52C8" w:rsidRDefault="007C60A3" w:rsidP="004B3432">
            <w:pPr>
              <w:shd w:val="clear" w:color="auto" w:fill="FFFFFF" w:themeFill="background1"/>
              <w:contextualSpacing/>
              <w:rPr>
                <w:rFonts w:cs="Arial"/>
                <w:sz w:val="18"/>
                <w:szCs w:val="18"/>
              </w:rPr>
            </w:pPr>
            <w:r w:rsidRPr="00DE52C8">
              <w:rPr>
                <w:rFonts w:cs="Arial"/>
                <w:sz w:val="18"/>
                <w:szCs w:val="18"/>
              </w:rPr>
              <w:t>Centrální evidence aktivit</w:t>
            </w:r>
          </w:p>
          <w:p w14:paraId="44C3A90D" w14:textId="0A705B51"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Rozvojová banka Rady Evropy</w:t>
            </w:r>
          </w:p>
        </w:tc>
      </w:tr>
      <w:tr w:rsidR="00AA08C9" w:rsidRPr="00DE52C8" w14:paraId="2EDDF1CF" w14:textId="77777777" w:rsidTr="004105E4">
        <w:trPr>
          <w:trHeight w:val="283"/>
        </w:trPr>
        <w:tc>
          <w:tcPr>
            <w:tcW w:w="2220" w:type="dxa"/>
            <w:tcBorders>
              <w:top w:val="nil"/>
              <w:left w:val="nil"/>
              <w:bottom w:val="nil"/>
              <w:right w:val="nil"/>
            </w:tcBorders>
            <w:noWrap/>
            <w:vAlign w:val="center"/>
          </w:tcPr>
          <w:p w14:paraId="7AA4BA83" w14:textId="05C9B057" w:rsidR="00206F50" w:rsidRPr="00DE52C8" w:rsidRDefault="00206F50" w:rsidP="004B3432">
            <w:pPr>
              <w:shd w:val="clear" w:color="auto" w:fill="FFFFFF" w:themeFill="background1"/>
              <w:contextualSpacing/>
              <w:rPr>
                <w:rFonts w:cs="Arial"/>
                <w:sz w:val="18"/>
                <w:szCs w:val="18"/>
              </w:rPr>
            </w:pPr>
            <w:r w:rsidRPr="00DE52C8">
              <w:rPr>
                <w:rFonts w:cs="Arial"/>
                <w:sz w:val="18"/>
                <w:szCs w:val="18"/>
              </w:rPr>
              <w:t>CENAKVA</w:t>
            </w:r>
          </w:p>
          <w:p w14:paraId="71AB375F" w14:textId="5405B95B" w:rsidR="007C60A3" w:rsidRPr="00DE52C8" w:rsidRDefault="007C60A3" w:rsidP="004B3432">
            <w:pPr>
              <w:shd w:val="clear" w:color="auto" w:fill="FFFFFF" w:themeFill="background1"/>
              <w:contextualSpacing/>
              <w:rPr>
                <w:rFonts w:cs="Arial"/>
                <w:sz w:val="18"/>
                <w:szCs w:val="18"/>
              </w:rPr>
            </w:pPr>
            <w:r w:rsidRPr="00DE52C8">
              <w:rPr>
                <w:rFonts w:cs="Arial"/>
                <w:sz w:val="18"/>
                <w:szCs w:val="18"/>
              </w:rPr>
              <w:t>CEP</w:t>
            </w:r>
          </w:p>
          <w:p w14:paraId="2AFB49CE" w14:textId="6734DA65"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CEV</w:t>
            </w:r>
            <w:r w:rsidR="007C60A3" w:rsidRPr="00DE52C8">
              <w:rPr>
                <w:rFonts w:cs="Arial"/>
                <w:sz w:val="18"/>
                <w:szCs w:val="18"/>
              </w:rPr>
              <w:t>L</w:t>
            </w:r>
          </w:p>
        </w:tc>
        <w:tc>
          <w:tcPr>
            <w:tcW w:w="7009" w:type="dxa"/>
            <w:tcBorders>
              <w:top w:val="nil"/>
              <w:left w:val="nil"/>
              <w:bottom w:val="nil"/>
              <w:right w:val="nil"/>
            </w:tcBorders>
            <w:noWrap/>
            <w:vAlign w:val="center"/>
          </w:tcPr>
          <w:p w14:paraId="08584994" w14:textId="06F001C3" w:rsidR="00206F50" w:rsidRPr="00DE52C8" w:rsidRDefault="00206F50" w:rsidP="004B3432">
            <w:pPr>
              <w:shd w:val="clear" w:color="auto" w:fill="FFFFFF" w:themeFill="background1"/>
              <w:contextualSpacing/>
              <w:rPr>
                <w:rFonts w:cs="Arial"/>
                <w:sz w:val="18"/>
                <w:szCs w:val="18"/>
              </w:rPr>
            </w:pPr>
            <w:r w:rsidRPr="00DE52C8">
              <w:rPr>
                <w:rFonts w:cs="Arial"/>
                <w:sz w:val="18"/>
                <w:szCs w:val="18"/>
              </w:rPr>
              <w:t xml:space="preserve">Jihočeské výzkumné centrum akvakultury a biodiverzity </w:t>
            </w:r>
            <w:proofErr w:type="spellStart"/>
            <w:r w:rsidRPr="00DE52C8">
              <w:rPr>
                <w:rFonts w:cs="Arial"/>
                <w:sz w:val="18"/>
                <w:szCs w:val="18"/>
              </w:rPr>
              <w:t>hydrocenóz</w:t>
            </w:r>
            <w:proofErr w:type="spellEnd"/>
          </w:p>
          <w:p w14:paraId="35E8576D" w14:textId="257EB0FB" w:rsidR="007C60A3" w:rsidRPr="00DE52C8" w:rsidRDefault="007C60A3" w:rsidP="004B3432">
            <w:pPr>
              <w:shd w:val="clear" w:color="auto" w:fill="FFFFFF" w:themeFill="background1"/>
              <w:contextualSpacing/>
              <w:rPr>
                <w:rFonts w:cs="Arial"/>
                <w:sz w:val="18"/>
                <w:szCs w:val="18"/>
              </w:rPr>
            </w:pPr>
            <w:r w:rsidRPr="00DE52C8">
              <w:rPr>
                <w:rFonts w:cs="Arial"/>
                <w:sz w:val="18"/>
                <w:szCs w:val="18"/>
              </w:rPr>
              <w:t>Centrální evidence projektů</w:t>
            </w:r>
          </w:p>
          <w:p w14:paraId="054B252D" w14:textId="680228E9" w:rsidR="00DF232B" w:rsidRPr="00DE52C8" w:rsidRDefault="00787EF1" w:rsidP="004B3432">
            <w:pPr>
              <w:shd w:val="clear" w:color="auto" w:fill="FFFFFF" w:themeFill="background1"/>
              <w:contextualSpacing/>
              <w:rPr>
                <w:rFonts w:cs="Arial"/>
                <w:sz w:val="18"/>
                <w:szCs w:val="18"/>
              </w:rPr>
            </w:pPr>
            <w:r w:rsidRPr="00DE52C8">
              <w:rPr>
                <w:rFonts w:cs="Arial"/>
                <w:sz w:val="18"/>
                <w:szCs w:val="18"/>
              </w:rPr>
              <w:t>C</w:t>
            </w:r>
            <w:r w:rsidR="00DF232B" w:rsidRPr="00DE52C8">
              <w:rPr>
                <w:rFonts w:cs="Arial"/>
                <w:sz w:val="18"/>
                <w:szCs w:val="18"/>
              </w:rPr>
              <w:t>entrální evidence vodních</w:t>
            </w:r>
            <w:r w:rsidR="007C60A3" w:rsidRPr="00DE52C8">
              <w:rPr>
                <w:rFonts w:cs="Arial"/>
                <w:sz w:val="18"/>
                <w:szCs w:val="18"/>
              </w:rPr>
              <w:t xml:space="preserve"> linií</w:t>
            </w:r>
          </w:p>
        </w:tc>
      </w:tr>
      <w:tr w:rsidR="00AA08C9" w:rsidRPr="00DE52C8" w14:paraId="053F2A47" w14:textId="77777777" w:rsidTr="004105E4">
        <w:trPr>
          <w:trHeight w:val="283"/>
        </w:trPr>
        <w:tc>
          <w:tcPr>
            <w:tcW w:w="2220" w:type="dxa"/>
            <w:tcBorders>
              <w:top w:val="nil"/>
              <w:left w:val="nil"/>
              <w:bottom w:val="nil"/>
              <w:right w:val="nil"/>
            </w:tcBorders>
            <w:noWrap/>
            <w:vAlign w:val="center"/>
          </w:tcPr>
          <w:p w14:paraId="6546469A" w14:textId="7E39BD84" w:rsidR="007C60A3" w:rsidRPr="00DE52C8" w:rsidRDefault="007C60A3" w:rsidP="004B3432">
            <w:pPr>
              <w:shd w:val="clear" w:color="auto" w:fill="FFFFFF" w:themeFill="background1"/>
              <w:contextualSpacing/>
              <w:rPr>
                <w:rFonts w:cs="Arial"/>
                <w:sz w:val="18"/>
                <w:szCs w:val="18"/>
              </w:rPr>
            </w:pPr>
            <w:r w:rsidRPr="00DE52C8">
              <w:rPr>
                <w:rFonts w:cs="Arial"/>
                <w:sz w:val="18"/>
                <w:szCs w:val="18"/>
              </w:rPr>
              <w:t>CGA</w:t>
            </w:r>
          </w:p>
          <w:p w14:paraId="66E2D901" w14:textId="5A6C6A0B" w:rsidR="007C60A3" w:rsidRPr="00DE52C8" w:rsidRDefault="007C60A3" w:rsidP="004B3432">
            <w:pPr>
              <w:shd w:val="clear" w:color="auto" w:fill="FFFFFF" w:themeFill="background1"/>
              <w:contextualSpacing/>
              <w:rPr>
                <w:rFonts w:cs="Arial"/>
                <w:sz w:val="18"/>
                <w:szCs w:val="18"/>
              </w:rPr>
            </w:pPr>
            <w:r w:rsidRPr="00DE52C8">
              <w:rPr>
                <w:rFonts w:cs="Arial"/>
                <w:sz w:val="18"/>
                <w:szCs w:val="18"/>
              </w:rPr>
              <w:t>CHP</w:t>
            </w:r>
          </w:p>
          <w:p w14:paraId="13927076" w14:textId="669B1789"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CZ-NACE</w:t>
            </w:r>
          </w:p>
        </w:tc>
        <w:tc>
          <w:tcPr>
            <w:tcW w:w="7009" w:type="dxa"/>
            <w:tcBorders>
              <w:top w:val="nil"/>
              <w:left w:val="nil"/>
              <w:bottom w:val="nil"/>
              <w:right w:val="nil"/>
            </w:tcBorders>
            <w:noWrap/>
            <w:vAlign w:val="center"/>
          </w:tcPr>
          <w:p w14:paraId="3595CFA7" w14:textId="77777777" w:rsidR="007C60A3" w:rsidRPr="00DE52C8" w:rsidRDefault="007C60A3" w:rsidP="004B3432">
            <w:pPr>
              <w:shd w:val="clear" w:color="auto" w:fill="FFFFFF" w:themeFill="background1"/>
              <w:contextualSpacing/>
              <w:rPr>
                <w:rFonts w:cs="Arial"/>
                <w:sz w:val="18"/>
                <w:szCs w:val="18"/>
              </w:rPr>
            </w:pPr>
          </w:p>
          <w:p w14:paraId="336FBCC3" w14:textId="04F4921B" w:rsidR="007C60A3" w:rsidRPr="00DE52C8" w:rsidRDefault="007C60A3" w:rsidP="004B3432">
            <w:pPr>
              <w:shd w:val="clear" w:color="auto" w:fill="FFFFFF" w:themeFill="background1"/>
              <w:contextualSpacing/>
              <w:rPr>
                <w:rFonts w:cs="Arial"/>
                <w:sz w:val="18"/>
                <w:szCs w:val="18"/>
              </w:rPr>
            </w:pPr>
            <w:proofErr w:type="spellStart"/>
            <w:r w:rsidRPr="00DE52C8">
              <w:rPr>
                <w:rFonts w:cs="Arial"/>
                <w:sz w:val="18"/>
                <w:szCs w:val="18"/>
              </w:rPr>
              <w:t>dimethalchlor</w:t>
            </w:r>
            <w:proofErr w:type="spellEnd"/>
            <w:r w:rsidRPr="00DE52C8">
              <w:rPr>
                <w:rFonts w:cs="Arial"/>
                <w:sz w:val="18"/>
                <w:szCs w:val="18"/>
              </w:rPr>
              <w:t xml:space="preserve"> CGA 369873</w:t>
            </w:r>
          </w:p>
          <w:p w14:paraId="7A0430D7" w14:textId="497688AD" w:rsidR="007C60A3" w:rsidRPr="00DE52C8" w:rsidRDefault="007C60A3" w:rsidP="004B3432">
            <w:pPr>
              <w:shd w:val="clear" w:color="auto" w:fill="FFFFFF" w:themeFill="background1"/>
              <w:contextualSpacing/>
              <w:rPr>
                <w:rFonts w:cs="Arial"/>
                <w:sz w:val="18"/>
                <w:szCs w:val="18"/>
              </w:rPr>
            </w:pPr>
            <w:r w:rsidRPr="00DE52C8">
              <w:rPr>
                <w:rFonts w:cs="Arial"/>
                <w:sz w:val="18"/>
                <w:szCs w:val="18"/>
              </w:rPr>
              <w:t>chemické odstraňování fosforu</w:t>
            </w:r>
          </w:p>
          <w:p w14:paraId="73F125AC" w14:textId="3286D773"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Klasifikace ekonomických činností CZ-NACE dle Českého statistického úřadu</w:t>
            </w:r>
            <w:r w:rsidR="005068A1" w:rsidRPr="00DE52C8">
              <w:rPr>
                <w:rFonts w:cs="Arial"/>
                <w:sz w:val="18"/>
                <w:szCs w:val="18"/>
              </w:rPr>
              <w:t xml:space="preserve"> (dle standa</w:t>
            </w:r>
            <w:r w:rsidR="005F2189" w:rsidRPr="00DE52C8">
              <w:rPr>
                <w:rFonts w:cs="Arial"/>
                <w:sz w:val="18"/>
                <w:szCs w:val="18"/>
              </w:rPr>
              <w:t>r</w:t>
            </w:r>
            <w:r w:rsidR="005068A1" w:rsidRPr="00DE52C8">
              <w:rPr>
                <w:rFonts w:cs="Arial"/>
                <w:sz w:val="18"/>
                <w:szCs w:val="18"/>
              </w:rPr>
              <w:t xml:space="preserve">du </w:t>
            </w:r>
            <w:proofErr w:type="spellStart"/>
            <w:r w:rsidR="005068A1" w:rsidRPr="00DE52C8">
              <w:rPr>
                <w:rFonts w:cs="Arial"/>
                <w:sz w:val="18"/>
                <w:szCs w:val="18"/>
              </w:rPr>
              <w:t>Eurostatu</w:t>
            </w:r>
            <w:proofErr w:type="spellEnd"/>
            <w:r w:rsidR="005068A1" w:rsidRPr="00DE52C8">
              <w:rPr>
                <w:rFonts w:cs="Arial"/>
                <w:sz w:val="18"/>
                <w:szCs w:val="18"/>
              </w:rPr>
              <w:t>)</w:t>
            </w:r>
          </w:p>
        </w:tc>
      </w:tr>
      <w:tr w:rsidR="00AA08C9" w:rsidRPr="00DE52C8" w14:paraId="2B9EBDBE" w14:textId="77777777" w:rsidTr="004105E4">
        <w:trPr>
          <w:trHeight w:val="283"/>
        </w:trPr>
        <w:tc>
          <w:tcPr>
            <w:tcW w:w="2220" w:type="dxa"/>
            <w:tcBorders>
              <w:top w:val="nil"/>
              <w:left w:val="nil"/>
              <w:bottom w:val="nil"/>
              <w:right w:val="nil"/>
            </w:tcBorders>
            <w:noWrap/>
            <w:vAlign w:val="center"/>
            <w:hideMark/>
          </w:tcPr>
          <w:p w14:paraId="6345A3C2"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ČHMÚ</w:t>
            </w:r>
          </w:p>
        </w:tc>
        <w:tc>
          <w:tcPr>
            <w:tcW w:w="7009" w:type="dxa"/>
            <w:tcBorders>
              <w:top w:val="nil"/>
              <w:left w:val="nil"/>
              <w:bottom w:val="nil"/>
              <w:right w:val="nil"/>
            </w:tcBorders>
            <w:noWrap/>
            <w:vAlign w:val="center"/>
            <w:hideMark/>
          </w:tcPr>
          <w:p w14:paraId="01A82BA3"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Český hydrometeorologický ústav</w:t>
            </w:r>
          </w:p>
        </w:tc>
      </w:tr>
      <w:tr w:rsidR="00AA08C9" w:rsidRPr="00DE52C8" w14:paraId="2CE558EF" w14:textId="77777777" w:rsidTr="004105E4">
        <w:trPr>
          <w:trHeight w:val="283"/>
        </w:trPr>
        <w:tc>
          <w:tcPr>
            <w:tcW w:w="2220" w:type="dxa"/>
            <w:tcBorders>
              <w:top w:val="nil"/>
              <w:left w:val="nil"/>
              <w:bottom w:val="nil"/>
              <w:right w:val="nil"/>
            </w:tcBorders>
            <w:noWrap/>
            <w:vAlign w:val="center"/>
            <w:hideMark/>
          </w:tcPr>
          <w:p w14:paraId="03E1FE57"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ČIŽP</w:t>
            </w:r>
          </w:p>
        </w:tc>
        <w:tc>
          <w:tcPr>
            <w:tcW w:w="7009" w:type="dxa"/>
            <w:tcBorders>
              <w:top w:val="nil"/>
              <w:left w:val="nil"/>
              <w:bottom w:val="nil"/>
              <w:right w:val="nil"/>
            </w:tcBorders>
            <w:noWrap/>
            <w:vAlign w:val="center"/>
            <w:hideMark/>
          </w:tcPr>
          <w:p w14:paraId="0FE70632"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Česká inspekce životního prostředí</w:t>
            </w:r>
          </w:p>
        </w:tc>
      </w:tr>
      <w:tr w:rsidR="00AA08C9" w:rsidRPr="00DE52C8" w14:paraId="065E2FB2" w14:textId="77777777" w:rsidTr="004105E4">
        <w:trPr>
          <w:trHeight w:val="283"/>
        </w:trPr>
        <w:tc>
          <w:tcPr>
            <w:tcW w:w="2220" w:type="dxa"/>
            <w:tcBorders>
              <w:top w:val="nil"/>
              <w:left w:val="nil"/>
              <w:bottom w:val="nil"/>
              <w:right w:val="nil"/>
            </w:tcBorders>
            <w:noWrap/>
            <w:vAlign w:val="center"/>
            <w:hideMark/>
          </w:tcPr>
          <w:p w14:paraId="7591A3D2"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ČOV</w:t>
            </w:r>
          </w:p>
        </w:tc>
        <w:tc>
          <w:tcPr>
            <w:tcW w:w="7009" w:type="dxa"/>
            <w:tcBorders>
              <w:top w:val="nil"/>
              <w:left w:val="nil"/>
              <w:bottom w:val="nil"/>
              <w:right w:val="nil"/>
            </w:tcBorders>
            <w:noWrap/>
            <w:vAlign w:val="center"/>
            <w:hideMark/>
          </w:tcPr>
          <w:p w14:paraId="6F46B36C"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čistírna odpadních vod</w:t>
            </w:r>
          </w:p>
        </w:tc>
      </w:tr>
      <w:tr w:rsidR="00AA08C9" w:rsidRPr="00DE52C8" w14:paraId="744E036D" w14:textId="77777777" w:rsidTr="004105E4">
        <w:trPr>
          <w:trHeight w:val="283"/>
        </w:trPr>
        <w:tc>
          <w:tcPr>
            <w:tcW w:w="2220" w:type="dxa"/>
            <w:tcBorders>
              <w:top w:val="nil"/>
              <w:left w:val="nil"/>
              <w:bottom w:val="nil"/>
              <w:right w:val="nil"/>
            </w:tcBorders>
            <w:noWrap/>
            <w:vAlign w:val="center"/>
            <w:hideMark/>
          </w:tcPr>
          <w:p w14:paraId="139804F7" w14:textId="246915D5" w:rsidR="00206F50" w:rsidRPr="00DE52C8" w:rsidRDefault="00206F50" w:rsidP="004B3432">
            <w:pPr>
              <w:shd w:val="clear" w:color="auto" w:fill="FFFFFF" w:themeFill="background1"/>
              <w:contextualSpacing/>
              <w:rPr>
                <w:rFonts w:cs="Arial"/>
                <w:sz w:val="18"/>
                <w:szCs w:val="18"/>
              </w:rPr>
            </w:pPr>
            <w:r w:rsidRPr="00DE52C8">
              <w:rPr>
                <w:rFonts w:cs="Arial"/>
                <w:sz w:val="18"/>
                <w:szCs w:val="18"/>
              </w:rPr>
              <w:t>ČSN</w:t>
            </w:r>
          </w:p>
          <w:p w14:paraId="66588412" w14:textId="40804306"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ČSÚ</w:t>
            </w:r>
          </w:p>
        </w:tc>
        <w:tc>
          <w:tcPr>
            <w:tcW w:w="7009" w:type="dxa"/>
            <w:tcBorders>
              <w:top w:val="nil"/>
              <w:left w:val="nil"/>
              <w:bottom w:val="nil"/>
              <w:right w:val="nil"/>
            </w:tcBorders>
            <w:noWrap/>
            <w:vAlign w:val="center"/>
            <w:hideMark/>
          </w:tcPr>
          <w:p w14:paraId="7434D40D" w14:textId="219920CF" w:rsidR="00206F50" w:rsidRPr="00DE52C8" w:rsidRDefault="00206F50" w:rsidP="004B3432">
            <w:pPr>
              <w:shd w:val="clear" w:color="auto" w:fill="FFFFFF" w:themeFill="background1"/>
              <w:contextualSpacing/>
              <w:rPr>
                <w:rFonts w:cs="Arial"/>
                <w:sz w:val="18"/>
                <w:szCs w:val="18"/>
              </w:rPr>
            </w:pPr>
            <w:r w:rsidRPr="00DE52C8">
              <w:rPr>
                <w:rFonts w:cs="Arial"/>
                <w:sz w:val="18"/>
                <w:szCs w:val="18"/>
              </w:rPr>
              <w:t>česká státní norma</w:t>
            </w:r>
          </w:p>
          <w:p w14:paraId="6CCFA085" w14:textId="6E775CED"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Český statistický úřad</w:t>
            </w:r>
          </w:p>
        </w:tc>
      </w:tr>
      <w:tr w:rsidR="00AA08C9" w:rsidRPr="00DE52C8" w14:paraId="50D55806" w14:textId="77777777" w:rsidTr="004105E4">
        <w:trPr>
          <w:trHeight w:val="283"/>
        </w:trPr>
        <w:tc>
          <w:tcPr>
            <w:tcW w:w="2220" w:type="dxa"/>
            <w:tcBorders>
              <w:top w:val="nil"/>
              <w:left w:val="nil"/>
              <w:bottom w:val="nil"/>
              <w:right w:val="nil"/>
            </w:tcBorders>
            <w:noWrap/>
            <w:vAlign w:val="center"/>
          </w:tcPr>
          <w:p w14:paraId="0EABC37D" w14:textId="0333AD86" w:rsidR="00206F50" w:rsidRPr="00DE52C8" w:rsidRDefault="00206F50" w:rsidP="004B3432">
            <w:pPr>
              <w:shd w:val="clear" w:color="auto" w:fill="FFFFFF" w:themeFill="background1"/>
              <w:contextualSpacing/>
              <w:rPr>
                <w:rFonts w:cs="Arial"/>
                <w:sz w:val="18"/>
                <w:szCs w:val="18"/>
              </w:rPr>
            </w:pPr>
            <w:proofErr w:type="spellStart"/>
            <w:r w:rsidRPr="00DE52C8">
              <w:rPr>
                <w:rFonts w:cs="Arial"/>
                <w:sz w:val="18"/>
                <w:szCs w:val="18"/>
              </w:rPr>
              <w:t>CzeCOS</w:t>
            </w:r>
            <w:proofErr w:type="spellEnd"/>
          </w:p>
          <w:p w14:paraId="62D9AE6F" w14:textId="77777777" w:rsidR="00206F50" w:rsidRPr="00DE52C8" w:rsidRDefault="00206F50" w:rsidP="004B3432">
            <w:pPr>
              <w:shd w:val="clear" w:color="auto" w:fill="FFFFFF" w:themeFill="background1"/>
              <w:contextualSpacing/>
              <w:rPr>
                <w:rFonts w:cs="Arial"/>
                <w:sz w:val="18"/>
                <w:szCs w:val="18"/>
              </w:rPr>
            </w:pPr>
          </w:p>
          <w:p w14:paraId="6FE66933" w14:textId="54BC9CD6"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DDT</w:t>
            </w:r>
          </w:p>
        </w:tc>
        <w:tc>
          <w:tcPr>
            <w:tcW w:w="7009" w:type="dxa"/>
            <w:tcBorders>
              <w:top w:val="nil"/>
              <w:left w:val="nil"/>
              <w:bottom w:val="nil"/>
              <w:right w:val="nil"/>
            </w:tcBorders>
            <w:noWrap/>
            <w:vAlign w:val="center"/>
          </w:tcPr>
          <w:p w14:paraId="0F4260DE" w14:textId="5D7E6384" w:rsidR="00206F50" w:rsidRPr="00DE52C8" w:rsidRDefault="00206F50" w:rsidP="004B3432">
            <w:pPr>
              <w:shd w:val="clear" w:color="auto" w:fill="FFFFFF" w:themeFill="background1"/>
              <w:contextualSpacing/>
              <w:rPr>
                <w:rFonts w:cs="Arial"/>
                <w:sz w:val="18"/>
                <w:szCs w:val="18"/>
              </w:rPr>
            </w:pPr>
            <w:r w:rsidRPr="00DE52C8">
              <w:rPr>
                <w:rFonts w:cs="Arial"/>
                <w:sz w:val="18"/>
                <w:szCs w:val="18"/>
              </w:rPr>
              <w:t>výzkumná infrastruktura (platforma pro realizaci komplexního mezinárodního interdisciplinárního výzkumu globální změny (GZ) a jejích dopadů na ekosystémy</w:t>
            </w:r>
          </w:p>
          <w:p w14:paraId="755ECC6D" w14:textId="709495C4" w:rsidR="00DF232B" w:rsidRPr="00DE52C8" w:rsidRDefault="00DF232B" w:rsidP="004B3432">
            <w:pPr>
              <w:shd w:val="clear" w:color="auto" w:fill="FFFFFF" w:themeFill="background1"/>
              <w:contextualSpacing/>
              <w:rPr>
                <w:rFonts w:cs="Arial"/>
                <w:sz w:val="18"/>
                <w:szCs w:val="18"/>
              </w:rPr>
            </w:pPr>
            <w:proofErr w:type="spellStart"/>
            <w:r w:rsidRPr="00DE52C8">
              <w:rPr>
                <w:rFonts w:cs="Arial"/>
                <w:sz w:val="18"/>
                <w:szCs w:val="18"/>
              </w:rPr>
              <w:t>Dichlordifenyltrichlorethan</w:t>
            </w:r>
            <w:proofErr w:type="spellEnd"/>
            <w:r w:rsidRPr="00DE52C8">
              <w:rPr>
                <w:rFonts w:cs="Arial"/>
                <w:sz w:val="18"/>
                <w:szCs w:val="18"/>
              </w:rPr>
              <w:t xml:space="preserve"> (</w:t>
            </w:r>
            <w:hyperlink r:id="rId129" w:history="1">
              <w:r w:rsidRPr="00DE52C8">
                <w:rPr>
                  <w:sz w:val="18"/>
                  <w:szCs w:val="18"/>
                </w:rPr>
                <w:t>aromatická</w:t>
              </w:r>
            </w:hyperlink>
            <w:r w:rsidRPr="00DE52C8">
              <w:rPr>
                <w:sz w:val="18"/>
                <w:szCs w:val="18"/>
              </w:rPr>
              <w:t xml:space="preserve"> </w:t>
            </w:r>
            <w:hyperlink r:id="rId130" w:tooltip="Halogeny" w:history="1">
              <w:proofErr w:type="spellStart"/>
              <w:r w:rsidRPr="00DE52C8">
                <w:rPr>
                  <w:sz w:val="18"/>
                  <w:szCs w:val="18"/>
                </w:rPr>
                <w:t>halogensloučenina</w:t>
              </w:r>
              <w:proofErr w:type="spellEnd"/>
            </w:hyperlink>
            <w:r w:rsidRPr="00DE52C8">
              <w:rPr>
                <w:sz w:val="18"/>
                <w:szCs w:val="18"/>
              </w:rPr>
              <w:t>)</w:t>
            </w:r>
          </w:p>
        </w:tc>
      </w:tr>
      <w:tr w:rsidR="00AA08C9" w:rsidRPr="00DE52C8" w14:paraId="12F240BF" w14:textId="77777777" w:rsidTr="004105E4">
        <w:trPr>
          <w:trHeight w:val="283"/>
        </w:trPr>
        <w:tc>
          <w:tcPr>
            <w:tcW w:w="2220" w:type="dxa"/>
            <w:tcBorders>
              <w:top w:val="nil"/>
              <w:left w:val="nil"/>
              <w:bottom w:val="nil"/>
              <w:right w:val="nil"/>
            </w:tcBorders>
            <w:noWrap/>
            <w:vAlign w:val="center"/>
          </w:tcPr>
          <w:p w14:paraId="4A265D7D" w14:textId="1D285AE8" w:rsidR="00206F50" w:rsidRPr="00DE52C8" w:rsidRDefault="00206F50" w:rsidP="004B3432">
            <w:pPr>
              <w:shd w:val="clear" w:color="auto" w:fill="FFFFFF" w:themeFill="background1"/>
              <w:contextualSpacing/>
              <w:rPr>
                <w:rFonts w:cs="Arial"/>
                <w:sz w:val="18"/>
                <w:szCs w:val="18"/>
              </w:rPr>
            </w:pPr>
            <w:r w:rsidRPr="00DE52C8">
              <w:rPr>
                <w:rFonts w:cs="Arial"/>
                <w:sz w:val="18"/>
                <w:szCs w:val="18"/>
              </w:rPr>
              <w:t>DEHP</w:t>
            </w:r>
          </w:p>
          <w:p w14:paraId="07335DB1" w14:textId="4078C27E" w:rsidR="00206F50" w:rsidRPr="00DE52C8" w:rsidRDefault="00206F50" w:rsidP="004B3432">
            <w:pPr>
              <w:shd w:val="clear" w:color="auto" w:fill="FFFFFF" w:themeFill="background1"/>
              <w:contextualSpacing/>
              <w:rPr>
                <w:rFonts w:cs="Arial"/>
                <w:sz w:val="18"/>
                <w:szCs w:val="18"/>
              </w:rPr>
            </w:pPr>
            <w:r w:rsidRPr="00DE52C8">
              <w:rPr>
                <w:rFonts w:cs="Arial"/>
                <w:sz w:val="18"/>
                <w:szCs w:val="18"/>
              </w:rPr>
              <w:t>DN</w:t>
            </w:r>
          </w:p>
          <w:p w14:paraId="3D315798" w14:textId="4A77354E" w:rsidR="00782EFC" w:rsidRPr="00DE52C8" w:rsidRDefault="006354FC" w:rsidP="004B3432">
            <w:pPr>
              <w:shd w:val="clear" w:color="auto" w:fill="FFFFFF" w:themeFill="background1"/>
              <w:contextualSpacing/>
              <w:rPr>
                <w:rFonts w:cs="Arial"/>
                <w:sz w:val="18"/>
                <w:szCs w:val="18"/>
              </w:rPr>
            </w:pPr>
            <w:r w:rsidRPr="00DE52C8">
              <w:rPr>
                <w:rFonts w:cs="Arial"/>
                <w:sz w:val="18"/>
                <w:szCs w:val="18"/>
              </w:rPr>
              <w:t>DTP</w:t>
            </w:r>
          </w:p>
          <w:p w14:paraId="239EC3B6" w14:textId="3A2F21D2" w:rsidR="00A94034" w:rsidRPr="00DE52C8" w:rsidRDefault="00A94034" w:rsidP="004B3432">
            <w:pPr>
              <w:shd w:val="clear" w:color="auto" w:fill="FFFFFF" w:themeFill="background1"/>
              <w:contextualSpacing/>
              <w:rPr>
                <w:rFonts w:cs="Arial"/>
                <w:sz w:val="18"/>
                <w:szCs w:val="18"/>
              </w:rPr>
            </w:pPr>
            <w:r w:rsidRPr="00DE52C8">
              <w:rPr>
                <w:rFonts w:cs="Arial"/>
                <w:sz w:val="18"/>
                <w:szCs w:val="18"/>
              </w:rPr>
              <w:t>DZES</w:t>
            </w:r>
          </w:p>
        </w:tc>
        <w:tc>
          <w:tcPr>
            <w:tcW w:w="7009" w:type="dxa"/>
            <w:tcBorders>
              <w:top w:val="nil"/>
              <w:left w:val="nil"/>
              <w:bottom w:val="nil"/>
              <w:right w:val="nil"/>
            </w:tcBorders>
            <w:noWrap/>
            <w:vAlign w:val="center"/>
          </w:tcPr>
          <w:p w14:paraId="6051B9AF" w14:textId="6EF0D0CD" w:rsidR="00206F50" w:rsidRPr="00DE52C8" w:rsidRDefault="00206F50" w:rsidP="004B3432">
            <w:pPr>
              <w:shd w:val="clear" w:color="auto" w:fill="FFFFFF" w:themeFill="background1"/>
              <w:contextualSpacing/>
              <w:rPr>
                <w:rFonts w:cs="Arial"/>
                <w:sz w:val="18"/>
                <w:szCs w:val="18"/>
              </w:rPr>
            </w:pPr>
            <w:r w:rsidRPr="00DE52C8">
              <w:rPr>
                <w:rFonts w:cs="Arial"/>
                <w:sz w:val="18"/>
                <w:szCs w:val="18"/>
              </w:rPr>
              <w:t>di-</w:t>
            </w:r>
            <w:proofErr w:type="spellStart"/>
            <w:r w:rsidRPr="00DE52C8">
              <w:rPr>
                <w:rFonts w:cs="Arial"/>
                <w:sz w:val="18"/>
                <w:szCs w:val="18"/>
              </w:rPr>
              <w:t>ethylhexylftalát</w:t>
            </w:r>
            <w:proofErr w:type="spellEnd"/>
            <w:r w:rsidRPr="00DE52C8">
              <w:rPr>
                <w:rFonts w:cs="Arial"/>
                <w:sz w:val="18"/>
                <w:szCs w:val="18"/>
              </w:rPr>
              <w:t>, ester kyseliny ftalové</w:t>
            </w:r>
          </w:p>
          <w:p w14:paraId="2E04CA64" w14:textId="5A878191" w:rsidR="00206F50" w:rsidRPr="00DE52C8" w:rsidRDefault="00206F50" w:rsidP="004B3432">
            <w:pPr>
              <w:shd w:val="clear" w:color="auto" w:fill="FFFFFF" w:themeFill="background1"/>
              <w:contextualSpacing/>
              <w:rPr>
                <w:rFonts w:cs="Arial"/>
                <w:sz w:val="18"/>
                <w:szCs w:val="18"/>
              </w:rPr>
            </w:pPr>
            <w:r w:rsidRPr="00DE52C8">
              <w:rPr>
                <w:rFonts w:cs="Arial"/>
                <w:sz w:val="18"/>
                <w:szCs w:val="18"/>
              </w:rPr>
              <w:t>denitrifikace</w:t>
            </w:r>
          </w:p>
          <w:p w14:paraId="4D213BB8" w14:textId="77777777" w:rsidR="006354FC" w:rsidRPr="00DE52C8" w:rsidRDefault="006354FC" w:rsidP="004B3432">
            <w:pPr>
              <w:shd w:val="clear" w:color="auto" w:fill="FFFFFF" w:themeFill="background1"/>
              <w:contextualSpacing/>
              <w:rPr>
                <w:rFonts w:cs="Arial"/>
                <w:sz w:val="18"/>
                <w:szCs w:val="18"/>
              </w:rPr>
            </w:pPr>
          </w:p>
          <w:p w14:paraId="1CC6D551" w14:textId="27143425" w:rsidR="00A94034" w:rsidRPr="00DE52C8" w:rsidRDefault="00F52FF8" w:rsidP="004B3432">
            <w:pPr>
              <w:shd w:val="clear" w:color="auto" w:fill="FFFFFF" w:themeFill="background1"/>
              <w:contextualSpacing/>
              <w:rPr>
                <w:rFonts w:cs="Arial"/>
                <w:sz w:val="18"/>
                <w:szCs w:val="18"/>
              </w:rPr>
            </w:pPr>
            <w:r w:rsidRPr="00DE52C8">
              <w:rPr>
                <w:rFonts w:cs="Arial"/>
                <w:sz w:val="18"/>
                <w:szCs w:val="18"/>
              </w:rPr>
              <w:t>Dobrý zemědělský a environmentální stav</w:t>
            </w:r>
          </w:p>
        </w:tc>
      </w:tr>
      <w:tr w:rsidR="00AA08C9" w:rsidRPr="00DE52C8" w14:paraId="5D26C31D" w14:textId="77777777" w:rsidTr="004105E4">
        <w:trPr>
          <w:trHeight w:val="283"/>
        </w:trPr>
        <w:tc>
          <w:tcPr>
            <w:tcW w:w="2220" w:type="dxa"/>
            <w:tcBorders>
              <w:top w:val="nil"/>
              <w:left w:val="nil"/>
              <w:bottom w:val="nil"/>
              <w:right w:val="nil"/>
            </w:tcBorders>
            <w:noWrap/>
            <w:vAlign w:val="center"/>
            <w:hideMark/>
          </w:tcPr>
          <w:p w14:paraId="72AA9B54"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EAFRD</w:t>
            </w:r>
          </w:p>
        </w:tc>
        <w:tc>
          <w:tcPr>
            <w:tcW w:w="7009" w:type="dxa"/>
            <w:tcBorders>
              <w:top w:val="nil"/>
              <w:left w:val="nil"/>
              <w:bottom w:val="nil"/>
              <w:right w:val="nil"/>
            </w:tcBorders>
            <w:noWrap/>
            <w:vAlign w:val="center"/>
            <w:hideMark/>
          </w:tcPr>
          <w:p w14:paraId="1615CB59" w14:textId="77777777" w:rsidR="00DF232B" w:rsidRPr="00DE52C8" w:rsidRDefault="00DF232B" w:rsidP="004B3432">
            <w:pPr>
              <w:shd w:val="clear" w:color="auto" w:fill="FFFFFF" w:themeFill="background1"/>
              <w:contextualSpacing/>
              <w:rPr>
                <w:rFonts w:cs="Arial"/>
                <w:sz w:val="18"/>
                <w:szCs w:val="18"/>
              </w:rPr>
            </w:pPr>
            <w:proofErr w:type="spellStart"/>
            <w:r w:rsidRPr="00DE52C8">
              <w:rPr>
                <w:rFonts w:cs="Arial"/>
                <w:sz w:val="18"/>
                <w:szCs w:val="18"/>
              </w:rPr>
              <w:t>European</w:t>
            </w:r>
            <w:proofErr w:type="spellEnd"/>
            <w:r w:rsidRPr="00DE52C8">
              <w:rPr>
                <w:rFonts w:cs="Arial"/>
                <w:sz w:val="18"/>
                <w:szCs w:val="18"/>
              </w:rPr>
              <w:t xml:space="preserve"> </w:t>
            </w:r>
            <w:proofErr w:type="spellStart"/>
            <w:r w:rsidRPr="00DE52C8">
              <w:rPr>
                <w:rFonts w:cs="Arial"/>
                <w:sz w:val="18"/>
                <w:szCs w:val="18"/>
              </w:rPr>
              <w:t>Agricultural</w:t>
            </w:r>
            <w:proofErr w:type="spellEnd"/>
            <w:r w:rsidRPr="00DE52C8">
              <w:rPr>
                <w:rFonts w:cs="Arial"/>
                <w:sz w:val="18"/>
                <w:szCs w:val="18"/>
              </w:rPr>
              <w:t xml:space="preserve"> </w:t>
            </w:r>
            <w:proofErr w:type="spellStart"/>
            <w:r w:rsidRPr="00DE52C8">
              <w:rPr>
                <w:rFonts w:cs="Arial"/>
                <w:sz w:val="18"/>
                <w:szCs w:val="18"/>
              </w:rPr>
              <w:t>Fund</w:t>
            </w:r>
            <w:proofErr w:type="spellEnd"/>
            <w:r w:rsidRPr="00DE52C8">
              <w:rPr>
                <w:rFonts w:cs="Arial"/>
                <w:sz w:val="18"/>
                <w:szCs w:val="18"/>
              </w:rPr>
              <w:t xml:space="preserve"> </w:t>
            </w:r>
            <w:proofErr w:type="spellStart"/>
            <w:r w:rsidRPr="00DE52C8">
              <w:rPr>
                <w:rFonts w:cs="Arial"/>
                <w:sz w:val="18"/>
                <w:szCs w:val="18"/>
              </w:rPr>
              <w:t>for</w:t>
            </w:r>
            <w:proofErr w:type="spellEnd"/>
            <w:r w:rsidRPr="00DE52C8">
              <w:rPr>
                <w:rFonts w:cs="Arial"/>
                <w:sz w:val="18"/>
                <w:szCs w:val="18"/>
              </w:rPr>
              <w:t xml:space="preserve"> </w:t>
            </w:r>
            <w:proofErr w:type="spellStart"/>
            <w:r w:rsidRPr="00DE52C8">
              <w:rPr>
                <w:rFonts w:cs="Arial"/>
                <w:sz w:val="18"/>
                <w:szCs w:val="18"/>
              </w:rPr>
              <w:t>Rural</w:t>
            </w:r>
            <w:proofErr w:type="spellEnd"/>
            <w:r w:rsidRPr="00DE52C8">
              <w:rPr>
                <w:rFonts w:cs="Arial"/>
                <w:sz w:val="18"/>
                <w:szCs w:val="18"/>
              </w:rPr>
              <w:t xml:space="preserve"> Development (Evropský zemědělský fond pro rozvoj venkova)</w:t>
            </w:r>
          </w:p>
        </w:tc>
      </w:tr>
      <w:tr w:rsidR="00AA08C9" w:rsidRPr="00DE52C8" w14:paraId="30C6103C" w14:textId="77777777" w:rsidTr="004105E4">
        <w:trPr>
          <w:trHeight w:val="283"/>
        </w:trPr>
        <w:tc>
          <w:tcPr>
            <w:tcW w:w="2220" w:type="dxa"/>
            <w:tcBorders>
              <w:top w:val="nil"/>
              <w:left w:val="nil"/>
              <w:bottom w:val="nil"/>
              <w:right w:val="nil"/>
            </w:tcBorders>
            <w:noWrap/>
            <w:vAlign w:val="center"/>
          </w:tcPr>
          <w:p w14:paraId="7E28214C" w14:textId="0235CB88" w:rsidR="006354FC" w:rsidRPr="00DE52C8" w:rsidRDefault="006354FC" w:rsidP="004B3432">
            <w:pPr>
              <w:shd w:val="clear" w:color="auto" w:fill="FFFFFF" w:themeFill="background1"/>
              <w:contextualSpacing/>
              <w:rPr>
                <w:rFonts w:cs="Arial"/>
                <w:sz w:val="18"/>
                <w:szCs w:val="18"/>
              </w:rPr>
            </w:pPr>
            <w:proofErr w:type="spellStart"/>
            <w:r w:rsidRPr="00DE52C8">
              <w:rPr>
                <w:rFonts w:cs="Arial"/>
                <w:sz w:val="18"/>
                <w:szCs w:val="18"/>
              </w:rPr>
              <w:t>eAgri</w:t>
            </w:r>
            <w:proofErr w:type="spellEnd"/>
          </w:p>
          <w:p w14:paraId="331808B3" w14:textId="0D33253C" w:rsidR="006822F2" w:rsidRPr="00DE52C8" w:rsidRDefault="006822F2" w:rsidP="004B3432">
            <w:pPr>
              <w:shd w:val="clear" w:color="auto" w:fill="FFFFFF" w:themeFill="background1"/>
              <w:contextualSpacing/>
              <w:rPr>
                <w:rFonts w:cs="Arial"/>
                <w:sz w:val="18"/>
                <w:szCs w:val="18"/>
              </w:rPr>
            </w:pPr>
            <w:r w:rsidRPr="00DE52C8">
              <w:rPr>
                <w:rFonts w:cs="Arial"/>
                <w:sz w:val="18"/>
                <w:szCs w:val="18"/>
              </w:rPr>
              <w:t>EFRR</w:t>
            </w:r>
          </w:p>
        </w:tc>
        <w:tc>
          <w:tcPr>
            <w:tcW w:w="7009" w:type="dxa"/>
            <w:tcBorders>
              <w:top w:val="nil"/>
              <w:left w:val="nil"/>
              <w:bottom w:val="nil"/>
              <w:right w:val="nil"/>
            </w:tcBorders>
            <w:noWrap/>
            <w:vAlign w:val="center"/>
          </w:tcPr>
          <w:p w14:paraId="4443F96F" w14:textId="3B4B623D" w:rsidR="006354FC" w:rsidRPr="00DE52C8" w:rsidRDefault="00EC07BA" w:rsidP="004B3432">
            <w:pPr>
              <w:shd w:val="clear" w:color="auto" w:fill="FFFFFF" w:themeFill="background1"/>
              <w:contextualSpacing/>
              <w:rPr>
                <w:rFonts w:cs="Arial"/>
                <w:sz w:val="18"/>
                <w:szCs w:val="18"/>
              </w:rPr>
            </w:pPr>
            <w:r w:rsidRPr="00DE52C8">
              <w:rPr>
                <w:rFonts w:cs="Arial"/>
                <w:sz w:val="18"/>
                <w:szCs w:val="18"/>
              </w:rPr>
              <w:t>portál Ministerstva zemědělství</w:t>
            </w:r>
          </w:p>
          <w:p w14:paraId="3C129AB6" w14:textId="64CDBFCD" w:rsidR="006822F2" w:rsidRPr="00DE52C8" w:rsidRDefault="006822F2" w:rsidP="004B3432">
            <w:pPr>
              <w:shd w:val="clear" w:color="auto" w:fill="FFFFFF" w:themeFill="background1"/>
              <w:contextualSpacing/>
              <w:rPr>
                <w:rFonts w:cs="Arial"/>
                <w:sz w:val="18"/>
                <w:szCs w:val="18"/>
              </w:rPr>
            </w:pPr>
            <w:r w:rsidRPr="00DE52C8">
              <w:rPr>
                <w:rFonts w:cs="Arial"/>
                <w:sz w:val="18"/>
                <w:szCs w:val="18"/>
              </w:rPr>
              <w:t>Evropský fond pro regionální rozvoj</w:t>
            </w:r>
          </w:p>
        </w:tc>
      </w:tr>
      <w:tr w:rsidR="00AA08C9" w:rsidRPr="00DE52C8" w14:paraId="0526C8BA" w14:textId="77777777" w:rsidTr="004105E4">
        <w:trPr>
          <w:trHeight w:val="283"/>
        </w:trPr>
        <w:tc>
          <w:tcPr>
            <w:tcW w:w="2220" w:type="dxa"/>
            <w:tcBorders>
              <w:top w:val="nil"/>
              <w:left w:val="nil"/>
              <w:bottom w:val="nil"/>
              <w:right w:val="nil"/>
            </w:tcBorders>
            <w:noWrap/>
            <w:vAlign w:val="center"/>
            <w:hideMark/>
          </w:tcPr>
          <w:p w14:paraId="396998A7"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EHK OSN</w:t>
            </w:r>
          </w:p>
        </w:tc>
        <w:tc>
          <w:tcPr>
            <w:tcW w:w="7009" w:type="dxa"/>
            <w:tcBorders>
              <w:top w:val="nil"/>
              <w:left w:val="nil"/>
              <w:bottom w:val="nil"/>
              <w:right w:val="nil"/>
            </w:tcBorders>
            <w:noWrap/>
            <w:vAlign w:val="center"/>
            <w:hideMark/>
          </w:tcPr>
          <w:p w14:paraId="231203C1"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Evropská hospodářská komise Organizace spojených národů</w:t>
            </w:r>
          </w:p>
        </w:tc>
      </w:tr>
      <w:tr w:rsidR="00AA08C9" w:rsidRPr="00DE52C8" w14:paraId="5F2D959E" w14:textId="77777777" w:rsidTr="004105E4">
        <w:trPr>
          <w:trHeight w:val="283"/>
        </w:trPr>
        <w:tc>
          <w:tcPr>
            <w:tcW w:w="2220" w:type="dxa"/>
            <w:tcBorders>
              <w:top w:val="nil"/>
              <w:left w:val="nil"/>
              <w:bottom w:val="nil"/>
              <w:right w:val="nil"/>
            </w:tcBorders>
            <w:noWrap/>
            <w:vAlign w:val="center"/>
          </w:tcPr>
          <w:p w14:paraId="3BEF313B"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EIA</w:t>
            </w:r>
          </w:p>
        </w:tc>
        <w:tc>
          <w:tcPr>
            <w:tcW w:w="7009" w:type="dxa"/>
            <w:tcBorders>
              <w:top w:val="nil"/>
              <w:left w:val="nil"/>
              <w:bottom w:val="nil"/>
              <w:right w:val="nil"/>
            </w:tcBorders>
            <w:noWrap/>
            <w:vAlign w:val="center"/>
          </w:tcPr>
          <w:p w14:paraId="62407DF9" w14:textId="77777777" w:rsidR="00DF232B" w:rsidRPr="00DE52C8" w:rsidRDefault="00DF232B" w:rsidP="004B3432">
            <w:pPr>
              <w:shd w:val="clear" w:color="auto" w:fill="FFFFFF" w:themeFill="background1"/>
              <w:contextualSpacing/>
              <w:rPr>
                <w:rFonts w:cs="Arial"/>
                <w:sz w:val="18"/>
                <w:szCs w:val="18"/>
              </w:rPr>
            </w:pPr>
            <w:proofErr w:type="spellStart"/>
            <w:r w:rsidRPr="00DE52C8">
              <w:rPr>
                <w:rStyle w:val="ilfuvd"/>
                <w:rFonts w:cs="Arial"/>
                <w:sz w:val="18"/>
                <w:szCs w:val="18"/>
              </w:rPr>
              <w:t>Environmental</w:t>
            </w:r>
            <w:proofErr w:type="spellEnd"/>
            <w:r w:rsidRPr="00DE52C8">
              <w:rPr>
                <w:rStyle w:val="ilfuvd"/>
                <w:rFonts w:cs="Arial"/>
                <w:sz w:val="18"/>
                <w:szCs w:val="18"/>
              </w:rPr>
              <w:t xml:space="preserve"> </w:t>
            </w:r>
            <w:proofErr w:type="spellStart"/>
            <w:r w:rsidRPr="00DE52C8">
              <w:rPr>
                <w:rStyle w:val="ilfuvd"/>
                <w:rFonts w:cs="Arial"/>
                <w:sz w:val="18"/>
                <w:szCs w:val="18"/>
              </w:rPr>
              <w:t>Impact</w:t>
            </w:r>
            <w:proofErr w:type="spellEnd"/>
            <w:r w:rsidRPr="00DE52C8">
              <w:rPr>
                <w:rStyle w:val="ilfuvd"/>
                <w:rFonts w:cs="Arial"/>
                <w:sz w:val="18"/>
                <w:szCs w:val="18"/>
              </w:rPr>
              <w:t xml:space="preserve"> </w:t>
            </w:r>
            <w:proofErr w:type="spellStart"/>
            <w:r w:rsidRPr="00DE52C8">
              <w:rPr>
                <w:rStyle w:val="ilfuvd"/>
                <w:rFonts w:cs="Arial"/>
                <w:sz w:val="18"/>
                <w:szCs w:val="18"/>
              </w:rPr>
              <w:t>Assessment</w:t>
            </w:r>
            <w:proofErr w:type="spellEnd"/>
            <w:r w:rsidRPr="00DE52C8">
              <w:rPr>
                <w:rStyle w:val="ilfuvd"/>
                <w:rFonts w:cs="Arial"/>
                <w:sz w:val="18"/>
                <w:szCs w:val="18"/>
              </w:rPr>
              <w:t xml:space="preserve"> (Vyhodnocení vlivů na životní prostředí)</w:t>
            </w:r>
          </w:p>
        </w:tc>
      </w:tr>
      <w:tr w:rsidR="00AA08C9" w:rsidRPr="00DE52C8" w14:paraId="2B06325F" w14:textId="77777777" w:rsidTr="004105E4">
        <w:trPr>
          <w:trHeight w:val="283"/>
        </w:trPr>
        <w:tc>
          <w:tcPr>
            <w:tcW w:w="2220" w:type="dxa"/>
            <w:tcBorders>
              <w:top w:val="nil"/>
              <w:left w:val="nil"/>
              <w:bottom w:val="nil"/>
              <w:right w:val="nil"/>
            </w:tcBorders>
            <w:noWrap/>
            <w:vAlign w:val="center"/>
            <w:hideMark/>
          </w:tcPr>
          <w:p w14:paraId="72D1B845"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EIB</w:t>
            </w:r>
          </w:p>
        </w:tc>
        <w:tc>
          <w:tcPr>
            <w:tcW w:w="7009" w:type="dxa"/>
            <w:tcBorders>
              <w:top w:val="nil"/>
              <w:left w:val="nil"/>
              <w:bottom w:val="nil"/>
              <w:right w:val="nil"/>
            </w:tcBorders>
            <w:noWrap/>
            <w:vAlign w:val="center"/>
            <w:hideMark/>
          </w:tcPr>
          <w:p w14:paraId="72972227"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Evropská investiční banka</w:t>
            </w:r>
          </w:p>
        </w:tc>
      </w:tr>
      <w:tr w:rsidR="00AA08C9" w:rsidRPr="00DE52C8" w14:paraId="6B39D958" w14:textId="77777777" w:rsidTr="004105E4">
        <w:trPr>
          <w:trHeight w:val="283"/>
        </w:trPr>
        <w:tc>
          <w:tcPr>
            <w:tcW w:w="2220" w:type="dxa"/>
            <w:tcBorders>
              <w:top w:val="nil"/>
              <w:left w:val="nil"/>
              <w:bottom w:val="nil"/>
              <w:right w:val="nil"/>
            </w:tcBorders>
            <w:noWrap/>
            <w:vAlign w:val="center"/>
            <w:hideMark/>
          </w:tcPr>
          <w:p w14:paraId="256717B1" w14:textId="70D4850B" w:rsidR="00EC07BA" w:rsidRPr="00DE52C8" w:rsidRDefault="00EC07BA" w:rsidP="004B3432">
            <w:pPr>
              <w:shd w:val="clear" w:color="auto" w:fill="FFFFFF" w:themeFill="background1"/>
              <w:contextualSpacing/>
              <w:rPr>
                <w:rFonts w:cs="Arial"/>
                <w:sz w:val="18"/>
                <w:szCs w:val="18"/>
              </w:rPr>
            </w:pPr>
            <w:bookmarkStart w:id="232" w:name="RANGE!A17"/>
            <w:r w:rsidRPr="00DE52C8">
              <w:rPr>
                <w:rFonts w:cs="Arial"/>
                <w:sz w:val="18"/>
                <w:szCs w:val="18"/>
              </w:rPr>
              <w:t>EK</w:t>
            </w:r>
          </w:p>
          <w:p w14:paraId="27C73843" w14:textId="3383FEB5"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EO</w:t>
            </w:r>
            <w:bookmarkEnd w:id="232"/>
          </w:p>
        </w:tc>
        <w:tc>
          <w:tcPr>
            <w:tcW w:w="7009" w:type="dxa"/>
            <w:tcBorders>
              <w:top w:val="nil"/>
              <w:left w:val="nil"/>
              <w:bottom w:val="nil"/>
              <w:right w:val="nil"/>
            </w:tcBorders>
            <w:noWrap/>
            <w:vAlign w:val="center"/>
            <w:hideMark/>
          </w:tcPr>
          <w:p w14:paraId="5401324F" w14:textId="5D3F38BC" w:rsidR="00EC07BA" w:rsidRPr="00DE52C8" w:rsidRDefault="00EC07BA" w:rsidP="004B3432">
            <w:pPr>
              <w:shd w:val="clear" w:color="auto" w:fill="FFFFFF" w:themeFill="background1"/>
              <w:contextualSpacing/>
              <w:rPr>
                <w:rFonts w:cs="Arial"/>
                <w:sz w:val="18"/>
                <w:szCs w:val="18"/>
              </w:rPr>
            </w:pPr>
            <w:r w:rsidRPr="00DE52C8">
              <w:rPr>
                <w:rFonts w:cs="Arial"/>
                <w:sz w:val="18"/>
                <w:szCs w:val="18"/>
              </w:rPr>
              <w:t>Evropská komise</w:t>
            </w:r>
          </w:p>
          <w:p w14:paraId="20C61C56" w14:textId="2400F69A"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ekvivalentní obyvatel</w:t>
            </w:r>
          </w:p>
        </w:tc>
      </w:tr>
      <w:tr w:rsidR="00AA08C9" w:rsidRPr="00DE52C8" w14:paraId="101C666F" w14:textId="77777777" w:rsidTr="004105E4">
        <w:trPr>
          <w:trHeight w:val="283"/>
        </w:trPr>
        <w:tc>
          <w:tcPr>
            <w:tcW w:w="2220" w:type="dxa"/>
            <w:tcBorders>
              <w:top w:val="nil"/>
              <w:left w:val="nil"/>
              <w:bottom w:val="nil"/>
              <w:right w:val="nil"/>
            </w:tcBorders>
            <w:noWrap/>
            <w:vAlign w:val="center"/>
            <w:hideMark/>
          </w:tcPr>
          <w:p w14:paraId="2553F776"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ERDF</w:t>
            </w:r>
          </w:p>
        </w:tc>
        <w:tc>
          <w:tcPr>
            <w:tcW w:w="7009" w:type="dxa"/>
            <w:tcBorders>
              <w:top w:val="nil"/>
              <w:left w:val="nil"/>
              <w:bottom w:val="nil"/>
              <w:right w:val="nil"/>
            </w:tcBorders>
            <w:noWrap/>
            <w:vAlign w:val="center"/>
            <w:hideMark/>
          </w:tcPr>
          <w:p w14:paraId="21493253" w14:textId="77777777" w:rsidR="00DF232B" w:rsidRPr="00DE52C8" w:rsidRDefault="00DF232B" w:rsidP="004B3432">
            <w:pPr>
              <w:shd w:val="clear" w:color="auto" w:fill="FFFFFF" w:themeFill="background1"/>
              <w:contextualSpacing/>
              <w:rPr>
                <w:rFonts w:cs="Arial"/>
                <w:sz w:val="18"/>
                <w:szCs w:val="18"/>
              </w:rPr>
            </w:pPr>
            <w:proofErr w:type="spellStart"/>
            <w:r w:rsidRPr="00DE52C8">
              <w:rPr>
                <w:rFonts w:cs="Arial"/>
                <w:sz w:val="18"/>
                <w:szCs w:val="18"/>
              </w:rPr>
              <w:t>European</w:t>
            </w:r>
            <w:proofErr w:type="spellEnd"/>
            <w:r w:rsidRPr="00DE52C8">
              <w:rPr>
                <w:rFonts w:cs="Arial"/>
                <w:sz w:val="18"/>
                <w:szCs w:val="18"/>
              </w:rPr>
              <w:t xml:space="preserve"> </w:t>
            </w:r>
            <w:proofErr w:type="spellStart"/>
            <w:r w:rsidRPr="00DE52C8">
              <w:rPr>
                <w:rFonts w:cs="Arial"/>
                <w:sz w:val="18"/>
                <w:szCs w:val="18"/>
              </w:rPr>
              <w:t>Regional</w:t>
            </w:r>
            <w:proofErr w:type="spellEnd"/>
            <w:r w:rsidRPr="00DE52C8">
              <w:rPr>
                <w:rFonts w:cs="Arial"/>
                <w:sz w:val="18"/>
                <w:szCs w:val="18"/>
              </w:rPr>
              <w:t xml:space="preserve"> Development </w:t>
            </w:r>
            <w:proofErr w:type="spellStart"/>
            <w:r w:rsidRPr="00DE52C8">
              <w:rPr>
                <w:rFonts w:cs="Arial"/>
                <w:sz w:val="18"/>
                <w:szCs w:val="18"/>
              </w:rPr>
              <w:t>Fund</w:t>
            </w:r>
            <w:proofErr w:type="spellEnd"/>
            <w:r w:rsidRPr="00DE52C8">
              <w:rPr>
                <w:rFonts w:cs="Arial"/>
                <w:sz w:val="18"/>
                <w:szCs w:val="18"/>
              </w:rPr>
              <w:t xml:space="preserve"> (Evropský fond pro regionální rozvoj)</w:t>
            </w:r>
          </w:p>
        </w:tc>
      </w:tr>
      <w:tr w:rsidR="00AA08C9" w:rsidRPr="00DE52C8" w14:paraId="0EBF3ADD" w14:textId="77777777" w:rsidTr="004105E4">
        <w:trPr>
          <w:trHeight w:val="283"/>
        </w:trPr>
        <w:tc>
          <w:tcPr>
            <w:tcW w:w="2220" w:type="dxa"/>
            <w:tcBorders>
              <w:top w:val="nil"/>
              <w:left w:val="nil"/>
              <w:bottom w:val="nil"/>
              <w:right w:val="nil"/>
            </w:tcBorders>
            <w:noWrap/>
            <w:vAlign w:val="center"/>
            <w:hideMark/>
          </w:tcPr>
          <w:p w14:paraId="031D3AA5" w14:textId="61AC4E6D" w:rsidR="006F22F1" w:rsidRPr="00DE52C8" w:rsidRDefault="006F22F1" w:rsidP="004B3432">
            <w:pPr>
              <w:shd w:val="clear" w:color="auto" w:fill="FFFFFF" w:themeFill="background1"/>
              <w:contextualSpacing/>
              <w:rPr>
                <w:rFonts w:cs="Arial"/>
                <w:sz w:val="18"/>
                <w:szCs w:val="18"/>
              </w:rPr>
            </w:pPr>
            <w:r w:rsidRPr="00DE52C8">
              <w:rPr>
                <w:rFonts w:cs="Arial"/>
                <w:sz w:val="18"/>
                <w:szCs w:val="18"/>
              </w:rPr>
              <w:t>ESA</w:t>
            </w:r>
          </w:p>
          <w:p w14:paraId="2C92605B" w14:textId="326FB91C"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EU</w:t>
            </w:r>
          </w:p>
        </w:tc>
        <w:tc>
          <w:tcPr>
            <w:tcW w:w="7009" w:type="dxa"/>
            <w:tcBorders>
              <w:top w:val="nil"/>
              <w:left w:val="nil"/>
              <w:bottom w:val="nil"/>
              <w:right w:val="nil"/>
            </w:tcBorders>
            <w:noWrap/>
            <w:vAlign w:val="center"/>
            <w:hideMark/>
          </w:tcPr>
          <w:p w14:paraId="62B61E2B" w14:textId="2589A5D0" w:rsidR="006F22F1" w:rsidRPr="00DE52C8" w:rsidRDefault="006F22F1" w:rsidP="004B3432">
            <w:pPr>
              <w:shd w:val="clear" w:color="auto" w:fill="FFFFFF" w:themeFill="background1"/>
              <w:contextualSpacing/>
              <w:rPr>
                <w:rFonts w:cs="Arial"/>
                <w:sz w:val="18"/>
                <w:szCs w:val="18"/>
              </w:rPr>
            </w:pPr>
            <w:r w:rsidRPr="00DE52C8">
              <w:rPr>
                <w:rFonts w:cs="Arial"/>
                <w:sz w:val="18"/>
                <w:szCs w:val="18"/>
              </w:rPr>
              <w:t xml:space="preserve">ethane </w:t>
            </w:r>
            <w:proofErr w:type="spellStart"/>
            <w:r w:rsidRPr="00DE52C8">
              <w:rPr>
                <w:rFonts w:cs="Arial"/>
                <w:sz w:val="18"/>
                <w:szCs w:val="18"/>
              </w:rPr>
              <w:t>sulfonic</w:t>
            </w:r>
            <w:proofErr w:type="spellEnd"/>
            <w:r w:rsidRPr="00DE52C8">
              <w:rPr>
                <w:rFonts w:cs="Arial"/>
                <w:sz w:val="18"/>
                <w:szCs w:val="18"/>
              </w:rPr>
              <w:t xml:space="preserve"> acid</w:t>
            </w:r>
          </w:p>
          <w:p w14:paraId="06874719" w14:textId="2A498D15"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Evropská unie</w:t>
            </w:r>
          </w:p>
        </w:tc>
      </w:tr>
      <w:tr w:rsidR="004105E4" w:rsidRPr="00DE52C8" w14:paraId="3A041373" w14:textId="77777777" w:rsidTr="004105E4">
        <w:trPr>
          <w:trHeight w:val="283"/>
        </w:trPr>
        <w:tc>
          <w:tcPr>
            <w:tcW w:w="2220" w:type="dxa"/>
            <w:tcBorders>
              <w:top w:val="nil"/>
              <w:left w:val="nil"/>
              <w:bottom w:val="nil"/>
              <w:right w:val="nil"/>
            </w:tcBorders>
            <w:noWrap/>
            <w:vAlign w:val="center"/>
          </w:tcPr>
          <w:p w14:paraId="3EC98BA0" w14:textId="1B0F338F" w:rsidR="004105E4" w:rsidRPr="00DE52C8" w:rsidRDefault="004105E4" w:rsidP="004B3432">
            <w:pPr>
              <w:shd w:val="clear" w:color="auto" w:fill="FFFFFF" w:themeFill="background1"/>
              <w:contextualSpacing/>
              <w:rPr>
                <w:rFonts w:cs="Arial"/>
                <w:sz w:val="18"/>
                <w:szCs w:val="18"/>
              </w:rPr>
            </w:pPr>
            <w:proofErr w:type="spellStart"/>
            <w:r>
              <w:rPr>
                <w:rFonts w:cs="Arial"/>
                <w:sz w:val="18"/>
                <w:szCs w:val="18"/>
              </w:rPr>
              <w:t>Etc</w:t>
            </w:r>
            <w:proofErr w:type="spellEnd"/>
          </w:p>
        </w:tc>
        <w:tc>
          <w:tcPr>
            <w:tcW w:w="7009" w:type="dxa"/>
            <w:tcBorders>
              <w:top w:val="nil"/>
              <w:left w:val="nil"/>
              <w:bottom w:val="nil"/>
              <w:right w:val="nil"/>
            </w:tcBorders>
            <w:noWrap/>
            <w:vAlign w:val="center"/>
          </w:tcPr>
          <w:p w14:paraId="54FE4759" w14:textId="53345178" w:rsidR="004105E4" w:rsidRPr="00DE52C8" w:rsidRDefault="00F24DF0" w:rsidP="004B3432">
            <w:pPr>
              <w:shd w:val="clear" w:color="auto" w:fill="FFFFFF" w:themeFill="background1"/>
              <w:contextualSpacing/>
              <w:rPr>
                <w:rFonts w:cs="Arial"/>
                <w:sz w:val="18"/>
                <w:szCs w:val="18"/>
              </w:rPr>
            </w:pPr>
            <w:r>
              <w:rPr>
                <w:rFonts w:cs="Arial"/>
                <w:sz w:val="18"/>
                <w:szCs w:val="18"/>
              </w:rPr>
              <w:t>plodinová evapotranspirace</w:t>
            </w:r>
          </w:p>
        </w:tc>
      </w:tr>
      <w:tr w:rsidR="00AA08C9" w:rsidRPr="00DE52C8" w14:paraId="0222E019" w14:textId="77777777" w:rsidTr="004105E4">
        <w:trPr>
          <w:trHeight w:val="283"/>
        </w:trPr>
        <w:tc>
          <w:tcPr>
            <w:tcW w:w="2220" w:type="dxa"/>
            <w:tcBorders>
              <w:top w:val="nil"/>
              <w:left w:val="nil"/>
              <w:bottom w:val="nil"/>
              <w:right w:val="nil"/>
            </w:tcBorders>
            <w:noWrap/>
            <w:vAlign w:val="center"/>
          </w:tcPr>
          <w:p w14:paraId="5941ED47" w14:textId="77777777" w:rsidR="00A30174" w:rsidRPr="00DE52C8" w:rsidRDefault="00A30174" w:rsidP="004B3432">
            <w:pPr>
              <w:shd w:val="clear" w:color="auto" w:fill="FFFFFF" w:themeFill="background1"/>
              <w:contextualSpacing/>
              <w:rPr>
                <w:rFonts w:cs="Arial"/>
                <w:sz w:val="18"/>
                <w:szCs w:val="18"/>
              </w:rPr>
            </w:pPr>
            <w:r w:rsidRPr="00DE52C8">
              <w:rPr>
                <w:rFonts w:cs="Arial"/>
                <w:sz w:val="18"/>
                <w:szCs w:val="18"/>
              </w:rPr>
              <w:t>EUSDR</w:t>
            </w:r>
          </w:p>
        </w:tc>
        <w:tc>
          <w:tcPr>
            <w:tcW w:w="7009" w:type="dxa"/>
            <w:tcBorders>
              <w:top w:val="nil"/>
              <w:left w:val="nil"/>
              <w:bottom w:val="nil"/>
              <w:right w:val="nil"/>
            </w:tcBorders>
            <w:noWrap/>
            <w:vAlign w:val="center"/>
          </w:tcPr>
          <w:p w14:paraId="51389116" w14:textId="77777777" w:rsidR="00A30174" w:rsidRPr="00DE52C8" w:rsidRDefault="00A30174" w:rsidP="004B3432">
            <w:pPr>
              <w:shd w:val="clear" w:color="auto" w:fill="FFFFFF" w:themeFill="background1"/>
              <w:contextualSpacing/>
              <w:rPr>
                <w:rFonts w:cs="Arial"/>
                <w:sz w:val="18"/>
                <w:szCs w:val="18"/>
              </w:rPr>
            </w:pPr>
            <w:r w:rsidRPr="00DE52C8">
              <w:rPr>
                <w:sz w:val="18"/>
                <w:szCs w:val="18"/>
              </w:rPr>
              <w:t xml:space="preserve">akční plán </w:t>
            </w:r>
            <w:proofErr w:type="spellStart"/>
            <w:r w:rsidRPr="00DE52C8">
              <w:rPr>
                <w:sz w:val="18"/>
                <w:szCs w:val="18"/>
              </w:rPr>
              <w:t>Makroregionální</w:t>
            </w:r>
            <w:proofErr w:type="spellEnd"/>
            <w:r w:rsidRPr="00DE52C8">
              <w:rPr>
                <w:sz w:val="18"/>
                <w:szCs w:val="18"/>
              </w:rPr>
              <w:t xml:space="preserve"> strategie EU pro Podunají</w:t>
            </w:r>
          </w:p>
        </w:tc>
      </w:tr>
      <w:tr w:rsidR="00AA08C9" w:rsidRPr="00DE52C8" w14:paraId="1EE44CA8" w14:textId="77777777" w:rsidTr="004105E4">
        <w:trPr>
          <w:trHeight w:val="283"/>
        </w:trPr>
        <w:tc>
          <w:tcPr>
            <w:tcW w:w="2220" w:type="dxa"/>
            <w:tcBorders>
              <w:top w:val="nil"/>
              <w:left w:val="nil"/>
              <w:bottom w:val="nil"/>
              <w:right w:val="nil"/>
            </w:tcBorders>
            <w:noWrap/>
            <w:vAlign w:val="center"/>
          </w:tcPr>
          <w:p w14:paraId="51A6CA68" w14:textId="28A7688E" w:rsidR="00FA68F5" w:rsidRPr="00DE52C8" w:rsidRDefault="00FA68F5" w:rsidP="004B3432">
            <w:pPr>
              <w:shd w:val="clear" w:color="auto" w:fill="FFFFFF" w:themeFill="background1"/>
              <w:contextualSpacing/>
              <w:rPr>
                <w:rFonts w:cs="Arial"/>
                <w:sz w:val="18"/>
                <w:szCs w:val="18"/>
              </w:rPr>
            </w:pPr>
            <w:r w:rsidRPr="00DE52C8">
              <w:rPr>
                <w:rFonts w:cs="Arial"/>
                <w:sz w:val="18"/>
                <w:szCs w:val="18"/>
              </w:rPr>
              <w:t>EVL</w:t>
            </w:r>
          </w:p>
          <w:p w14:paraId="5344996D" w14:textId="49AB8DAB" w:rsidR="00FA68F5" w:rsidRPr="00DE52C8" w:rsidRDefault="00FA68F5" w:rsidP="004B3432">
            <w:pPr>
              <w:shd w:val="clear" w:color="auto" w:fill="FFFFFF" w:themeFill="background1"/>
              <w:contextualSpacing/>
              <w:rPr>
                <w:rFonts w:cs="Arial"/>
                <w:sz w:val="18"/>
                <w:szCs w:val="18"/>
              </w:rPr>
            </w:pPr>
            <w:r w:rsidRPr="00DE52C8">
              <w:rPr>
                <w:rFonts w:cs="Arial"/>
                <w:sz w:val="18"/>
                <w:szCs w:val="18"/>
              </w:rPr>
              <w:t>FAO</w:t>
            </w:r>
          </w:p>
          <w:p w14:paraId="075993EF" w14:textId="77777777" w:rsidR="00FA68F5" w:rsidRPr="00DE52C8" w:rsidRDefault="00FA68F5" w:rsidP="004B3432">
            <w:pPr>
              <w:shd w:val="clear" w:color="auto" w:fill="FFFFFF" w:themeFill="background1"/>
              <w:contextualSpacing/>
              <w:rPr>
                <w:rFonts w:cs="Arial"/>
                <w:sz w:val="18"/>
                <w:szCs w:val="18"/>
              </w:rPr>
            </w:pPr>
          </w:p>
          <w:p w14:paraId="0EFBD02A" w14:textId="044C8A12" w:rsidR="003E0D7E" w:rsidRPr="00DE52C8" w:rsidRDefault="003E0D7E" w:rsidP="004B3432">
            <w:pPr>
              <w:shd w:val="clear" w:color="auto" w:fill="FFFFFF" w:themeFill="background1"/>
              <w:contextualSpacing/>
              <w:rPr>
                <w:rFonts w:cs="Arial"/>
                <w:sz w:val="18"/>
                <w:szCs w:val="18"/>
              </w:rPr>
            </w:pPr>
            <w:r w:rsidRPr="00DE52C8">
              <w:rPr>
                <w:rFonts w:cs="Arial"/>
                <w:sz w:val="18"/>
                <w:szCs w:val="18"/>
              </w:rPr>
              <w:t>FS</w:t>
            </w:r>
          </w:p>
        </w:tc>
        <w:tc>
          <w:tcPr>
            <w:tcW w:w="7009" w:type="dxa"/>
            <w:tcBorders>
              <w:top w:val="nil"/>
              <w:left w:val="nil"/>
              <w:bottom w:val="nil"/>
              <w:right w:val="nil"/>
            </w:tcBorders>
            <w:noWrap/>
            <w:vAlign w:val="center"/>
          </w:tcPr>
          <w:p w14:paraId="1FA52EAC" w14:textId="3DF4D71E" w:rsidR="00FA68F5" w:rsidRPr="00DE52C8" w:rsidRDefault="00FA68F5" w:rsidP="004B3432">
            <w:pPr>
              <w:shd w:val="clear" w:color="auto" w:fill="FFFFFF" w:themeFill="background1"/>
              <w:contextualSpacing/>
              <w:rPr>
                <w:sz w:val="18"/>
                <w:szCs w:val="18"/>
              </w:rPr>
            </w:pPr>
            <w:r w:rsidRPr="00DE52C8">
              <w:rPr>
                <w:sz w:val="18"/>
                <w:szCs w:val="18"/>
              </w:rPr>
              <w:t>evropsky významná lokalita</w:t>
            </w:r>
          </w:p>
          <w:p w14:paraId="610BCC1B" w14:textId="16E828FE" w:rsidR="00FA68F5" w:rsidRPr="00DE52C8" w:rsidRDefault="00FA68F5" w:rsidP="004B3432">
            <w:pPr>
              <w:shd w:val="clear" w:color="auto" w:fill="FFFFFF" w:themeFill="background1"/>
              <w:contextualSpacing/>
              <w:rPr>
                <w:sz w:val="18"/>
                <w:szCs w:val="18"/>
              </w:rPr>
            </w:pPr>
            <w:r w:rsidRPr="00DE52C8">
              <w:rPr>
                <w:sz w:val="18"/>
                <w:szCs w:val="18"/>
              </w:rPr>
              <w:t xml:space="preserve">organizace pro výživu a zemědělství Spojených národů je specializovaná agentura OSN (Food and </w:t>
            </w:r>
            <w:proofErr w:type="spellStart"/>
            <w:r w:rsidRPr="00DE52C8">
              <w:rPr>
                <w:sz w:val="18"/>
                <w:szCs w:val="18"/>
              </w:rPr>
              <w:t>Agriculture</w:t>
            </w:r>
            <w:proofErr w:type="spellEnd"/>
            <w:r w:rsidRPr="00DE52C8">
              <w:rPr>
                <w:sz w:val="18"/>
                <w:szCs w:val="18"/>
              </w:rPr>
              <w:t xml:space="preserve"> </w:t>
            </w:r>
            <w:proofErr w:type="spellStart"/>
            <w:r w:rsidRPr="00DE52C8">
              <w:rPr>
                <w:sz w:val="18"/>
                <w:szCs w:val="18"/>
              </w:rPr>
              <w:t>Organization</w:t>
            </w:r>
            <w:proofErr w:type="spellEnd"/>
            <w:r w:rsidRPr="00DE52C8">
              <w:rPr>
                <w:sz w:val="18"/>
                <w:szCs w:val="18"/>
              </w:rPr>
              <w:t xml:space="preserve"> </w:t>
            </w:r>
            <w:proofErr w:type="spellStart"/>
            <w:r w:rsidRPr="00DE52C8">
              <w:rPr>
                <w:sz w:val="18"/>
                <w:szCs w:val="18"/>
              </w:rPr>
              <w:t>of</w:t>
            </w:r>
            <w:proofErr w:type="spellEnd"/>
            <w:r w:rsidRPr="00DE52C8">
              <w:rPr>
                <w:sz w:val="18"/>
                <w:szCs w:val="18"/>
              </w:rPr>
              <w:t xml:space="preserve"> </w:t>
            </w:r>
            <w:proofErr w:type="spellStart"/>
            <w:r w:rsidRPr="00DE52C8">
              <w:rPr>
                <w:sz w:val="18"/>
                <w:szCs w:val="18"/>
              </w:rPr>
              <w:t>the</w:t>
            </w:r>
            <w:proofErr w:type="spellEnd"/>
            <w:r w:rsidRPr="00DE52C8">
              <w:rPr>
                <w:sz w:val="18"/>
                <w:szCs w:val="18"/>
              </w:rPr>
              <w:t xml:space="preserve"> United </w:t>
            </w:r>
            <w:proofErr w:type="spellStart"/>
            <w:r w:rsidRPr="00DE52C8">
              <w:rPr>
                <w:sz w:val="18"/>
                <w:szCs w:val="18"/>
              </w:rPr>
              <w:t>Nations</w:t>
            </w:r>
            <w:proofErr w:type="spellEnd"/>
            <w:r w:rsidRPr="00DE52C8">
              <w:rPr>
                <w:sz w:val="18"/>
                <w:szCs w:val="18"/>
              </w:rPr>
              <w:t>)</w:t>
            </w:r>
          </w:p>
          <w:p w14:paraId="6D6D8DC2" w14:textId="5566BA74" w:rsidR="003E0D7E" w:rsidRPr="00DE52C8" w:rsidRDefault="003E0D7E" w:rsidP="004B3432">
            <w:pPr>
              <w:shd w:val="clear" w:color="auto" w:fill="FFFFFF" w:themeFill="background1"/>
              <w:contextualSpacing/>
              <w:rPr>
                <w:sz w:val="18"/>
                <w:szCs w:val="18"/>
              </w:rPr>
            </w:pPr>
            <w:r w:rsidRPr="00DE52C8">
              <w:rPr>
                <w:sz w:val="18"/>
                <w:szCs w:val="18"/>
              </w:rPr>
              <w:t>Fond soudržnosti</w:t>
            </w:r>
          </w:p>
        </w:tc>
      </w:tr>
      <w:tr w:rsidR="00AA08C9" w:rsidRPr="00DE52C8" w14:paraId="7F0CB8A2" w14:textId="77777777" w:rsidTr="004105E4">
        <w:trPr>
          <w:trHeight w:val="283"/>
        </w:trPr>
        <w:tc>
          <w:tcPr>
            <w:tcW w:w="2220" w:type="dxa"/>
            <w:tcBorders>
              <w:top w:val="nil"/>
              <w:left w:val="nil"/>
              <w:bottom w:val="nil"/>
              <w:right w:val="nil"/>
            </w:tcBorders>
            <w:noWrap/>
            <w:vAlign w:val="center"/>
          </w:tcPr>
          <w:p w14:paraId="375D8234" w14:textId="77777777" w:rsidR="00666F47" w:rsidRPr="00DE52C8" w:rsidRDefault="00666F47" w:rsidP="004B3432">
            <w:pPr>
              <w:shd w:val="clear" w:color="auto" w:fill="FFFFFF" w:themeFill="background1"/>
              <w:contextualSpacing/>
              <w:rPr>
                <w:rFonts w:cs="Arial"/>
                <w:sz w:val="18"/>
                <w:szCs w:val="18"/>
              </w:rPr>
            </w:pPr>
            <w:r w:rsidRPr="00DE52C8">
              <w:rPr>
                <w:rFonts w:cs="Arial"/>
                <w:sz w:val="18"/>
                <w:szCs w:val="18"/>
              </w:rPr>
              <w:t>HGR</w:t>
            </w:r>
          </w:p>
        </w:tc>
        <w:tc>
          <w:tcPr>
            <w:tcW w:w="7009" w:type="dxa"/>
            <w:tcBorders>
              <w:top w:val="nil"/>
              <w:left w:val="nil"/>
              <w:bottom w:val="nil"/>
              <w:right w:val="nil"/>
            </w:tcBorders>
            <w:noWrap/>
            <w:vAlign w:val="center"/>
          </w:tcPr>
          <w:p w14:paraId="1958CF13" w14:textId="77777777" w:rsidR="00666F47" w:rsidRPr="00DE52C8" w:rsidRDefault="00434C7B" w:rsidP="004B3432">
            <w:pPr>
              <w:shd w:val="clear" w:color="auto" w:fill="FFFFFF" w:themeFill="background1"/>
              <w:contextualSpacing/>
              <w:rPr>
                <w:sz w:val="18"/>
                <w:szCs w:val="18"/>
              </w:rPr>
            </w:pPr>
            <w:r w:rsidRPr="00DE52C8">
              <w:rPr>
                <w:sz w:val="18"/>
                <w:szCs w:val="18"/>
              </w:rPr>
              <w:t xml:space="preserve">hydrogeologický </w:t>
            </w:r>
            <w:r w:rsidR="00666F47" w:rsidRPr="00DE52C8">
              <w:rPr>
                <w:sz w:val="18"/>
                <w:szCs w:val="18"/>
              </w:rPr>
              <w:t>rajon</w:t>
            </w:r>
          </w:p>
        </w:tc>
      </w:tr>
      <w:tr w:rsidR="00AA08C9" w:rsidRPr="00DE52C8" w14:paraId="670F8E3E" w14:textId="77777777" w:rsidTr="004105E4">
        <w:trPr>
          <w:trHeight w:val="283"/>
        </w:trPr>
        <w:tc>
          <w:tcPr>
            <w:tcW w:w="2220" w:type="dxa"/>
            <w:tcBorders>
              <w:top w:val="nil"/>
              <w:left w:val="nil"/>
              <w:bottom w:val="nil"/>
              <w:right w:val="nil"/>
            </w:tcBorders>
            <w:noWrap/>
            <w:vAlign w:val="center"/>
          </w:tcPr>
          <w:p w14:paraId="2614098D"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CHSK</w:t>
            </w:r>
          </w:p>
        </w:tc>
        <w:tc>
          <w:tcPr>
            <w:tcW w:w="7009" w:type="dxa"/>
            <w:tcBorders>
              <w:top w:val="nil"/>
              <w:left w:val="nil"/>
              <w:bottom w:val="nil"/>
              <w:right w:val="nil"/>
            </w:tcBorders>
            <w:noWrap/>
            <w:vAlign w:val="center"/>
          </w:tcPr>
          <w:p w14:paraId="69BF32DF"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chemická spotřeba kyslíku</w:t>
            </w:r>
          </w:p>
        </w:tc>
      </w:tr>
      <w:tr w:rsidR="00AA08C9" w:rsidRPr="00DE52C8" w14:paraId="63A9FAD1" w14:textId="77777777" w:rsidTr="004105E4">
        <w:trPr>
          <w:trHeight w:val="283"/>
        </w:trPr>
        <w:tc>
          <w:tcPr>
            <w:tcW w:w="2220" w:type="dxa"/>
            <w:tcBorders>
              <w:top w:val="nil"/>
              <w:left w:val="nil"/>
              <w:bottom w:val="nil"/>
              <w:right w:val="nil"/>
            </w:tcBorders>
            <w:noWrap/>
            <w:vAlign w:val="center"/>
          </w:tcPr>
          <w:p w14:paraId="3E8CDFBC" w14:textId="1E98D3E2" w:rsidR="00FA68F5" w:rsidRPr="00DE52C8" w:rsidRDefault="00FA68F5" w:rsidP="004B3432">
            <w:pPr>
              <w:shd w:val="clear" w:color="auto" w:fill="FFFFFF" w:themeFill="background1"/>
              <w:contextualSpacing/>
              <w:rPr>
                <w:rFonts w:cs="Arial"/>
                <w:sz w:val="18"/>
                <w:szCs w:val="18"/>
              </w:rPr>
            </w:pPr>
            <w:proofErr w:type="spellStart"/>
            <w:r w:rsidRPr="00DE52C8">
              <w:rPr>
                <w:rFonts w:cs="Arial"/>
                <w:sz w:val="18"/>
                <w:szCs w:val="18"/>
              </w:rPr>
              <w:t>IoT</w:t>
            </w:r>
            <w:proofErr w:type="spellEnd"/>
          </w:p>
          <w:p w14:paraId="63B236F6" w14:textId="01335B85" w:rsidR="00FA68F5" w:rsidRPr="00DE52C8" w:rsidRDefault="00FA68F5" w:rsidP="004B3432">
            <w:pPr>
              <w:shd w:val="clear" w:color="auto" w:fill="FFFFFF" w:themeFill="background1"/>
              <w:contextualSpacing/>
              <w:rPr>
                <w:rFonts w:cs="Arial"/>
                <w:sz w:val="18"/>
                <w:szCs w:val="18"/>
              </w:rPr>
            </w:pPr>
            <w:r w:rsidRPr="00DE52C8">
              <w:rPr>
                <w:rFonts w:cs="Arial"/>
                <w:sz w:val="18"/>
                <w:szCs w:val="18"/>
              </w:rPr>
              <w:t>ISVS</w:t>
            </w:r>
          </w:p>
          <w:p w14:paraId="5AD0DCAE" w14:textId="3E9B37A3" w:rsidR="00057498" w:rsidRPr="00DE52C8" w:rsidRDefault="00057498" w:rsidP="004B3432">
            <w:pPr>
              <w:shd w:val="clear" w:color="auto" w:fill="FFFFFF" w:themeFill="background1"/>
              <w:contextualSpacing/>
              <w:rPr>
                <w:rFonts w:cs="Arial"/>
                <w:sz w:val="18"/>
                <w:szCs w:val="18"/>
              </w:rPr>
            </w:pPr>
            <w:r w:rsidRPr="00DE52C8">
              <w:rPr>
                <w:rFonts w:cs="Arial"/>
                <w:sz w:val="18"/>
                <w:szCs w:val="18"/>
              </w:rPr>
              <w:t>JPÚ</w:t>
            </w:r>
          </w:p>
        </w:tc>
        <w:tc>
          <w:tcPr>
            <w:tcW w:w="7009" w:type="dxa"/>
            <w:tcBorders>
              <w:top w:val="nil"/>
              <w:left w:val="nil"/>
              <w:bottom w:val="nil"/>
              <w:right w:val="nil"/>
            </w:tcBorders>
            <w:noWrap/>
            <w:vAlign w:val="center"/>
          </w:tcPr>
          <w:p w14:paraId="2D2162E0" w14:textId="703422B0" w:rsidR="00FA68F5" w:rsidRPr="00DE52C8" w:rsidRDefault="00FA68F5" w:rsidP="004B3432">
            <w:pPr>
              <w:shd w:val="clear" w:color="auto" w:fill="FFFFFF" w:themeFill="background1"/>
              <w:contextualSpacing/>
              <w:rPr>
                <w:rStyle w:val="Siln"/>
                <w:rFonts w:eastAsia="Arial Unicode MS" w:cs="Arial"/>
                <w:b w:val="0"/>
                <w:sz w:val="18"/>
                <w:szCs w:val="18"/>
                <w:lang w:eastAsia="cs-CZ"/>
              </w:rPr>
            </w:pPr>
            <w:r w:rsidRPr="00DE52C8">
              <w:rPr>
                <w:rStyle w:val="Siln"/>
                <w:rFonts w:eastAsia="Arial Unicode MS" w:cs="Arial"/>
                <w:b w:val="0"/>
                <w:sz w:val="18"/>
                <w:szCs w:val="18"/>
                <w:lang w:eastAsia="cs-CZ"/>
              </w:rPr>
              <w:t>i</w:t>
            </w:r>
            <w:r w:rsidRPr="00DE52C8">
              <w:rPr>
                <w:rStyle w:val="Siln"/>
                <w:rFonts w:eastAsia="Arial Unicode MS" w:cs="Arial"/>
                <w:b w:val="0"/>
                <w:sz w:val="18"/>
                <w:szCs w:val="18"/>
              </w:rPr>
              <w:t>nternet věcí</w:t>
            </w:r>
          </w:p>
          <w:p w14:paraId="0F2DC4C2" w14:textId="17367E0A" w:rsidR="00FA68F5" w:rsidRPr="00DE52C8" w:rsidRDefault="00FA68F5" w:rsidP="004B3432">
            <w:pPr>
              <w:shd w:val="clear" w:color="auto" w:fill="FFFFFF" w:themeFill="background1"/>
              <w:contextualSpacing/>
              <w:rPr>
                <w:rStyle w:val="Siln"/>
                <w:rFonts w:eastAsia="Arial Unicode MS" w:cs="Arial"/>
                <w:b w:val="0"/>
                <w:sz w:val="18"/>
                <w:szCs w:val="18"/>
                <w:lang w:eastAsia="cs-CZ"/>
              </w:rPr>
            </w:pPr>
            <w:r w:rsidRPr="00DE52C8">
              <w:rPr>
                <w:rStyle w:val="Siln"/>
                <w:rFonts w:eastAsia="Arial Unicode MS" w:cs="Arial"/>
                <w:b w:val="0"/>
                <w:sz w:val="18"/>
                <w:szCs w:val="18"/>
                <w:lang w:eastAsia="cs-CZ"/>
              </w:rPr>
              <w:t>Informační systémy veřejné správy</w:t>
            </w:r>
          </w:p>
          <w:p w14:paraId="19AED83A" w14:textId="2A4AB5D0" w:rsidR="00057498" w:rsidRPr="00DE52C8" w:rsidRDefault="00057498" w:rsidP="004B3432">
            <w:pPr>
              <w:shd w:val="clear" w:color="auto" w:fill="FFFFFF" w:themeFill="background1"/>
              <w:contextualSpacing/>
              <w:rPr>
                <w:rFonts w:cs="Arial"/>
                <w:sz w:val="18"/>
                <w:szCs w:val="18"/>
              </w:rPr>
            </w:pPr>
            <w:r w:rsidRPr="00DE52C8">
              <w:rPr>
                <w:rStyle w:val="Siln"/>
                <w:rFonts w:eastAsia="Arial Unicode MS" w:cs="Arial"/>
                <w:b w:val="0"/>
                <w:sz w:val="18"/>
                <w:szCs w:val="18"/>
                <w:lang w:eastAsia="cs-CZ"/>
              </w:rPr>
              <w:t>jednoduché pozemkové úpravy</w:t>
            </w:r>
          </w:p>
        </w:tc>
      </w:tr>
      <w:tr w:rsidR="00AA08C9" w:rsidRPr="00DE52C8" w14:paraId="089E7C41" w14:textId="77777777" w:rsidTr="004105E4">
        <w:trPr>
          <w:trHeight w:val="283"/>
        </w:trPr>
        <w:tc>
          <w:tcPr>
            <w:tcW w:w="2220" w:type="dxa"/>
            <w:tcBorders>
              <w:top w:val="nil"/>
              <w:left w:val="nil"/>
              <w:bottom w:val="nil"/>
              <w:right w:val="nil"/>
            </w:tcBorders>
            <w:noWrap/>
            <w:vAlign w:val="center"/>
          </w:tcPr>
          <w:p w14:paraId="0B08044A" w14:textId="77777777" w:rsidR="0023554C" w:rsidRPr="00DE52C8" w:rsidRDefault="0023554C" w:rsidP="004B3432">
            <w:pPr>
              <w:shd w:val="clear" w:color="auto" w:fill="FFFFFF" w:themeFill="background1"/>
              <w:contextualSpacing/>
              <w:rPr>
                <w:rFonts w:cs="Arial"/>
                <w:sz w:val="18"/>
                <w:szCs w:val="18"/>
              </w:rPr>
            </w:pPr>
            <w:proofErr w:type="spellStart"/>
            <w:r w:rsidRPr="00DE52C8">
              <w:rPr>
                <w:rFonts w:cs="Arial"/>
                <w:sz w:val="18"/>
                <w:szCs w:val="18"/>
              </w:rPr>
              <w:t>KP</w:t>
            </w:r>
            <w:r w:rsidRPr="00DE52C8">
              <w:rPr>
                <w:rFonts w:cs="Arial"/>
                <w:sz w:val="18"/>
                <w:szCs w:val="18"/>
                <w:vertAlign w:val="subscript"/>
              </w:rPr>
              <w:t>m</w:t>
            </w:r>
            <w:proofErr w:type="spellEnd"/>
          </w:p>
        </w:tc>
        <w:tc>
          <w:tcPr>
            <w:tcW w:w="7009" w:type="dxa"/>
            <w:tcBorders>
              <w:top w:val="nil"/>
              <w:left w:val="nil"/>
              <w:bottom w:val="nil"/>
              <w:right w:val="nil"/>
            </w:tcBorders>
            <w:noWrap/>
            <w:vAlign w:val="center"/>
          </w:tcPr>
          <w:p w14:paraId="4D992EA0" w14:textId="77777777" w:rsidR="0023554C" w:rsidRPr="00DE52C8" w:rsidRDefault="0023554C" w:rsidP="004B3432">
            <w:pPr>
              <w:shd w:val="clear" w:color="auto" w:fill="FFFFFF" w:themeFill="background1"/>
              <w:contextualSpacing/>
              <w:rPr>
                <w:rFonts w:cs="Arial"/>
                <w:sz w:val="18"/>
                <w:szCs w:val="18"/>
              </w:rPr>
            </w:pPr>
            <w:r w:rsidRPr="00DE52C8">
              <w:rPr>
                <w:rFonts w:cs="Arial"/>
                <w:sz w:val="18"/>
                <w:szCs w:val="18"/>
              </w:rPr>
              <w:t xml:space="preserve">měsíční křivka překročení </w:t>
            </w:r>
          </w:p>
        </w:tc>
      </w:tr>
      <w:tr w:rsidR="00AA08C9" w:rsidRPr="00DE52C8" w14:paraId="4C169051" w14:textId="77777777" w:rsidTr="004105E4">
        <w:trPr>
          <w:trHeight w:val="283"/>
        </w:trPr>
        <w:tc>
          <w:tcPr>
            <w:tcW w:w="2220" w:type="dxa"/>
            <w:tcBorders>
              <w:top w:val="nil"/>
              <w:left w:val="nil"/>
              <w:bottom w:val="nil"/>
              <w:right w:val="nil"/>
            </w:tcBorders>
            <w:noWrap/>
            <w:vAlign w:val="center"/>
          </w:tcPr>
          <w:p w14:paraId="43119212" w14:textId="77777777" w:rsidR="005169A9" w:rsidRPr="00DE52C8" w:rsidRDefault="005169A9" w:rsidP="004B3432">
            <w:pPr>
              <w:shd w:val="clear" w:color="auto" w:fill="FFFFFF" w:themeFill="background1"/>
              <w:contextualSpacing/>
              <w:rPr>
                <w:rFonts w:cs="Arial"/>
                <w:sz w:val="18"/>
                <w:szCs w:val="18"/>
              </w:rPr>
            </w:pPr>
            <w:proofErr w:type="spellStart"/>
            <w:r w:rsidRPr="00DE52C8">
              <w:rPr>
                <w:rFonts w:cs="Arial"/>
                <w:sz w:val="18"/>
                <w:szCs w:val="18"/>
              </w:rPr>
              <w:t>KoPÚ</w:t>
            </w:r>
            <w:proofErr w:type="spellEnd"/>
          </w:p>
        </w:tc>
        <w:tc>
          <w:tcPr>
            <w:tcW w:w="7009" w:type="dxa"/>
            <w:tcBorders>
              <w:top w:val="nil"/>
              <w:left w:val="nil"/>
              <w:bottom w:val="nil"/>
              <w:right w:val="nil"/>
            </w:tcBorders>
            <w:noWrap/>
            <w:vAlign w:val="center"/>
          </w:tcPr>
          <w:p w14:paraId="141D88D2" w14:textId="77777777" w:rsidR="005169A9" w:rsidRPr="00DE52C8" w:rsidRDefault="005169A9" w:rsidP="004B3432">
            <w:pPr>
              <w:shd w:val="clear" w:color="auto" w:fill="FFFFFF" w:themeFill="background1"/>
              <w:contextualSpacing/>
              <w:rPr>
                <w:rFonts w:cs="Arial"/>
                <w:sz w:val="18"/>
                <w:szCs w:val="18"/>
              </w:rPr>
            </w:pPr>
            <w:r w:rsidRPr="00DE52C8">
              <w:rPr>
                <w:rFonts w:cs="Arial"/>
                <w:sz w:val="18"/>
                <w:szCs w:val="18"/>
              </w:rPr>
              <w:t>komplexní pozemkové úpravy</w:t>
            </w:r>
          </w:p>
        </w:tc>
      </w:tr>
      <w:tr w:rsidR="00AA08C9" w:rsidRPr="00DE52C8" w14:paraId="58E4D51A" w14:textId="77777777" w:rsidTr="004105E4">
        <w:trPr>
          <w:trHeight w:val="283"/>
        </w:trPr>
        <w:tc>
          <w:tcPr>
            <w:tcW w:w="2220" w:type="dxa"/>
            <w:tcBorders>
              <w:top w:val="nil"/>
              <w:left w:val="nil"/>
              <w:bottom w:val="nil"/>
              <w:right w:val="nil"/>
            </w:tcBorders>
            <w:noWrap/>
            <w:vAlign w:val="center"/>
            <w:hideMark/>
          </w:tcPr>
          <w:p w14:paraId="18AB5DD4"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LČR</w:t>
            </w:r>
          </w:p>
        </w:tc>
        <w:tc>
          <w:tcPr>
            <w:tcW w:w="7009" w:type="dxa"/>
            <w:tcBorders>
              <w:top w:val="nil"/>
              <w:left w:val="nil"/>
              <w:bottom w:val="nil"/>
              <w:right w:val="nil"/>
            </w:tcBorders>
            <w:noWrap/>
            <w:vAlign w:val="center"/>
            <w:hideMark/>
          </w:tcPr>
          <w:p w14:paraId="013B3ECC"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Lesy České republiky, s. p.</w:t>
            </w:r>
          </w:p>
        </w:tc>
      </w:tr>
      <w:tr w:rsidR="00AA08C9" w:rsidRPr="00DE52C8" w14:paraId="4AE7FB7E" w14:textId="77777777" w:rsidTr="004105E4">
        <w:trPr>
          <w:trHeight w:val="283"/>
        </w:trPr>
        <w:tc>
          <w:tcPr>
            <w:tcW w:w="2220" w:type="dxa"/>
            <w:tcBorders>
              <w:top w:val="nil"/>
              <w:left w:val="nil"/>
              <w:bottom w:val="nil"/>
              <w:right w:val="nil"/>
            </w:tcBorders>
            <w:noWrap/>
            <w:vAlign w:val="center"/>
            <w:hideMark/>
          </w:tcPr>
          <w:p w14:paraId="30175835" w14:textId="350B5B2E" w:rsidR="00C97626" w:rsidRPr="00DE52C8" w:rsidRDefault="00C97626" w:rsidP="004B3432">
            <w:pPr>
              <w:shd w:val="clear" w:color="auto" w:fill="FFFFFF" w:themeFill="background1"/>
              <w:contextualSpacing/>
              <w:rPr>
                <w:rFonts w:cs="Arial"/>
                <w:sz w:val="18"/>
                <w:szCs w:val="18"/>
              </w:rPr>
            </w:pPr>
            <w:r w:rsidRPr="00DE52C8">
              <w:rPr>
                <w:rFonts w:cs="Arial"/>
                <w:sz w:val="18"/>
                <w:szCs w:val="18"/>
              </w:rPr>
              <w:t>MCPA</w:t>
            </w:r>
          </w:p>
          <w:p w14:paraId="5DD01ABD" w14:textId="73E4EAF9"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MKOD</w:t>
            </w:r>
          </w:p>
        </w:tc>
        <w:tc>
          <w:tcPr>
            <w:tcW w:w="7009" w:type="dxa"/>
            <w:tcBorders>
              <w:top w:val="nil"/>
              <w:left w:val="nil"/>
              <w:bottom w:val="nil"/>
              <w:right w:val="nil"/>
            </w:tcBorders>
            <w:noWrap/>
            <w:vAlign w:val="center"/>
            <w:hideMark/>
          </w:tcPr>
          <w:p w14:paraId="4B7BF8D4" w14:textId="3D9FBC18" w:rsidR="00C97626" w:rsidRPr="00DE52C8" w:rsidRDefault="00C97626" w:rsidP="004B3432">
            <w:pPr>
              <w:shd w:val="clear" w:color="auto" w:fill="FFFFFF" w:themeFill="background1"/>
              <w:contextualSpacing/>
              <w:rPr>
                <w:rFonts w:cs="Arial"/>
                <w:sz w:val="18"/>
                <w:szCs w:val="18"/>
              </w:rPr>
            </w:pPr>
            <w:r w:rsidRPr="00DE52C8">
              <w:rPr>
                <w:rFonts w:cs="Arial"/>
                <w:sz w:val="18"/>
                <w:szCs w:val="18"/>
              </w:rPr>
              <w:t>kyselina 4-chloro-o-tolyloxyoctová</w:t>
            </w:r>
          </w:p>
          <w:p w14:paraId="139EB73B" w14:textId="0FB5C60F"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Mezinárodní komise pro ochranu Dunaje</w:t>
            </w:r>
          </w:p>
        </w:tc>
      </w:tr>
      <w:tr w:rsidR="00AA08C9" w:rsidRPr="00DE52C8" w14:paraId="11EED4F8" w14:textId="77777777" w:rsidTr="004105E4">
        <w:trPr>
          <w:trHeight w:val="283"/>
        </w:trPr>
        <w:tc>
          <w:tcPr>
            <w:tcW w:w="2220" w:type="dxa"/>
            <w:tcBorders>
              <w:top w:val="nil"/>
              <w:left w:val="nil"/>
              <w:bottom w:val="nil"/>
              <w:right w:val="nil"/>
            </w:tcBorders>
            <w:noWrap/>
            <w:vAlign w:val="center"/>
            <w:hideMark/>
          </w:tcPr>
          <w:p w14:paraId="40A7FF4B"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MKOL</w:t>
            </w:r>
          </w:p>
        </w:tc>
        <w:tc>
          <w:tcPr>
            <w:tcW w:w="7009" w:type="dxa"/>
            <w:tcBorders>
              <w:top w:val="nil"/>
              <w:left w:val="nil"/>
              <w:bottom w:val="nil"/>
              <w:right w:val="nil"/>
            </w:tcBorders>
            <w:noWrap/>
            <w:vAlign w:val="center"/>
            <w:hideMark/>
          </w:tcPr>
          <w:p w14:paraId="07F9B704"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Mezinárodní komise pro ochranu Labe</w:t>
            </w:r>
          </w:p>
        </w:tc>
      </w:tr>
      <w:tr w:rsidR="00AA08C9" w:rsidRPr="00DE52C8" w14:paraId="6B119687" w14:textId="77777777" w:rsidTr="004105E4">
        <w:trPr>
          <w:trHeight w:val="283"/>
        </w:trPr>
        <w:tc>
          <w:tcPr>
            <w:tcW w:w="2220" w:type="dxa"/>
            <w:tcBorders>
              <w:top w:val="nil"/>
              <w:left w:val="nil"/>
              <w:bottom w:val="nil"/>
              <w:right w:val="nil"/>
            </w:tcBorders>
            <w:noWrap/>
            <w:vAlign w:val="center"/>
            <w:hideMark/>
          </w:tcPr>
          <w:p w14:paraId="126CF0A2" w14:textId="77777777" w:rsidR="00DF232B" w:rsidRPr="00DE52C8" w:rsidRDefault="00DF232B" w:rsidP="004B3432">
            <w:pPr>
              <w:shd w:val="clear" w:color="auto" w:fill="FFFFFF" w:themeFill="background1"/>
              <w:contextualSpacing/>
              <w:rPr>
                <w:rFonts w:cs="Arial"/>
                <w:sz w:val="18"/>
                <w:szCs w:val="18"/>
              </w:rPr>
            </w:pPr>
            <w:proofErr w:type="spellStart"/>
            <w:r w:rsidRPr="00DE52C8">
              <w:rPr>
                <w:rFonts w:cs="Arial"/>
                <w:sz w:val="18"/>
                <w:szCs w:val="18"/>
              </w:rPr>
              <w:t>MKOOpZ</w:t>
            </w:r>
            <w:proofErr w:type="spellEnd"/>
          </w:p>
        </w:tc>
        <w:tc>
          <w:tcPr>
            <w:tcW w:w="7009" w:type="dxa"/>
            <w:tcBorders>
              <w:top w:val="nil"/>
              <w:left w:val="nil"/>
              <w:bottom w:val="nil"/>
              <w:right w:val="nil"/>
            </w:tcBorders>
            <w:noWrap/>
            <w:vAlign w:val="center"/>
            <w:hideMark/>
          </w:tcPr>
          <w:p w14:paraId="785835B7"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Mezinárodní komise pro ochranu Odry před znečištěním</w:t>
            </w:r>
          </w:p>
        </w:tc>
      </w:tr>
      <w:tr w:rsidR="00AA08C9" w:rsidRPr="00DE52C8" w14:paraId="79E63D03" w14:textId="77777777" w:rsidTr="004105E4">
        <w:trPr>
          <w:trHeight w:val="283"/>
        </w:trPr>
        <w:tc>
          <w:tcPr>
            <w:tcW w:w="2220" w:type="dxa"/>
            <w:tcBorders>
              <w:top w:val="nil"/>
              <w:left w:val="nil"/>
              <w:bottom w:val="nil"/>
              <w:right w:val="nil"/>
            </w:tcBorders>
            <w:noWrap/>
            <w:vAlign w:val="center"/>
          </w:tcPr>
          <w:p w14:paraId="1CC8AC5C" w14:textId="77777777" w:rsidR="00145DC5" w:rsidRPr="00DE52C8" w:rsidRDefault="00145DC5" w:rsidP="004B3432">
            <w:pPr>
              <w:shd w:val="clear" w:color="auto" w:fill="FFFFFF" w:themeFill="background1"/>
              <w:contextualSpacing/>
              <w:rPr>
                <w:rFonts w:cs="Arial"/>
                <w:sz w:val="18"/>
                <w:szCs w:val="18"/>
              </w:rPr>
            </w:pPr>
            <w:r w:rsidRPr="00DE52C8">
              <w:rPr>
                <w:rFonts w:cs="Arial"/>
                <w:sz w:val="18"/>
                <w:szCs w:val="18"/>
              </w:rPr>
              <w:t>MŠMT</w:t>
            </w:r>
          </w:p>
        </w:tc>
        <w:tc>
          <w:tcPr>
            <w:tcW w:w="7009" w:type="dxa"/>
            <w:tcBorders>
              <w:top w:val="nil"/>
              <w:left w:val="nil"/>
              <w:bottom w:val="nil"/>
              <w:right w:val="nil"/>
            </w:tcBorders>
            <w:noWrap/>
            <w:vAlign w:val="center"/>
          </w:tcPr>
          <w:p w14:paraId="59890DE0" w14:textId="77777777" w:rsidR="00145DC5" w:rsidRPr="00DE52C8" w:rsidRDefault="00145DC5" w:rsidP="004B3432">
            <w:pPr>
              <w:shd w:val="clear" w:color="auto" w:fill="FFFFFF" w:themeFill="background1"/>
              <w:contextualSpacing/>
              <w:rPr>
                <w:rFonts w:cs="Arial"/>
                <w:sz w:val="18"/>
                <w:szCs w:val="18"/>
              </w:rPr>
            </w:pPr>
            <w:r w:rsidRPr="00DE52C8">
              <w:rPr>
                <w:rFonts w:cs="Arial"/>
                <w:sz w:val="18"/>
                <w:szCs w:val="18"/>
              </w:rPr>
              <w:t>Ministerstvo školství, mládeže a tělovýchovy</w:t>
            </w:r>
          </w:p>
        </w:tc>
      </w:tr>
      <w:tr w:rsidR="00AA08C9" w:rsidRPr="00DE52C8" w14:paraId="34FA7BA9" w14:textId="77777777" w:rsidTr="004105E4">
        <w:trPr>
          <w:trHeight w:val="283"/>
        </w:trPr>
        <w:tc>
          <w:tcPr>
            <w:tcW w:w="2220" w:type="dxa"/>
            <w:tcBorders>
              <w:top w:val="nil"/>
              <w:left w:val="nil"/>
              <w:bottom w:val="nil"/>
              <w:right w:val="nil"/>
            </w:tcBorders>
            <w:noWrap/>
            <w:vAlign w:val="center"/>
            <w:hideMark/>
          </w:tcPr>
          <w:p w14:paraId="10BF98D9"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MVE</w:t>
            </w:r>
          </w:p>
        </w:tc>
        <w:tc>
          <w:tcPr>
            <w:tcW w:w="7009" w:type="dxa"/>
            <w:tcBorders>
              <w:top w:val="nil"/>
              <w:left w:val="nil"/>
              <w:bottom w:val="nil"/>
              <w:right w:val="nil"/>
            </w:tcBorders>
            <w:noWrap/>
            <w:vAlign w:val="center"/>
            <w:hideMark/>
          </w:tcPr>
          <w:p w14:paraId="215780F2"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malá vodní elektrárna</w:t>
            </w:r>
          </w:p>
        </w:tc>
      </w:tr>
      <w:tr w:rsidR="00AA08C9" w:rsidRPr="00DE52C8" w14:paraId="5FC18C1C" w14:textId="77777777" w:rsidTr="004105E4">
        <w:trPr>
          <w:trHeight w:val="283"/>
        </w:trPr>
        <w:tc>
          <w:tcPr>
            <w:tcW w:w="2220" w:type="dxa"/>
            <w:tcBorders>
              <w:top w:val="nil"/>
              <w:left w:val="nil"/>
              <w:bottom w:val="nil"/>
              <w:right w:val="nil"/>
            </w:tcBorders>
            <w:noWrap/>
            <w:vAlign w:val="center"/>
            <w:hideMark/>
          </w:tcPr>
          <w:p w14:paraId="0866E1A2"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MZe</w:t>
            </w:r>
          </w:p>
        </w:tc>
        <w:tc>
          <w:tcPr>
            <w:tcW w:w="7009" w:type="dxa"/>
            <w:tcBorders>
              <w:top w:val="nil"/>
              <w:left w:val="nil"/>
              <w:bottom w:val="nil"/>
              <w:right w:val="nil"/>
            </w:tcBorders>
            <w:noWrap/>
            <w:vAlign w:val="center"/>
            <w:hideMark/>
          </w:tcPr>
          <w:p w14:paraId="6DEAB228"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Ministerstvo zemědělství</w:t>
            </w:r>
          </w:p>
        </w:tc>
      </w:tr>
      <w:tr w:rsidR="00AA08C9" w:rsidRPr="00DE52C8" w14:paraId="662323B4" w14:textId="77777777" w:rsidTr="004105E4">
        <w:trPr>
          <w:trHeight w:val="283"/>
        </w:trPr>
        <w:tc>
          <w:tcPr>
            <w:tcW w:w="2220" w:type="dxa"/>
            <w:tcBorders>
              <w:top w:val="nil"/>
              <w:left w:val="nil"/>
              <w:bottom w:val="nil"/>
              <w:right w:val="nil"/>
            </w:tcBorders>
            <w:noWrap/>
            <w:vAlign w:val="center"/>
          </w:tcPr>
          <w:p w14:paraId="1F28F773"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MZ</w:t>
            </w:r>
          </w:p>
        </w:tc>
        <w:tc>
          <w:tcPr>
            <w:tcW w:w="7009" w:type="dxa"/>
            <w:tcBorders>
              <w:top w:val="nil"/>
              <w:left w:val="nil"/>
              <w:bottom w:val="nil"/>
              <w:right w:val="nil"/>
            </w:tcBorders>
            <w:noWrap/>
            <w:vAlign w:val="center"/>
          </w:tcPr>
          <w:p w14:paraId="01A9B220"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Ministerstvo zdravotnictví</w:t>
            </w:r>
          </w:p>
        </w:tc>
      </w:tr>
      <w:tr w:rsidR="00AA08C9" w:rsidRPr="00DE52C8" w14:paraId="79A896DE" w14:textId="77777777" w:rsidTr="004105E4">
        <w:trPr>
          <w:trHeight w:val="283"/>
        </w:trPr>
        <w:tc>
          <w:tcPr>
            <w:tcW w:w="2220" w:type="dxa"/>
            <w:tcBorders>
              <w:top w:val="nil"/>
              <w:left w:val="nil"/>
              <w:bottom w:val="nil"/>
              <w:right w:val="nil"/>
            </w:tcBorders>
            <w:noWrap/>
            <w:vAlign w:val="center"/>
            <w:hideMark/>
          </w:tcPr>
          <w:p w14:paraId="6D1DA56D"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MŽP</w:t>
            </w:r>
          </w:p>
        </w:tc>
        <w:tc>
          <w:tcPr>
            <w:tcW w:w="7009" w:type="dxa"/>
            <w:tcBorders>
              <w:top w:val="nil"/>
              <w:left w:val="nil"/>
              <w:bottom w:val="nil"/>
              <w:right w:val="nil"/>
            </w:tcBorders>
            <w:noWrap/>
            <w:vAlign w:val="center"/>
            <w:hideMark/>
          </w:tcPr>
          <w:p w14:paraId="256047A0"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Ministerstvo životního prostředí České republiky</w:t>
            </w:r>
          </w:p>
        </w:tc>
      </w:tr>
      <w:tr w:rsidR="00AA08C9" w:rsidRPr="00DE52C8" w14:paraId="28123845" w14:textId="77777777" w:rsidTr="004105E4">
        <w:trPr>
          <w:trHeight w:val="283"/>
        </w:trPr>
        <w:tc>
          <w:tcPr>
            <w:tcW w:w="2220" w:type="dxa"/>
            <w:tcBorders>
              <w:top w:val="nil"/>
              <w:left w:val="nil"/>
              <w:bottom w:val="nil"/>
              <w:right w:val="nil"/>
            </w:tcBorders>
            <w:noWrap/>
            <w:vAlign w:val="center"/>
            <w:hideMark/>
          </w:tcPr>
          <w:p w14:paraId="24BE0635" w14:textId="2900EC22" w:rsidR="00C97626" w:rsidRPr="00DE52C8" w:rsidRDefault="00C97626" w:rsidP="004B3432">
            <w:pPr>
              <w:shd w:val="clear" w:color="auto" w:fill="FFFFFF" w:themeFill="background1"/>
              <w:contextualSpacing/>
              <w:rPr>
                <w:rFonts w:cs="Arial"/>
                <w:sz w:val="18"/>
                <w:szCs w:val="18"/>
              </w:rPr>
            </w:pPr>
            <w:r w:rsidRPr="00DE52C8">
              <w:rPr>
                <w:rFonts w:cs="Arial"/>
                <w:sz w:val="18"/>
                <w:szCs w:val="18"/>
              </w:rPr>
              <w:t>N</w:t>
            </w:r>
          </w:p>
          <w:p w14:paraId="53B0C95E" w14:textId="67FE6037" w:rsidR="00DF232B" w:rsidRPr="00DE52C8" w:rsidRDefault="00DF232B" w:rsidP="004B3432">
            <w:pPr>
              <w:shd w:val="clear" w:color="auto" w:fill="FFFFFF" w:themeFill="background1"/>
              <w:contextualSpacing/>
              <w:rPr>
                <w:rFonts w:cs="Arial"/>
                <w:sz w:val="18"/>
                <w:szCs w:val="18"/>
              </w:rPr>
            </w:pPr>
            <w:proofErr w:type="spellStart"/>
            <w:r w:rsidRPr="00DE52C8">
              <w:rPr>
                <w:rFonts w:cs="Arial"/>
                <w:sz w:val="18"/>
                <w:szCs w:val="18"/>
              </w:rPr>
              <w:t>N</w:t>
            </w:r>
            <w:r w:rsidRPr="00DE52C8">
              <w:rPr>
                <w:rFonts w:cs="Arial"/>
                <w:sz w:val="18"/>
                <w:szCs w:val="18"/>
                <w:vertAlign w:val="subscript"/>
              </w:rPr>
              <w:t>anorg</w:t>
            </w:r>
            <w:proofErr w:type="spellEnd"/>
          </w:p>
        </w:tc>
        <w:tc>
          <w:tcPr>
            <w:tcW w:w="7009" w:type="dxa"/>
            <w:tcBorders>
              <w:top w:val="nil"/>
              <w:left w:val="nil"/>
              <w:bottom w:val="nil"/>
              <w:right w:val="nil"/>
            </w:tcBorders>
            <w:noWrap/>
            <w:vAlign w:val="center"/>
            <w:hideMark/>
          </w:tcPr>
          <w:p w14:paraId="0AD149A3" w14:textId="196650D1" w:rsidR="00C97626" w:rsidRPr="00DE52C8" w:rsidRDefault="00C97626" w:rsidP="004B3432">
            <w:pPr>
              <w:shd w:val="clear" w:color="auto" w:fill="FFFFFF" w:themeFill="background1"/>
              <w:contextualSpacing/>
              <w:rPr>
                <w:rFonts w:cs="Arial"/>
                <w:sz w:val="18"/>
                <w:szCs w:val="18"/>
              </w:rPr>
            </w:pPr>
            <w:r w:rsidRPr="00DE52C8">
              <w:rPr>
                <w:rFonts w:cs="Arial"/>
                <w:sz w:val="18"/>
                <w:szCs w:val="18"/>
              </w:rPr>
              <w:t>nitrifikace</w:t>
            </w:r>
          </w:p>
          <w:p w14:paraId="402A0BC4" w14:textId="236F95C4"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anorganický dusík</w:t>
            </w:r>
          </w:p>
        </w:tc>
      </w:tr>
      <w:tr w:rsidR="00AA08C9" w:rsidRPr="00DE52C8" w14:paraId="1946DC6D" w14:textId="77777777" w:rsidTr="004105E4">
        <w:trPr>
          <w:trHeight w:val="283"/>
        </w:trPr>
        <w:tc>
          <w:tcPr>
            <w:tcW w:w="2220" w:type="dxa"/>
            <w:tcBorders>
              <w:top w:val="nil"/>
              <w:left w:val="nil"/>
              <w:bottom w:val="nil"/>
              <w:right w:val="nil"/>
            </w:tcBorders>
            <w:noWrap/>
            <w:vAlign w:val="center"/>
            <w:hideMark/>
          </w:tcPr>
          <w:p w14:paraId="5E056F47"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NEK</w:t>
            </w:r>
          </w:p>
        </w:tc>
        <w:tc>
          <w:tcPr>
            <w:tcW w:w="7009" w:type="dxa"/>
            <w:tcBorders>
              <w:top w:val="nil"/>
              <w:left w:val="nil"/>
              <w:bottom w:val="nil"/>
              <w:right w:val="nil"/>
            </w:tcBorders>
            <w:noWrap/>
            <w:vAlign w:val="center"/>
            <w:hideMark/>
          </w:tcPr>
          <w:p w14:paraId="118AEA30"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normy environmentální kvality</w:t>
            </w:r>
          </w:p>
        </w:tc>
      </w:tr>
      <w:tr w:rsidR="00AA08C9" w:rsidRPr="00DE52C8" w14:paraId="3618B1C9" w14:textId="77777777" w:rsidTr="004105E4">
        <w:trPr>
          <w:trHeight w:val="283"/>
        </w:trPr>
        <w:tc>
          <w:tcPr>
            <w:tcW w:w="2220" w:type="dxa"/>
            <w:tcBorders>
              <w:top w:val="nil"/>
              <w:left w:val="nil"/>
              <w:bottom w:val="nil"/>
              <w:right w:val="nil"/>
            </w:tcBorders>
            <w:noWrap/>
            <w:vAlign w:val="center"/>
            <w:hideMark/>
          </w:tcPr>
          <w:p w14:paraId="4E8302C9"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NL</w:t>
            </w:r>
          </w:p>
        </w:tc>
        <w:tc>
          <w:tcPr>
            <w:tcW w:w="7009" w:type="dxa"/>
            <w:tcBorders>
              <w:top w:val="nil"/>
              <w:left w:val="nil"/>
              <w:bottom w:val="nil"/>
              <w:right w:val="nil"/>
            </w:tcBorders>
            <w:noWrap/>
            <w:vAlign w:val="center"/>
            <w:hideMark/>
          </w:tcPr>
          <w:p w14:paraId="130EB3E9"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nerozpuštěné látky</w:t>
            </w:r>
          </w:p>
        </w:tc>
      </w:tr>
      <w:tr w:rsidR="00AA08C9" w:rsidRPr="00DE52C8" w14:paraId="5F969F9F" w14:textId="77777777" w:rsidTr="004105E4">
        <w:trPr>
          <w:trHeight w:val="283"/>
        </w:trPr>
        <w:tc>
          <w:tcPr>
            <w:tcW w:w="2220" w:type="dxa"/>
            <w:tcBorders>
              <w:top w:val="nil"/>
              <w:left w:val="nil"/>
              <w:bottom w:val="nil"/>
              <w:right w:val="nil"/>
            </w:tcBorders>
            <w:noWrap/>
            <w:vAlign w:val="center"/>
          </w:tcPr>
          <w:p w14:paraId="318F904D" w14:textId="0C2D1DEE" w:rsidR="00C97626" w:rsidRPr="00DE52C8" w:rsidRDefault="00C97626" w:rsidP="004B3432">
            <w:pPr>
              <w:shd w:val="clear" w:color="auto" w:fill="FFFFFF" w:themeFill="background1"/>
              <w:contextualSpacing/>
              <w:rPr>
                <w:rFonts w:cs="Arial"/>
                <w:sz w:val="18"/>
                <w:szCs w:val="18"/>
              </w:rPr>
            </w:pPr>
            <w:r w:rsidRPr="00DE52C8">
              <w:rPr>
                <w:rFonts w:cs="Arial"/>
                <w:sz w:val="18"/>
                <w:szCs w:val="18"/>
              </w:rPr>
              <w:t>NPO</w:t>
            </w:r>
          </w:p>
          <w:p w14:paraId="6C693213" w14:textId="05373241" w:rsidR="00145DC5" w:rsidRPr="00DE52C8" w:rsidRDefault="00145DC5" w:rsidP="004B3432">
            <w:pPr>
              <w:shd w:val="clear" w:color="auto" w:fill="FFFFFF" w:themeFill="background1"/>
              <w:contextualSpacing/>
              <w:rPr>
                <w:rFonts w:cs="Arial"/>
                <w:sz w:val="18"/>
                <w:szCs w:val="18"/>
              </w:rPr>
            </w:pPr>
            <w:r w:rsidRPr="00DE52C8">
              <w:rPr>
                <w:rFonts w:cs="Arial"/>
                <w:sz w:val="18"/>
                <w:szCs w:val="18"/>
              </w:rPr>
              <w:t>NPP</w:t>
            </w:r>
          </w:p>
        </w:tc>
        <w:tc>
          <w:tcPr>
            <w:tcW w:w="7009" w:type="dxa"/>
            <w:tcBorders>
              <w:top w:val="nil"/>
              <w:left w:val="nil"/>
              <w:bottom w:val="nil"/>
              <w:right w:val="nil"/>
            </w:tcBorders>
            <w:noWrap/>
            <w:vAlign w:val="center"/>
          </w:tcPr>
          <w:p w14:paraId="2A9634AA" w14:textId="12632AF0" w:rsidR="00C97626" w:rsidRPr="00DE52C8" w:rsidRDefault="00C97626" w:rsidP="004B3432">
            <w:pPr>
              <w:shd w:val="clear" w:color="auto" w:fill="FFFFFF" w:themeFill="background1"/>
              <w:contextualSpacing/>
              <w:rPr>
                <w:rFonts w:cs="Arial"/>
                <w:sz w:val="18"/>
                <w:szCs w:val="18"/>
              </w:rPr>
            </w:pPr>
            <w:r w:rsidRPr="00DE52C8">
              <w:rPr>
                <w:rFonts w:cs="Arial"/>
                <w:sz w:val="18"/>
                <w:szCs w:val="18"/>
              </w:rPr>
              <w:t>Národní plán obnovy</w:t>
            </w:r>
          </w:p>
          <w:p w14:paraId="1AB2FCBD" w14:textId="39E1E836" w:rsidR="00145DC5" w:rsidRPr="00DE52C8" w:rsidRDefault="00145DC5" w:rsidP="004B3432">
            <w:pPr>
              <w:shd w:val="clear" w:color="auto" w:fill="FFFFFF" w:themeFill="background1"/>
              <w:contextualSpacing/>
              <w:rPr>
                <w:rFonts w:cs="Arial"/>
                <w:sz w:val="18"/>
                <w:szCs w:val="18"/>
              </w:rPr>
            </w:pPr>
            <w:r w:rsidRPr="00DE52C8">
              <w:rPr>
                <w:rFonts w:cs="Arial"/>
                <w:sz w:val="18"/>
                <w:szCs w:val="18"/>
              </w:rPr>
              <w:t>národní plány povodí</w:t>
            </w:r>
          </w:p>
        </w:tc>
      </w:tr>
      <w:tr w:rsidR="00AA08C9" w:rsidRPr="00DE52C8" w14:paraId="09B3AD5B" w14:textId="77777777" w:rsidTr="004105E4">
        <w:trPr>
          <w:trHeight w:val="283"/>
        </w:trPr>
        <w:tc>
          <w:tcPr>
            <w:tcW w:w="2220" w:type="dxa"/>
            <w:tcBorders>
              <w:top w:val="nil"/>
              <w:left w:val="nil"/>
              <w:bottom w:val="nil"/>
              <w:right w:val="nil"/>
            </w:tcBorders>
            <w:noWrap/>
            <w:vAlign w:val="center"/>
          </w:tcPr>
          <w:p w14:paraId="3D8282CB" w14:textId="4757F55A" w:rsidR="00230E26" w:rsidRPr="00DE52C8" w:rsidRDefault="00230E26" w:rsidP="004B3432">
            <w:pPr>
              <w:shd w:val="clear" w:color="auto" w:fill="FFFFFF" w:themeFill="background1"/>
              <w:contextualSpacing/>
              <w:rPr>
                <w:rFonts w:cs="Arial"/>
                <w:sz w:val="18"/>
                <w:szCs w:val="18"/>
              </w:rPr>
            </w:pPr>
            <w:r w:rsidRPr="00DE52C8">
              <w:rPr>
                <w:sz w:val="18"/>
                <w:szCs w:val="18"/>
              </w:rPr>
              <w:t>NV 401/2015</w:t>
            </w:r>
          </w:p>
        </w:tc>
        <w:tc>
          <w:tcPr>
            <w:tcW w:w="7009" w:type="dxa"/>
            <w:tcBorders>
              <w:top w:val="nil"/>
              <w:left w:val="nil"/>
              <w:bottom w:val="nil"/>
              <w:right w:val="nil"/>
            </w:tcBorders>
            <w:noWrap/>
            <w:vAlign w:val="center"/>
          </w:tcPr>
          <w:p w14:paraId="52E080A2" w14:textId="1A9480D6" w:rsidR="00230E26" w:rsidRPr="00DE52C8" w:rsidRDefault="00230E26" w:rsidP="004B3432">
            <w:pPr>
              <w:shd w:val="clear" w:color="auto" w:fill="FFFFFF" w:themeFill="background1"/>
              <w:contextualSpacing/>
              <w:rPr>
                <w:rFonts w:cs="Arial"/>
                <w:sz w:val="18"/>
                <w:szCs w:val="18"/>
              </w:rPr>
            </w:pPr>
            <w:r w:rsidRPr="00DE52C8">
              <w:rPr>
                <w:sz w:val="18"/>
                <w:szCs w:val="18"/>
              </w:rPr>
              <w:t xml:space="preserve">nařízení vlády č. 401/2015 Sb., o ukazatelích a hodnotách přípustného znečištění povrchových vod a odpadních vod, náležitostech povolení k vypouštění odpadních do vod povrchových a do kanalizací a o citlivých oblastech, v platném znění </w:t>
            </w:r>
          </w:p>
        </w:tc>
      </w:tr>
      <w:tr w:rsidR="001300F9" w:rsidRPr="00DE52C8" w14:paraId="21AF5CD8" w14:textId="77777777" w:rsidTr="004105E4">
        <w:trPr>
          <w:trHeight w:val="283"/>
        </w:trPr>
        <w:tc>
          <w:tcPr>
            <w:tcW w:w="2220" w:type="dxa"/>
            <w:tcBorders>
              <w:top w:val="nil"/>
              <w:left w:val="nil"/>
              <w:bottom w:val="nil"/>
              <w:right w:val="nil"/>
            </w:tcBorders>
            <w:noWrap/>
            <w:vAlign w:val="center"/>
          </w:tcPr>
          <w:p w14:paraId="74F1FAD5" w14:textId="7FB1F6A9" w:rsidR="001300F9" w:rsidRPr="00DE52C8" w:rsidRDefault="00662EB5" w:rsidP="004B3432">
            <w:pPr>
              <w:shd w:val="clear" w:color="auto" w:fill="FFFFFF" w:themeFill="background1"/>
              <w:contextualSpacing/>
              <w:rPr>
                <w:rFonts w:cs="Arial"/>
                <w:sz w:val="18"/>
                <w:szCs w:val="18"/>
              </w:rPr>
            </w:pPr>
            <w:r w:rsidRPr="00DE52C8">
              <w:rPr>
                <w:rFonts w:cs="Arial"/>
                <w:sz w:val="18"/>
                <w:szCs w:val="18"/>
              </w:rPr>
              <w:t>OEZ</w:t>
            </w:r>
          </w:p>
        </w:tc>
        <w:tc>
          <w:tcPr>
            <w:tcW w:w="7009" w:type="dxa"/>
            <w:tcBorders>
              <w:top w:val="nil"/>
              <w:left w:val="nil"/>
              <w:bottom w:val="nil"/>
              <w:right w:val="nil"/>
            </w:tcBorders>
            <w:noWrap/>
            <w:vAlign w:val="center"/>
          </w:tcPr>
          <w:p w14:paraId="0230B57E" w14:textId="6A387836" w:rsidR="001300F9" w:rsidRPr="00DE52C8" w:rsidRDefault="00662EB5" w:rsidP="004B3432">
            <w:pPr>
              <w:shd w:val="clear" w:color="auto" w:fill="FFFFFF" w:themeFill="background1"/>
              <w:contextualSpacing/>
              <w:rPr>
                <w:rFonts w:cs="Arial"/>
                <w:sz w:val="18"/>
                <w:szCs w:val="18"/>
              </w:rPr>
            </w:pPr>
            <w:r w:rsidRPr="00DE52C8">
              <w:rPr>
                <w:rFonts w:cs="Arial"/>
                <w:sz w:val="18"/>
                <w:szCs w:val="18"/>
              </w:rPr>
              <w:t>Obnovitelné energetické zdroje</w:t>
            </w:r>
          </w:p>
        </w:tc>
      </w:tr>
      <w:tr w:rsidR="00AA08C9" w:rsidRPr="00DE52C8" w14:paraId="3ECAD2C8" w14:textId="77777777" w:rsidTr="004105E4">
        <w:trPr>
          <w:trHeight w:val="283"/>
        </w:trPr>
        <w:tc>
          <w:tcPr>
            <w:tcW w:w="2220" w:type="dxa"/>
            <w:tcBorders>
              <w:top w:val="nil"/>
              <w:left w:val="nil"/>
              <w:bottom w:val="nil"/>
              <w:right w:val="nil"/>
            </w:tcBorders>
            <w:noWrap/>
            <w:vAlign w:val="center"/>
            <w:hideMark/>
          </w:tcPr>
          <w:p w14:paraId="30C51841" w14:textId="7F2709FC" w:rsidR="006F22F1" w:rsidRPr="00DE52C8" w:rsidRDefault="006F22F1" w:rsidP="004B3432">
            <w:pPr>
              <w:shd w:val="clear" w:color="auto" w:fill="FFFFFF" w:themeFill="background1"/>
              <w:contextualSpacing/>
              <w:rPr>
                <w:rFonts w:cs="Arial"/>
                <w:sz w:val="18"/>
                <w:szCs w:val="18"/>
              </w:rPr>
            </w:pPr>
            <w:r w:rsidRPr="00DE52C8">
              <w:rPr>
                <w:rFonts w:cs="Arial"/>
                <w:sz w:val="18"/>
                <w:szCs w:val="18"/>
              </w:rPr>
              <w:t>OA</w:t>
            </w:r>
          </w:p>
          <w:p w14:paraId="3076831C" w14:textId="2CAAD549"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OPŽP</w:t>
            </w:r>
          </w:p>
        </w:tc>
        <w:tc>
          <w:tcPr>
            <w:tcW w:w="7009" w:type="dxa"/>
            <w:tcBorders>
              <w:top w:val="nil"/>
              <w:left w:val="nil"/>
              <w:bottom w:val="nil"/>
              <w:right w:val="nil"/>
            </w:tcBorders>
            <w:noWrap/>
            <w:vAlign w:val="center"/>
            <w:hideMark/>
          </w:tcPr>
          <w:p w14:paraId="650831C9" w14:textId="2FDA7079" w:rsidR="006F22F1" w:rsidRPr="00DE52C8" w:rsidRDefault="006F22F1" w:rsidP="004B3432">
            <w:pPr>
              <w:shd w:val="clear" w:color="auto" w:fill="FFFFFF" w:themeFill="background1"/>
              <w:contextualSpacing/>
              <w:rPr>
                <w:rFonts w:cs="Arial"/>
                <w:sz w:val="18"/>
                <w:szCs w:val="18"/>
              </w:rPr>
            </w:pPr>
            <w:proofErr w:type="spellStart"/>
            <w:r w:rsidRPr="00DE52C8">
              <w:rPr>
                <w:rFonts w:cs="Arial"/>
                <w:sz w:val="18"/>
                <w:szCs w:val="18"/>
              </w:rPr>
              <w:t>oxalamic</w:t>
            </w:r>
            <w:proofErr w:type="spellEnd"/>
            <w:r w:rsidRPr="00DE52C8">
              <w:rPr>
                <w:rFonts w:cs="Arial"/>
                <w:sz w:val="18"/>
                <w:szCs w:val="18"/>
              </w:rPr>
              <w:t xml:space="preserve"> acid</w:t>
            </w:r>
          </w:p>
          <w:p w14:paraId="4D9095AC" w14:textId="17B710B2"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Operační program Životní prostředí</w:t>
            </w:r>
          </w:p>
        </w:tc>
      </w:tr>
      <w:tr w:rsidR="00AA08C9" w:rsidRPr="00DE52C8" w14:paraId="3309D978" w14:textId="77777777" w:rsidTr="004105E4">
        <w:trPr>
          <w:trHeight w:val="283"/>
        </w:trPr>
        <w:tc>
          <w:tcPr>
            <w:tcW w:w="2220" w:type="dxa"/>
            <w:tcBorders>
              <w:top w:val="nil"/>
              <w:left w:val="nil"/>
              <w:bottom w:val="nil"/>
              <w:right w:val="nil"/>
            </w:tcBorders>
            <w:noWrap/>
            <w:vAlign w:val="center"/>
            <w:hideMark/>
          </w:tcPr>
          <w:p w14:paraId="727E054E" w14:textId="340FEE5F" w:rsidR="00C97626" w:rsidRPr="00DE52C8" w:rsidRDefault="00C97626" w:rsidP="004B3432">
            <w:pPr>
              <w:shd w:val="clear" w:color="auto" w:fill="FFFFFF" w:themeFill="background1"/>
              <w:contextualSpacing/>
              <w:rPr>
                <w:rFonts w:cs="Arial"/>
                <w:sz w:val="18"/>
                <w:szCs w:val="18"/>
                <w:vertAlign w:val="subscript"/>
              </w:rPr>
            </w:pPr>
            <w:r w:rsidRPr="00DE52C8">
              <w:rPr>
                <w:rFonts w:cs="Arial"/>
                <w:sz w:val="18"/>
                <w:szCs w:val="18"/>
              </w:rPr>
              <w:t>N-NH</w:t>
            </w:r>
            <w:r w:rsidRPr="00DE52C8">
              <w:rPr>
                <w:rFonts w:cs="Arial"/>
                <w:sz w:val="18"/>
                <w:szCs w:val="18"/>
                <w:vertAlign w:val="subscript"/>
              </w:rPr>
              <w:t>4</w:t>
            </w:r>
          </w:p>
          <w:p w14:paraId="21C89359" w14:textId="487FEA45" w:rsidR="00C97626" w:rsidRPr="00DE52C8" w:rsidRDefault="00C97626" w:rsidP="004B3432">
            <w:pPr>
              <w:shd w:val="clear" w:color="auto" w:fill="FFFFFF" w:themeFill="background1"/>
              <w:contextualSpacing/>
              <w:rPr>
                <w:rFonts w:cs="Arial"/>
                <w:sz w:val="18"/>
                <w:szCs w:val="18"/>
                <w:vertAlign w:val="subscript"/>
              </w:rPr>
            </w:pPr>
            <w:r w:rsidRPr="00DE52C8">
              <w:rPr>
                <w:rFonts w:cs="Arial"/>
                <w:sz w:val="18"/>
                <w:szCs w:val="18"/>
              </w:rPr>
              <w:t>N-NO</w:t>
            </w:r>
            <w:r w:rsidRPr="00DE52C8">
              <w:rPr>
                <w:rFonts w:cs="Arial"/>
                <w:sz w:val="18"/>
                <w:szCs w:val="18"/>
                <w:vertAlign w:val="subscript"/>
              </w:rPr>
              <w:t>3</w:t>
            </w:r>
          </w:p>
          <w:p w14:paraId="060520B2" w14:textId="60B52E92" w:rsidR="00DF232B" w:rsidRPr="00DE52C8" w:rsidRDefault="00DF232B" w:rsidP="004B3432">
            <w:pPr>
              <w:shd w:val="clear" w:color="auto" w:fill="FFFFFF" w:themeFill="background1"/>
              <w:contextualSpacing/>
              <w:rPr>
                <w:rFonts w:cs="Arial"/>
                <w:sz w:val="18"/>
                <w:szCs w:val="18"/>
              </w:rPr>
            </w:pPr>
            <w:proofErr w:type="spellStart"/>
            <w:r w:rsidRPr="00DE52C8">
              <w:rPr>
                <w:rFonts w:cs="Arial"/>
                <w:sz w:val="18"/>
                <w:szCs w:val="18"/>
              </w:rPr>
              <w:t>P</w:t>
            </w:r>
            <w:r w:rsidRPr="00DE52C8">
              <w:rPr>
                <w:rFonts w:cs="Arial"/>
                <w:sz w:val="18"/>
                <w:szCs w:val="18"/>
                <w:vertAlign w:val="subscript"/>
              </w:rPr>
              <w:t>celk</w:t>
            </w:r>
            <w:proofErr w:type="spellEnd"/>
          </w:p>
        </w:tc>
        <w:tc>
          <w:tcPr>
            <w:tcW w:w="7009" w:type="dxa"/>
            <w:tcBorders>
              <w:top w:val="nil"/>
              <w:left w:val="nil"/>
              <w:bottom w:val="nil"/>
              <w:right w:val="nil"/>
            </w:tcBorders>
            <w:noWrap/>
            <w:vAlign w:val="center"/>
            <w:hideMark/>
          </w:tcPr>
          <w:p w14:paraId="2A7957E4" w14:textId="6B3E7783" w:rsidR="00C97626" w:rsidRPr="00DE52C8" w:rsidRDefault="00C97626" w:rsidP="004B3432">
            <w:pPr>
              <w:shd w:val="clear" w:color="auto" w:fill="FFFFFF" w:themeFill="background1"/>
              <w:contextualSpacing/>
              <w:rPr>
                <w:rFonts w:cs="Arial"/>
                <w:sz w:val="18"/>
                <w:szCs w:val="18"/>
              </w:rPr>
            </w:pPr>
            <w:r w:rsidRPr="00DE52C8">
              <w:rPr>
                <w:rFonts w:cs="Arial"/>
                <w:sz w:val="18"/>
                <w:szCs w:val="18"/>
              </w:rPr>
              <w:t>amoniakální dusík</w:t>
            </w:r>
          </w:p>
          <w:p w14:paraId="53E1977D" w14:textId="7082E0FE" w:rsidR="00C97626" w:rsidRPr="00DE52C8" w:rsidRDefault="00C97626" w:rsidP="004B3432">
            <w:pPr>
              <w:shd w:val="clear" w:color="auto" w:fill="FFFFFF" w:themeFill="background1"/>
              <w:contextualSpacing/>
              <w:rPr>
                <w:rFonts w:cs="Arial"/>
                <w:sz w:val="18"/>
                <w:szCs w:val="18"/>
              </w:rPr>
            </w:pPr>
            <w:r w:rsidRPr="00DE52C8">
              <w:rPr>
                <w:rFonts w:cs="Arial"/>
                <w:sz w:val="18"/>
                <w:szCs w:val="18"/>
              </w:rPr>
              <w:t>dusičnanový dusík</w:t>
            </w:r>
          </w:p>
          <w:p w14:paraId="0DC3FE92" w14:textId="6E4B2544"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celkový fosfor</w:t>
            </w:r>
          </w:p>
        </w:tc>
      </w:tr>
      <w:tr w:rsidR="00AA08C9" w:rsidRPr="00DE52C8" w14:paraId="24B53D57" w14:textId="77777777" w:rsidTr="004105E4">
        <w:trPr>
          <w:trHeight w:val="283"/>
        </w:trPr>
        <w:tc>
          <w:tcPr>
            <w:tcW w:w="2220" w:type="dxa"/>
            <w:tcBorders>
              <w:top w:val="nil"/>
              <w:left w:val="nil"/>
              <w:bottom w:val="nil"/>
              <w:right w:val="nil"/>
            </w:tcBorders>
            <w:noWrap/>
            <w:vAlign w:val="center"/>
            <w:hideMark/>
          </w:tcPr>
          <w:p w14:paraId="1BE88D70"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PAU</w:t>
            </w:r>
          </w:p>
        </w:tc>
        <w:tc>
          <w:tcPr>
            <w:tcW w:w="7009" w:type="dxa"/>
            <w:tcBorders>
              <w:top w:val="nil"/>
              <w:left w:val="nil"/>
              <w:bottom w:val="nil"/>
              <w:right w:val="nil"/>
            </w:tcBorders>
            <w:noWrap/>
            <w:vAlign w:val="center"/>
            <w:hideMark/>
          </w:tcPr>
          <w:p w14:paraId="4386C80C" w14:textId="77777777" w:rsidR="00DF232B" w:rsidRPr="00DE52C8" w:rsidRDefault="00DF232B" w:rsidP="004B3432">
            <w:pPr>
              <w:shd w:val="clear" w:color="auto" w:fill="FFFFFF" w:themeFill="background1"/>
              <w:contextualSpacing/>
              <w:rPr>
                <w:rFonts w:cs="Arial"/>
                <w:sz w:val="18"/>
                <w:szCs w:val="18"/>
              </w:rPr>
            </w:pPr>
            <w:proofErr w:type="spellStart"/>
            <w:r w:rsidRPr="00DE52C8">
              <w:rPr>
                <w:rFonts w:cs="Arial"/>
                <w:sz w:val="18"/>
                <w:szCs w:val="18"/>
              </w:rPr>
              <w:t>polyaromatické</w:t>
            </w:r>
            <w:proofErr w:type="spellEnd"/>
            <w:r w:rsidRPr="00DE52C8">
              <w:rPr>
                <w:rFonts w:cs="Arial"/>
                <w:sz w:val="18"/>
                <w:szCs w:val="18"/>
              </w:rPr>
              <w:t xml:space="preserve"> uhlovodíky</w:t>
            </w:r>
          </w:p>
        </w:tc>
      </w:tr>
      <w:tr w:rsidR="00AA08C9" w:rsidRPr="00DE52C8" w14:paraId="24C61CFA" w14:textId="77777777" w:rsidTr="004105E4">
        <w:trPr>
          <w:trHeight w:val="283"/>
        </w:trPr>
        <w:tc>
          <w:tcPr>
            <w:tcW w:w="2220" w:type="dxa"/>
            <w:tcBorders>
              <w:top w:val="nil"/>
              <w:left w:val="nil"/>
              <w:bottom w:val="nil"/>
              <w:right w:val="nil"/>
            </w:tcBorders>
            <w:noWrap/>
            <w:vAlign w:val="center"/>
          </w:tcPr>
          <w:p w14:paraId="326A2A4C" w14:textId="269B9C2A" w:rsidR="00BB2D6A" w:rsidRPr="00DE52C8" w:rsidRDefault="00BB2D6A" w:rsidP="004B3432">
            <w:pPr>
              <w:shd w:val="clear" w:color="auto" w:fill="FFFFFF" w:themeFill="background1"/>
              <w:contextualSpacing/>
              <w:rPr>
                <w:rFonts w:cs="Arial"/>
                <w:sz w:val="18"/>
                <w:szCs w:val="18"/>
              </w:rPr>
            </w:pPr>
            <w:r w:rsidRPr="00DE52C8">
              <w:rPr>
                <w:rFonts w:cs="Arial"/>
                <w:sz w:val="18"/>
                <w:szCs w:val="18"/>
              </w:rPr>
              <w:t>PBDE</w:t>
            </w:r>
          </w:p>
          <w:p w14:paraId="19C8104A" w14:textId="1773D9AC" w:rsidR="008A4C99" w:rsidRPr="00DE52C8" w:rsidRDefault="008A4C99" w:rsidP="004B3432">
            <w:pPr>
              <w:shd w:val="clear" w:color="auto" w:fill="FFFFFF" w:themeFill="background1"/>
              <w:contextualSpacing/>
              <w:rPr>
                <w:rFonts w:cs="Arial"/>
                <w:sz w:val="18"/>
                <w:szCs w:val="18"/>
              </w:rPr>
            </w:pPr>
            <w:r w:rsidRPr="00DE52C8">
              <w:rPr>
                <w:rFonts w:cs="Arial"/>
                <w:sz w:val="18"/>
                <w:szCs w:val="18"/>
              </w:rPr>
              <w:t>PCB</w:t>
            </w:r>
          </w:p>
          <w:p w14:paraId="57FF094C" w14:textId="7264A2D7" w:rsidR="00145DC5" w:rsidRPr="00DE52C8" w:rsidRDefault="00145DC5" w:rsidP="004B3432">
            <w:pPr>
              <w:shd w:val="clear" w:color="auto" w:fill="FFFFFF" w:themeFill="background1"/>
              <w:contextualSpacing/>
              <w:rPr>
                <w:rFonts w:cs="Arial"/>
                <w:sz w:val="18"/>
                <w:szCs w:val="18"/>
              </w:rPr>
            </w:pPr>
            <w:r w:rsidRPr="00DE52C8">
              <w:rPr>
                <w:rFonts w:cs="Arial"/>
                <w:sz w:val="18"/>
                <w:szCs w:val="18"/>
              </w:rPr>
              <w:t>PDP</w:t>
            </w:r>
          </w:p>
        </w:tc>
        <w:tc>
          <w:tcPr>
            <w:tcW w:w="7009" w:type="dxa"/>
            <w:tcBorders>
              <w:top w:val="nil"/>
              <w:left w:val="nil"/>
              <w:bottom w:val="nil"/>
              <w:right w:val="nil"/>
            </w:tcBorders>
            <w:noWrap/>
            <w:vAlign w:val="center"/>
          </w:tcPr>
          <w:p w14:paraId="5ED6BE03" w14:textId="5DF11A73" w:rsidR="00BB2D6A" w:rsidRPr="00DE52C8" w:rsidRDefault="00BB2D6A" w:rsidP="004B3432">
            <w:pPr>
              <w:shd w:val="clear" w:color="auto" w:fill="FFFFFF" w:themeFill="background1"/>
              <w:contextualSpacing/>
              <w:rPr>
                <w:rFonts w:cs="Arial"/>
                <w:sz w:val="18"/>
                <w:szCs w:val="18"/>
              </w:rPr>
            </w:pPr>
            <w:proofErr w:type="spellStart"/>
            <w:r w:rsidRPr="00DE52C8">
              <w:rPr>
                <w:rFonts w:cs="Arial"/>
                <w:sz w:val="18"/>
                <w:szCs w:val="18"/>
              </w:rPr>
              <w:t>polybromované</w:t>
            </w:r>
            <w:proofErr w:type="spellEnd"/>
            <w:r w:rsidRPr="00DE52C8">
              <w:rPr>
                <w:rFonts w:cs="Arial"/>
                <w:sz w:val="18"/>
                <w:szCs w:val="18"/>
              </w:rPr>
              <w:t xml:space="preserve"> </w:t>
            </w:r>
            <w:proofErr w:type="spellStart"/>
            <w:r w:rsidRPr="00DE52C8">
              <w:rPr>
                <w:rFonts w:cs="Arial"/>
                <w:sz w:val="18"/>
                <w:szCs w:val="18"/>
              </w:rPr>
              <w:t>difenylethery</w:t>
            </w:r>
            <w:proofErr w:type="spellEnd"/>
          </w:p>
          <w:p w14:paraId="0E916714" w14:textId="58F6CDC3" w:rsidR="008A4C99" w:rsidRPr="00DE52C8" w:rsidRDefault="008A4C99" w:rsidP="004B3432">
            <w:pPr>
              <w:shd w:val="clear" w:color="auto" w:fill="FFFFFF" w:themeFill="background1"/>
              <w:contextualSpacing/>
              <w:rPr>
                <w:rFonts w:cs="Arial"/>
                <w:sz w:val="18"/>
                <w:szCs w:val="18"/>
              </w:rPr>
            </w:pPr>
            <w:r w:rsidRPr="00DE52C8">
              <w:rPr>
                <w:rFonts w:cs="Arial"/>
                <w:sz w:val="18"/>
                <w:szCs w:val="18"/>
              </w:rPr>
              <w:t>polychromované bifenyly</w:t>
            </w:r>
          </w:p>
          <w:p w14:paraId="6E148884" w14:textId="63249C6A" w:rsidR="00145DC5" w:rsidRPr="00DE52C8" w:rsidRDefault="00145DC5" w:rsidP="004B3432">
            <w:pPr>
              <w:shd w:val="clear" w:color="auto" w:fill="FFFFFF" w:themeFill="background1"/>
              <w:contextualSpacing/>
              <w:rPr>
                <w:rFonts w:cs="Arial"/>
                <w:sz w:val="18"/>
                <w:szCs w:val="18"/>
              </w:rPr>
            </w:pPr>
            <w:r w:rsidRPr="00DE52C8">
              <w:rPr>
                <w:rFonts w:cs="Arial"/>
                <w:sz w:val="18"/>
                <w:szCs w:val="18"/>
              </w:rPr>
              <w:t>plány dílčích povodí</w:t>
            </w:r>
          </w:p>
        </w:tc>
      </w:tr>
      <w:tr w:rsidR="00472630" w:rsidRPr="00DE52C8" w14:paraId="07EAEAE4" w14:textId="77777777" w:rsidTr="004105E4">
        <w:trPr>
          <w:trHeight w:val="283"/>
        </w:trPr>
        <w:tc>
          <w:tcPr>
            <w:tcW w:w="2220" w:type="dxa"/>
            <w:tcBorders>
              <w:top w:val="nil"/>
              <w:left w:val="nil"/>
              <w:bottom w:val="nil"/>
              <w:right w:val="nil"/>
            </w:tcBorders>
            <w:noWrap/>
            <w:vAlign w:val="center"/>
          </w:tcPr>
          <w:p w14:paraId="52B54540" w14:textId="30B3F674" w:rsidR="00472630" w:rsidRPr="00DE52C8" w:rsidRDefault="00472630" w:rsidP="004B3432">
            <w:pPr>
              <w:shd w:val="clear" w:color="auto" w:fill="FFFFFF" w:themeFill="background1"/>
              <w:contextualSpacing/>
              <w:rPr>
                <w:rFonts w:cs="Arial"/>
                <w:sz w:val="18"/>
                <w:szCs w:val="18"/>
              </w:rPr>
            </w:pPr>
            <w:r w:rsidRPr="00DE52C8">
              <w:rPr>
                <w:rFonts w:cs="Arial"/>
                <w:sz w:val="18"/>
                <w:szCs w:val="18"/>
              </w:rPr>
              <w:t>PFAS</w:t>
            </w:r>
          </w:p>
        </w:tc>
        <w:tc>
          <w:tcPr>
            <w:tcW w:w="7009" w:type="dxa"/>
            <w:tcBorders>
              <w:top w:val="nil"/>
              <w:left w:val="nil"/>
              <w:bottom w:val="nil"/>
              <w:right w:val="nil"/>
            </w:tcBorders>
            <w:noWrap/>
            <w:vAlign w:val="center"/>
          </w:tcPr>
          <w:p w14:paraId="0F2E8D2F" w14:textId="2DA6BD90" w:rsidR="00472630" w:rsidRPr="00DE52C8" w:rsidRDefault="00472630" w:rsidP="004B3432">
            <w:pPr>
              <w:shd w:val="clear" w:color="auto" w:fill="FFFFFF" w:themeFill="background1"/>
              <w:contextualSpacing/>
              <w:rPr>
                <w:rFonts w:cs="Arial"/>
                <w:sz w:val="18"/>
                <w:szCs w:val="18"/>
              </w:rPr>
            </w:pPr>
            <w:proofErr w:type="spellStart"/>
            <w:r w:rsidRPr="00DE52C8">
              <w:rPr>
                <w:rFonts w:cs="Arial"/>
                <w:sz w:val="18"/>
                <w:szCs w:val="18"/>
              </w:rPr>
              <w:t>polyfluoroalkylové</w:t>
            </w:r>
            <w:proofErr w:type="spellEnd"/>
            <w:r w:rsidRPr="00DE52C8">
              <w:rPr>
                <w:rFonts w:cs="Arial"/>
                <w:sz w:val="18"/>
                <w:szCs w:val="18"/>
              </w:rPr>
              <w:t xml:space="preserve"> látky</w:t>
            </w:r>
          </w:p>
        </w:tc>
      </w:tr>
      <w:tr w:rsidR="00AA08C9" w:rsidRPr="00DE52C8" w14:paraId="1699A25E" w14:textId="77777777" w:rsidTr="004105E4">
        <w:trPr>
          <w:trHeight w:val="283"/>
        </w:trPr>
        <w:tc>
          <w:tcPr>
            <w:tcW w:w="2220" w:type="dxa"/>
            <w:tcBorders>
              <w:top w:val="nil"/>
              <w:left w:val="nil"/>
              <w:bottom w:val="nil"/>
              <w:right w:val="nil"/>
            </w:tcBorders>
            <w:noWrap/>
            <w:vAlign w:val="center"/>
          </w:tcPr>
          <w:p w14:paraId="50C68961" w14:textId="3B3C3213" w:rsidR="008A4C99" w:rsidRPr="00DE52C8" w:rsidRDefault="008A4C99" w:rsidP="004B3432">
            <w:pPr>
              <w:shd w:val="clear" w:color="auto" w:fill="FFFFFF" w:themeFill="background1"/>
              <w:contextualSpacing/>
              <w:rPr>
                <w:rFonts w:cs="Arial"/>
                <w:sz w:val="18"/>
                <w:szCs w:val="18"/>
              </w:rPr>
            </w:pPr>
            <w:r w:rsidRPr="00DE52C8">
              <w:rPr>
                <w:rFonts w:cs="Arial"/>
                <w:sz w:val="18"/>
                <w:szCs w:val="18"/>
              </w:rPr>
              <w:t>PFOS</w:t>
            </w:r>
          </w:p>
          <w:p w14:paraId="3B12FA2F" w14:textId="4F556535" w:rsidR="008A4C99" w:rsidRPr="00DE52C8" w:rsidRDefault="008A4C99" w:rsidP="004B3432">
            <w:pPr>
              <w:shd w:val="clear" w:color="auto" w:fill="FFFFFF" w:themeFill="background1"/>
              <w:contextualSpacing/>
              <w:rPr>
                <w:rFonts w:cs="Arial"/>
                <w:sz w:val="18"/>
                <w:szCs w:val="18"/>
              </w:rPr>
            </w:pPr>
            <w:r w:rsidRPr="00DE52C8">
              <w:rPr>
                <w:rFonts w:cs="Arial"/>
                <w:sz w:val="18"/>
                <w:szCs w:val="18"/>
              </w:rPr>
              <w:t>pH</w:t>
            </w:r>
          </w:p>
          <w:p w14:paraId="5F526162" w14:textId="0F40914D" w:rsidR="00220474" w:rsidRPr="00DE52C8" w:rsidRDefault="00220474" w:rsidP="004B3432">
            <w:pPr>
              <w:shd w:val="clear" w:color="auto" w:fill="FFFFFF" w:themeFill="background1"/>
              <w:contextualSpacing/>
              <w:rPr>
                <w:rFonts w:cs="Arial"/>
                <w:sz w:val="18"/>
                <w:szCs w:val="18"/>
              </w:rPr>
            </w:pPr>
            <w:r w:rsidRPr="00DE52C8">
              <w:rPr>
                <w:rFonts w:cs="Arial"/>
                <w:sz w:val="18"/>
                <w:szCs w:val="18"/>
              </w:rPr>
              <w:t>PK</w:t>
            </w:r>
          </w:p>
        </w:tc>
        <w:tc>
          <w:tcPr>
            <w:tcW w:w="7009" w:type="dxa"/>
            <w:tcBorders>
              <w:top w:val="nil"/>
              <w:left w:val="nil"/>
              <w:bottom w:val="nil"/>
              <w:right w:val="nil"/>
            </w:tcBorders>
            <w:noWrap/>
            <w:vAlign w:val="center"/>
          </w:tcPr>
          <w:p w14:paraId="049BC087" w14:textId="1FD96782" w:rsidR="008A4C99" w:rsidRPr="00DE52C8" w:rsidRDefault="008A4C99" w:rsidP="004B3432">
            <w:pPr>
              <w:shd w:val="clear" w:color="auto" w:fill="FFFFFF" w:themeFill="background1"/>
              <w:contextualSpacing/>
              <w:rPr>
                <w:rFonts w:cs="Arial"/>
                <w:sz w:val="18"/>
                <w:szCs w:val="18"/>
              </w:rPr>
            </w:pPr>
            <w:proofErr w:type="spellStart"/>
            <w:r w:rsidRPr="00DE52C8">
              <w:rPr>
                <w:rFonts w:cs="Arial"/>
                <w:sz w:val="18"/>
                <w:szCs w:val="18"/>
              </w:rPr>
              <w:t>perfluorooktansulfonát</w:t>
            </w:r>
            <w:proofErr w:type="spellEnd"/>
          </w:p>
          <w:p w14:paraId="36EAA713" w14:textId="683B6671" w:rsidR="008A4C99" w:rsidRPr="00DE52C8" w:rsidRDefault="008A4C99" w:rsidP="004B3432">
            <w:pPr>
              <w:shd w:val="clear" w:color="auto" w:fill="FFFFFF" w:themeFill="background1"/>
              <w:contextualSpacing/>
              <w:rPr>
                <w:rFonts w:cs="Arial"/>
                <w:sz w:val="18"/>
                <w:szCs w:val="18"/>
              </w:rPr>
            </w:pPr>
            <w:r w:rsidRPr="00DE52C8">
              <w:rPr>
                <w:rFonts w:cs="Arial"/>
                <w:sz w:val="18"/>
                <w:szCs w:val="18"/>
              </w:rPr>
              <w:t>potenciál vodíku = vodíkový exponent (</w:t>
            </w:r>
            <w:proofErr w:type="spellStart"/>
            <w:r w:rsidRPr="00DE52C8">
              <w:rPr>
                <w:rFonts w:cs="Arial"/>
                <w:sz w:val="18"/>
                <w:szCs w:val="18"/>
              </w:rPr>
              <w:t>potential</w:t>
            </w:r>
            <w:proofErr w:type="spellEnd"/>
            <w:r w:rsidRPr="00DE52C8">
              <w:rPr>
                <w:rFonts w:cs="Arial"/>
                <w:sz w:val="18"/>
                <w:szCs w:val="18"/>
              </w:rPr>
              <w:t xml:space="preserve"> </w:t>
            </w:r>
            <w:proofErr w:type="spellStart"/>
            <w:r w:rsidRPr="00DE52C8">
              <w:rPr>
                <w:rFonts w:cs="Arial"/>
                <w:sz w:val="18"/>
                <w:szCs w:val="18"/>
              </w:rPr>
              <w:t>of</w:t>
            </w:r>
            <w:proofErr w:type="spellEnd"/>
            <w:r w:rsidRPr="00DE52C8">
              <w:rPr>
                <w:rFonts w:cs="Arial"/>
                <w:sz w:val="18"/>
                <w:szCs w:val="18"/>
              </w:rPr>
              <w:t xml:space="preserve"> hydrogen)</w:t>
            </w:r>
          </w:p>
          <w:p w14:paraId="766EE023" w14:textId="1A18726E" w:rsidR="00220474" w:rsidRPr="00DE52C8" w:rsidRDefault="00220474" w:rsidP="004B3432">
            <w:pPr>
              <w:shd w:val="clear" w:color="auto" w:fill="FFFFFF" w:themeFill="background1"/>
              <w:contextualSpacing/>
              <w:rPr>
                <w:rFonts w:cs="Arial"/>
                <w:sz w:val="18"/>
                <w:szCs w:val="18"/>
              </w:rPr>
            </w:pPr>
            <w:r w:rsidRPr="00DE52C8">
              <w:rPr>
                <w:rFonts w:cs="Arial"/>
                <w:sz w:val="18"/>
                <w:szCs w:val="18"/>
              </w:rPr>
              <w:t>plavební komora</w:t>
            </w:r>
          </w:p>
        </w:tc>
      </w:tr>
      <w:tr w:rsidR="00AA08C9" w:rsidRPr="00DE52C8" w14:paraId="5102C168" w14:textId="77777777" w:rsidTr="004105E4">
        <w:trPr>
          <w:trHeight w:val="283"/>
        </w:trPr>
        <w:tc>
          <w:tcPr>
            <w:tcW w:w="2220" w:type="dxa"/>
            <w:tcBorders>
              <w:top w:val="nil"/>
              <w:left w:val="nil"/>
              <w:bottom w:val="nil"/>
              <w:right w:val="nil"/>
            </w:tcBorders>
            <w:noWrap/>
            <w:vAlign w:val="center"/>
          </w:tcPr>
          <w:p w14:paraId="1EF6A92C"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Povodí Labe</w:t>
            </w:r>
          </w:p>
        </w:tc>
        <w:tc>
          <w:tcPr>
            <w:tcW w:w="7009" w:type="dxa"/>
            <w:tcBorders>
              <w:top w:val="nil"/>
              <w:left w:val="nil"/>
              <w:bottom w:val="nil"/>
              <w:right w:val="nil"/>
            </w:tcBorders>
            <w:noWrap/>
            <w:vAlign w:val="center"/>
          </w:tcPr>
          <w:p w14:paraId="77C4B939"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Povodí Labe, státní podnik</w:t>
            </w:r>
          </w:p>
        </w:tc>
      </w:tr>
      <w:tr w:rsidR="00AA08C9" w:rsidRPr="00DE52C8" w14:paraId="5A70B13F" w14:textId="77777777" w:rsidTr="004105E4">
        <w:trPr>
          <w:trHeight w:val="283"/>
        </w:trPr>
        <w:tc>
          <w:tcPr>
            <w:tcW w:w="2220" w:type="dxa"/>
            <w:tcBorders>
              <w:top w:val="nil"/>
              <w:left w:val="nil"/>
              <w:bottom w:val="nil"/>
              <w:right w:val="nil"/>
            </w:tcBorders>
            <w:noWrap/>
            <w:vAlign w:val="center"/>
          </w:tcPr>
          <w:p w14:paraId="71C29CCD"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Povodí Moravy</w:t>
            </w:r>
          </w:p>
        </w:tc>
        <w:tc>
          <w:tcPr>
            <w:tcW w:w="7009" w:type="dxa"/>
            <w:tcBorders>
              <w:top w:val="nil"/>
              <w:left w:val="nil"/>
              <w:bottom w:val="nil"/>
              <w:right w:val="nil"/>
            </w:tcBorders>
            <w:noWrap/>
            <w:vAlign w:val="center"/>
          </w:tcPr>
          <w:p w14:paraId="52066580"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Povodí Moravy, s. p.</w:t>
            </w:r>
          </w:p>
        </w:tc>
      </w:tr>
      <w:tr w:rsidR="00AA08C9" w:rsidRPr="00DE52C8" w14:paraId="1DAFFC67" w14:textId="77777777" w:rsidTr="004105E4">
        <w:trPr>
          <w:trHeight w:val="283"/>
        </w:trPr>
        <w:tc>
          <w:tcPr>
            <w:tcW w:w="2220" w:type="dxa"/>
            <w:tcBorders>
              <w:top w:val="nil"/>
              <w:left w:val="nil"/>
              <w:bottom w:val="nil"/>
              <w:right w:val="nil"/>
            </w:tcBorders>
            <w:noWrap/>
            <w:vAlign w:val="center"/>
          </w:tcPr>
          <w:p w14:paraId="304C9E3F"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Povodí Odry</w:t>
            </w:r>
          </w:p>
        </w:tc>
        <w:tc>
          <w:tcPr>
            <w:tcW w:w="7009" w:type="dxa"/>
            <w:tcBorders>
              <w:top w:val="nil"/>
              <w:left w:val="nil"/>
              <w:bottom w:val="nil"/>
              <w:right w:val="nil"/>
            </w:tcBorders>
            <w:noWrap/>
            <w:vAlign w:val="center"/>
          </w:tcPr>
          <w:p w14:paraId="065FA0FF"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Povodí Odry, státní podnik</w:t>
            </w:r>
          </w:p>
        </w:tc>
      </w:tr>
      <w:tr w:rsidR="00AA08C9" w:rsidRPr="00DE52C8" w14:paraId="48DDC10F" w14:textId="77777777" w:rsidTr="004105E4">
        <w:trPr>
          <w:trHeight w:val="283"/>
        </w:trPr>
        <w:tc>
          <w:tcPr>
            <w:tcW w:w="2220" w:type="dxa"/>
            <w:tcBorders>
              <w:top w:val="nil"/>
              <w:left w:val="nil"/>
              <w:bottom w:val="nil"/>
              <w:right w:val="nil"/>
            </w:tcBorders>
            <w:noWrap/>
            <w:vAlign w:val="center"/>
          </w:tcPr>
          <w:p w14:paraId="0372C3E1"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Povodí Ohře</w:t>
            </w:r>
          </w:p>
        </w:tc>
        <w:tc>
          <w:tcPr>
            <w:tcW w:w="7009" w:type="dxa"/>
            <w:tcBorders>
              <w:top w:val="nil"/>
              <w:left w:val="nil"/>
              <w:bottom w:val="nil"/>
              <w:right w:val="nil"/>
            </w:tcBorders>
            <w:noWrap/>
            <w:vAlign w:val="center"/>
          </w:tcPr>
          <w:p w14:paraId="64D134A6"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Povodí Ohře, státní podnik</w:t>
            </w:r>
          </w:p>
        </w:tc>
      </w:tr>
      <w:tr w:rsidR="00AA08C9" w:rsidRPr="00DE52C8" w14:paraId="7B7738E2" w14:textId="77777777" w:rsidTr="004105E4">
        <w:trPr>
          <w:trHeight w:val="283"/>
        </w:trPr>
        <w:tc>
          <w:tcPr>
            <w:tcW w:w="2220" w:type="dxa"/>
            <w:tcBorders>
              <w:top w:val="nil"/>
              <w:left w:val="nil"/>
              <w:bottom w:val="nil"/>
              <w:right w:val="nil"/>
            </w:tcBorders>
            <w:noWrap/>
            <w:vAlign w:val="center"/>
          </w:tcPr>
          <w:p w14:paraId="7E4446D8"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Povodí Vltavy</w:t>
            </w:r>
          </w:p>
        </w:tc>
        <w:tc>
          <w:tcPr>
            <w:tcW w:w="7009" w:type="dxa"/>
            <w:tcBorders>
              <w:top w:val="nil"/>
              <w:left w:val="nil"/>
              <w:bottom w:val="nil"/>
              <w:right w:val="nil"/>
            </w:tcBorders>
            <w:noWrap/>
            <w:vAlign w:val="center"/>
          </w:tcPr>
          <w:p w14:paraId="1C5EC9FA"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Povodí Vltavy, státní podnik</w:t>
            </w:r>
          </w:p>
        </w:tc>
      </w:tr>
      <w:tr w:rsidR="00AA08C9" w:rsidRPr="00DE52C8" w14:paraId="0E4661C9" w14:textId="77777777" w:rsidTr="004105E4">
        <w:trPr>
          <w:trHeight w:val="283"/>
        </w:trPr>
        <w:tc>
          <w:tcPr>
            <w:tcW w:w="2220" w:type="dxa"/>
            <w:tcBorders>
              <w:top w:val="nil"/>
              <w:left w:val="nil"/>
              <w:bottom w:val="nil"/>
              <w:right w:val="nil"/>
            </w:tcBorders>
            <w:noWrap/>
            <w:vAlign w:val="center"/>
          </w:tcPr>
          <w:p w14:paraId="27CE37BB" w14:textId="77777777" w:rsidR="001500A0" w:rsidRPr="00DE52C8" w:rsidRDefault="001500A0" w:rsidP="004B3432">
            <w:pPr>
              <w:shd w:val="clear" w:color="auto" w:fill="FFFFFF" w:themeFill="background1"/>
              <w:contextualSpacing/>
              <w:rPr>
                <w:rFonts w:cs="Arial"/>
                <w:sz w:val="18"/>
                <w:szCs w:val="18"/>
              </w:rPr>
            </w:pPr>
            <w:r w:rsidRPr="00DE52C8">
              <w:rPr>
                <w:rFonts w:cs="Arial"/>
                <w:sz w:val="18"/>
                <w:szCs w:val="18"/>
              </w:rPr>
              <w:t>PP1</w:t>
            </w:r>
          </w:p>
        </w:tc>
        <w:tc>
          <w:tcPr>
            <w:tcW w:w="7009" w:type="dxa"/>
            <w:tcBorders>
              <w:top w:val="nil"/>
              <w:left w:val="nil"/>
              <w:bottom w:val="nil"/>
              <w:right w:val="nil"/>
            </w:tcBorders>
            <w:noWrap/>
            <w:vAlign w:val="center"/>
          </w:tcPr>
          <w:p w14:paraId="2D3CBDB4" w14:textId="77777777" w:rsidR="001500A0" w:rsidRPr="00DE52C8" w:rsidRDefault="001500A0" w:rsidP="004B3432">
            <w:pPr>
              <w:shd w:val="clear" w:color="auto" w:fill="FFFFFF" w:themeFill="background1"/>
              <w:contextualSpacing/>
              <w:rPr>
                <w:rFonts w:cs="Arial"/>
                <w:sz w:val="18"/>
                <w:szCs w:val="18"/>
              </w:rPr>
            </w:pPr>
            <w:r w:rsidRPr="00DE52C8">
              <w:rPr>
                <w:rFonts w:cs="Arial"/>
                <w:sz w:val="18"/>
                <w:szCs w:val="18"/>
              </w:rPr>
              <w:t>Podprogram Podpora projektů ve veřejném zájmu</w:t>
            </w:r>
          </w:p>
        </w:tc>
      </w:tr>
      <w:tr w:rsidR="00AA08C9" w:rsidRPr="00DE52C8" w14:paraId="4B02292D" w14:textId="77777777" w:rsidTr="004105E4">
        <w:trPr>
          <w:trHeight w:val="283"/>
        </w:trPr>
        <w:tc>
          <w:tcPr>
            <w:tcW w:w="2220" w:type="dxa"/>
            <w:tcBorders>
              <w:top w:val="nil"/>
              <w:left w:val="nil"/>
              <w:bottom w:val="nil"/>
              <w:right w:val="nil"/>
            </w:tcBorders>
            <w:noWrap/>
            <w:vAlign w:val="center"/>
          </w:tcPr>
          <w:p w14:paraId="0E5039E0" w14:textId="79BA7C87" w:rsidR="008A4C99" w:rsidRPr="00DE52C8" w:rsidRDefault="008A4C99" w:rsidP="004B3432">
            <w:pPr>
              <w:shd w:val="clear" w:color="auto" w:fill="FFFFFF" w:themeFill="background1"/>
              <w:contextualSpacing/>
              <w:rPr>
                <w:rFonts w:cs="Arial"/>
                <w:sz w:val="18"/>
                <w:szCs w:val="18"/>
              </w:rPr>
            </w:pPr>
            <w:r w:rsidRPr="00DE52C8">
              <w:rPr>
                <w:rFonts w:cs="Arial"/>
                <w:sz w:val="18"/>
                <w:szCs w:val="18"/>
              </w:rPr>
              <w:t>PP2</w:t>
            </w:r>
          </w:p>
          <w:p w14:paraId="508EB26E" w14:textId="57A9DC0E" w:rsidR="008A4C99" w:rsidRPr="00DE52C8" w:rsidRDefault="008A4C99" w:rsidP="004B3432">
            <w:pPr>
              <w:shd w:val="clear" w:color="auto" w:fill="FFFFFF" w:themeFill="background1"/>
              <w:contextualSpacing/>
              <w:rPr>
                <w:rFonts w:cs="Arial"/>
                <w:sz w:val="18"/>
                <w:szCs w:val="18"/>
              </w:rPr>
            </w:pPr>
            <w:r w:rsidRPr="00DE52C8">
              <w:rPr>
                <w:rFonts w:cs="Arial"/>
                <w:sz w:val="18"/>
                <w:szCs w:val="18"/>
              </w:rPr>
              <w:t>PP3</w:t>
            </w:r>
          </w:p>
          <w:p w14:paraId="3D2202C2" w14:textId="6264D00F" w:rsidR="00A94034" w:rsidRPr="00DE52C8" w:rsidRDefault="00A94034" w:rsidP="004B3432">
            <w:pPr>
              <w:shd w:val="clear" w:color="auto" w:fill="FFFFFF" w:themeFill="background1"/>
              <w:contextualSpacing/>
              <w:rPr>
                <w:rFonts w:cs="Arial"/>
                <w:sz w:val="18"/>
                <w:szCs w:val="18"/>
              </w:rPr>
            </w:pPr>
            <w:r w:rsidRPr="00DE52C8">
              <w:rPr>
                <w:rFonts w:cs="Arial"/>
                <w:sz w:val="18"/>
                <w:szCs w:val="18"/>
              </w:rPr>
              <w:t>PPH</w:t>
            </w:r>
          </w:p>
        </w:tc>
        <w:tc>
          <w:tcPr>
            <w:tcW w:w="7009" w:type="dxa"/>
            <w:tcBorders>
              <w:top w:val="nil"/>
              <w:left w:val="nil"/>
              <w:bottom w:val="nil"/>
              <w:right w:val="nil"/>
            </w:tcBorders>
            <w:noWrap/>
            <w:vAlign w:val="center"/>
          </w:tcPr>
          <w:p w14:paraId="2AA864A3" w14:textId="00CD633D" w:rsidR="008A4C99" w:rsidRPr="00DE52C8" w:rsidRDefault="008A4C99" w:rsidP="004B3432">
            <w:pPr>
              <w:shd w:val="clear" w:color="auto" w:fill="FFFFFF" w:themeFill="background1"/>
              <w:contextualSpacing/>
              <w:rPr>
                <w:rFonts w:cs="Arial"/>
                <w:sz w:val="18"/>
                <w:szCs w:val="18"/>
              </w:rPr>
            </w:pPr>
            <w:r w:rsidRPr="00DE52C8">
              <w:rPr>
                <w:rFonts w:cs="Arial"/>
                <w:sz w:val="18"/>
                <w:szCs w:val="18"/>
              </w:rPr>
              <w:t xml:space="preserve">nové postupy, </w:t>
            </w:r>
            <w:proofErr w:type="spellStart"/>
            <w:r w:rsidRPr="00DE52C8">
              <w:rPr>
                <w:rFonts w:cs="Arial"/>
                <w:sz w:val="18"/>
                <w:szCs w:val="18"/>
              </w:rPr>
              <w:t>ekoinovace</w:t>
            </w:r>
            <w:proofErr w:type="spellEnd"/>
          </w:p>
          <w:p w14:paraId="06E9A08F" w14:textId="02048830" w:rsidR="008A4C99" w:rsidRPr="00DE52C8" w:rsidRDefault="008A4C99" w:rsidP="004B3432">
            <w:pPr>
              <w:shd w:val="clear" w:color="auto" w:fill="FFFFFF" w:themeFill="background1"/>
              <w:contextualSpacing/>
              <w:rPr>
                <w:rFonts w:cs="Arial"/>
                <w:sz w:val="18"/>
                <w:szCs w:val="18"/>
              </w:rPr>
            </w:pPr>
            <w:r w:rsidRPr="00DE52C8">
              <w:rPr>
                <w:rFonts w:cs="Arial"/>
                <w:sz w:val="18"/>
                <w:szCs w:val="18"/>
              </w:rPr>
              <w:t>dlouhodobý výzkum</w:t>
            </w:r>
          </w:p>
          <w:p w14:paraId="5CD0A2CB" w14:textId="2A6BDC27" w:rsidR="00A94034" w:rsidRPr="00DE52C8" w:rsidRDefault="00A94034" w:rsidP="004B3432">
            <w:pPr>
              <w:shd w:val="clear" w:color="auto" w:fill="FFFFFF" w:themeFill="background1"/>
              <w:contextualSpacing/>
              <w:rPr>
                <w:rFonts w:cs="Arial"/>
                <w:sz w:val="18"/>
                <w:szCs w:val="18"/>
              </w:rPr>
            </w:pPr>
            <w:r w:rsidRPr="00DE52C8">
              <w:rPr>
                <w:rFonts w:cs="Arial"/>
                <w:sz w:val="18"/>
                <w:szCs w:val="18"/>
              </w:rPr>
              <w:t xml:space="preserve">povinné požadavky na hospodaření </w:t>
            </w:r>
          </w:p>
        </w:tc>
      </w:tr>
      <w:tr w:rsidR="00AA08C9" w:rsidRPr="00DE52C8" w14:paraId="2CAF237C" w14:textId="77777777" w:rsidTr="004105E4">
        <w:trPr>
          <w:trHeight w:val="283"/>
        </w:trPr>
        <w:tc>
          <w:tcPr>
            <w:tcW w:w="2220" w:type="dxa"/>
            <w:tcBorders>
              <w:top w:val="nil"/>
              <w:left w:val="nil"/>
              <w:bottom w:val="nil"/>
              <w:right w:val="nil"/>
            </w:tcBorders>
            <w:noWrap/>
            <w:vAlign w:val="center"/>
            <w:hideMark/>
          </w:tcPr>
          <w:p w14:paraId="2CF27E9D"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PRV</w:t>
            </w:r>
          </w:p>
        </w:tc>
        <w:tc>
          <w:tcPr>
            <w:tcW w:w="7009" w:type="dxa"/>
            <w:tcBorders>
              <w:top w:val="nil"/>
              <w:left w:val="nil"/>
              <w:bottom w:val="nil"/>
              <w:right w:val="nil"/>
            </w:tcBorders>
            <w:noWrap/>
            <w:vAlign w:val="center"/>
            <w:hideMark/>
          </w:tcPr>
          <w:p w14:paraId="6DF009A6"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Program rozvoje venkova</w:t>
            </w:r>
          </w:p>
        </w:tc>
      </w:tr>
      <w:tr w:rsidR="00AA08C9" w:rsidRPr="00DE52C8" w14:paraId="340011AA" w14:textId="77777777" w:rsidTr="004105E4">
        <w:trPr>
          <w:trHeight w:val="283"/>
        </w:trPr>
        <w:tc>
          <w:tcPr>
            <w:tcW w:w="2220" w:type="dxa"/>
            <w:tcBorders>
              <w:top w:val="nil"/>
              <w:left w:val="nil"/>
              <w:bottom w:val="nil"/>
              <w:right w:val="nil"/>
            </w:tcBorders>
            <w:noWrap/>
            <w:vAlign w:val="center"/>
            <w:hideMark/>
          </w:tcPr>
          <w:p w14:paraId="55F12164"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PRVKÚ ČR</w:t>
            </w:r>
          </w:p>
        </w:tc>
        <w:tc>
          <w:tcPr>
            <w:tcW w:w="7009" w:type="dxa"/>
            <w:tcBorders>
              <w:top w:val="nil"/>
              <w:left w:val="nil"/>
              <w:bottom w:val="nil"/>
              <w:right w:val="nil"/>
            </w:tcBorders>
            <w:noWrap/>
            <w:vAlign w:val="center"/>
            <w:hideMark/>
          </w:tcPr>
          <w:p w14:paraId="1E9ACEE6"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Plány rozvoje vodovodů a kanalizací území České republiky</w:t>
            </w:r>
          </w:p>
        </w:tc>
      </w:tr>
      <w:tr w:rsidR="00AA08C9" w:rsidRPr="00DE52C8" w14:paraId="70C10DC5" w14:textId="77777777" w:rsidTr="004105E4">
        <w:trPr>
          <w:trHeight w:val="283"/>
        </w:trPr>
        <w:tc>
          <w:tcPr>
            <w:tcW w:w="2220" w:type="dxa"/>
            <w:tcBorders>
              <w:top w:val="nil"/>
              <w:left w:val="nil"/>
              <w:bottom w:val="nil"/>
              <w:right w:val="nil"/>
            </w:tcBorders>
            <w:noWrap/>
            <w:vAlign w:val="center"/>
            <w:hideMark/>
          </w:tcPr>
          <w:p w14:paraId="01B284DF"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PRVKÚK</w:t>
            </w:r>
          </w:p>
        </w:tc>
        <w:tc>
          <w:tcPr>
            <w:tcW w:w="7009" w:type="dxa"/>
            <w:tcBorders>
              <w:top w:val="nil"/>
              <w:left w:val="nil"/>
              <w:bottom w:val="nil"/>
              <w:right w:val="nil"/>
            </w:tcBorders>
            <w:noWrap/>
            <w:vAlign w:val="center"/>
            <w:hideMark/>
          </w:tcPr>
          <w:p w14:paraId="38A017E2"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Plány rozvoje vodovodů a kanalizací krajů území České republiky</w:t>
            </w:r>
          </w:p>
        </w:tc>
      </w:tr>
      <w:tr w:rsidR="00AA08C9" w:rsidRPr="00DE52C8" w14:paraId="244140C0" w14:textId="77777777" w:rsidTr="004105E4">
        <w:trPr>
          <w:trHeight w:val="283"/>
        </w:trPr>
        <w:tc>
          <w:tcPr>
            <w:tcW w:w="2220" w:type="dxa"/>
            <w:tcBorders>
              <w:top w:val="nil"/>
              <w:left w:val="nil"/>
              <w:bottom w:val="nil"/>
              <w:right w:val="nil"/>
            </w:tcBorders>
            <w:noWrap/>
            <w:vAlign w:val="center"/>
            <w:hideMark/>
          </w:tcPr>
          <w:p w14:paraId="004EA6E3" w14:textId="1D58BE1D" w:rsidR="00E531B6" w:rsidRPr="00DE52C8" w:rsidRDefault="00E531B6" w:rsidP="004B3432">
            <w:pPr>
              <w:shd w:val="clear" w:color="auto" w:fill="FFFFFF" w:themeFill="background1"/>
              <w:contextualSpacing/>
              <w:rPr>
                <w:rFonts w:cs="Arial"/>
                <w:sz w:val="18"/>
                <w:szCs w:val="18"/>
              </w:rPr>
            </w:pPr>
            <w:r w:rsidRPr="00DE52C8">
              <w:rPr>
                <w:rFonts w:cs="Arial"/>
                <w:sz w:val="18"/>
                <w:szCs w:val="18"/>
              </w:rPr>
              <w:t>PVC</w:t>
            </w:r>
          </w:p>
          <w:p w14:paraId="393A3926" w14:textId="750FF59E" w:rsidR="00DF232B" w:rsidRPr="00DE52C8" w:rsidRDefault="00DF232B" w:rsidP="004B3432">
            <w:pPr>
              <w:shd w:val="clear" w:color="auto" w:fill="FFFFFF" w:themeFill="background1"/>
              <w:contextualSpacing/>
              <w:rPr>
                <w:rFonts w:cs="Arial"/>
                <w:sz w:val="18"/>
                <w:szCs w:val="18"/>
              </w:rPr>
            </w:pPr>
            <w:proofErr w:type="spellStart"/>
            <w:r w:rsidRPr="00DE52C8">
              <w:rPr>
                <w:rFonts w:cs="Arial"/>
                <w:sz w:val="18"/>
                <w:szCs w:val="18"/>
              </w:rPr>
              <w:t>Q</w:t>
            </w:r>
            <w:r w:rsidRPr="00DE52C8">
              <w:rPr>
                <w:rFonts w:cs="Arial"/>
                <w:sz w:val="18"/>
                <w:szCs w:val="18"/>
                <w:vertAlign w:val="subscript"/>
              </w:rPr>
              <w:t>m</w:t>
            </w:r>
            <w:proofErr w:type="spellEnd"/>
          </w:p>
        </w:tc>
        <w:tc>
          <w:tcPr>
            <w:tcW w:w="7009" w:type="dxa"/>
            <w:tcBorders>
              <w:top w:val="nil"/>
              <w:left w:val="nil"/>
              <w:bottom w:val="nil"/>
              <w:right w:val="nil"/>
            </w:tcBorders>
            <w:noWrap/>
            <w:vAlign w:val="center"/>
            <w:hideMark/>
          </w:tcPr>
          <w:p w14:paraId="48C33138" w14:textId="46F38BD2" w:rsidR="00E531B6" w:rsidRPr="00DE52C8" w:rsidRDefault="00E531B6" w:rsidP="004B3432">
            <w:pPr>
              <w:shd w:val="clear" w:color="auto" w:fill="FFFFFF" w:themeFill="background1"/>
              <w:contextualSpacing/>
              <w:rPr>
                <w:rFonts w:cs="Arial"/>
                <w:sz w:val="18"/>
                <w:szCs w:val="18"/>
              </w:rPr>
            </w:pPr>
            <w:r w:rsidRPr="00DE52C8">
              <w:rPr>
                <w:rFonts w:cs="Arial"/>
                <w:sz w:val="18"/>
                <w:szCs w:val="18"/>
              </w:rPr>
              <w:t>prioritní výzkumný cíl</w:t>
            </w:r>
          </w:p>
          <w:p w14:paraId="09AF46F1" w14:textId="70821096"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průměrný měsíční průtok</w:t>
            </w:r>
          </w:p>
        </w:tc>
      </w:tr>
      <w:tr w:rsidR="00AA08C9" w:rsidRPr="00DE52C8" w14:paraId="17512367" w14:textId="77777777" w:rsidTr="004105E4">
        <w:trPr>
          <w:trHeight w:val="283"/>
        </w:trPr>
        <w:tc>
          <w:tcPr>
            <w:tcW w:w="2220" w:type="dxa"/>
            <w:tcBorders>
              <w:top w:val="nil"/>
              <w:left w:val="nil"/>
              <w:bottom w:val="nil"/>
              <w:right w:val="nil"/>
            </w:tcBorders>
            <w:noWrap/>
            <w:vAlign w:val="center"/>
          </w:tcPr>
          <w:p w14:paraId="765DDE3D" w14:textId="77777777" w:rsidR="00725E76" w:rsidRPr="00DE52C8" w:rsidRDefault="00725E76" w:rsidP="004B3432">
            <w:pPr>
              <w:shd w:val="clear" w:color="auto" w:fill="FFFFFF" w:themeFill="background1"/>
              <w:contextualSpacing/>
              <w:rPr>
                <w:rFonts w:cs="Arial"/>
                <w:sz w:val="18"/>
                <w:szCs w:val="18"/>
              </w:rPr>
            </w:pPr>
            <w:r w:rsidRPr="00DE52C8">
              <w:rPr>
                <w:rFonts w:cs="Arial"/>
                <w:sz w:val="18"/>
                <w:szCs w:val="18"/>
              </w:rPr>
              <w:t>Q</w:t>
            </w:r>
            <w:r w:rsidRPr="00DE52C8">
              <w:rPr>
                <w:rFonts w:cs="Arial"/>
                <w:sz w:val="18"/>
                <w:szCs w:val="18"/>
                <w:vertAlign w:val="subscript"/>
              </w:rPr>
              <w:t>355d</w:t>
            </w:r>
          </w:p>
        </w:tc>
        <w:tc>
          <w:tcPr>
            <w:tcW w:w="7009" w:type="dxa"/>
            <w:tcBorders>
              <w:top w:val="nil"/>
              <w:left w:val="nil"/>
              <w:bottom w:val="nil"/>
              <w:right w:val="nil"/>
            </w:tcBorders>
            <w:noWrap/>
            <w:vAlign w:val="center"/>
          </w:tcPr>
          <w:p w14:paraId="0A23B7DC" w14:textId="77777777" w:rsidR="00725E76" w:rsidRPr="00DE52C8" w:rsidRDefault="00725E76" w:rsidP="004B3432">
            <w:pPr>
              <w:shd w:val="clear" w:color="auto" w:fill="FFFFFF" w:themeFill="background1"/>
              <w:contextualSpacing/>
              <w:rPr>
                <w:rFonts w:cs="Arial"/>
                <w:sz w:val="18"/>
                <w:szCs w:val="18"/>
              </w:rPr>
            </w:pPr>
            <w:r w:rsidRPr="00DE52C8">
              <w:rPr>
                <w:rFonts w:cs="Arial"/>
                <w:sz w:val="18"/>
                <w:szCs w:val="18"/>
                <w:lang w:eastAsia="cs-CZ"/>
              </w:rPr>
              <w:t>průtok, který byl v daném profilu dosažen nebo překročen průměrně 355 dní v roce a jehož podkročení je indikací hydrologického sucha</w:t>
            </w:r>
          </w:p>
        </w:tc>
      </w:tr>
      <w:tr w:rsidR="00AA08C9" w:rsidRPr="00DE52C8" w14:paraId="1AE8237C" w14:textId="77777777" w:rsidTr="004105E4">
        <w:trPr>
          <w:trHeight w:val="283"/>
        </w:trPr>
        <w:tc>
          <w:tcPr>
            <w:tcW w:w="2220" w:type="dxa"/>
            <w:tcBorders>
              <w:top w:val="nil"/>
              <w:left w:val="nil"/>
              <w:bottom w:val="nil"/>
              <w:right w:val="nil"/>
            </w:tcBorders>
            <w:noWrap/>
            <w:vAlign w:val="center"/>
          </w:tcPr>
          <w:p w14:paraId="1EC7EDE7" w14:textId="77777777" w:rsidR="00725E76" w:rsidRPr="00DE52C8" w:rsidRDefault="00725E76" w:rsidP="004B3432">
            <w:pPr>
              <w:shd w:val="clear" w:color="auto" w:fill="FFFFFF" w:themeFill="background1"/>
              <w:contextualSpacing/>
              <w:rPr>
                <w:rFonts w:cs="Arial"/>
                <w:sz w:val="18"/>
                <w:szCs w:val="18"/>
              </w:rPr>
            </w:pPr>
            <w:r w:rsidRPr="00DE52C8">
              <w:rPr>
                <w:rFonts w:cs="Arial"/>
                <w:sz w:val="18"/>
                <w:szCs w:val="18"/>
              </w:rPr>
              <w:t>Q</w:t>
            </w:r>
            <w:r w:rsidRPr="00DE52C8">
              <w:rPr>
                <w:rFonts w:cs="Arial"/>
                <w:sz w:val="18"/>
                <w:szCs w:val="18"/>
                <w:vertAlign w:val="subscript"/>
              </w:rPr>
              <w:t>364d</w:t>
            </w:r>
          </w:p>
        </w:tc>
        <w:tc>
          <w:tcPr>
            <w:tcW w:w="7009" w:type="dxa"/>
            <w:tcBorders>
              <w:top w:val="nil"/>
              <w:left w:val="nil"/>
              <w:bottom w:val="nil"/>
              <w:right w:val="nil"/>
            </w:tcBorders>
            <w:noWrap/>
            <w:vAlign w:val="center"/>
          </w:tcPr>
          <w:p w14:paraId="76FE7555" w14:textId="77777777" w:rsidR="00725E76" w:rsidRPr="00DE52C8" w:rsidRDefault="00725E76" w:rsidP="004B3432">
            <w:pPr>
              <w:shd w:val="clear" w:color="auto" w:fill="FFFFFF" w:themeFill="background1"/>
              <w:contextualSpacing/>
              <w:rPr>
                <w:rFonts w:cs="Arial"/>
                <w:sz w:val="18"/>
                <w:szCs w:val="18"/>
              </w:rPr>
            </w:pPr>
            <w:r w:rsidRPr="00DE52C8">
              <w:rPr>
                <w:rFonts w:cs="Arial"/>
                <w:sz w:val="18"/>
                <w:szCs w:val="18"/>
                <w:lang w:eastAsia="cs-CZ"/>
              </w:rPr>
              <w:t>průtok, který byl v daném profilu dosažen nebo překročen po celý rok</w:t>
            </w:r>
          </w:p>
        </w:tc>
      </w:tr>
      <w:tr w:rsidR="00AA08C9" w:rsidRPr="00DE52C8" w14:paraId="61B2A207" w14:textId="77777777" w:rsidTr="004105E4">
        <w:trPr>
          <w:trHeight w:val="283"/>
        </w:trPr>
        <w:tc>
          <w:tcPr>
            <w:tcW w:w="2220" w:type="dxa"/>
            <w:tcBorders>
              <w:top w:val="nil"/>
              <w:left w:val="nil"/>
              <w:bottom w:val="nil"/>
              <w:right w:val="nil"/>
            </w:tcBorders>
            <w:noWrap/>
            <w:vAlign w:val="center"/>
            <w:hideMark/>
          </w:tcPr>
          <w:p w14:paraId="56A60B36"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RAS</w:t>
            </w:r>
          </w:p>
        </w:tc>
        <w:tc>
          <w:tcPr>
            <w:tcW w:w="7009" w:type="dxa"/>
            <w:tcBorders>
              <w:top w:val="nil"/>
              <w:left w:val="nil"/>
              <w:bottom w:val="nil"/>
              <w:right w:val="nil"/>
            </w:tcBorders>
            <w:noWrap/>
            <w:vAlign w:val="center"/>
            <w:hideMark/>
          </w:tcPr>
          <w:p w14:paraId="3B08F52D"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rozpuštěné anorganické soli</w:t>
            </w:r>
          </w:p>
        </w:tc>
      </w:tr>
      <w:tr w:rsidR="00AA08C9" w:rsidRPr="00DE52C8" w14:paraId="1A691A6E" w14:textId="77777777" w:rsidTr="004105E4">
        <w:trPr>
          <w:trHeight w:val="283"/>
        </w:trPr>
        <w:tc>
          <w:tcPr>
            <w:tcW w:w="2220" w:type="dxa"/>
            <w:tcBorders>
              <w:top w:val="nil"/>
              <w:left w:val="nil"/>
              <w:bottom w:val="nil"/>
              <w:right w:val="nil"/>
            </w:tcBorders>
            <w:noWrap/>
            <w:vAlign w:val="center"/>
          </w:tcPr>
          <w:p w14:paraId="6193D103" w14:textId="202AD518" w:rsidR="00EA1570" w:rsidRPr="00DE52C8" w:rsidRDefault="00EA1570" w:rsidP="004B3432">
            <w:pPr>
              <w:shd w:val="clear" w:color="auto" w:fill="FFFFFF" w:themeFill="background1"/>
              <w:contextualSpacing/>
              <w:rPr>
                <w:rFonts w:cs="Arial"/>
                <w:sz w:val="18"/>
                <w:szCs w:val="18"/>
              </w:rPr>
            </w:pPr>
            <w:r w:rsidRPr="00DE52C8">
              <w:rPr>
                <w:rFonts w:cs="Arial"/>
                <w:bCs/>
                <w:sz w:val="18"/>
                <w:szCs w:val="18"/>
              </w:rPr>
              <w:t xml:space="preserve">Rámcová směrnice </w:t>
            </w:r>
            <w:r w:rsidRPr="00DE52C8">
              <w:rPr>
                <w:rFonts w:cs="Arial"/>
                <w:bCs/>
                <w:sz w:val="18"/>
                <w:szCs w:val="18"/>
              </w:rPr>
              <w:br/>
              <w:t>o vodách</w:t>
            </w:r>
          </w:p>
        </w:tc>
        <w:tc>
          <w:tcPr>
            <w:tcW w:w="7009" w:type="dxa"/>
            <w:tcBorders>
              <w:top w:val="nil"/>
              <w:left w:val="nil"/>
              <w:bottom w:val="nil"/>
              <w:right w:val="nil"/>
            </w:tcBorders>
            <w:noWrap/>
            <w:vAlign w:val="center"/>
          </w:tcPr>
          <w:p w14:paraId="7EC6599F" w14:textId="152C3AD6" w:rsidR="00EA1570" w:rsidRPr="00DE52C8" w:rsidRDefault="00EA1570" w:rsidP="004B3432">
            <w:pPr>
              <w:shd w:val="clear" w:color="auto" w:fill="FFFFFF" w:themeFill="background1"/>
              <w:contextualSpacing/>
              <w:rPr>
                <w:rFonts w:cs="Arial"/>
                <w:sz w:val="18"/>
                <w:szCs w:val="18"/>
              </w:rPr>
            </w:pPr>
            <w:r w:rsidRPr="00DE52C8">
              <w:rPr>
                <w:rFonts w:cs="Arial"/>
                <w:bCs/>
                <w:sz w:val="18"/>
                <w:szCs w:val="18"/>
              </w:rPr>
              <w:t>Směrnice Evropského parlamentu a Rady 2000/60/ES</w:t>
            </w:r>
          </w:p>
        </w:tc>
      </w:tr>
      <w:tr w:rsidR="00AA08C9" w:rsidRPr="00DE52C8" w14:paraId="4E14B177" w14:textId="77777777" w:rsidTr="004105E4">
        <w:trPr>
          <w:trHeight w:val="283"/>
        </w:trPr>
        <w:tc>
          <w:tcPr>
            <w:tcW w:w="2220" w:type="dxa"/>
            <w:tcBorders>
              <w:top w:val="nil"/>
              <w:left w:val="nil"/>
              <w:bottom w:val="nil"/>
              <w:right w:val="nil"/>
            </w:tcBorders>
            <w:noWrap/>
            <w:vAlign w:val="center"/>
          </w:tcPr>
          <w:p w14:paraId="49F96D09" w14:textId="38CCE99F" w:rsidR="008A4C99" w:rsidRPr="00DE52C8" w:rsidRDefault="008A4C99" w:rsidP="004B3432">
            <w:pPr>
              <w:shd w:val="clear" w:color="auto" w:fill="FFFFFF" w:themeFill="background1"/>
              <w:contextualSpacing/>
              <w:rPr>
                <w:rFonts w:cs="Arial"/>
                <w:sz w:val="18"/>
                <w:szCs w:val="18"/>
              </w:rPr>
            </w:pPr>
            <w:r w:rsidRPr="00DE52C8">
              <w:rPr>
                <w:rFonts w:cs="Arial"/>
                <w:sz w:val="18"/>
                <w:szCs w:val="18"/>
              </w:rPr>
              <w:t>RIV</w:t>
            </w:r>
          </w:p>
          <w:p w14:paraId="0A23C99A" w14:textId="3FDA396A" w:rsidR="004B3432" w:rsidRPr="00DE52C8" w:rsidRDefault="004B3432" w:rsidP="004B3432">
            <w:pPr>
              <w:shd w:val="clear" w:color="auto" w:fill="FFFFFF" w:themeFill="background1"/>
              <w:contextualSpacing/>
              <w:rPr>
                <w:rFonts w:cs="Arial"/>
                <w:sz w:val="18"/>
                <w:szCs w:val="18"/>
              </w:rPr>
            </w:pPr>
            <w:r w:rsidRPr="00DE52C8">
              <w:rPr>
                <w:rFonts w:cs="Arial"/>
                <w:sz w:val="18"/>
                <w:szCs w:val="18"/>
              </w:rPr>
              <w:t>ŘSD</w:t>
            </w:r>
          </w:p>
          <w:p w14:paraId="1CFEC8DA" w14:textId="6EB3FDFD"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 xml:space="preserve">SFDI </w:t>
            </w:r>
          </w:p>
        </w:tc>
        <w:tc>
          <w:tcPr>
            <w:tcW w:w="7009" w:type="dxa"/>
            <w:tcBorders>
              <w:top w:val="nil"/>
              <w:left w:val="nil"/>
              <w:bottom w:val="nil"/>
              <w:right w:val="nil"/>
            </w:tcBorders>
            <w:noWrap/>
            <w:vAlign w:val="center"/>
          </w:tcPr>
          <w:p w14:paraId="1E3F7FD9" w14:textId="27E8D090" w:rsidR="008A4C99" w:rsidRPr="00DE52C8" w:rsidRDefault="008A4C99" w:rsidP="004B3432">
            <w:pPr>
              <w:shd w:val="clear" w:color="auto" w:fill="FFFFFF" w:themeFill="background1"/>
              <w:contextualSpacing/>
              <w:rPr>
                <w:rFonts w:cs="Arial"/>
                <w:sz w:val="18"/>
                <w:szCs w:val="18"/>
              </w:rPr>
            </w:pPr>
            <w:r w:rsidRPr="00DE52C8">
              <w:rPr>
                <w:rFonts w:cs="Arial"/>
                <w:sz w:val="18"/>
                <w:szCs w:val="18"/>
              </w:rPr>
              <w:t>Rejstřík informací o výsledcích</w:t>
            </w:r>
          </w:p>
          <w:p w14:paraId="4B7F5385" w14:textId="0EDAB8FD" w:rsidR="004B3432" w:rsidRPr="00DE52C8" w:rsidRDefault="004B3432" w:rsidP="004B3432">
            <w:pPr>
              <w:shd w:val="clear" w:color="auto" w:fill="FFFFFF" w:themeFill="background1"/>
              <w:contextualSpacing/>
              <w:rPr>
                <w:rFonts w:cs="Arial"/>
                <w:sz w:val="18"/>
                <w:szCs w:val="18"/>
              </w:rPr>
            </w:pPr>
            <w:r w:rsidRPr="00DE52C8">
              <w:rPr>
                <w:rFonts w:cs="Arial"/>
                <w:sz w:val="18"/>
                <w:szCs w:val="18"/>
              </w:rPr>
              <w:t>Ředitelství silnic a dálnic s. p.</w:t>
            </w:r>
          </w:p>
          <w:p w14:paraId="756C12A8" w14:textId="282B3FE8"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Státní fond dopravní infrastruktury</w:t>
            </w:r>
          </w:p>
        </w:tc>
      </w:tr>
      <w:tr w:rsidR="00AA08C9" w:rsidRPr="00DE52C8" w14:paraId="40C863F1" w14:textId="77777777" w:rsidTr="004105E4">
        <w:trPr>
          <w:trHeight w:val="283"/>
        </w:trPr>
        <w:tc>
          <w:tcPr>
            <w:tcW w:w="2220" w:type="dxa"/>
            <w:tcBorders>
              <w:top w:val="nil"/>
              <w:left w:val="nil"/>
              <w:bottom w:val="nil"/>
              <w:right w:val="nil"/>
            </w:tcBorders>
            <w:noWrap/>
            <w:vAlign w:val="center"/>
            <w:hideMark/>
          </w:tcPr>
          <w:p w14:paraId="0AE8F495"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SFŽP </w:t>
            </w:r>
          </w:p>
        </w:tc>
        <w:tc>
          <w:tcPr>
            <w:tcW w:w="7009" w:type="dxa"/>
            <w:tcBorders>
              <w:top w:val="nil"/>
              <w:left w:val="nil"/>
              <w:bottom w:val="nil"/>
              <w:right w:val="nil"/>
            </w:tcBorders>
            <w:noWrap/>
            <w:vAlign w:val="center"/>
            <w:hideMark/>
          </w:tcPr>
          <w:p w14:paraId="25FB9D25"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Státní fond životního prostředí České republiky</w:t>
            </w:r>
          </w:p>
        </w:tc>
      </w:tr>
      <w:tr w:rsidR="00AA08C9" w:rsidRPr="00DE52C8" w14:paraId="2E746707" w14:textId="77777777" w:rsidTr="004105E4">
        <w:trPr>
          <w:trHeight w:val="283"/>
        </w:trPr>
        <w:tc>
          <w:tcPr>
            <w:tcW w:w="2220" w:type="dxa"/>
            <w:tcBorders>
              <w:top w:val="nil"/>
              <w:left w:val="nil"/>
              <w:bottom w:val="nil"/>
              <w:right w:val="nil"/>
            </w:tcBorders>
            <w:noWrap/>
            <w:vAlign w:val="center"/>
            <w:hideMark/>
          </w:tcPr>
          <w:p w14:paraId="62AEE3AC"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s. p.</w:t>
            </w:r>
          </w:p>
        </w:tc>
        <w:tc>
          <w:tcPr>
            <w:tcW w:w="7009" w:type="dxa"/>
            <w:tcBorders>
              <w:top w:val="nil"/>
              <w:left w:val="nil"/>
              <w:bottom w:val="nil"/>
              <w:right w:val="nil"/>
            </w:tcBorders>
            <w:noWrap/>
            <w:vAlign w:val="center"/>
            <w:hideMark/>
          </w:tcPr>
          <w:p w14:paraId="6A61367E"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státní podnik</w:t>
            </w:r>
          </w:p>
        </w:tc>
      </w:tr>
      <w:tr w:rsidR="00AA08C9" w:rsidRPr="00DE52C8" w14:paraId="2B38B7F7" w14:textId="77777777" w:rsidTr="004105E4">
        <w:trPr>
          <w:trHeight w:val="283"/>
        </w:trPr>
        <w:tc>
          <w:tcPr>
            <w:tcW w:w="2220" w:type="dxa"/>
            <w:tcBorders>
              <w:top w:val="nil"/>
              <w:left w:val="nil"/>
              <w:bottom w:val="nil"/>
              <w:right w:val="nil"/>
            </w:tcBorders>
            <w:noWrap/>
            <w:vAlign w:val="center"/>
          </w:tcPr>
          <w:p w14:paraId="42A1368F"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SEA</w:t>
            </w:r>
          </w:p>
        </w:tc>
        <w:tc>
          <w:tcPr>
            <w:tcW w:w="7009" w:type="dxa"/>
            <w:tcBorders>
              <w:top w:val="nil"/>
              <w:left w:val="nil"/>
              <w:bottom w:val="nil"/>
              <w:right w:val="nil"/>
            </w:tcBorders>
            <w:noWrap/>
            <w:vAlign w:val="center"/>
          </w:tcPr>
          <w:p w14:paraId="3DB6DC93" w14:textId="77777777" w:rsidR="00DF232B" w:rsidRPr="00DE52C8" w:rsidRDefault="00DF232B" w:rsidP="004B3432">
            <w:pPr>
              <w:shd w:val="clear" w:color="auto" w:fill="FFFFFF" w:themeFill="background1"/>
              <w:contextualSpacing/>
              <w:rPr>
                <w:rFonts w:cs="Arial"/>
                <w:sz w:val="18"/>
                <w:szCs w:val="18"/>
              </w:rPr>
            </w:pPr>
            <w:proofErr w:type="spellStart"/>
            <w:r w:rsidRPr="00DE52C8">
              <w:rPr>
                <w:rFonts w:cs="Arial"/>
                <w:sz w:val="18"/>
                <w:szCs w:val="18"/>
              </w:rPr>
              <w:t>Strategic</w:t>
            </w:r>
            <w:proofErr w:type="spellEnd"/>
            <w:r w:rsidRPr="00DE52C8">
              <w:rPr>
                <w:rFonts w:cs="Arial"/>
                <w:sz w:val="18"/>
                <w:szCs w:val="18"/>
              </w:rPr>
              <w:t xml:space="preserve"> </w:t>
            </w:r>
            <w:proofErr w:type="spellStart"/>
            <w:r w:rsidRPr="00DE52C8">
              <w:rPr>
                <w:rFonts w:cs="Arial"/>
                <w:sz w:val="18"/>
                <w:szCs w:val="18"/>
              </w:rPr>
              <w:t>Environmental</w:t>
            </w:r>
            <w:proofErr w:type="spellEnd"/>
            <w:r w:rsidRPr="00DE52C8">
              <w:rPr>
                <w:rFonts w:cs="Arial"/>
                <w:sz w:val="18"/>
                <w:szCs w:val="18"/>
              </w:rPr>
              <w:t xml:space="preserve"> </w:t>
            </w:r>
            <w:proofErr w:type="spellStart"/>
            <w:r w:rsidRPr="00DE52C8">
              <w:rPr>
                <w:rFonts w:cs="Arial"/>
                <w:sz w:val="18"/>
                <w:szCs w:val="18"/>
              </w:rPr>
              <w:t>Assessment</w:t>
            </w:r>
            <w:proofErr w:type="spellEnd"/>
            <w:r w:rsidR="004C4A42" w:rsidRPr="00DE52C8">
              <w:rPr>
                <w:rFonts w:cs="Arial"/>
                <w:sz w:val="18"/>
                <w:szCs w:val="18"/>
              </w:rPr>
              <w:t xml:space="preserve"> (Posouzení vlivů koncepcí na životní prostředí)</w:t>
            </w:r>
          </w:p>
        </w:tc>
      </w:tr>
      <w:tr w:rsidR="00AA08C9" w:rsidRPr="00DE52C8" w14:paraId="7812B439" w14:textId="77777777" w:rsidTr="004105E4">
        <w:trPr>
          <w:trHeight w:val="283"/>
        </w:trPr>
        <w:tc>
          <w:tcPr>
            <w:tcW w:w="2220" w:type="dxa"/>
            <w:tcBorders>
              <w:top w:val="nil"/>
              <w:left w:val="nil"/>
              <w:bottom w:val="nil"/>
              <w:right w:val="nil"/>
            </w:tcBorders>
            <w:noWrap/>
            <w:vAlign w:val="center"/>
            <w:hideMark/>
          </w:tcPr>
          <w:p w14:paraId="39F639ED"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SPA</w:t>
            </w:r>
          </w:p>
        </w:tc>
        <w:tc>
          <w:tcPr>
            <w:tcW w:w="7009" w:type="dxa"/>
            <w:tcBorders>
              <w:top w:val="nil"/>
              <w:left w:val="nil"/>
              <w:bottom w:val="nil"/>
              <w:right w:val="nil"/>
            </w:tcBorders>
            <w:noWrap/>
            <w:vAlign w:val="center"/>
            <w:hideMark/>
          </w:tcPr>
          <w:p w14:paraId="3618FF9B"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stupeň povodňové aktivity</w:t>
            </w:r>
          </w:p>
        </w:tc>
      </w:tr>
      <w:tr w:rsidR="00AA08C9" w:rsidRPr="00DE52C8" w14:paraId="0955274F" w14:textId="77777777" w:rsidTr="004105E4">
        <w:trPr>
          <w:trHeight w:val="283"/>
        </w:trPr>
        <w:tc>
          <w:tcPr>
            <w:tcW w:w="2220" w:type="dxa"/>
            <w:tcBorders>
              <w:top w:val="nil"/>
              <w:left w:val="nil"/>
              <w:bottom w:val="nil"/>
              <w:right w:val="nil"/>
            </w:tcBorders>
            <w:noWrap/>
            <w:vAlign w:val="center"/>
          </w:tcPr>
          <w:p w14:paraId="0098E386"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SPÚ</w:t>
            </w:r>
          </w:p>
        </w:tc>
        <w:tc>
          <w:tcPr>
            <w:tcW w:w="7009" w:type="dxa"/>
            <w:tcBorders>
              <w:top w:val="nil"/>
              <w:left w:val="nil"/>
              <w:bottom w:val="nil"/>
              <w:right w:val="nil"/>
            </w:tcBorders>
            <w:noWrap/>
            <w:vAlign w:val="center"/>
          </w:tcPr>
          <w:p w14:paraId="045D460E"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Státní pozemkový úřad</w:t>
            </w:r>
          </w:p>
        </w:tc>
      </w:tr>
      <w:tr w:rsidR="00AA08C9" w:rsidRPr="00DE52C8" w14:paraId="67FFA1E9" w14:textId="77777777" w:rsidTr="004105E4">
        <w:trPr>
          <w:trHeight w:val="283"/>
        </w:trPr>
        <w:tc>
          <w:tcPr>
            <w:tcW w:w="2220" w:type="dxa"/>
            <w:tcBorders>
              <w:top w:val="nil"/>
              <w:left w:val="nil"/>
              <w:bottom w:val="nil"/>
              <w:right w:val="nil"/>
            </w:tcBorders>
            <w:noWrap/>
            <w:vAlign w:val="center"/>
            <w:hideMark/>
          </w:tcPr>
          <w:p w14:paraId="22D1C4B8"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s. r. o.</w:t>
            </w:r>
          </w:p>
        </w:tc>
        <w:tc>
          <w:tcPr>
            <w:tcW w:w="7009" w:type="dxa"/>
            <w:tcBorders>
              <w:top w:val="nil"/>
              <w:left w:val="nil"/>
              <w:bottom w:val="nil"/>
              <w:right w:val="nil"/>
            </w:tcBorders>
            <w:noWrap/>
            <w:vAlign w:val="center"/>
            <w:hideMark/>
          </w:tcPr>
          <w:p w14:paraId="64749832"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společnost s ručením omezeným</w:t>
            </w:r>
          </w:p>
        </w:tc>
      </w:tr>
      <w:tr w:rsidR="00AA08C9" w:rsidRPr="00DE52C8" w14:paraId="57BDB414" w14:textId="77777777" w:rsidTr="004105E4">
        <w:trPr>
          <w:trHeight w:val="283"/>
        </w:trPr>
        <w:tc>
          <w:tcPr>
            <w:tcW w:w="2220" w:type="dxa"/>
            <w:tcBorders>
              <w:top w:val="nil"/>
              <w:left w:val="nil"/>
              <w:bottom w:val="nil"/>
              <w:right w:val="nil"/>
            </w:tcBorders>
            <w:noWrap/>
            <w:vAlign w:val="center"/>
          </w:tcPr>
          <w:p w14:paraId="54F34920" w14:textId="4EF5CEE5" w:rsidR="008F25D2" w:rsidRPr="00DE52C8" w:rsidRDefault="008F25D2" w:rsidP="004B3432">
            <w:pPr>
              <w:shd w:val="clear" w:color="auto" w:fill="FFFFFF" w:themeFill="background1"/>
              <w:contextualSpacing/>
              <w:rPr>
                <w:rFonts w:cs="Arial"/>
                <w:sz w:val="18"/>
                <w:szCs w:val="18"/>
              </w:rPr>
            </w:pPr>
            <w:r w:rsidRPr="00DE52C8">
              <w:rPr>
                <w:rFonts w:cs="Arial"/>
                <w:sz w:val="18"/>
                <w:szCs w:val="18"/>
              </w:rPr>
              <w:t>TA</w:t>
            </w:r>
            <w:r w:rsidR="008E59E4" w:rsidRPr="00DE52C8">
              <w:rPr>
                <w:rFonts w:cs="Arial"/>
                <w:sz w:val="18"/>
                <w:szCs w:val="18"/>
              </w:rPr>
              <w:t xml:space="preserve"> </w:t>
            </w:r>
            <w:r w:rsidRPr="00DE52C8">
              <w:rPr>
                <w:rFonts w:cs="Arial"/>
                <w:sz w:val="18"/>
                <w:szCs w:val="18"/>
              </w:rPr>
              <w:t>ČR</w:t>
            </w:r>
          </w:p>
        </w:tc>
        <w:tc>
          <w:tcPr>
            <w:tcW w:w="7009" w:type="dxa"/>
            <w:tcBorders>
              <w:top w:val="nil"/>
              <w:left w:val="nil"/>
              <w:bottom w:val="nil"/>
              <w:right w:val="nil"/>
            </w:tcBorders>
            <w:noWrap/>
            <w:vAlign w:val="center"/>
          </w:tcPr>
          <w:p w14:paraId="14493688" w14:textId="77777777" w:rsidR="008F25D2" w:rsidRPr="00DE52C8" w:rsidRDefault="008F25D2" w:rsidP="004B3432">
            <w:pPr>
              <w:shd w:val="clear" w:color="auto" w:fill="FFFFFF" w:themeFill="background1"/>
              <w:contextualSpacing/>
              <w:rPr>
                <w:rFonts w:cs="Arial"/>
                <w:sz w:val="18"/>
                <w:szCs w:val="18"/>
              </w:rPr>
            </w:pPr>
            <w:r w:rsidRPr="00DE52C8">
              <w:rPr>
                <w:rFonts w:cs="Arial"/>
                <w:sz w:val="18"/>
                <w:szCs w:val="18"/>
              </w:rPr>
              <w:t>Technologická agentura České republiky</w:t>
            </w:r>
          </w:p>
        </w:tc>
      </w:tr>
      <w:tr w:rsidR="00C048F8" w:rsidRPr="00DE52C8" w14:paraId="46741573" w14:textId="77777777" w:rsidTr="004105E4">
        <w:trPr>
          <w:trHeight w:val="283"/>
        </w:trPr>
        <w:tc>
          <w:tcPr>
            <w:tcW w:w="2220" w:type="dxa"/>
            <w:tcBorders>
              <w:top w:val="nil"/>
              <w:left w:val="nil"/>
              <w:bottom w:val="nil"/>
              <w:right w:val="nil"/>
            </w:tcBorders>
            <w:noWrap/>
            <w:vAlign w:val="center"/>
          </w:tcPr>
          <w:p w14:paraId="427536F2" w14:textId="5918E09E" w:rsidR="00C048F8" w:rsidRPr="00DE52C8" w:rsidRDefault="00C048F8" w:rsidP="004B3432">
            <w:pPr>
              <w:shd w:val="clear" w:color="auto" w:fill="FFFFFF" w:themeFill="background1"/>
              <w:contextualSpacing/>
              <w:rPr>
                <w:rFonts w:cs="Arial"/>
                <w:sz w:val="18"/>
                <w:szCs w:val="18"/>
              </w:rPr>
            </w:pPr>
            <w:r>
              <w:rPr>
                <w:rFonts w:cs="Arial"/>
                <w:sz w:val="18"/>
                <w:szCs w:val="18"/>
              </w:rPr>
              <w:t>TFA</w:t>
            </w:r>
          </w:p>
        </w:tc>
        <w:tc>
          <w:tcPr>
            <w:tcW w:w="7009" w:type="dxa"/>
            <w:tcBorders>
              <w:top w:val="nil"/>
              <w:left w:val="nil"/>
              <w:bottom w:val="nil"/>
              <w:right w:val="nil"/>
            </w:tcBorders>
            <w:noWrap/>
            <w:vAlign w:val="center"/>
          </w:tcPr>
          <w:p w14:paraId="25C9B6BC" w14:textId="7A71BAD1" w:rsidR="00C048F8" w:rsidRPr="00DE52C8" w:rsidRDefault="00C048F8" w:rsidP="004B3432">
            <w:pPr>
              <w:shd w:val="clear" w:color="auto" w:fill="FFFFFF" w:themeFill="background1"/>
              <w:contextualSpacing/>
              <w:rPr>
                <w:rFonts w:cs="Arial"/>
                <w:sz w:val="18"/>
                <w:szCs w:val="18"/>
              </w:rPr>
            </w:pPr>
            <w:r>
              <w:rPr>
                <w:rFonts w:cs="Arial"/>
                <w:sz w:val="18"/>
                <w:szCs w:val="18"/>
              </w:rPr>
              <w:t>kyselina trifluoroctová</w:t>
            </w:r>
          </w:p>
        </w:tc>
      </w:tr>
      <w:tr w:rsidR="00AA08C9" w:rsidRPr="00DE52C8" w14:paraId="7DAD4D41" w14:textId="77777777" w:rsidTr="004105E4">
        <w:trPr>
          <w:trHeight w:val="283"/>
        </w:trPr>
        <w:tc>
          <w:tcPr>
            <w:tcW w:w="2220" w:type="dxa"/>
            <w:tcBorders>
              <w:top w:val="nil"/>
              <w:left w:val="nil"/>
              <w:bottom w:val="nil"/>
              <w:right w:val="nil"/>
            </w:tcBorders>
            <w:noWrap/>
            <w:vAlign w:val="center"/>
          </w:tcPr>
          <w:p w14:paraId="48D1FF2B" w14:textId="1FE0AED3" w:rsidR="00C834ED" w:rsidRPr="00DE52C8" w:rsidRDefault="00C834ED" w:rsidP="004B3432">
            <w:pPr>
              <w:shd w:val="clear" w:color="auto" w:fill="FFFFFF" w:themeFill="background1"/>
              <w:contextualSpacing/>
              <w:rPr>
                <w:rFonts w:cs="Arial"/>
                <w:sz w:val="18"/>
                <w:szCs w:val="18"/>
              </w:rPr>
            </w:pPr>
            <w:r w:rsidRPr="00DE52C8">
              <w:rPr>
                <w:rFonts w:cs="Arial"/>
                <w:sz w:val="18"/>
                <w:szCs w:val="18"/>
              </w:rPr>
              <w:t>TOL</w:t>
            </w:r>
          </w:p>
          <w:p w14:paraId="7F4F34C1" w14:textId="57BD525C" w:rsidR="00C834ED" w:rsidRPr="00DE52C8" w:rsidRDefault="00C834ED" w:rsidP="004B3432">
            <w:pPr>
              <w:shd w:val="clear" w:color="auto" w:fill="FFFFFF" w:themeFill="background1"/>
              <w:contextualSpacing/>
              <w:rPr>
                <w:rFonts w:cs="Arial"/>
                <w:sz w:val="18"/>
                <w:szCs w:val="18"/>
              </w:rPr>
            </w:pPr>
            <w:r w:rsidRPr="00DE52C8">
              <w:rPr>
                <w:rFonts w:cs="Arial"/>
                <w:sz w:val="18"/>
                <w:szCs w:val="18"/>
              </w:rPr>
              <w:t>UWWTD</w:t>
            </w:r>
          </w:p>
          <w:p w14:paraId="23B257B5" w14:textId="2148C235" w:rsidR="00DF232B" w:rsidRPr="00DE52C8" w:rsidRDefault="00DF232B" w:rsidP="004B3432">
            <w:pPr>
              <w:shd w:val="clear" w:color="auto" w:fill="FFFFFF" w:themeFill="background1"/>
              <w:contextualSpacing/>
              <w:rPr>
                <w:rFonts w:cs="Arial"/>
                <w:sz w:val="18"/>
                <w:szCs w:val="18"/>
              </w:rPr>
            </w:pPr>
            <w:proofErr w:type="spellStart"/>
            <w:r w:rsidRPr="00DE52C8">
              <w:rPr>
                <w:rFonts w:cs="Arial"/>
                <w:sz w:val="18"/>
                <w:szCs w:val="18"/>
              </w:rPr>
              <w:t>v.v.i</w:t>
            </w:r>
            <w:proofErr w:type="spellEnd"/>
            <w:r w:rsidRPr="00DE52C8">
              <w:rPr>
                <w:rFonts w:cs="Arial"/>
                <w:sz w:val="18"/>
                <w:szCs w:val="18"/>
              </w:rPr>
              <w:t>.</w:t>
            </w:r>
          </w:p>
        </w:tc>
        <w:tc>
          <w:tcPr>
            <w:tcW w:w="7009" w:type="dxa"/>
            <w:tcBorders>
              <w:top w:val="nil"/>
              <w:left w:val="nil"/>
              <w:bottom w:val="nil"/>
              <w:right w:val="nil"/>
            </w:tcBorders>
            <w:noWrap/>
            <w:vAlign w:val="center"/>
          </w:tcPr>
          <w:p w14:paraId="48E2A3E6" w14:textId="578C9B96" w:rsidR="00C834ED" w:rsidRPr="00DE52C8" w:rsidRDefault="00C834ED" w:rsidP="004B3432">
            <w:pPr>
              <w:shd w:val="clear" w:color="auto" w:fill="FFFFFF" w:themeFill="background1"/>
              <w:contextualSpacing/>
              <w:rPr>
                <w:rFonts w:cs="Arial"/>
                <w:sz w:val="18"/>
                <w:szCs w:val="18"/>
              </w:rPr>
            </w:pPr>
            <w:r w:rsidRPr="00DE52C8">
              <w:rPr>
                <w:rFonts w:cs="Arial"/>
                <w:sz w:val="18"/>
                <w:szCs w:val="18"/>
              </w:rPr>
              <w:t xml:space="preserve">toluen a </w:t>
            </w:r>
            <w:proofErr w:type="gramStart"/>
            <w:r w:rsidRPr="00DE52C8">
              <w:rPr>
                <w:rFonts w:cs="Arial"/>
                <w:sz w:val="18"/>
                <w:szCs w:val="18"/>
              </w:rPr>
              <w:t>1,2-cis</w:t>
            </w:r>
            <w:proofErr w:type="gramEnd"/>
            <w:r w:rsidRPr="00DE52C8">
              <w:rPr>
                <w:rFonts w:cs="Arial"/>
                <w:sz w:val="18"/>
                <w:szCs w:val="18"/>
              </w:rPr>
              <w:t>-dichlorethen</w:t>
            </w:r>
          </w:p>
          <w:p w14:paraId="41029F8B" w14:textId="537CB0EB" w:rsidR="00C834ED" w:rsidRPr="00DE52C8" w:rsidRDefault="00C834ED" w:rsidP="004B3432">
            <w:pPr>
              <w:shd w:val="clear" w:color="auto" w:fill="FFFFFF" w:themeFill="background1"/>
              <w:contextualSpacing/>
              <w:rPr>
                <w:rFonts w:cs="Arial"/>
                <w:sz w:val="18"/>
                <w:szCs w:val="18"/>
              </w:rPr>
            </w:pPr>
            <w:r w:rsidRPr="00DE52C8">
              <w:rPr>
                <w:rFonts w:cs="Arial"/>
                <w:sz w:val="18"/>
                <w:szCs w:val="18"/>
              </w:rPr>
              <w:t>Směrnice o čištění městských odpadních vod (</w:t>
            </w:r>
            <w:proofErr w:type="spellStart"/>
            <w:r w:rsidRPr="00DE52C8">
              <w:rPr>
                <w:rFonts w:cs="Arial"/>
                <w:sz w:val="18"/>
                <w:szCs w:val="18"/>
              </w:rPr>
              <w:t>The</w:t>
            </w:r>
            <w:proofErr w:type="spellEnd"/>
            <w:r w:rsidRPr="00DE52C8">
              <w:rPr>
                <w:rFonts w:cs="Arial"/>
                <w:sz w:val="18"/>
                <w:szCs w:val="18"/>
              </w:rPr>
              <w:t xml:space="preserve"> Urban </w:t>
            </w:r>
            <w:proofErr w:type="spellStart"/>
            <w:r w:rsidRPr="00DE52C8">
              <w:rPr>
                <w:rFonts w:cs="Arial"/>
                <w:sz w:val="18"/>
                <w:szCs w:val="18"/>
              </w:rPr>
              <w:t>Waste</w:t>
            </w:r>
            <w:proofErr w:type="spellEnd"/>
            <w:r w:rsidRPr="00DE52C8">
              <w:rPr>
                <w:rFonts w:cs="Arial"/>
                <w:sz w:val="18"/>
                <w:szCs w:val="18"/>
              </w:rPr>
              <w:t xml:space="preserve"> </w:t>
            </w:r>
            <w:proofErr w:type="spellStart"/>
            <w:r w:rsidRPr="00DE52C8">
              <w:rPr>
                <w:rFonts w:cs="Arial"/>
                <w:sz w:val="18"/>
                <w:szCs w:val="18"/>
              </w:rPr>
              <w:t>Water</w:t>
            </w:r>
            <w:proofErr w:type="spellEnd"/>
            <w:r w:rsidRPr="00DE52C8">
              <w:rPr>
                <w:rFonts w:cs="Arial"/>
                <w:sz w:val="18"/>
                <w:szCs w:val="18"/>
              </w:rPr>
              <w:t xml:space="preserve"> </w:t>
            </w:r>
            <w:proofErr w:type="spellStart"/>
            <w:r w:rsidRPr="00DE52C8">
              <w:rPr>
                <w:rFonts w:cs="Arial"/>
                <w:sz w:val="18"/>
                <w:szCs w:val="18"/>
              </w:rPr>
              <w:t>Treatment</w:t>
            </w:r>
            <w:proofErr w:type="spellEnd"/>
            <w:r w:rsidRPr="00DE52C8">
              <w:rPr>
                <w:rFonts w:cs="Arial"/>
                <w:sz w:val="18"/>
                <w:szCs w:val="18"/>
              </w:rPr>
              <w:t xml:space="preserve"> </w:t>
            </w:r>
            <w:proofErr w:type="spellStart"/>
            <w:r w:rsidRPr="00DE52C8">
              <w:rPr>
                <w:rFonts w:cs="Arial"/>
                <w:sz w:val="18"/>
                <w:szCs w:val="18"/>
              </w:rPr>
              <w:t>Directive</w:t>
            </w:r>
            <w:proofErr w:type="spellEnd"/>
            <w:r w:rsidRPr="00DE52C8">
              <w:rPr>
                <w:rFonts w:cs="Arial"/>
                <w:sz w:val="18"/>
                <w:szCs w:val="18"/>
              </w:rPr>
              <w:t>)</w:t>
            </w:r>
          </w:p>
          <w:p w14:paraId="0BDB7893" w14:textId="150D79B4"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veřejná výzkumná instituce</w:t>
            </w:r>
          </w:p>
        </w:tc>
      </w:tr>
      <w:tr w:rsidR="00AA08C9" w:rsidRPr="00DE52C8" w14:paraId="176A02BC" w14:textId="77777777" w:rsidTr="004105E4">
        <w:trPr>
          <w:trHeight w:val="283"/>
        </w:trPr>
        <w:tc>
          <w:tcPr>
            <w:tcW w:w="2220" w:type="dxa"/>
            <w:tcBorders>
              <w:top w:val="nil"/>
              <w:left w:val="nil"/>
              <w:bottom w:val="nil"/>
              <w:right w:val="nil"/>
            </w:tcBorders>
            <w:noWrap/>
            <w:vAlign w:val="center"/>
          </w:tcPr>
          <w:p w14:paraId="7C79BD1B" w14:textId="77777777" w:rsidR="00DF232B" w:rsidRPr="00DE52C8" w:rsidRDefault="00DF232B" w:rsidP="004B3432">
            <w:pPr>
              <w:shd w:val="clear" w:color="auto" w:fill="FFFFFF" w:themeFill="background1"/>
              <w:contextualSpacing/>
              <w:rPr>
                <w:rFonts w:cs="Arial"/>
                <w:sz w:val="18"/>
                <w:szCs w:val="18"/>
              </w:rPr>
            </w:pPr>
            <w:proofErr w:type="spellStart"/>
            <w:r w:rsidRPr="00DE52C8">
              <w:rPr>
                <w:rFonts w:cs="Arial"/>
                <w:sz w:val="18"/>
                <w:szCs w:val="18"/>
              </w:rPr>
              <w:t>VaK</w:t>
            </w:r>
            <w:proofErr w:type="spellEnd"/>
          </w:p>
        </w:tc>
        <w:tc>
          <w:tcPr>
            <w:tcW w:w="7009" w:type="dxa"/>
            <w:tcBorders>
              <w:top w:val="nil"/>
              <w:left w:val="nil"/>
              <w:bottom w:val="nil"/>
              <w:right w:val="nil"/>
            </w:tcBorders>
            <w:noWrap/>
            <w:vAlign w:val="center"/>
          </w:tcPr>
          <w:p w14:paraId="6558B6CF"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vodovody a kanalizace</w:t>
            </w:r>
            <w:r w:rsidR="004A5FF0" w:rsidRPr="00DE52C8">
              <w:rPr>
                <w:rFonts w:cs="Arial"/>
                <w:sz w:val="18"/>
                <w:szCs w:val="18"/>
              </w:rPr>
              <w:t xml:space="preserve"> pro veřejnou potřebu</w:t>
            </w:r>
          </w:p>
        </w:tc>
      </w:tr>
      <w:tr w:rsidR="00AA08C9" w:rsidRPr="00DE52C8" w14:paraId="1AD4CC35" w14:textId="77777777" w:rsidTr="004105E4">
        <w:trPr>
          <w:trHeight w:val="283"/>
        </w:trPr>
        <w:tc>
          <w:tcPr>
            <w:tcW w:w="2220" w:type="dxa"/>
            <w:tcBorders>
              <w:top w:val="nil"/>
              <w:left w:val="nil"/>
              <w:bottom w:val="nil"/>
              <w:right w:val="nil"/>
            </w:tcBorders>
            <w:noWrap/>
            <w:vAlign w:val="center"/>
            <w:hideMark/>
          </w:tcPr>
          <w:p w14:paraId="58F7B07A"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VD</w:t>
            </w:r>
          </w:p>
        </w:tc>
        <w:tc>
          <w:tcPr>
            <w:tcW w:w="7009" w:type="dxa"/>
            <w:tcBorders>
              <w:top w:val="nil"/>
              <w:left w:val="nil"/>
              <w:bottom w:val="nil"/>
              <w:right w:val="nil"/>
            </w:tcBorders>
            <w:noWrap/>
            <w:vAlign w:val="center"/>
            <w:hideMark/>
          </w:tcPr>
          <w:p w14:paraId="313A0B6B" w14:textId="77777777" w:rsidR="00DF232B" w:rsidRPr="00DE52C8" w:rsidRDefault="00DF232B" w:rsidP="004B3432">
            <w:pPr>
              <w:shd w:val="clear" w:color="auto" w:fill="FFFFFF" w:themeFill="background1"/>
              <w:contextualSpacing/>
              <w:rPr>
                <w:rFonts w:cs="Arial"/>
                <w:sz w:val="18"/>
                <w:szCs w:val="18"/>
              </w:rPr>
            </w:pPr>
            <w:r w:rsidRPr="00DE52C8">
              <w:rPr>
                <w:rFonts w:cs="Arial"/>
                <w:sz w:val="18"/>
                <w:szCs w:val="18"/>
              </w:rPr>
              <w:t>vodní dílo</w:t>
            </w:r>
          </w:p>
        </w:tc>
      </w:tr>
      <w:tr w:rsidR="00AA08C9" w:rsidRPr="00DE52C8" w14:paraId="0B1FEA1D" w14:textId="77777777" w:rsidTr="004105E4">
        <w:trPr>
          <w:trHeight w:val="283"/>
        </w:trPr>
        <w:tc>
          <w:tcPr>
            <w:tcW w:w="2220" w:type="dxa"/>
            <w:tcBorders>
              <w:top w:val="nil"/>
              <w:left w:val="nil"/>
              <w:bottom w:val="nil"/>
              <w:right w:val="nil"/>
            </w:tcBorders>
            <w:noWrap/>
            <w:vAlign w:val="center"/>
          </w:tcPr>
          <w:p w14:paraId="70AAD9E7" w14:textId="77777777" w:rsidR="00B06B42" w:rsidRPr="00DE52C8" w:rsidRDefault="00B06B42" w:rsidP="004B3432">
            <w:pPr>
              <w:shd w:val="clear" w:color="auto" w:fill="FFFFFF" w:themeFill="background1"/>
              <w:contextualSpacing/>
              <w:rPr>
                <w:rFonts w:cs="Arial"/>
                <w:sz w:val="18"/>
                <w:szCs w:val="18"/>
              </w:rPr>
            </w:pPr>
            <w:r w:rsidRPr="00DE52C8">
              <w:rPr>
                <w:rFonts w:cs="Arial"/>
                <w:sz w:val="18"/>
                <w:szCs w:val="18"/>
              </w:rPr>
              <w:t>VN</w:t>
            </w:r>
          </w:p>
        </w:tc>
        <w:tc>
          <w:tcPr>
            <w:tcW w:w="7009" w:type="dxa"/>
            <w:tcBorders>
              <w:top w:val="nil"/>
              <w:left w:val="nil"/>
              <w:bottom w:val="nil"/>
              <w:right w:val="nil"/>
            </w:tcBorders>
            <w:noWrap/>
            <w:vAlign w:val="center"/>
          </w:tcPr>
          <w:p w14:paraId="65766C26" w14:textId="0259C8D6" w:rsidR="00B06B42" w:rsidRPr="00DE52C8" w:rsidRDefault="00E22671" w:rsidP="004B3432">
            <w:pPr>
              <w:shd w:val="clear" w:color="auto" w:fill="FFFFFF" w:themeFill="background1"/>
              <w:contextualSpacing/>
              <w:rPr>
                <w:rFonts w:cs="Arial"/>
                <w:sz w:val="18"/>
                <w:szCs w:val="18"/>
              </w:rPr>
            </w:pPr>
            <w:r w:rsidRPr="00DE52C8">
              <w:rPr>
                <w:rFonts w:cs="Arial"/>
                <w:sz w:val="18"/>
                <w:szCs w:val="18"/>
              </w:rPr>
              <w:t xml:space="preserve">vodní </w:t>
            </w:r>
            <w:r w:rsidR="00B06B42" w:rsidRPr="00DE52C8">
              <w:rPr>
                <w:rFonts w:cs="Arial"/>
                <w:sz w:val="18"/>
                <w:szCs w:val="18"/>
              </w:rPr>
              <w:t>nádrž</w:t>
            </w:r>
          </w:p>
        </w:tc>
      </w:tr>
      <w:tr w:rsidR="00AA08C9" w:rsidRPr="00DE52C8" w14:paraId="4B4445BA" w14:textId="77777777" w:rsidTr="004105E4">
        <w:trPr>
          <w:trHeight w:val="283"/>
        </w:trPr>
        <w:tc>
          <w:tcPr>
            <w:tcW w:w="2220" w:type="dxa"/>
            <w:tcBorders>
              <w:top w:val="nil"/>
              <w:left w:val="nil"/>
              <w:bottom w:val="nil"/>
              <w:right w:val="nil"/>
            </w:tcBorders>
            <w:noWrap/>
            <w:vAlign w:val="center"/>
          </w:tcPr>
          <w:p w14:paraId="02B1B98B" w14:textId="389FA7FC" w:rsidR="009C51C9" w:rsidRPr="00DE52C8" w:rsidRDefault="009C51C9" w:rsidP="004B3432">
            <w:pPr>
              <w:shd w:val="clear" w:color="auto" w:fill="FFFFFF" w:themeFill="background1"/>
              <w:contextualSpacing/>
              <w:rPr>
                <w:rFonts w:cs="Arial"/>
                <w:sz w:val="18"/>
                <w:szCs w:val="18"/>
              </w:rPr>
            </w:pPr>
            <w:r w:rsidRPr="00DE52C8">
              <w:rPr>
                <w:rFonts w:cs="Arial"/>
                <w:sz w:val="18"/>
                <w:szCs w:val="18"/>
              </w:rPr>
              <w:t>vodní zákon</w:t>
            </w:r>
          </w:p>
        </w:tc>
        <w:tc>
          <w:tcPr>
            <w:tcW w:w="7009" w:type="dxa"/>
            <w:tcBorders>
              <w:top w:val="nil"/>
              <w:left w:val="nil"/>
              <w:bottom w:val="nil"/>
              <w:right w:val="nil"/>
            </w:tcBorders>
            <w:noWrap/>
            <w:vAlign w:val="center"/>
          </w:tcPr>
          <w:p w14:paraId="7727C1D7" w14:textId="61F8D3F5" w:rsidR="009C51C9" w:rsidRPr="00DE52C8" w:rsidRDefault="009C51C9" w:rsidP="004B3432">
            <w:pPr>
              <w:shd w:val="clear" w:color="auto" w:fill="FFFFFF" w:themeFill="background1"/>
              <w:contextualSpacing/>
              <w:rPr>
                <w:rFonts w:cs="Arial"/>
                <w:sz w:val="18"/>
                <w:szCs w:val="18"/>
              </w:rPr>
            </w:pPr>
            <w:r w:rsidRPr="00DE52C8">
              <w:rPr>
                <w:rFonts w:cs="Arial"/>
                <w:sz w:val="18"/>
                <w:szCs w:val="18"/>
              </w:rPr>
              <w:t>zákon č. 254/2001 Sb., o vodách a o změně některých zákonů (vodní zákon), ve znění pozdějších předpisů</w:t>
            </w:r>
          </w:p>
        </w:tc>
      </w:tr>
      <w:tr w:rsidR="00AA08C9" w:rsidRPr="00DE52C8" w14:paraId="17E42719" w14:textId="77777777" w:rsidTr="004105E4">
        <w:trPr>
          <w:trHeight w:val="283"/>
        </w:trPr>
        <w:tc>
          <w:tcPr>
            <w:tcW w:w="2220" w:type="dxa"/>
            <w:tcBorders>
              <w:top w:val="nil"/>
              <w:left w:val="nil"/>
              <w:bottom w:val="nil"/>
              <w:right w:val="nil"/>
            </w:tcBorders>
            <w:noWrap/>
            <w:vAlign w:val="center"/>
          </w:tcPr>
          <w:p w14:paraId="081B2F7A" w14:textId="13507DD8" w:rsidR="00C834ED" w:rsidRPr="00DE52C8" w:rsidRDefault="00C834ED" w:rsidP="004B3432">
            <w:pPr>
              <w:shd w:val="clear" w:color="auto" w:fill="FFFFFF" w:themeFill="background1"/>
              <w:contextualSpacing/>
              <w:rPr>
                <w:rFonts w:cs="Arial"/>
                <w:sz w:val="18"/>
                <w:szCs w:val="18"/>
              </w:rPr>
            </w:pPr>
            <w:r w:rsidRPr="00DE52C8">
              <w:rPr>
                <w:rFonts w:cs="Arial"/>
                <w:sz w:val="18"/>
                <w:szCs w:val="18"/>
              </w:rPr>
              <w:t>VÚME</w:t>
            </w:r>
          </w:p>
          <w:p w14:paraId="62651B1F" w14:textId="719BFBE3" w:rsidR="00220474" w:rsidRPr="00DE52C8" w:rsidRDefault="00220474" w:rsidP="004B3432">
            <w:pPr>
              <w:shd w:val="clear" w:color="auto" w:fill="FFFFFF" w:themeFill="background1"/>
              <w:contextualSpacing/>
              <w:rPr>
                <w:rFonts w:cs="Arial"/>
                <w:sz w:val="18"/>
                <w:szCs w:val="18"/>
              </w:rPr>
            </w:pPr>
            <w:r w:rsidRPr="00DE52C8">
              <w:rPr>
                <w:rFonts w:cs="Arial"/>
                <w:sz w:val="18"/>
                <w:szCs w:val="18"/>
              </w:rPr>
              <w:t>VÚMOP</w:t>
            </w:r>
          </w:p>
        </w:tc>
        <w:tc>
          <w:tcPr>
            <w:tcW w:w="7009" w:type="dxa"/>
            <w:tcBorders>
              <w:top w:val="nil"/>
              <w:left w:val="nil"/>
              <w:bottom w:val="nil"/>
              <w:right w:val="nil"/>
            </w:tcBorders>
            <w:noWrap/>
            <w:vAlign w:val="center"/>
          </w:tcPr>
          <w:p w14:paraId="08293E35" w14:textId="21BD0E7E" w:rsidR="00C834ED" w:rsidRPr="00DE52C8" w:rsidRDefault="00C834ED" w:rsidP="004B3432">
            <w:pPr>
              <w:shd w:val="clear" w:color="auto" w:fill="FFFFFF" w:themeFill="background1"/>
              <w:contextualSpacing/>
              <w:rPr>
                <w:rFonts w:cs="Arial"/>
                <w:sz w:val="18"/>
                <w:szCs w:val="18"/>
              </w:rPr>
            </w:pPr>
            <w:r w:rsidRPr="00DE52C8">
              <w:rPr>
                <w:rFonts w:cs="Arial"/>
                <w:sz w:val="18"/>
                <w:szCs w:val="18"/>
              </w:rPr>
              <w:t>Vybrané údaje majetkové evidence</w:t>
            </w:r>
          </w:p>
          <w:p w14:paraId="5BCE6421" w14:textId="6D8F1238" w:rsidR="00220474" w:rsidRPr="00DE52C8" w:rsidRDefault="00220474" w:rsidP="004B3432">
            <w:pPr>
              <w:shd w:val="clear" w:color="auto" w:fill="FFFFFF" w:themeFill="background1"/>
              <w:contextualSpacing/>
              <w:rPr>
                <w:rFonts w:cs="Arial"/>
                <w:sz w:val="18"/>
                <w:szCs w:val="18"/>
              </w:rPr>
            </w:pPr>
            <w:r w:rsidRPr="00DE52C8">
              <w:rPr>
                <w:rFonts w:cs="Arial"/>
                <w:sz w:val="18"/>
                <w:szCs w:val="18"/>
              </w:rPr>
              <w:t xml:space="preserve">Výzkumný ústav </w:t>
            </w:r>
            <w:r w:rsidR="00A1628A" w:rsidRPr="00DE52C8">
              <w:rPr>
                <w:rFonts w:cs="Arial"/>
                <w:sz w:val="18"/>
                <w:szCs w:val="18"/>
              </w:rPr>
              <w:t>monitoringu</w:t>
            </w:r>
            <w:r w:rsidRPr="00DE52C8">
              <w:rPr>
                <w:rFonts w:cs="Arial"/>
                <w:sz w:val="18"/>
                <w:szCs w:val="18"/>
              </w:rPr>
              <w:t xml:space="preserve"> o ochrany půdy, </w:t>
            </w:r>
            <w:proofErr w:type="spellStart"/>
            <w:r w:rsidRPr="00DE52C8">
              <w:rPr>
                <w:rFonts w:cs="Arial"/>
                <w:sz w:val="18"/>
                <w:szCs w:val="18"/>
              </w:rPr>
              <w:t>v.v.i</w:t>
            </w:r>
            <w:proofErr w:type="spellEnd"/>
            <w:r w:rsidRPr="00DE52C8">
              <w:rPr>
                <w:rFonts w:cs="Arial"/>
                <w:sz w:val="18"/>
                <w:szCs w:val="18"/>
              </w:rPr>
              <w:t>.</w:t>
            </w:r>
          </w:p>
        </w:tc>
      </w:tr>
      <w:tr w:rsidR="00AA08C9" w:rsidRPr="00DE52C8" w14:paraId="7225DE68" w14:textId="77777777" w:rsidTr="004105E4">
        <w:trPr>
          <w:trHeight w:val="283"/>
        </w:trPr>
        <w:tc>
          <w:tcPr>
            <w:tcW w:w="2220" w:type="dxa"/>
            <w:tcBorders>
              <w:top w:val="nil"/>
              <w:left w:val="nil"/>
              <w:bottom w:val="nil"/>
              <w:right w:val="nil"/>
            </w:tcBorders>
            <w:noWrap/>
            <w:vAlign w:val="center"/>
          </w:tcPr>
          <w:p w14:paraId="26BCAD25" w14:textId="77777777" w:rsidR="00220474" w:rsidRPr="00DE52C8" w:rsidRDefault="00220474" w:rsidP="004B3432">
            <w:pPr>
              <w:shd w:val="clear" w:color="auto" w:fill="FFFFFF" w:themeFill="background1"/>
              <w:contextualSpacing/>
              <w:jc w:val="left"/>
              <w:rPr>
                <w:rFonts w:cs="Arial"/>
                <w:sz w:val="18"/>
                <w:szCs w:val="18"/>
              </w:rPr>
            </w:pPr>
            <w:r w:rsidRPr="00DE52C8">
              <w:rPr>
                <w:sz w:val="18"/>
                <w:szCs w:val="18"/>
              </w:rPr>
              <w:t xml:space="preserve">VÚPE </w:t>
            </w:r>
          </w:p>
        </w:tc>
        <w:tc>
          <w:tcPr>
            <w:tcW w:w="7009" w:type="dxa"/>
            <w:tcBorders>
              <w:top w:val="nil"/>
              <w:left w:val="nil"/>
              <w:bottom w:val="nil"/>
              <w:right w:val="nil"/>
            </w:tcBorders>
            <w:noWrap/>
          </w:tcPr>
          <w:p w14:paraId="2F4B2DB9" w14:textId="24148921" w:rsidR="00220474" w:rsidRPr="00DE52C8" w:rsidRDefault="00E22671" w:rsidP="004B3432">
            <w:pPr>
              <w:shd w:val="clear" w:color="auto" w:fill="FFFFFF" w:themeFill="background1"/>
              <w:contextualSpacing/>
              <w:rPr>
                <w:rFonts w:cs="Arial"/>
                <w:sz w:val="18"/>
                <w:szCs w:val="18"/>
              </w:rPr>
            </w:pPr>
            <w:r w:rsidRPr="00DE52C8">
              <w:rPr>
                <w:sz w:val="18"/>
                <w:szCs w:val="18"/>
              </w:rPr>
              <w:t xml:space="preserve">vybrané </w:t>
            </w:r>
            <w:r w:rsidR="00220474" w:rsidRPr="00DE52C8">
              <w:rPr>
                <w:sz w:val="18"/>
                <w:szCs w:val="18"/>
              </w:rPr>
              <w:t>údaje z provozní evidence vodovodů a kanalizací pro veřejnou potřebu</w:t>
            </w:r>
          </w:p>
        </w:tc>
      </w:tr>
      <w:tr w:rsidR="00AA08C9" w:rsidRPr="00DE52C8" w14:paraId="76F732EE" w14:textId="77777777" w:rsidTr="004105E4">
        <w:trPr>
          <w:trHeight w:val="283"/>
        </w:trPr>
        <w:tc>
          <w:tcPr>
            <w:tcW w:w="2220" w:type="dxa"/>
            <w:tcBorders>
              <w:top w:val="nil"/>
              <w:left w:val="nil"/>
              <w:bottom w:val="nil"/>
              <w:right w:val="nil"/>
            </w:tcBorders>
            <w:noWrap/>
            <w:vAlign w:val="center"/>
            <w:hideMark/>
          </w:tcPr>
          <w:p w14:paraId="31D23192" w14:textId="77777777" w:rsidR="00220474" w:rsidRPr="00DE52C8" w:rsidRDefault="00220474" w:rsidP="004B3432">
            <w:pPr>
              <w:shd w:val="clear" w:color="auto" w:fill="FFFFFF" w:themeFill="background1"/>
              <w:contextualSpacing/>
              <w:rPr>
                <w:rFonts w:cs="Arial"/>
                <w:sz w:val="18"/>
                <w:szCs w:val="18"/>
              </w:rPr>
            </w:pPr>
            <w:r w:rsidRPr="00DE52C8">
              <w:rPr>
                <w:rFonts w:cs="Arial"/>
                <w:sz w:val="18"/>
                <w:szCs w:val="18"/>
              </w:rPr>
              <w:t xml:space="preserve">VÚV TGM </w:t>
            </w:r>
          </w:p>
        </w:tc>
        <w:tc>
          <w:tcPr>
            <w:tcW w:w="7009" w:type="dxa"/>
            <w:tcBorders>
              <w:top w:val="nil"/>
              <w:left w:val="nil"/>
              <w:bottom w:val="nil"/>
              <w:right w:val="nil"/>
            </w:tcBorders>
            <w:noWrap/>
            <w:vAlign w:val="center"/>
            <w:hideMark/>
          </w:tcPr>
          <w:p w14:paraId="67C47631" w14:textId="77777777" w:rsidR="00220474" w:rsidRPr="00DE52C8" w:rsidRDefault="00220474" w:rsidP="004B3432">
            <w:pPr>
              <w:shd w:val="clear" w:color="auto" w:fill="FFFFFF" w:themeFill="background1"/>
              <w:contextualSpacing/>
              <w:rPr>
                <w:rFonts w:cs="Arial"/>
                <w:sz w:val="18"/>
                <w:szCs w:val="18"/>
              </w:rPr>
            </w:pPr>
            <w:r w:rsidRPr="00DE52C8">
              <w:rPr>
                <w:rFonts w:cs="Arial"/>
                <w:sz w:val="18"/>
                <w:szCs w:val="18"/>
              </w:rPr>
              <w:t xml:space="preserve">Výzkumný ústav vodohospodářský T. G. Masaryka, </w:t>
            </w:r>
            <w:proofErr w:type="spellStart"/>
            <w:r w:rsidRPr="00DE52C8">
              <w:rPr>
                <w:rFonts w:cs="Arial"/>
                <w:sz w:val="18"/>
                <w:szCs w:val="18"/>
              </w:rPr>
              <w:t>v.v.i</w:t>
            </w:r>
            <w:proofErr w:type="spellEnd"/>
            <w:r w:rsidRPr="00DE52C8">
              <w:rPr>
                <w:rFonts w:cs="Arial"/>
                <w:sz w:val="18"/>
                <w:szCs w:val="18"/>
              </w:rPr>
              <w:t xml:space="preserve">. </w:t>
            </w:r>
          </w:p>
        </w:tc>
      </w:tr>
      <w:tr w:rsidR="00AA08C9" w:rsidRPr="00DE52C8" w14:paraId="725BAA2D" w14:textId="77777777" w:rsidTr="004105E4">
        <w:trPr>
          <w:trHeight w:val="283"/>
        </w:trPr>
        <w:tc>
          <w:tcPr>
            <w:tcW w:w="2220" w:type="dxa"/>
            <w:tcBorders>
              <w:top w:val="nil"/>
              <w:left w:val="nil"/>
              <w:bottom w:val="nil"/>
              <w:right w:val="nil"/>
            </w:tcBorders>
            <w:noWrap/>
            <w:vAlign w:val="center"/>
          </w:tcPr>
          <w:p w14:paraId="08C8A6B6" w14:textId="5EF80988" w:rsidR="00C834ED" w:rsidRPr="00DE52C8" w:rsidRDefault="00C834ED" w:rsidP="004B3432">
            <w:pPr>
              <w:shd w:val="clear" w:color="auto" w:fill="FFFFFF" w:themeFill="background1"/>
              <w:contextualSpacing/>
              <w:rPr>
                <w:rFonts w:cs="Arial"/>
                <w:sz w:val="18"/>
                <w:szCs w:val="18"/>
              </w:rPr>
            </w:pPr>
            <w:r w:rsidRPr="00DE52C8">
              <w:rPr>
                <w:rFonts w:cs="Arial"/>
                <w:sz w:val="18"/>
                <w:szCs w:val="18"/>
              </w:rPr>
              <w:t>VVI</w:t>
            </w:r>
          </w:p>
          <w:p w14:paraId="154C7698" w14:textId="1E56F383" w:rsidR="0036576F" w:rsidRPr="00DE52C8" w:rsidRDefault="0036576F" w:rsidP="004B3432">
            <w:pPr>
              <w:shd w:val="clear" w:color="auto" w:fill="FFFFFF" w:themeFill="background1"/>
              <w:contextualSpacing/>
              <w:rPr>
                <w:rFonts w:cs="Arial"/>
                <w:sz w:val="18"/>
                <w:szCs w:val="18"/>
              </w:rPr>
            </w:pPr>
            <w:r w:rsidRPr="00DE52C8">
              <w:rPr>
                <w:rFonts w:cs="Arial"/>
                <w:sz w:val="18"/>
                <w:szCs w:val="18"/>
              </w:rPr>
              <w:t>Vyhláška 431/2001 Sb.</w:t>
            </w:r>
          </w:p>
        </w:tc>
        <w:tc>
          <w:tcPr>
            <w:tcW w:w="7009" w:type="dxa"/>
            <w:tcBorders>
              <w:top w:val="nil"/>
              <w:left w:val="nil"/>
              <w:bottom w:val="nil"/>
              <w:right w:val="nil"/>
            </w:tcBorders>
            <w:noWrap/>
            <w:vAlign w:val="center"/>
          </w:tcPr>
          <w:p w14:paraId="187D69F7" w14:textId="77777777" w:rsidR="00C834ED" w:rsidRPr="00DE52C8" w:rsidRDefault="00C834ED" w:rsidP="004B3432">
            <w:pPr>
              <w:shd w:val="clear" w:color="auto" w:fill="FFFFFF" w:themeFill="background1"/>
              <w:contextualSpacing/>
              <w:rPr>
                <w:rFonts w:cs="Arial"/>
                <w:sz w:val="18"/>
                <w:szCs w:val="18"/>
              </w:rPr>
            </w:pPr>
          </w:p>
          <w:p w14:paraId="4D068EC5" w14:textId="0164BE25" w:rsidR="00C834ED" w:rsidRPr="00DE52C8" w:rsidRDefault="00C834ED" w:rsidP="004B3432">
            <w:pPr>
              <w:shd w:val="clear" w:color="auto" w:fill="FFFFFF" w:themeFill="background1"/>
              <w:contextualSpacing/>
              <w:rPr>
                <w:rFonts w:cs="Arial"/>
                <w:sz w:val="18"/>
                <w:szCs w:val="18"/>
              </w:rPr>
            </w:pPr>
            <w:r w:rsidRPr="00DE52C8">
              <w:rPr>
                <w:rFonts w:cs="Arial"/>
                <w:sz w:val="18"/>
                <w:szCs w:val="18"/>
              </w:rPr>
              <w:t>v</w:t>
            </w:r>
            <w:r w:rsidR="00B76E70" w:rsidRPr="00DE52C8">
              <w:rPr>
                <w:rFonts w:cs="Arial"/>
                <w:sz w:val="18"/>
                <w:szCs w:val="18"/>
              </w:rPr>
              <w:t>eřejná výzkumná instituce</w:t>
            </w:r>
          </w:p>
          <w:p w14:paraId="316E5FBD" w14:textId="6C928BB5" w:rsidR="0036576F" w:rsidRPr="00DE52C8" w:rsidRDefault="0036576F" w:rsidP="004B3432">
            <w:pPr>
              <w:shd w:val="clear" w:color="auto" w:fill="FFFFFF" w:themeFill="background1"/>
              <w:contextualSpacing/>
              <w:rPr>
                <w:rFonts w:cs="Arial"/>
                <w:sz w:val="18"/>
                <w:szCs w:val="18"/>
              </w:rPr>
            </w:pPr>
            <w:r w:rsidRPr="00DE52C8">
              <w:rPr>
                <w:rFonts w:cs="Arial"/>
                <w:sz w:val="18"/>
                <w:szCs w:val="18"/>
              </w:rPr>
              <w:t xml:space="preserve">vyhláška č. 431/2001 Sb., o obsahu vodní bilance, způsobu jejího sestavení a o údajích pro vodní bilanci </w:t>
            </w:r>
          </w:p>
        </w:tc>
      </w:tr>
      <w:tr w:rsidR="00AA08C9" w:rsidRPr="00DE52C8" w14:paraId="52CF192D" w14:textId="77777777" w:rsidTr="004105E4">
        <w:trPr>
          <w:trHeight w:val="283"/>
        </w:trPr>
        <w:tc>
          <w:tcPr>
            <w:tcW w:w="2220" w:type="dxa"/>
            <w:tcBorders>
              <w:top w:val="nil"/>
              <w:left w:val="nil"/>
              <w:bottom w:val="nil"/>
              <w:right w:val="nil"/>
            </w:tcBorders>
            <w:noWrap/>
            <w:vAlign w:val="center"/>
          </w:tcPr>
          <w:p w14:paraId="0469BB57" w14:textId="77777777" w:rsidR="006822F2" w:rsidRPr="00DE52C8" w:rsidRDefault="006822F2" w:rsidP="004B3432">
            <w:pPr>
              <w:shd w:val="clear" w:color="auto" w:fill="FFFFFF" w:themeFill="background1"/>
              <w:contextualSpacing/>
              <w:rPr>
                <w:rFonts w:cs="Arial"/>
                <w:sz w:val="18"/>
                <w:szCs w:val="18"/>
              </w:rPr>
            </w:pPr>
            <w:r w:rsidRPr="00DE52C8">
              <w:rPr>
                <w:rFonts w:cs="Arial"/>
                <w:sz w:val="18"/>
                <w:szCs w:val="18"/>
              </w:rPr>
              <w:t>ZO ČSOP</w:t>
            </w:r>
          </w:p>
        </w:tc>
        <w:tc>
          <w:tcPr>
            <w:tcW w:w="7009" w:type="dxa"/>
            <w:tcBorders>
              <w:top w:val="nil"/>
              <w:left w:val="nil"/>
              <w:bottom w:val="nil"/>
              <w:right w:val="nil"/>
            </w:tcBorders>
            <w:noWrap/>
            <w:vAlign w:val="center"/>
          </w:tcPr>
          <w:p w14:paraId="6744BB37" w14:textId="6DB02A2A" w:rsidR="006822F2" w:rsidRPr="00DE52C8" w:rsidRDefault="00E22671" w:rsidP="004B3432">
            <w:pPr>
              <w:shd w:val="clear" w:color="auto" w:fill="FFFFFF" w:themeFill="background1"/>
              <w:contextualSpacing/>
              <w:rPr>
                <w:rFonts w:cs="Arial"/>
                <w:sz w:val="18"/>
                <w:szCs w:val="18"/>
              </w:rPr>
            </w:pPr>
            <w:r w:rsidRPr="00DE52C8">
              <w:rPr>
                <w:rStyle w:val="st1"/>
                <w:rFonts w:cs="Arial"/>
                <w:sz w:val="18"/>
                <w:szCs w:val="18"/>
              </w:rPr>
              <w:t xml:space="preserve">základní </w:t>
            </w:r>
            <w:r w:rsidR="006822F2" w:rsidRPr="00DE52C8">
              <w:rPr>
                <w:rStyle w:val="st1"/>
                <w:rFonts w:cs="Arial"/>
                <w:sz w:val="18"/>
                <w:szCs w:val="18"/>
              </w:rPr>
              <w:t>organizace Českého svazu ochránců přírody</w:t>
            </w:r>
          </w:p>
        </w:tc>
      </w:tr>
      <w:tr w:rsidR="00662EB5" w:rsidRPr="00DE52C8" w14:paraId="571F36BC" w14:textId="77777777" w:rsidTr="004105E4">
        <w:trPr>
          <w:trHeight w:val="283"/>
        </w:trPr>
        <w:tc>
          <w:tcPr>
            <w:tcW w:w="2220" w:type="dxa"/>
            <w:tcBorders>
              <w:top w:val="nil"/>
              <w:left w:val="nil"/>
              <w:bottom w:val="nil"/>
              <w:right w:val="nil"/>
            </w:tcBorders>
            <w:noWrap/>
            <w:vAlign w:val="center"/>
          </w:tcPr>
          <w:p w14:paraId="57A963EA" w14:textId="6A5FF7A1" w:rsidR="00662EB5" w:rsidRPr="00DE52C8" w:rsidRDefault="00662EB5" w:rsidP="004B3432">
            <w:pPr>
              <w:shd w:val="clear" w:color="auto" w:fill="FFFFFF" w:themeFill="background1"/>
              <w:contextualSpacing/>
              <w:rPr>
                <w:rFonts w:cs="Arial"/>
                <w:sz w:val="18"/>
                <w:szCs w:val="18"/>
              </w:rPr>
            </w:pPr>
            <w:r w:rsidRPr="00DE52C8">
              <w:rPr>
                <w:rFonts w:cs="Arial"/>
                <w:sz w:val="18"/>
                <w:szCs w:val="18"/>
              </w:rPr>
              <w:t>ZOD</w:t>
            </w:r>
          </w:p>
        </w:tc>
        <w:tc>
          <w:tcPr>
            <w:tcW w:w="7009" w:type="dxa"/>
            <w:tcBorders>
              <w:top w:val="nil"/>
              <w:left w:val="nil"/>
              <w:bottom w:val="nil"/>
              <w:right w:val="nil"/>
            </w:tcBorders>
            <w:noWrap/>
            <w:vAlign w:val="center"/>
          </w:tcPr>
          <w:p w14:paraId="186ADFFA" w14:textId="31793705" w:rsidR="00662EB5" w:rsidRPr="00DE52C8" w:rsidRDefault="00662EB5" w:rsidP="004B3432">
            <w:pPr>
              <w:shd w:val="clear" w:color="auto" w:fill="FFFFFF" w:themeFill="background1"/>
              <w:contextualSpacing/>
              <w:rPr>
                <w:rFonts w:cs="Arial"/>
                <w:sz w:val="18"/>
                <w:szCs w:val="18"/>
              </w:rPr>
            </w:pPr>
            <w:r w:rsidRPr="00DE52C8">
              <w:rPr>
                <w:rFonts w:cs="Arial"/>
                <w:sz w:val="18"/>
                <w:szCs w:val="18"/>
              </w:rPr>
              <w:t>Zranitelné oblasti dusíkem</w:t>
            </w:r>
          </w:p>
        </w:tc>
      </w:tr>
      <w:tr w:rsidR="00AA08C9" w:rsidRPr="00DE52C8" w14:paraId="16709FBB" w14:textId="77777777" w:rsidTr="004105E4">
        <w:trPr>
          <w:trHeight w:val="283"/>
        </w:trPr>
        <w:tc>
          <w:tcPr>
            <w:tcW w:w="2220" w:type="dxa"/>
            <w:tcBorders>
              <w:top w:val="nil"/>
              <w:left w:val="nil"/>
              <w:bottom w:val="nil"/>
              <w:right w:val="nil"/>
            </w:tcBorders>
            <w:noWrap/>
            <w:vAlign w:val="center"/>
          </w:tcPr>
          <w:p w14:paraId="03740E40" w14:textId="6BF5036A" w:rsidR="00230E26" w:rsidRPr="00DE52C8" w:rsidRDefault="00230E26" w:rsidP="004B3432">
            <w:pPr>
              <w:shd w:val="clear" w:color="auto" w:fill="FFFFFF" w:themeFill="background1"/>
              <w:contextualSpacing/>
              <w:rPr>
                <w:rFonts w:cs="Arial"/>
                <w:sz w:val="18"/>
                <w:szCs w:val="18"/>
              </w:rPr>
            </w:pPr>
            <w:r w:rsidRPr="00DE52C8">
              <w:rPr>
                <w:rFonts w:cs="Arial"/>
                <w:sz w:val="18"/>
                <w:szCs w:val="18"/>
              </w:rPr>
              <w:t>ZVK</w:t>
            </w:r>
          </w:p>
        </w:tc>
        <w:tc>
          <w:tcPr>
            <w:tcW w:w="7009" w:type="dxa"/>
            <w:tcBorders>
              <w:top w:val="nil"/>
              <w:left w:val="nil"/>
              <w:bottom w:val="nil"/>
              <w:right w:val="nil"/>
            </w:tcBorders>
            <w:noWrap/>
            <w:vAlign w:val="center"/>
          </w:tcPr>
          <w:p w14:paraId="16535856" w14:textId="1133D25A" w:rsidR="00230E26" w:rsidRPr="00DE52C8" w:rsidRDefault="00230E26" w:rsidP="004B3432">
            <w:pPr>
              <w:shd w:val="clear" w:color="auto" w:fill="FFFFFF" w:themeFill="background1"/>
              <w:contextualSpacing/>
              <w:rPr>
                <w:rStyle w:val="st1"/>
                <w:rFonts w:cs="Arial"/>
                <w:sz w:val="18"/>
                <w:szCs w:val="18"/>
              </w:rPr>
            </w:pPr>
            <w:r w:rsidRPr="00DE52C8">
              <w:rPr>
                <w:rFonts w:cs="Arial"/>
                <w:sz w:val="18"/>
                <w:szCs w:val="18"/>
              </w:rPr>
              <w:t>zákon č. 274/2001 Sb., o vodovodech a kanalizacích pro veřejnou potřebu a o změně některých souvisejících zákonů, ve znění pozdějších předpisů</w:t>
            </w:r>
          </w:p>
        </w:tc>
      </w:tr>
    </w:tbl>
    <w:p w14:paraId="6E05B846" w14:textId="77777777" w:rsidR="00DF232B" w:rsidRPr="00DE52C8" w:rsidRDefault="00DF232B" w:rsidP="004B3432">
      <w:pPr>
        <w:shd w:val="clear" w:color="auto" w:fill="FFFFFF" w:themeFill="background1"/>
        <w:contextualSpacing/>
        <w:rPr>
          <w:color w:val="FF0000"/>
        </w:rPr>
      </w:pPr>
    </w:p>
    <w:p w14:paraId="6C7B48F7" w14:textId="77777777" w:rsidR="00DF232B" w:rsidRPr="00DE52C8" w:rsidRDefault="00DF232B" w:rsidP="004B3432">
      <w:pPr>
        <w:shd w:val="clear" w:color="auto" w:fill="FFFFFF" w:themeFill="background1"/>
        <w:contextualSpacing/>
        <w:rPr>
          <w:color w:val="FF0000"/>
        </w:rPr>
      </w:pPr>
    </w:p>
    <w:p w14:paraId="50AB2F87" w14:textId="77777777" w:rsidR="009549E5" w:rsidRPr="00DE52C8" w:rsidRDefault="009549E5" w:rsidP="004B3432">
      <w:pPr>
        <w:shd w:val="clear" w:color="auto" w:fill="FFFFFF" w:themeFill="background1"/>
        <w:contextualSpacing/>
        <w:rPr>
          <w:color w:val="FF0000"/>
        </w:rPr>
      </w:pPr>
    </w:p>
    <w:p w14:paraId="524B3B5D" w14:textId="77777777" w:rsidR="00B77BB5" w:rsidRPr="00DE52C8" w:rsidRDefault="00B77BB5" w:rsidP="004B3432">
      <w:pPr>
        <w:shd w:val="clear" w:color="auto" w:fill="FFFFFF" w:themeFill="background1"/>
        <w:contextualSpacing/>
        <w:rPr>
          <w:color w:val="FF0000"/>
        </w:rPr>
      </w:pPr>
    </w:p>
    <w:p w14:paraId="2B313926" w14:textId="77777777" w:rsidR="00B77BB5" w:rsidRPr="00DE52C8" w:rsidRDefault="00B77BB5" w:rsidP="004B3432">
      <w:pPr>
        <w:shd w:val="clear" w:color="auto" w:fill="FFFFFF" w:themeFill="background1"/>
        <w:contextualSpacing/>
        <w:rPr>
          <w:color w:val="FF0000"/>
        </w:rPr>
      </w:pPr>
    </w:p>
    <w:p w14:paraId="1A6A42E5" w14:textId="77777777" w:rsidR="00B77BB5" w:rsidRPr="00DE52C8" w:rsidRDefault="00B77BB5" w:rsidP="004B3432">
      <w:pPr>
        <w:shd w:val="clear" w:color="auto" w:fill="FFFFFF" w:themeFill="background1"/>
        <w:contextualSpacing/>
        <w:rPr>
          <w:color w:val="FF0000"/>
        </w:rPr>
      </w:pPr>
    </w:p>
    <w:p w14:paraId="65568824" w14:textId="77777777" w:rsidR="00B77BB5" w:rsidRPr="00DE52C8" w:rsidRDefault="00B77BB5" w:rsidP="007C4955">
      <w:pPr>
        <w:contextualSpacing/>
        <w:rPr>
          <w:color w:val="FF0000"/>
        </w:rPr>
      </w:pPr>
    </w:p>
    <w:p w14:paraId="17119559" w14:textId="0AA55805" w:rsidR="00AD5981" w:rsidRPr="00DE52C8" w:rsidRDefault="00AD5981" w:rsidP="007C4955">
      <w:pPr>
        <w:contextualSpacing/>
        <w:rPr>
          <w:color w:val="FF0000"/>
        </w:rPr>
      </w:pPr>
    </w:p>
    <w:p w14:paraId="655D273F" w14:textId="3F007D4E" w:rsidR="00F76E8A" w:rsidRPr="00DE52C8" w:rsidRDefault="006D4792" w:rsidP="007C4955">
      <w:pPr>
        <w:pStyle w:val="Nadpis1"/>
        <w:spacing w:before="0"/>
        <w:contextualSpacing/>
      </w:pPr>
      <w:r w:rsidRPr="00DE52C8">
        <w:rPr>
          <w:color w:val="FF0000"/>
        </w:rPr>
        <w:br w:type="page"/>
      </w:r>
      <w:bookmarkStart w:id="233" w:name="_Toc236991659"/>
      <w:r w:rsidR="00F76E8A" w:rsidRPr="00DE52C8">
        <w:t>Důležité kontakty ve vodním hospodářství</w:t>
      </w:r>
      <w:bookmarkEnd w:id="233"/>
    </w:p>
    <w:p w14:paraId="41B77B7F" w14:textId="77777777" w:rsidR="00B77BB5" w:rsidRPr="00DE52C8" w:rsidRDefault="00B77BB5" w:rsidP="007C4955">
      <w:pPr>
        <w:contextualSpacing/>
      </w:pPr>
    </w:p>
    <w:tbl>
      <w:tblPr>
        <w:tblW w:w="0" w:type="auto"/>
        <w:tblLayout w:type="fixed"/>
        <w:tblLook w:val="01E0" w:firstRow="1" w:lastRow="1" w:firstColumn="1" w:lastColumn="1" w:noHBand="0" w:noVBand="0"/>
      </w:tblPr>
      <w:tblGrid>
        <w:gridCol w:w="8755"/>
      </w:tblGrid>
      <w:tr w:rsidR="00641FD3" w:rsidRPr="00DE52C8" w14:paraId="03BE277F" w14:textId="77777777" w:rsidTr="00F76E8A">
        <w:trPr>
          <w:trHeight w:hRule="exact" w:val="324"/>
        </w:trPr>
        <w:tc>
          <w:tcPr>
            <w:tcW w:w="8755" w:type="dxa"/>
          </w:tcPr>
          <w:p w14:paraId="37098849" w14:textId="77777777" w:rsidR="00B77BB5" w:rsidRPr="00DE52C8" w:rsidRDefault="00B77BB5" w:rsidP="007C4955">
            <w:pPr>
              <w:pStyle w:val="TableParagraph"/>
              <w:spacing w:before="0"/>
              <w:ind w:left="107"/>
              <w:contextualSpacing/>
              <w:rPr>
                <w:rFonts w:ascii="Arial" w:hAnsi="Arial" w:cs="Arial"/>
                <w:b/>
              </w:rPr>
            </w:pPr>
            <w:proofErr w:type="spellStart"/>
            <w:r w:rsidRPr="00DE52C8">
              <w:rPr>
                <w:rFonts w:ascii="Arial" w:hAnsi="Arial" w:cs="Arial"/>
                <w:b/>
              </w:rPr>
              <w:t>Ministerstvo</w:t>
            </w:r>
            <w:proofErr w:type="spellEnd"/>
            <w:r w:rsidRPr="00DE52C8">
              <w:rPr>
                <w:rFonts w:ascii="Arial" w:hAnsi="Arial" w:cs="Arial"/>
                <w:b/>
              </w:rPr>
              <w:t xml:space="preserve"> </w:t>
            </w:r>
            <w:proofErr w:type="spellStart"/>
            <w:r w:rsidRPr="00DE52C8">
              <w:rPr>
                <w:rFonts w:ascii="Arial" w:hAnsi="Arial" w:cs="Arial"/>
                <w:b/>
              </w:rPr>
              <w:t>zemědělství</w:t>
            </w:r>
            <w:proofErr w:type="spellEnd"/>
          </w:p>
        </w:tc>
      </w:tr>
      <w:tr w:rsidR="00641FD3" w:rsidRPr="00DE52C8" w14:paraId="1A1A08F7" w14:textId="77777777" w:rsidTr="00F76E8A">
        <w:trPr>
          <w:trHeight w:hRule="exact" w:val="324"/>
        </w:trPr>
        <w:tc>
          <w:tcPr>
            <w:tcW w:w="8755" w:type="dxa"/>
          </w:tcPr>
          <w:p w14:paraId="68B91987" w14:textId="0E6F13A5" w:rsidR="00B77BB5" w:rsidRPr="00DE52C8" w:rsidRDefault="00B77BB5" w:rsidP="007C4955">
            <w:pPr>
              <w:pStyle w:val="TableParagraph"/>
              <w:spacing w:before="0"/>
              <w:ind w:left="107"/>
              <w:contextualSpacing/>
              <w:rPr>
                <w:rFonts w:ascii="Arial" w:hAnsi="Arial" w:cs="Arial"/>
              </w:rPr>
            </w:pPr>
            <w:proofErr w:type="spellStart"/>
            <w:r w:rsidRPr="00DE52C8">
              <w:rPr>
                <w:rFonts w:ascii="Arial" w:hAnsi="Arial" w:cs="Arial"/>
              </w:rPr>
              <w:t>Těšnov</w:t>
            </w:r>
            <w:proofErr w:type="spellEnd"/>
            <w:r w:rsidRPr="00DE52C8">
              <w:rPr>
                <w:rFonts w:ascii="Arial" w:hAnsi="Arial" w:cs="Arial"/>
              </w:rPr>
              <w:t xml:space="preserve"> 65/17, Praha 1, 110 00,</w:t>
            </w:r>
            <w:r w:rsidR="00A42AA1" w:rsidRPr="00DE52C8">
              <w:rPr>
                <w:rFonts w:ascii="Arial" w:hAnsi="Arial" w:cs="Arial"/>
              </w:rPr>
              <w:t xml:space="preserve"> </w:t>
            </w:r>
            <w:hyperlink r:id="rId131" w:history="1">
              <w:r w:rsidR="00842063" w:rsidRPr="00DE52C8">
                <w:rPr>
                  <w:rStyle w:val="Hypertextovodkaz"/>
                  <w:rFonts w:ascii="Arial" w:hAnsi="Arial" w:cs="Arial"/>
                </w:rPr>
                <w:t>www.mze.gov.cz</w:t>
              </w:r>
            </w:hyperlink>
          </w:p>
          <w:p w14:paraId="30FDF7D9" w14:textId="548AF824" w:rsidR="00842063" w:rsidRPr="00DE52C8" w:rsidRDefault="00842063" w:rsidP="007C4955">
            <w:pPr>
              <w:pStyle w:val="TableParagraph"/>
              <w:spacing w:before="0"/>
              <w:ind w:left="107"/>
              <w:contextualSpacing/>
              <w:rPr>
                <w:rFonts w:ascii="Arial" w:hAnsi="Arial" w:cs="Arial"/>
              </w:rPr>
            </w:pPr>
          </w:p>
        </w:tc>
      </w:tr>
      <w:tr w:rsidR="00641FD3" w:rsidRPr="00DE52C8" w14:paraId="0D44734E" w14:textId="77777777" w:rsidTr="00F76E8A">
        <w:trPr>
          <w:trHeight w:hRule="exact" w:val="324"/>
        </w:trPr>
        <w:tc>
          <w:tcPr>
            <w:tcW w:w="8755" w:type="dxa"/>
          </w:tcPr>
          <w:p w14:paraId="73D6A9FE" w14:textId="77777777" w:rsidR="00B77BB5" w:rsidRPr="00DE52C8" w:rsidRDefault="00B77BB5" w:rsidP="007C4955">
            <w:pPr>
              <w:pStyle w:val="TableParagraph"/>
              <w:spacing w:before="0"/>
              <w:ind w:left="107"/>
              <w:contextualSpacing/>
              <w:rPr>
                <w:rFonts w:ascii="Arial" w:hAnsi="Arial" w:cs="Arial"/>
                <w:b/>
              </w:rPr>
            </w:pPr>
            <w:proofErr w:type="spellStart"/>
            <w:r w:rsidRPr="00DE52C8">
              <w:rPr>
                <w:rFonts w:ascii="Arial" w:hAnsi="Arial" w:cs="Arial"/>
                <w:b/>
              </w:rPr>
              <w:t>Ministerstvo</w:t>
            </w:r>
            <w:proofErr w:type="spellEnd"/>
            <w:r w:rsidRPr="00DE52C8">
              <w:rPr>
                <w:rFonts w:ascii="Arial" w:hAnsi="Arial" w:cs="Arial"/>
                <w:b/>
              </w:rPr>
              <w:t xml:space="preserve"> </w:t>
            </w:r>
            <w:proofErr w:type="spellStart"/>
            <w:r w:rsidRPr="00DE52C8">
              <w:rPr>
                <w:rFonts w:ascii="Arial" w:hAnsi="Arial" w:cs="Arial"/>
                <w:b/>
              </w:rPr>
              <w:t>životního</w:t>
            </w:r>
            <w:proofErr w:type="spellEnd"/>
            <w:r w:rsidRPr="00DE52C8">
              <w:rPr>
                <w:rFonts w:ascii="Arial" w:hAnsi="Arial" w:cs="Arial"/>
                <w:b/>
              </w:rPr>
              <w:t xml:space="preserve"> </w:t>
            </w:r>
            <w:proofErr w:type="spellStart"/>
            <w:r w:rsidRPr="00DE52C8">
              <w:rPr>
                <w:rFonts w:ascii="Arial" w:hAnsi="Arial" w:cs="Arial"/>
                <w:b/>
              </w:rPr>
              <w:t>prostředí</w:t>
            </w:r>
            <w:proofErr w:type="spellEnd"/>
          </w:p>
        </w:tc>
      </w:tr>
      <w:tr w:rsidR="00641FD3" w:rsidRPr="00DE52C8" w14:paraId="55619C93" w14:textId="77777777" w:rsidTr="00F76E8A">
        <w:trPr>
          <w:trHeight w:hRule="exact" w:val="324"/>
        </w:trPr>
        <w:tc>
          <w:tcPr>
            <w:tcW w:w="8755" w:type="dxa"/>
          </w:tcPr>
          <w:p w14:paraId="16083EE5" w14:textId="68E6A9AC" w:rsidR="00B77BB5" w:rsidRPr="00DE52C8" w:rsidRDefault="00B77BB5" w:rsidP="007C4955">
            <w:pPr>
              <w:pStyle w:val="TableParagraph"/>
              <w:spacing w:before="0"/>
              <w:ind w:left="107"/>
              <w:contextualSpacing/>
              <w:rPr>
                <w:rFonts w:ascii="Arial" w:hAnsi="Arial" w:cs="Arial"/>
              </w:rPr>
            </w:pPr>
            <w:proofErr w:type="spellStart"/>
            <w:r w:rsidRPr="00DE52C8">
              <w:rPr>
                <w:rFonts w:ascii="Arial" w:hAnsi="Arial" w:cs="Arial"/>
              </w:rPr>
              <w:t>Vršovická</w:t>
            </w:r>
            <w:proofErr w:type="spellEnd"/>
            <w:r w:rsidRPr="00DE52C8">
              <w:rPr>
                <w:rFonts w:ascii="Arial" w:hAnsi="Arial" w:cs="Arial"/>
              </w:rPr>
              <w:t xml:space="preserve"> 1442/65, Praha 10, 100 10, </w:t>
            </w:r>
            <w:hyperlink r:id="rId132" w:history="1">
              <w:r w:rsidR="002F13C7" w:rsidRPr="00DE52C8">
                <w:rPr>
                  <w:rStyle w:val="Hypertextovodkaz"/>
                  <w:rFonts w:ascii="Arial" w:hAnsi="Arial" w:cs="Arial"/>
                </w:rPr>
                <w:t>www.mzp.gov.cz</w:t>
              </w:r>
            </w:hyperlink>
            <w:r w:rsidR="00B52A40" w:rsidRPr="00DE52C8">
              <w:rPr>
                <w:rFonts w:ascii="Arial" w:hAnsi="Arial" w:cs="Arial"/>
              </w:rPr>
              <w:t xml:space="preserve"> </w:t>
            </w:r>
          </w:p>
        </w:tc>
      </w:tr>
      <w:tr w:rsidR="00641FD3" w:rsidRPr="00DE52C8" w14:paraId="231C8802" w14:textId="77777777" w:rsidTr="00F76E8A">
        <w:trPr>
          <w:trHeight w:hRule="exact" w:val="324"/>
        </w:trPr>
        <w:tc>
          <w:tcPr>
            <w:tcW w:w="8755" w:type="dxa"/>
          </w:tcPr>
          <w:p w14:paraId="1CC094E3" w14:textId="77777777" w:rsidR="00B77BB5" w:rsidRPr="00DE52C8" w:rsidRDefault="00B77BB5" w:rsidP="007C4955">
            <w:pPr>
              <w:pStyle w:val="TableParagraph"/>
              <w:spacing w:before="0"/>
              <w:ind w:left="107"/>
              <w:contextualSpacing/>
              <w:rPr>
                <w:rFonts w:ascii="Arial" w:hAnsi="Arial" w:cs="Arial"/>
                <w:b/>
              </w:rPr>
            </w:pPr>
            <w:proofErr w:type="spellStart"/>
            <w:r w:rsidRPr="00DE52C8">
              <w:rPr>
                <w:rFonts w:ascii="Arial" w:hAnsi="Arial" w:cs="Arial"/>
                <w:b/>
              </w:rPr>
              <w:t>Povodí</w:t>
            </w:r>
            <w:proofErr w:type="spellEnd"/>
            <w:r w:rsidRPr="00DE52C8">
              <w:rPr>
                <w:rFonts w:ascii="Arial" w:hAnsi="Arial" w:cs="Arial"/>
                <w:b/>
              </w:rPr>
              <w:t xml:space="preserve"> Labe, </w:t>
            </w:r>
            <w:proofErr w:type="spellStart"/>
            <w:r w:rsidRPr="00DE52C8">
              <w:rPr>
                <w:rFonts w:ascii="Arial" w:hAnsi="Arial" w:cs="Arial"/>
                <w:b/>
              </w:rPr>
              <w:t>státní</w:t>
            </w:r>
            <w:proofErr w:type="spellEnd"/>
            <w:r w:rsidRPr="00DE52C8">
              <w:rPr>
                <w:rFonts w:ascii="Arial" w:hAnsi="Arial" w:cs="Arial"/>
                <w:b/>
              </w:rPr>
              <w:t xml:space="preserve"> </w:t>
            </w:r>
            <w:proofErr w:type="spellStart"/>
            <w:r w:rsidRPr="00DE52C8">
              <w:rPr>
                <w:rFonts w:ascii="Arial" w:hAnsi="Arial" w:cs="Arial"/>
                <w:b/>
              </w:rPr>
              <w:t>podnik</w:t>
            </w:r>
            <w:proofErr w:type="spellEnd"/>
          </w:p>
        </w:tc>
      </w:tr>
      <w:tr w:rsidR="00641FD3" w:rsidRPr="00DE52C8" w14:paraId="76CA627D" w14:textId="77777777" w:rsidTr="00F76E8A">
        <w:trPr>
          <w:trHeight w:hRule="exact" w:val="324"/>
        </w:trPr>
        <w:tc>
          <w:tcPr>
            <w:tcW w:w="8755" w:type="dxa"/>
          </w:tcPr>
          <w:p w14:paraId="237065A7" w14:textId="46623AF0" w:rsidR="00B77BB5" w:rsidRPr="00DE52C8" w:rsidRDefault="00B77BB5" w:rsidP="007C4955">
            <w:pPr>
              <w:pStyle w:val="TableParagraph"/>
              <w:spacing w:before="0"/>
              <w:ind w:left="107"/>
              <w:contextualSpacing/>
              <w:rPr>
                <w:rFonts w:ascii="Arial" w:hAnsi="Arial" w:cs="Arial"/>
              </w:rPr>
            </w:pPr>
            <w:r w:rsidRPr="00DE52C8">
              <w:rPr>
                <w:rFonts w:ascii="Arial" w:hAnsi="Arial" w:cs="Arial"/>
              </w:rPr>
              <w:t xml:space="preserve">Víta </w:t>
            </w:r>
            <w:proofErr w:type="spellStart"/>
            <w:r w:rsidRPr="00DE52C8">
              <w:rPr>
                <w:rFonts w:ascii="Arial" w:hAnsi="Arial" w:cs="Arial"/>
              </w:rPr>
              <w:t>Nejedlého</w:t>
            </w:r>
            <w:proofErr w:type="spellEnd"/>
            <w:r w:rsidRPr="00DE52C8">
              <w:rPr>
                <w:rFonts w:ascii="Arial" w:hAnsi="Arial" w:cs="Arial"/>
              </w:rPr>
              <w:t xml:space="preserve"> 951/8, Hradec </w:t>
            </w:r>
            <w:proofErr w:type="spellStart"/>
            <w:r w:rsidRPr="00DE52C8">
              <w:rPr>
                <w:rFonts w:ascii="Arial" w:hAnsi="Arial" w:cs="Arial"/>
              </w:rPr>
              <w:t>Králové</w:t>
            </w:r>
            <w:proofErr w:type="spellEnd"/>
            <w:r w:rsidRPr="00DE52C8">
              <w:rPr>
                <w:rFonts w:ascii="Arial" w:hAnsi="Arial" w:cs="Arial"/>
              </w:rPr>
              <w:t xml:space="preserve">, 500 03, </w:t>
            </w:r>
            <w:hyperlink r:id="rId133" w:history="1">
              <w:r w:rsidR="003E2986" w:rsidRPr="00DE52C8">
                <w:rPr>
                  <w:rStyle w:val="Hypertextovodkaz"/>
                  <w:rFonts w:ascii="Arial" w:hAnsi="Arial" w:cs="Arial"/>
                </w:rPr>
                <w:t>www.pla.cz</w:t>
              </w:r>
            </w:hyperlink>
          </w:p>
          <w:p w14:paraId="189A6967" w14:textId="3BD38E3A" w:rsidR="003E2986" w:rsidRPr="00DE52C8" w:rsidRDefault="003E2986" w:rsidP="007C4955">
            <w:pPr>
              <w:pStyle w:val="TableParagraph"/>
              <w:spacing w:before="0"/>
              <w:ind w:left="107"/>
              <w:contextualSpacing/>
              <w:rPr>
                <w:rFonts w:ascii="Arial" w:hAnsi="Arial" w:cs="Arial"/>
              </w:rPr>
            </w:pPr>
          </w:p>
        </w:tc>
      </w:tr>
      <w:tr w:rsidR="00641FD3" w:rsidRPr="00DE52C8" w14:paraId="7A3AE7EF" w14:textId="77777777" w:rsidTr="00F76E8A">
        <w:trPr>
          <w:trHeight w:hRule="exact" w:val="324"/>
        </w:trPr>
        <w:tc>
          <w:tcPr>
            <w:tcW w:w="8755" w:type="dxa"/>
          </w:tcPr>
          <w:p w14:paraId="4D315FF4" w14:textId="77777777" w:rsidR="00B77BB5" w:rsidRPr="00DE52C8" w:rsidRDefault="00B77BB5" w:rsidP="007C4955">
            <w:pPr>
              <w:pStyle w:val="TableParagraph"/>
              <w:spacing w:before="0"/>
              <w:ind w:left="107"/>
              <w:contextualSpacing/>
              <w:rPr>
                <w:rFonts w:ascii="Arial" w:hAnsi="Arial" w:cs="Arial"/>
                <w:b/>
              </w:rPr>
            </w:pPr>
            <w:proofErr w:type="spellStart"/>
            <w:r w:rsidRPr="00DE52C8">
              <w:rPr>
                <w:rFonts w:ascii="Arial" w:hAnsi="Arial" w:cs="Arial"/>
                <w:b/>
              </w:rPr>
              <w:t>Povodí</w:t>
            </w:r>
            <w:proofErr w:type="spellEnd"/>
            <w:r w:rsidRPr="00DE52C8">
              <w:rPr>
                <w:rFonts w:ascii="Arial" w:hAnsi="Arial" w:cs="Arial"/>
                <w:b/>
              </w:rPr>
              <w:t xml:space="preserve"> </w:t>
            </w:r>
            <w:proofErr w:type="spellStart"/>
            <w:r w:rsidRPr="00DE52C8">
              <w:rPr>
                <w:rFonts w:ascii="Arial" w:hAnsi="Arial" w:cs="Arial"/>
                <w:b/>
              </w:rPr>
              <w:t>Vltavy</w:t>
            </w:r>
            <w:proofErr w:type="spellEnd"/>
            <w:r w:rsidRPr="00DE52C8">
              <w:rPr>
                <w:rFonts w:ascii="Arial" w:hAnsi="Arial" w:cs="Arial"/>
                <w:b/>
              </w:rPr>
              <w:t xml:space="preserve">, </w:t>
            </w:r>
            <w:proofErr w:type="spellStart"/>
            <w:r w:rsidRPr="00DE52C8">
              <w:rPr>
                <w:rFonts w:ascii="Arial" w:hAnsi="Arial" w:cs="Arial"/>
                <w:b/>
              </w:rPr>
              <w:t>státní</w:t>
            </w:r>
            <w:proofErr w:type="spellEnd"/>
            <w:r w:rsidRPr="00DE52C8">
              <w:rPr>
                <w:rFonts w:ascii="Arial" w:hAnsi="Arial" w:cs="Arial"/>
                <w:b/>
              </w:rPr>
              <w:t xml:space="preserve"> </w:t>
            </w:r>
            <w:proofErr w:type="spellStart"/>
            <w:r w:rsidRPr="00DE52C8">
              <w:rPr>
                <w:rFonts w:ascii="Arial" w:hAnsi="Arial" w:cs="Arial"/>
                <w:b/>
              </w:rPr>
              <w:t>podnik</w:t>
            </w:r>
            <w:proofErr w:type="spellEnd"/>
          </w:p>
        </w:tc>
      </w:tr>
      <w:tr w:rsidR="00641FD3" w:rsidRPr="00DE52C8" w14:paraId="04D7358B" w14:textId="77777777" w:rsidTr="00F76E8A">
        <w:trPr>
          <w:trHeight w:hRule="exact" w:val="324"/>
        </w:trPr>
        <w:tc>
          <w:tcPr>
            <w:tcW w:w="8755" w:type="dxa"/>
          </w:tcPr>
          <w:p w14:paraId="40E0A2ED" w14:textId="0FDFA29F" w:rsidR="00B77BB5" w:rsidRPr="00DE52C8" w:rsidRDefault="00B77BB5" w:rsidP="007C4955">
            <w:pPr>
              <w:pStyle w:val="TableParagraph"/>
              <w:spacing w:before="0"/>
              <w:ind w:left="107"/>
              <w:contextualSpacing/>
              <w:rPr>
                <w:rFonts w:ascii="Arial" w:hAnsi="Arial" w:cs="Arial"/>
              </w:rPr>
            </w:pPr>
            <w:proofErr w:type="spellStart"/>
            <w:r w:rsidRPr="00DE52C8">
              <w:rPr>
                <w:rFonts w:ascii="Arial" w:hAnsi="Arial" w:cs="Arial"/>
              </w:rPr>
              <w:t>Holečkova</w:t>
            </w:r>
            <w:proofErr w:type="spellEnd"/>
            <w:r w:rsidRPr="00DE52C8">
              <w:rPr>
                <w:rFonts w:ascii="Arial" w:hAnsi="Arial" w:cs="Arial"/>
              </w:rPr>
              <w:t xml:space="preserve"> 3178/8, Praha 5, 150 00, </w:t>
            </w:r>
            <w:hyperlink r:id="rId134" w:history="1">
              <w:r w:rsidR="00EF0F53" w:rsidRPr="00DE52C8">
                <w:rPr>
                  <w:rStyle w:val="Hypertextovodkaz"/>
                  <w:rFonts w:ascii="Arial" w:hAnsi="Arial" w:cs="Arial"/>
                </w:rPr>
                <w:t>www.pvl.cz</w:t>
              </w:r>
            </w:hyperlink>
            <w:r w:rsidR="00EF0F53" w:rsidRPr="00DE52C8">
              <w:rPr>
                <w:rFonts w:ascii="Arial" w:hAnsi="Arial" w:cs="Arial"/>
              </w:rPr>
              <w:t xml:space="preserve"> </w:t>
            </w:r>
          </w:p>
        </w:tc>
      </w:tr>
      <w:tr w:rsidR="00641FD3" w:rsidRPr="00DE52C8" w14:paraId="2A5E6BD0" w14:textId="77777777" w:rsidTr="00F76E8A">
        <w:trPr>
          <w:trHeight w:hRule="exact" w:val="324"/>
        </w:trPr>
        <w:tc>
          <w:tcPr>
            <w:tcW w:w="8755" w:type="dxa"/>
          </w:tcPr>
          <w:p w14:paraId="4F2DC7FF" w14:textId="77777777" w:rsidR="00B77BB5" w:rsidRPr="00DE52C8" w:rsidRDefault="00B77BB5" w:rsidP="007C4955">
            <w:pPr>
              <w:pStyle w:val="TableParagraph"/>
              <w:spacing w:before="0"/>
              <w:ind w:left="107"/>
              <w:contextualSpacing/>
              <w:rPr>
                <w:rFonts w:ascii="Arial" w:hAnsi="Arial" w:cs="Arial"/>
                <w:b/>
              </w:rPr>
            </w:pPr>
            <w:proofErr w:type="spellStart"/>
            <w:r w:rsidRPr="00DE52C8">
              <w:rPr>
                <w:rFonts w:ascii="Arial" w:hAnsi="Arial" w:cs="Arial"/>
                <w:b/>
              </w:rPr>
              <w:t>Povodí</w:t>
            </w:r>
            <w:proofErr w:type="spellEnd"/>
            <w:r w:rsidRPr="00DE52C8">
              <w:rPr>
                <w:rFonts w:ascii="Arial" w:hAnsi="Arial" w:cs="Arial"/>
                <w:b/>
              </w:rPr>
              <w:t xml:space="preserve"> </w:t>
            </w:r>
            <w:proofErr w:type="spellStart"/>
            <w:r w:rsidRPr="00DE52C8">
              <w:rPr>
                <w:rFonts w:ascii="Arial" w:hAnsi="Arial" w:cs="Arial"/>
                <w:b/>
              </w:rPr>
              <w:t>Ohře</w:t>
            </w:r>
            <w:proofErr w:type="spellEnd"/>
            <w:r w:rsidRPr="00DE52C8">
              <w:rPr>
                <w:rFonts w:ascii="Arial" w:hAnsi="Arial" w:cs="Arial"/>
                <w:b/>
              </w:rPr>
              <w:t xml:space="preserve">, </w:t>
            </w:r>
            <w:proofErr w:type="spellStart"/>
            <w:r w:rsidRPr="00DE52C8">
              <w:rPr>
                <w:rFonts w:ascii="Arial" w:hAnsi="Arial" w:cs="Arial"/>
                <w:b/>
              </w:rPr>
              <w:t>státní</w:t>
            </w:r>
            <w:proofErr w:type="spellEnd"/>
            <w:r w:rsidRPr="00DE52C8">
              <w:rPr>
                <w:rFonts w:ascii="Arial" w:hAnsi="Arial" w:cs="Arial"/>
                <w:b/>
              </w:rPr>
              <w:t xml:space="preserve"> </w:t>
            </w:r>
            <w:proofErr w:type="spellStart"/>
            <w:r w:rsidRPr="00DE52C8">
              <w:rPr>
                <w:rFonts w:ascii="Arial" w:hAnsi="Arial" w:cs="Arial"/>
                <w:b/>
              </w:rPr>
              <w:t>podnik</w:t>
            </w:r>
            <w:proofErr w:type="spellEnd"/>
          </w:p>
        </w:tc>
      </w:tr>
      <w:tr w:rsidR="00641FD3" w:rsidRPr="00DE52C8" w14:paraId="4D6F9DD4" w14:textId="77777777" w:rsidTr="00F76E8A">
        <w:trPr>
          <w:trHeight w:hRule="exact" w:val="324"/>
        </w:trPr>
        <w:tc>
          <w:tcPr>
            <w:tcW w:w="8755" w:type="dxa"/>
          </w:tcPr>
          <w:p w14:paraId="035ACCCE" w14:textId="21FA1EB7" w:rsidR="00B77BB5" w:rsidRPr="00DE52C8" w:rsidRDefault="00B77BB5" w:rsidP="007C4955">
            <w:pPr>
              <w:pStyle w:val="TableParagraph"/>
              <w:spacing w:before="0"/>
              <w:ind w:left="107"/>
              <w:contextualSpacing/>
              <w:rPr>
                <w:rFonts w:ascii="Arial" w:hAnsi="Arial" w:cs="Arial"/>
              </w:rPr>
            </w:pPr>
            <w:r w:rsidRPr="00DE52C8">
              <w:rPr>
                <w:rFonts w:ascii="Arial" w:hAnsi="Arial" w:cs="Arial"/>
              </w:rPr>
              <w:t xml:space="preserve">Bezručova 4219, </w:t>
            </w:r>
            <w:proofErr w:type="spellStart"/>
            <w:r w:rsidRPr="00DE52C8">
              <w:rPr>
                <w:rFonts w:ascii="Arial" w:hAnsi="Arial" w:cs="Arial"/>
              </w:rPr>
              <w:t>Chomutov</w:t>
            </w:r>
            <w:proofErr w:type="spellEnd"/>
            <w:r w:rsidRPr="00DE52C8">
              <w:rPr>
                <w:rFonts w:ascii="Arial" w:hAnsi="Arial" w:cs="Arial"/>
              </w:rPr>
              <w:t xml:space="preserve">, 430 03, </w:t>
            </w:r>
            <w:hyperlink r:id="rId135" w:history="1">
              <w:r w:rsidR="00EF0F53" w:rsidRPr="00DE52C8">
                <w:rPr>
                  <w:rStyle w:val="Hypertextovodkaz"/>
                  <w:rFonts w:ascii="Arial" w:hAnsi="Arial" w:cs="Arial"/>
                </w:rPr>
                <w:t>www.poh.cz</w:t>
              </w:r>
            </w:hyperlink>
            <w:r w:rsidR="00EF0F53" w:rsidRPr="00DE52C8">
              <w:t xml:space="preserve"> </w:t>
            </w:r>
          </w:p>
        </w:tc>
      </w:tr>
      <w:tr w:rsidR="00641FD3" w:rsidRPr="00DE52C8" w14:paraId="6F6279BD" w14:textId="77777777" w:rsidTr="00F76E8A">
        <w:trPr>
          <w:trHeight w:hRule="exact" w:val="324"/>
        </w:trPr>
        <w:tc>
          <w:tcPr>
            <w:tcW w:w="8755" w:type="dxa"/>
          </w:tcPr>
          <w:p w14:paraId="4E06A12F" w14:textId="77777777" w:rsidR="00B77BB5" w:rsidRPr="00DE52C8" w:rsidRDefault="00B77BB5" w:rsidP="007C4955">
            <w:pPr>
              <w:pStyle w:val="TableParagraph"/>
              <w:spacing w:before="0"/>
              <w:ind w:left="107"/>
              <w:contextualSpacing/>
              <w:rPr>
                <w:rFonts w:ascii="Arial" w:hAnsi="Arial" w:cs="Arial"/>
                <w:b/>
              </w:rPr>
            </w:pPr>
            <w:proofErr w:type="spellStart"/>
            <w:r w:rsidRPr="00DE52C8">
              <w:rPr>
                <w:rFonts w:ascii="Arial" w:hAnsi="Arial" w:cs="Arial"/>
                <w:b/>
              </w:rPr>
              <w:t>Povodí</w:t>
            </w:r>
            <w:proofErr w:type="spellEnd"/>
            <w:r w:rsidRPr="00DE52C8">
              <w:rPr>
                <w:rFonts w:ascii="Arial" w:hAnsi="Arial" w:cs="Arial"/>
                <w:b/>
              </w:rPr>
              <w:t xml:space="preserve"> Odry, </w:t>
            </w:r>
            <w:proofErr w:type="spellStart"/>
            <w:r w:rsidRPr="00DE52C8">
              <w:rPr>
                <w:rFonts w:ascii="Arial" w:hAnsi="Arial" w:cs="Arial"/>
                <w:b/>
              </w:rPr>
              <w:t>státní</w:t>
            </w:r>
            <w:proofErr w:type="spellEnd"/>
            <w:r w:rsidRPr="00DE52C8">
              <w:rPr>
                <w:rFonts w:ascii="Arial" w:hAnsi="Arial" w:cs="Arial"/>
                <w:b/>
              </w:rPr>
              <w:t xml:space="preserve"> </w:t>
            </w:r>
            <w:proofErr w:type="spellStart"/>
            <w:r w:rsidRPr="00DE52C8">
              <w:rPr>
                <w:rFonts w:ascii="Arial" w:hAnsi="Arial" w:cs="Arial"/>
                <w:b/>
              </w:rPr>
              <w:t>podnik</w:t>
            </w:r>
            <w:proofErr w:type="spellEnd"/>
          </w:p>
        </w:tc>
      </w:tr>
      <w:tr w:rsidR="00641FD3" w:rsidRPr="00DE52C8" w14:paraId="076AB8D6" w14:textId="77777777" w:rsidTr="00F76E8A">
        <w:trPr>
          <w:trHeight w:hRule="exact" w:val="347"/>
        </w:trPr>
        <w:tc>
          <w:tcPr>
            <w:tcW w:w="8755" w:type="dxa"/>
          </w:tcPr>
          <w:p w14:paraId="2FE5368E" w14:textId="1835FD3C" w:rsidR="00B77BB5" w:rsidRPr="00DE52C8" w:rsidRDefault="00B77BB5" w:rsidP="007C4955">
            <w:pPr>
              <w:pStyle w:val="TableParagraph"/>
              <w:spacing w:before="0"/>
              <w:ind w:left="107" w:right="395"/>
              <w:contextualSpacing/>
              <w:rPr>
                <w:rFonts w:ascii="Arial" w:hAnsi="Arial" w:cs="Arial"/>
              </w:rPr>
            </w:pPr>
            <w:proofErr w:type="spellStart"/>
            <w:r w:rsidRPr="00DE52C8">
              <w:rPr>
                <w:rFonts w:ascii="Arial" w:hAnsi="Arial" w:cs="Arial"/>
                <w:spacing w:val="-4"/>
              </w:rPr>
              <w:t>Varenská</w:t>
            </w:r>
            <w:proofErr w:type="spellEnd"/>
            <w:r w:rsidRPr="00DE52C8">
              <w:rPr>
                <w:rFonts w:ascii="Arial" w:hAnsi="Arial" w:cs="Arial"/>
                <w:spacing w:val="-4"/>
              </w:rPr>
              <w:t xml:space="preserve"> </w:t>
            </w:r>
            <w:r w:rsidRPr="00DE52C8">
              <w:rPr>
                <w:rFonts w:ascii="Arial" w:hAnsi="Arial" w:cs="Arial"/>
              </w:rPr>
              <w:t xml:space="preserve">3101/49, </w:t>
            </w:r>
            <w:r w:rsidRPr="00DE52C8">
              <w:rPr>
                <w:rFonts w:ascii="Arial" w:hAnsi="Arial" w:cs="Arial"/>
                <w:spacing w:val="-3"/>
              </w:rPr>
              <w:t xml:space="preserve">Ostrava, </w:t>
            </w:r>
            <w:proofErr w:type="spellStart"/>
            <w:r w:rsidRPr="00DE52C8">
              <w:rPr>
                <w:rFonts w:ascii="Arial" w:hAnsi="Arial" w:cs="Arial"/>
                <w:spacing w:val="-3"/>
              </w:rPr>
              <w:t>Moravská</w:t>
            </w:r>
            <w:proofErr w:type="spellEnd"/>
            <w:r w:rsidRPr="00DE52C8">
              <w:rPr>
                <w:rFonts w:ascii="Arial" w:hAnsi="Arial" w:cs="Arial"/>
                <w:spacing w:val="-3"/>
              </w:rPr>
              <w:t xml:space="preserve"> Ostrava, </w:t>
            </w:r>
            <w:r w:rsidRPr="00DE52C8">
              <w:rPr>
                <w:rFonts w:ascii="Arial" w:hAnsi="Arial" w:cs="Arial"/>
              </w:rPr>
              <w:t xml:space="preserve">701 </w:t>
            </w:r>
            <w:r w:rsidRPr="00DE52C8">
              <w:rPr>
                <w:rFonts w:ascii="Arial" w:hAnsi="Arial" w:cs="Arial"/>
                <w:spacing w:val="-2"/>
              </w:rPr>
              <w:t xml:space="preserve">26, </w:t>
            </w:r>
            <w:hyperlink r:id="rId136" w:history="1">
              <w:r w:rsidR="00EF0F53" w:rsidRPr="00DE52C8">
                <w:rPr>
                  <w:rStyle w:val="Hypertextovodkaz"/>
                  <w:rFonts w:ascii="Arial" w:hAnsi="Arial" w:cs="Arial"/>
                </w:rPr>
                <w:t>www.pod.cz</w:t>
              </w:r>
            </w:hyperlink>
            <w:r w:rsidR="00EF0F53" w:rsidRPr="00DE52C8">
              <w:t xml:space="preserve"> </w:t>
            </w:r>
          </w:p>
        </w:tc>
      </w:tr>
      <w:tr w:rsidR="00641FD3" w:rsidRPr="00DE52C8" w14:paraId="0316EC15" w14:textId="77777777" w:rsidTr="00F76E8A">
        <w:trPr>
          <w:trHeight w:hRule="exact" w:val="324"/>
        </w:trPr>
        <w:tc>
          <w:tcPr>
            <w:tcW w:w="8755" w:type="dxa"/>
          </w:tcPr>
          <w:p w14:paraId="244195A7" w14:textId="70B17B5E" w:rsidR="00B77BB5" w:rsidRPr="00DE52C8" w:rsidRDefault="00B77BB5" w:rsidP="007C4955">
            <w:pPr>
              <w:pStyle w:val="TableParagraph"/>
              <w:spacing w:before="0"/>
              <w:ind w:left="107"/>
              <w:contextualSpacing/>
              <w:rPr>
                <w:rFonts w:ascii="Arial" w:hAnsi="Arial" w:cs="Arial"/>
                <w:b/>
              </w:rPr>
            </w:pPr>
            <w:proofErr w:type="spellStart"/>
            <w:r w:rsidRPr="00DE52C8">
              <w:rPr>
                <w:rFonts w:ascii="Arial" w:hAnsi="Arial" w:cs="Arial"/>
                <w:b/>
              </w:rPr>
              <w:t>Povodí</w:t>
            </w:r>
            <w:proofErr w:type="spellEnd"/>
            <w:r w:rsidRPr="00DE52C8">
              <w:rPr>
                <w:rFonts w:ascii="Arial" w:hAnsi="Arial" w:cs="Arial"/>
                <w:b/>
              </w:rPr>
              <w:t xml:space="preserve"> </w:t>
            </w:r>
            <w:proofErr w:type="spellStart"/>
            <w:r w:rsidRPr="00DE52C8">
              <w:rPr>
                <w:rFonts w:ascii="Arial" w:hAnsi="Arial" w:cs="Arial"/>
                <w:b/>
              </w:rPr>
              <w:t>Moravy</w:t>
            </w:r>
            <w:proofErr w:type="spellEnd"/>
            <w:r w:rsidRPr="00DE52C8">
              <w:rPr>
                <w:rFonts w:ascii="Arial" w:hAnsi="Arial" w:cs="Arial"/>
                <w:b/>
              </w:rPr>
              <w:t xml:space="preserve">, </w:t>
            </w:r>
            <w:proofErr w:type="spellStart"/>
            <w:r w:rsidRPr="00DE52C8">
              <w:rPr>
                <w:rFonts w:ascii="Arial" w:hAnsi="Arial" w:cs="Arial"/>
                <w:b/>
              </w:rPr>
              <w:t>s.p.</w:t>
            </w:r>
            <w:proofErr w:type="spellEnd"/>
          </w:p>
        </w:tc>
      </w:tr>
      <w:tr w:rsidR="00641FD3" w:rsidRPr="00DE52C8" w14:paraId="36556938" w14:textId="77777777" w:rsidTr="00F76E8A">
        <w:trPr>
          <w:trHeight w:hRule="exact" w:val="324"/>
        </w:trPr>
        <w:tc>
          <w:tcPr>
            <w:tcW w:w="8755" w:type="dxa"/>
          </w:tcPr>
          <w:p w14:paraId="216B8EE3" w14:textId="7A99219C" w:rsidR="00B77BB5" w:rsidRPr="00DE52C8" w:rsidRDefault="00B77BB5" w:rsidP="007C4955">
            <w:pPr>
              <w:pStyle w:val="TableParagraph"/>
              <w:spacing w:before="0"/>
              <w:ind w:left="107"/>
              <w:contextualSpacing/>
              <w:rPr>
                <w:rFonts w:ascii="Arial" w:hAnsi="Arial" w:cs="Arial"/>
              </w:rPr>
            </w:pPr>
            <w:proofErr w:type="spellStart"/>
            <w:r w:rsidRPr="00DE52C8">
              <w:rPr>
                <w:rFonts w:ascii="Arial" w:hAnsi="Arial" w:cs="Arial"/>
              </w:rPr>
              <w:t>Dřevařská</w:t>
            </w:r>
            <w:proofErr w:type="spellEnd"/>
            <w:r w:rsidRPr="00DE52C8">
              <w:rPr>
                <w:rFonts w:ascii="Arial" w:hAnsi="Arial" w:cs="Arial"/>
              </w:rPr>
              <w:t xml:space="preserve"> 932/11, Brno, 602 00, </w:t>
            </w:r>
            <w:hyperlink r:id="rId137" w:history="1">
              <w:r w:rsidR="00EF0F53" w:rsidRPr="00DE52C8">
                <w:rPr>
                  <w:rStyle w:val="Hypertextovodkaz"/>
                  <w:rFonts w:ascii="Arial" w:hAnsi="Arial" w:cs="Arial"/>
                </w:rPr>
                <w:t>www.pmo.cz</w:t>
              </w:r>
            </w:hyperlink>
            <w:r w:rsidR="00EF0F53" w:rsidRPr="00DE52C8">
              <w:rPr>
                <w:rFonts w:ascii="Arial" w:hAnsi="Arial" w:cs="Arial"/>
              </w:rPr>
              <w:t xml:space="preserve"> </w:t>
            </w:r>
          </w:p>
        </w:tc>
      </w:tr>
      <w:tr w:rsidR="00641FD3" w:rsidRPr="00DE52C8" w14:paraId="24B9B499" w14:textId="77777777" w:rsidTr="00F76E8A">
        <w:trPr>
          <w:trHeight w:hRule="exact" w:val="324"/>
        </w:trPr>
        <w:tc>
          <w:tcPr>
            <w:tcW w:w="8755" w:type="dxa"/>
          </w:tcPr>
          <w:p w14:paraId="05B25028" w14:textId="77777777" w:rsidR="00B77BB5" w:rsidRPr="00DE52C8" w:rsidRDefault="00B77BB5" w:rsidP="007C4955">
            <w:pPr>
              <w:pStyle w:val="TableParagraph"/>
              <w:spacing w:before="0"/>
              <w:ind w:left="107"/>
              <w:contextualSpacing/>
              <w:rPr>
                <w:rFonts w:ascii="Arial" w:hAnsi="Arial" w:cs="Arial"/>
                <w:b/>
              </w:rPr>
            </w:pPr>
            <w:proofErr w:type="spellStart"/>
            <w:r w:rsidRPr="00DE52C8">
              <w:rPr>
                <w:rFonts w:ascii="Arial" w:hAnsi="Arial" w:cs="Arial"/>
                <w:b/>
              </w:rPr>
              <w:t>Lesy</w:t>
            </w:r>
            <w:proofErr w:type="spellEnd"/>
            <w:r w:rsidRPr="00DE52C8">
              <w:rPr>
                <w:rFonts w:ascii="Arial" w:hAnsi="Arial" w:cs="Arial"/>
                <w:b/>
              </w:rPr>
              <w:t xml:space="preserve"> </w:t>
            </w:r>
            <w:proofErr w:type="spellStart"/>
            <w:r w:rsidRPr="00DE52C8">
              <w:rPr>
                <w:rFonts w:ascii="Arial" w:hAnsi="Arial" w:cs="Arial"/>
                <w:b/>
              </w:rPr>
              <w:t>České</w:t>
            </w:r>
            <w:proofErr w:type="spellEnd"/>
            <w:r w:rsidRPr="00DE52C8">
              <w:rPr>
                <w:rFonts w:ascii="Arial" w:hAnsi="Arial" w:cs="Arial"/>
                <w:b/>
              </w:rPr>
              <w:t xml:space="preserve"> </w:t>
            </w:r>
            <w:proofErr w:type="spellStart"/>
            <w:r w:rsidRPr="00DE52C8">
              <w:rPr>
                <w:rFonts w:ascii="Arial" w:hAnsi="Arial" w:cs="Arial"/>
                <w:b/>
              </w:rPr>
              <w:t>republiky</w:t>
            </w:r>
            <w:proofErr w:type="spellEnd"/>
            <w:r w:rsidRPr="00DE52C8">
              <w:rPr>
                <w:rFonts w:ascii="Arial" w:hAnsi="Arial" w:cs="Arial"/>
                <w:b/>
              </w:rPr>
              <w:t>, s. p.</w:t>
            </w:r>
          </w:p>
        </w:tc>
      </w:tr>
      <w:tr w:rsidR="00641FD3" w:rsidRPr="00DE52C8" w14:paraId="7E2B5003" w14:textId="77777777" w:rsidTr="00F76E8A">
        <w:trPr>
          <w:trHeight w:hRule="exact" w:val="324"/>
        </w:trPr>
        <w:tc>
          <w:tcPr>
            <w:tcW w:w="8755" w:type="dxa"/>
          </w:tcPr>
          <w:p w14:paraId="03520F8D" w14:textId="01F213AD" w:rsidR="00B77BB5" w:rsidRPr="00DE52C8" w:rsidRDefault="00B77BB5" w:rsidP="007C4955">
            <w:pPr>
              <w:pStyle w:val="TableParagraph"/>
              <w:spacing w:before="0"/>
              <w:ind w:left="107"/>
              <w:contextualSpacing/>
              <w:rPr>
                <w:rFonts w:ascii="Arial" w:hAnsi="Arial" w:cs="Arial"/>
              </w:rPr>
            </w:pPr>
            <w:proofErr w:type="spellStart"/>
            <w:r w:rsidRPr="00DE52C8">
              <w:rPr>
                <w:rFonts w:ascii="Arial" w:hAnsi="Arial" w:cs="Arial"/>
                <w:spacing w:val="-5"/>
              </w:rPr>
              <w:t>Přemyslova</w:t>
            </w:r>
            <w:proofErr w:type="spellEnd"/>
            <w:r w:rsidRPr="00DE52C8">
              <w:rPr>
                <w:rFonts w:ascii="Arial" w:hAnsi="Arial" w:cs="Arial"/>
                <w:spacing w:val="-5"/>
              </w:rPr>
              <w:t xml:space="preserve"> </w:t>
            </w:r>
            <w:r w:rsidRPr="00DE52C8">
              <w:rPr>
                <w:rFonts w:ascii="Arial" w:hAnsi="Arial" w:cs="Arial"/>
                <w:spacing w:val="-4"/>
              </w:rPr>
              <w:t xml:space="preserve">1106/19, Hradec </w:t>
            </w:r>
            <w:proofErr w:type="spellStart"/>
            <w:r w:rsidRPr="00DE52C8">
              <w:rPr>
                <w:rFonts w:ascii="Arial" w:hAnsi="Arial" w:cs="Arial"/>
                <w:spacing w:val="-4"/>
              </w:rPr>
              <w:t>Králové</w:t>
            </w:r>
            <w:proofErr w:type="spellEnd"/>
            <w:r w:rsidRPr="00DE52C8">
              <w:rPr>
                <w:rFonts w:ascii="Arial" w:hAnsi="Arial" w:cs="Arial"/>
                <w:spacing w:val="-4"/>
              </w:rPr>
              <w:t xml:space="preserve">, </w:t>
            </w:r>
            <w:r w:rsidRPr="00DE52C8">
              <w:rPr>
                <w:rFonts w:ascii="Arial" w:hAnsi="Arial" w:cs="Arial"/>
                <w:spacing w:val="-3"/>
              </w:rPr>
              <w:t xml:space="preserve">500 08, </w:t>
            </w:r>
            <w:hyperlink r:id="rId138" w:history="1">
              <w:r w:rsidR="00E07936" w:rsidRPr="00DE52C8">
                <w:rPr>
                  <w:rStyle w:val="Hypertextovodkaz"/>
                  <w:rFonts w:ascii="Arial" w:hAnsi="Arial" w:cs="Arial"/>
                </w:rPr>
                <w:t>www.lesycr.cz</w:t>
              </w:r>
            </w:hyperlink>
            <w:r w:rsidR="00E07936" w:rsidRPr="00DE52C8">
              <w:rPr>
                <w:rFonts w:ascii="Arial" w:hAnsi="Arial" w:cs="Arial"/>
              </w:rPr>
              <w:t xml:space="preserve"> </w:t>
            </w:r>
          </w:p>
        </w:tc>
      </w:tr>
      <w:tr w:rsidR="00641FD3" w:rsidRPr="00DE52C8" w14:paraId="27D40049" w14:textId="77777777" w:rsidTr="00F76E8A">
        <w:trPr>
          <w:trHeight w:hRule="exact" w:val="324"/>
        </w:trPr>
        <w:tc>
          <w:tcPr>
            <w:tcW w:w="8755" w:type="dxa"/>
          </w:tcPr>
          <w:p w14:paraId="5EA98158" w14:textId="77777777" w:rsidR="00B77BB5" w:rsidRPr="00DE52C8" w:rsidRDefault="00B77BB5" w:rsidP="007C4955">
            <w:pPr>
              <w:pStyle w:val="TableParagraph"/>
              <w:spacing w:before="0"/>
              <w:ind w:left="107"/>
              <w:contextualSpacing/>
              <w:rPr>
                <w:rFonts w:ascii="Arial" w:hAnsi="Arial" w:cs="Arial"/>
                <w:b/>
              </w:rPr>
            </w:pPr>
            <w:proofErr w:type="spellStart"/>
            <w:r w:rsidRPr="00DE52C8">
              <w:rPr>
                <w:rFonts w:ascii="Arial" w:hAnsi="Arial" w:cs="Arial"/>
                <w:b/>
              </w:rPr>
              <w:t>Český</w:t>
            </w:r>
            <w:proofErr w:type="spellEnd"/>
            <w:r w:rsidRPr="00DE52C8">
              <w:rPr>
                <w:rFonts w:ascii="Arial" w:hAnsi="Arial" w:cs="Arial"/>
                <w:b/>
              </w:rPr>
              <w:t xml:space="preserve"> </w:t>
            </w:r>
            <w:proofErr w:type="spellStart"/>
            <w:r w:rsidRPr="00DE52C8">
              <w:rPr>
                <w:rFonts w:ascii="Arial" w:hAnsi="Arial" w:cs="Arial"/>
                <w:b/>
              </w:rPr>
              <w:t>hydrometeorologický</w:t>
            </w:r>
            <w:proofErr w:type="spellEnd"/>
            <w:r w:rsidRPr="00DE52C8">
              <w:rPr>
                <w:rFonts w:ascii="Arial" w:hAnsi="Arial" w:cs="Arial"/>
                <w:b/>
              </w:rPr>
              <w:t xml:space="preserve"> </w:t>
            </w:r>
            <w:proofErr w:type="spellStart"/>
            <w:r w:rsidRPr="00DE52C8">
              <w:rPr>
                <w:rFonts w:ascii="Arial" w:hAnsi="Arial" w:cs="Arial"/>
                <w:b/>
              </w:rPr>
              <w:t>ústav</w:t>
            </w:r>
            <w:proofErr w:type="spellEnd"/>
          </w:p>
        </w:tc>
      </w:tr>
      <w:tr w:rsidR="00641FD3" w:rsidRPr="00DE52C8" w14:paraId="41913B3A" w14:textId="77777777" w:rsidTr="00F76E8A">
        <w:trPr>
          <w:trHeight w:hRule="exact" w:val="362"/>
        </w:trPr>
        <w:tc>
          <w:tcPr>
            <w:tcW w:w="8755" w:type="dxa"/>
          </w:tcPr>
          <w:p w14:paraId="0B1BB8E7" w14:textId="780DF0A2" w:rsidR="00B77BB5" w:rsidRPr="00DE52C8" w:rsidRDefault="00B77BB5" w:rsidP="007C4955">
            <w:pPr>
              <w:pStyle w:val="TableParagraph"/>
              <w:spacing w:before="0"/>
              <w:ind w:left="107" w:right="608"/>
              <w:contextualSpacing/>
              <w:rPr>
                <w:rFonts w:ascii="Arial" w:hAnsi="Arial" w:cs="Arial"/>
              </w:rPr>
            </w:pPr>
            <w:r w:rsidRPr="00DE52C8">
              <w:rPr>
                <w:rFonts w:ascii="Arial" w:hAnsi="Arial" w:cs="Arial"/>
              </w:rPr>
              <w:t>Na</w:t>
            </w:r>
            <w:r w:rsidRPr="00DE52C8">
              <w:rPr>
                <w:rFonts w:ascii="Arial" w:hAnsi="Arial" w:cs="Arial"/>
                <w:spacing w:val="-9"/>
              </w:rPr>
              <w:t xml:space="preserve"> </w:t>
            </w:r>
            <w:proofErr w:type="spellStart"/>
            <w:r w:rsidRPr="00DE52C8">
              <w:rPr>
                <w:rFonts w:ascii="Arial" w:hAnsi="Arial" w:cs="Arial"/>
              </w:rPr>
              <w:t>Šabatce</w:t>
            </w:r>
            <w:proofErr w:type="spellEnd"/>
            <w:r w:rsidRPr="00DE52C8">
              <w:rPr>
                <w:rFonts w:ascii="Arial" w:hAnsi="Arial" w:cs="Arial"/>
                <w:spacing w:val="-9"/>
              </w:rPr>
              <w:t xml:space="preserve"> </w:t>
            </w:r>
            <w:r w:rsidRPr="00DE52C8">
              <w:rPr>
                <w:rFonts w:ascii="Arial" w:hAnsi="Arial" w:cs="Arial"/>
              </w:rPr>
              <w:t>2050/17,</w:t>
            </w:r>
            <w:r w:rsidRPr="00DE52C8">
              <w:rPr>
                <w:rFonts w:ascii="Arial" w:hAnsi="Arial" w:cs="Arial"/>
                <w:spacing w:val="-27"/>
              </w:rPr>
              <w:t xml:space="preserve"> </w:t>
            </w:r>
            <w:r w:rsidRPr="00DE52C8">
              <w:rPr>
                <w:rFonts w:ascii="Arial" w:hAnsi="Arial" w:cs="Arial"/>
              </w:rPr>
              <w:t>Praha</w:t>
            </w:r>
            <w:r w:rsidRPr="00DE52C8">
              <w:rPr>
                <w:rFonts w:ascii="Arial" w:hAnsi="Arial" w:cs="Arial"/>
                <w:spacing w:val="-9"/>
              </w:rPr>
              <w:t xml:space="preserve"> </w:t>
            </w:r>
            <w:r w:rsidRPr="00DE52C8">
              <w:rPr>
                <w:rFonts w:ascii="Arial" w:hAnsi="Arial" w:cs="Arial"/>
              </w:rPr>
              <w:t>412</w:t>
            </w:r>
            <w:r w:rsidRPr="00DE52C8">
              <w:rPr>
                <w:rFonts w:ascii="Arial" w:hAnsi="Arial" w:cs="Arial"/>
                <w:spacing w:val="-9"/>
              </w:rPr>
              <w:t xml:space="preserve"> </w:t>
            </w:r>
            <w:r w:rsidRPr="00DE52C8">
              <w:rPr>
                <w:rFonts w:ascii="Arial" w:hAnsi="Arial" w:cs="Arial"/>
              </w:rPr>
              <w:t>–</w:t>
            </w:r>
            <w:r w:rsidRPr="00DE52C8">
              <w:rPr>
                <w:rFonts w:ascii="Arial" w:hAnsi="Arial" w:cs="Arial"/>
                <w:spacing w:val="-9"/>
              </w:rPr>
              <w:t xml:space="preserve"> </w:t>
            </w:r>
            <w:proofErr w:type="spellStart"/>
            <w:r w:rsidRPr="00DE52C8">
              <w:rPr>
                <w:rFonts w:ascii="Arial" w:hAnsi="Arial" w:cs="Arial"/>
                <w:spacing w:val="-6"/>
              </w:rPr>
              <w:t>Komořany</w:t>
            </w:r>
            <w:proofErr w:type="spellEnd"/>
            <w:r w:rsidRPr="00DE52C8">
              <w:rPr>
                <w:rFonts w:ascii="Arial" w:hAnsi="Arial" w:cs="Arial"/>
                <w:spacing w:val="-6"/>
              </w:rPr>
              <w:t>,</w:t>
            </w:r>
            <w:r w:rsidRPr="00DE52C8">
              <w:rPr>
                <w:rFonts w:ascii="Arial" w:hAnsi="Arial" w:cs="Arial"/>
                <w:spacing w:val="-27"/>
              </w:rPr>
              <w:t xml:space="preserve"> </w:t>
            </w:r>
            <w:r w:rsidRPr="00DE52C8">
              <w:rPr>
                <w:rFonts w:ascii="Arial" w:hAnsi="Arial" w:cs="Arial"/>
              </w:rPr>
              <w:t>143</w:t>
            </w:r>
            <w:r w:rsidRPr="00DE52C8">
              <w:rPr>
                <w:rFonts w:ascii="Arial" w:hAnsi="Arial" w:cs="Arial"/>
                <w:spacing w:val="-9"/>
              </w:rPr>
              <w:t xml:space="preserve"> </w:t>
            </w:r>
            <w:r w:rsidRPr="00DE52C8">
              <w:rPr>
                <w:rFonts w:ascii="Arial" w:hAnsi="Arial" w:cs="Arial"/>
                <w:spacing w:val="-2"/>
              </w:rPr>
              <w:t xml:space="preserve">06, </w:t>
            </w:r>
            <w:hyperlink r:id="rId139" w:history="1">
              <w:r w:rsidR="00E07936" w:rsidRPr="00DE52C8">
                <w:rPr>
                  <w:rStyle w:val="Hypertextovodkaz"/>
                  <w:rFonts w:ascii="Arial" w:hAnsi="Arial" w:cs="Arial"/>
                </w:rPr>
                <w:t>www.chmi.cz</w:t>
              </w:r>
            </w:hyperlink>
            <w:r w:rsidR="00E07936" w:rsidRPr="00DE52C8">
              <w:rPr>
                <w:rFonts w:ascii="Arial" w:hAnsi="Arial" w:cs="Arial"/>
              </w:rPr>
              <w:t xml:space="preserve"> </w:t>
            </w:r>
          </w:p>
        </w:tc>
      </w:tr>
      <w:tr w:rsidR="00641FD3" w:rsidRPr="00DE52C8" w14:paraId="5D2F1027" w14:textId="77777777" w:rsidTr="00F76E8A">
        <w:trPr>
          <w:trHeight w:hRule="exact" w:val="295"/>
        </w:trPr>
        <w:tc>
          <w:tcPr>
            <w:tcW w:w="8755" w:type="dxa"/>
          </w:tcPr>
          <w:p w14:paraId="7B99FA95" w14:textId="77777777" w:rsidR="00B77BB5" w:rsidRPr="00DE52C8" w:rsidRDefault="00B77BB5" w:rsidP="007C4955">
            <w:pPr>
              <w:pStyle w:val="TableParagraph"/>
              <w:spacing w:before="0"/>
              <w:ind w:left="107"/>
              <w:contextualSpacing/>
              <w:rPr>
                <w:rFonts w:ascii="Arial" w:hAnsi="Arial" w:cs="Arial"/>
                <w:b/>
              </w:rPr>
            </w:pPr>
            <w:proofErr w:type="spellStart"/>
            <w:r w:rsidRPr="00DE52C8">
              <w:rPr>
                <w:rFonts w:ascii="Arial" w:hAnsi="Arial" w:cs="Arial"/>
                <w:b/>
              </w:rPr>
              <w:t>Výzkumný</w:t>
            </w:r>
            <w:proofErr w:type="spellEnd"/>
            <w:r w:rsidRPr="00DE52C8">
              <w:rPr>
                <w:rFonts w:ascii="Arial" w:hAnsi="Arial" w:cs="Arial"/>
                <w:b/>
              </w:rPr>
              <w:t xml:space="preserve"> </w:t>
            </w:r>
            <w:proofErr w:type="spellStart"/>
            <w:r w:rsidRPr="00DE52C8">
              <w:rPr>
                <w:rFonts w:ascii="Arial" w:hAnsi="Arial" w:cs="Arial"/>
                <w:b/>
              </w:rPr>
              <w:t>ústav</w:t>
            </w:r>
            <w:proofErr w:type="spellEnd"/>
            <w:r w:rsidRPr="00DE52C8">
              <w:rPr>
                <w:rFonts w:ascii="Arial" w:hAnsi="Arial" w:cs="Arial"/>
                <w:b/>
              </w:rPr>
              <w:t xml:space="preserve"> </w:t>
            </w:r>
            <w:proofErr w:type="spellStart"/>
            <w:r w:rsidRPr="00DE52C8">
              <w:rPr>
                <w:rFonts w:ascii="Arial" w:hAnsi="Arial" w:cs="Arial"/>
                <w:b/>
              </w:rPr>
              <w:t>vodohospodářský</w:t>
            </w:r>
            <w:proofErr w:type="spellEnd"/>
            <w:r w:rsidRPr="00DE52C8">
              <w:rPr>
                <w:rFonts w:ascii="Arial" w:hAnsi="Arial" w:cs="Arial"/>
                <w:b/>
              </w:rPr>
              <w:t xml:space="preserve"> T. G. </w:t>
            </w:r>
            <w:proofErr w:type="spellStart"/>
            <w:r w:rsidRPr="00DE52C8">
              <w:rPr>
                <w:rFonts w:ascii="Arial" w:hAnsi="Arial" w:cs="Arial"/>
                <w:b/>
              </w:rPr>
              <w:t>Masaryka</w:t>
            </w:r>
            <w:proofErr w:type="spellEnd"/>
            <w:r w:rsidRPr="00DE52C8">
              <w:rPr>
                <w:rFonts w:ascii="Arial" w:hAnsi="Arial" w:cs="Arial"/>
                <w:b/>
              </w:rPr>
              <w:t>, v. v. </w:t>
            </w:r>
            <w:proofErr w:type="spellStart"/>
            <w:r w:rsidRPr="00DE52C8">
              <w:rPr>
                <w:rFonts w:ascii="Arial" w:hAnsi="Arial" w:cs="Arial"/>
                <w:b/>
              </w:rPr>
              <w:t>i</w:t>
            </w:r>
            <w:proofErr w:type="spellEnd"/>
            <w:r w:rsidRPr="00DE52C8">
              <w:rPr>
                <w:rFonts w:ascii="Arial" w:hAnsi="Arial" w:cs="Arial"/>
                <w:b/>
              </w:rPr>
              <w:t>.</w:t>
            </w:r>
          </w:p>
        </w:tc>
      </w:tr>
      <w:tr w:rsidR="00641FD3" w:rsidRPr="00DE52C8" w14:paraId="1029D6DA" w14:textId="77777777" w:rsidTr="00F76E8A">
        <w:trPr>
          <w:trHeight w:hRule="exact" w:val="324"/>
        </w:trPr>
        <w:tc>
          <w:tcPr>
            <w:tcW w:w="8755" w:type="dxa"/>
          </w:tcPr>
          <w:p w14:paraId="718B82E7" w14:textId="4F653801" w:rsidR="00B77BB5" w:rsidRPr="00DE52C8" w:rsidRDefault="00B77BB5" w:rsidP="007C4955">
            <w:pPr>
              <w:pStyle w:val="TableParagraph"/>
              <w:spacing w:before="0"/>
              <w:ind w:left="107"/>
              <w:contextualSpacing/>
              <w:rPr>
                <w:rFonts w:ascii="Arial" w:hAnsi="Arial" w:cs="Arial"/>
              </w:rPr>
            </w:pPr>
            <w:proofErr w:type="spellStart"/>
            <w:r w:rsidRPr="00DE52C8">
              <w:rPr>
                <w:rFonts w:ascii="Arial" w:hAnsi="Arial" w:cs="Arial"/>
              </w:rPr>
              <w:t>Podbabská</w:t>
            </w:r>
            <w:proofErr w:type="spellEnd"/>
            <w:r w:rsidRPr="00DE52C8">
              <w:rPr>
                <w:rFonts w:ascii="Arial" w:hAnsi="Arial" w:cs="Arial"/>
              </w:rPr>
              <w:t xml:space="preserve"> 2582/30, Praha 6, 160 00, </w:t>
            </w:r>
            <w:hyperlink r:id="rId140" w:history="1">
              <w:r w:rsidR="00EA1EFD" w:rsidRPr="00DE52C8">
                <w:rPr>
                  <w:rStyle w:val="Hypertextovodkaz"/>
                  <w:rFonts w:ascii="Arial" w:hAnsi="Arial" w:cs="Arial"/>
                </w:rPr>
                <w:t>www.vuv.cz</w:t>
              </w:r>
            </w:hyperlink>
            <w:r w:rsidR="00EA1EFD" w:rsidRPr="00DE52C8">
              <w:rPr>
                <w:rFonts w:ascii="Arial" w:hAnsi="Arial" w:cs="Arial"/>
              </w:rPr>
              <w:t xml:space="preserve"> </w:t>
            </w:r>
          </w:p>
        </w:tc>
      </w:tr>
      <w:tr w:rsidR="00641FD3" w:rsidRPr="00DE52C8" w14:paraId="72B7D7D0" w14:textId="77777777" w:rsidTr="00F76E8A">
        <w:trPr>
          <w:trHeight w:hRule="exact" w:val="324"/>
        </w:trPr>
        <w:tc>
          <w:tcPr>
            <w:tcW w:w="8755" w:type="dxa"/>
          </w:tcPr>
          <w:p w14:paraId="30241149" w14:textId="77777777" w:rsidR="00B77BB5" w:rsidRPr="00DE52C8" w:rsidRDefault="00B77BB5" w:rsidP="007C4955">
            <w:pPr>
              <w:pStyle w:val="TableParagraph"/>
              <w:spacing w:before="0"/>
              <w:ind w:left="107"/>
              <w:contextualSpacing/>
              <w:rPr>
                <w:rFonts w:ascii="Arial" w:hAnsi="Arial" w:cs="Arial"/>
                <w:b/>
              </w:rPr>
            </w:pPr>
            <w:proofErr w:type="spellStart"/>
            <w:r w:rsidRPr="00DE52C8">
              <w:rPr>
                <w:rFonts w:ascii="Arial" w:hAnsi="Arial" w:cs="Arial"/>
                <w:b/>
              </w:rPr>
              <w:t>Státní</w:t>
            </w:r>
            <w:proofErr w:type="spellEnd"/>
            <w:r w:rsidRPr="00DE52C8">
              <w:rPr>
                <w:rFonts w:ascii="Arial" w:hAnsi="Arial" w:cs="Arial"/>
                <w:b/>
              </w:rPr>
              <w:t xml:space="preserve"> </w:t>
            </w:r>
            <w:proofErr w:type="spellStart"/>
            <w:r w:rsidRPr="00DE52C8">
              <w:rPr>
                <w:rFonts w:ascii="Arial" w:hAnsi="Arial" w:cs="Arial"/>
                <w:b/>
              </w:rPr>
              <w:t>pozemkový</w:t>
            </w:r>
            <w:proofErr w:type="spellEnd"/>
            <w:r w:rsidRPr="00DE52C8">
              <w:rPr>
                <w:rFonts w:ascii="Arial" w:hAnsi="Arial" w:cs="Arial"/>
                <w:b/>
              </w:rPr>
              <w:t xml:space="preserve"> </w:t>
            </w:r>
            <w:proofErr w:type="spellStart"/>
            <w:r w:rsidRPr="00DE52C8">
              <w:rPr>
                <w:rFonts w:ascii="Arial" w:hAnsi="Arial" w:cs="Arial"/>
                <w:b/>
              </w:rPr>
              <w:t>úřad</w:t>
            </w:r>
            <w:proofErr w:type="spellEnd"/>
          </w:p>
        </w:tc>
      </w:tr>
      <w:tr w:rsidR="00641FD3" w:rsidRPr="00DE52C8" w14:paraId="39BC8C37" w14:textId="77777777" w:rsidTr="00F76E8A">
        <w:trPr>
          <w:trHeight w:hRule="exact" w:val="324"/>
        </w:trPr>
        <w:tc>
          <w:tcPr>
            <w:tcW w:w="8755" w:type="dxa"/>
          </w:tcPr>
          <w:p w14:paraId="11DF2C8B" w14:textId="2426B2DE" w:rsidR="00B77BB5" w:rsidRPr="00DE52C8" w:rsidRDefault="00B77BB5" w:rsidP="007C4955">
            <w:pPr>
              <w:pStyle w:val="TableParagraph"/>
              <w:spacing w:before="0"/>
              <w:ind w:left="107"/>
              <w:contextualSpacing/>
              <w:rPr>
                <w:rFonts w:ascii="Arial" w:hAnsi="Arial" w:cs="Arial"/>
              </w:rPr>
            </w:pPr>
            <w:proofErr w:type="spellStart"/>
            <w:r w:rsidRPr="00DE52C8">
              <w:rPr>
                <w:rFonts w:ascii="Arial" w:hAnsi="Arial" w:cs="Arial"/>
                <w:spacing w:val="-4"/>
              </w:rPr>
              <w:t>Husinecká</w:t>
            </w:r>
            <w:proofErr w:type="spellEnd"/>
            <w:r w:rsidRPr="00DE52C8">
              <w:rPr>
                <w:rFonts w:ascii="Arial" w:hAnsi="Arial" w:cs="Arial"/>
                <w:spacing w:val="-4"/>
              </w:rPr>
              <w:t xml:space="preserve"> 1024/11a, Praha </w:t>
            </w:r>
            <w:r w:rsidRPr="00DE52C8">
              <w:rPr>
                <w:rFonts w:ascii="Arial" w:hAnsi="Arial" w:cs="Arial"/>
              </w:rPr>
              <w:t xml:space="preserve">3 – </w:t>
            </w:r>
            <w:r w:rsidRPr="00DE52C8">
              <w:rPr>
                <w:rFonts w:ascii="Arial" w:hAnsi="Arial" w:cs="Arial"/>
                <w:spacing w:val="-7"/>
              </w:rPr>
              <w:t xml:space="preserve">Žižkov, </w:t>
            </w:r>
            <w:r w:rsidRPr="00DE52C8">
              <w:rPr>
                <w:rFonts w:ascii="Arial" w:hAnsi="Arial" w:cs="Arial"/>
                <w:spacing w:val="-3"/>
              </w:rPr>
              <w:t xml:space="preserve">130 00, </w:t>
            </w:r>
            <w:hyperlink r:id="rId141" w:history="1">
              <w:r w:rsidR="00EA1EFD" w:rsidRPr="00DE52C8">
                <w:rPr>
                  <w:rStyle w:val="Hypertextovodkaz"/>
                  <w:rFonts w:ascii="Arial" w:hAnsi="Arial" w:cs="Arial"/>
                </w:rPr>
                <w:t>www.spucr.cz</w:t>
              </w:r>
            </w:hyperlink>
            <w:r w:rsidR="00EA1EFD" w:rsidRPr="00DE52C8">
              <w:rPr>
                <w:rFonts w:ascii="Arial" w:hAnsi="Arial" w:cs="Arial"/>
              </w:rPr>
              <w:t xml:space="preserve"> </w:t>
            </w:r>
          </w:p>
        </w:tc>
      </w:tr>
      <w:tr w:rsidR="00641FD3" w:rsidRPr="00DE52C8" w14:paraId="0E4F805B" w14:textId="77777777" w:rsidTr="00F76E8A">
        <w:trPr>
          <w:trHeight w:hRule="exact" w:val="325"/>
        </w:trPr>
        <w:tc>
          <w:tcPr>
            <w:tcW w:w="8755" w:type="dxa"/>
          </w:tcPr>
          <w:p w14:paraId="115BEAE8" w14:textId="64D1FDEA" w:rsidR="00B77BB5" w:rsidRPr="00DE52C8" w:rsidRDefault="00B77BB5" w:rsidP="007C4955">
            <w:pPr>
              <w:pStyle w:val="TableParagraph"/>
              <w:spacing w:before="0"/>
              <w:ind w:left="107"/>
              <w:contextualSpacing/>
              <w:rPr>
                <w:rFonts w:ascii="Arial" w:hAnsi="Arial" w:cs="Arial"/>
                <w:b/>
              </w:rPr>
            </w:pPr>
            <w:proofErr w:type="spellStart"/>
            <w:r w:rsidRPr="00DE52C8">
              <w:rPr>
                <w:rFonts w:ascii="Arial" w:hAnsi="Arial" w:cs="Arial"/>
                <w:b/>
              </w:rPr>
              <w:t>Výzkumný</w:t>
            </w:r>
            <w:proofErr w:type="spellEnd"/>
            <w:r w:rsidRPr="00DE52C8">
              <w:rPr>
                <w:rFonts w:ascii="Arial" w:hAnsi="Arial" w:cs="Arial"/>
                <w:b/>
              </w:rPr>
              <w:t xml:space="preserve"> </w:t>
            </w:r>
            <w:proofErr w:type="spellStart"/>
            <w:r w:rsidRPr="00DE52C8">
              <w:rPr>
                <w:rFonts w:ascii="Arial" w:hAnsi="Arial" w:cs="Arial"/>
                <w:b/>
              </w:rPr>
              <w:t>ústav</w:t>
            </w:r>
            <w:proofErr w:type="spellEnd"/>
            <w:r w:rsidRPr="00DE52C8">
              <w:rPr>
                <w:rFonts w:ascii="Arial" w:hAnsi="Arial" w:cs="Arial"/>
                <w:b/>
              </w:rPr>
              <w:t xml:space="preserve"> </w:t>
            </w:r>
            <w:proofErr w:type="spellStart"/>
            <w:r w:rsidRPr="00DE52C8">
              <w:rPr>
                <w:rFonts w:ascii="Arial" w:hAnsi="Arial" w:cs="Arial"/>
                <w:b/>
              </w:rPr>
              <w:t>m</w:t>
            </w:r>
            <w:r w:rsidR="00FA2B33" w:rsidRPr="00DE52C8">
              <w:rPr>
                <w:rFonts w:ascii="Arial" w:hAnsi="Arial" w:cs="Arial"/>
                <w:b/>
              </w:rPr>
              <w:t>onitoringu</w:t>
            </w:r>
            <w:proofErr w:type="spellEnd"/>
            <w:r w:rsidRPr="00DE52C8">
              <w:rPr>
                <w:rFonts w:ascii="Arial" w:hAnsi="Arial" w:cs="Arial"/>
                <w:b/>
              </w:rPr>
              <w:t xml:space="preserve"> </w:t>
            </w:r>
            <w:proofErr w:type="gramStart"/>
            <w:r w:rsidRPr="00DE52C8">
              <w:rPr>
                <w:rFonts w:ascii="Arial" w:hAnsi="Arial" w:cs="Arial"/>
                <w:b/>
              </w:rPr>
              <w:t>a</w:t>
            </w:r>
            <w:proofErr w:type="gramEnd"/>
            <w:r w:rsidRPr="00DE52C8">
              <w:rPr>
                <w:rFonts w:ascii="Arial" w:hAnsi="Arial" w:cs="Arial"/>
                <w:b/>
              </w:rPr>
              <w:t xml:space="preserve"> </w:t>
            </w:r>
            <w:proofErr w:type="spellStart"/>
            <w:r w:rsidRPr="00DE52C8">
              <w:rPr>
                <w:rFonts w:ascii="Arial" w:hAnsi="Arial" w:cs="Arial"/>
                <w:b/>
              </w:rPr>
              <w:t>ochrany</w:t>
            </w:r>
            <w:proofErr w:type="spellEnd"/>
            <w:r w:rsidRPr="00DE52C8">
              <w:rPr>
                <w:rFonts w:ascii="Arial" w:hAnsi="Arial" w:cs="Arial"/>
                <w:b/>
              </w:rPr>
              <w:t xml:space="preserve"> </w:t>
            </w:r>
            <w:proofErr w:type="spellStart"/>
            <w:r w:rsidRPr="00DE52C8">
              <w:rPr>
                <w:rFonts w:ascii="Arial" w:hAnsi="Arial" w:cs="Arial"/>
                <w:b/>
              </w:rPr>
              <w:t>půdy</w:t>
            </w:r>
            <w:proofErr w:type="spellEnd"/>
            <w:r w:rsidRPr="00DE52C8">
              <w:rPr>
                <w:rFonts w:ascii="Arial" w:hAnsi="Arial" w:cs="Arial"/>
                <w:b/>
              </w:rPr>
              <w:t>, v. v. i.</w:t>
            </w:r>
          </w:p>
        </w:tc>
      </w:tr>
      <w:tr w:rsidR="00641FD3" w:rsidRPr="00641FD3" w14:paraId="4911C693" w14:textId="77777777" w:rsidTr="00F76E8A">
        <w:trPr>
          <w:trHeight w:hRule="exact" w:val="324"/>
        </w:trPr>
        <w:tc>
          <w:tcPr>
            <w:tcW w:w="8755" w:type="dxa"/>
          </w:tcPr>
          <w:p w14:paraId="4C8B7F54" w14:textId="6898968C" w:rsidR="00B77BB5" w:rsidRDefault="00B77BB5" w:rsidP="007C4955">
            <w:pPr>
              <w:pStyle w:val="TableParagraph"/>
              <w:spacing w:before="0"/>
              <w:ind w:left="107"/>
              <w:contextualSpacing/>
              <w:rPr>
                <w:rFonts w:ascii="Arial" w:hAnsi="Arial" w:cs="Arial"/>
              </w:rPr>
            </w:pPr>
            <w:proofErr w:type="spellStart"/>
            <w:r w:rsidRPr="00DE52C8">
              <w:rPr>
                <w:rFonts w:ascii="Arial" w:hAnsi="Arial" w:cs="Arial"/>
                <w:spacing w:val="-4"/>
              </w:rPr>
              <w:t>Žabovřeská</w:t>
            </w:r>
            <w:proofErr w:type="spellEnd"/>
            <w:r w:rsidRPr="00DE52C8">
              <w:rPr>
                <w:rFonts w:ascii="Arial" w:hAnsi="Arial" w:cs="Arial"/>
                <w:spacing w:val="-4"/>
              </w:rPr>
              <w:t xml:space="preserve"> </w:t>
            </w:r>
            <w:r w:rsidRPr="00DE52C8">
              <w:rPr>
                <w:rFonts w:ascii="Arial" w:hAnsi="Arial" w:cs="Arial"/>
                <w:spacing w:val="-3"/>
              </w:rPr>
              <w:t xml:space="preserve">250, </w:t>
            </w:r>
            <w:r w:rsidRPr="00DE52C8">
              <w:rPr>
                <w:rFonts w:ascii="Arial" w:hAnsi="Arial" w:cs="Arial"/>
                <w:spacing w:val="-4"/>
              </w:rPr>
              <w:t xml:space="preserve">Praha </w:t>
            </w:r>
            <w:r w:rsidRPr="00DE52C8">
              <w:rPr>
                <w:rFonts w:ascii="Arial" w:hAnsi="Arial" w:cs="Arial"/>
              </w:rPr>
              <w:t>5 –</w:t>
            </w:r>
            <w:r w:rsidRPr="00DE52C8">
              <w:rPr>
                <w:rFonts w:ascii="Arial" w:hAnsi="Arial" w:cs="Arial"/>
                <w:spacing w:val="-6"/>
              </w:rPr>
              <w:t xml:space="preserve"> </w:t>
            </w:r>
            <w:proofErr w:type="spellStart"/>
            <w:r w:rsidRPr="00DE52C8">
              <w:rPr>
                <w:rFonts w:ascii="Arial" w:hAnsi="Arial" w:cs="Arial"/>
                <w:spacing w:val="-6"/>
              </w:rPr>
              <w:t>Zbraslav</w:t>
            </w:r>
            <w:proofErr w:type="spellEnd"/>
            <w:r w:rsidRPr="00DE52C8">
              <w:rPr>
                <w:rFonts w:ascii="Arial" w:hAnsi="Arial" w:cs="Arial"/>
                <w:spacing w:val="-6"/>
              </w:rPr>
              <w:t xml:space="preserve">, </w:t>
            </w:r>
            <w:r w:rsidRPr="00DE52C8">
              <w:rPr>
                <w:rFonts w:ascii="Arial" w:hAnsi="Arial" w:cs="Arial"/>
                <w:spacing w:val="-3"/>
              </w:rPr>
              <w:t xml:space="preserve">156 27, </w:t>
            </w:r>
            <w:hyperlink r:id="rId142" w:history="1">
              <w:r w:rsidR="009255DC" w:rsidRPr="00DE52C8">
                <w:rPr>
                  <w:rStyle w:val="Hypertextovodkaz"/>
                  <w:rFonts w:ascii="Arial" w:hAnsi="Arial" w:cs="Arial"/>
                </w:rPr>
                <w:t>www.vumop.cz</w:t>
              </w:r>
            </w:hyperlink>
            <w:r w:rsidR="009255DC" w:rsidRPr="009065E6">
              <w:rPr>
                <w:rFonts w:ascii="Arial" w:hAnsi="Arial" w:cs="Arial"/>
              </w:rPr>
              <w:t xml:space="preserve"> </w:t>
            </w:r>
          </w:p>
          <w:p w14:paraId="1E776484" w14:textId="77777777" w:rsidR="0049563F" w:rsidRPr="009065E6" w:rsidRDefault="0049563F" w:rsidP="007C4955">
            <w:pPr>
              <w:pStyle w:val="TableParagraph"/>
              <w:spacing w:before="0"/>
              <w:ind w:left="107"/>
              <w:contextualSpacing/>
              <w:rPr>
                <w:rFonts w:ascii="Arial" w:hAnsi="Arial" w:cs="Arial"/>
                <w:spacing w:val="-6"/>
              </w:rPr>
            </w:pPr>
          </w:p>
          <w:p w14:paraId="1AFBCDC5" w14:textId="693EF931" w:rsidR="008E59E4" w:rsidRPr="008E59E4" w:rsidRDefault="008E59E4" w:rsidP="007C4955">
            <w:pPr>
              <w:pStyle w:val="TableParagraph"/>
              <w:spacing w:before="0"/>
              <w:ind w:left="107"/>
              <w:contextualSpacing/>
              <w:rPr>
                <w:rFonts w:ascii="Arial" w:hAnsi="Arial" w:cs="Arial"/>
              </w:rPr>
            </w:pPr>
          </w:p>
        </w:tc>
      </w:tr>
    </w:tbl>
    <w:p w14:paraId="49FBBE3B" w14:textId="77777777" w:rsidR="00B77BB5" w:rsidRPr="00186037" w:rsidRDefault="00B77BB5" w:rsidP="007C4955">
      <w:pPr>
        <w:contextualSpacing/>
        <w:rPr>
          <w:color w:val="FF0000"/>
        </w:rPr>
      </w:pPr>
    </w:p>
    <w:p w14:paraId="59BDCC8D" w14:textId="77777777" w:rsidR="009549E5" w:rsidRPr="00186037" w:rsidRDefault="009549E5" w:rsidP="007C4955">
      <w:pPr>
        <w:contextualSpacing/>
        <w:rPr>
          <w:color w:val="FF0000"/>
        </w:rPr>
      </w:pPr>
    </w:p>
    <w:p w14:paraId="615D255F" w14:textId="77777777" w:rsidR="009549E5" w:rsidRPr="00186037" w:rsidRDefault="009549E5" w:rsidP="007C4955">
      <w:pPr>
        <w:contextualSpacing/>
        <w:rPr>
          <w:color w:val="FF0000"/>
          <w:szCs w:val="18"/>
        </w:rPr>
      </w:pPr>
    </w:p>
    <w:p w14:paraId="4D6F99C8" w14:textId="77777777" w:rsidR="009549E5" w:rsidRPr="00186037" w:rsidRDefault="009549E5" w:rsidP="007C4955">
      <w:pPr>
        <w:contextualSpacing/>
        <w:rPr>
          <w:color w:val="FF0000"/>
        </w:rPr>
      </w:pPr>
    </w:p>
    <w:bookmarkEnd w:id="0"/>
    <w:p w14:paraId="4D6B798D" w14:textId="77777777" w:rsidR="009549E5" w:rsidRPr="00186037" w:rsidRDefault="009549E5" w:rsidP="007C4955">
      <w:pPr>
        <w:contextualSpacing/>
        <w:rPr>
          <w:color w:val="FF0000"/>
        </w:rPr>
      </w:pPr>
    </w:p>
    <w:sectPr w:rsidR="009549E5" w:rsidRPr="00186037" w:rsidSect="00C0181E">
      <w:footerReference w:type="default" r:id="rId143"/>
      <w:pgSz w:w="11906" w:h="16838" w:code="9"/>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1FB09" w14:textId="77777777" w:rsidR="00C65E88" w:rsidRDefault="00C65E88" w:rsidP="00CC6FA2">
      <w:r>
        <w:separator/>
      </w:r>
    </w:p>
  </w:endnote>
  <w:endnote w:type="continuationSeparator" w:id="0">
    <w:p w14:paraId="7E76FD32" w14:textId="77777777" w:rsidR="00C65E88" w:rsidRDefault="00C65E88" w:rsidP="00CC6FA2">
      <w:r>
        <w:continuationSeparator/>
      </w:r>
    </w:p>
  </w:endnote>
  <w:endnote w:type="continuationNotice" w:id="1">
    <w:p w14:paraId="604E974F" w14:textId="77777777" w:rsidR="00C65E88" w:rsidRDefault="00C65E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Avinion">
    <w:altName w:val="Symbol"/>
    <w:charset w:val="02"/>
    <w:family w:val="swiss"/>
    <w:pitch w:val="variable"/>
    <w:sig w:usb0="00000000" w:usb1="10000000" w:usb2="00000000" w:usb3="00000000" w:csb0="80000000" w:csb1="00000000"/>
  </w:font>
  <w:font w:name="JohnSans Text Pro">
    <w:altName w:val="Times New Roman"/>
    <w:panose1 w:val="00000000000000000000"/>
    <w:charset w:val="00"/>
    <w:family w:val="modern"/>
    <w:notTrueType/>
    <w:pitch w:val="variable"/>
    <w:sig w:usb0="00000001" w:usb1="5000206A"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Gill Sans MT">
    <w:charset w:val="EE"/>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GillSansMT">
    <w:panose1 w:val="00000000000000000000"/>
    <w:charset w:val="80"/>
    <w:family w:val="auto"/>
    <w:notTrueType/>
    <w:pitch w:val="default"/>
    <w:sig w:usb0="00000007" w:usb1="08070000" w:usb2="00000010" w:usb3="00000000" w:csb0="00020003" w:csb1="00000000"/>
  </w:font>
  <w:font w:name="Cambria Math">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GillSansMT-Bold">
    <w:altName w:val="Yu Gothic"/>
    <w:panose1 w:val="00000000000000000000"/>
    <w:charset w:val="80"/>
    <w:family w:val="auto"/>
    <w:notTrueType/>
    <w:pitch w:val="default"/>
    <w:sig w:usb0="00000001" w:usb1="08070000" w:usb2="00000010" w:usb3="00000000" w:csb0="00020000" w:csb1="00000000"/>
  </w:font>
  <w:font w:name="MyriadPro-Regular">
    <w:altName w:val="MS Mincho"/>
    <w:panose1 w:val="00000000000000000000"/>
    <w:charset w:val="80"/>
    <w:family w:val="auto"/>
    <w:notTrueType/>
    <w:pitch w:val="default"/>
    <w:sig w:usb0="00000001" w:usb1="08070000" w:usb2="00000010" w:usb3="00000000" w:csb0="00020000" w:csb1="00000000"/>
  </w:font>
  <w:font w:name="Arial-BoldMT2">
    <w:altName w:val="Arial"/>
    <w:charset w:val="38"/>
    <w:family w:val="auto"/>
    <w:pitch w:val="default"/>
    <w:sig w:usb0="00000005" w:usb1="00000000" w:usb2="00000000" w:usb3="00000000" w:csb0="00000002" w:csb1="00000000"/>
  </w:font>
  <w:font w:name="ArialMT2">
    <w:altName w:val="Arial"/>
    <w:panose1 w:val="00000000000000000000"/>
    <w:charset w:val="EE"/>
    <w:family w:val="auto"/>
    <w:notTrueType/>
    <w:pitch w:val="default"/>
    <w:sig w:usb0="00000005" w:usb1="00000000" w:usb2="00000000" w:usb3="00000000" w:csb0="00000002" w:csb1="00000000"/>
  </w:font>
  <w:font w:name="Arial-BoldMT">
    <w:altName w:val="Arial"/>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5B42" w14:textId="68995DE6" w:rsidR="00C2046A" w:rsidRPr="00560CEB" w:rsidRDefault="00C2046A">
    <w:pPr>
      <w:pStyle w:val="Zpat"/>
      <w:jc w:val="right"/>
      <w:rPr>
        <w:rFonts w:ascii="Arial" w:hAnsi="Arial" w:cs="Arial"/>
        <w:sz w:val="22"/>
        <w:szCs w:val="22"/>
      </w:rPr>
    </w:pPr>
    <w:r w:rsidRPr="00560CEB">
      <w:rPr>
        <w:rFonts w:ascii="Arial" w:hAnsi="Arial" w:cs="Arial"/>
        <w:sz w:val="22"/>
        <w:szCs w:val="22"/>
      </w:rPr>
      <w:fldChar w:fldCharType="begin"/>
    </w:r>
    <w:r w:rsidRPr="00560CEB">
      <w:rPr>
        <w:rFonts w:ascii="Arial" w:hAnsi="Arial" w:cs="Arial"/>
        <w:sz w:val="22"/>
        <w:szCs w:val="22"/>
      </w:rPr>
      <w:instrText>PAGE   \* MERGEFORMAT</w:instrText>
    </w:r>
    <w:r w:rsidRPr="00560CEB">
      <w:rPr>
        <w:rFonts w:ascii="Arial" w:hAnsi="Arial" w:cs="Arial"/>
        <w:sz w:val="22"/>
        <w:szCs w:val="22"/>
      </w:rPr>
      <w:fldChar w:fldCharType="separate"/>
    </w:r>
    <w:r w:rsidR="003A28B8" w:rsidRPr="003A28B8">
      <w:rPr>
        <w:rFonts w:ascii="Arial" w:hAnsi="Arial" w:cs="Arial"/>
        <w:noProof/>
        <w:sz w:val="22"/>
        <w:szCs w:val="22"/>
        <w:lang w:val="cs-CZ"/>
      </w:rPr>
      <w:t>67</w:t>
    </w:r>
    <w:r w:rsidRPr="00560CEB">
      <w:rPr>
        <w:rFonts w:ascii="Arial" w:hAnsi="Arial" w:cs="Arial"/>
        <w:sz w:val="22"/>
        <w:szCs w:val="22"/>
      </w:rPr>
      <w:fldChar w:fldCharType="end"/>
    </w:r>
  </w:p>
  <w:p w14:paraId="35BBBD02" w14:textId="77777777" w:rsidR="00C2046A" w:rsidRDefault="00C204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C4728" w14:textId="77777777" w:rsidR="00C65E88" w:rsidRDefault="00C65E88" w:rsidP="00CC6FA2">
      <w:r>
        <w:separator/>
      </w:r>
    </w:p>
  </w:footnote>
  <w:footnote w:type="continuationSeparator" w:id="0">
    <w:p w14:paraId="6AE76D96" w14:textId="77777777" w:rsidR="00C65E88" w:rsidRDefault="00C65E88" w:rsidP="00CC6FA2">
      <w:r>
        <w:continuationSeparator/>
      </w:r>
    </w:p>
  </w:footnote>
  <w:footnote w:type="continuationNotice" w:id="1">
    <w:p w14:paraId="59294746" w14:textId="77777777" w:rsidR="00C65E88" w:rsidRDefault="00C65E8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singleLevel"/>
    <w:tmpl w:val="0000000F"/>
    <w:name w:val="WW8Num18"/>
    <w:lvl w:ilvl="0">
      <w:start w:val="1"/>
      <w:numFmt w:val="lowerLetter"/>
      <w:lvlText w:val="%1)"/>
      <w:lvlJc w:val="left"/>
      <w:pPr>
        <w:tabs>
          <w:tab w:val="num" w:pos="0"/>
        </w:tabs>
      </w:pPr>
    </w:lvl>
  </w:abstractNum>
  <w:abstractNum w:abstractNumId="1" w15:restartNumberingAfterBreak="0">
    <w:nsid w:val="07822AE3"/>
    <w:multiLevelType w:val="hybridMultilevel"/>
    <w:tmpl w:val="EC341BF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E115788"/>
    <w:multiLevelType w:val="hybridMultilevel"/>
    <w:tmpl w:val="AF3E82D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652CC5"/>
    <w:multiLevelType w:val="hybridMultilevel"/>
    <w:tmpl w:val="56F6833C"/>
    <w:lvl w:ilvl="0" w:tplc="ECAC2FC6">
      <w:start w:val="1"/>
      <w:numFmt w:val="bullet"/>
      <w:pStyle w:val="packy"/>
      <w:lvlText w:val="–"/>
      <w:lvlJc w:val="left"/>
      <w:pPr>
        <w:tabs>
          <w:tab w:val="num" w:pos="284"/>
        </w:tabs>
        <w:ind w:left="567" w:hanging="283"/>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FA6AD2"/>
    <w:multiLevelType w:val="hybridMultilevel"/>
    <w:tmpl w:val="83921524"/>
    <w:lvl w:ilvl="0" w:tplc="B36E1710">
      <w:numFmt w:val="bullet"/>
      <w:pStyle w:val="Nadpis7"/>
      <w:lvlText w:val="-"/>
      <w:lvlJc w:val="left"/>
      <w:pPr>
        <w:ind w:left="1168" w:hanging="360"/>
      </w:pPr>
      <w:rPr>
        <w:rFonts w:ascii="Times New Roman" w:eastAsia="Times New Roman" w:hAnsi="Times New Roman" w:cs="Times New Roman" w:hint="default"/>
      </w:rPr>
    </w:lvl>
    <w:lvl w:ilvl="1" w:tplc="04050003" w:tentative="1">
      <w:start w:val="1"/>
      <w:numFmt w:val="bullet"/>
      <w:lvlText w:val="o"/>
      <w:lvlJc w:val="left"/>
      <w:pPr>
        <w:ind w:left="1888" w:hanging="360"/>
      </w:pPr>
      <w:rPr>
        <w:rFonts w:ascii="Courier New" w:hAnsi="Courier New" w:cs="Courier New" w:hint="default"/>
      </w:rPr>
    </w:lvl>
    <w:lvl w:ilvl="2" w:tplc="04050005" w:tentative="1">
      <w:start w:val="1"/>
      <w:numFmt w:val="bullet"/>
      <w:lvlText w:val=""/>
      <w:lvlJc w:val="left"/>
      <w:pPr>
        <w:ind w:left="2608" w:hanging="360"/>
      </w:pPr>
      <w:rPr>
        <w:rFonts w:ascii="Wingdings" w:hAnsi="Wingdings" w:hint="default"/>
      </w:rPr>
    </w:lvl>
    <w:lvl w:ilvl="3" w:tplc="04050001" w:tentative="1">
      <w:start w:val="1"/>
      <w:numFmt w:val="bullet"/>
      <w:lvlText w:val=""/>
      <w:lvlJc w:val="left"/>
      <w:pPr>
        <w:ind w:left="3328" w:hanging="360"/>
      </w:pPr>
      <w:rPr>
        <w:rFonts w:ascii="Symbol" w:hAnsi="Symbol" w:hint="default"/>
      </w:rPr>
    </w:lvl>
    <w:lvl w:ilvl="4" w:tplc="04050003" w:tentative="1">
      <w:start w:val="1"/>
      <w:numFmt w:val="bullet"/>
      <w:lvlText w:val="o"/>
      <w:lvlJc w:val="left"/>
      <w:pPr>
        <w:ind w:left="4048" w:hanging="360"/>
      </w:pPr>
      <w:rPr>
        <w:rFonts w:ascii="Courier New" w:hAnsi="Courier New" w:cs="Courier New" w:hint="default"/>
      </w:rPr>
    </w:lvl>
    <w:lvl w:ilvl="5" w:tplc="04050005" w:tentative="1">
      <w:start w:val="1"/>
      <w:numFmt w:val="bullet"/>
      <w:lvlText w:val=""/>
      <w:lvlJc w:val="left"/>
      <w:pPr>
        <w:ind w:left="4768" w:hanging="360"/>
      </w:pPr>
      <w:rPr>
        <w:rFonts w:ascii="Wingdings" w:hAnsi="Wingdings" w:hint="default"/>
      </w:rPr>
    </w:lvl>
    <w:lvl w:ilvl="6" w:tplc="04050001" w:tentative="1">
      <w:start w:val="1"/>
      <w:numFmt w:val="bullet"/>
      <w:lvlText w:val=""/>
      <w:lvlJc w:val="left"/>
      <w:pPr>
        <w:ind w:left="5488" w:hanging="360"/>
      </w:pPr>
      <w:rPr>
        <w:rFonts w:ascii="Symbol" w:hAnsi="Symbol" w:hint="default"/>
      </w:rPr>
    </w:lvl>
    <w:lvl w:ilvl="7" w:tplc="04050003" w:tentative="1">
      <w:start w:val="1"/>
      <w:numFmt w:val="bullet"/>
      <w:lvlText w:val="o"/>
      <w:lvlJc w:val="left"/>
      <w:pPr>
        <w:ind w:left="6208" w:hanging="360"/>
      </w:pPr>
      <w:rPr>
        <w:rFonts w:ascii="Courier New" w:hAnsi="Courier New" w:cs="Courier New" w:hint="default"/>
      </w:rPr>
    </w:lvl>
    <w:lvl w:ilvl="8" w:tplc="04050005" w:tentative="1">
      <w:start w:val="1"/>
      <w:numFmt w:val="bullet"/>
      <w:lvlText w:val=""/>
      <w:lvlJc w:val="left"/>
      <w:pPr>
        <w:ind w:left="6928" w:hanging="360"/>
      </w:pPr>
      <w:rPr>
        <w:rFonts w:ascii="Wingdings" w:hAnsi="Wingdings" w:hint="default"/>
      </w:rPr>
    </w:lvl>
  </w:abstractNum>
  <w:abstractNum w:abstractNumId="5" w15:restartNumberingAfterBreak="0">
    <w:nsid w:val="19D3613F"/>
    <w:multiLevelType w:val="singleLevel"/>
    <w:tmpl w:val="ACF2636C"/>
    <w:lvl w:ilvl="0">
      <w:start w:val="1"/>
      <w:numFmt w:val="lowerLetter"/>
      <w:pStyle w:val="Textpsmene"/>
      <w:lvlText w:val="%1)"/>
      <w:lvlJc w:val="left"/>
      <w:pPr>
        <w:tabs>
          <w:tab w:val="num" w:pos="360"/>
        </w:tabs>
        <w:ind w:left="360" w:hanging="360"/>
      </w:pPr>
    </w:lvl>
  </w:abstractNum>
  <w:abstractNum w:abstractNumId="6" w15:restartNumberingAfterBreak="0">
    <w:nsid w:val="1A3F1F1F"/>
    <w:multiLevelType w:val="hybridMultilevel"/>
    <w:tmpl w:val="1EAACEC4"/>
    <w:lvl w:ilvl="0" w:tplc="F6FE32E0">
      <w:numFmt w:val="bullet"/>
      <w:lvlText w:val="–"/>
      <w:lvlJc w:val="left"/>
      <w:pPr>
        <w:ind w:left="1065" w:hanging="705"/>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598674E"/>
    <w:multiLevelType w:val="hybridMultilevel"/>
    <w:tmpl w:val="ED1E5314"/>
    <w:lvl w:ilvl="0" w:tplc="CB507BC6">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7274F8F"/>
    <w:multiLevelType w:val="hybridMultilevel"/>
    <w:tmpl w:val="FF8C46A4"/>
    <w:lvl w:ilvl="0" w:tplc="4620B668">
      <w:start w:val="1"/>
      <w:numFmt w:val="decimal"/>
      <w:lvlText w:val="%1."/>
      <w:lvlJc w:val="left"/>
      <w:pPr>
        <w:ind w:left="1146" w:hanging="360"/>
      </w:pPr>
      <w:rPr>
        <w:rFonts w:hint="default"/>
        <w:b/>
        <w:sz w:val="22"/>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9" w15:restartNumberingAfterBreak="0">
    <w:nsid w:val="27E252E9"/>
    <w:multiLevelType w:val="multilevel"/>
    <w:tmpl w:val="63842A4E"/>
    <w:lvl w:ilvl="0">
      <w:start w:val="1"/>
      <w:numFmt w:val="decimal"/>
      <w:pStyle w:val="slovanseznam"/>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8D956A5"/>
    <w:multiLevelType w:val="multilevel"/>
    <w:tmpl w:val="361074E4"/>
    <w:lvl w:ilvl="0">
      <w:start w:val="1"/>
      <w:numFmt w:val="decimal"/>
      <w:lvlText w:val="%1."/>
      <w:lvlJc w:val="left"/>
      <w:pPr>
        <w:ind w:left="360" w:hanging="360"/>
      </w:pPr>
      <w:rPr>
        <w:rFonts w:hint="default"/>
        <w:b/>
        <w:color w:val="auto"/>
      </w:rPr>
    </w:lvl>
    <w:lvl w:ilvl="1">
      <w:start w:val="1"/>
      <w:numFmt w:val="decimal"/>
      <w:pStyle w:val="podnadpisMZ"/>
      <w:lvlText w:val="%1.%2"/>
      <w:lvlJc w:val="left"/>
      <w:pPr>
        <w:ind w:left="567" w:hanging="567"/>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DB661FD"/>
    <w:multiLevelType w:val="multilevel"/>
    <w:tmpl w:val="1B4EDBF0"/>
    <w:lvl w:ilvl="0">
      <w:start w:val="1"/>
      <w:numFmt w:val="decimal"/>
      <w:lvlText w:val="%1."/>
      <w:lvlJc w:val="left"/>
      <w:pPr>
        <w:ind w:left="360" w:hanging="360"/>
      </w:pPr>
      <w:rPr>
        <w:rFonts w:hint="default"/>
        <w:color w:val="auto"/>
      </w:rPr>
    </w:lvl>
    <w:lvl w:ilvl="1">
      <w:start w:val="1"/>
      <w:numFmt w:val="decimal"/>
      <w:isLgl/>
      <w:lvlText w:val="%1.%2"/>
      <w:lvlJc w:val="left"/>
      <w:pPr>
        <w:ind w:left="432" w:hanging="432"/>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17938C5"/>
    <w:multiLevelType w:val="hybridMultilevel"/>
    <w:tmpl w:val="A12C86A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37FF7FBF"/>
    <w:multiLevelType w:val="hybridMultilevel"/>
    <w:tmpl w:val="25522C74"/>
    <w:lvl w:ilvl="0" w:tplc="4620B668">
      <w:start w:val="1"/>
      <w:numFmt w:val="decimal"/>
      <w:lvlText w:val="%1."/>
      <w:lvlJc w:val="left"/>
      <w:pPr>
        <w:tabs>
          <w:tab w:val="num" w:pos="360"/>
        </w:tabs>
        <w:ind w:left="360" w:hanging="360"/>
      </w:pPr>
      <w:rPr>
        <w:rFonts w:hint="default"/>
        <w:b/>
      </w:rPr>
    </w:lvl>
    <w:lvl w:ilvl="1" w:tplc="52948D90">
      <w:numFmt w:val="bullet"/>
      <w:lvlText w:val="-"/>
      <w:lvlJc w:val="left"/>
      <w:pPr>
        <w:tabs>
          <w:tab w:val="num" w:pos="1440"/>
        </w:tabs>
        <w:ind w:left="1440" w:hanging="720"/>
      </w:pPr>
      <w:rPr>
        <w:rFonts w:ascii="Times New Roman" w:eastAsia="Times New Roman" w:hAnsi="Times New Roman" w:hint="default"/>
      </w:rPr>
    </w:lvl>
    <w:lvl w:ilvl="2" w:tplc="04050001">
      <w:start w:val="1"/>
      <w:numFmt w:val="bullet"/>
      <w:lvlText w:val=""/>
      <w:lvlJc w:val="left"/>
      <w:pPr>
        <w:tabs>
          <w:tab w:val="num" w:pos="1800"/>
        </w:tabs>
        <w:ind w:left="1800" w:hanging="360"/>
      </w:pPr>
      <w:rPr>
        <w:rFonts w:ascii="Symbol" w:hAnsi="Symbol"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32B0CE6"/>
    <w:multiLevelType w:val="hybridMultilevel"/>
    <w:tmpl w:val="20081D22"/>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438C21E8"/>
    <w:multiLevelType w:val="multilevel"/>
    <w:tmpl w:val="0AB890DA"/>
    <w:lvl w:ilvl="0">
      <w:start w:val="1"/>
      <w:numFmt w:val="bullet"/>
      <w:lvlText w:val=""/>
      <w:lvlJc w:val="left"/>
      <w:pPr>
        <w:tabs>
          <w:tab w:val="num" w:pos="720"/>
        </w:tabs>
        <w:ind w:left="720" w:hanging="360"/>
      </w:pPr>
      <w:rPr>
        <w:rFonts w:ascii="Symbol" w:hAnsi="Symbol" w:hint="default"/>
      </w:rPr>
    </w:lvl>
    <w:lvl w:ilvl="1">
      <w:start w:val="26"/>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5CF38BF"/>
    <w:multiLevelType w:val="singleLevel"/>
    <w:tmpl w:val="7C80DFE4"/>
    <w:lvl w:ilvl="0">
      <w:start w:val="1"/>
      <w:numFmt w:val="decimal"/>
      <w:pStyle w:val="Smrnice"/>
      <w:lvlText w:val="%1."/>
      <w:lvlJc w:val="left"/>
      <w:pPr>
        <w:tabs>
          <w:tab w:val="num" w:pos="360"/>
        </w:tabs>
        <w:ind w:left="360" w:hanging="360"/>
      </w:pPr>
    </w:lvl>
  </w:abstractNum>
  <w:abstractNum w:abstractNumId="17" w15:restartNumberingAfterBreak="0">
    <w:nsid w:val="5A87310B"/>
    <w:multiLevelType w:val="hybridMultilevel"/>
    <w:tmpl w:val="478C37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BFB6E55"/>
    <w:multiLevelType w:val="hybridMultilevel"/>
    <w:tmpl w:val="0EAC45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C8109AB"/>
    <w:multiLevelType w:val="hybridMultilevel"/>
    <w:tmpl w:val="B13603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0D92C1F"/>
    <w:multiLevelType w:val="singleLevel"/>
    <w:tmpl w:val="0212EB0E"/>
    <w:lvl w:ilvl="0">
      <w:start w:val="1"/>
      <w:numFmt w:val="bullet"/>
      <w:pStyle w:val="Normlnsodrkou"/>
      <w:lvlText w:val="-"/>
      <w:lvlJc w:val="left"/>
      <w:pPr>
        <w:tabs>
          <w:tab w:val="num" w:pos="360"/>
        </w:tabs>
        <w:ind w:left="360" w:hanging="360"/>
      </w:pPr>
      <w:rPr>
        <w:rFonts w:hint="default"/>
        <w:b/>
        <w:bCs/>
      </w:rPr>
    </w:lvl>
  </w:abstractNum>
  <w:abstractNum w:abstractNumId="21" w15:restartNumberingAfterBreak="0">
    <w:nsid w:val="61582CBF"/>
    <w:multiLevelType w:val="hybridMultilevel"/>
    <w:tmpl w:val="B2AE3A0A"/>
    <w:lvl w:ilvl="0" w:tplc="F6FE32E0">
      <w:numFmt w:val="bullet"/>
      <w:lvlText w:val="–"/>
      <w:lvlJc w:val="left"/>
      <w:pPr>
        <w:ind w:left="1065" w:hanging="705"/>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2937FE9"/>
    <w:multiLevelType w:val="hybridMultilevel"/>
    <w:tmpl w:val="4ED814BA"/>
    <w:lvl w:ilvl="0" w:tplc="0405000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6AAF1A1F"/>
    <w:multiLevelType w:val="multilevel"/>
    <w:tmpl w:val="B134C8AA"/>
    <w:lvl w:ilvl="0">
      <w:start w:val="1"/>
      <w:numFmt w:val="decimal"/>
      <w:lvlText w:val="%1."/>
      <w:lvlJc w:val="left"/>
      <w:pPr>
        <w:tabs>
          <w:tab w:val="num" w:pos="782"/>
        </w:tabs>
        <w:ind w:left="0" w:firstLine="425"/>
      </w:pPr>
    </w:lvl>
    <w:lvl w:ilvl="1">
      <w:start w:val="1"/>
      <w:numFmt w:val="lowerLetter"/>
      <w:pStyle w:val="Textbodu"/>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4" w15:restartNumberingAfterBreak="0">
    <w:nsid w:val="6AB6040D"/>
    <w:multiLevelType w:val="hybridMultilevel"/>
    <w:tmpl w:val="4FACCA30"/>
    <w:lvl w:ilvl="0" w:tplc="9928217A">
      <w:start w:val="1"/>
      <w:numFmt w:val="bullet"/>
      <w:lvlText w:val=""/>
      <w:lvlJc w:val="left"/>
      <w:pPr>
        <w:ind w:left="720" w:hanging="360"/>
      </w:pPr>
      <w:rPr>
        <w:rFonts w:ascii="Symbol" w:hAnsi="Symbol" w:hint="default"/>
      </w:rPr>
    </w:lvl>
    <w:lvl w:ilvl="1" w:tplc="CA8A88B8">
      <w:start w:val="1"/>
      <w:numFmt w:val="bullet"/>
      <w:lvlText w:val="o"/>
      <w:lvlJc w:val="left"/>
      <w:pPr>
        <w:ind w:left="1440" w:hanging="360"/>
      </w:pPr>
      <w:rPr>
        <w:rFonts w:ascii="Courier New" w:hAnsi="Courier New" w:cs="Courier New" w:hint="default"/>
      </w:rPr>
    </w:lvl>
    <w:lvl w:ilvl="2" w:tplc="8DF8F356" w:tentative="1">
      <w:start w:val="1"/>
      <w:numFmt w:val="bullet"/>
      <w:lvlText w:val=""/>
      <w:lvlJc w:val="left"/>
      <w:pPr>
        <w:ind w:left="2160" w:hanging="360"/>
      </w:pPr>
      <w:rPr>
        <w:rFonts w:ascii="Wingdings" w:hAnsi="Wingdings" w:hint="default"/>
      </w:rPr>
    </w:lvl>
    <w:lvl w:ilvl="3" w:tplc="B93CEBA2" w:tentative="1">
      <w:start w:val="1"/>
      <w:numFmt w:val="bullet"/>
      <w:lvlText w:val=""/>
      <w:lvlJc w:val="left"/>
      <w:pPr>
        <w:ind w:left="2880" w:hanging="360"/>
      </w:pPr>
      <w:rPr>
        <w:rFonts w:ascii="Symbol" w:hAnsi="Symbol" w:hint="default"/>
      </w:rPr>
    </w:lvl>
    <w:lvl w:ilvl="4" w:tplc="2C50424E" w:tentative="1">
      <w:start w:val="1"/>
      <w:numFmt w:val="bullet"/>
      <w:lvlText w:val="o"/>
      <w:lvlJc w:val="left"/>
      <w:pPr>
        <w:ind w:left="3600" w:hanging="360"/>
      </w:pPr>
      <w:rPr>
        <w:rFonts w:ascii="Courier New" w:hAnsi="Courier New" w:cs="Courier New" w:hint="default"/>
      </w:rPr>
    </w:lvl>
    <w:lvl w:ilvl="5" w:tplc="04741500" w:tentative="1">
      <w:start w:val="1"/>
      <w:numFmt w:val="bullet"/>
      <w:lvlText w:val=""/>
      <w:lvlJc w:val="left"/>
      <w:pPr>
        <w:ind w:left="4320" w:hanging="360"/>
      </w:pPr>
      <w:rPr>
        <w:rFonts w:ascii="Wingdings" w:hAnsi="Wingdings" w:hint="default"/>
      </w:rPr>
    </w:lvl>
    <w:lvl w:ilvl="6" w:tplc="E6A01834" w:tentative="1">
      <w:start w:val="1"/>
      <w:numFmt w:val="bullet"/>
      <w:lvlText w:val=""/>
      <w:lvlJc w:val="left"/>
      <w:pPr>
        <w:ind w:left="5040" w:hanging="360"/>
      </w:pPr>
      <w:rPr>
        <w:rFonts w:ascii="Symbol" w:hAnsi="Symbol" w:hint="default"/>
      </w:rPr>
    </w:lvl>
    <w:lvl w:ilvl="7" w:tplc="DF6A79B4" w:tentative="1">
      <w:start w:val="1"/>
      <w:numFmt w:val="bullet"/>
      <w:lvlText w:val="o"/>
      <w:lvlJc w:val="left"/>
      <w:pPr>
        <w:ind w:left="5760" w:hanging="360"/>
      </w:pPr>
      <w:rPr>
        <w:rFonts w:ascii="Courier New" w:hAnsi="Courier New" w:cs="Courier New" w:hint="default"/>
      </w:rPr>
    </w:lvl>
    <w:lvl w:ilvl="8" w:tplc="4EC67D0C" w:tentative="1">
      <w:start w:val="1"/>
      <w:numFmt w:val="bullet"/>
      <w:lvlText w:val=""/>
      <w:lvlJc w:val="left"/>
      <w:pPr>
        <w:ind w:left="6480" w:hanging="360"/>
      </w:pPr>
      <w:rPr>
        <w:rFonts w:ascii="Wingdings" w:hAnsi="Wingdings" w:hint="default"/>
      </w:rPr>
    </w:lvl>
  </w:abstractNum>
  <w:abstractNum w:abstractNumId="25" w15:restartNumberingAfterBreak="0">
    <w:nsid w:val="6B561C58"/>
    <w:multiLevelType w:val="hybridMultilevel"/>
    <w:tmpl w:val="70AE573E"/>
    <w:lvl w:ilvl="0" w:tplc="5998882E">
      <w:start w:val="1"/>
      <w:numFmt w:val="decimal"/>
      <w:lvlText w:val="%1."/>
      <w:lvlJc w:val="left"/>
      <w:pPr>
        <w:ind w:left="862" w:hanging="360"/>
      </w:pPr>
      <w:rPr>
        <w:b/>
        <w:color w:val="auto"/>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26" w15:restartNumberingAfterBreak="0">
    <w:nsid w:val="6EFC7E8A"/>
    <w:multiLevelType w:val="hybridMultilevel"/>
    <w:tmpl w:val="7FEE491E"/>
    <w:lvl w:ilvl="0" w:tplc="1826BCCE">
      <w:start w:val="1"/>
      <w:numFmt w:val="decimal"/>
      <w:pStyle w:val="ModrZprva-kapitola"/>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07A474E"/>
    <w:multiLevelType w:val="hybridMultilevel"/>
    <w:tmpl w:val="5BC61368"/>
    <w:lvl w:ilvl="0" w:tplc="AAEE103C">
      <w:start w:val="1"/>
      <w:numFmt w:val="bullet"/>
      <w:lvlText w:val=""/>
      <w:lvlJc w:val="left"/>
      <w:pPr>
        <w:tabs>
          <w:tab w:val="num" w:pos="720"/>
        </w:tabs>
        <w:ind w:left="72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708025D5"/>
    <w:multiLevelType w:val="hybridMultilevel"/>
    <w:tmpl w:val="39528F72"/>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9" w15:restartNumberingAfterBreak="0">
    <w:nsid w:val="70CC1BBB"/>
    <w:multiLevelType w:val="hybridMultilevel"/>
    <w:tmpl w:val="C1ECFA76"/>
    <w:lvl w:ilvl="0" w:tplc="B1C66E62">
      <w:start w:val="1"/>
      <w:numFmt w:val="bullet"/>
      <w:pStyle w:val="AufzhlungmitEinzug"/>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4152C2"/>
    <w:multiLevelType w:val="multilevel"/>
    <w:tmpl w:val="E208FB2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7AA3073A"/>
    <w:multiLevelType w:val="hybridMultilevel"/>
    <w:tmpl w:val="3AE48C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B900FFC"/>
    <w:multiLevelType w:val="hybridMultilevel"/>
    <w:tmpl w:val="2EEA298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CA216D5"/>
    <w:multiLevelType w:val="multilevel"/>
    <w:tmpl w:val="6F64DB3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DD530C8"/>
    <w:multiLevelType w:val="hybridMultilevel"/>
    <w:tmpl w:val="3592AE14"/>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682628578">
    <w:abstractNumId w:val="5"/>
  </w:num>
  <w:num w:numId="2" w16cid:durableId="988435006">
    <w:abstractNumId w:val="7"/>
  </w:num>
  <w:num w:numId="3" w16cid:durableId="1647007532">
    <w:abstractNumId w:val="10"/>
  </w:num>
  <w:num w:numId="4" w16cid:durableId="412092777">
    <w:abstractNumId w:val="20"/>
  </w:num>
  <w:num w:numId="5" w16cid:durableId="438336173">
    <w:abstractNumId w:val="3"/>
  </w:num>
  <w:num w:numId="6" w16cid:durableId="561791262">
    <w:abstractNumId w:val="9"/>
  </w:num>
  <w:num w:numId="7" w16cid:durableId="521475717">
    <w:abstractNumId w:val="16"/>
  </w:num>
  <w:num w:numId="8" w16cid:durableId="307710445">
    <w:abstractNumId w:val="23"/>
  </w:num>
  <w:num w:numId="9" w16cid:durableId="1708485760">
    <w:abstractNumId w:val="4"/>
  </w:num>
  <w:num w:numId="10" w16cid:durableId="1484270769">
    <w:abstractNumId w:val="26"/>
  </w:num>
  <w:num w:numId="11" w16cid:durableId="1418668111">
    <w:abstractNumId w:val="8"/>
  </w:num>
  <w:num w:numId="12" w16cid:durableId="1873112323">
    <w:abstractNumId w:val="30"/>
  </w:num>
  <w:num w:numId="13" w16cid:durableId="528181203">
    <w:abstractNumId w:val="11"/>
  </w:num>
  <w:num w:numId="14" w16cid:durableId="182599469">
    <w:abstractNumId w:val="25"/>
  </w:num>
  <w:num w:numId="15" w16cid:durableId="890656959">
    <w:abstractNumId w:val="18"/>
  </w:num>
  <w:num w:numId="16" w16cid:durableId="1455489748">
    <w:abstractNumId w:val="24"/>
  </w:num>
  <w:num w:numId="17" w16cid:durableId="1259370253">
    <w:abstractNumId w:val="29"/>
  </w:num>
  <w:num w:numId="18" w16cid:durableId="16152842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1818825">
    <w:abstractNumId w:val="14"/>
  </w:num>
  <w:num w:numId="20" w16cid:durableId="589460945">
    <w:abstractNumId w:val="34"/>
  </w:num>
  <w:num w:numId="21" w16cid:durableId="948050440">
    <w:abstractNumId w:val="13"/>
    <w:lvlOverride w:ilvl="0">
      <w:startOverride w:val="1"/>
    </w:lvlOverride>
    <w:lvlOverride w:ilvl="1"/>
    <w:lvlOverride w:ilvl="2"/>
    <w:lvlOverride w:ilvl="3"/>
    <w:lvlOverride w:ilvl="4"/>
    <w:lvlOverride w:ilvl="5"/>
    <w:lvlOverride w:ilvl="6"/>
    <w:lvlOverride w:ilvl="7"/>
    <w:lvlOverride w:ilvl="8"/>
  </w:num>
  <w:num w:numId="22" w16cid:durableId="209418463">
    <w:abstractNumId w:val="27"/>
  </w:num>
  <w:num w:numId="23" w16cid:durableId="129166523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0680384">
    <w:abstractNumId w:val="15"/>
    <w:lvlOverride w:ilvl="0"/>
    <w:lvlOverride w:ilvl="1">
      <w:startOverride w:val="2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94133460">
    <w:abstractNumId w:val="6"/>
  </w:num>
  <w:num w:numId="26" w16cid:durableId="2021739249">
    <w:abstractNumId w:val="21"/>
  </w:num>
  <w:num w:numId="27" w16cid:durableId="1021203609">
    <w:abstractNumId w:val="22"/>
  </w:num>
  <w:num w:numId="28" w16cid:durableId="845942309">
    <w:abstractNumId w:val="19"/>
  </w:num>
  <w:num w:numId="29" w16cid:durableId="1290429519">
    <w:abstractNumId w:val="32"/>
  </w:num>
  <w:num w:numId="30" w16cid:durableId="278731551">
    <w:abstractNumId w:val="2"/>
  </w:num>
  <w:num w:numId="31" w16cid:durableId="1917012800">
    <w:abstractNumId w:val="31"/>
  </w:num>
  <w:num w:numId="32" w16cid:durableId="1865091233">
    <w:abstractNumId w:val="1"/>
  </w:num>
  <w:num w:numId="33" w16cid:durableId="1303146980">
    <w:abstractNumId w:val="12"/>
  </w:num>
  <w:num w:numId="34" w16cid:durableId="104425731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7053896">
    <w:abstractNumId w:val="28"/>
  </w:num>
  <w:num w:numId="36" w16cid:durableId="1772431371">
    <w:abstractNumId w:val="17"/>
  </w:num>
  <w:num w:numId="37" w16cid:durableId="1968004923">
    <w:abstractNumId w:val="24"/>
  </w:num>
  <w:num w:numId="38" w16cid:durableId="2055956138">
    <w:abstractNumId w:val="3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6F1"/>
    <w:rsid w:val="00000553"/>
    <w:rsid w:val="00000688"/>
    <w:rsid w:val="00000F19"/>
    <w:rsid w:val="00001050"/>
    <w:rsid w:val="00001108"/>
    <w:rsid w:val="00001FBB"/>
    <w:rsid w:val="00002B43"/>
    <w:rsid w:val="00002C82"/>
    <w:rsid w:val="00002D93"/>
    <w:rsid w:val="00003776"/>
    <w:rsid w:val="0000430E"/>
    <w:rsid w:val="000046CE"/>
    <w:rsid w:val="000049C2"/>
    <w:rsid w:val="00004C33"/>
    <w:rsid w:val="00005087"/>
    <w:rsid w:val="000052E9"/>
    <w:rsid w:val="000059AD"/>
    <w:rsid w:val="00005A0D"/>
    <w:rsid w:val="00005F9D"/>
    <w:rsid w:val="0000612A"/>
    <w:rsid w:val="00006384"/>
    <w:rsid w:val="00006811"/>
    <w:rsid w:val="00006A65"/>
    <w:rsid w:val="00007765"/>
    <w:rsid w:val="00007DE1"/>
    <w:rsid w:val="00011279"/>
    <w:rsid w:val="00011DBB"/>
    <w:rsid w:val="0001203A"/>
    <w:rsid w:val="000127DF"/>
    <w:rsid w:val="00012E2E"/>
    <w:rsid w:val="00013107"/>
    <w:rsid w:val="0001360C"/>
    <w:rsid w:val="00013EE8"/>
    <w:rsid w:val="00014071"/>
    <w:rsid w:val="000143F8"/>
    <w:rsid w:val="000150E0"/>
    <w:rsid w:val="000155C8"/>
    <w:rsid w:val="00015D4F"/>
    <w:rsid w:val="00016E19"/>
    <w:rsid w:val="00017138"/>
    <w:rsid w:val="00017206"/>
    <w:rsid w:val="00017CF4"/>
    <w:rsid w:val="00017E8C"/>
    <w:rsid w:val="00017FD8"/>
    <w:rsid w:val="000208CB"/>
    <w:rsid w:val="000209A6"/>
    <w:rsid w:val="000226DB"/>
    <w:rsid w:val="00022F96"/>
    <w:rsid w:val="00023305"/>
    <w:rsid w:val="0002336B"/>
    <w:rsid w:val="00023C50"/>
    <w:rsid w:val="00023F54"/>
    <w:rsid w:val="00023FC0"/>
    <w:rsid w:val="0002430D"/>
    <w:rsid w:val="00024505"/>
    <w:rsid w:val="0002467E"/>
    <w:rsid w:val="00024AA8"/>
    <w:rsid w:val="0002527D"/>
    <w:rsid w:val="00025318"/>
    <w:rsid w:val="00025BBE"/>
    <w:rsid w:val="00026420"/>
    <w:rsid w:val="000268B8"/>
    <w:rsid w:val="00026A71"/>
    <w:rsid w:val="000274FB"/>
    <w:rsid w:val="00027A39"/>
    <w:rsid w:val="0003035F"/>
    <w:rsid w:val="0003062F"/>
    <w:rsid w:val="00030C0E"/>
    <w:rsid w:val="00031079"/>
    <w:rsid w:val="000310D9"/>
    <w:rsid w:val="000314E4"/>
    <w:rsid w:val="00031780"/>
    <w:rsid w:val="0003198D"/>
    <w:rsid w:val="000319A5"/>
    <w:rsid w:val="00031AFA"/>
    <w:rsid w:val="00031DB1"/>
    <w:rsid w:val="00031F12"/>
    <w:rsid w:val="00032474"/>
    <w:rsid w:val="000325DD"/>
    <w:rsid w:val="00032B63"/>
    <w:rsid w:val="00032BBE"/>
    <w:rsid w:val="00033455"/>
    <w:rsid w:val="00033472"/>
    <w:rsid w:val="00033476"/>
    <w:rsid w:val="00033B97"/>
    <w:rsid w:val="00033C0E"/>
    <w:rsid w:val="000346CD"/>
    <w:rsid w:val="00034ADC"/>
    <w:rsid w:val="00034C42"/>
    <w:rsid w:val="00034CAA"/>
    <w:rsid w:val="000350C1"/>
    <w:rsid w:val="000354D4"/>
    <w:rsid w:val="00035D2A"/>
    <w:rsid w:val="00035F05"/>
    <w:rsid w:val="00036BF9"/>
    <w:rsid w:val="00037783"/>
    <w:rsid w:val="00037B24"/>
    <w:rsid w:val="00037BA5"/>
    <w:rsid w:val="00037C0E"/>
    <w:rsid w:val="00037D59"/>
    <w:rsid w:val="00040AB2"/>
    <w:rsid w:val="00040C95"/>
    <w:rsid w:val="00040EAA"/>
    <w:rsid w:val="0004110F"/>
    <w:rsid w:val="000413B5"/>
    <w:rsid w:val="00041A23"/>
    <w:rsid w:val="000420E4"/>
    <w:rsid w:val="000422E8"/>
    <w:rsid w:val="00042733"/>
    <w:rsid w:val="00042D79"/>
    <w:rsid w:val="00043F1B"/>
    <w:rsid w:val="000442FE"/>
    <w:rsid w:val="00044783"/>
    <w:rsid w:val="0004484C"/>
    <w:rsid w:val="000458F2"/>
    <w:rsid w:val="00045BEA"/>
    <w:rsid w:val="00046439"/>
    <w:rsid w:val="000464E0"/>
    <w:rsid w:val="0004652B"/>
    <w:rsid w:val="0004656B"/>
    <w:rsid w:val="00046A10"/>
    <w:rsid w:val="00047063"/>
    <w:rsid w:val="000470CC"/>
    <w:rsid w:val="00047469"/>
    <w:rsid w:val="0004780A"/>
    <w:rsid w:val="0005058E"/>
    <w:rsid w:val="0005065F"/>
    <w:rsid w:val="0005082E"/>
    <w:rsid w:val="000515B1"/>
    <w:rsid w:val="000517E4"/>
    <w:rsid w:val="00052C78"/>
    <w:rsid w:val="00053154"/>
    <w:rsid w:val="0005341E"/>
    <w:rsid w:val="00053A18"/>
    <w:rsid w:val="00053F69"/>
    <w:rsid w:val="00054249"/>
    <w:rsid w:val="00054406"/>
    <w:rsid w:val="00054734"/>
    <w:rsid w:val="00054D47"/>
    <w:rsid w:val="00054DCD"/>
    <w:rsid w:val="00054DD9"/>
    <w:rsid w:val="00055539"/>
    <w:rsid w:val="00055913"/>
    <w:rsid w:val="00055AFB"/>
    <w:rsid w:val="00055C66"/>
    <w:rsid w:val="00055EA6"/>
    <w:rsid w:val="00055F8A"/>
    <w:rsid w:val="00056119"/>
    <w:rsid w:val="00056745"/>
    <w:rsid w:val="0005688D"/>
    <w:rsid w:val="000569CA"/>
    <w:rsid w:val="00056DBF"/>
    <w:rsid w:val="0005709E"/>
    <w:rsid w:val="00057199"/>
    <w:rsid w:val="00057220"/>
    <w:rsid w:val="000573C6"/>
    <w:rsid w:val="0005742C"/>
    <w:rsid w:val="00057498"/>
    <w:rsid w:val="00057B17"/>
    <w:rsid w:val="000612F1"/>
    <w:rsid w:val="0006138A"/>
    <w:rsid w:val="00061B3F"/>
    <w:rsid w:val="0006224F"/>
    <w:rsid w:val="0006296F"/>
    <w:rsid w:val="00062A75"/>
    <w:rsid w:val="00062B00"/>
    <w:rsid w:val="00062CE9"/>
    <w:rsid w:val="00063241"/>
    <w:rsid w:val="000635E0"/>
    <w:rsid w:val="00063794"/>
    <w:rsid w:val="000639E0"/>
    <w:rsid w:val="00063A55"/>
    <w:rsid w:val="00063EE8"/>
    <w:rsid w:val="00063F00"/>
    <w:rsid w:val="0006468A"/>
    <w:rsid w:val="00064AAC"/>
    <w:rsid w:val="00065924"/>
    <w:rsid w:val="00065D12"/>
    <w:rsid w:val="00065F76"/>
    <w:rsid w:val="00066004"/>
    <w:rsid w:val="0006609F"/>
    <w:rsid w:val="00066107"/>
    <w:rsid w:val="000663C1"/>
    <w:rsid w:val="0006642E"/>
    <w:rsid w:val="000670AD"/>
    <w:rsid w:val="00067687"/>
    <w:rsid w:val="000676F5"/>
    <w:rsid w:val="0007027E"/>
    <w:rsid w:val="000705E9"/>
    <w:rsid w:val="00070B47"/>
    <w:rsid w:val="00071826"/>
    <w:rsid w:val="000719AC"/>
    <w:rsid w:val="000719CA"/>
    <w:rsid w:val="00071BD9"/>
    <w:rsid w:val="00071DDA"/>
    <w:rsid w:val="00071E2F"/>
    <w:rsid w:val="000728FD"/>
    <w:rsid w:val="000730F9"/>
    <w:rsid w:val="000738CB"/>
    <w:rsid w:val="00073999"/>
    <w:rsid w:val="00073BD6"/>
    <w:rsid w:val="00074538"/>
    <w:rsid w:val="0007520E"/>
    <w:rsid w:val="00075CF2"/>
    <w:rsid w:val="00076C5F"/>
    <w:rsid w:val="0007748F"/>
    <w:rsid w:val="0007762C"/>
    <w:rsid w:val="000779FB"/>
    <w:rsid w:val="00077BFB"/>
    <w:rsid w:val="00077F8D"/>
    <w:rsid w:val="00080131"/>
    <w:rsid w:val="0008083D"/>
    <w:rsid w:val="00080ABD"/>
    <w:rsid w:val="00080E1F"/>
    <w:rsid w:val="00081052"/>
    <w:rsid w:val="00081863"/>
    <w:rsid w:val="00081FA5"/>
    <w:rsid w:val="00082606"/>
    <w:rsid w:val="000826EA"/>
    <w:rsid w:val="00082A8F"/>
    <w:rsid w:val="000831AD"/>
    <w:rsid w:val="0008333C"/>
    <w:rsid w:val="00083896"/>
    <w:rsid w:val="00084988"/>
    <w:rsid w:val="00084A2F"/>
    <w:rsid w:val="000852F4"/>
    <w:rsid w:val="000857F0"/>
    <w:rsid w:val="00086139"/>
    <w:rsid w:val="0008627F"/>
    <w:rsid w:val="000866EF"/>
    <w:rsid w:val="0008670F"/>
    <w:rsid w:val="00086995"/>
    <w:rsid w:val="00086A1A"/>
    <w:rsid w:val="00086AAF"/>
    <w:rsid w:val="00086D96"/>
    <w:rsid w:val="00086FB9"/>
    <w:rsid w:val="00087555"/>
    <w:rsid w:val="000877EC"/>
    <w:rsid w:val="0009051D"/>
    <w:rsid w:val="00091A2A"/>
    <w:rsid w:val="00093046"/>
    <w:rsid w:val="00093084"/>
    <w:rsid w:val="00093096"/>
    <w:rsid w:val="0009312D"/>
    <w:rsid w:val="00093171"/>
    <w:rsid w:val="000939C4"/>
    <w:rsid w:val="00093C0E"/>
    <w:rsid w:val="00093CC4"/>
    <w:rsid w:val="000943A9"/>
    <w:rsid w:val="000943E2"/>
    <w:rsid w:val="00094402"/>
    <w:rsid w:val="00094572"/>
    <w:rsid w:val="00094605"/>
    <w:rsid w:val="0009532B"/>
    <w:rsid w:val="00095A56"/>
    <w:rsid w:val="00095D0D"/>
    <w:rsid w:val="00095EAB"/>
    <w:rsid w:val="00096111"/>
    <w:rsid w:val="000964B7"/>
    <w:rsid w:val="000964FC"/>
    <w:rsid w:val="000974D7"/>
    <w:rsid w:val="000978F6"/>
    <w:rsid w:val="00097A20"/>
    <w:rsid w:val="000A0196"/>
    <w:rsid w:val="000A0376"/>
    <w:rsid w:val="000A0AE4"/>
    <w:rsid w:val="000A0E04"/>
    <w:rsid w:val="000A1EF1"/>
    <w:rsid w:val="000A2983"/>
    <w:rsid w:val="000A2E4B"/>
    <w:rsid w:val="000A340F"/>
    <w:rsid w:val="000A3913"/>
    <w:rsid w:val="000A3B90"/>
    <w:rsid w:val="000A3BE0"/>
    <w:rsid w:val="000A3CE9"/>
    <w:rsid w:val="000A5202"/>
    <w:rsid w:val="000A5F74"/>
    <w:rsid w:val="000A6260"/>
    <w:rsid w:val="000A63E7"/>
    <w:rsid w:val="000A6887"/>
    <w:rsid w:val="000A69CC"/>
    <w:rsid w:val="000A6F66"/>
    <w:rsid w:val="000B069B"/>
    <w:rsid w:val="000B161F"/>
    <w:rsid w:val="000B2041"/>
    <w:rsid w:val="000B2208"/>
    <w:rsid w:val="000B349D"/>
    <w:rsid w:val="000B3693"/>
    <w:rsid w:val="000B452C"/>
    <w:rsid w:val="000B6237"/>
    <w:rsid w:val="000B6271"/>
    <w:rsid w:val="000B6C79"/>
    <w:rsid w:val="000B7204"/>
    <w:rsid w:val="000B7B02"/>
    <w:rsid w:val="000C153D"/>
    <w:rsid w:val="000C1671"/>
    <w:rsid w:val="000C1A95"/>
    <w:rsid w:val="000C23E8"/>
    <w:rsid w:val="000C240A"/>
    <w:rsid w:val="000C30A7"/>
    <w:rsid w:val="000C31D7"/>
    <w:rsid w:val="000C3A80"/>
    <w:rsid w:val="000C4034"/>
    <w:rsid w:val="000C44E7"/>
    <w:rsid w:val="000C491F"/>
    <w:rsid w:val="000C4F75"/>
    <w:rsid w:val="000C50A5"/>
    <w:rsid w:val="000C5457"/>
    <w:rsid w:val="000C56AB"/>
    <w:rsid w:val="000C56DB"/>
    <w:rsid w:val="000C6095"/>
    <w:rsid w:val="000C60F0"/>
    <w:rsid w:val="000C7B7B"/>
    <w:rsid w:val="000D03B8"/>
    <w:rsid w:val="000D05B7"/>
    <w:rsid w:val="000D05BE"/>
    <w:rsid w:val="000D078D"/>
    <w:rsid w:val="000D0B76"/>
    <w:rsid w:val="000D11B5"/>
    <w:rsid w:val="000D1386"/>
    <w:rsid w:val="000D1A2B"/>
    <w:rsid w:val="000D1DFF"/>
    <w:rsid w:val="000D2232"/>
    <w:rsid w:val="000D2337"/>
    <w:rsid w:val="000D24B6"/>
    <w:rsid w:val="000D288E"/>
    <w:rsid w:val="000D34E4"/>
    <w:rsid w:val="000D3C16"/>
    <w:rsid w:val="000D4032"/>
    <w:rsid w:val="000D403E"/>
    <w:rsid w:val="000D4B51"/>
    <w:rsid w:val="000D4E1A"/>
    <w:rsid w:val="000D4E86"/>
    <w:rsid w:val="000D5054"/>
    <w:rsid w:val="000D5775"/>
    <w:rsid w:val="000D5B21"/>
    <w:rsid w:val="000D5BA5"/>
    <w:rsid w:val="000D5EFE"/>
    <w:rsid w:val="000D6A97"/>
    <w:rsid w:val="000D729C"/>
    <w:rsid w:val="000D752E"/>
    <w:rsid w:val="000D7670"/>
    <w:rsid w:val="000D7710"/>
    <w:rsid w:val="000D7A04"/>
    <w:rsid w:val="000D7DBC"/>
    <w:rsid w:val="000D7F2E"/>
    <w:rsid w:val="000D7F77"/>
    <w:rsid w:val="000E02F2"/>
    <w:rsid w:val="000E03CD"/>
    <w:rsid w:val="000E0AB2"/>
    <w:rsid w:val="000E0C73"/>
    <w:rsid w:val="000E0D68"/>
    <w:rsid w:val="000E0F54"/>
    <w:rsid w:val="000E1646"/>
    <w:rsid w:val="000E17C1"/>
    <w:rsid w:val="000E1C7D"/>
    <w:rsid w:val="000E1D59"/>
    <w:rsid w:val="000E1E69"/>
    <w:rsid w:val="000E1EB4"/>
    <w:rsid w:val="000E1EB8"/>
    <w:rsid w:val="000E2418"/>
    <w:rsid w:val="000E2C61"/>
    <w:rsid w:val="000E2E90"/>
    <w:rsid w:val="000E342E"/>
    <w:rsid w:val="000E34BA"/>
    <w:rsid w:val="000E3BB6"/>
    <w:rsid w:val="000E3C39"/>
    <w:rsid w:val="000E3F10"/>
    <w:rsid w:val="000E40DE"/>
    <w:rsid w:val="000E4B39"/>
    <w:rsid w:val="000E4F3A"/>
    <w:rsid w:val="000E4FBF"/>
    <w:rsid w:val="000E556A"/>
    <w:rsid w:val="000E5641"/>
    <w:rsid w:val="000E5867"/>
    <w:rsid w:val="000E59D3"/>
    <w:rsid w:val="000E5A65"/>
    <w:rsid w:val="000E60E3"/>
    <w:rsid w:val="000E6395"/>
    <w:rsid w:val="000E65F2"/>
    <w:rsid w:val="000E76D2"/>
    <w:rsid w:val="000E7B67"/>
    <w:rsid w:val="000F016B"/>
    <w:rsid w:val="000F025E"/>
    <w:rsid w:val="000F060E"/>
    <w:rsid w:val="000F0B97"/>
    <w:rsid w:val="000F0BED"/>
    <w:rsid w:val="000F13D6"/>
    <w:rsid w:val="000F2599"/>
    <w:rsid w:val="000F2809"/>
    <w:rsid w:val="000F2CF8"/>
    <w:rsid w:val="000F302B"/>
    <w:rsid w:val="000F344A"/>
    <w:rsid w:val="000F3605"/>
    <w:rsid w:val="000F398F"/>
    <w:rsid w:val="000F3B1D"/>
    <w:rsid w:val="000F3F14"/>
    <w:rsid w:val="000F42D5"/>
    <w:rsid w:val="000F4A1E"/>
    <w:rsid w:val="000F5189"/>
    <w:rsid w:val="000F522C"/>
    <w:rsid w:val="000F55FE"/>
    <w:rsid w:val="000F58C1"/>
    <w:rsid w:val="000F5C30"/>
    <w:rsid w:val="000F63F1"/>
    <w:rsid w:val="000F652A"/>
    <w:rsid w:val="000F69EA"/>
    <w:rsid w:val="000F7099"/>
    <w:rsid w:val="000F734D"/>
    <w:rsid w:val="000F7BA2"/>
    <w:rsid w:val="000F7BC8"/>
    <w:rsid w:val="000F7E1B"/>
    <w:rsid w:val="00100FB6"/>
    <w:rsid w:val="0010132A"/>
    <w:rsid w:val="0010175D"/>
    <w:rsid w:val="00102AA1"/>
    <w:rsid w:val="00102AE4"/>
    <w:rsid w:val="00102EA7"/>
    <w:rsid w:val="00103911"/>
    <w:rsid w:val="001039BF"/>
    <w:rsid w:val="00104535"/>
    <w:rsid w:val="00104CCC"/>
    <w:rsid w:val="00104F7D"/>
    <w:rsid w:val="00105458"/>
    <w:rsid w:val="001059DC"/>
    <w:rsid w:val="0010670A"/>
    <w:rsid w:val="0010682A"/>
    <w:rsid w:val="001078FE"/>
    <w:rsid w:val="0011043C"/>
    <w:rsid w:val="001108E9"/>
    <w:rsid w:val="00110E23"/>
    <w:rsid w:val="00111005"/>
    <w:rsid w:val="00111096"/>
    <w:rsid w:val="001115A9"/>
    <w:rsid w:val="00111ABE"/>
    <w:rsid w:val="00111E2C"/>
    <w:rsid w:val="00112032"/>
    <w:rsid w:val="00112242"/>
    <w:rsid w:val="00112490"/>
    <w:rsid w:val="00112C19"/>
    <w:rsid w:val="0011313D"/>
    <w:rsid w:val="001133CF"/>
    <w:rsid w:val="00113597"/>
    <w:rsid w:val="001137D0"/>
    <w:rsid w:val="00113B9F"/>
    <w:rsid w:val="00114339"/>
    <w:rsid w:val="0011438E"/>
    <w:rsid w:val="00114D1D"/>
    <w:rsid w:val="00116412"/>
    <w:rsid w:val="00116B37"/>
    <w:rsid w:val="00116F60"/>
    <w:rsid w:val="001205F8"/>
    <w:rsid w:val="00120D10"/>
    <w:rsid w:val="00121548"/>
    <w:rsid w:val="001215D6"/>
    <w:rsid w:val="00121798"/>
    <w:rsid w:val="00121F47"/>
    <w:rsid w:val="00122323"/>
    <w:rsid w:val="00122441"/>
    <w:rsid w:val="001224E6"/>
    <w:rsid w:val="00122CB9"/>
    <w:rsid w:val="001230AB"/>
    <w:rsid w:val="0012320A"/>
    <w:rsid w:val="0012330F"/>
    <w:rsid w:val="001235EC"/>
    <w:rsid w:val="00123B09"/>
    <w:rsid w:val="001240DC"/>
    <w:rsid w:val="001242D4"/>
    <w:rsid w:val="0012443B"/>
    <w:rsid w:val="00124AF5"/>
    <w:rsid w:val="001251A3"/>
    <w:rsid w:val="00125B48"/>
    <w:rsid w:val="0012600F"/>
    <w:rsid w:val="00126A46"/>
    <w:rsid w:val="00126F72"/>
    <w:rsid w:val="00127059"/>
    <w:rsid w:val="00127A47"/>
    <w:rsid w:val="00127DF7"/>
    <w:rsid w:val="00127EA4"/>
    <w:rsid w:val="001300F9"/>
    <w:rsid w:val="00130A61"/>
    <w:rsid w:val="00130A8F"/>
    <w:rsid w:val="00130FB3"/>
    <w:rsid w:val="001312A0"/>
    <w:rsid w:val="001314A5"/>
    <w:rsid w:val="0013161C"/>
    <w:rsid w:val="00131641"/>
    <w:rsid w:val="00131744"/>
    <w:rsid w:val="00131A0F"/>
    <w:rsid w:val="00131D0A"/>
    <w:rsid w:val="00132056"/>
    <w:rsid w:val="001323EE"/>
    <w:rsid w:val="00132669"/>
    <w:rsid w:val="00132EAB"/>
    <w:rsid w:val="00132F2B"/>
    <w:rsid w:val="00133C87"/>
    <w:rsid w:val="0013410F"/>
    <w:rsid w:val="00134AB5"/>
    <w:rsid w:val="00135086"/>
    <w:rsid w:val="00135988"/>
    <w:rsid w:val="00135C53"/>
    <w:rsid w:val="00136164"/>
    <w:rsid w:val="0013623E"/>
    <w:rsid w:val="00136378"/>
    <w:rsid w:val="001375E5"/>
    <w:rsid w:val="001378A5"/>
    <w:rsid w:val="001406EC"/>
    <w:rsid w:val="00140B9B"/>
    <w:rsid w:val="00140E31"/>
    <w:rsid w:val="001411FE"/>
    <w:rsid w:val="00141FF9"/>
    <w:rsid w:val="001422D3"/>
    <w:rsid w:val="00142C6F"/>
    <w:rsid w:val="00143559"/>
    <w:rsid w:val="001436D9"/>
    <w:rsid w:val="00144209"/>
    <w:rsid w:val="001448B7"/>
    <w:rsid w:val="001453AB"/>
    <w:rsid w:val="00145DC5"/>
    <w:rsid w:val="00145EA6"/>
    <w:rsid w:val="001465FF"/>
    <w:rsid w:val="001468E7"/>
    <w:rsid w:val="00146AD6"/>
    <w:rsid w:val="00146E8A"/>
    <w:rsid w:val="00146F35"/>
    <w:rsid w:val="001476E5"/>
    <w:rsid w:val="0014779B"/>
    <w:rsid w:val="001500A0"/>
    <w:rsid w:val="00150A28"/>
    <w:rsid w:val="00150A66"/>
    <w:rsid w:val="00150EBA"/>
    <w:rsid w:val="00151E29"/>
    <w:rsid w:val="00151F6C"/>
    <w:rsid w:val="00151F6F"/>
    <w:rsid w:val="00152622"/>
    <w:rsid w:val="0015315E"/>
    <w:rsid w:val="001532D2"/>
    <w:rsid w:val="0015338D"/>
    <w:rsid w:val="00153785"/>
    <w:rsid w:val="00153CE5"/>
    <w:rsid w:val="00153D51"/>
    <w:rsid w:val="00153EFF"/>
    <w:rsid w:val="001542BC"/>
    <w:rsid w:val="00154B29"/>
    <w:rsid w:val="00155145"/>
    <w:rsid w:val="001557F9"/>
    <w:rsid w:val="00156041"/>
    <w:rsid w:val="00156201"/>
    <w:rsid w:val="00156FC9"/>
    <w:rsid w:val="00157304"/>
    <w:rsid w:val="001573CE"/>
    <w:rsid w:val="00157E51"/>
    <w:rsid w:val="0016035F"/>
    <w:rsid w:val="0016037C"/>
    <w:rsid w:val="0016061E"/>
    <w:rsid w:val="00161107"/>
    <w:rsid w:val="001615F5"/>
    <w:rsid w:val="0016161D"/>
    <w:rsid w:val="00161645"/>
    <w:rsid w:val="001616FD"/>
    <w:rsid w:val="0016175F"/>
    <w:rsid w:val="00161AE7"/>
    <w:rsid w:val="00161D96"/>
    <w:rsid w:val="0016347D"/>
    <w:rsid w:val="00163712"/>
    <w:rsid w:val="0016371C"/>
    <w:rsid w:val="00163C70"/>
    <w:rsid w:val="001641F5"/>
    <w:rsid w:val="00164687"/>
    <w:rsid w:val="001648B2"/>
    <w:rsid w:val="00164A2D"/>
    <w:rsid w:val="00165198"/>
    <w:rsid w:val="0016528C"/>
    <w:rsid w:val="0016541D"/>
    <w:rsid w:val="0016576C"/>
    <w:rsid w:val="00166F27"/>
    <w:rsid w:val="00166FC8"/>
    <w:rsid w:val="00167344"/>
    <w:rsid w:val="001678EF"/>
    <w:rsid w:val="00167CB5"/>
    <w:rsid w:val="00170C76"/>
    <w:rsid w:val="00170D7A"/>
    <w:rsid w:val="001712EC"/>
    <w:rsid w:val="001718EB"/>
    <w:rsid w:val="00171900"/>
    <w:rsid w:val="00171FB5"/>
    <w:rsid w:val="0017220C"/>
    <w:rsid w:val="001726E2"/>
    <w:rsid w:val="00172964"/>
    <w:rsid w:val="00172B34"/>
    <w:rsid w:val="00172F56"/>
    <w:rsid w:val="00173015"/>
    <w:rsid w:val="001733BE"/>
    <w:rsid w:val="001736D6"/>
    <w:rsid w:val="00173BFD"/>
    <w:rsid w:val="0017444C"/>
    <w:rsid w:val="00174A47"/>
    <w:rsid w:val="00174AB6"/>
    <w:rsid w:val="00174B86"/>
    <w:rsid w:val="00174BB6"/>
    <w:rsid w:val="00174F40"/>
    <w:rsid w:val="001751D4"/>
    <w:rsid w:val="00175A3B"/>
    <w:rsid w:val="00175F22"/>
    <w:rsid w:val="0017731D"/>
    <w:rsid w:val="001778D8"/>
    <w:rsid w:val="0018079B"/>
    <w:rsid w:val="00181A5E"/>
    <w:rsid w:val="00182886"/>
    <w:rsid w:val="00182CB2"/>
    <w:rsid w:val="0018324E"/>
    <w:rsid w:val="00183C7B"/>
    <w:rsid w:val="001841B9"/>
    <w:rsid w:val="00184A35"/>
    <w:rsid w:val="001850FE"/>
    <w:rsid w:val="00185366"/>
    <w:rsid w:val="00185591"/>
    <w:rsid w:val="00186037"/>
    <w:rsid w:val="0018644D"/>
    <w:rsid w:val="00186599"/>
    <w:rsid w:val="0018673E"/>
    <w:rsid w:val="00186A0B"/>
    <w:rsid w:val="00186ED0"/>
    <w:rsid w:val="00187561"/>
    <w:rsid w:val="00187E27"/>
    <w:rsid w:val="0019014C"/>
    <w:rsid w:val="001901E0"/>
    <w:rsid w:val="0019022A"/>
    <w:rsid w:val="001904B8"/>
    <w:rsid w:val="0019104F"/>
    <w:rsid w:val="001913FF"/>
    <w:rsid w:val="00191E3C"/>
    <w:rsid w:val="0019203E"/>
    <w:rsid w:val="00192A13"/>
    <w:rsid w:val="00192C89"/>
    <w:rsid w:val="00192D5B"/>
    <w:rsid w:val="00192EF6"/>
    <w:rsid w:val="00193685"/>
    <w:rsid w:val="0019394B"/>
    <w:rsid w:val="00193C05"/>
    <w:rsid w:val="001951E9"/>
    <w:rsid w:val="001954B3"/>
    <w:rsid w:val="0019587A"/>
    <w:rsid w:val="00195936"/>
    <w:rsid w:val="0019605B"/>
    <w:rsid w:val="00196259"/>
    <w:rsid w:val="00196E21"/>
    <w:rsid w:val="001A076A"/>
    <w:rsid w:val="001A0D89"/>
    <w:rsid w:val="001A0FB9"/>
    <w:rsid w:val="001A1903"/>
    <w:rsid w:val="001A1995"/>
    <w:rsid w:val="001A2D7A"/>
    <w:rsid w:val="001A31F9"/>
    <w:rsid w:val="001A3581"/>
    <w:rsid w:val="001A36F3"/>
    <w:rsid w:val="001A3964"/>
    <w:rsid w:val="001A3B6F"/>
    <w:rsid w:val="001A459D"/>
    <w:rsid w:val="001A4D18"/>
    <w:rsid w:val="001A4D65"/>
    <w:rsid w:val="001A520E"/>
    <w:rsid w:val="001A5652"/>
    <w:rsid w:val="001A5E98"/>
    <w:rsid w:val="001A5FA8"/>
    <w:rsid w:val="001A61AB"/>
    <w:rsid w:val="001A7731"/>
    <w:rsid w:val="001A7CF1"/>
    <w:rsid w:val="001A7D9A"/>
    <w:rsid w:val="001B05C6"/>
    <w:rsid w:val="001B0D3A"/>
    <w:rsid w:val="001B0E0E"/>
    <w:rsid w:val="001B0E92"/>
    <w:rsid w:val="001B1070"/>
    <w:rsid w:val="001B1357"/>
    <w:rsid w:val="001B16E7"/>
    <w:rsid w:val="001B177F"/>
    <w:rsid w:val="001B2829"/>
    <w:rsid w:val="001B4231"/>
    <w:rsid w:val="001B455B"/>
    <w:rsid w:val="001B4943"/>
    <w:rsid w:val="001B4DD0"/>
    <w:rsid w:val="001B5327"/>
    <w:rsid w:val="001B5CA3"/>
    <w:rsid w:val="001B67ED"/>
    <w:rsid w:val="001B6D51"/>
    <w:rsid w:val="001B6D6B"/>
    <w:rsid w:val="001B6DB3"/>
    <w:rsid w:val="001B70EF"/>
    <w:rsid w:val="001B7241"/>
    <w:rsid w:val="001B750B"/>
    <w:rsid w:val="001B76C3"/>
    <w:rsid w:val="001C0062"/>
    <w:rsid w:val="001C0871"/>
    <w:rsid w:val="001C0C9B"/>
    <w:rsid w:val="001C1F76"/>
    <w:rsid w:val="001C21A8"/>
    <w:rsid w:val="001C279A"/>
    <w:rsid w:val="001C28D8"/>
    <w:rsid w:val="001C2F22"/>
    <w:rsid w:val="001C3444"/>
    <w:rsid w:val="001C3796"/>
    <w:rsid w:val="001C3A4C"/>
    <w:rsid w:val="001C3B1D"/>
    <w:rsid w:val="001C3B4B"/>
    <w:rsid w:val="001C40AA"/>
    <w:rsid w:val="001C4413"/>
    <w:rsid w:val="001C4464"/>
    <w:rsid w:val="001C4549"/>
    <w:rsid w:val="001C52E2"/>
    <w:rsid w:val="001C551E"/>
    <w:rsid w:val="001C58A4"/>
    <w:rsid w:val="001C5AB8"/>
    <w:rsid w:val="001C5E98"/>
    <w:rsid w:val="001C6765"/>
    <w:rsid w:val="001C6767"/>
    <w:rsid w:val="001C7170"/>
    <w:rsid w:val="001C7254"/>
    <w:rsid w:val="001C74D0"/>
    <w:rsid w:val="001C755C"/>
    <w:rsid w:val="001C7577"/>
    <w:rsid w:val="001C7953"/>
    <w:rsid w:val="001C7A5C"/>
    <w:rsid w:val="001C7B40"/>
    <w:rsid w:val="001D1F54"/>
    <w:rsid w:val="001D1F9F"/>
    <w:rsid w:val="001D1FC0"/>
    <w:rsid w:val="001D21A2"/>
    <w:rsid w:val="001D2382"/>
    <w:rsid w:val="001D24A1"/>
    <w:rsid w:val="001D30F3"/>
    <w:rsid w:val="001D3C9F"/>
    <w:rsid w:val="001D46F6"/>
    <w:rsid w:val="001D475B"/>
    <w:rsid w:val="001D6674"/>
    <w:rsid w:val="001D6F52"/>
    <w:rsid w:val="001D71D1"/>
    <w:rsid w:val="001D756B"/>
    <w:rsid w:val="001D7595"/>
    <w:rsid w:val="001D798D"/>
    <w:rsid w:val="001E0000"/>
    <w:rsid w:val="001E00DB"/>
    <w:rsid w:val="001E0483"/>
    <w:rsid w:val="001E07AD"/>
    <w:rsid w:val="001E113A"/>
    <w:rsid w:val="001E1457"/>
    <w:rsid w:val="001E1647"/>
    <w:rsid w:val="001E1AD5"/>
    <w:rsid w:val="001E38BC"/>
    <w:rsid w:val="001E38CA"/>
    <w:rsid w:val="001E3B81"/>
    <w:rsid w:val="001E3BBE"/>
    <w:rsid w:val="001E4935"/>
    <w:rsid w:val="001E4AAF"/>
    <w:rsid w:val="001E4CA0"/>
    <w:rsid w:val="001E4FB9"/>
    <w:rsid w:val="001E531C"/>
    <w:rsid w:val="001E55D2"/>
    <w:rsid w:val="001E571C"/>
    <w:rsid w:val="001E5823"/>
    <w:rsid w:val="001E585D"/>
    <w:rsid w:val="001E5963"/>
    <w:rsid w:val="001E5C02"/>
    <w:rsid w:val="001E5D34"/>
    <w:rsid w:val="001E5E44"/>
    <w:rsid w:val="001E5F26"/>
    <w:rsid w:val="001E6391"/>
    <w:rsid w:val="001E6A4F"/>
    <w:rsid w:val="001E6ABA"/>
    <w:rsid w:val="001E79E0"/>
    <w:rsid w:val="001E7CC4"/>
    <w:rsid w:val="001F0916"/>
    <w:rsid w:val="001F0A80"/>
    <w:rsid w:val="001F1187"/>
    <w:rsid w:val="001F1394"/>
    <w:rsid w:val="001F24AD"/>
    <w:rsid w:val="001F25A7"/>
    <w:rsid w:val="001F25CA"/>
    <w:rsid w:val="001F273B"/>
    <w:rsid w:val="001F2A97"/>
    <w:rsid w:val="001F2AF1"/>
    <w:rsid w:val="001F2F6E"/>
    <w:rsid w:val="001F324C"/>
    <w:rsid w:val="001F38D3"/>
    <w:rsid w:val="001F406B"/>
    <w:rsid w:val="001F43B2"/>
    <w:rsid w:val="001F443C"/>
    <w:rsid w:val="001F5532"/>
    <w:rsid w:val="001F58B9"/>
    <w:rsid w:val="001F5A7B"/>
    <w:rsid w:val="001F5AD8"/>
    <w:rsid w:val="001F5DE5"/>
    <w:rsid w:val="001F5ED3"/>
    <w:rsid w:val="001F61C6"/>
    <w:rsid w:val="001F6417"/>
    <w:rsid w:val="001F65A3"/>
    <w:rsid w:val="001F6A20"/>
    <w:rsid w:val="001F7084"/>
    <w:rsid w:val="002007BD"/>
    <w:rsid w:val="00200959"/>
    <w:rsid w:val="0020142E"/>
    <w:rsid w:val="0020158D"/>
    <w:rsid w:val="0020177A"/>
    <w:rsid w:val="002017F5"/>
    <w:rsid w:val="002021DF"/>
    <w:rsid w:val="0020243C"/>
    <w:rsid w:val="0020245E"/>
    <w:rsid w:val="00202716"/>
    <w:rsid w:val="002027DB"/>
    <w:rsid w:val="00203851"/>
    <w:rsid w:val="00204759"/>
    <w:rsid w:val="00204B2A"/>
    <w:rsid w:val="0020523E"/>
    <w:rsid w:val="00205B3E"/>
    <w:rsid w:val="00205B70"/>
    <w:rsid w:val="00205C76"/>
    <w:rsid w:val="002066BF"/>
    <w:rsid w:val="00206E89"/>
    <w:rsid w:val="00206F50"/>
    <w:rsid w:val="002074D8"/>
    <w:rsid w:val="00207A92"/>
    <w:rsid w:val="00210259"/>
    <w:rsid w:val="0021041A"/>
    <w:rsid w:val="002105DC"/>
    <w:rsid w:val="00210AC2"/>
    <w:rsid w:val="00210F15"/>
    <w:rsid w:val="00210F20"/>
    <w:rsid w:val="00211610"/>
    <w:rsid w:val="002117E9"/>
    <w:rsid w:val="00211950"/>
    <w:rsid w:val="00211A4F"/>
    <w:rsid w:val="00211B4A"/>
    <w:rsid w:val="00211C09"/>
    <w:rsid w:val="0021223B"/>
    <w:rsid w:val="00212885"/>
    <w:rsid w:val="002128C9"/>
    <w:rsid w:val="00212B50"/>
    <w:rsid w:val="0021328A"/>
    <w:rsid w:val="002136FE"/>
    <w:rsid w:val="00213919"/>
    <w:rsid w:val="00213B9A"/>
    <w:rsid w:val="0021432A"/>
    <w:rsid w:val="002147EF"/>
    <w:rsid w:val="002149B3"/>
    <w:rsid w:val="00214D80"/>
    <w:rsid w:val="00214E95"/>
    <w:rsid w:val="002153EB"/>
    <w:rsid w:val="00215557"/>
    <w:rsid w:val="002159FD"/>
    <w:rsid w:val="00216E06"/>
    <w:rsid w:val="00216FBB"/>
    <w:rsid w:val="00217BF2"/>
    <w:rsid w:val="00220474"/>
    <w:rsid w:val="0022072D"/>
    <w:rsid w:val="0022078C"/>
    <w:rsid w:val="00221DFB"/>
    <w:rsid w:val="00221FBA"/>
    <w:rsid w:val="0022256E"/>
    <w:rsid w:val="00222B27"/>
    <w:rsid w:val="00222D7A"/>
    <w:rsid w:val="0022336C"/>
    <w:rsid w:val="00223936"/>
    <w:rsid w:val="00223B36"/>
    <w:rsid w:val="00223D03"/>
    <w:rsid w:val="00223E07"/>
    <w:rsid w:val="00223F18"/>
    <w:rsid w:val="00224E61"/>
    <w:rsid w:val="002252C7"/>
    <w:rsid w:val="00225383"/>
    <w:rsid w:val="0022539C"/>
    <w:rsid w:val="002255F3"/>
    <w:rsid w:val="00225A8D"/>
    <w:rsid w:val="00225C22"/>
    <w:rsid w:val="002263AD"/>
    <w:rsid w:val="002274AB"/>
    <w:rsid w:val="00227AD1"/>
    <w:rsid w:val="00230944"/>
    <w:rsid w:val="00230E26"/>
    <w:rsid w:val="00231592"/>
    <w:rsid w:val="002318E2"/>
    <w:rsid w:val="00231C72"/>
    <w:rsid w:val="002327F9"/>
    <w:rsid w:val="00232832"/>
    <w:rsid w:val="00232DDD"/>
    <w:rsid w:val="00233B9B"/>
    <w:rsid w:val="00234457"/>
    <w:rsid w:val="00235168"/>
    <w:rsid w:val="0023554C"/>
    <w:rsid w:val="0023571C"/>
    <w:rsid w:val="00235984"/>
    <w:rsid w:val="002360B2"/>
    <w:rsid w:val="00236105"/>
    <w:rsid w:val="00236C42"/>
    <w:rsid w:val="00236F0F"/>
    <w:rsid w:val="00237800"/>
    <w:rsid w:val="00242206"/>
    <w:rsid w:val="00242611"/>
    <w:rsid w:val="0024279E"/>
    <w:rsid w:val="002429BE"/>
    <w:rsid w:val="00242DDB"/>
    <w:rsid w:val="00243252"/>
    <w:rsid w:val="00243538"/>
    <w:rsid w:val="00243EC3"/>
    <w:rsid w:val="00243EED"/>
    <w:rsid w:val="002440B7"/>
    <w:rsid w:val="002440CD"/>
    <w:rsid w:val="0024414D"/>
    <w:rsid w:val="00244330"/>
    <w:rsid w:val="002449A1"/>
    <w:rsid w:val="00244D81"/>
    <w:rsid w:val="00245672"/>
    <w:rsid w:val="002464B1"/>
    <w:rsid w:val="00246672"/>
    <w:rsid w:val="00247053"/>
    <w:rsid w:val="00247301"/>
    <w:rsid w:val="002500A0"/>
    <w:rsid w:val="0025065C"/>
    <w:rsid w:val="00250CB3"/>
    <w:rsid w:val="00250DF4"/>
    <w:rsid w:val="0025176C"/>
    <w:rsid w:val="00251C90"/>
    <w:rsid w:val="00251E27"/>
    <w:rsid w:val="00251FE7"/>
    <w:rsid w:val="002522C3"/>
    <w:rsid w:val="0025232A"/>
    <w:rsid w:val="002526C5"/>
    <w:rsid w:val="002527FC"/>
    <w:rsid w:val="002535DF"/>
    <w:rsid w:val="00253633"/>
    <w:rsid w:val="002536E5"/>
    <w:rsid w:val="00253864"/>
    <w:rsid w:val="0025394A"/>
    <w:rsid w:val="00253A08"/>
    <w:rsid w:val="002543B3"/>
    <w:rsid w:val="0025487D"/>
    <w:rsid w:val="002554B3"/>
    <w:rsid w:val="002557DB"/>
    <w:rsid w:val="0025583C"/>
    <w:rsid w:val="00255C18"/>
    <w:rsid w:val="00255EF8"/>
    <w:rsid w:val="00256BBB"/>
    <w:rsid w:val="0025795D"/>
    <w:rsid w:val="00260B88"/>
    <w:rsid w:val="00261347"/>
    <w:rsid w:val="00261DCB"/>
    <w:rsid w:val="00262A1F"/>
    <w:rsid w:val="00262C3A"/>
    <w:rsid w:val="002630B9"/>
    <w:rsid w:val="002639E6"/>
    <w:rsid w:val="00264A1C"/>
    <w:rsid w:val="002651C7"/>
    <w:rsid w:val="002652F6"/>
    <w:rsid w:val="002654E8"/>
    <w:rsid w:val="002655F5"/>
    <w:rsid w:val="002667CC"/>
    <w:rsid w:val="00266974"/>
    <w:rsid w:val="002672AC"/>
    <w:rsid w:val="002674C2"/>
    <w:rsid w:val="002675E4"/>
    <w:rsid w:val="00267B5E"/>
    <w:rsid w:val="00267C83"/>
    <w:rsid w:val="00267F75"/>
    <w:rsid w:val="002702F8"/>
    <w:rsid w:val="0027033B"/>
    <w:rsid w:val="002704FA"/>
    <w:rsid w:val="00270627"/>
    <w:rsid w:val="00270E13"/>
    <w:rsid w:val="002713DD"/>
    <w:rsid w:val="002716DE"/>
    <w:rsid w:val="0027184D"/>
    <w:rsid w:val="00271907"/>
    <w:rsid w:val="00271961"/>
    <w:rsid w:val="0027198D"/>
    <w:rsid w:val="00271B8A"/>
    <w:rsid w:val="0027267B"/>
    <w:rsid w:val="002726FC"/>
    <w:rsid w:val="00272F24"/>
    <w:rsid w:val="0027343F"/>
    <w:rsid w:val="00273D4F"/>
    <w:rsid w:val="00275244"/>
    <w:rsid w:val="00275397"/>
    <w:rsid w:val="0027583C"/>
    <w:rsid w:val="00275B3E"/>
    <w:rsid w:val="00275CC5"/>
    <w:rsid w:val="00276109"/>
    <w:rsid w:val="0027621C"/>
    <w:rsid w:val="00276413"/>
    <w:rsid w:val="002766E8"/>
    <w:rsid w:val="00276789"/>
    <w:rsid w:val="0027684A"/>
    <w:rsid w:val="00276C07"/>
    <w:rsid w:val="00276E34"/>
    <w:rsid w:val="00276E94"/>
    <w:rsid w:val="00276EC1"/>
    <w:rsid w:val="0027724C"/>
    <w:rsid w:val="0027754F"/>
    <w:rsid w:val="00277575"/>
    <w:rsid w:val="002779E5"/>
    <w:rsid w:val="00277B9F"/>
    <w:rsid w:val="002805BE"/>
    <w:rsid w:val="0028084F"/>
    <w:rsid w:val="002809F0"/>
    <w:rsid w:val="00280CE8"/>
    <w:rsid w:val="00280CEE"/>
    <w:rsid w:val="0028130C"/>
    <w:rsid w:val="0028149B"/>
    <w:rsid w:val="00281B57"/>
    <w:rsid w:val="00281BFA"/>
    <w:rsid w:val="002835DF"/>
    <w:rsid w:val="002838DA"/>
    <w:rsid w:val="00283CD1"/>
    <w:rsid w:val="0028444D"/>
    <w:rsid w:val="00284507"/>
    <w:rsid w:val="0028452D"/>
    <w:rsid w:val="00284B70"/>
    <w:rsid w:val="002851FF"/>
    <w:rsid w:val="002852C8"/>
    <w:rsid w:val="00285314"/>
    <w:rsid w:val="00285831"/>
    <w:rsid w:val="00285BD2"/>
    <w:rsid w:val="00286187"/>
    <w:rsid w:val="00286859"/>
    <w:rsid w:val="00286C41"/>
    <w:rsid w:val="0028719C"/>
    <w:rsid w:val="002871B9"/>
    <w:rsid w:val="0028791D"/>
    <w:rsid w:val="002879D0"/>
    <w:rsid w:val="00290884"/>
    <w:rsid w:val="00290A5B"/>
    <w:rsid w:val="00290B8F"/>
    <w:rsid w:val="0029163F"/>
    <w:rsid w:val="00291998"/>
    <w:rsid w:val="002922C6"/>
    <w:rsid w:val="0029240C"/>
    <w:rsid w:val="00292655"/>
    <w:rsid w:val="00292AB8"/>
    <w:rsid w:val="00293437"/>
    <w:rsid w:val="0029347D"/>
    <w:rsid w:val="00294021"/>
    <w:rsid w:val="00294EE0"/>
    <w:rsid w:val="00295258"/>
    <w:rsid w:val="00295438"/>
    <w:rsid w:val="00295445"/>
    <w:rsid w:val="00295D1F"/>
    <w:rsid w:val="00296123"/>
    <w:rsid w:val="00296965"/>
    <w:rsid w:val="002970C3"/>
    <w:rsid w:val="00297C0C"/>
    <w:rsid w:val="00297EEA"/>
    <w:rsid w:val="002A0CBB"/>
    <w:rsid w:val="002A0F47"/>
    <w:rsid w:val="002A0FD6"/>
    <w:rsid w:val="002A24B5"/>
    <w:rsid w:val="002A2504"/>
    <w:rsid w:val="002A2C2F"/>
    <w:rsid w:val="002A2F85"/>
    <w:rsid w:val="002A361F"/>
    <w:rsid w:val="002A3708"/>
    <w:rsid w:val="002A3922"/>
    <w:rsid w:val="002A3C29"/>
    <w:rsid w:val="002A45FC"/>
    <w:rsid w:val="002A4FC7"/>
    <w:rsid w:val="002A54B6"/>
    <w:rsid w:val="002A565C"/>
    <w:rsid w:val="002A5CB1"/>
    <w:rsid w:val="002A7A19"/>
    <w:rsid w:val="002B0670"/>
    <w:rsid w:val="002B0F98"/>
    <w:rsid w:val="002B1409"/>
    <w:rsid w:val="002B1584"/>
    <w:rsid w:val="002B3313"/>
    <w:rsid w:val="002B3447"/>
    <w:rsid w:val="002B36D5"/>
    <w:rsid w:val="002B40BA"/>
    <w:rsid w:val="002B49A2"/>
    <w:rsid w:val="002B53A3"/>
    <w:rsid w:val="002B54DC"/>
    <w:rsid w:val="002B58D7"/>
    <w:rsid w:val="002B5AB0"/>
    <w:rsid w:val="002B6488"/>
    <w:rsid w:val="002B72E9"/>
    <w:rsid w:val="002B7420"/>
    <w:rsid w:val="002B752E"/>
    <w:rsid w:val="002B78E1"/>
    <w:rsid w:val="002B78ED"/>
    <w:rsid w:val="002B7A2C"/>
    <w:rsid w:val="002C00F2"/>
    <w:rsid w:val="002C0393"/>
    <w:rsid w:val="002C04E4"/>
    <w:rsid w:val="002C12E9"/>
    <w:rsid w:val="002C137F"/>
    <w:rsid w:val="002C2340"/>
    <w:rsid w:val="002C264F"/>
    <w:rsid w:val="002C2F0A"/>
    <w:rsid w:val="002C4093"/>
    <w:rsid w:val="002C4127"/>
    <w:rsid w:val="002C43A9"/>
    <w:rsid w:val="002C4E4D"/>
    <w:rsid w:val="002C4EC3"/>
    <w:rsid w:val="002C52B8"/>
    <w:rsid w:val="002C52BC"/>
    <w:rsid w:val="002C650E"/>
    <w:rsid w:val="002C6C6E"/>
    <w:rsid w:val="002C6D56"/>
    <w:rsid w:val="002C6EBC"/>
    <w:rsid w:val="002C7027"/>
    <w:rsid w:val="002C7108"/>
    <w:rsid w:val="002C7130"/>
    <w:rsid w:val="002C7210"/>
    <w:rsid w:val="002C735D"/>
    <w:rsid w:val="002C741E"/>
    <w:rsid w:val="002C7E87"/>
    <w:rsid w:val="002D0857"/>
    <w:rsid w:val="002D0904"/>
    <w:rsid w:val="002D0B2F"/>
    <w:rsid w:val="002D186C"/>
    <w:rsid w:val="002D2154"/>
    <w:rsid w:val="002D2712"/>
    <w:rsid w:val="002D28DB"/>
    <w:rsid w:val="002D2EB9"/>
    <w:rsid w:val="002D2EC6"/>
    <w:rsid w:val="002D30B3"/>
    <w:rsid w:val="002D3109"/>
    <w:rsid w:val="002D3602"/>
    <w:rsid w:val="002D390D"/>
    <w:rsid w:val="002D3F48"/>
    <w:rsid w:val="002D45E8"/>
    <w:rsid w:val="002D49C9"/>
    <w:rsid w:val="002D4B09"/>
    <w:rsid w:val="002D4B9F"/>
    <w:rsid w:val="002D4BC4"/>
    <w:rsid w:val="002D51A1"/>
    <w:rsid w:val="002D5774"/>
    <w:rsid w:val="002D6632"/>
    <w:rsid w:val="002D6654"/>
    <w:rsid w:val="002D793C"/>
    <w:rsid w:val="002D7A7F"/>
    <w:rsid w:val="002D7B07"/>
    <w:rsid w:val="002D7B9D"/>
    <w:rsid w:val="002D7C22"/>
    <w:rsid w:val="002D7E6D"/>
    <w:rsid w:val="002E0050"/>
    <w:rsid w:val="002E02ED"/>
    <w:rsid w:val="002E02F4"/>
    <w:rsid w:val="002E059D"/>
    <w:rsid w:val="002E05AE"/>
    <w:rsid w:val="002E0CD4"/>
    <w:rsid w:val="002E0FD7"/>
    <w:rsid w:val="002E121A"/>
    <w:rsid w:val="002E294D"/>
    <w:rsid w:val="002E2A95"/>
    <w:rsid w:val="002E3123"/>
    <w:rsid w:val="002E3594"/>
    <w:rsid w:val="002E3F7B"/>
    <w:rsid w:val="002E4F87"/>
    <w:rsid w:val="002E5A60"/>
    <w:rsid w:val="002E650E"/>
    <w:rsid w:val="002E67A5"/>
    <w:rsid w:val="002E7546"/>
    <w:rsid w:val="002E772F"/>
    <w:rsid w:val="002E7CA4"/>
    <w:rsid w:val="002E7D2F"/>
    <w:rsid w:val="002F02DA"/>
    <w:rsid w:val="002F0388"/>
    <w:rsid w:val="002F048D"/>
    <w:rsid w:val="002F08C3"/>
    <w:rsid w:val="002F08C7"/>
    <w:rsid w:val="002F0C54"/>
    <w:rsid w:val="002F1132"/>
    <w:rsid w:val="002F13AD"/>
    <w:rsid w:val="002F13C7"/>
    <w:rsid w:val="002F159F"/>
    <w:rsid w:val="002F1733"/>
    <w:rsid w:val="002F192A"/>
    <w:rsid w:val="002F1939"/>
    <w:rsid w:val="002F2774"/>
    <w:rsid w:val="002F2868"/>
    <w:rsid w:val="002F2F68"/>
    <w:rsid w:val="002F3068"/>
    <w:rsid w:val="002F308D"/>
    <w:rsid w:val="002F30FB"/>
    <w:rsid w:val="002F3408"/>
    <w:rsid w:val="002F349C"/>
    <w:rsid w:val="002F376F"/>
    <w:rsid w:val="002F3BCC"/>
    <w:rsid w:val="002F3FA7"/>
    <w:rsid w:val="002F4CD1"/>
    <w:rsid w:val="002F4FE5"/>
    <w:rsid w:val="002F52E1"/>
    <w:rsid w:val="002F5334"/>
    <w:rsid w:val="002F5AB0"/>
    <w:rsid w:val="002F61FA"/>
    <w:rsid w:val="002F68C0"/>
    <w:rsid w:val="002F6ACE"/>
    <w:rsid w:val="002F796D"/>
    <w:rsid w:val="003001A7"/>
    <w:rsid w:val="00300472"/>
    <w:rsid w:val="00300BE7"/>
    <w:rsid w:val="00301432"/>
    <w:rsid w:val="00301573"/>
    <w:rsid w:val="00301C4E"/>
    <w:rsid w:val="003025DD"/>
    <w:rsid w:val="003029AA"/>
    <w:rsid w:val="00302D30"/>
    <w:rsid w:val="00302DBD"/>
    <w:rsid w:val="0030350D"/>
    <w:rsid w:val="00303BBA"/>
    <w:rsid w:val="003040F5"/>
    <w:rsid w:val="00304237"/>
    <w:rsid w:val="00304C97"/>
    <w:rsid w:val="00304E26"/>
    <w:rsid w:val="00305E56"/>
    <w:rsid w:val="00305F6C"/>
    <w:rsid w:val="0030633D"/>
    <w:rsid w:val="003063BE"/>
    <w:rsid w:val="003066A2"/>
    <w:rsid w:val="003066F8"/>
    <w:rsid w:val="00306ED1"/>
    <w:rsid w:val="003071D3"/>
    <w:rsid w:val="00307313"/>
    <w:rsid w:val="0030734B"/>
    <w:rsid w:val="00307A42"/>
    <w:rsid w:val="00307E0A"/>
    <w:rsid w:val="003101F1"/>
    <w:rsid w:val="0031026E"/>
    <w:rsid w:val="003103FD"/>
    <w:rsid w:val="00310BE0"/>
    <w:rsid w:val="00310C0C"/>
    <w:rsid w:val="00310D8A"/>
    <w:rsid w:val="0031171A"/>
    <w:rsid w:val="00311A91"/>
    <w:rsid w:val="00312527"/>
    <w:rsid w:val="003126F8"/>
    <w:rsid w:val="0031277A"/>
    <w:rsid w:val="00312A6C"/>
    <w:rsid w:val="00313E1F"/>
    <w:rsid w:val="0031470F"/>
    <w:rsid w:val="003149EA"/>
    <w:rsid w:val="00314DC0"/>
    <w:rsid w:val="0031502A"/>
    <w:rsid w:val="00315638"/>
    <w:rsid w:val="00315D12"/>
    <w:rsid w:val="00315D9D"/>
    <w:rsid w:val="0031647E"/>
    <w:rsid w:val="0031666B"/>
    <w:rsid w:val="00316BC5"/>
    <w:rsid w:val="00317237"/>
    <w:rsid w:val="0031756E"/>
    <w:rsid w:val="00317750"/>
    <w:rsid w:val="00317826"/>
    <w:rsid w:val="00317DBF"/>
    <w:rsid w:val="00320796"/>
    <w:rsid w:val="00320A2F"/>
    <w:rsid w:val="0032102F"/>
    <w:rsid w:val="003210C5"/>
    <w:rsid w:val="003212C9"/>
    <w:rsid w:val="0032254E"/>
    <w:rsid w:val="00322ABB"/>
    <w:rsid w:val="00324249"/>
    <w:rsid w:val="00324948"/>
    <w:rsid w:val="00325649"/>
    <w:rsid w:val="003256F7"/>
    <w:rsid w:val="00325F2D"/>
    <w:rsid w:val="00326067"/>
    <w:rsid w:val="00326147"/>
    <w:rsid w:val="003267FC"/>
    <w:rsid w:val="00326A87"/>
    <w:rsid w:val="00327CE8"/>
    <w:rsid w:val="00330286"/>
    <w:rsid w:val="003308E0"/>
    <w:rsid w:val="003309D2"/>
    <w:rsid w:val="003309E8"/>
    <w:rsid w:val="00330E8F"/>
    <w:rsid w:val="00331623"/>
    <w:rsid w:val="00331692"/>
    <w:rsid w:val="00331975"/>
    <w:rsid w:val="00332471"/>
    <w:rsid w:val="00332825"/>
    <w:rsid w:val="00333275"/>
    <w:rsid w:val="0033358F"/>
    <w:rsid w:val="0033375E"/>
    <w:rsid w:val="003338B7"/>
    <w:rsid w:val="00333A6F"/>
    <w:rsid w:val="00333FBC"/>
    <w:rsid w:val="003357A1"/>
    <w:rsid w:val="00335B4F"/>
    <w:rsid w:val="00335E8C"/>
    <w:rsid w:val="00336403"/>
    <w:rsid w:val="00336455"/>
    <w:rsid w:val="00336AD6"/>
    <w:rsid w:val="00337B29"/>
    <w:rsid w:val="0034081A"/>
    <w:rsid w:val="00340859"/>
    <w:rsid w:val="00340971"/>
    <w:rsid w:val="00340AC4"/>
    <w:rsid w:val="00340EA3"/>
    <w:rsid w:val="003414F2"/>
    <w:rsid w:val="00341703"/>
    <w:rsid w:val="00341CB5"/>
    <w:rsid w:val="00341F63"/>
    <w:rsid w:val="00341FCE"/>
    <w:rsid w:val="003423C3"/>
    <w:rsid w:val="00342B09"/>
    <w:rsid w:val="00343797"/>
    <w:rsid w:val="00343D7C"/>
    <w:rsid w:val="00343FE1"/>
    <w:rsid w:val="00344B3E"/>
    <w:rsid w:val="00344ED1"/>
    <w:rsid w:val="0034533C"/>
    <w:rsid w:val="0034557D"/>
    <w:rsid w:val="00345962"/>
    <w:rsid w:val="00345F2A"/>
    <w:rsid w:val="003466D0"/>
    <w:rsid w:val="00346B8B"/>
    <w:rsid w:val="003471E9"/>
    <w:rsid w:val="00347210"/>
    <w:rsid w:val="00347395"/>
    <w:rsid w:val="0035029B"/>
    <w:rsid w:val="00350E93"/>
    <w:rsid w:val="00351FAA"/>
    <w:rsid w:val="00352054"/>
    <w:rsid w:val="003522CD"/>
    <w:rsid w:val="00352535"/>
    <w:rsid w:val="00352873"/>
    <w:rsid w:val="00352B10"/>
    <w:rsid w:val="00353B1E"/>
    <w:rsid w:val="0035406C"/>
    <w:rsid w:val="003542E7"/>
    <w:rsid w:val="00354466"/>
    <w:rsid w:val="00354C00"/>
    <w:rsid w:val="00354DD5"/>
    <w:rsid w:val="00354F24"/>
    <w:rsid w:val="0035508A"/>
    <w:rsid w:val="003550A7"/>
    <w:rsid w:val="0035527F"/>
    <w:rsid w:val="00355B13"/>
    <w:rsid w:val="0035681C"/>
    <w:rsid w:val="003569A6"/>
    <w:rsid w:val="00356EE5"/>
    <w:rsid w:val="00356F3C"/>
    <w:rsid w:val="00356F78"/>
    <w:rsid w:val="00357588"/>
    <w:rsid w:val="00357828"/>
    <w:rsid w:val="003578AD"/>
    <w:rsid w:val="00357A41"/>
    <w:rsid w:val="00357B59"/>
    <w:rsid w:val="00360911"/>
    <w:rsid w:val="00360A6B"/>
    <w:rsid w:val="00360C99"/>
    <w:rsid w:val="00361342"/>
    <w:rsid w:val="00361657"/>
    <w:rsid w:val="0036172D"/>
    <w:rsid w:val="0036200D"/>
    <w:rsid w:val="00362295"/>
    <w:rsid w:val="003622B3"/>
    <w:rsid w:val="00363DD8"/>
    <w:rsid w:val="003654C6"/>
    <w:rsid w:val="00365734"/>
    <w:rsid w:val="0036576F"/>
    <w:rsid w:val="00365E95"/>
    <w:rsid w:val="003661F7"/>
    <w:rsid w:val="0036660D"/>
    <w:rsid w:val="00367191"/>
    <w:rsid w:val="0036735F"/>
    <w:rsid w:val="00367439"/>
    <w:rsid w:val="00367582"/>
    <w:rsid w:val="0036779C"/>
    <w:rsid w:val="003702DC"/>
    <w:rsid w:val="00370780"/>
    <w:rsid w:val="003708B0"/>
    <w:rsid w:val="00370958"/>
    <w:rsid w:val="00370DDD"/>
    <w:rsid w:val="00371B13"/>
    <w:rsid w:val="00371D0A"/>
    <w:rsid w:val="00372952"/>
    <w:rsid w:val="00372A06"/>
    <w:rsid w:val="00372AE5"/>
    <w:rsid w:val="00373193"/>
    <w:rsid w:val="003738F5"/>
    <w:rsid w:val="00373D01"/>
    <w:rsid w:val="0037416B"/>
    <w:rsid w:val="0037484F"/>
    <w:rsid w:val="00374F1A"/>
    <w:rsid w:val="00375A49"/>
    <w:rsid w:val="00375A58"/>
    <w:rsid w:val="00375B51"/>
    <w:rsid w:val="00375BFA"/>
    <w:rsid w:val="00375E0E"/>
    <w:rsid w:val="00375E62"/>
    <w:rsid w:val="00375ECC"/>
    <w:rsid w:val="003761A8"/>
    <w:rsid w:val="0037637D"/>
    <w:rsid w:val="003764AC"/>
    <w:rsid w:val="003764C5"/>
    <w:rsid w:val="00376740"/>
    <w:rsid w:val="00376878"/>
    <w:rsid w:val="003768D0"/>
    <w:rsid w:val="00377F19"/>
    <w:rsid w:val="003808DE"/>
    <w:rsid w:val="00380A8A"/>
    <w:rsid w:val="00380F7F"/>
    <w:rsid w:val="003813BC"/>
    <w:rsid w:val="00381419"/>
    <w:rsid w:val="003819D8"/>
    <w:rsid w:val="00382358"/>
    <w:rsid w:val="00382A2C"/>
    <w:rsid w:val="00383244"/>
    <w:rsid w:val="00383B93"/>
    <w:rsid w:val="00383CFC"/>
    <w:rsid w:val="0038442C"/>
    <w:rsid w:val="0038461C"/>
    <w:rsid w:val="00384857"/>
    <w:rsid w:val="00384E40"/>
    <w:rsid w:val="0038607D"/>
    <w:rsid w:val="003869C5"/>
    <w:rsid w:val="00386C80"/>
    <w:rsid w:val="00387180"/>
    <w:rsid w:val="00387866"/>
    <w:rsid w:val="00387E72"/>
    <w:rsid w:val="00390E73"/>
    <w:rsid w:val="0039118E"/>
    <w:rsid w:val="003912B4"/>
    <w:rsid w:val="00391D07"/>
    <w:rsid w:val="003924BD"/>
    <w:rsid w:val="0039301A"/>
    <w:rsid w:val="003933C4"/>
    <w:rsid w:val="003937A7"/>
    <w:rsid w:val="00394034"/>
    <w:rsid w:val="003940B5"/>
    <w:rsid w:val="003940F7"/>
    <w:rsid w:val="00394274"/>
    <w:rsid w:val="00394461"/>
    <w:rsid w:val="00394829"/>
    <w:rsid w:val="00394A7A"/>
    <w:rsid w:val="00394E35"/>
    <w:rsid w:val="003953E4"/>
    <w:rsid w:val="00395C37"/>
    <w:rsid w:val="0039616F"/>
    <w:rsid w:val="0039621D"/>
    <w:rsid w:val="00396450"/>
    <w:rsid w:val="00396477"/>
    <w:rsid w:val="0039666C"/>
    <w:rsid w:val="003967E8"/>
    <w:rsid w:val="0039696B"/>
    <w:rsid w:val="00396ACC"/>
    <w:rsid w:val="00396E52"/>
    <w:rsid w:val="00396F71"/>
    <w:rsid w:val="003970B8"/>
    <w:rsid w:val="003972D3"/>
    <w:rsid w:val="003974F0"/>
    <w:rsid w:val="00397D7B"/>
    <w:rsid w:val="00397F99"/>
    <w:rsid w:val="003A0040"/>
    <w:rsid w:val="003A09D1"/>
    <w:rsid w:val="003A225A"/>
    <w:rsid w:val="003A28B8"/>
    <w:rsid w:val="003A29AA"/>
    <w:rsid w:val="003A2B35"/>
    <w:rsid w:val="003A2D0F"/>
    <w:rsid w:val="003A4019"/>
    <w:rsid w:val="003A4027"/>
    <w:rsid w:val="003A430B"/>
    <w:rsid w:val="003A46E1"/>
    <w:rsid w:val="003A5259"/>
    <w:rsid w:val="003A5ED5"/>
    <w:rsid w:val="003A700D"/>
    <w:rsid w:val="003A707C"/>
    <w:rsid w:val="003A73C7"/>
    <w:rsid w:val="003A7479"/>
    <w:rsid w:val="003A7842"/>
    <w:rsid w:val="003A7B70"/>
    <w:rsid w:val="003A7B8B"/>
    <w:rsid w:val="003B014B"/>
    <w:rsid w:val="003B0315"/>
    <w:rsid w:val="003B0367"/>
    <w:rsid w:val="003B08CC"/>
    <w:rsid w:val="003B0AF1"/>
    <w:rsid w:val="003B102C"/>
    <w:rsid w:val="003B1367"/>
    <w:rsid w:val="003B2624"/>
    <w:rsid w:val="003B26A4"/>
    <w:rsid w:val="003B2936"/>
    <w:rsid w:val="003B2AEC"/>
    <w:rsid w:val="003B40B5"/>
    <w:rsid w:val="003B427B"/>
    <w:rsid w:val="003B45AB"/>
    <w:rsid w:val="003B49EB"/>
    <w:rsid w:val="003B51CE"/>
    <w:rsid w:val="003B5C61"/>
    <w:rsid w:val="003B5EF7"/>
    <w:rsid w:val="003B5FFE"/>
    <w:rsid w:val="003B62B9"/>
    <w:rsid w:val="003B6D06"/>
    <w:rsid w:val="003B7057"/>
    <w:rsid w:val="003B7609"/>
    <w:rsid w:val="003B7979"/>
    <w:rsid w:val="003B79F6"/>
    <w:rsid w:val="003C0047"/>
    <w:rsid w:val="003C05A2"/>
    <w:rsid w:val="003C05FE"/>
    <w:rsid w:val="003C0753"/>
    <w:rsid w:val="003C0F2F"/>
    <w:rsid w:val="003C0FB5"/>
    <w:rsid w:val="003C149B"/>
    <w:rsid w:val="003C20D9"/>
    <w:rsid w:val="003C2A91"/>
    <w:rsid w:val="003C2C1A"/>
    <w:rsid w:val="003C2DAC"/>
    <w:rsid w:val="003C33B8"/>
    <w:rsid w:val="003C44EB"/>
    <w:rsid w:val="003C45DA"/>
    <w:rsid w:val="003C4A4A"/>
    <w:rsid w:val="003C4D4C"/>
    <w:rsid w:val="003C53C1"/>
    <w:rsid w:val="003C558F"/>
    <w:rsid w:val="003C57EA"/>
    <w:rsid w:val="003C5BA8"/>
    <w:rsid w:val="003C607D"/>
    <w:rsid w:val="003C6207"/>
    <w:rsid w:val="003C6449"/>
    <w:rsid w:val="003C67B5"/>
    <w:rsid w:val="003C68ED"/>
    <w:rsid w:val="003C6A09"/>
    <w:rsid w:val="003C7295"/>
    <w:rsid w:val="003C7830"/>
    <w:rsid w:val="003D0049"/>
    <w:rsid w:val="003D0F7C"/>
    <w:rsid w:val="003D1B6A"/>
    <w:rsid w:val="003D20A4"/>
    <w:rsid w:val="003D229C"/>
    <w:rsid w:val="003D2C68"/>
    <w:rsid w:val="003D3240"/>
    <w:rsid w:val="003D3A76"/>
    <w:rsid w:val="003D4189"/>
    <w:rsid w:val="003D44F6"/>
    <w:rsid w:val="003D483C"/>
    <w:rsid w:val="003D4F80"/>
    <w:rsid w:val="003D50B8"/>
    <w:rsid w:val="003D521B"/>
    <w:rsid w:val="003D5229"/>
    <w:rsid w:val="003D55B5"/>
    <w:rsid w:val="003D5697"/>
    <w:rsid w:val="003D5BFB"/>
    <w:rsid w:val="003D5C4A"/>
    <w:rsid w:val="003D72FF"/>
    <w:rsid w:val="003D7DC8"/>
    <w:rsid w:val="003E01DF"/>
    <w:rsid w:val="003E028D"/>
    <w:rsid w:val="003E02F3"/>
    <w:rsid w:val="003E0694"/>
    <w:rsid w:val="003E0B18"/>
    <w:rsid w:val="003E0D7E"/>
    <w:rsid w:val="003E0D86"/>
    <w:rsid w:val="003E12DC"/>
    <w:rsid w:val="003E155A"/>
    <w:rsid w:val="003E1694"/>
    <w:rsid w:val="003E2986"/>
    <w:rsid w:val="003E333B"/>
    <w:rsid w:val="003E393E"/>
    <w:rsid w:val="003E3FE0"/>
    <w:rsid w:val="003E448B"/>
    <w:rsid w:val="003E4F42"/>
    <w:rsid w:val="003E563F"/>
    <w:rsid w:val="003E60D0"/>
    <w:rsid w:val="003E6600"/>
    <w:rsid w:val="003E7E33"/>
    <w:rsid w:val="003F0157"/>
    <w:rsid w:val="003F0328"/>
    <w:rsid w:val="003F0B64"/>
    <w:rsid w:val="003F1441"/>
    <w:rsid w:val="003F15AF"/>
    <w:rsid w:val="003F1636"/>
    <w:rsid w:val="003F2915"/>
    <w:rsid w:val="003F3048"/>
    <w:rsid w:val="003F3461"/>
    <w:rsid w:val="003F36BD"/>
    <w:rsid w:val="003F3BFD"/>
    <w:rsid w:val="003F41F5"/>
    <w:rsid w:val="003F440A"/>
    <w:rsid w:val="003F4BAB"/>
    <w:rsid w:val="003F4CE1"/>
    <w:rsid w:val="003F5684"/>
    <w:rsid w:val="003F57F7"/>
    <w:rsid w:val="003F59CA"/>
    <w:rsid w:val="003F6068"/>
    <w:rsid w:val="003F6339"/>
    <w:rsid w:val="003F6CC5"/>
    <w:rsid w:val="003F72DF"/>
    <w:rsid w:val="003F758E"/>
    <w:rsid w:val="003F75E6"/>
    <w:rsid w:val="003F7D9E"/>
    <w:rsid w:val="004000C6"/>
    <w:rsid w:val="004002FB"/>
    <w:rsid w:val="0040043A"/>
    <w:rsid w:val="004008EE"/>
    <w:rsid w:val="00400BF0"/>
    <w:rsid w:val="00400C66"/>
    <w:rsid w:val="004013E1"/>
    <w:rsid w:val="00402378"/>
    <w:rsid w:val="004028BA"/>
    <w:rsid w:val="00402DBA"/>
    <w:rsid w:val="004036C4"/>
    <w:rsid w:val="004036F0"/>
    <w:rsid w:val="00403719"/>
    <w:rsid w:val="00403904"/>
    <w:rsid w:val="00403924"/>
    <w:rsid w:val="004039F3"/>
    <w:rsid w:val="00403AFA"/>
    <w:rsid w:val="00405AA9"/>
    <w:rsid w:val="00405C5B"/>
    <w:rsid w:val="00405E16"/>
    <w:rsid w:val="00406614"/>
    <w:rsid w:val="00406F9C"/>
    <w:rsid w:val="004071E3"/>
    <w:rsid w:val="004077FF"/>
    <w:rsid w:val="00407BC4"/>
    <w:rsid w:val="004105E4"/>
    <w:rsid w:val="00410DF4"/>
    <w:rsid w:val="0041139A"/>
    <w:rsid w:val="00412EF3"/>
    <w:rsid w:val="00412F50"/>
    <w:rsid w:val="00414288"/>
    <w:rsid w:val="0041471B"/>
    <w:rsid w:val="00414789"/>
    <w:rsid w:val="00414B53"/>
    <w:rsid w:val="00415794"/>
    <w:rsid w:val="00416B35"/>
    <w:rsid w:val="00416B8E"/>
    <w:rsid w:val="00417033"/>
    <w:rsid w:val="00417892"/>
    <w:rsid w:val="00417D91"/>
    <w:rsid w:val="00420448"/>
    <w:rsid w:val="0042149D"/>
    <w:rsid w:val="00421A21"/>
    <w:rsid w:val="00421B81"/>
    <w:rsid w:val="00421CEA"/>
    <w:rsid w:val="004221DD"/>
    <w:rsid w:val="00422EC5"/>
    <w:rsid w:val="00423555"/>
    <w:rsid w:val="00423950"/>
    <w:rsid w:val="00424035"/>
    <w:rsid w:val="0042490A"/>
    <w:rsid w:val="0042504A"/>
    <w:rsid w:val="00425190"/>
    <w:rsid w:val="0042548B"/>
    <w:rsid w:val="0042563F"/>
    <w:rsid w:val="004276A0"/>
    <w:rsid w:val="00427821"/>
    <w:rsid w:val="00427D8A"/>
    <w:rsid w:val="00427EB0"/>
    <w:rsid w:val="00430566"/>
    <w:rsid w:val="0043077D"/>
    <w:rsid w:val="00430EFC"/>
    <w:rsid w:val="0043127E"/>
    <w:rsid w:val="00431391"/>
    <w:rsid w:val="004317DB"/>
    <w:rsid w:val="00431A89"/>
    <w:rsid w:val="004321AC"/>
    <w:rsid w:val="004341FD"/>
    <w:rsid w:val="00434605"/>
    <w:rsid w:val="00434A45"/>
    <w:rsid w:val="00434ABC"/>
    <w:rsid w:val="00434C7B"/>
    <w:rsid w:val="00434DA8"/>
    <w:rsid w:val="0043546C"/>
    <w:rsid w:val="00435661"/>
    <w:rsid w:val="00435760"/>
    <w:rsid w:val="0043592B"/>
    <w:rsid w:val="00435AA7"/>
    <w:rsid w:val="00435E74"/>
    <w:rsid w:val="004360AF"/>
    <w:rsid w:val="0043618D"/>
    <w:rsid w:val="004362E4"/>
    <w:rsid w:val="00436823"/>
    <w:rsid w:val="00436B89"/>
    <w:rsid w:val="0043748E"/>
    <w:rsid w:val="00437C95"/>
    <w:rsid w:val="0044074F"/>
    <w:rsid w:val="00440988"/>
    <w:rsid w:val="00440F57"/>
    <w:rsid w:val="00441558"/>
    <w:rsid w:val="00441960"/>
    <w:rsid w:val="00441B26"/>
    <w:rsid w:val="00441D66"/>
    <w:rsid w:val="00442C90"/>
    <w:rsid w:val="00442CCE"/>
    <w:rsid w:val="00443B80"/>
    <w:rsid w:val="004440AC"/>
    <w:rsid w:val="00444172"/>
    <w:rsid w:val="00444372"/>
    <w:rsid w:val="0044484C"/>
    <w:rsid w:val="00444F4D"/>
    <w:rsid w:val="004454E1"/>
    <w:rsid w:val="004456F3"/>
    <w:rsid w:val="00445C5A"/>
    <w:rsid w:val="00445D3F"/>
    <w:rsid w:val="00445F01"/>
    <w:rsid w:val="004460DF"/>
    <w:rsid w:val="004461B3"/>
    <w:rsid w:val="004462DF"/>
    <w:rsid w:val="00446353"/>
    <w:rsid w:val="00446398"/>
    <w:rsid w:val="004464FB"/>
    <w:rsid w:val="00446BDA"/>
    <w:rsid w:val="00446F04"/>
    <w:rsid w:val="00447744"/>
    <w:rsid w:val="00447D49"/>
    <w:rsid w:val="00450364"/>
    <w:rsid w:val="00450553"/>
    <w:rsid w:val="0045056C"/>
    <w:rsid w:val="0045057A"/>
    <w:rsid w:val="0045093E"/>
    <w:rsid w:val="00450A7D"/>
    <w:rsid w:val="00451358"/>
    <w:rsid w:val="0045150E"/>
    <w:rsid w:val="00451559"/>
    <w:rsid w:val="00451CC8"/>
    <w:rsid w:val="0045233A"/>
    <w:rsid w:val="004526AC"/>
    <w:rsid w:val="00452863"/>
    <w:rsid w:val="00452A8B"/>
    <w:rsid w:val="0045318B"/>
    <w:rsid w:val="00453D2A"/>
    <w:rsid w:val="00454264"/>
    <w:rsid w:val="00454386"/>
    <w:rsid w:val="004546B8"/>
    <w:rsid w:val="00454A6D"/>
    <w:rsid w:val="00455427"/>
    <w:rsid w:val="00456797"/>
    <w:rsid w:val="00456EF0"/>
    <w:rsid w:val="004571C5"/>
    <w:rsid w:val="00457895"/>
    <w:rsid w:val="004579B2"/>
    <w:rsid w:val="0046023D"/>
    <w:rsid w:val="0046057E"/>
    <w:rsid w:val="00460EF6"/>
    <w:rsid w:val="00461FBF"/>
    <w:rsid w:val="0046204B"/>
    <w:rsid w:val="00462638"/>
    <w:rsid w:val="00462CCF"/>
    <w:rsid w:val="004630B1"/>
    <w:rsid w:val="004630C3"/>
    <w:rsid w:val="004631A1"/>
    <w:rsid w:val="004638EB"/>
    <w:rsid w:val="004648D3"/>
    <w:rsid w:val="004649B1"/>
    <w:rsid w:val="00465A62"/>
    <w:rsid w:val="00465A7B"/>
    <w:rsid w:val="00465ABC"/>
    <w:rsid w:val="00465B3F"/>
    <w:rsid w:val="00465C04"/>
    <w:rsid w:val="004663DA"/>
    <w:rsid w:val="0046645D"/>
    <w:rsid w:val="00466956"/>
    <w:rsid w:val="00466A4C"/>
    <w:rsid w:val="0046781D"/>
    <w:rsid w:val="00467B23"/>
    <w:rsid w:val="004709DA"/>
    <w:rsid w:val="00471458"/>
    <w:rsid w:val="0047184A"/>
    <w:rsid w:val="004719E2"/>
    <w:rsid w:val="00471D3B"/>
    <w:rsid w:val="00471D6D"/>
    <w:rsid w:val="00471F55"/>
    <w:rsid w:val="00471F7A"/>
    <w:rsid w:val="004723EE"/>
    <w:rsid w:val="0047260B"/>
    <w:rsid w:val="00472630"/>
    <w:rsid w:val="004727C3"/>
    <w:rsid w:val="00472AE1"/>
    <w:rsid w:val="00472D69"/>
    <w:rsid w:val="00473031"/>
    <w:rsid w:val="00473065"/>
    <w:rsid w:val="00473356"/>
    <w:rsid w:val="004737D1"/>
    <w:rsid w:val="00474183"/>
    <w:rsid w:val="00474317"/>
    <w:rsid w:val="004746D9"/>
    <w:rsid w:val="00475169"/>
    <w:rsid w:val="00475259"/>
    <w:rsid w:val="00475296"/>
    <w:rsid w:val="00475353"/>
    <w:rsid w:val="0047644A"/>
    <w:rsid w:val="004766EE"/>
    <w:rsid w:val="004776F1"/>
    <w:rsid w:val="00477CA0"/>
    <w:rsid w:val="00480440"/>
    <w:rsid w:val="004808F4"/>
    <w:rsid w:val="00480920"/>
    <w:rsid w:val="00480AF3"/>
    <w:rsid w:val="00482B41"/>
    <w:rsid w:val="00482FFE"/>
    <w:rsid w:val="004832DC"/>
    <w:rsid w:val="00483809"/>
    <w:rsid w:val="0048385C"/>
    <w:rsid w:val="0048435A"/>
    <w:rsid w:val="00484440"/>
    <w:rsid w:val="0048453C"/>
    <w:rsid w:val="00484A72"/>
    <w:rsid w:val="00484F47"/>
    <w:rsid w:val="0048539E"/>
    <w:rsid w:val="0048561E"/>
    <w:rsid w:val="00485D32"/>
    <w:rsid w:val="00486561"/>
    <w:rsid w:val="0048672B"/>
    <w:rsid w:val="00486796"/>
    <w:rsid w:val="0048687B"/>
    <w:rsid w:val="004868B0"/>
    <w:rsid w:val="00486A3F"/>
    <w:rsid w:val="00486B43"/>
    <w:rsid w:val="00486FBA"/>
    <w:rsid w:val="00487167"/>
    <w:rsid w:val="00487726"/>
    <w:rsid w:val="004878BB"/>
    <w:rsid w:val="00487DAC"/>
    <w:rsid w:val="00487FA0"/>
    <w:rsid w:val="004914A6"/>
    <w:rsid w:val="00491D94"/>
    <w:rsid w:val="00492082"/>
    <w:rsid w:val="00492C1E"/>
    <w:rsid w:val="0049316B"/>
    <w:rsid w:val="004931DA"/>
    <w:rsid w:val="00493BE2"/>
    <w:rsid w:val="004940CB"/>
    <w:rsid w:val="0049432C"/>
    <w:rsid w:val="00494762"/>
    <w:rsid w:val="004948B5"/>
    <w:rsid w:val="004948BE"/>
    <w:rsid w:val="004955BB"/>
    <w:rsid w:val="0049563F"/>
    <w:rsid w:val="0049657D"/>
    <w:rsid w:val="00496615"/>
    <w:rsid w:val="0049784E"/>
    <w:rsid w:val="004978E4"/>
    <w:rsid w:val="00497D4C"/>
    <w:rsid w:val="004A0320"/>
    <w:rsid w:val="004A0E79"/>
    <w:rsid w:val="004A12BA"/>
    <w:rsid w:val="004A1640"/>
    <w:rsid w:val="004A19A9"/>
    <w:rsid w:val="004A19B1"/>
    <w:rsid w:val="004A1F1B"/>
    <w:rsid w:val="004A240F"/>
    <w:rsid w:val="004A243D"/>
    <w:rsid w:val="004A27EE"/>
    <w:rsid w:val="004A28DA"/>
    <w:rsid w:val="004A2CDA"/>
    <w:rsid w:val="004A317B"/>
    <w:rsid w:val="004A3338"/>
    <w:rsid w:val="004A3A47"/>
    <w:rsid w:val="004A3A4F"/>
    <w:rsid w:val="004A3F1C"/>
    <w:rsid w:val="004A46F2"/>
    <w:rsid w:val="004A498A"/>
    <w:rsid w:val="004A524A"/>
    <w:rsid w:val="004A531F"/>
    <w:rsid w:val="004A53DB"/>
    <w:rsid w:val="004A55FF"/>
    <w:rsid w:val="004A5FF0"/>
    <w:rsid w:val="004A660E"/>
    <w:rsid w:val="004A6803"/>
    <w:rsid w:val="004A6926"/>
    <w:rsid w:val="004A718A"/>
    <w:rsid w:val="004A726E"/>
    <w:rsid w:val="004A7B41"/>
    <w:rsid w:val="004B002F"/>
    <w:rsid w:val="004B0071"/>
    <w:rsid w:val="004B0899"/>
    <w:rsid w:val="004B0A77"/>
    <w:rsid w:val="004B0C9C"/>
    <w:rsid w:val="004B0D54"/>
    <w:rsid w:val="004B0DC6"/>
    <w:rsid w:val="004B0FF7"/>
    <w:rsid w:val="004B1116"/>
    <w:rsid w:val="004B13B4"/>
    <w:rsid w:val="004B1B6F"/>
    <w:rsid w:val="004B1EFC"/>
    <w:rsid w:val="004B2001"/>
    <w:rsid w:val="004B210E"/>
    <w:rsid w:val="004B2166"/>
    <w:rsid w:val="004B2652"/>
    <w:rsid w:val="004B28F1"/>
    <w:rsid w:val="004B322E"/>
    <w:rsid w:val="004B32DC"/>
    <w:rsid w:val="004B333B"/>
    <w:rsid w:val="004B3432"/>
    <w:rsid w:val="004B3462"/>
    <w:rsid w:val="004B3EC2"/>
    <w:rsid w:val="004B45A5"/>
    <w:rsid w:val="004B4A58"/>
    <w:rsid w:val="004B51C1"/>
    <w:rsid w:val="004B57A1"/>
    <w:rsid w:val="004B5AC1"/>
    <w:rsid w:val="004B5CB3"/>
    <w:rsid w:val="004B5CC4"/>
    <w:rsid w:val="004B5D26"/>
    <w:rsid w:val="004B61E6"/>
    <w:rsid w:val="004B61EA"/>
    <w:rsid w:val="004B66A8"/>
    <w:rsid w:val="004B6848"/>
    <w:rsid w:val="004B68BF"/>
    <w:rsid w:val="004B6D48"/>
    <w:rsid w:val="004B6E55"/>
    <w:rsid w:val="004B712F"/>
    <w:rsid w:val="004B72C5"/>
    <w:rsid w:val="004B7552"/>
    <w:rsid w:val="004B79CA"/>
    <w:rsid w:val="004B7D31"/>
    <w:rsid w:val="004C03EA"/>
    <w:rsid w:val="004C0684"/>
    <w:rsid w:val="004C09FF"/>
    <w:rsid w:val="004C0B4A"/>
    <w:rsid w:val="004C1345"/>
    <w:rsid w:val="004C1676"/>
    <w:rsid w:val="004C1CF8"/>
    <w:rsid w:val="004C2924"/>
    <w:rsid w:val="004C2A48"/>
    <w:rsid w:val="004C3CDE"/>
    <w:rsid w:val="004C48DE"/>
    <w:rsid w:val="004C4A42"/>
    <w:rsid w:val="004C505E"/>
    <w:rsid w:val="004C5293"/>
    <w:rsid w:val="004C68BA"/>
    <w:rsid w:val="004C6FCC"/>
    <w:rsid w:val="004C77AA"/>
    <w:rsid w:val="004C7841"/>
    <w:rsid w:val="004C7A5E"/>
    <w:rsid w:val="004C7AD5"/>
    <w:rsid w:val="004C7C85"/>
    <w:rsid w:val="004D026F"/>
    <w:rsid w:val="004D0853"/>
    <w:rsid w:val="004D096E"/>
    <w:rsid w:val="004D1331"/>
    <w:rsid w:val="004D134D"/>
    <w:rsid w:val="004D1625"/>
    <w:rsid w:val="004D2015"/>
    <w:rsid w:val="004D23A7"/>
    <w:rsid w:val="004D23BA"/>
    <w:rsid w:val="004D23D7"/>
    <w:rsid w:val="004D27F6"/>
    <w:rsid w:val="004D32CC"/>
    <w:rsid w:val="004D3E39"/>
    <w:rsid w:val="004D5668"/>
    <w:rsid w:val="004D6339"/>
    <w:rsid w:val="004D66D8"/>
    <w:rsid w:val="004D6720"/>
    <w:rsid w:val="004D67E3"/>
    <w:rsid w:val="004D6C08"/>
    <w:rsid w:val="004D717E"/>
    <w:rsid w:val="004D75BF"/>
    <w:rsid w:val="004D78CB"/>
    <w:rsid w:val="004D7BC3"/>
    <w:rsid w:val="004D7CD7"/>
    <w:rsid w:val="004E0412"/>
    <w:rsid w:val="004E0B35"/>
    <w:rsid w:val="004E108F"/>
    <w:rsid w:val="004E1F1C"/>
    <w:rsid w:val="004E2192"/>
    <w:rsid w:val="004E225F"/>
    <w:rsid w:val="004E2314"/>
    <w:rsid w:val="004E2A6F"/>
    <w:rsid w:val="004E3AD7"/>
    <w:rsid w:val="004E4B49"/>
    <w:rsid w:val="004E5D74"/>
    <w:rsid w:val="004E60A2"/>
    <w:rsid w:val="004E62F4"/>
    <w:rsid w:val="004E7527"/>
    <w:rsid w:val="004E7F73"/>
    <w:rsid w:val="004F0288"/>
    <w:rsid w:val="004F0989"/>
    <w:rsid w:val="004F0A5E"/>
    <w:rsid w:val="004F0EC3"/>
    <w:rsid w:val="004F1007"/>
    <w:rsid w:val="004F106D"/>
    <w:rsid w:val="004F12B2"/>
    <w:rsid w:val="004F307F"/>
    <w:rsid w:val="004F30F5"/>
    <w:rsid w:val="004F3115"/>
    <w:rsid w:val="004F3B5A"/>
    <w:rsid w:val="004F3CC0"/>
    <w:rsid w:val="004F3E13"/>
    <w:rsid w:val="004F4405"/>
    <w:rsid w:val="004F53FA"/>
    <w:rsid w:val="004F59A8"/>
    <w:rsid w:val="004F5A82"/>
    <w:rsid w:val="004F5DD7"/>
    <w:rsid w:val="004F5E8D"/>
    <w:rsid w:val="004F5EA6"/>
    <w:rsid w:val="004F5EFE"/>
    <w:rsid w:val="004F5FA7"/>
    <w:rsid w:val="004F68E1"/>
    <w:rsid w:val="004F69B3"/>
    <w:rsid w:val="004F6BA7"/>
    <w:rsid w:val="004F6D9F"/>
    <w:rsid w:val="004F707C"/>
    <w:rsid w:val="004F7B4F"/>
    <w:rsid w:val="004F7FE0"/>
    <w:rsid w:val="0050036A"/>
    <w:rsid w:val="00500570"/>
    <w:rsid w:val="0050116E"/>
    <w:rsid w:val="0050117A"/>
    <w:rsid w:val="00502443"/>
    <w:rsid w:val="0050245B"/>
    <w:rsid w:val="005025CD"/>
    <w:rsid w:val="00502654"/>
    <w:rsid w:val="005029F8"/>
    <w:rsid w:val="00502B06"/>
    <w:rsid w:val="00502B96"/>
    <w:rsid w:val="00502D6A"/>
    <w:rsid w:val="005031A1"/>
    <w:rsid w:val="00503505"/>
    <w:rsid w:val="005035C0"/>
    <w:rsid w:val="00503D28"/>
    <w:rsid w:val="00503DE9"/>
    <w:rsid w:val="00504961"/>
    <w:rsid w:val="00504B31"/>
    <w:rsid w:val="0050574D"/>
    <w:rsid w:val="005061F7"/>
    <w:rsid w:val="00506424"/>
    <w:rsid w:val="005068A1"/>
    <w:rsid w:val="00507121"/>
    <w:rsid w:val="005071F4"/>
    <w:rsid w:val="005073A8"/>
    <w:rsid w:val="005074F1"/>
    <w:rsid w:val="00507CC0"/>
    <w:rsid w:val="005109CB"/>
    <w:rsid w:val="00511376"/>
    <w:rsid w:val="005113D2"/>
    <w:rsid w:val="00511C72"/>
    <w:rsid w:val="005122F3"/>
    <w:rsid w:val="005125AC"/>
    <w:rsid w:val="005125FB"/>
    <w:rsid w:val="00512682"/>
    <w:rsid w:val="005127C9"/>
    <w:rsid w:val="00512D06"/>
    <w:rsid w:val="00513738"/>
    <w:rsid w:val="00513A0C"/>
    <w:rsid w:val="00513BDD"/>
    <w:rsid w:val="00513CCB"/>
    <w:rsid w:val="00513E7E"/>
    <w:rsid w:val="005145A1"/>
    <w:rsid w:val="00514DEE"/>
    <w:rsid w:val="00515202"/>
    <w:rsid w:val="0051535E"/>
    <w:rsid w:val="00516174"/>
    <w:rsid w:val="005162FD"/>
    <w:rsid w:val="005169A9"/>
    <w:rsid w:val="00517021"/>
    <w:rsid w:val="0051722A"/>
    <w:rsid w:val="00517520"/>
    <w:rsid w:val="00517635"/>
    <w:rsid w:val="005177DB"/>
    <w:rsid w:val="00517937"/>
    <w:rsid w:val="00517A27"/>
    <w:rsid w:val="00517BEA"/>
    <w:rsid w:val="00517E6A"/>
    <w:rsid w:val="005205C8"/>
    <w:rsid w:val="00520FE4"/>
    <w:rsid w:val="00521024"/>
    <w:rsid w:val="00521238"/>
    <w:rsid w:val="005233DF"/>
    <w:rsid w:val="00523E85"/>
    <w:rsid w:val="00524045"/>
    <w:rsid w:val="005249F1"/>
    <w:rsid w:val="00525699"/>
    <w:rsid w:val="005258A1"/>
    <w:rsid w:val="00525A4C"/>
    <w:rsid w:val="00525B3A"/>
    <w:rsid w:val="0052601F"/>
    <w:rsid w:val="00526E23"/>
    <w:rsid w:val="00526F71"/>
    <w:rsid w:val="00527164"/>
    <w:rsid w:val="00527410"/>
    <w:rsid w:val="005276B5"/>
    <w:rsid w:val="00527E25"/>
    <w:rsid w:val="005301C5"/>
    <w:rsid w:val="005313B2"/>
    <w:rsid w:val="0053150E"/>
    <w:rsid w:val="005315D7"/>
    <w:rsid w:val="005316B8"/>
    <w:rsid w:val="00531702"/>
    <w:rsid w:val="005317BE"/>
    <w:rsid w:val="00532195"/>
    <w:rsid w:val="005339D1"/>
    <w:rsid w:val="005339F4"/>
    <w:rsid w:val="005346E7"/>
    <w:rsid w:val="00534728"/>
    <w:rsid w:val="005347B1"/>
    <w:rsid w:val="00534B34"/>
    <w:rsid w:val="00535169"/>
    <w:rsid w:val="005360C4"/>
    <w:rsid w:val="00536401"/>
    <w:rsid w:val="005366AA"/>
    <w:rsid w:val="00536FB6"/>
    <w:rsid w:val="005376E5"/>
    <w:rsid w:val="00540344"/>
    <w:rsid w:val="005404C3"/>
    <w:rsid w:val="00540E1A"/>
    <w:rsid w:val="00541013"/>
    <w:rsid w:val="00541081"/>
    <w:rsid w:val="00541394"/>
    <w:rsid w:val="00541D68"/>
    <w:rsid w:val="00542445"/>
    <w:rsid w:val="00542720"/>
    <w:rsid w:val="0054323B"/>
    <w:rsid w:val="0054412C"/>
    <w:rsid w:val="0054426C"/>
    <w:rsid w:val="005448D5"/>
    <w:rsid w:val="00544946"/>
    <w:rsid w:val="00544BFA"/>
    <w:rsid w:val="0054512B"/>
    <w:rsid w:val="005455DA"/>
    <w:rsid w:val="00545981"/>
    <w:rsid w:val="0054618C"/>
    <w:rsid w:val="00546ED1"/>
    <w:rsid w:val="005471F3"/>
    <w:rsid w:val="0054724C"/>
    <w:rsid w:val="00547AFF"/>
    <w:rsid w:val="00547BCC"/>
    <w:rsid w:val="00547C0E"/>
    <w:rsid w:val="005503A2"/>
    <w:rsid w:val="005505F3"/>
    <w:rsid w:val="005508EA"/>
    <w:rsid w:val="00550EBE"/>
    <w:rsid w:val="00550FE2"/>
    <w:rsid w:val="00551246"/>
    <w:rsid w:val="00551782"/>
    <w:rsid w:val="00551BAF"/>
    <w:rsid w:val="00552022"/>
    <w:rsid w:val="005523DC"/>
    <w:rsid w:val="005523E5"/>
    <w:rsid w:val="00552679"/>
    <w:rsid w:val="00552DB8"/>
    <w:rsid w:val="00553099"/>
    <w:rsid w:val="00553485"/>
    <w:rsid w:val="0055396F"/>
    <w:rsid w:val="00553CD2"/>
    <w:rsid w:val="00553E8E"/>
    <w:rsid w:val="0055449D"/>
    <w:rsid w:val="00554F22"/>
    <w:rsid w:val="00555138"/>
    <w:rsid w:val="00555468"/>
    <w:rsid w:val="005556C5"/>
    <w:rsid w:val="00555B10"/>
    <w:rsid w:val="005560DB"/>
    <w:rsid w:val="0055614D"/>
    <w:rsid w:val="0055656D"/>
    <w:rsid w:val="0055662C"/>
    <w:rsid w:val="0055677A"/>
    <w:rsid w:val="0055677C"/>
    <w:rsid w:val="005568B4"/>
    <w:rsid w:val="00556C56"/>
    <w:rsid w:val="00556D74"/>
    <w:rsid w:val="005577AA"/>
    <w:rsid w:val="00557945"/>
    <w:rsid w:val="005600AE"/>
    <w:rsid w:val="00560439"/>
    <w:rsid w:val="005605C3"/>
    <w:rsid w:val="00560CEB"/>
    <w:rsid w:val="00561065"/>
    <w:rsid w:val="0056225C"/>
    <w:rsid w:val="00562A8D"/>
    <w:rsid w:val="005632BF"/>
    <w:rsid w:val="0056342C"/>
    <w:rsid w:val="00563856"/>
    <w:rsid w:val="00563A0E"/>
    <w:rsid w:val="00563AFA"/>
    <w:rsid w:val="0056458C"/>
    <w:rsid w:val="005649D8"/>
    <w:rsid w:val="00564CE4"/>
    <w:rsid w:val="00565209"/>
    <w:rsid w:val="00566841"/>
    <w:rsid w:val="005668C1"/>
    <w:rsid w:val="00570065"/>
    <w:rsid w:val="0057016E"/>
    <w:rsid w:val="00570255"/>
    <w:rsid w:val="00570463"/>
    <w:rsid w:val="00570B8E"/>
    <w:rsid w:val="00571170"/>
    <w:rsid w:val="005711AA"/>
    <w:rsid w:val="00571289"/>
    <w:rsid w:val="005714AE"/>
    <w:rsid w:val="00571608"/>
    <w:rsid w:val="005722E5"/>
    <w:rsid w:val="005728BB"/>
    <w:rsid w:val="00572A8C"/>
    <w:rsid w:val="00572ABE"/>
    <w:rsid w:val="005735AA"/>
    <w:rsid w:val="005736AE"/>
    <w:rsid w:val="00573C3E"/>
    <w:rsid w:val="00573C95"/>
    <w:rsid w:val="00575070"/>
    <w:rsid w:val="00575D42"/>
    <w:rsid w:val="00575EA1"/>
    <w:rsid w:val="00576502"/>
    <w:rsid w:val="005766EE"/>
    <w:rsid w:val="005768B9"/>
    <w:rsid w:val="00576EF3"/>
    <w:rsid w:val="0057753A"/>
    <w:rsid w:val="0057768C"/>
    <w:rsid w:val="005778F8"/>
    <w:rsid w:val="00577D37"/>
    <w:rsid w:val="00580052"/>
    <w:rsid w:val="00580126"/>
    <w:rsid w:val="00580430"/>
    <w:rsid w:val="0058055F"/>
    <w:rsid w:val="0058059E"/>
    <w:rsid w:val="00580B10"/>
    <w:rsid w:val="00580C42"/>
    <w:rsid w:val="00580DCE"/>
    <w:rsid w:val="005811B9"/>
    <w:rsid w:val="00581913"/>
    <w:rsid w:val="00581982"/>
    <w:rsid w:val="00581CCA"/>
    <w:rsid w:val="00581FF0"/>
    <w:rsid w:val="00582176"/>
    <w:rsid w:val="00582494"/>
    <w:rsid w:val="00582AEC"/>
    <w:rsid w:val="0058372D"/>
    <w:rsid w:val="00583BA2"/>
    <w:rsid w:val="00583BBD"/>
    <w:rsid w:val="00584050"/>
    <w:rsid w:val="00584565"/>
    <w:rsid w:val="00584E28"/>
    <w:rsid w:val="00584E39"/>
    <w:rsid w:val="00584FAF"/>
    <w:rsid w:val="005856AB"/>
    <w:rsid w:val="00585805"/>
    <w:rsid w:val="00585E26"/>
    <w:rsid w:val="00585F77"/>
    <w:rsid w:val="0058604F"/>
    <w:rsid w:val="00587C90"/>
    <w:rsid w:val="00590E83"/>
    <w:rsid w:val="00591091"/>
    <w:rsid w:val="005910F5"/>
    <w:rsid w:val="005911AF"/>
    <w:rsid w:val="0059120D"/>
    <w:rsid w:val="00591483"/>
    <w:rsid w:val="005915A4"/>
    <w:rsid w:val="00591F0F"/>
    <w:rsid w:val="00591FC0"/>
    <w:rsid w:val="0059298B"/>
    <w:rsid w:val="00592AC2"/>
    <w:rsid w:val="00592CFC"/>
    <w:rsid w:val="0059357C"/>
    <w:rsid w:val="005939B4"/>
    <w:rsid w:val="00593BD6"/>
    <w:rsid w:val="00594146"/>
    <w:rsid w:val="005942E8"/>
    <w:rsid w:val="00594C7A"/>
    <w:rsid w:val="00594DB7"/>
    <w:rsid w:val="00594DF8"/>
    <w:rsid w:val="00594FBC"/>
    <w:rsid w:val="00595270"/>
    <w:rsid w:val="005952FF"/>
    <w:rsid w:val="00595E77"/>
    <w:rsid w:val="005960F2"/>
    <w:rsid w:val="0059617C"/>
    <w:rsid w:val="00596964"/>
    <w:rsid w:val="00596D30"/>
    <w:rsid w:val="005973AA"/>
    <w:rsid w:val="00597626"/>
    <w:rsid w:val="00597660"/>
    <w:rsid w:val="00597695"/>
    <w:rsid w:val="005977D9"/>
    <w:rsid w:val="005978A2"/>
    <w:rsid w:val="00597E80"/>
    <w:rsid w:val="00597FAD"/>
    <w:rsid w:val="005A06B7"/>
    <w:rsid w:val="005A0B55"/>
    <w:rsid w:val="005A1081"/>
    <w:rsid w:val="005A223E"/>
    <w:rsid w:val="005A2CF1"/>
    <w:rsid w:val="005A2CFA"/>
    <w:rsid w:val="005A30CA"/>
    <w:rsid w:val="005A366B"/>
    <w:rsid w:val="005A495D"/>
    <w:rsid w:val="005A4DB1"/>
    <w:rsid w:val="005A50EE"/>
    <w:rsid w:val="005A5433"/>
    <w:rsid w:val="005A55EA"/>
    <w:rsid w:val="005A5A20"/>
    <w:rsid w:val="005A5BF4"/>
    <w:rsid w:val="005A629C"/>
    <w:rsid w:val="005A6402"/>
    <w:rsid w:val="005A65E1"/>
    <w:rsid w:val="005A697F"/>
    <w:rsid w:val="005A6BC2"/>
    <w:rsid w:val="005A6CE3"/>
    <w:rsid w:val="005A6CFC"/>
    <w:rsid w:val="005B030B"/>
    <w:rsid w:val="005B07E6"/>
    <w:rsid w:val="005B098D"/>
    <w:rsid w:val="005B0D7B"/>
    <w:rsid w:val="005B1699"/>
    <w:rsid w:val="005B1AE0"/>
    <w:rsid w:val="005B269E"/>
    <w:rsid w:val="005B2A0E"/>
    <w:rsid w:val="005B2A26"/>
    <w:rsid w:val="005B2DE4"/>
    <w:rsid w:val="005B33C2"/>
    <w:rsid w:val="005B3451"/>
    <w:rsid w:val="005B3DC7"/>
    <w:rsid w:val="005B4139"/>
    <w:rsid w:val="005B4AD4"/>
    <w:rsid w:val="005B4D1A"/>
    <w:rsid w:val="005B50D8"/>
    <w:rsid w:val="005B5867"/>
    <w:rsid w:val="005B6192"/>
    <w:rsid w:val="005B656F"/>
    <w:rsid w:val="005B6A03"/>
    <w:rsid w:val="005B6C30"/>
    <w:rsid w:val="005B75DD"/>
    <w:rsid w:val="005B771A"/>
    <w:rsid w:val="005B78EA"/>
    <w:rsid w:val="005B7ACB"/>
    <w:rsid w:val="005B7D09"/>
    <w:rsid w:val="005C081B"/>
    <w:rsid w:val="005C1865"/>
    <w:rsid w:val="005C2809"/>
    <w:rsid w:val="005C3746"/>
    <w:rsid w:val="005C378B"/>
    <w:rsid w:val="005C3893"/>
    <w:rsid w:val="005C3DF4"/>
    <w:rsid w:val="005C4293"/>
    <w:rsid w:val="005C44D6"/>
    <w:rsid w:val="005C454D"/>
    <w:rsid w:val="005C4640"/>
    <w:rsid w:val="005C470B"/>
    <w:rsid w:val="005C48F1"/>
    <w:rsid w:val="005C4E9C"/>
    <w:rsid w:val="005C560F"/>
    <w:rsid w:val="005C5DA1"/>
    <w:rsid w:val="005C60FF"/>
    <w:rsid w:val="005C6174"/>
    <w:rsid w:val="005C678F"/>
    <w:rsid w:val="005C6850"/>
    <w:rsid w:val="005C6A1C"/>
    <w:rsid w:val="005C6BA4"/>
    <w:rsid w:val="005C6CA8"/>
    <w:rsid w:val="005C6CFC"/>
    <w:rsid w:val="005C6DAF"/>
    <w:rsid w:val="005C782F"/>
    <w:rsid w:val="005C7B5C"/>
    <w:rsid w:val="005C7BF6"/>
    <w:rsid w:val="005C7E85"/>
    <w:rsid w:val="005C7FD5"/>
    <w:rsid w:val="005D05BD"/>
    <w:rsid w:val="005D0F03"/>
    <w:rsid w:val="005D1587"/>
    <w:rsid w:val="005D1A90"/>
    <w:rsid w:val="005D1F34"/>
    <w:rsid w:val="005D2A31"/>
    <w:rsid w:val="005D2E4A"/>
    <w:rsid w:val="005D309D"/>
    <w:rsid w:val="005D347A"/>
    <w:rsid w:val="005D3550"/>
    <w:rsid w:val="005D3918"/>
    <w:rsid w:val="005D400C"/>
    <w:rsid w:val="005D40C5"/>
    <w:rsid w:val="005D48D8"/>
    <w:rsid w:val="005D4A51"/>
    <w:rsid w:val="005D53F4"/>
    <w:rsid w:val="005D5AD7"/>
    <w:rsid w:val="005D5BF6"/>
    <w:rsid w:val="005D5FAB"/>
    <w:rsid w:val="005D6064"/>
    <w:rsid w:val="005D677F"/>
    <w:rsid w:val="005D6792"/>
    <w:rsid w:val="005D683F"/>
    <w:rsid w:val="005D684B"/>
    <w:rsid w:val="005D68BD"/>
    <w:rsid w:val="005D7214"/>
    <w:rsid w:val="005D75D1"/>
    <w:rsid w:val="005E03BF"/>
    <w:rsid w:val="005E0CB1"/>
    <w:rsid w:val="005E175E"/>
    <w:rsid w:val="005E19FF"/>
    <w:rsid w:val="005E2868"/>
    <w:rsid w:val="005E2CD5"/>
    <w:rsid w:val="005E2FB0"/>
    <w:rsid w:val="005E32B6"/>
    <w:rsid w:val="005E3371"/>
    <w:rsid w:val="005E3586"/>
    <w:rsid w:val="005E3709"/>
    <w:rsid w:val="005E3C35"/>
    <w:rsid w:val="005E4B40"/>
    <w:rsid w:val="005E4BBF"/>
    <w:rsid w:val="005E4C5B"/>
    <w:rsid w:val="005E4D0D"/>
    <w:rsid w:val="005E5123"/>
    <w:rsid w:val="005E51D8"/>
    <w:rsid w:val="005E58CB"/>
    <w:rsid w:val="005E5CB4"/>
    <w:rsid w:val="005E711E"/>
    <w:rsid w:val="005E72BD"/>
    <w:rsid w:val="005E7574"/>
    <w:rsid w:val="005E79ED"/>
    <w:rsid w:val="005F09A3"/>
    <w:rsid w:val="005F12F9"/>
    <w:rsid w:val="005F162B"/>
    <w:rsid w:val="005F1C94"/>
    <w:rsid w:val="005F2189"/>
    <w:rsid w:val="005F28DE"/>
    <w:rsid w:val="005F38C4"/>
    <w:rsid w:val="005F4C38"/>
    <w:rsid w:val="005F649F"/>
    <w:rsid w:val="005F69B9"/>
    <w:rsid w:val="005F6EAA"/>
    <w:rsid w:val="005F7171"/>
    <w:rsid w:val="005F726B"/>
    <w:rsid w:val="006001BD"/>
    <w:rsid w:val="00600500"/>
    <w:rsid w:val="006017D7"/>
    <w:rsid w:val="006018DE"/>
    <w:rsid w:val="0060281B"/>
    <w:rsid w:val="00603629"/>
    <w:rsid w:val="00603C32"/>
    <w:rsid w:val="00604244"/>
    <w:rsid w:val="0060446C"/>
    <w:rsid w:val="0060479D"/>
    <w:rsid w:val="00604BCC"/>
    <w:rsid w:val="00604FDB"/>
    <w:rsid w:val="00604FF8"/>
    <w:rsid w:val="0060524A"/>
    <w:rsid w:val="006054BA"/>
    <w:rsid w:val="006059E8"/>
    <w:rsid w:val="0060634F"/>
    <w:rsid w:val="00607462"/>
    <w:rsid w:val="00607599"/>
    <w:rsid w:val="00607889"/>
    <w:rsid w:val="0060789C"/>
    <w:rsid w:val="00607CF7"/>
    <w:rsid w:val="00610226"/>
    <w:rsid w:val="0061045C"/>
    <w:rsid w:val="006108B1"/>
    <w:rsid w:val="006110C1"/>
    <w:rsid w:val="006115B4"/>
    <w:rsid w:val="00611D94"/>
    <w:rsid w:val="00612464"/>
    <w:rsid w:val="00612742"/>
    <w:rsid w:val="006127E0"/>
    <w:rsid w:val="00612AA8"/>
    <w:rsid w:val="00612D57"/>
    <w:rsid w:val="006130D6"/>
    <w:rsid w:val="00613659"/>
    <w:rsid w:val="0061372D"/>
    <w:rsid w:val="00613A69"/>
    <w:rsid w:val="00613B62"/>
    <w:rsid w:val="00613BF2"/>
    <w:rsid w:val="006144E2"/>
    <w:rsid w:val="0061455A"/>
    <w:rsid w:val="00615D41"/>
    <w:rsid w:val="00615F2A"/>
    <w:rsid w:val="00616040"/>
    <w:rsid w:val="006168FD"/>
    <w:rsid w:val="00620094"/>
    <w:rsid w:val="00620891"/>
    <w:rsid w:val="006209A8"/>
    <w:rsid w:val="00620EDA"/>
    <w:rsid w:val="0062100F"/>
    <w:rsid w:val="00621192"/>
    <w:rsid w:val="00621259"/>
    <w:rsid w:val="00621DCC"/>
    <w:rsid w:val="006226C5"/>
    <w:rsid w:val="00622C8F"/>
    <w:rsid w:val="00622DB7"/>
    <w:rsid w:val="00623C6D"/>
    <w:rsid w:val="0062411E"/>
    <w:rsid w:val="00624348"/>
    <w:rsid w:val="00625033"/>
    <w:rsid w:val="00625040"/>
    <w:rsid w:val="00625A88"/>
    <w:rsid w:val="00625AE4"/>
    <w:rsid w:val="00626278"/>
    <w:rsid w:val="00626C11"/>
    <w:rsid w:val="00627102"/>
    <w:rsid w:val="006271BA"/>
    <w:rsid w:val="00627466"/>
    <w:rsid w:val="0063054D"/>
    <w:rsid w:val="0063064F"/>
    <w:rsid w:val="00630996"/>
    <w:rsid w:val="00630AE8"/>
    <w:rsid w:val="00630C5D"/>
    <w:rsid w:val="00630E06"/>
    <w:rsid w:val="00630E50"/>
    <w:rsid w:val="00630F85"/>
    <w:rsid w:val="00630FED"/>
    <w:rsid w:val="006318DF"/>
    <w:rsid w:val="00631E72"/>
    <w:rsid w:val="00632099"/>
    <w:rsid w:val="006321C0"/>
    <w:rsid w:val="00632BE8"/>
    <w:rsid w:val="00633496"/>
    <w:rsid w:val="006337E8"/>
    <w:rsid w:val="0063395C"/>
    <w:rsid w:val="00634D90"/>
    <w:rsid w:val="00634E04"/>
    <w:rsid w:val="00634F00"/>
    <w:rsid w:val="006354FC"/>
    <w:rsid w:val="00636762"/>
    <w:rsid w:val="00636B90"/>
    <w:rsid w:val="00636BA9"/>
    <w:rsid w:val="00637789"/>
    <w:rsid w:val="00640101"/>
    <w:rsid w:val="0064016A"/>
    <w:rsid w:val="0064060D"/>
    <w:rsid w:val="00640660"/>
    <w:rsid w:val="00641595"/>
    <w:rsid w:val="00641B72"/>
    <w:rsid w:val="00641C1D"/>
    <w:rsid w:val="00641DDE"/>
    <w:rsid w:val="00641FD3"/>
    <w:rsid w:val="006420E7"/>
    <w:rsid w:val="006427F7"/>
    <w:rsid w:val="00643160"/>
    <w:rsid w:val="00643A60"/>
    <w:rsid w:val="00644AE1"/>
    <w:rsid w:val="00644B38"/>
    <w:rsid w:val="00644EE3"/>
    <w:rsid w:val="006452B7"/>
    <w:rsid w:val="00645D2D"/>
    <w:rsid w:val="00645E1B"/>
    <w:rsid w:val="006462FC"/>
    <w:rsid w:val="006469DD"/>
    <w:rsid w:val="00646DEF"/>
    <w:rsid w:val="0064709B"/>
    <w:rsid w:val="006474DC"/>
    <w:rsid w:val="00647E05"/>
    <w:rsid w:val="00650450"/>
    <w:rsid w:val="00650517"/>
    <w:rsid w:val="00650C1F"/>
    <w:rsid w:val="00650FE7"/>
    <w:rsid w:val="0065134E"/>
    <w:rsid w:val="0065176D"/>
    <w:rsid w:val="006518DB"/>
    <w:rsid w:val="00651906"/>
    <w:rsid w:val="006519E7"/>
    <w:rsid w:val="00652055"/>
    <w:rsid w:val="00652399"/>
    <w:rsid w:val="0065315B"/>
    <w:rsid w:val="0065323C"/>
    <w:rsid w:val="006536D4"/>
    <w:rsid w:val="00653A52"/>
    <w:rsid w:val="00653C39"/>
    <w:rsid w:val="00654842"/>
    <w:rsid w:val="0065497E"/>
    <w:rsid w:val="00654CB6"/>
    <w:rsid w:val="00654E57"/>
    <w:rsid w:val="0065522B"/>
    <w:rsid w:val="0065545B"/>
    <w:rsid w:val="0065604B"/>
    <w:rsid w:val="0065612C"/>
    <w:rsid w:val="0065666F"/>
    <w:rsid w:val="006566F1"/>
    <w:rsid w:val="00656840"/>
    <w:rsid w:val="0065690E"/>
    <w:rsid w:val="00656C40"/>
    <w:rsid w:val="00656E84"/>
    <w:rsid w:val="006578C8"/>
    <w:rsid w:val="00657F2A"/>
    <w:rsid w:val="00660042"/>
    <w:rsid w:val="0066021B"/>
    <w:rsid w:val="00660E1F"/>
    <w:rsid w:val="00661271"/>
    <w:rsid w:val="00661503"/>
    <w:rsid w:val="00661AE4"/>
    <w:rsid w:val="00661DB5"/>
    <w:rsid w:val="00661FC2"/>
    <w:rsid w:val="0066241B"/>
    <w:rsid w:val="00662A48"/>
    <w:rsid w:val="00662E7D"/>
    <w:rsid w:val="00662EB5"/>
    <w:rsid w:val="00662FD8"/>
    <w:rsid w:val="00663DA2"/>
    <w:rsid w:val="00663E1E"/>
    <w:rsid w:val="006643F2"/>
    <w:rsid w:val="00664511"/>
    <w:rsid w:val="00664A03"/>
    <w:rsid w:val="00664A40"/>
    <w:rsid w:val="00664AD1"/>
    <w:rsid w:val="00665060"/>
    <w:rsid w:val="00665179"/>
    <w:rsid w:val="00665333"/>
    <w:rsid w:val="00665598"/>
    <w:rsid w:val="00665737"/>
    <w:rsid w:val="00665C5A"/>
    <w:rsid w:val="00665E8E"/>
    <w:rsid w:val="00665FE5"/>
    <w:rsid w:val="0066664B"/>
    <w:rsid w:val="00666687"/>
    <w:rsid w:val="006667AD"/>
    <w:rsid w:val="00666EBB"/>
    <w:rsid w:val="00666F47"/>
    <w:rsid w:val="00667A38"/>
    <w:rsid w:val="00667CAE"/>
    <w:rsid w:val="006704B0"/>
    <w:rsid w:val="00670792"/>
    <w:rsid w:val="006709E3"/>
    <w:rsid w:val="00670EAF"/>
    <w:rsid w:val="00673A52"/>
    <w:rsid w:val="006744EA"/>
    <w:rsid w:val="006745BE"/>
    <w:rsid w:val="00674717"/>
    <w:rsid w:val="006750FB"/>
    <w:rsid w:val="00675397"/>
    <w:rsid w:val="00675399"/>
    <w:rsid w:val="00676169"/>
    <w:rsid w:val="006764D7"/>
    <w:rsid w:val="006771E4"/>
    <w:rsid w:val="0067723A"/>
    <w:rsid w:val="00677319"/>
    <w:rsid w:val="00677647"/>
    <w:rsid w:val="0067768C"/>
    <w:rsid w:val="00677E62"/>
    <w:rsid w:val="00680A90"/>
    <w:rsid w:val="00680BE7"/>
    <w:rsid w:val="006818FF"/>
    <w:rsid w:val="006822F2"/>
    <w:rsid w:val="0068232E"/>
    <w:rsid w:val="006823DF"/>
    <w:rsid w:val="006825CA"/>
    <w:rsid w:val="00682979"/>
    <w:rsid w:val="006829DE"/>
    <w:rsid w:val="006830A6"/>
    <w:rsid w:val="006836A4"/>
    <w:rsid w:val="00683820"/>
    <w:rsid w:val="00684A12"/>
    <w:rsid w:val="00684D64"/>
    <w:rsid w:val="006859D9"/>
    <w:rsid w:val="00685E26"/>
    <w:rsid w:val="006860AB"/>
    <w:rsid w:val="006868A6"/>
    <w:rsid w:val="00686BDD"/>
    <w:rsid w:val="00686F1C"/>
    <w:rsid w:val="00687017"/>
    <w:rsid w:val="006871B4"/>
    <w:rsid w:val="006879DF"/>
    <w:rsid w:val="00687D85"/>
    <w:rsid w:val="00690EC8"/>
    <w:rsid w:val="00690F1F"/>
    <w:rsid w:val="0069109E"/>
    <w:rsid w:val="00691B53"/>
    <w:rsid w:val="00691D7A"/>
    <w:rsid w:val="00691EE9"/>
    <w:rsid w:val="0069387B"/>
    <w:rsid w:val="00695778"/>
    <w:rsid w:val="00695A4F"/>
    <w:rsid w:val="00695CF0"/>
    <w:rsid w:val="00695DA6"/>
    <w:rsid w:val="0069704D"/>
    <w:rsid w:val="00697089"/>
    <w:rsid w:val="0069780E"/>
    <w:rsid w:val="00697D1E"/>
    <w:rsid w:val="006A1810"/>
    <w:rsid w:val="006A19A7"/>
    <w:rsid w:val="006A2FD5"/>
    <w:rsid w:val="006A32AC"/>
    <w:rsid w:val="006A3DEB"/>
    <w:rsid w:val="006A4091"/>
    <w:rsid w:val="006A418C"/>
    <w:rsid w:val="006A4CBA"/>
    <w:rsid w:val="006A4EBC"/>
    <w:rsid w:val="006A584C"/>
    <w:rsid w:val="006A5AFF"/>
    <w:rsid w:val="006A5B69"/>
    <w:rsid w:val="006A6023"/>
    <w:rsid w:val="006A62D1"/>
    <w:rsid w:val="006A6F8D"/>
    <w:rsid w:val="006A7906"/>
    <w:rsid w:val="006A7A79"/>
    <w:rsid w:val="006A7B1E"/>
    <w:rsid w:val="006B02D0"/>
    <w:rsid w:val="006B02E5"/>
    <w:rsid w:val="006B1299"/>
    <w:rsid w:val="006B2170"/>
    <w:rsid w:val="006B246E"/>
    <w:rsid w:val="006B2687"/>
    <w:rsid w:val="006B2B14"/>
    <w:rsid w:val="006B31DD"/>
    <w:rsid w:val="006B369F"/>
    <w:rsid w:val="006B36AF"/>
    <w:rsid w:val="006B3B7C"/>
    <w:rsid w:val="006B40D0"/>
    <w:rsid w:val="006B4729"/>
    <w:rsid w:val="006B55D7"/>
    <w:rsid w:val="006B5952"/>
    <w:rsid w:val="006B59CB"/>
    <w:rsid w:val="006B5D57"/>
    <w:rsid w:val="006B5E53"/>
    <w:rsid w:val="006B600F"/>
    <w:rsid w:val="006B7B4D"/>
    <w:rsid w:val="006C0CEA"/>
    <w:rsid w:val="006C0CF9"/>
    <w:rsid w:val="006C126B"/>
    <w:rsid w:val="006C17F7"/>
    <w:rsid w:val="006C194D"/>
    <w:rsid w:val="006C1C49"/>
    <w:rsid w:val="006C230E"/>
    <w:rsid w:val="006C23E1"/>
    <w:rsid w:val="006C3057"/>
    <w:rsid w:val="006C346C"/>
    <w:rsid w:val="006C3A83"/>
    <w:rsid w:val="006C3BC7"/>
    <w:rsid w:val="006C3E85"/>
    <w:rsid w:val="006C4195"/>
    <w:rsid w:val="006C4B18"/>
    <w:rsid w:val="006C5159"/>
    <w:rsid w:val="006C5599"/>
    <w:rsid w:val="006C58AD"/>
    <w:rsid w:val="006C59C8"/>
    <w:rsid w:val="006C6C02"/>
    <w:rsid w:val="006C76AC"/>
    <w:rsid w:val="006C7750"/>
    <w:rsid w:val="006C7AF5"/>
    <w:rsid w:val="006D02A5"/>
    <w:rsid w:val="006D0F46"/>
    <w:rsid w:val="006D22EB"/>
    <w:rsid w:val="006D2571"/>
    <w:rsid w:val="006D2AB6"/>
    <w:rsid w:val="006D39D1"/>
    <w:rsid w:val="006D3CA9"/>
    <w:rsid w:val="006D3D87"/>
    <w:rsid w:val="006D4792"/>
    <w:rsid w:val="006D4858"/>
    <w:rsid w:val="006D4F5F"/>
    <w:rsid w:val="006D5625"/>
    <w:rsid w:val="006D568B"/>
    <w:rsid w:val="006D56BD"/>
    <w:rsid w:val="006D5BA4"/>
    <w:rsid w:val="006D5BE2"/>
    <w:rsid w:val="006D5F1B"/>
    <w:rsid w:val="006D6A3E"/>
    <w:rsid w:val="006D6CE0"/>
    <w:rsid w:val="006D7310"/>
    <w:rsid w:val="006D75AC"/>
    <w:rsid w:val="006E07F8"/>
    <w:rsid w:val="006E08CA"/>
    <w:rsid w:val="006E1070"/>
    <w:rsid w:val="006E1F69"/>
    <w:rsid w:val="006E20A5"/>
    <w:rsid w:val="006E212D"/>
    <w:rsid w:val="006E2513"/>
    <w:rsid w:val="006E291C"/>
    <w:rsid w:val="006E3359"/>
    <w:rsid w:val="006E3693"/>
    <w:rsid w:val="006E38B8"/>
    <w:rsid w:val="006E3FFE"/>
    <w:rsid w:val="006E47AD"/>
    <w:rsid w:val="006E4EB9"/>
    <w:rsid w:val="006E5678"/>
    <w:rsid w:val="006E7314"/>
    <w:rsid w:val="006E792D"/>
    <w:rsid w:val="006E7B6E"/>
    <w:rsid w:val="006F0291"/>
    <w:rsid w:val="006F092A"/>
    <w:rsid w:val="006F0CE7"/>
    <w:rsid w:val="006F0D52"/>
    <w:rsid w:val="006F0D78"/>
    <w:rsid w:val="006F1267"/>
    <w:rsid w:val="006F129F"/>
    <w:rsid w:val="006F13C7"/>
    <w:rsid w:val="006F158F"/>
    <w:rsid w:val="006F168C"/>
    <w:rsid w:val="006F1CFD"/>
    <w:rsid w:val="006F1D89"/>
    <w:rsid w:val="006F2206"/>
    <w:rsid w:val="006F22F1"/>
    <w:rsid w:val="006F277D"/>
    <w:rsid w:val="006F27D3"/>
    <w:rsid w:val="006F2D9A"/>
    <w:rsid w:val="006F31CE"/>
    <w:rsid w:val="006F383A"/>
    <w:rsid w:val="006F3DC5"/>
    <w:rsid w:val="006F3FCE"/>
    <w:rsid w:val="006F4463"/>
    <w:rsid w:val="006F49C7"/>
    <w:rsid w:val="006F523E"/>
    <w:rsid w:val="006F543A"/>
    <w:rsid w:val="006F5647"/>
    <w:rsid w:val="006F56F4"/>
    <w:rsid w:val="006F57CD"/>
    <w:rsid w:val="006F5D87"/>
    <w:rsid w:val="006F5F48"/>
    <w:rsid w:val="006F6ADB"/>
    <w:rsid w:val="006F7B28"/>
    <w:rsid w:val="007007A0"/>
    <w:rsid w:val="007016A1"/>
    <w:rsid w:val="00701AC6"/>
    <w:rsid w:val="00701C2F"/>
    <w:rsid w:val="00701F44"/>
    <w:rsid w:val="00702524"/>
    <w:rsid w:val="007027A0"/>
    <w:rsid w:val="00702DC9"/>
    <w:rsid w:val="007030F1"/>
    <w:rsid w:val="007034AB"/>
    <w:rsid w:val="00703810"/>
    <w:rsid w:val="00703BB4"/>
    <w:rsid w:val="00703E69"/>
    <w:rsid w:val="00703FEF"/>
    <w:rsid w:val="00704002"/>
    <w:rsid w:val="0070423C"/>
    <w:rsid w:val="0070424C"/>
    <w:rsid w:val="00704391"/>
    <w:rsid w:val="0070443E"/>
    <w:rsid w:val="00704477"/>
    <w:rsid w:val="00704931"/>
    <w:rsid w:val="0070523A"/>
    <w:rsid w:val="0070560A"/>
    <w:rsid w:val="00705B60"/>
    <w:rsid w:val="007060BF"/>
    <w:rsid w:val="007066F5"/>
    <w:rsid w:val="00706759"/>
    <w:rsid w:val="007068FD"/>
    <w:rsid w:val="00706CCE"/>
    <w:rsid w:val="007073C1"/>
    <w:rsid w:val="00707507"/>
    <w:rsid w:val="00707BEE"/>
    <w:rsid w:val="00707C40"/>
    <w:rsid w:val="00707CBA"/>
    <w:rsid w:val="00710134"/>
    <w:rsid w:val="007104DE"/>
    <w:rsid w:val="00710687"/>
    <w:rsid w:val="00710D60"/>
    <w:rsid w:val="0071102A"/>
    <w:rsid w:val="00711143"/>
    <w:rsid w:val="00711B50"/>
    <w:rsid w:val="00711EAE"/>
    <w:rsid w:val="00712A79"/>
    <w:rsid w:val="00712E6D"/>
    <w:rsid w:val="0071475E"/>
    <w:rsid w:val="00714C1D"/>
    <w:rsid w:val="00714D0E"/>
    <w:rsid w:val="007160A5"/>
    <w:rsid w:val="007161E1"/>
    <w:rsid w:val="00716382"/>
    <w:rsid w:val="007166AB"/>
    <w:rsid w:val="00716865"/>
    <w:rsid w:val="007169D4"/>
    <w:rsid w:val="00716B2E"/>
    <w:rsid w:val="007173EF"/>
    <w:rsid w:val="0071787A"/>
    <w:rsid w:val="00717FB9"/>
    <w:rsid w:val="00720F44"/>
    <w:rsid w:val="007211C5"/>
    <w:rsid w:val="0072125A"/>
    <w:rsid w:val="0072284A"/>
    <w:rsid w:val="00722E03"/>
    <w:rsid w:val="007236BB"/>
    <w:rsid w:val="00723B66"/>
    <w:rsid w:val="00724CC2"/>
    <w:rsid w:val="00724CE8"/>
    <w:rsid w:val="00724F65"/>
    <w:rsid w:val="00725239"/>
    <w:rsid w:val="007256BE"/>
    <w:rsid w:val="00725882"/>
    <w:rsid w:val="0072588C"/>
    <w:rsid w:val="0072597F"/>
    <w:rsid w:val="00725A47"/>
    <w:rsid w:val="00725CE5"/>
    <w:rsid w:val="00725E76"/>
    <w:rsid w:val="00726000"/>
    <w:rsid w:val="00726117"/>
    <w:rsid w:val="007263AA"/>
    <w:rsid w:val="007265A0"/>
    <w:rsid w:val="00726624"/>
    <w:rsid w:val="0072686A"/>
    <w:rsid w:val="00726AB8"/>
    <w:rsid w:val="00726BA5"/>
    <w:rsid w:val="00726D8B"/>
    <w:rsid w:val="00726E49"/>
    <w:rsid w:val="007271B3"/>
    <w:rsid w:val="0072740B"/>
    <w:rsid w:val="00727B40"/>
    <w:rsid w:val="00727D09"/>
    <w:rsid w:val="0073015F"/>
    <w:rsid w:val="00730483"/>
    <w:rsid w:val="00730C4C"/>
    <w:rsid w:val="0073113C"/>
    <w:rsid w:val="00731270"/>
    <w:rsid w:val="007312CE"/>
    <w:rsid w:val="007313AB"/>
    <w:rsid w:val="007319DF"/>
    <w:rsid w:val="00731A1F"/>
    <w:rsid w:val="0073218C"/>
    <w:rsid w:val="00732543"/>
    <w:rsid w:val="007329BC"/>
    <w:rsid w:val="00732D7D"/>
    <w:rsid w:val="00733148"/>
    <w:rsid w:val="00733182"/>
    <w:rsid w:val="00733314"/>
    <w:rsid w:val="00734BCD"/>
    <w:rsid w:val="00734D33"/>
    <w:rsid w:val="00734FEA"/>
    <w:rsid w:val="00735AD3"/>
    <w:rsid w:val="00736139"/>
    <w:rsid w:val="00736491"/>
    <w:rsid w:val="00736DAA"/>
    <w:rsid w:val="00736F85"/>
    <w:rsid w:val="007373CE"/>
    <w:rsid w:val="007375D6"/>
    <w:rsid w:val="007375E5"/>
    <w:rsid w:val="007376E5"/>
    <w:rsid w:val="00737931"/>
    <w:rsid w:val="00737D14"/>
    <w:rsid w:val="007400C4"/>
    <w:rsid w:val="00740907"/>
    <w:rsid w:val="00740D92"/>
    <w:rsid w:val="00740EE6"/>
    <w:rsid w:val="00741215"/>
    <w:rsid w:val="007413F0"/>
    <w:rsid w:val="00741A63"/>
    <w:rsid w:val="00741CE3"/>
    <w:rsid w:val="00742114"/>
    <w:rsid w:val="007423DB"/>
    <w:rsid w:val="00742484"/>
    <w:rsid w:val="00742C5A"/>
    <w:rsid w:val="007430CD"/>
    <w:rsid w:val="007431F8"/>
    <w:rsid w:val="0074327E"/>
    <w:rsid w:val="007432A7"/>
    <w:rsid w:val="00743AA5"/>
    <w:rsid w:val="00743D3E"/>
    <w:rsid w:val="0074455B"/>
    <w:rsid w:val="00744AB7"/>
    <w:rsid w:val="00745EE7"/>
    <w:rsid w:val="007460DD"/>
    <w:rsid w:val="00746310"/>
    <w:rsid w:val="00747172"/>
    <w:rsid w:val="0074785B"/>
    <w:rsid w:val="00747D33"/>
    <w:rsid w:val="00747E06"/>
    <w:rsid w:val="0075007B"/>
    <w:rsid w:val="007509DC"/>
    <w:rsid w:val="00750AE9"/>
    <w:rsid w:val="007518EF"/>
    <w:rsid w:val="00751A95"/>
    <w:rsid w:val="00751C40"/>
    <w:rsid w:val="00752F92"/>
    <w:rsid w:val="007530FB"/>
    <w:rsid w:val="007531E4"/>
    <w:rsid w:val="007533A8"/>
    <w:rsid w:val="007534C0"/>
    <w:rsid w:val="00753C39"/>
    <w:rsid w:val="00754064"/>
    <w:rsid w:val="00755047"/>
    <w:rsid w:val="0075575D"/>
    <w:rsid w:val="007557A9"/>
    <w:rsid w:val="00755BE2"/>
    <w:rsid w:val="0075668B"/>
    <w:rsid w:val="007568CD"/>
    <w:rsid w:val="007572D7"/>
    <w:rsid w:val="00757718"/>
    <w:rsid w:val="00757909"/>
    <w:rsid w:val="00757D50"/>
    <w:rsid w:val="00760514"/>
    <w:rsid w:val="00760E7C"/>
    <w:rsid w:val="007615EF"/>
    <w:rsid w:val="0076173B"/>
    <w:rsid w:val="00761F1F"/>
    <w:rsid w:val="00763128"/>
    <w:rsid w:val="007636B3"/>
    <w:rsid w:val="00764BC3"/>
    <w:rsid w:val="00765964"/>
    <w:rsid w:val="007659C0"/>
    <w:rsid w:val="00765A23"/>
    <w:rsid w:val="00765FA0"/>
    <w:rsid w:val="00766760"/>
    <w:rsid w:val="00766D8F"/>
    <w:rsid w:val="00767427"/>
    <w:rsid w:val="007674E5"/>
    <w:rsid w:val="0076755A"/>
    <w:rsid w:val="0076776D"/>
    <w:rsid w:val="0076796A"/>
    <w:rsid w:val="007679A9"/>
    <w:rsid w:val="00767D2D"/>
    <w:rsid w:val="0077010E"/>
    <w:rsid w:val="007703F8"/>
    <w:rsid w:val="0077061B"/>
    <w:rsid w:val="0077098D"/>
    <w:rsid w:val="00770EB3"/>
    <w:rsid w:val="00770FF9"/>
    <w:rsid w:val="00771BE7"/>
    <w:rsid w:val="0077236B"/>
    <w:rsid w:val="00772385"/>
    <w:rsid w:val="0077329B"/>
    <w:rsid w:val="00773DB2"/>
    <w:rsid w:val="00773F15"/>
    <w:rsid w:val="007745B1"/>
    <w:rsid w:val="00774723"/>
    <w:rsid w:val="00774978"/>
    <w:rsid w:val="00774A64"/>
    <w:rsid w:val="00774EBE"/>
    <w:rsid w:val="00775BAB"/>
    <w:rsid w:val="0077639C"/>
    <w:rsid w:val="00777EA9"/>
    <w:rsid w:val="00777EFD"/>
    <w:rsid w:val="0078074A"/>
    <w:rsid w:val="00780C55"/>
    <w:rsid w:val="00781253"/>
    <w:rsid w:val="0078177C"/>
    <w:rsid w:val="007821DF"/>
    <w:rsid w:val="007823A8"/>
    <w:rsid w:val="007828CA"/>
    <w:rsid w:val="00782ED1"/>
    <w:rsid w:val="00782EFC"/>
    <w:rsid w:val="00784215"/>
    <w:rsid w:val="00784237"/>
    <w:rsid w:val="00784DC0"/>
    <w:rsid w:val="00784E62"/>
    <w:rsid w:val="0078581D"/>
    <w:rsid w:val="00786A70"/>
    <w:rsid w:val="00786CC0"/>
    <w:rsid w:val="007875C6"/>
    <w:rsid w:val="00787A3F"/>
    <w:rsid w:val="00787B7F"/>
    <w:rsid w:val="00787DF3"/>
    <w:rsid w:val="00787EF1"/>
    <w:rsid w:val="007903BB"/>
    <w:rsid w:val="0079048D"/>
    <w:rsid w:val="00790955"/>
    <w:rsid w:val="00791409"/>
    <w:rsid w:val="007915B1"/>
    <w:rsid w:val="0079237D"/>
    <w:rsid w:val="007924A0"/>
    <w:rsid w:val="0079277E"/>
    <w:rsid w:val="00792859"/>
    <w:rsid w:val="007931C0"/>
    <w:rsid w:val="00793673"/>
    <w:rsid w:val="00793949"/>
    <w:rsid w:val="007941A7"/>
    <w:rsid w:val="00794E61"/>
    <w:rsid w:val="00794EE2"/>
    <w:rsid w:val="0079535D"/>
    <w:rsid w:val="007954F7"/>
    <w:rsid w:val="00795C70"/>
    <w:rsid w:val="00795F9C"/>
    <w:rsid w:val="00795FDE"/>
    <w:rsid w:val="0079602A"/>
    <w:rsid w:val="00796F56"/>
    <w:rsid w:val="007975F4"/>
    <w:rsid w:val="00797E44"/>
    <w:rsid w:val="007A0319"/>
    <w:rsid w:val="007A04DB"/>
    <w:rsid w:val="007A053E"/>
    <w:rsid w:val="007A068F"/>
    <w:rsid w:val="007A0DB1"/>
    <w:rsid w:val="007A0DBA"/>
    <w:rsid w:val="007A1416"/>
    <w:rsid w:val="007A1826"/>
    <w:rsid w:val="007A1991"/>
    <w:rsid w:val="007A230D"/>
    <w:rsid w:val="007A27E8"/>
    <w:rsid w:val="007A286A"/>
    <w:rsid w:val="007A2B93"/>
    <w:rsid w:val="007A33E6"/>
    <w:rsid w:val="007A398B"/>
    <w:rsid w:val="007A4080"/>
    <w:rsid w:val="007A4549"/>
    <w:rsid w:val="007A478F"/>
    <w:rsid w:val="007A495F"/>
    <w:rsid w:val="007A4B1B"/>
    <w:rsid w:val="007A4C0A"/>
    <w:rsid w:val="007A5041"/>
    <w:rsid w:val="007A50C6"/>
    <w:rsid w:val="007A522D"/>
    <w:rsid w:val="007A5338"/>
    <w:rsid w:val="007A6015"/>
    <w:rsid w:val="007A6056"/>
    <w:rsid w:val="007A66E5"/>
    <w:rsid w:val="007A6727"/>
    <w:rsid w:val="007A6CDE"/>
    <w:rsid w:val="007A7A93"/>
    <w:rsid w:val="007B0098"/>
    <w:rsid w:val="007B02E2"/>
    <w:rsid w:val="007B1089"/>
    <w:rsid w:val="007B1319"/>
    <w:rsid w:val="007B18DA"/>
    <w:rsid w:val="007B2874"/>
    <w:rsid w:val="007B2A35"/>
    <w:rsid w:val="007B2F50"/>
    <w:rsid w:val="007B3348"/>
    <w:rsid w:val="007B3DB3"/>
    <w:rsid w:val="007B4251"/>
    <w:rsid w:val="007B4537"/>
    <w:rsid w:val="007B4A96"/>
    <w:rsid w:val="007B4CEC"/>
    <w:rsid w:val="007B4ED6"/>
    <w:rsid w:val="007B53B1"/>
    <w:rsid w:val="007B5FFF"/>
    <w:rsid w:val="007B6AC9"/>
    <w:rsid w:val="007B6C0B"/>
    <w:rsid w:val="007B75FB"/>
    <w:rsid w:val="007B786A"/>
    <w:rsid w:val="007B7B82"/>
    <w:rsid w:val="007C05A4"/>
    <w:rsid w:val="007C064A"/>
    <w:rsid w:val="007C06E6"/>
    <w:rsid w:val="007C099C"/>
    <w:rsid w:val="007C0C62"/>
    <w:rsid w:val="007C1AEB"/>
    <w:rsid w:val="007C2088"/>
    <w:rsid w:val="007C22CD"/>
    <w:rsid w:val="007C256E"/>
    <w:rsid w:val="007C2690"/>
    <w:rsid w:val="007C29C0"/>
    <w:rsid w:val="007C3BD7"/>
    <w:rsid w:val="007C3FC0"/>
    <w:rsid w:val="007C432B"/>
    <w:rsid w:val="007C4524"/>
    <w:rsid w:val="007C464A"/>
    <w:rsid w:val="007C47A9"/>
    <w:rsid w:val="007C4955"/>
    <w:rsid w:val="007C53E2"/>
    <w:rsid w:val="007C57A2"/>
    <w:rsid w:val="007C58BC"/>
    <w:rsid w:val="007C5A4B"/>
    <w:rsid w:val="007C5C48"/>
    <w:rsid w:val="007C60A3"/>
    <w:rsid w:val="007C61C3"/>
    <w:rsid w:val="007C63C9"/>
    <w:rsid w:val="007C6AD9"/>
    <w:rsid w:val="007C6CE3"/>
    <w:rsid w:val="007C6FAF"/>
    <w:rsid w:val="007C7064"/>
    <w:rsid w:val="007C7112"/>
    <w:rsid w:val="007C72E4"/>
    <w:rsid w:val="007C766A"/>
    <w:rsid w:val="007C7BA9"/>
    <w:rsid w:val="007D00B3"/>
    <w:rsid w:val="007D023F"/>
    <w:rsid w:val="007D032F"/>
    <w:rsid w:val="007D05F0"/>
    <w:rsid w:val="007D08AA"/>
    <w:rsid w:val="007D1308"/>
    <w:rsid w:val="007D2BC5"/>
    <w:rsid w:val="007D36C5"/>
    <w:rsid w:val="007D3A78"/>
    <w:rsid w:val="007D4035"/>
    <w:rsid w:val="007D45FC"/>
    <w:rsid w:val="007D535F"/>
    <w:rsid w:val="007D619B"/>
    <w:rsid w:val="007D6273"/>
    <w:rsid w:val="007D6573"/>
    <w:rsid w:val="007D669C"/>
    <w:rsid w:val="007D6773"/>
    <w:rsid w:val="007D6811"/>
    <w:rsid w:val="007D6E4F"/>
    <w:rsid w:val="007D770E"/>
    <w:rsid w:val="007D7C44"/>
    <w:rsid w:val="007D7F5A"/>
    <w:rsid w:val="007E0556"/>
    <w:rsid w:val="007E0B9F"/>
    <w:rsid w:val="007E16B2"/>
    <w:rsid w:val="007E19F7"/>
    <w:rsid w:val="007E1FBE"/>
    <w:rsid w:val="007E210C"/>
    <w:rsid w:val="007E280F"/>
    <w:rsid w:val="007E28C0"/>
    <w:rsid w:val="007E29E1"/>
    <w:rsid w:val="007E2D69"/>
    <w:rsid w:val="007E2E33"/>
    <w:rsid w:val="007E3128"/>
    <w:rsid w:val="007E32C1"/>
    <w:rsid w:val="007E39A4"/>
    <w:rsid w:val="007E43AB"/>
    <w:rsid w:val="007E4CCE"/>
    <w:rsid w:val="007E53D1"/>
    <w:rsid w:val="007E5EE3"/>
    <w:rsid w:val="007E6794"/>
    <w:rsid w:val="007E6900"/>
    <w:rsid w:val="007E6920"/>
    <w:rsid w:val="007E718E"/>
    <w:rsid w:val="007E721D"/>
    <w:rsid w:val="007E7EDE"/>
    <w:rsid w:val="007F0528"/>
    <w:rsid w:val="007F082E"/>
    <w:rsid w:val="007F0C67"/>
    <w:rsid w:val="007F1376"/>
    <w:rsid w:val="007F1A9F"/>
    <w:rsid w:val="007F1CED"/>
    <w:rsid w:val="007F24CB"/>
    <w:rsid w:val="007F2963"/>
    <w:rsid w:val="007F3D41"/>
    <w:rsid w:val="007F3D91"/>
    <w:rsid w:val="007F456D"/>
    <w:rsid w:val="007F4740"/>
    <w:rsid w:val="007F4750"/>
    <w:rsid w:val="007F4A53"/>
    <w:rsid w:val="007F541E"/>
    <w:rsid w:val="007F5579"/>
    <w:rsid w:val="007F55B7"/>
    <w:rsid w:val="007F574A"/>
    <w:rsid w:val="007F5C31"/>
    <w:rsid w:val="007F607C"/>
    <w:rsid w:val="007F6491"/>
    <w:rsid w:val="007F6BC4"/>
    <w:rsid w:val="007F755A"/>
    <w:rsid w:val="007F7B7D"/>
    <w:rsid w:val="0080020E"/>
    <w:rsid w:val="008009F6"/>
    <w:rsid w:val="00800BD4"/>
    <w:rsid w:val="0080198F"/>
    <w:rsid w:val="00802D0E"/>
    <w:rsid w:val="00802E07"/>
    <w:rsid w:val="00803012"/>
    <w:rsid w:val="0080314F"/>
    <w:rsid w:val="008033E8"/>
    <w:rsid w:val="00803584"/>
    <w:rsid w:val="0080369E"/>
    <w:rsid w:val="00803E9B"/>
    <w:rsid w:val="00804FBF"/>
    <w:rsid w:val="008052E3"/>
    <w:rsid w:val="0080589F"/>
    <w:rsid w:val="00805F65"/>
    <w:rsid w:val="00806165"/>
    <w:rsid w:val="0080665E"/>
    <w:rsid w:val="008066EB"/>
    <w:rsid w:val="008075C8"/>
    <w:rsid w:val="008076CA"/>
    <w:rsid w:val="00807AE8"/>
    <w:rsid w:val="00807C67"/>
    <w:rsid w:val="00807ED1"/>
    <w:rsid w:val="00810588"/>
    <w:rsid w:val="00810B28"/>
    <w:rsid w:val="00811134"/>
    <w:rsid w:val="008112C5"/>
    <w:rsid w:val="0081157B"/>
    <w:rsid w:val="00811658"/>
    <w:rsid w:val="008118B8"/>
    <w:rsid w:val="008119B1"/>
    <w:rsid w:val="00812157"/>
    <w:rsid w:val="00812880"/>
    <w:rsid w:val="00812EA2"/>
    <w:rsid w:val="00812FA7"/>
    <w:rsid w:val="008131A0"/>
    <w:rsid w:val="00813254"/>
    <w:rsid w:val="00813506"/>
    <w:rsid w:val="00813570"/>
    <w:rsid w:val="00813928"/>
    <w:rsid w:val="00813D5F"/>
    <w:rsid w:val="00814ED3"/>
    <w:rsid w:val="0081567A"/>
    <w:rsid w:val="00815BB4"/>
    <w:rsid w:val="00815E64"/>
    <w:rsid w:val="00816723"/>
    <w:rsid w:val="00816A3D"/>
    <w:rsid w:val="00816A7D"/>
    <w:rsid w:val="008172E4"/>
    <w:rsid w:val="00817515"/>
    <w:rsid w:val="00817709"/>
    <w:rsid w:val="00820372"/>
    <w:rsid w:val="008208D1"/>
    <w:rsid w:val="00820A0B"/>
    <w:rsid w:val="00820FCC"/>
    <w:rsid w:val="00821092"/>
    <w:rsid w:val="00821362"/>
    <w:rsid w:val="00822365"/>
    <w:rsid w:val="00822641"/>
    <w:rsid w:val="00822E94"/>
    <w:rsid w:val="0082323B"/>
    <w:rsid w:val="008232C0"/>
    <w:rsid w:val="0082361B"/>
    <w:rsid w:val="00823F89"/>
    <w:rsid w:val="00824CCD"/>
    <w:rsid w:val="00825778"/>
    <w:rsid w:val="0082580B"/>
    <w:rsid w:val="00826754"/>
    <w:rsid w:val="0082693F"/>
    <w:rsid w:val="0082695A"/>
    <w:rsid w:val="00826E3D"/>
    <w:rsid w:val="008279B6"/>
    <w:rsid w:val="00827DE2"/>
    <w:rsid w:val="008304A5"/>
    <w:rsid w:val="00830E01"/>
    <w:rsid w:val="00830EF3"/>
    <w:rsid w:val="008313DC"/>
    <w:rsid w:val="0083165A"/>
    <w:rsid w:val="00832544"/>
    <w:rsid w:val="0083294D"/>
    <w:rsid w:val="0083423E"/>
    <w:rsid w:val="00834462"/>
    <w:rsid w:val="00834905"/>
    <w:rsid w:val="00835B06"/>
    <w:rsid w:val="00835C9F"/>
    <w:rsid w:val="008361B8"/>
    <w:rsid w:val="00836D92"/>
    <w:rsid w:val="00836DD2"/>
    <w:rsid w:val="0083700B"/>
    <w:rsid w:val="0083769E"/>
    <w:rsid w:val="00837805"/>
    <w:rsid w:val="00837929"/>
    <w:rsid w:val="00840080"/>
    <w:rsid w:val="008409C0"/>
    <w:rsid w:val="0084109E"/>
    <w:rsid w:val="0084111E"/>
    <w:rsid w:val="0084117E"/>
    <w:rsid w:val="00841471"/>
    <w:rsid w:val="00841D0C"/>
    <w:rsid w:val="00842063"/>
    <w:rsid w:val="00842154"/>
    <w:rsid w:val="008426B4"/>
    <w:rsid w:val="0084307D"/>
    <w:rsid w:val="00843201"/>
    <w:rsid w:val="00843227"/>
    <w:rsid w:val="00843C42"/>
    <w:rsid w:val="00844031"/>
    <w:rsid w:val="008444BA"/>
    <w:rsid w:val="0084455B"/>
    <w:rsid w:val="00844C18"/>
    <w:rsid w:val="00844DAB"/>
    <w:rsid w:val="0084577A"/>
    <w:rsid w:val="00845C1C"/>
    <w:rsid w:val="00845E9E"/>
    <w:rsid w:val="00845EEC"/>
    <w:rsid w:val="008472F9"/>
    <w:rsid w:val="00850A02"/>
    <w:rsid w:val="00850B6F"/>
    <w:rsid w:val="00851874"/>
    <w:rsid w:val="00851E33"/>
    <w:rsid w:val="00852168"/>
    <w:rsid w:val="008521F1"/>
    <w:rsid w:val="00853094"/>
    <w:rsid w:val="00853218"/>
    <w:rsid w:val="0085353A"/>
    <w:rsid w:val="0085421D"/>
    <w:rsid w:val="00854927"/>
    <w:rsid w:val="00854A0B"/>
    <w:rsid w:val="00854B93"/>
    <w:rsid w:val="008553F3"/>
    <w:rsid w:val="008559C7"/>
    <w:rsid w:val="00855A80"/>
    <w:rsid w:val="00855E79"/>
    <w:rsid w:val="00857FEA"/>
    <w:rsid w:val="00860025"/>
    <w:rsid w:val="00860BFE"/>
    <w:rsid w:val="00860CAA"/>
    <w:rsid w:val="00860D5B"/>
    <w:rsid w:val="00860D94"/>
    <w:rsid w:val="00860E0A"/>
    <w:rsid w:val="008611B6"/>
    <w:rsid w:val="008616CF"/>
    <w:rsid w:val="0086179C"/>
    <w:rsid w:val="00862160"/>
    <w:rsid w:val="008626B5"/>
    <w:rsid w:val="00862B67"/>
    <w:rsid w:val="008632C3"/>
    <w:rsid w:val="00863508"/>
    <w:rsid w:val="00863673"/>
    <w:rsid w:val="00863D40"/>
    <w:rsid w:val="00863E9E"/>
    <w:rsid w:val="00864682"/>
    <w:rsid w:val="0086479A"/>
    <w:rsid w:val="008648F5"/>
    <w:rsid w:val="00864995"/>
    <w:rsid w:val="0086526C"/>
    <w:rsid w:val="00865BAD"/>
    <w:rsid w:val="00865C59"/>
    <w:rsid w:val="0086603F"/>
    <w:rsid w:val="0086664A"/>
    <w:rsid w:val="008667AF"/>
    <w:rsid w:val="008678C5"/>
    <w:rsid w:val="00867BD3"/>
    <w:rsid w:val="008701F4"/>
    <w:rsid w:val="00870625"/>
    <w:rsid w:val="00870B4C"/>
    <w:rsid w:val="00870CCB"/>
    <w:rsid w:val="008719EF"/>
    <w:rsid w:val="008727C0"/>
    <w:rsid w:val="00873969"/>
    <w:rsid w:val="00873C08"/>
    <w:rsid w:val="00873F19"/>
    <w:rsid w:val="00873F9A"/>
    <w:rsid w:val="00874420"/>
    <w:rsid w:val="00874E7B"/>
    <w:rsid w:val="008750B4"/>
    <w:rsid w:val="00875204"/>
    <w:rsid w:val="008757A9"/>
    <w:rsid w:val="00875892"/>
    <w:rsid w:val="00875D49"/>
    <w:rsid w:val="00875FD8"/>
    <w:rsid w:val="008762CD"/>
    <w:rsid w:val="0087667A"/>
    <w:rsid w:val="008767BD"/>
    <w:rsid w:val="00876C41"/>
    <w:rsid w:val="00876CFB"/>
    <w:rsid w:val="0087719A"/>
    <w:rsid w:val="00877267"/>
    <w:rsid w:val="00877730"/>
    <w:rsid w:val="00877A7C"/>
    <w:rsid w:val="0088058D"/>
    <w:rsid w:val="0088065F"/>
    <w:rsid w:val="00880DEA"/>
    <w:rsid w:val="0088193F"/>
    <w:rsid w:val="00882230"/>
    <w:rsid w:val="0088226D"/>
    <w:rsid w:val="00882443"/>
    <w:rsid w:val="00882460"/>
    <w:rsid w:val="008826F2"/>
    <w:rsid w:val="00882F2F"/>
    <w:rsid w:val="00883335"/>
    <w:rsid w:val="008834C1"/>
    <w:rsid w:val="00883611"/>
    <w:rsid w:val="00883C2D"/>
    <w:rsid w:val="008845E8"/>
    <w:rsid w:val="008848E1"/>
    <w:rsid w:val="00884BB2"/>
    <w:rsid w:val="00884D9E"/>
    <w:rsid w:val="008857B5"/>
    <w:rsid w:val="008866C3"/>
    <w:rsid w:val="00886AEF"/>
    <w:rsid w:val="00886F56"/>
    <w:rsid w:val="008872EA"/>
    <w:rsid w:val="00887836"/>
    <w:rsid w:val="00887DA5"/>
    <w:rsid w:val="00890048"/>
    <w:rsid w:val="00890DEF"/>
    <w:rsid w:val="00891655"/>
    <w:rsid w:val="00892123"/>
    <w:rsid w:val="0089223F"/>
    <w:rsid w:val="008923BA"/>
    <w:rsid w:val="008923F2"/>
    <w:rsid w:val="008929C7"/>
    <w:rsid w:val="00892A30"/>
    <w:rsid w:val="0089358A"/>
    <w:rsid w:val="008936BF"/>
    <w:rsid w:val="00894131"/>
    <w:rsid w:val="008946A5"/>
    <w:rsid w:val="00894E5C"/>
    <w:rsid w:val="00895B96"/>
    <w:rsid w:val="0089640D"/>
    <w:rsid w:val="008964BC"/>
    <w:rsid w:val="008965DC"/>
    <w:rsid w:val="00896E38"/>
    <w:rsid w:val="008973C7"/>
    <w:rsid w:val="00897FAE"/>
    <w:rsid w:val="008A0401"/>
    <w:rsid w:val="008A042A"/>
    <w:rsid w:val="008A051B"/>
    <w:rsid w:val="008A13C5"/>
    <w:rsid w:val="008A2346"/>
    <w:rsid w:val="008A27B5"/>
    <w:rsid w:val="008A27DF"/>
    <w:rsid w:val="008A2BFB"/>
    <w:rsid w:val="008A2C34"/>
    <w:rsid w:val="008A334D"/>
    <w:rsid w:val="008A397F"/>
    <w:rsid w:val="008A3CBC"/>
    <w:rsid w:val="008A431A"/>
    <w:rsid w:val="008A49EB"/>
    <w:rsid w:val="008A4C99"/>
    <w:rsid w:val="008A4F93"/>
    <w:rsid w:val="008A5206"/>
    <w:rsid w:val="008A54E6"/>
    <w:rsid w:val="008A5833"/>
    <w:rsid w:val="008A5F62"/>
    <w:rsid w:val="008A6B2F"/>
    <w:rsid w:val="008A6D22"/>
    <w:rsid w:val="008A7018"/>
    <w:rsid w:val="008A70C2"/>
    <w:rsid w:val="008A7AED"/>
    <w:rsid w:val="008B070D"/>
    <w:rsid w:val="008B0EB8"/>
    <w:rsid w:val="008B1452"/>
    <w:rsid w:val="008B1A6C"/>
    <w:rsid w:val="008B2842"/>
    <w:rsid w:val="008B2A03"/>
    <w:rsid w:val="008B317B"/>
    <w:rsid w:val="008B3547"/>
    <w:rsid w:val="008B3CE0"/>
    <w:rsid w:val="008B3F95"/>
    <w:rsid w:val="008B489D"/>
    <w:rsid w:val="008B4FF4"/>
    <w:rsid w:val="008B5486"/>
    <w:rsid w:val="008B5511"/>
    <w:rsid w:val="008B5539"/>
    <w:rsid w:val="008B574F"/>
    <w:rsid w:val="008B58A9"/>
    <w:rsid w:val="008B5ED0"/>
    <w:rsid w:val="008B5F11"/>
    <w:rsid w:val="008B6155"/>
    <w:rsid w:val="008B61A9"/>
    <w:rsid w:val="008B61F7"/>
    <w:rsid w:val="008B6A6E"/>
    <w:rsid w:val="008B6B46"/>
    <w:rsid w:val="008B7337"/>
    <w:rsid w:val="008B785B"/>
    <w:rsid w:val="008B78B5"/>
    <w:rsid w:val="008B7D40"/>
    <w:rsid w:val="008C0898"/>
    <w:rsid w:val="008C0D98"/>
    <w:rsid w:val="008C137F"/>
    <w:rsid w:val="008C1C0F"/>
    <w:rsid w:val="008C2A50"/>
    <w:rsid w:val="008C2E1C"/>
    <w:rsid w:val="008C31ED"/>
    <w:rsid w:val="008C375C"/>
    <w:rsid w:val="008C3C0F"/>
    <w:rsid w:val="008C3D3A"/>
    <w:rsid w:val="008C5A38"/>
    <w:rsid w:val="008C5AE2"/>
    <w:rsid w:val="008C626E"/>
    <w:rsid w:val="008C62E6"/>
    <w:rsid w:val="008C6935"/>
    <w:rsid w:val="008C743C"/>
    <w:rsid w:val="008C76CB"/>
    <w:rsid w:val="008C79BA"/>
    <w:rsid w:val="008C79FB"/>
    <w:rsid w:val="008C7FB2"/>
    <w:rsid w:val="008D0684"/>
    <w:rsid w:val="008D0C7D"/>
    <w:rsid w:val="008D0D55"/>
    <w:rsid w:val="008D1443"/>
    <w:rsid w:val="008D17A8"/>
    <w:rsid w:val="008D1E36"/>
    <w:rsid w:val="008D21BC"/>
    <w:rsid w:val="008D2F10"/>
    <w:rsid w:val="008D3B16"/>
    <w:rsid w:val="008D40C0"/>
    <w:rsid w:val="008D4C2A"/>
    <w:rsid w:val="008D5034"/>
    <w:rsid w:val="008D523A"/>
    <w:rsid w:val="008D537B"/>
    <w:rsid w:val="008D54A4"/>
    <w:rsid w:val="008D54C9"/>
    <w:rsid w:val="008D550F"/>
    <w:rsid w:val="008D5BD0"/>
    <w:rsid w:val="008D60CD"/>
    <w:rsid w:val="008D61B6"/>
    <w:rsid w:val="008D646C"/>
    <w:rsid w:val="008D6480"/>
    <w:rsid w:val="008D6BAD"/>
    <w:rsid w:val="008D75E0"/>
    <w:rsid w:val="008D779D"/>
    <w:rsid w:val="008D7A72"/>
    <w:rsid w:val="008D7C14"/>
    <w:rsid w:val="008D7DB7"/>
    <w:rsid w:val="008D7EAC"/>
    <w:rsid w:val="008E06F1"/>
    <w:rsid w:val="008E1956"/>
    <w:rsid w:val="008E22EA"/>
    <w:rsid w:val="008E24B8"/>
    <w:rsid w:val="008E2578"/>
    <w:rsid w:val="008E2AE9"/>
    <w:rsid w:val="008E2DA0"/>
    <w:rsid w:val="008E4D40"/>
    <w:rsid w:val="008E4E19"/>
    <w:rsid w:val="008E5397"/>
    <w:rsid w:val="008E566B"/>
    <w:rsid w:val="008E59E4"/>
    <w:rsid w:val="008E5AB5"/>
    <w:rsid w:val="008E5BC7"/>
    <w:rsid w:val="008E6A75"/>
    <w:rsid w:val="008E73B2"/>
    <w:rsid w:val="008E7DEF"/>
    <w:rsid w:val="008F006F"/>
    <w:rsid w:val="008F0A63"/>
    <w:rsid w:val="008F0B14"/>
    <w:rsid w:val="008F0F16"/>
    <w:rsid w:val="008F14DB"/>
    <w:rsid w:val="008F16D6"/>
    <w:rsid w:val="008F17F2"/>
    <w:rsid w:val="008F1AA5"/>
    <w:rsid w:val="008F1DDA"/>
    <w:rsid w:val="008F22ED"/>
    <w:rsid w:val="008F25D2"/>
    <w:rsid w:val="008F263F"/>
    <w:rsid w:val="008F2ADC"/>
    <w:rsid w:val="008F2CE0"/>
    <w:rsid w:val="008F3A97"/>
    <w:rsid w:val="008F3C00"/>
    <w:rsid w:val="008F40F4"/>
    <w:rsid w:val="008F4AF5"/>
    <w:rsid w:val="008F5078"/>
    <w:rsid w:val="008F5302"/>
    <w:rsid w:val="008F5F81"/>
    <w:rsid w:val="008F60AD"/>
    <w:rsid w:val="008F67EB"/>
    <w:rsid w:val="008F6A2C"/>
    <w:rsid w:val="008F7213"/>
    <w:rsid w:val="008F741F"/>
    <w:rsid w:val="008F74C4"/>
    <w:rsid w:val="008F7942"/>
    <w:rsid w:val="008F7987"/>
    <w:rsid w:val="008F7F17"/>
    <w:rsid w:val="008F7FBF"/>
    <w:rsid w:val="008F7FE7"/>
    <w:rsid w:val="009003D4"/>
    <w:rsid w:val="00901C03"/>
    <w:rsid w:val="00902FC2"/>
    <w:rsid w:val="00903C63"/>
    <w:rsid w:val="00903C65"/>
    <w:rsid w:val="00903ED4"/>
    <w:rsid w:val="00904206"/>
    <w:rsid w:val="0090424C"/>
    <w:rsid w:val="0090444B"/>
    <w:rsid w:val="009045E2"/>
    <w:rsid w:val="00904A79"/>
    <w:rsid w:val="00904C0C"/>
    <w:rsid w:val="00904EB6"/>
    <w:rsid w:val="0090515A"/>
    <w:rsid w:val="009054DF"/>
    <w:rsid w:val="00905AEF"/>
    <w:rsid w:val="00905FE7"/>
    <w:rsid w:val="009060F7"/>
    <w:rsid w:val="009061EB"/>
    <w:rsid w:val="009065E6"/>
    <w:rsid w:val="00906E4B"/>
    <w:rsid w:val="00906E6E"/>
    <w:rsid w:val="00906F60"/>
    <w:rsid w:val="00907420"/>
    <w:rsid w:val="00907C6F"/>
    <w:rsid w:val="00907D94"/>
    <w:rsid w:val="0091090D"/>
    <w:rsid w:val="00910A76"/>
    <w:rsid w:val="00910B0C"/>
    <w:rsid w:val="0091106E"/>
    <w:rsid w:val="00911568"/>
    <w:rsid w:val="00911624"/>
    <w:rsid w:val="00911816"/>
    <w:rsid w:val="0091190D"/>
    <w:rsid w:val="00911AEC"/>
    <w:rsid w:val="00911CFA"/>
    <w:rsid w:val="0091229F"/>
    <w:rsid w:val="009124FC"/>
    <w:rsid w:val="00912815"/>
    <w:rsid w:val="0091366E"/>
    <w:rsid w:val="00913D81"/>
    <w:rsid w:val="00914FC5"/>
    <w:rsid w:val="009150DF"/>
    <w:rsid w:val="00915315"/>
    <w:rsid w:val="00915BE3"/>
    <w:rsid w:val="00916272"/>
    <w:rsid w:val="009168AE"/>
    <w:rsid w:val="00916CED"/>
    <w:rsid w:val="0091770E"/>
    <w:rsid w:val="009177A8"/>
    <w:rsid w:val="0092017F"/>
    <w:rsid w:val="009202B0"/>
    <w:rsid w:val="0092180F"/>
    <w:rsid w:val="00921B41"/>
    <w:rsid w:val="009223EA"/>
    <w:rsid w:val="009224B0"/>
    <w:rsid w:val="009224D5"/>
    <w:rsid w:val="00922B06"/>
    <w:rsid w:val="00922E87"/>
    <w:rsid w:val="009241DA"/>
    <w:rsid w:val="00924F0A"/>
    <w:rsid w:val="009252E3"/>
    <w:rsid w:val="009255DC"/>
    <w:rsid w:val="00925B34"/>
    <w:rsid w:val="00925C26"/>
    <w:rsid w:val="00925FC0"/>
    <w:rsid w:val="00926553"/>
    <w:rsid w:val="00926976"/>
    <w:rsid w:val="00926B46"/>
    <w:rsid w:val="009271E9"/>
    <w:rsid w:val="009310BB"/>
    <w:rsid w:val="0093120A"/>
    <w:rsid w:val="00931275"/>
    <w:rsid w:val="009319D7"/>
    <w:rsid w:val="0093244F"/>
    <w:rsid w:val="009326DC"/>
    <w:rsid w:val="00932B06"/>
    <w:rsid w:val="0093315D"/>
    <w:rsid w:val="0093339F"/>
    <w:rsid w:val="0093410B"/>
    <w:rsid w:val="00934430"/>
    <w:rsid w:val="009344E1"/>
    <w:rsid w:val="00934638"/>
    <w:rsid w:val="0093492B"/>
    <w:rsid w:val="00934C85"/>
    <w:rsid w:val="00934F0E"/>
    <w:rsid w:val="00934F83"/>
    <w:rsid w:val="0093620E"/>
    <w:rsid w:val="00936333"/>
    <w:rsid w:val="009363FE"/>
    <w:rsid w:val="009368BF"/>
    <w:rsid w:val="00936C4F"/>
    <w:rsid w:val="00937BCA"/>
    <w:rsid w:val="009402D1"/>
    <w:rsid w:val="00940A34"/>
    <w:rsid w:val="00941765"/>
    <w:rsid w:val="00941E7E"/>
    <w:rsid w:val="00941E99"/>
    <w:rsid w:val="00941EA9"/>
    <w:rsid w:val="0094210A"/>
    <w:rsid w:val="0094267C"/>
    <w:rsid w:val="009431B1"/>
    <w:rsid w:val="009436D8"/>
    <w:rsid w:val="009442CC"/>
    <w:rsid w:val="009444CD"/>
    <w:rsid w:val="00944543"/>
    <w:rsid w:val="0094581D"/>
    <w:rsid w:val="0094617F"/>
    <w:rsid w:val="00946880"/>
    <w:rsid w:val="0094750F"/>
    <w:rsid w:val="0095058D"/>
    <w:rsid w:val="00950A6C"/>
    <w:rsid w:val="00950DBF"/>
    <w:rsid w:val="00950DEA"/>
    <w:rsid w:val="00950E2B"/>
    <w:rsid w:val="009517AE"/>
    <w:rsid w:val="0095264F"/>
    <w:rsid w:val="0095274D"/>
    <w:rsid w:val="00952BD5"/>
    <w:rsid w:val="00953E99"/>
    <w:rsid w:val="00954019"/>
    <w:rsid w:val="009542A9"/>
    <w:rsid w:val="009544F5"/>
    <w:rsid w:val="009549E5"/>
    <w:rsid w:val="00954C78"/>
    <w:rsid w:val="0095564E"/>
    <w:rsid w:val="00955D26"/>
    <w:rsid w:val="00955F3A"/>
    <w:rsid w:val="009561E4"/>
    <w:rsid w:val="009564C6"/>
    <w:rsid w:val="00956C7C"/>
    <w:rsid w:val="00957AC3"/>
    <w:rsid w:val="00960561"/>
    <w:rsid w:val="0096060A"/>
    <w:rsid w:val="00960D37"/>
    <w:rsid w:val="00960EDB"/>
    <w:rsid w:val="009613C0"/>
    <w:rsid w:val="009616E5"/>
    <w:rsid w:val="00961E19"/>
    <w:rsid w:val="00962BD5"/>
    <w:rsid w:val="00962DD3"/>
    <w:rsid w:val="00962E64"/>
    <w:rsid w:val="00962ECB"/>
    <w:rsid w:val="009639E6"/>
    <w:rsid w:val="00963D21"/>
    <w:rsid w:val="00963EF0"/>
    <w:rsid w:val="00964178"/>
    <w:rsid w:val="0096429F"/>
    <w:rsid w:val="00964B48"/>
    <w:rsid w:val="00964D27"/>
    <w:rsid w:val="00965225"/>
    <w:rsid w:val="009657DB"/>
    <w:rsid w:val="00965DCB"/>
    <w:rsid w:val="00966447"/>
    <w:rsid w:val="00966E68"/>
    <w:rsid w:val="00967BD0"/>
    <w:rsid w:val="009704D8"/>
    <w:rsid w:val="009708D2"/>
    <w:rsid w:val="00970CC4"/>
    <w:rsid w:val="00971596"/>
    <w:rsid w:val="00971711"/>
    <w:rsid w:val="00971922"/>
    <w:rsid w:val="00971C30"/>
    <w:rsid w:val="00971C65"/>
    <w:rsid w:val="00971FD7"/>
    <w:rsid w:val="009722F6"/>
    <w:rsid w:val="009725ED"/>
    <w:rsid w:val="009728BF"/>
    <w:rsid w:val="009737BB"/>
    <w:rsid w:val="00973B1E"/>
    <w:rsid w:val="00974046"/>
    <w:rsid w:val="0097458C"/>
    <w:rsid w:val="009746E3"/>
    <w:rsid w:val="00975413"/>
    <w:rsid w:val="009756A6"/>
    <w:rsid w:val="009763C9"/>
    <w:rsid w:val="00977239"/>
    <w:rsid w:val="00977AFD"/>
    <w:rsid w:val="00977B0A"/>
    <w:rsid w:val="00977D57"/>
    <w:rsid w:val="00980171"/>
    <w:rsid w:val="0098260E"/>
    <w:rsid w:val="009830CA"/>
    <w:rsid w:val="009834C6"/>
    <w:rsid w:val="00983A74"/>
    <w:rsid w:val="00983CBE"/>
    <w:rsid w:val="00983D46"/>
    <w:rsid w:val="00984811"/>
    <w:rsid w:val="0098491E"/>
    <w:rsid w:val="00984BFB"/>
    <w:rsid w:val="00984D02"/>
    <w:rsid w:val="00984EDB"/>
    <w:rsid w:val="00985414"/>
    <w:rsid w:val="0098611F"/>
    <w:rsid w:val="00986121"/>
    <w:rsid w:val="0098664B"/>
    <w:rsid w:val="00986959"/>
    <w:rsid w:val="00986C0A"/>
    <w:rsid w:val="00986EB0"/>
    <w:rsid w:val="00987102"/>
    <w:rsid w:val="00987A0C"/>
    <w:rsid w:val="00987ED0"/>
    <w:rsid w:val="009905AC"/>
    <w:rsid w:val="00990E2F"/>
    <w:rsid w:val="009914A4"/>
    <w:rsid w:val="00991820"/>
    <w:rsid w:val="00991C9C"/>
    <w:rsid w:val="00991CDE"/>
    <w:rsid w:val="009921AF"/>
    <w:rsid w:val="009928A6"/>
    <w:rsid w:val="0099321B"/>
    <w:rsid w:val="00993372"/>
    <w:rsid w:val="0099397E"/>
    <w:rsid w:val="00993C98"/>
    <w:rsid w:val="00994692"/>
    <w:rsid w:val="009954D2"/>
    <w:rsid w:val="00995533"/>
    <w:rsid w:val="00995C0A"/>
    <w:rsid w:val="00995FC7"/>
    <w:rsid w:val="00996244"/>
    <w:rsid w:val="009965F7"/>
    <w:rsid w:val="009966F4"/>
    <w:rsid w:val="00996795"/>
    <w:rsid w:val="00996C0C"/>
    <w:rsid w:val="00996EC3"/>
    <w:rsid w:val="009979BA"/>
    <w:rsid w:val="00997D18"/>
    <w:rsid w:val="00997D48"/>
    <w:rsid w:val="009A0250"/>
    <w:rsid w:val="009A0862"/>
    <w:rsid w:val="009A106B"/>
    <w:rsid w:val="009A1CF8"/>
    <w:rsid w:val="009A1D51"/>
    <w:rsid w:val="009A2BFF"/>
    <w:rsid w:val="009A2FD5"/>
    <w:rsid w:val="009A3037"/>
    <w:rsid w:val="009A3EEF"/>
    <w:rsid w:val="009A41EE"/>
    <w:rsid w:val="009A4681"/>
    <w:rsid w:val="009A4797"/>
    <w:rsid w:val="009A4CAD"/>
    <w:rsid w:val="009A514A"/>
    <w:rsid w:val="009A6FF9"/>
    <w:rsid w:val="009A7B0C"/>
    <w:rsid w:val="009A7BE8"/>
    <w:rsid w:val="009B0293"/>
    <w:rsid w:val="009B04A9"/>
    <w:rsid w:val="009B0A24"/>
    <w:rsid w:val="009B105A"/>
    <w:rsid w:val="009B1091"/>
    <w:rsid w:val="009B131F"/>
    <w:rsid w:val="009B151F"/>
    <w:rsid w:val="009B1EF9"/>
    <w:rsid w:val="009B1F72"/>
    <w:rsid w:val="009B29C2"/>
    <w:rsid w:val="009B2BD2"/>
    <w:rsid w:val="009B2C8F"/>
    <w:rsid w:val="009B2D29"/>
    <w:rsid w:val="009B34FB"/>
    <w:rsid w:val="009B3518"/>
    <w:rsid w:val="009B35B3"/>
    <w:rsid w:val="009B40CC"/>
    <w:rsid w:val="009B421C"/>
    <w:rsid w:val="009B4245"/>
    <w:rsid w:val="009B491A"/>
    <w:rsid w:val="009B4EBD"/>
    <w:rsid w:val="009B557B"/>
    <w:rsid w:val="009B5749"/>
    <w:rsid w:val="009B65C3"/>
    <w:rsid w:val="009B673D"/>
    <w:rsid w:val="009B6A10"/>
    <w:rsid w:val="009B6B00"/>
    <w:rsid w:val="009B772F"/>
    <w:rsid w:val="009B7984"/>
    <w:rsid w:val="009B7C4D"/>
    <w:rsid w:val="009C0593"/>
    <w:rsid w:val="009C0A32"/>
    <w:rsid w:val="009C0B0F"/>
    <w:rsid w:val="009C146A"/>
    <w:rsid w:val="009C14C3"/>
    <w:rsid w:val="009C1C30"/>
    <w:rsid w:val="009C1E82"/>
    <w:rsid w:val="009C2873"/>
    <w:rsid w:val="009C333D"/>
    <w:rsid w:val="009C3ACF"/>
    <w:rsid w:val="009C3D00"/>
    <w:rsid w:val="009C4670"/>
    <w:rsid w:val="009C4924"/>
    <w:rsid w:val="009C4EB4"/>
    <w:rsid w:val="009C51C9"/>
    <w:rsid w:val="009C55F0"/>
    <w:rsid w:val="009C5A4E"/>
    <w:rsid w:val="009C5B41"/>
    <w:rsid w:val="009C5E35"/>
    <w:rsid w:val="009C6B1C"/>
    <w:rsid w:val="009C730A"/>
    <w:rsid w:val="009C745F"/>
    <w:rsid w:val="009C7A74"/>
    <w:rsid w:val="009C7EF1"/>
    <w:rsid w:val="009D030D"/>
    <w:rsid w:val="009D099F"/>
    <w:rsid w:val="009D0A39"/>
    <w:rsid w:val="009D0E2C"/>
    <w:rsid w:val="009D201B"/>
    <w:rsid w:val="009D21D9"/>
    <w:rsid w:val="009D2632"/>
    <w:rsid w:val="009D29FF"/>
    <w:rsid w:val="009D2BD2"/>
    <w:rsid w:val="009D2F07"/>
    <w:rsid w:val="009D32A7"/>
    <w:rsid w:val="009D3CCA"/>
    <w:rsid w:val="009D44EE"/>
    <w:rsid w:val="009D46C3"/>
    <w:rsid w:val="009D46DC"/>
    <w:rsid w:val="009D4EAD"/>
    <w:rsid w:val="009D4F32"/>
    <w:rsid w:val="009D4FD5"/>
    <w:rsid w:val="009D5014"/>
    <w:rsid w:val="009D50CF"/>
    <w:rsid w:val="009D516D"/>
    <w:rsid w:val="009D58BD"/>
    <w:rsid w:val="009D6016"/>
    <w:rsid w:val="009D70E3"/>
    <w:rsid w:val="009E077F"/>
    <w:rsid w:val="009E0DD1"/>
    <w:rsid w:val="009E0EAD"/>
    <w:rsid w:val="009E1094"/>
    <w:rsid w:val="009E1A1A"/>
    <w:rsid w:val="009E1AE2"/>
    <w:rsid w:val="009E2279"/>
    <w:rsid w:val="009E30CB"/>
    <w:rsid w:val="009E313B"/>
    <w:rsid w:val="009E3227"/>
    <w:rsid w:val="009E3664"/>
    <w:rsid w:val="009E3785"/>
    <w:rsid w:val="009E38E4"/>
    <w:rsid w:val="009E3B31"/>
    <w:rsid w:val="009E3BA4"/>
    <w:rsid w:val="009E3E38"/>
    <w:rsid w:val="009E3F32"/>
    <w:rsid w:val="009E463E"/>
    <w:rsid w:val="009E52CF"/>
    <w:rsid w:val="009E5581"/>
    <w:rsid w:val="009E5815"/>
    <w:rsid w:val="009E58A3"/>
    <w:rsid w:val="009E5BAA"/>
    <w:rsid w:val="009E5D46"/>
    <w:rsid w:val="009E5DFA"/>
    <w:rsid w:val="009E6019"/>
    <w:rsid w:val="009E675C"/>
    <w:rsid w:val="009E6777"/>
    <w:rsid w:val="009E6BDB"/>
    <w:rsid w:val="009E6F6D"/>
    <w:rsid w:val="009E6F9E"/>
    <w:rsid w:val="009E728A"/>
    <w:rsid w:val="009E7812"/>
    <w:rsid w:val="009E79F9"/>
    <w:rsid w:val="009E7C6F"/>
    <w:rsid w:val="009E7D17"/>
    <w:rsid w:val="009F03E6"/>
    <w:rsid w:val="009F062D"/>
    <w:rsid w:val="009F0B0D"/>
    <w:rsid w:val="009F140D"/>
    <w:rsid w:val="009F19FF"/>
    <w:rsid w:val="009F2130"/>
    <w:rsid w:val="009F2AC6"/>
    <w:rsid w:val="009F2BFC"/>
    <w:rsid w:val="009F3320"/>
    <w:rsid w:val="009F37A5"/>
    <w:rsid w:val="009F3C54"/>
    <w:rsid w:val="009F3C5E"/>
    <w:rsid w:val="009F437E"/>
    <w:rsid w:val="009F45A1"/>
    <w:rsid w:val="009F46B8"/>
    <w:rsid w:val="009F5434"/>
    <w:rsid w:val="009F5945"/>
    <w:rsid w:val="009F601F"/>
    <w:rsid w:val="009F64EB"/>
    <w:rsid w:val="009F662D"/>
    <w:rsid w:val="009F7BAF"/>
    <w:rsid w:val="00A00429"/>
    <w:rsid w:val="00A0123C"/>
    <w:rsid w:val="00A01716"/>
    <w:rsid w:val="00A01C78"/>
    <w:rsid w:val="00A022DB"/>
    <w:rsid w:val="00A024B8"/>
    <w:rsid w:val="00A028AE"/>
    <w:rsid w:val="00A02CE7"/>
    <w:rsid w:val="00A041B4"/>
    <w:rsid w:val="00A04498"/>
    <w:rsid w:val="00A0457F"/>
    <w:rsid w:val="00A04625"/>
    <w:rsid w:val="00A06722"/>
    <w:rsid w:val="00A06FEB"/>
    <w:rsid w:val="00A10E2F"/>
    <w:rsid w:val="00A121AA"/>
    <w:rsid w:val="00A121C2"/>
    <w:rsid w:val="00A1269D"/>
    <w:rsid w:val="00A13367"/>
    <w:rsid w:val="00A13713"/>
    <w:rsid w:val="00A1391E"/>
    <w:rsid w:val="00A13A36"/>
    <w:rsid w:val="00A13CFE"/>
    <w:rsid w:val="00A13DF2"/>
    <w:rsid w:val="00A141C1"/>
    <w:rsid w:val="00A141C6"/>
    <w:rsid w:val="00A14AAD"/>
    <w:rsid w:val="00A155E0"/>
    <w:rsid w:val="00A15702"/>
    <w:rsid w:val="00A15FDB"/>
    <w:rsid w:val="00A1627C"/>
    <w:rsid w:val="00A1628A"/>
    <w:rsid w:val="00A168FE"/>
    <w:rsid w:val="00A16A83"/>
    <w:rsid w:val="00A16E2E"/>
    <w:rsid w:val="00A173E5"/>
    <w:rsid w:val="00A17E78"/>
    <w:rsid w:val="00A17F9A"/>
    <w:rsid w:val="00A20562"/>
    <w:rsid w:val="00A20821"/>
    <w:rsid w:val="00A21CA9"/>
    <w:rsid w:val="00A21CE5"/>
    <w:rsid w:val="00A22284"/>
    <w:rsid w:val="00A223B1"/>
    <w:rsid w:val="00A226A9"/>
    <w:rsid w:val="00A22A82"/>
    <w:rsid w:val="00A22F8D"/>
    <w:rsid w:val="00A230F8"/>
    <w:rsid w:val="00A2354C"/>
    <w:rsid w:val="00A23A2A"/>
    <w:rsid w:val="00A23A67"/>
    <w:rsid w:val="00A23B3E"/>
    <w:rsid w:val="00A23C0A"/>
    <w:rsid w:val="00A23D73"/>
    <w:rsid w:val="00A23FCE"/>
    <w:rsid w:val="00A2401A"/>
    <w:rsid w:val="00A24049"/>
    <w:rsid w:val="00A24BC5"/>
    <w:rsid w:val="00A24CF1"/>
    <w:rsid w:val="00A24F44"/>
    <w:rsid w:val="00A25603"/>
    <w:rsid w:val="00A25C70"/>
    <w:rsid w:val="00A26B60"/>
    <w:rsid w:val="00A272AD"/>
    <w:rsid w:val="00A30174"/>
    <w:rsid w:val="00A304E0"/>
    <w:rsid w:val="00A30F14"/>
    <w:rsid w:val="00A31417"/>
    <w:rsid w:val="00A3156E"/>
    <w:rsid w:val="00A31D02"/>
    <w:rsid w:val="00A32451"/>
    <w:rsid w:val="00A32AFB"/>
    <w:rsid w:val="00A32B5C"/>
    <w:rsid w:val="00A3329B"/>
    <w:rsid w:val="00A3384A"/>
    <w:rsid w:val="00A33994"/>
    <w:rsid w:val="00A33C8C"/>
    <w:rsid w:val="00A343EC"/>
    <w:rsid w:val="00A349B6"/>
    <w:rsid w:val="00A35274"/>
    <w:rsid w:val="00A354F9"/>
    <w:rsid w:val="00A355B1"/>
    <w:rsid w:val="00A3677A"/>
    <w:rsid w:val="00A36931"/>
    <w:rsid w:val="00A369E6"/>
    <w:rsid w:val="00A36A2E"/>
    <w:rsid w:val="00A37451"/>
    <w:rsid w:val="00A376E5"/>
    <w:rsid w:val="00A401E5"/>
    <w:rsid w:val="00A402E8"/>
    <w:rsid w:val="00A40950"/>
    <w:rsid w:val="00A4104A"/>
    <w:rsid w:val="00A41369"/>
    <w:rsid w:val="00A413E2"/>
    <w:rsid w:val="00A41CA5"/>
    <w:rsid w:val="00A420EA"/>
    <w:rsid w:val="00A424C4"/>
    <w:rsid w:val="00A426C1"/>
    <w:rsid w:val="00A42A67"/>
    <w:rsid w:val="00A42AA1"/>
    <w:rsid w:val="00A42F2F"/>
    <w:rsid w:val="00A433D8"/>
    <w:rsid w:val="00A43775"/>
    <w:rsid w:val="00A43C60"/>
    <w:rsid w:val="00A441FD"/>
    <w:rsid w:val="00A4434D"/>
    <w:rsid w:val="00A448F5"/>
    <w:rsid w:val="00A44FAD"/>
    <w:rsid w:val="00A45B54"/>
    <w:rsid w:val="00A45C0F"/>
    <w:rsid w:val="00A46B07"/>
    <w:rsid w:val="00A46D1A"/>
    <w:rsid w:val="00A47872"/>
    <w:rsid w:val="00A47AA4"/>
    <w:rsid w:val="00A5018B"/>
    <w:rsid w:val="00A503F0"/>
    <w:rsid w:val="00A507BA"/>
    <w:rsid w:val="00A508B1"/>
    <w:rsid w:val="00A509C1"/>
    <w:rsid w:val="00A50C5C"/>
    <w:rsid w:val="00A51083"/>
    <w:rsid w:val="00A510B6"/>
    <w:rsid w:val="00A5141F"/>
    <w:rsid w:val="00A5145E"/>
    <w:rsid w:val="00A51E42"/>
    <w:rsid w:val="00A525D2"/>
    <w:rsid w:val="00A527BE"/>
    <w:rsid w:val="00A53A27"/>
    <w:rsid w:val="00A53BBF"/>
    <w:rsid w:val="00A5481E"/>
    <w:rsid w:val="00A54D74"/>
    <w:rsid w:val="00A54F73"/>
    <w:rsid w:val="00A552DA"/>
    <w:rsid w:val="00A55400"/>
    <w:rsid w:val="00A5592D"/>
    <w:rsid w:val="00A55B9C"/>
    <w:rsid w:val="00A55F03"/>
    <w:rsid w:val="00A5699C"/>
    <w:rsid w:val="00A57416"/>
    <w:rsid w:val="00A60239"/>
    <w:rsid w:val="00A608E8"/>
    <w:rsid w:val="00A60ED1"/>
    <w:rsid w:val="00A61C0C"/>
    <w:rsid w:val="00A61C8E"/>
    <w:rsid w:val="00A6210D"/>
    <w:rsid w:val="00A631F3"/>
    <w:rsid w:val="00A632BF"/>
    <w:rsid w:val="00A637FA"/>
    <w:rsid w:val="00A63D8C"/>
    <w:rsid w:val="00A64C64"/>
    <w:rsid w:val="00A64D6C"/>
    <w:rsid w:val="00A64EE8"/>
    <w:rsid w:val="00A65C5E"/>
    <w:rsid w:val="00A6633D"/>
    <w:rsid w:val="00A67CB6"/>
    <w:rsid w:val="00A67E5F"/>
    <w:rsid w:val="00A7013E"/>
    <w:rsid w:val="00A704D4"/>
    <w:rsid w:val="00A7057E"/>
    <w:rsid w:val="00A705C2"/>
    <w:rsid w:val="00A70A0F"/>
    <w:rsid w:val="00A715B2"/>
    <w:rsid w:val="00A7163C"/>
    <w:rsid w:val="00A717BA"/>
    <w:rsid w:val="00A71893"/>
    <w:rsid w:val="00A72A56"/>
    <w:rsid w:val="00A731F2"/>
    <w:rsid w:val="00A7373F"/>
    <w:rsid w:val="00A73BE6"/>
    <w:rsid w:val="00A73FF7"/>
    <w:rsid w:val="00A7408C"/>
    <w:rsid w:val="00A74BAA"/>
    <w:rsid w:val="00A74DCC"/>
    <w:rsid w:val="00A7514F"/>
    <w:rsid w:val="00A7591A"/>
    <w:rsid w:val="00A75DC0"/>
    <w:rsid w:val="00A75EB7"/>
    <w:rsid w:val="00A763D1"/>
    <w:rsid w:val="00A7644E"/>
    <w:rsid w:val="00A76E5A"/>
    <w:rsid w:val="00A77289"/>
    <w:rsid w:val="00A779C1"/>
    <w:rsid w:val="00A779E9"/>
    <w:rsid w:val="00A77E37"/>
    <w:rsid w:val="00A77F58"/>
    <w:rsid w:val="00A8071C"/>
    <w:rsid w:val="00A81E3B"/>
    <w:rsid w:val="00A82BAA"/>
    <w:rsid w:val="00A82CD4"/>
    <w:rsid w:val="00A82CFC"/>
    <w:rsid w:val="00A833A3"/>
    <w:rsid w:val="00A84886"/>
    <w:rsid w:val="00A85184"/>
    <w:rsid w:val="00A85558"/>
    <w:rsid w:val="00A857A6"/>
    <w:rsid w:val="00A857E4"/>
    <w:rsid w:val="00A85EA7"/>
    <w:rsid w:val="00A861BD"/>
    <w:rsid w:val="00A8624F"/>
    <w:rsid w:val="00A8774D"/>
    <w:rsid w:val="00A87E99"/>
    <w:rsid w:val="00A903AB"/>
    <w:rsid w:val="00A912CD"/>
    <w:rsid w:val="00A912E7"/>
    <w:rsid w:val="00A918C4"/>
    <w:rsid w:val="00A91D2C"/>
    <w:rsid w:val="00A91DDC"/>
    <w:rsid w:val="00A92404"/>
    <w:rsid w:val="00A925B5"/>
    <w:rsid w:val="00A92699"/>
    <w:rsid w:val="00A92782"/>
    <w:rsid w:val="00A928BF"/>
    <w:rsid w:val="00A92F64"/>
    <w:rsid w:val="00A93C81"/>
    <w:rsid w:val="00A94034"/>
    <w:rsid w:val="00A9432B"/>
    <w:rsid w:val="00A946B3"/>
    <w:rsid w:val="00A94FFE"/>
    <w:rsid w:val="00A9557F"/>
    <w:rsid w:val="00A9601A"/>
    <w:rsid w:val="00A96335"/>
    <w:rsid w:val="00A96436"/>
    <w:rsid w:val="00A96B80"/>
    <w:rsid w:val="00A97955"/>
    <w:rsid w:val="00A97FBE"/>
    <w:rsid w:val="00AA05EC"/>
    <w:rsid w:val="00AA0639"/>
    <w:rsid w:val="00AA0745"/>
    <w:rsid w:val="00AA08C9"/>
    <w:rsid w:val="00AA0A64"/>
    <w:rsid w:val="00AA0B04"/>
    <w:rsid w:val="00AA0DB0"/>
    <w:rsid w:val="00AA0EB7"/>
    <w:rsid w:val="00AA0FAB"/>
    <w:rsid w:val="00AA0FBD"/>
    <w:rsid w:val="00AA1DF6"/>
    <w:rsid w:val="00AA2321"/>
    <w:rsid w:val="00AA2BD9"/>
    <w:rsid w:val="00AA353A"/>
    <w:rsid w:val="00AA36AD"/>
    <w:rsid w:val="00AA47B6"/>
    <w:rsid w:val="00AA4865"/>
    <w:rsid w:val="00AA4875"/>
    <w:rsid w:val="00AA4FE7"/>
    <w:rsid w:val="00AA536C"/>
    <w:rsid w:val="00AA55DB"/>
    <w:rsid w:val="00AA5A3F"/>
    <w:rsid w:val="00AA6BA1"/>
    <w:rsid w:val="00AA707C"/>
    <w:rsid w:val="00AA760F"/>
    <w:rsid w:val="00AA78D9"/>
    <w:rsid w:val="00AA7A25"/>
    <w:rsid w:val="00AA7A93"/>
    <w:rsid w:val="00AB01F2"/>
    <w:rsid w:val="00AB0673"/>
    <w:rsid w:val="00AB0C48"/>
    <w:rsid w:val="00AB0E17"/>
    <w:rsid w:val="00AB0EF9"/>
    <w:rsid w:val="00AB0F14"/>
    <w:rsid w:val="00AB107F"/>
    <w:rsid w:val="00AB10DE"/>
    <w:rsid w:val="00AB1147"/>
    <w:rsid w:val="00AB119C"/>
    <w:rsid w:val="00AB1B0D"/>
    <w:rsid w:val="00AB2369"/>
    <w:rsid w:val="00AB296B"/>
    <w:rsid w:val="00AB42E9"/>
    <w:rsid w:val="00AB4A9D"/>
    <w:rsid w:val="00AB4C20"/>
    <w:rsid w:val="00AB4E62"/>
    <w:rsid w:val="00AB52E7"/>
    <w:rsid w:val="00AB564E"/>
    <w:rsid w:val="00AB5F3D"/>
    <w:rsid w:val="00AB639A"/>
    <w:rsid w:val="00AB69A1"/>
    <w:rsid w:val="00AB6D1C"/>
    <w:rsid w:val="00AB71F7"/>
    <w:rsid w:val="00AB7477"/>
    <w:rsid w:val="00AB7823"/>
    <w:rsid w:val="00AB7D3A"/>
    <w:rsid w:val="00AC0226"/>
    <w:rsid w:val="00AC02D2"/>
    <w:rsid w:val="00AC0C84"/>
    <w:rsid w:val="00AC0EE4"/>
    <w:rsid w:val="00AC1B3B"/>
    <w:rsid w:val="00AC2352"/>
    <w:rsid w:val="00AC2649"/>
    <w:rsid w:val="00AC2B89"/>
    <w:rsid w:val="00AC2BB1"/>
    <w:rsid w:val="00AC2E19"/>
    <w:rsid w:val="00AC2EE0"/>
    <w:rsid w:val="00AC31E3"/>
    <w:rsid w:val="00AC31E7"/>
    <w:rsid w:val="00AC327F"/>
    <w:rsid w:val="00AC352C"/>
    <w:rsid w:val="00AC38E2"/>
    <w:rsid w:val="00AC3DF5"/>
    <w:rsid w:val="00AC3FE6"/>
    <w:rsid w:val="00AC453D"/>
    <w:rsid w:val="00AC5251"/>
    <w:rsid w:val="00AC52D5"/>
    <w:rsid w:val="00AC541E"/>
    <w:rsid w:val="00AC5D39"/>
    <w:rsid w:val="00AC679D"/>
    <w:rsid w:val="00AC6F84"/>
    <w:rsid w:val="00AC79B2"/>
    <w:rsid w:val="00AD08D6"/>
    <w:rsid w:val="00AD0ADF"/>
    <w:rsid w:val="00AD0B0F"/>
    <w:rsid w:val="00AD1100"/>
    <w:rsid w:val="00AD22C7"/>
    <w:rsid w:val="00AD2344"/>
    <w:rsid w:val="00AD2675"/>
    <w:rsid w:val="00AD2ABB"/>
    <w:rsid w:val="00AD35FA"/>
    <w:rsid w:val="00AD3800"/>
    <w:rsid w:val="00AD46CA"/>
    <w:rsid w:val="00AD4986"/>
    <w:rsid w:val="00AD4AED"/>
    <w:rsid w:val="00AD5981"/>
    <w:rsid w:val="00AD69D7"/>
    <w:rsid w:val="00AD763C"/>
    <w:rsid w:val="00AD79AE"/>
    <w:rsid w:val="00AD7CEF"/>
    <w:rsid w:val="00AD7F38"/>
    <w:rsid w:val="00AE13EF"/>
    <w:rsid w:val="00AE1428"/>
    <w:rsid w:val="00AE19BC"/>
    <w:rsid w:val="00AE1BAC"/>
    <w:rsid w:val="00AE1D27"/>
    <w:rsid w:val="00AE25E7"/>
    <w:rsid w:val="00AE2A40"/>
    <w:rsid w:val="00AE3C42"/>
    <w:rsid w:val="00AE4028"/>
    <w:rsid w:val="00AE40B8"/>
    <w:rsid w:val="00AE4791"/>
    <w:rsid w:val="00AE4A7F"/>
    <w:rsid w:val="00AE53A9"/>
    <w:rsid w:val="00AE5499"/>
    <w:rsid w:val="00AE56F7"/>
    <w:rsid w:val="00AE59E2"/>
    <w:rsid w:val="00AE5A45"/>
    <w:rsid w:val="00AE5A92"/>
    <w:rsid w:val="00AE5AB3"/>
    <w:rsid w:val="00AE7153"/>
    <w:rsid w:val="00AF0627"/>
    <w:rsid w:val="00AF0A10"/>
    <w:rsid w:val="00AF0EF9"/>
    <w:rsid w:val="00AF12EB"/>
    <w:rsid w:val="00AF1388"/>
    <w:rsid w:val="00AF14BB"/>
    <w:rsid w:val="00AF15A4"/>
    <w:rsid w:val="00AF167E"/>
    <w:rsid w:val="00AF1783"/>
    <w:rsid w:val="00AF2465"/>
    <w:rsid w:val="00AF262A"/>
    <w:rsid w:val="00AF2B22"/>
    <w:rsid w:val="00AF321C"/>
    <w:rsid w:val="00AF361F"/>
    <w:rsid w:val="00AF373C"/>
    <w:rsid w:val="00AF3962"/>
    <w:rsid w:val="00AF408D"/>
    <w:rsid w:val="00AF4BA9"/>
    <w:rsid w:val="00AF506D"/>
    <w:rsid w:val="00AF5713"/>
    <w:rsid w:val="00AF5D70"/>
    <w:rsid w:val="00AF687D"/>
    <w:rsid w:val="00AF6A9D"/>
    <w:rsid w:val="00AF6C6D"/>
    <w:rsid w:val="00AF70FF"/>
    <w:rsid w:val="00AF7421"/>
    <w:rsid w:val="00AF7E16"/>
    <w:rsid w:val="00B002DC"/>
    <w:rsid w:val="00B00406"/>
    <w:rsid w:val="00B0058B"/>
    <w:rsid w:val="00B00A70"/>
    <w:rsid w:val="00B01290"/>
    <w:rsid w:val="00B01379"/>
    <w:rsid w:val="00B01573"/>
    <w:rsid w:val="00B01AE4"/>
    <w:rsid w:val="00B02102"/>
    <w:rsid w:val="00B02D13"/>
    <w:rsid w:val="00B03E00"/>
    <w:rsid w:val="00B03ECF"/>
    <w:rsid w:val="00B0599D"/>
    <w:rsid w:val="00B05DE1"/>
    <w:rsid w:val="00B0626D"/>
    <w:rsid w:val="00B065EC"/>
    <w:rsid w:val="00B0682F"/>
    <w:rsid w:val="00B0689A"/>
    <w:rsid w:val="00B06B42"/>
    <w:rsid w:val="00B06BC3"/>
    <w:rsid w:val="00B06D76"/>
    <w:rsid w:val="00B07482"/>
    <w:rsid w:val="00B07A3C"/>
    <w:rsid w:val="00B07ABD"/>
    <w:rsid w:val="00B10357"/>
    <w:rsid w:val="00B1108F"/>
    <w:rsid w:val="00B111BB"/>
    <w:rsid w:val="00B11821"/>
    <w:rsid w:val="00B119AA"/>
    <w:rsid w:val="00B1207D"/>
    <w:rsid w:val="00B1296E"/>
    <w:rsid w:val="00B1385F"/>
    <w:rsid w:val="00B13B5A"/>
    <w:rsid w:val="00B1559E"/>
    <w:rsid w:val="00B1565B"/>
    <w:rsid w:val="00B15971"/>
    <w:rsid w:val="00B15ECA"/>
    <w:rsid w:val="00B15ECC"/>
    <w:rsid w:val="00B16386"/>
    <w:rsid w:val="00B165E1"/>
    <w:rsid w:val="00B16BE2"/>
    <w:rsid w:val="00B170CB"/>
    <w:rsid w:val="00B17735"/>
    <w:rsid w:val="00B17E81"/>
    <w:rsid w:val="00B17F03"/>
    <w:rsid w:val="00B2110F"/>
    <w:rsid w:val="00B21563"/>
    <w:rsid w:val="00B2175C"/>
    <w:rsid w:val="00B219C3"/>
    <w:rsid w:val="00B21A0D"/>
    <w:rsid w:val="00B21C9B"/>
    <w:rsid w:val="00B21E37"/>
    <w:rsid w:val="00B23256"/>
    <w:rsid w:val="00B234C0"/>
    <w:rsid w:val="00B235D0"/>
    <w:rsid w:val="00B23C64"/>
    <w:rsid w:val="00B23ED6"/>
    <w:rsid w:val="00B247A7"/>
    <w:rsid w:val="00B24902"/>
    <w:rsid w:val="00B2499C"/>
    <w:rsid w:val="00B24EE9"/>
    <w:rsid w:val="00B26296"/>
    <w:rsid w:val="00B267AA"/>
    <w:rsid w:val="00B26C0D"/>
    <w:rsid w:val="00B26F5F"/>
    <w:rsid w:val="00B272B5"/>
    <w:rsid w:val="00B27BCE"/>
    <w:rsid w:val="00B27E33"/>
    <w:rsid w:val="00B30861"/>
    <w:rsid w:val="00B30F49"/>
    <w:rsid w:val="00B311FF"/>
    <w:rsid w:val="00B3134B"/>
    <w:rsid w:val="00B31694"/>
    <w:rsid w:val="00B32119"/>
    <w:rsid w:val="00B3332C"/>
    <w:rsid w:val="00B3353E"/>
    <w:rsid w:val="00B340CB"/>
    <w:rsid w:val="00B3416A"/>
    <w:rsid w:val="00B3473F"/>
    <w:rsid w:val="00B3489D"/>
    <w:rsid w:val="00B3496B"/>
    <w:rsid w:val="00B35146"/>
    <w:rsid w:val="00B35218"/>
    <w:rsid w:val="00B365D8"/>
    <w:rsid w:val="00B367A9"/>
    <w:rsid w:val="00B369C8"/>
    <w:rsid w:val="00B36BB6"/>
    <w:rsid w:val="00B374A2"/>
    <w:rsid w:val="00B3759D"/>
    <w:rsid w:val="00B375EB"/>
    <w:rsid w:val="00B3792B"/>
    <w:rsid w:val="00B37EC1"/>
    <w:rsid w:val="00B400FC"/>
    <w:rsid w:val="00B4035E"/>
    <w:rsid w:val="00B4037C"/>
    <w:rsid w:val="00B40A87"/>
    <w:rsid w:val="00B41438"/>
    <w:rsid w:val="00B42211"/>
    <w:rsid w:val="00B42CAE"/>
    <w:rsid w:val="00B4351D"/>
    <w:rsid w:val="00B4382A"/>
    <w:rsid w:val="00B43B9E"/>
    <w:rsid w:val="00B43F59"/>
    <w:rsid w:val="00B44370"/>
    <w:rsid w:val="00B44EF3"/>
    <w:rsid w:val="00B454B5"/>
    <w:rsid w:val="00B45EBC"/>
    <w:rsid w:val="00B4646E"/>
    <w:rsid w:val="00B46A43"/>
    <w:rsid w:val="00B46F28"/>
    <w:rsid w:val="00B4739C"/>
    <w:rsid w:val="00B474C3"/>
    <w:rsid w:val="00B4753E"/>
    <w:rsid w:val="00B47BD7"/>
    <w:rsid w:val="00B504C9"/>
    <w:rsid w:val="00B505C2"/>
    <w:rsid w:val="00B50A74"/>
    <w:rsid w:val="00B50C5E"/>
    <w:rsid w:val="00B51193"/>
    <w:rsid w:val="00B520B6"/>
    <w:rsid w:val="00B520C7"/>
    <w:rsid w:val="00B52168"/>
    <w:rsid w:val="00B52706"/>
    <w:rsid w:val="00B52A40"/>
    <w:rsid w:val="00B52AC7"/>
    <w:rsid w:val="00B53BEB"/>
    <w:rsid w:val="00B53CB9"/>
    <w:rsid w:val="00B53EC2"/>
    <w:rsid w:val="00B54D4F"/>
    <w:rsid w:val="00B54D68"/>
    <w:rsid w:val="00B5513A"/>
    <w:rsid w:val="00B55152"/>
    <w:rsid w:val="00B551A9"/>
    <w:rsid w:val="00B553D8"/>
    <w:rsid w:val="00B553FC"/>
    <w:rsid w:val="00B55458"/>
    <w:rsid w:val="00B555E2"/>
    <w:rsid w:val="00B56612"/>
    <w:rsid w:val="00B569B7"/>
    <w:rsid w:val="00B57068"/>
    <w:rsid w:val="00B572B3"/>
    <w:rsid w:val="00B573E0"/>
    <w:rsid w:val="00B575CF"/>
    <w:rsid w:val="00B5787A"/>
    <w:rsid w:val="00B5797C"/>
    <w:rsid w:val="00B57BAC"/>
    <w:rsid w:val="00B57BDB"/>
    <w:rsid w:val="00B57D15"/>
    <w:rsid w:val="00B57EA1"/>
    <w:rsid w:val="00B57FFC"/>
    <w:rsid w:val="00B6010F"/>
    <w:rsid w:val="00B604E0"/>
    <w:rsid w:val="00B60B8C"/>
    <w:rsid w:val="00B60C14"/>
    <w:rsid w:val="00B60D12"/>
    <w:rsid w:val="00B60F77"/>
    <w:rsid w:val="00B611E0"/>
    <w:rsid w:val="00B6181B"/>
    <w:rsid w:val="00B618CF"/>
    <w:rsid w:val="00B61EE0"/>
    <w:rsid w:val="00B62126"/>
    <w:rsid w:val="00B62737"/>
    <w:rsid w:val="00B62AD5"/>
    <w:rsid w:val="00B62B10"/>
    <w:rsid w:val="00B634C8"/>
    <w:rsid w:val="00B63B0B"/>
    <w:rsid w:val="00B63D08"/>
    <w:rsid w:val="00B64A3E"/>
    <w:rsid w:val="00B64B18"/>
    <w:rsid w:val="00B64CE4"/>
    <w:rsid w:val="00B65B0D"/>
    <w:rsid w:val="00B65D76"/>
    <w:rsid w:val="00B65F6E"/>
    <w:rsid w:val="00B65FB1"/>
    <w:rsid w:val="00B668DA"/>
    <w:rsid w:val="00B66982"/>
    <w:rsid w:val="00B66A0B"/>
    <w:rsid w:val="00B67383"/>
    <w:rsid w:val="00B67497"/>
    <w:rsid w:val="00B67962"/>
    <w:rsid w:val="00B7201F"/>
    <w:rsid w:val="00B7246A"/>
    <w:rsid w:val="00B729D7"/>
    <w:rsid w:val="00B72A83"/>
    <w:rsid w:val="00B733CE"/>
    <w:rsid w:val="00B73644"/>
    <w:rsid w:val="00B73733"/>
    <w:rsid w:val="00B73B12"/>
    <w:rsid w:val="00B73B24"/>
    <w:rsid w:val="00B73DEF"/>
    <w:rsid w:val="00B74347"/>
    <w:rsid w:val="00B75FD9"/>
    <w:rsid w:val="00B76087"/>
    <w:rsid w:val="00B7625A"/>
    <w:rsid w:val="00B76347"/>
    <w:rsid w:val="00B76E70"/>
    <w:rsid w:val="00B77376"/>
    <w:rsid w:val="00B77466"/>
    <w:rsid w:val="00B77738"/>
    <w:rsid w:val="00B77BB5"/>
    <w:rsid w:val="00B77E2F"/>
    <w:rsid w:val="00B805D6"/>
    <w:rsid w:val="00B80BA0"/>
    <w:rsid w:val="00B812E9"/>
    <w:rsid w:val="00B81E0E"/>
    <w:rsid w:val="00B81E97"/>
    <w:rsid w:val="00B82A81"/>
    <w:rsid w:val="00B82AC8"/>
    <w:rsid w:val="00B82CE9"/>
    <w:rsid w:val="00B83067"/>
    <w:rsid w:val="00B8345D"/>
    <w:rsid w:val="00B83DEC"/>
    <w:rsid w:val="00B84330"/>
    <w:rsid w:val="00B84432"/>
    <w:rsid w:val="00B85543"/>
    <w:rsid w:val="00B85A04"/>
    <w:rsid w:val="00B86902"/>
    <w:rsid w:val="00B86C75"/>
    <w:rsid w:val="00B86C92"/>
    <w:rsid w:val="00B86E08"/>
    <w:rsid w:val="00B86EFF"/>
    <w:rsid w:val="00B87DBD"/>
    <w:rsid w:val="00B900BD"/>
    <w:rsid w:val="00B9016C"/>
    <w:rsid w:val="00B90198"/>
    <w:rsid w:val="00B905B2"/>
    <w:rsid w:val="00B91A65"/>
    <w:rsid w:val="00B91C9B"/>
    <w:rsid w:val="00B91D04"/>
    <w:rsid w:val="00B92AAD"/>
    <w:rsid w:val="00B93119"/>
    <w:rsid w:val="00B93524"/>
    <w:rsid w:val="00B93576"/>
    <w:rsid w:val="00B9375E"/>
    <w:rsid w:val="00B9378F"/>
    <w:rsid w:val="00B937F9"/>
    <w:rsid w:val="00B94B7A"/>
    <w:rsid w:val="00B95110"/>
    <w:rsid w:val="00B95207"/>
    <w:rsid w:val="00B95512"/>
    <w:rsid w:val="00B95AD3"/>
    <w:rsid w:val="00B95CFE"/>
    <w:rsid w:val="00B96A8E"/>
    <w:rsid w:val="00B97134"/>
    <w:rsid w:val="00B971B9"/>
    <w:rsid w:val="00B97E13"/>
    <w:rsid w:val="00BA025C"/>
    <w:rsid w:val="00BA09B2"/>
    <w:rsid w:val="00BA0ED7"/>
    <w:rsid w:val="00BA143C"/>
    <w:rsid w:val="00BA1A65"/>
    <w:rsid w:val="00BA25AB"/>
    <w:rsid w:val="00BA27B1"/>
    <w:rsid w:val="00BA3341"/>
    <w:rsid w:val="00BA38E2"/>
    <w:rsid w:val="00BA3998"/>
    <w:rsid w:val="00BA3E81"/>
    <w:rsid w:val="00BA4328"/>
    <w:rsid w:val="00BA44FE"/>
    <w:rsid w:val="00BA465D"/>
    <w:rsid w:val="00BA4688"/>
    <w:rsid w:val="00BA52D5"/>
    <w:rsid w:val="00BA5D1F"/>
    <w:rsid w:val="00BA6193"/>
    <w:rsid w:val="00BA6441"/>
    <w:rsid w:val="00BA645F"/>
    <w:rsid w:val="00BA6AFE"/>
    <w:rsid w:val="00BA70E0"/>
    <w:rsid w:val="00BA7A2C"/>
    <w:rsid w:val="00BB0232"/>
    <w:rsid w:val="00BB0618"/>
    <w:rsid w:val="00BB06AB"/>
    <w:rsid w:val="00BB095D"/>
    <w:rsid w:val="00BB0D69"/>
    <w:rsid w:val="00BB1015"/>
    <w:rsid w:val="00BB1143"/>
    <w:rsid w:val="00BB13CD"/>
    <w:rsid w:val="00BB239B"/>
    <w:rsid w:val="00BB281F"/>
    <w:rsid w:val="00BB2C0E"/>
    <w:rsid w:val="00BB2D6A"/>
    <w:rsid w:val="00BB3411"/>
    <w:rsid w:val="00BB3511"/>
    <w:rsid w:val="00BB36A2"/>
    <w:rsid w:val="00BB3788"/>
    <w:rsid w:val="00BB4653"/>
    <w:rsid w:val="00BB4CD4"/>
    <w:rsid w:val="00BB58DA"/>
    <w:rsid w:val="00BB6074"/>
    <w:rsid w:val="00BB6151"/>
    <w:rsid w:val="00BB63D1"/>
    <w:rsid w:val="00BB656A"/>
    <w:rsid w:val="00BB676B"/>
    <w:rsid w:val="00BB78BD"/>
    <w:rsid w:val="00BC000A"/>
    <w:rsid w:val="00BC0446"/>
    <w:rsid w:val="00BC0662"/>
    <w:rsid w:val="00BC089A"/>
    <w:rsid w:val="00BC1275"/>
    <w:rsid w:val="00BC128D"/>
    <w:rsid w:val="00BC143C"/>
    <w:rsid w:val="00BC2049"/>
    <w:rsid w:val="00BC2AB1"/>
    <w:rsid w:val="00BC303C"/>
    <w:rsid w:val="00BC3160"/>
    <w:rsid w:val="00BC374F"/>
    <w:rsid w:val="00BC3F31"/>
    <w:rsid w:val="00BC4CDF"/>
    <w:rsid w:val="00BC505F"/>
    <w:rsid w:val="00BC5172"/>
    <w:rsid w:val="00BC54E6"/>
    <w:rsid w:val="00BC585B"/>
    <w:rsid w:val="00BC5BDC"/>
    <w:rsid w:val="00BC6010"/>
    <w:rsid w:val="00BC610E"/>
    <w:rsid w:val="00BC6B9C"/>
    <w:rsid w:val="00BC708D"/>
    <w:rsid w:val="00BC7121"/>
    <w:rsid w:val="00BC7AB4"/>
    <w:rsid w:val="00BC7E7F"/>
    <w:rsid w:val="00BD02E1"/>
    <w:rsid w:val="00BD0CB1"/>
    <w:rsid w:val="00BD2AE8"/>
    <w:rsid w:val="00BD3046"/>
    <w:rsid w:val="00BD3FE6"/>
    <w:rsid w:val="00BD4179"/>
    <w:rsid w:val="00BD455C"/>
    <w:rsid w:val="00BD45B6"/>
    <w:rsid w:val="00BD46DA"/>
    <w:rsid w:val="00BD492E"/>
    <w:rsid w:val="00BD4E30"/>
    <w:rsid w:val="00BD5077"/>
    <w:rsid w:val="00BD5751"/>
    <w:rsid w:val="00BD57D6"/>
    <w:rsid w:val="00BD6757"/>
    <w:rsid w:val="00BD6797"/>
    <w:rsid w:val="00BD6827"/>
    <w:rsid w:val="00BD73BE"/>
    <w:rsid w:val="00BD7A14"/>
    <w:rsid w:val="00BE0406"/>
    <w:rsid w:val="00BE08F4"/>
    <w:rsid w:val="00BE09E1"/>
    <w:rsid w:val="00BE10B6"/>
    <w:rsid w:val="00BE1844"/>
    <w:rsid w:val="00BE1899"/>
    <w:rsid w:val="00BE1AD0"/>
    <w:rsid w:val="00BE1B2D"/>
    <w:rsid w:val="00BE1E10"/>
    <w:rsid w:val="00BE2496"/>
    <w:rsid w:val="00BE4415"/>
    <w:rsid w:val="00BE4AE1"/>
    <w:rsid w:val="00BE4CCF"/>
    <w:rsid w:val="00BE4EE9"/>
    <w:rsid w:val="00BE51F0"/>
    <w:rsid w:val="00BE582F"/>
    <w:rsid w:val="00BE6339"/>
    <w:rsid w:val="00BE65A4"/>
    <w:rsid w:val="00BE6629"/>
    <w:rsid w:val="00BE6898"/>
    <w:rsid w:val="00BE698A"/>
    <w:rsid w:val="00BF007C"/>
    <w:rsid w:val="00BF022E"/>
    <w:rsid w:val="00BF0236"/>
    <w:rsid w:val="00BF0BED"/>
    <w:rsid w:val="00BF0DE3"/>
    <w:rsid w:val="00BF0E9E"/>
    <w:rsid w:val="00BF16AC"/>
    <w:rsid w:val="00BF309D"/>
    <w:rsid w:val="00BF316A"/>
    <w:rsid w:val="00BF33DF"/>
    <w:rsid w:val="00BF3770"/>
    <w:rsid w:val="00BF3AB6"/>
    <w:rsid w:val="00BF41BE"/>
    <w:rsid w:val="00BF4F07"/>
    <w:rsid w:val="00BF52CB"/>
    <w:rsid w:val="00BF583C"/>
    <w:rsid w:val="00BF5A74"/>
    <w:rsid w:val="00BF65BA"/>
    <w:rsid w:val="00BF7598"/>
    <w:rsid w:val="00BF7615"/>
    <w:rsid w:val="00BF78E3"/>
    <w:rsid w:val="00C0073B"/>
    <w:rsid w:val="00C00D56"/>
    <w:rsid w:val="00C010D7"/>
    <w:rsid w:val="00C0127D"/>
    <w:rsid w:val="00C012D2"/>
    <w:rsid w:val="00C0181E"/>
    <w:rsid w:val="00C0191F"/>
    <w:rsid w:val="00C01A01"/>
    <w:rsid w:val="00C01A62"/>
    <w:rsid w:val="00C02400"/>
    <w:rsid w:val="00C02912"/>
    <w:rsid w:val="00C02939"/>
    <w:rsid w:val="00C031F0"/>
    <w:rsid w:val="00C03C1F"/>
    <w:rsid w:val="00C043BC"/>
    <w:rsid w:val="00C04509"/>
    <w:rsid w:val="00C048F8"/>
    <w:rsid w:val="00C04957"/>
    <w:rsid w:val="00C05670"/>
    <w:rsid w:val="00C058AE"/>
    <w:rsid w:val="00C06245"/>
    <w:rsid w:val="00C06BCE"/>
    <w:rsid w:val="00C0736E"/>
    <w:rsid w:val="00C07687"/>
    <w:rsid w:val="00C07722"/>
    <w:rsid w:val="00C07AE2"/>
    <w:rsid w:val="00C10F8F"/>
    <w:rsid w:val="00C1173A"/>
    <w:rsid w:val="00C11928"/>
    <w:rsid w:val="00C11DC0"/>
    <w:rsid w:val="00C11EBB"/>
    <w:rsid w:val="00C12512"/>
    <w:rsid w:val="00C1289B"/>
    <w:rsid w:val="00C12D31"/>
    <w:rsid w:val="00C1315A"/>
    <w:rsid w:val="00C13388"/>
    <w:rsid w:val="00C138D1"/>
    <w:rsid w:val="00C13B03"/>
    <w:rsid w:val="00C13DE3"/>
    <w:rsid w:val="00C141B8"/>
    <w:rsid w:val="00C149FD"/>
    <w:rsid w:val="00C14CAD"/>
    <w:rsid w:val="00C15220"/>
    <w:rsid w:val="00C16238"/>
    <w:rsid w:val="00C162FB"/>
    <w:rsid w:val="00C1667E"/>
    <w:rsid w:val="00C171F1"/>
    <w:rsid w:val="00C17FAB"/>
    <w:rsid w:val="00C2046A"/>
    <w:rsid w:val="00C2078C"/>
    <w:rsid w:val="00C20DB0"/>
    <w:rsid w:val="00C212CD"/>
    <w:rsid w:val="00C21359"/>
    <w:rsid w:val="00C21ACA"/>
    <w:rsid w:val="00C21FEF"/>
    <w:rsid w:val="00C228B2"/>
    <w:rsid w:val="00C22BCC"/>
    <w:rsid w:val="00C22E65"/>
    <w:rsid w:val="00C23AC0"/>
    <w:rsid w:val="00C2440F"/>
    <w:rsid w:val="00C24458"/>
    <w:rsid w:val="00C24779"/>
    <w:rsid w:val="00C24B23"/>
    <w:rsid w:val="00C24BB7"/>
    <w:rsid w:val="00C25530"/>
    <w:rsid w:val="00C256E7"/>
    <w:rsid w:val="00C25D1D"/>
    <w:rsid w:val="00C25F56"/>
    <w:rsid w:val="00C260E2"/>
    <w:rsid w:val="00C26521"/>
    <w:rsid w:val="00C26562"/>
    <w:rsid w:val="00C26885"/>
    <w:rsid w:val="00C26C68"/>
    <w:rsid w:val="00C273F2"/>
    <w:rsid w:val="00C274C2"/>
    <w:rsid w:val="00C277F5"/>
    <w:rsid w:val="00C279EE"/>
    <w:rsid w:val="00C30BD6"/>
    <w:rsid w:val="00C30F80"/>
    <w:rsid w:val="00C31F70"/>
    <w:rsid w:val="00C324EF"/>
    <w:rsid w:val="00C32A30"/>
    <w:rsid w:val="00C32A54"/>
    <w:rsid w:val="00C32C5C"/>
    <w:rsid w:val="00C3341F"/>
    <w:rsid w:val="00C3345A"/>
    <w:rsid w:val="00C338BC"/>
    <w:rsid w:val="00C3395C"/>
    <w:rsid w:val="00C33966"/>
    <w:rsid w:val="00C339B7"/>
    <w:rsid w:val="00C33A67"/>
    <w:rsid w:val="00C33D63"/>
    <w:rsid w:val="00C34348"/>
    <w:rsid w:val="00C34E56"/>
    <w:rsid w:val="00C34F68"/>
    <w:rsid w:val="00C357F7"/>
    <w:rsid w:val="00C36DF1"/>
    <w:rsid w:val="00C36F3A"/>
    <w:rsid w:val="00C373AB"/>
    <w:rsid w:val="00C37411"/>
    <w:rsid w:val="00C401C5"/>
    <w:rsid w:val="00C401CA"/>
    <w:rsid w:val="00C4028A"/>
    <w:rsid w:val="00C404DD"/>
    <w:rsid w:val="00C40731"/>
    <w:rsid w:val="00C40A3D"/>
    <w:rsid w:val="00C40D28"/>
    <w:rsid w:val="00C40F51"/>
    <w:rsid w:val="00C40FB5"/>
    <w:rsid w:val="00C412F4"/>
    <w:rsid w:val="00C41BE4"/>
    <w:rsid w:val="00C41E38"/>
    <w:rsid w:val="00C4206E"/>
    <w:rsid w:val="00C42A02"/>
    <w:rsid w:val="00C4330A"/>
    <w:rsid w:val="00C43493"/>
    <w:rsid w:val="00C4392E"/>
    <w:rsid w:val="00C439F6"/>
    <w:rsid w:val="00C43A1E"/>
    <w:rsid w:val="00C43F40"/>
    <w:rsid w:val="00C44242"/>
    <w:rsid w:val="00C44972"/>
    <w:rsid w:val="00C44A6E"/>
    <w:rsid w:val="00C44BE3"/>
    <w:rsid w:val="00C45A2B"/>
    <w:rsid w:val="00C462F4"/>
    <w:rsid w:val="00C46884"/>
    <w:rsid w:val="00C46A9D"/>
    <w:rsid w:val="00C46D75"/>
    <w:rsid w:val="00C47291"/>
    <w:rsid w:val="00C473BD"/>
    <w:rsid w:val="00C4751B"/>
    <w:rsid w:val="00C502F3"/>
    <w:rsid w:val="00C506B1"/>
    <w:rsid w:val="00C50A39"/>
    <w:rsid w:val="00C51B54"/>
    <w:rsid w:val="00C51F1B"/>
    <w:rsid w:val="00C5224C"/>
    <w:rsid w:val="00C52492"/>
    <w:rsid w:val="00C524D0"/>
    <w:rsid w:val="00C5302B"/>
    <w:rsid w:val="00C5308F"/>
    <w:rsid w:val="00C53314"/>
    <w:rsid w:val="00C5334D"/>
    <w:rsid w:val="00C53602"/>
    <w:rsid w:val="00C5365B"/>
    <w:rsid w:val="00C53692"/>
    <w:rsid w:val="00C538BC"/>
    <w:rsid w:val="00C53B3E"/>
    <w:rsid w:val="00C541F6"/>
    <w:rsid w:val="00C557F5"/>
    <w:rsid w:val="00C55C5F"/>
    <w:rsid w:val="00C55E74"/>
    <w:rsid w:val="00C56BAE"/>
    <w:rsid w:val="00C5739D"/>
    <w:rsid w:val="00C57415"/>
    <w:rsid w:val="00C57737"/>
    <w:rsid w:val="00C611EF"/>
    <w:rsid w:val="00C61392"/>
    <w:rsid w:val="00C618CE"/>
    <w:rsid w:val="00C61F76"/>
    <w:rsid w:val="00C62099"/>
    <w:rsid w:val="00C621F2"/>
    <w:rsid w:val="00C62667"/>
    <w:rsid w:val="00C627BC"/>
    <w:rsid w:val="00C62EE9"/>
    <w:rsid w:val="00C63149"/>
    <w:rsid w:val="00C63445"/>
    <w:rsid w:val="00C63C8E"/>
    <w:rsid w:val="00C63C98"/>
    <w:rsid w:val="00C63E1A"/>
    <w:rsid w:val="00C63F05"/>
    <w:rsid w:val="00C6430A"/>
    <w:rsid w:val="00C64945"/>
    <w:rsid w:val="00C64EDB"/>
    <w:rsid w:val="00C65125"/>
    <w:rsid w:val="00C6517A"/>
    <w:rsid w:val="00C654A6"/>
    <w:rsid w:val="00C6591E"/>
    <w:rsid w:val="00C65B21"/>
    <w:rsid w:val="00C65E88"/>
    <w:rsid w:val="00C66481"/>
    <w:rsid w:val="00C67C06"/>
    <w:rsid w:val="00C701A4"/>
    <w:rsid w:val="00C719FA"/>
    <w:rsid w:val="00C7234C"/>
    <w:rsid w:val="00C7255E"/>
    <w:rsid w:val="00C727F9"/>
    <w:rsid w:val="00C72F3B"/>
    <w:rsid w:val="00C72F54"/>
    <w:rsid w:val="00C736B1"/>
    <w:rsid w:val="00C73E79"/>
    <w:rsid w:val="00C74910"/>
    <w:rsid w:val="00C74D10"/>
    <w:rsid w:val="00C757F6"/>
    <w:rsid w:val="00C75C2A"/>
    <w:rsid w:val="00C75D1D"/>
    <w:rsid w:val="00C7615F"/>
    <w:rsid w:val="00C766B0"/>
    <w:rsid w:val="00C768EA"/>
    <w:rsid w:val="00C772D6"/>
    <w:rsid w:val="00C80030"/>
    <w:rsid w:val="00C80BD3"/>
    <w:rsid w:val="00C8100A"/>
    <w:rsid w:val="00C812B5"/>
    <w:rsid w:val="00C81541"/>
    <w:rsid w:val="00C81A3B"/>
    <w:rsid w:val="00C81AE7"/>
    <w:rsid w:val="00C82640"/>
    <w:rsid w:val="00C8304E"/>
    <w:rsid w:val="00C834ED"/>
    <w:rsid w:val="00C8364E"/>
    <w:rsid w:val="00C83936"/>
    <w:rsid w:val="00C841C0"/>
    <w:rsid w:val="00C848EB"/>
    <w:rsid w:val="00C86A94"/>
    <w:rsid w:val="00C86BBC"/>
    <w:rsid w:val="00C86D77"/>
    <w:rsid w:val="00C86FB5"/>
    <w:rsid w:val="00C873E6"/>
    <w:rsid w:val="00C8760C"/>
    <w:rsid w:val="00C87A04"/>
    <w:rsid w:val="00C90255"/>
    <w:rsid w:val="00C90B63"/>
    <w:rsid w:val="00C9104F"/>
    <w:rsid w:val="00C911BE"/>
    <w:rsid w:val="00C918F8"/>
    <w:rsid w:val="00C91F2B"/>
    <w:rsid w:val="00C9248D"/>
    <w:rsid w:val="00C924AC"/>
    <w:rsid w:val="00C92AF4"/>
    <w:rsid w:val="00C92CEC"/>
    <w:rsid w:val="00C92F15"/>
    <w:rsid w:val="00C92FF7"/>
    <w:rsid w:val="00C93485"/>
    <w:rsid w:val="00C93E2F"/>
    <w:rsid w:val="00C9407F"/>
    <w:rsid w:val="00C942B2"/>
    <w:rsid w:val="00C943D9"/>
    <w:rsid w:val="00C9469A"/>
    <w:rsid w:val="00C9470C"/>
    <w:rsid w:val="00C95252"/>
    <w:rsid w:val="00C956EB"/>
    <w:rsid w:val="00C95E96"/>
    <w:rsid w:val="00C9658F"/>
    <w:rsid w:val="00C96D4A"/>
    <w:rsid w:val="00C970AD"/>
    <w:rsid w:val="00C9747C"/>
    <w:rsid w:val="00C97626"/>
    <w:rsid w:val="00C97E20"/>
    <w:rsid w:val="00CA04C9"/>
    <w:rsid w:val="00CA04FA"/>
    <w:rsid w:val="00CA0DB2"/>
    <w:rsid w:val="00CA1044"/>
    <w:rsid w:val="00CA298F"/>
    <w:rsid w:val="00CA2DAE"/>
    <w:rsid w:val="00CA321C"/>
    <w:rsid w:val="00CA3469"/>
    <w:rsid w:val="00CA362A"/>
    <w:rsid w:val="00CA4083"/>
    <w:rsid w:val="00CA45ED"/>
    <w:rsid w:val="00CA4B20"/>
    <w:rsid w:val="00CA57C3"/>
    <w:rsid w:val="00CA6D60"/>
    <w:rsid w:val="00CA6DA3"/>
    <w:rsid w:val="00CA6FE1"/>
    <w:rsid w:val="00CA71C7"/>
    <w:rsid w:val="00CA7295"/>
    <w:rsid w:val="00CA7316"/>
    <w:rsid w:val="00CA79BA"/>
    <w:rsid w:val="00CA7D44"/>
    <w:rsid w:val="00CB01B8"/>
    <w:rsid w:val="00CB0475"/>
    <w:rsid w:val="00CB0C07"/>
    <w:rsid w:val="00CB0C7D"/>
    <w:rsid w:val="00CB0E90"/>
    <w:rsid w:val="00CB108E"/>
    <w:rsid w:val="00CB1175"/>
    <w:rsid w:val="00CB159C"/>
    <w:rsid w:val="00CB1AB8"/>
    <w:rsid w:val="00CB1B0B"/>
    <w:rsid w:val="00CB1BA7"/>
    <w:rsid w:val="00CB1CF5"/>
    <w:rsid w:val="00CB1FFF"/>
    <w:rsid w:val="00CB2AFD"/>
    <w:rsid w:val="00CB30CB"/>
    <w:rsid w:val="00CB3944"/>
    <w:rsid w:val="00CB3F23"/>
    <w:rsid w:val="00CB4105"/>
    <w:rsid w:val="00CB4935"/>
    <w:rsid w:val="00CB6371"/>
    <w:rsid w:val="00CB6A7F"/>
    <w:rsid w:val="00CB6E24"/>
    <w:rsid w:val="00CB70B5"/>
    <w:rsid w:val="00CB724D"/>
    <w:rsid w:val="00CC03F0"/>
    <w:rsid w:val="00CC04BA"/>
    <w:rsid w:val="00CC0C0E"/>
    <w:rsid w:val="00CC0F8F"/>
    <w:rsid w:val="00CC1252"/>
    <w:rsid w:val="00CC16CB"/>
    <w:rsid w:val="00CC1A42"/>
    <w:rsid w:val="00CC1FAE"/>
    <w:rsid w:val="00CC32C4"/>
    <w:rsid w:val="00CC37F9"/>
    <w:rsid w:val="00CC3E72"/>
    <w:rsid w:val="00CC42D0"/>
    <w:rsid w:val="00CC4483"/>
    <w:rsid w:val="00CC47D9"/>
    <w:rsid w:val="00CC49BC"/>
    <w:rsid w:val="00CC4B2E"/>
    <w:rsid w:val="00CC4D5D"/>
    <w:rsid w:val="00CC5453"/>
    <w:rsid w:val="00CC5832"/>
    <w:rsid w:val="00CC5B3A"/>
    <w:rsid w:val="00CC5D75"/>
    <w:rsid w:val="00CC6AAF"/>
    <w:rsid w:val="00CC6FA2"/>
    <w:rsid w:val="00CC7669"/>
    <w:rsid w:val="00CC7755"/>
    <w:rsid w:val="00CC79B5"/>
    <w:rsid w:val="00CC7CD8"/>
    <w:rsid w:val="00CC7E97"/>
    <w:rsid w:val="00CD07B8"/>
    <w:rsid w:val="00CD0BAC"/>
    <w:rsid w:val="00CD10E7"/>
    <w:rsid w:val="00CD182A"/>
    <w:rsid w:val="00CD193D"/>
    <w:rsid w:val="00CD1AF7"/>
    <w:rsid w:val="00CD1CB1"/>
    <w:rsid w:val="00CD242D"/>
    <w:rsid w:val="00CD2EBF"/>
    <w:rsid w:val="00CD3428"/>
    <w:rsid w:val="00CD3D2C"/>
    <w:rsid w:val="00CD3E90"/>
    <w:rsid w:val="00CD5AD5"/>
    <w:rsid w:val="00CD6907"/>
    <w:rsid w:val="00CE0CAE"/>
    <w:rsid w:val="00CE0F63"/>
    <w:rsid w:val="00CE1394"/>
    <w:rsid w:val="00CE2412"/>
    <w:rsid w:val="00CE362E"/>
    <w:rsid w:val="00CE38CE"/>
    <w:rsid w:val="00CE3EF2"/>
    <w:rsid w:val="00CE49D5"/>
    <w:rsid w:val="00CE4E84"/>
    <w:rsid w:val="00CE5EA5"/>
    <w:rsid w:val="00CE60FD"/>
    <w:rsid w:val="00CE6B36"/>
    <w:rsid w:val="00CE6E21"/>
    <w:rsid w:val="00CE715B"/>
    <w:rsid w:val="00CE744E"/>
    <w:rsid w:val="00CF006F"/>
    <w:rsid w:val="00CF0861"/>
    <w:rsid w:val="00CF0B4C"/>
    <w:rsid w:val="00CF15EB"/>
    <w:rsid w:val="00CF1746"/>
    <w:rsid w:val="00CF218D"/>
    <w:rsid w:val="00CF2A6B"/>
    <w:rsid w:val="00CF2E81"/>
    <w:rsid w:val="00CF305D"/>
    <w:rsid w:val="00CF3713"/>
    <w:rsid w:val="00CF3744"/>
    <w:rsid w:val="00CF3BE1"/>
    <w:rsid w:val="00CF4213"/>
    <w:rsid w:val="00CF4508"/>
    <w:rsid w:val="00CF4F4B"/>
    <w:rsid w:val="00CF5F9D"/>
    <w:rsid w:val="00CF64FA"/>
    <w:rsid w:val="00CF700B"/>
    <w:rsid w:val="00CF717B"/>
    <w:rsid w:val="00CF741D"/>
    <w:rsid w:val="00CF7450"/>
    <w:rsid w:val="00CF7ABA"/>
    <w:rsid w:val="00D000F7"/>
    <w:rsid w:val="00D00373"/>
    <w:rsid w:val="00D009A9"/>
    <w:rsid w:val="00D01040"/>
    <w:rsid w:val="00D01D2A"/>
    <w:rsid w:val="00D0233A"/>
    <w:rsid w:val="00D02FF8"/>
    <w:rsid w:val="00D03042"/>
    <w:rsid w:val="00D03313"/>
    <w:rsid w:val="00D0349A"/>
    <w:rsid w:val="00D03D1A"/>
    <w:rsid w:val="00D041BD"/>
    <w:rsid w:val="00D0455B"/>
    <w:rsid w:val="00D046E0"/>
    <w:rsid w:val="00D04B8A"/>
    <w:rsid w:val="00D04FC7"/>
    <w:rsid w:val="00D0585B"/>
    <w:rsid w:val="00D0610F"/>
    <w:rsid w:val="00D066E0"/>
    <w:rsid w:val="00D06F46"/>
    <w:rsid w:val="00D070BF"/>
    <w:rsid w:val="00D0712F"/>
    <w:rsid w:val="00D07149"/>
    <w:rsid w:val="00D07258"/>
    <w:rsid w:val="00D07B0B"/>
    <w:rsid w:val="00D07C3C"/>
    <w:rsid w:val="00D100A4"/>
    <w:rsid w:val="00D1081C"/>
    <w:rsid w:val="00D108BF"/>
    <w:rsid w:val="00D1220A"/>
    <w:rsid w:val="00D1268D"/>
    <w:rsid w:val="00D127EC"/>
    <w:rsid w:val="00D12AA1"/>
    <w:rsid w:val="00D12D2A"/>
    <w:rsid w:val="00D1348A"/>
    <w:rsid w:val="00D13B85"/>
    <w:rsid w:val="00D13D68"/>
    <w:rsid w:val="00D13FDE"/>
    <w:rsid w:val="00D1489A"/>
    <w:rsid w:val="00D14A3C"/>
    <w:rsid w:val="00D14B8D"/>
    <w:rsid w:val="00D152E2"/>
    <w:rsid w:val="00D15468"/>
    <w:rsid w:val="00D1651E"/>
    <w:rsid w:val="00D16652"/>
    <w:rsid w:val="00D16EEB"/>
    <w:rsid w:val="00D1711E"/>
    <w:rsid w:val="00D173F5"/>
    <w:rsid w:val="00D179CE"/>
    <w:rsid w:val="00D17DDC"/>
    <w:rsid w:val="00D2011C"/>
    <w:rsid w:val="00D21047"/>
    <w:rsid w:val="00D21172"/>
    <w:rsid w:val="00D2158D"/>
    <w:rsid w:val="00D21655"/>
    <w:rsid w:val="00D21DC0"/>
    <w:rsid w:val="00D2205A"/>
    <w:rsid w:val="00D2228D"/>
    <w:rsid w:val="00D226CF"/>
    <w:rsid w:val="00D22795"/>
    <w:rsid w:val="00D227D9"/>
    <w:rsid w:val="00D2288C"/>
    <w:rsid w:val="00D23094"/>
    <w:rsid w:val="00D231E4"/>
    <w:rsid w:val="00D23FEB"/>
    <w:rsid w:val="00D23FEF"/>
    <w:rsid w:val="00D24479"/>
    <w:rsid w:val="00D244F8"/>
    <w:rsid w:val="00D24FD6"/>
    <w:rsid w:val="00D2592D"/>
    <w:rsid w:val="00D25C60"/>
    <w:rsid w:val="00D264F9"/>
    <w:rsid w:val="00D26A64"/>
    <w:rsid w:val="00D2719A"/>
    <w:rsid w:val="00D27578"/>
    <w:rsid w:val="00D31E04"/>
    <w:rsid w:val="00D31FAE"/>
    <w:rsid w:val="00D320D3"/>
    <w:rsid w:val="00D32F9C"/>
    <w:rsid w:val="00D331CC"/>
    <w:rsid w:val="00D33402"/>
    <w:rsid w:val="00D33513"/>
    <w:rsid w:val="00D33A92"/>
    <w:rsid w:val="00D3475D"/>
    <w:rsid w:val="00D35057"/>
    <w:rsid w:val="00D354EF"/>
    <w:rsid w:val="00D362E4"/>
    <w:rsid w:val="00D367F4"/>
    <w:rsid w:val="00D36C2A"/>
    <w:rsid w:val="00D3711E"/>
    <w:rsid w:val="00D37122"/>
    <w:rsid w:val="00D37FEF"/>
    <w:rsid w:val="00D40298"/>
    <w:rsid w:val="00D402B1"/>
    <w:rsid w:val="00D4044A"/>
    <w:rsid w:val="00D4171F"/>
    <w:rsid w:val="00D41B54"/>
    <w:rsid w:val="00D41B6F"/>
    <w:rsid w:val="00D4284E"/>
    <w:rsid w:val="00D4293D"/>
    <w:rsid w:val="00D43388"/>
    <w:rsid w:val="00D43591"/>
    <w:rsid w:val="00D43BC7"/>
    <w:rsid w:val="00D442E4"/>
    <w:rsid w:val="00D445E6"/>
    <w:rsid w:val="00D449D5"/>
    <w:rsid w:val="00D44AF0"/>
    <w:rsid w:val="00D44FCE"/>
    <w:rsid w:val="00D45B1C"/>
    <w:rsid w:val="00D4615F"/>
    <w:rsid w:val="00D46490"/>
    <w:rsid w:val="00D46823"/>
    <w:rsid w:val="00D46CE4"/>
    <w:rsid w:val="00D470A3"/>
    <w:rsid w:val="00D4742A"/>
    <w:rsid w:val="00D47935"/>
    <w:rsid w:val="00D47986"/>
    <w:rsid w:val="00D47B3A"/>
    <w:rsid w:val="00D504EC"/>
    <w:rsid w:val="00D5054A"/>
    <w:rsid w:val="00D516F9"/>
    <w:rsid w:val="00D51E1A"/>
    <w:rsid w:val="00D51F4E"/>
    <w:rsid w:val="00D528D9"/>
    <w:rsid w:val="00D5378E"/>
    <w:rsid w:val="00D5398C"/>
    <w:rsid w:val="00D54179"/>
    <w:rsid w:val="00D54281"/>
    <w:rsid w:val="00D548D4"/>
    <w:rsid w:val="00D5493A"/>
    <w:rsid w:val="00D55D41"/>
    <w:rsid w:val="00D55FEF"/>
    <w:rsid w:val="00D56282"/>
    <w:rsid w:val="00D5628B"/>
    <w:rsid w:val="00D570A2"/>
    <w:rsid w:val="00D576FC"/>
    <w:rsid w:val="00D57CE0"/>
    <w:rsid w:val="00D600A3"/>
    <w:rsid w:val="00D60831"/>
    <w:rsid w:val="00D60A0A"/>
    <w:rsid w:val="00D60E37"/>
    <w:rsid w:val="00D60F70"/>
    <w:rsid w:val="00D610DD"/>
    <w:rsid w:val="00D61F5B"/>
    <w:rsid w:val="00D620ED"/>
    <w:rsid w:val="00D621EC"/>
    <w:rsid w:val="00D6282F"/>
    <w:rsid w:val="00D6299B"/>
    <w:rsid w:val="00D62DFB"/>
    <w:rsid w:val="00D63E2E"/>
    <w:rsid w:val="00D641AD"/>
    <w:rsid w:val="00D642BA"/>
    <w:rsid w:val="00D6451F"/>
    <w:rsid w:val="00D662D9"/>
    <w:rsid w:val="00D66711"/>
    <w:rsid w:val="00D66997"/>
    <w:rsid w:val="00D66A20"/>
    <w:rsid w:val="00D66CC0"/>
    <w:rsid w:val="00D66E17"/>
    <w:rsid w:val="00D67031"/>
    <w:rsid w:val="00D672EB"/>
    <w:rsid w:val="00D67F18"/>
    <w:rsid w:val="00D701B8"/>
    <w:rsid w:val="00D70C16"/>
    <w:rsid w:val="00D70E9A"/>
    <w:rsid w:val="00D71132"/>
    <w:rsid w:val="00D71E6B"/>
    <w:rsid w:val="00D72472"/>
    <w:rsid w:val="00D7271F"/>
    <w:rsid w:val="00D7292C"/>
    <w:rsid w:val="00D72DC4"/>
    <w:rsid w:val="00D734B2"/>
    <w:rsid w:val="00D73773"/>
    <w:rsid w:val="00D737F5"/>
    <w:rsid w:val="00D73C96"/>
    <w:rsid w:val="00D7402F"/>
    <w:rsid w:val="00D7418E"/>
    <w:rsid w:val="00D74C2A"/>
    <w:rsid w:val="00D74C40"/>
    <w:rsid w:val="00D75AC4"/>
    <w:rsid w:val="00D76007"/>
    <w:rsid w:val="00D762F0"/>
    <w:rsid w:val="00D76627"/>
    <w:rsid w:val="00D76630"/>
    <w:rsid w:val="00D770BA"/>
    <w:rsid w:val="00D770BB"/>
    <w:rsid w:val="00D774BE"/>
    <w:rsid w:val="00D77CDF"/>
    <w:rsid w:val="00D80569"/>
    <w:rsid w:val="00D8076F"/>
    <w:rsid w:val="00D819F1"/>
    <w:rsid w:val="00D81A88"/>
    <w:rsid w:val="00D81FF8"/>
    <w:rsid w:val="00D8210B"/>
    <w:rsid w:val="00D8210D"/>
    <w:rsid w:val="00D82443"/>
    <w:rsid w:val="00D82B8F"/>
    <w:rsid w:val="00D82CC4"/>
    <w:rsid w:val="00D82E63"/>
    <w:rsid w:val="00D830F4"/>
    <w:rsid w:val="00D8390A"/>
    <w:rsid w:val="00D83EBA"/>
    <w:rsid w:val="00D842D6"/>
    <w:rsid w:val="00D84855"/>
    <w:rsid w:val="00D84A8F"/>
    <w:rsid w:val="00D85395"/>
    <w:rsid w:val="00D85800"/>
    <w:rsid w:val="00D85C34"/>
    <w:rsid w:val="00D85C62"/>
    <w:rsid w:val="00D85EA5"/>
    <w:rsid w:val="00D85EC9"/>
    <w:rsid w:val="00D864B6"/>
    <w:rsid w:val="00D86FCC"/>
    <w:rsid w:val="00D87079"/>
    <w:rsid w:val="00D878EB"/>
    <w:rsid w:val="00D879B6"/>
    <w:rsid w:val="00D87B24"/>
    <w:rsid w:val="00D87D32"/>
    <w:rsid w:val="00D900E8"/>
    <w:rsid w:val="00D90688"/>
    <w:rsid w:val="00D91009"/>
    <w:rsid w:val="00D914A2"/>
    <w:rsid w:val="00D91B92"/>
    <w:rsid w:val="00D92358"/>
    <w:rsid w:val="00D924C1"/>
    <w:rsid w:val="00D9294B"/>
    <w:rsid w:val="00D930A2"/>
    <w:rsid w:val="00D9316E"/>
    <w:rsid w:val="00D9372E"/>
    <w:rsid w:val="00D93CBB"/>
    <w:rsid w:val="00D9495A"/>
    <w:rsid w:val="00D94B9E"/>
    <w:rsid w:val="00D95117"/>
    <w:rsid w:val="00D9582B"/>
    <w:rsid w:val="00D95A72"/>
    <w:rsid w:val="00D967EB"/>
    <w:rsid w:val="00D96D92"/>
    <w:rsid w:val="00D96EDA"/>
    <w:rsid w:val="00D97251"/>
    <w:rsid w:val="00D97328"/>
    <w:rsid w:val="00D97AB1"/>
    <w:rsid w:val="00DA06C7"/>
    <w:rsid w:val="00DA075F"/>
    <w:rsid w:val="00DA0E09"/>
    <w:rsid w:val="00DA0FF5"/>
    <w:rsid w:val="00DA1ED5"/>
    <w:rsid w:val="00DA1FF8"/>
    <w:rsid w:val="00DA2158"/>
    <w:rsid w:val="00DA21D2"/>
    <w:rsid w:val="00DA2317"/>
    <w:rsid w:val="00DA2933"/>
    <w:rsid w:val="00DA2A38"/>
    <w:rsid w:val="00DA33DD"/>
    <w:rsid w:val="00DA3493"/>
    <w:rsid w:val="00DA3540"/>
    <w:rsid w:val="00DA36CB"/>
    <w:rsid w:val="00DA3823"/>
    <w:rsid w:val="00DA3A68"/>
    <w:rsid w:val="00DA413A"/>
    <w:rsid w:val="00DA4247"/>
    <w:rsid w:val="00DA44F9"/>
    <w:rsid w:val="00DA454A"/>
    <w:rsid w:val="00DA4AC9"/>
    <w:rsid w:val="00DA5418"/>
    <w:rsid w:val="00DA5636"/>
    <w:rsid w:val="00DA5720"/>
    <w:rsid w:val="00DA6550"/>
    <w:rsid w:val="00DA689E"/>
    <w:rsid w:val="00DA7467"/>
    <w:rsid w:val="00DA7BE9"/>
    <w:rsid w:val="00DA7D20"/>
    <w:rsid w:val="00DB020C"/>
    <w:rsid w:val="00DB046D"/>
    <w:rsid w:val="00DB04D4"/>
    <w:rsid w:val="00DB14A2"/>
    <w:rsid w:val="00DB1F6F"/>
    <w:rsid w:val="00DB2266"/>
    <w:rsid w:val="00DB248A"/>
    <w:rsid w:val="00DB2514"/>
    <w:rsid w:val="00DB32E4"/>
    <w:rsid w:val="00DB3CAA"/>
    <w:rsid w:val="00DB3F73"/>
    <w:rsid w:val="00DB3F92"/>
    <w:rsid w:val="00DB4218"/>
    <w:rsid w:val="00DB461D"/>
    <w:rsid w:val="00DB54C1"/>
    <w:rsid w:val="00DB57A9"/>
    <w:rsid w:val="00DB632C"/>
    <w:rsid w:val="00DB6D8D"/>
    <w:rsid w:val="00DB6F29"/>
    <w:rsid w:val="00DB722A"/>
    <w:rsid w:val="00DB7619"/>
    <w:rsid w:val="00DC0711"/>
    <w:rsid w:val="00DC0FF1"/>
    <w:rsid w:val="00DC152B"/>
    <w:rsid w:val="00DC2D4F"/>
    <w:rsid w:val="00DC2E46"/>
    <w:rsid w:val="00DC336C"/>
    <w:rsid w:val="00DC3A0C"/>
    <w:rsid w:val="00DC4284"/>
    <w:rsid w:val="00DC440F"/>
    <w:rsid w:val="00DC4B26"/>
    <w:rsid w:val="00DC4F67"/>
    <w:rsid w:val="00DC59DF"/>
    <w:rsid w:val="00DC6222"/>
    <w:rsid w:val="00DC65D5"/>
    <w:rsid w:val="00DC7233"/>
    <w:rsid w:val="00DC744D"/>
    <w:rsid w:val="00DC7481"/>
    <w:rsid w:val="00DC7AE0"/>
    <w:rsid w:val="00DD006E"/>
    <w:rsid w:val="00DD029A"/>
    <w:rsid w:val="00DD0B3E"/>
    <w:rsid w:val="00DD1354"/>
    <w:rsid w:val="00DD165B"/>
    <w:rsid w:val="00DD1A29"/>
    <w:rsid w:val="00DD1BBE"/>
    <w:rsid w:val="00DD1D7C"/>
    <w:rsid w:val="00DD2C2D"/>
    <w:rsid w:val="00DD2C9C"/>
    <w:rsid w:val="00DD36C5"/>
    <w:rsid w:val="00DD38E1"/>
    <w:rsid w:val="00DD39B5"/>
    <w:rsid w:val="00DD3F71"/>
    <w:rsid w:val="00DD4B62"/>
    <w:rsid w:val="00DD523F"/>
    <w:rsid w:val="00DD540E"/>
    <w:rsid w:val="00DD5DAF"/>
    <w:rsid w:val="00DD6003"/>
    <w:rsid w:val="00DD62D5"/>
    <w:rsid w:val="00DD67F8"/>
    <w:rsid w:val="00DD6D26"/>
    <w:rsid w:val="00DD726C"/>
    <w:rsid w:val="00DE0D38"/>
    <w:rsid w:val="00DE13B3"/>
    <w:rsid w:val="00DE15DE"/>
    <w:rsid w:val="00DE1DB4"/>
    <w:rsid w:val="00DE2179"/>
    <w:rsid w:val="00DE23B0"/>
    <w:rsid w:val="00DE2AE4"/>
    <w:rsid w:val="00DE2B6F"/>
    <w:rsid w:val="00DE2B76"/>
    <w:rsid w:val="00DE2D66"/>
    <w:rsid w:val="00DE2E2F"/>
    <w:rsid w:val="00DE3605"/>
    <w:rsid w:val="00DE42DE"/>
    <w:rsid w:val="00DE4735"/>
    <w:rsid w:val="00DE5163"/>
    <w:rsid w:val="00DE52C8"/>
    <w:rsid w:val="00DE5374"/>
    <w:rsid w:val="00DE6A45"/>
    <w:rsid w:val="00DE6BF7"/>
    <w:rsid w:val="00DE6CBB"/>
    <w:rsid w:val="00DE6F23"/>
    <w:rsid w:val="00DE7805"/>
    <w:rsid w:val="00DE7DE5"/>
    <w:rsid w:val="00DE7E3D"/>
    <w:rsid w:val="00DF0102"/>
    <w:rsid w:val="00DF0535"/>
    <w:rsid w:val="00DF0D92"/>
    <w:rsid w:val="00DF0ED5"/>
    <w:rsid w:val="00DF136F"/>
    <w:rsid w:val="00DF15F1"/>
    <w:rsid w:val="00DF16A9"/>
    <w:rsid w:val="00DF1733"/>
    <w:rsid w:val="00DF17D5"/>
    <w:rsid w:val="00DF2052"/>
    <w:rsid w:val="00DF2110"/>
    <w:rsid w:val="00DF232B"/>
    <w:rsid w:val="00DF272A"/>
    <w:rsid w:val="00DF332F"/>
    <w:rsid w:val="00DF35C2"/>
    <w:rsid w:val="00DF3FE4"/>
    <w:rsid w:val="00DF47BE"/>
    <w:rsid w:val="00DF53CB"/>
    <w:rsid w:val="00DF54D9"/>
    <w:rsid w:val="00DF5AAD"/>
    <w:rsid w:val="00DF60B6"/>
    <w:rsid w:val="00DF63ED"/>
    <w:rsid w:val="00DF6489"/>
    <w:rsid w:val="00DF6850"/>
    <w:rsid w:val="00DF7152"/>
    <w:rsid w:val="00DF757B"/>
    <w:rsid w:val="00DF7713"/>
    <w:rsid w:val="00DF7ACA"/>
    <w:rsid w:val="00E00186"/>
    <w:rsid w:val="00E00266"/>
    <w:rsid w:val="00E002FB"/>
    <w:rsid w:val="00E004E5"/>
    <w:rsid w:val="00E005B4"/>
    <w:rsid w:val="00E00A0C"/>
    <w:rsid w:val="00E00DCC"/>
    <w:rsid w:val="00E01305"/>
    <w:rsid w:val="00E01887"/>
    <w:rsid w:val="00E0193F"/>
    <w:rsid w:val="00E01D71"/>
    <w:rsid w:val="00E023C0"/>
    <w:rsid w:val="00E02917"/>
    <w:rsid w:val="00E038BF"/>
    <w:rsid w:val="00E039AE"/>
    <w:rsid w:val="00E03D4B"/>
    <w:rsid w:val="00E04068"/>
    <w:rsid w:val="00E0493E"/>
    <w:rsid w:val="00E05296"/>
    <w:rsid w:val="00E05612"/>
    <w:rsid w:val="00E05C9C"/>
    <w:rsid w:val="00E05EE4"/>
    <w:rsid w:val="00E06C0B"/>
    <w:rsid w:val="00E06F7F"/>
    <w:rsid w:val="00E0721C"/>
    <w:rsid w:val="00E07484"/>
    <w:rsid w:val="00E076F0"/>
    <w:rsid w:val="00E07936"/>
    <w:rsid w:val="00E11419"/>
    <w:rsid w:val="00E11827"/>
    <w:rsid w:val="00E11AA4"/>
    <w:rsid w:val="00E11F33"/>
    <w:rsid w:val="00E12263"/>
    <w:rsid w:val="00E1284C"/>
    <w:rsid w:val="00E131D1"/>
    <w:rsid w:val="00E1445C"/>
    <w:rsid w:val="00E144F1"/>
    <w:rsid w:val="00E14798"/>
    <w:rsid w:val="00E15653"/>
    <w:rsid w:val="00E15AC2"/>
    <w:rsid w:val="00E15F69"/>
    <w:rsid w:val="00E1664F"/>
    <w:rsid w:val="00E16B19"/>
    <w:rsid w:val="00E16D64"/>
    <w:rsid w:val="00E171E3"/>
    <w:rsid w:val="00E176A3"/>
    <w:rsid w:val="00E17878"/>
    <w:rsid w:val="00E1789B"/>
    <w:rsid w:val="00E17A89"/>
    <w:rsid w:val="00E20003"/>
    <w:rsid w:val="00E20104"/>
    <w:rsid w:val="00E203DE"/>
    <w:rsid w:val="00E205FB"/>
    <w:rsid w:val="00E20C3F"/>
    <w:rsid w:val="00E212C9"/>
    <w:rsid w:val="00E21600"/>
    <w:rsid w:val="00E2179D"/>
    <w:rsid w:val="00E21E93"/>
    <w:rsid w:val="00E2212F"/>
    <w:rsid w:val="00E225CF"/>
    <w:rsid w:val="00E22671"/>
    <w:rsid w:val="00E22A83"/>
    <w:rsid w:val="00E22AE7"/>
    <w:rsid w:val="00E230AE"/>
    <w:rsid w:val="00E237EB"/>
    <w:rsid w:val="00E2386C"/>
    <w:rsid w:val="00E24193"/>
    <w:rsid w:val="00E242F9"/>
    <w:rsid w:val="00E243F9"/>
    <w:rsid w:val="00E244A3"/>
    <w:rsid w:val="00E247CF"/>
    <w:rsid w:val="00E24DD6"/>
    <w:rsid w:val="00E259C6"/>
    <w:rsid w:val="00E26A87"/>
    <w:rsid w:val="00E27273"/>
    <w:rsid w:val="00E278BE"/>
    <w:rsid w:val="00E278CA"/>
    <w:rsid w:val="00E27DF7"/>
    <w:rsid w:val="00E27E19"/>
    <w:rsid w:val="00E300B7"/>
    <w:rsid w:val="00E3072A"/>
    <w:rsid w:val="00E3111F"/>
    <w:rsid w:val="00E31276"/>
    <w:rsid w:val="00E3293C"/>
    <w:rsid w:val="00E32BC2"/>
    <w:rsid w:val="00E32EEA"/>
    <w:rsid w:val="00E33294"/>
    <w:rsid w:val="00E33853"/>
    <w:rsid w:val="00E33C85"/>
    <w:rsid w:val="00E341CE"/>
    <w:rsid w:val="00E34225"/>
    <w:rsid w:val="00E3450C"/>
    <w:rsid w:val="00E34CAD"/>
    <w:rsid w:val="00E3558B"/>
    <w:rsid w:val="00E35C23"/>
    <w:rsid w:val="00E368CC"/>
    <w:rsid w:val="00E36A98"/>
    <w:rsid w:val="00E36AE4"/>
    <w:rsid w:val="00E3703E"/>
    <w:rsid w:val="00E37371"/>
    <w:rsid w:val="00E40619"/>
    <w:rsid w:val="00E41FD7"/>
    <w:rsid w:val="00E42210"/>
    <w:rsid w:val="00E4273C"/>
    <w:rsid w:val="00E428C0"/>
    <w:rsid w:val="00E43DDE"/>
    <w:rsid w:val="00E44714"/>
    <w:rsid w:val="00E449A6"/>
    <w:rsid w:val="00E44E84"/>
    <w:rsid w:val="00E45282"/>
    <w:rsid w:val="00E45525"/>
    <w:rsid w:val="00E455CE"/>
    <w:rsid w:val="00E45AAC"/>
    <w:rsid w:val="00E45DA2"/>
    <w:rsid w:val="00E45E16"/>
    <w:rsid w:val="00E45EE9"/>
    <w:rsid w:val="00E45FB8"/>
    <w:rsid w:val="00E469C2"/>
    <w:rsid w:val="00E46C92"/>
    <w:rsid w:val="00E46FBB"/>
    <w:rsid w:val="00E478CE"/>
    <w:rsid w:val="00E5021C"/>
    <w:rsid w:val="00E508FC"/>
    <w:rsid w:val="00E50BCD"/>
    <w:rsid w:val="00E51111"/>
    <w:rsid w:val="00E51AA2"/>
    <w:rsid w:val="00E525BD"/>
    <w:rsid w:val="00E5274E"/>
    <w:rsid w:val="00E52837"/>
    <w:rsid w:val="00E53083"/>
    <w:rsid w:val="00E531B6"/>
    <w:rsid w:val="00E53641"/>
    <w:rsid w:val="00E5373F"/>
    <w:rsid w:val="00E5390B"/>
    <w:rsid w:val="00E53A64"/>
    <w:rsid w:val="00E546DF"/>
    <w:rsid w:val="00E55290"/>
    <w:rsid w:val="00E55F02"/>
    <w:rsid w:val="00E56468"/>
    <w:rsid w:val="00E56C9F"/>
    <w:rsid w:val="00E56DE8"/>
    <w:rsid w:val="00E6100B"/>
    <w:rsid w:val="00E62491"/>
    <w:rsid w:val="00E62B53"/>
    <w:rsid w:val="00E63214"/>
    <w:rsid w:val="00E63327"/>
    <w:rsid w:val="00E640A8"/>
    <w:rsid w:val="00E6424A"/>
    <w:rsid w:val="00E64259"/>
    <w:rsid w:val="00E6446A"/>
    <w:rsid w:val="00E64A37"/>
    <w:rsid w:val="00E64D71"/>
    <w:rsid w:val="00E656C8"/>
    <w:rsid w:val="00E6573E"/>
    <w:rsid w:val="00E65EF6"/>
    <w:rsid w:val="00E663DC"/>
    <w:rsid w:val="00E6640C"/>
    <w:rsid w:val="00E66514"/>
    <w:rsid w:val="00E66568"/>
    <w:rsid w:val="00E66928"/>
    <w:rsid w:val="00E66F1F"/>
    <w:rsid w:val="00E67BE2"/>
    <w:rsid w:val="00E67D29"/>
    <w:rsid w:val="00E7086C"/>
    <w:rsid w:val="00E709F7"/>
    <w:rsid w:val="00E71063"/>
    <w:rsid w:val="00E720E6"/>
    <w:rsid w:val="00E723DF"/>
    <w:rsid w:val="00E7247D"/>
    <w:rsid w:val="00E7260A"/>
    <w:rsid w:val="00E72E52"/>
    <w:rsid w:val="00E72F36"/>
    <w:rsid w:val="00E730DD"/>
    <w:rsid w:val="00E7387E"/>
    <w:rsid w:val="00E73F20"/>
    <w:rsid w:val="00E7420A"/>
    <w:rsid w:val="00E744A9"/>
    <w:rsid w:val="00E745D3"/>
    <w:rsid w:val="00E7538B"/>
    <w:rsid w:val="00E75769"/>
    <w:rsid w:val="00E769C4"/>
    <w:rsid w:val="00E76DFC"/>
    <w:rsid w:val="00E77A29"/>
    <w:rsid w:val="00E80A0A"/>
    <w:rsid w:val="00E80D96"/>
    <w:rsid w:val="00E81118"/>
    <w:rsid w:val="00E811C6"/>
    <w:rsid w:val="00E813DB"/>
    <w:rsid w:val="00E81B55"/>
    <w:rsid w:val="00E81F71"/>
    <w:rsid w:val="00E82402"/>
    <w:rsid w:val="00E82A38"/>
    <w:rsid w:val="00E83191"/>
    <w:rsid w:val="00E83D14"/>
    <w:rsid w:val="00E84667"/>
    <w:rsid w:val="00E8476A"/>
    <w:rsid w:val="00E84D3C"/>
    <w:rsid w:val="00E84FA4"/>
    <w:rsid w:val="00E850AF"/>
    <w:rsid w:val="00E8516E"/>
    <w:rsid w:val="00E85292"/>
    <w:rsid w:val="00E85C47"/>
    <w:rsid w:val="00E85EDE"/>
    <w:rsid w:val="00E86706"/>
    <w:rsid w:val="00E86D9D"/>
    <w:rsid w:val="00E8760E"/>
    <w:rsid w:val="00E877C7"/>
    <w:rsid w:val="00E901CC"/>
    <w:rsid w:val="00E90C05"/>
    <w:rsid w:val="00E91616"/>
    <w:rsid w:val="00E91F93"/>
    <w:rsid w:val="00E9293E"/>
    <w:rsid w:val="00E92A17"/>
    <w:rsid w:val="00E92B02"/>
    <w:rsid w:val="00E93242"/>
    <w:rsid w:val="00E937FD"/>
    <w:rsid w:val="00E9390F"/>
    <w:rsid w:val="00E93C96"/>
    <w:rsid w:val="00E94075"/>
    <w:rsid w:val="00E94E41"/>
    <w:rsid w:val="00E9504F"/>
    <w:rsid w:val="00E95926"/>
    <w:rsid w:val="00E95A75"/>
    <w:rsid w:val="00E95B3D"/>
    <w:rsid w:val="00E95C28"/>
    <w:rsid w:val="00E95D6C"/>
    <w:rsid w:val="00E95E0C"/>
    <w:rsid w:val="00E96A05"/>
    <w:rsid w:val="00E96DFC"/>
    <w:rsid w:val="00E975B9"/>
    <w:rsid w:val="00E97C23"/>
    <w:rsid w:val="00E97EFB"/>
    <w:rsid w:val="00E97F0B"/>
    <w:rsid w:val="00EA060B"/>
    <w:rsid w:val="00EA0BC0"/>
    <w:rsid w:val="00EA0FC1"/>
    <w:rsid w:val="00EA1570"/>
    <w:rsid w:val="00EA1680"/>
    <w:rsid w:val="00EA1982"/>
    <w:rsid w:val="00EA1EFD"/>
    <w:rsid w:val="00EA22B5"/>
    <w:rsid w:val="00EA232B"/>
    <w:rsid w:val="00EA385C"/>
    <w:rsid w:val="00EA4229"/>
    <w:rsid w:val="00EA4322"/>
    <w:rsid w:val="00EA4496"/>
    <w:rsid w:val="00EA48AB"/>
    <w:rsid w:val="00EA56FD"/>
    <w:rsid w:val="00EA5EEA"/>
    <w:rsid w:val="00EA63AE"/>
    <w:rsid w:val="00EA651F"/>
    <w:rsid w:val="00EA6C84"/>
    <w:rsid w:val="00EA7085"/>
    <w:rsid w:val="00EA75FE"/>
    <w:rsid w:val="00EA7A01"/>
    <w:rsid w:val="00EA7C47"/>
    <w:rsid w:val="00EA7FE6"/>
    <w:rsid w:val="00EB0483"/>
    <w:rsid w:val="00EB061D"/>
    <w:rsid w:val="00EB0A85"/>
    <w:rsid w:val="00EB0DBF"/>
    <w:rsid w:val="00EB186E"/>
    <w:rsid w:val="00EB1B01"/>
    <w:rsid w:val="00EB1DA4"/>
    <w:rsid w:val="00EB242A"/>
    <w:rsid w:val="00EB2491"/>
    <w:rsid w:val="00EB264C"/>
    <w:rsid w:val="00EB2A47"/>
    <w:rsid w:val="00EB2B2D"/>
    <w:rsid w:val="00EB2FA0"/>
    <w:rsid w:val="00EB30BC"/>
    <w:rsid w:val="00EB3E78"/>
    <w:rsid w:val="00EB42E5"/>
    <w:rsid w:val="00EB43A8"/>
    <w:rsid w:val="00EB43BF"/>
    <w:rsid w:val="00EB47E3"/>
    <w:rsid w:val="00EB4A54"/>
    <w:rsid w:val="00EB4DD8"/>
    <w:rsid w:val="00EB52A3"/>
    <w:rsid w:val="00EB564C"/>
    <w:rsid w:val="00EB567C"/>
    <w:rsid w:val="00EB6916"/>
    <w:rsid w:val="00EB6D33"/>
    <w:rsid w:val="00EB70C6"/>
    <w:rsid w:val="00EB7419"/>
    <w:rsid w:val="00EB7AF4"/>
    <w:rsid w:val="00EB7BAB"/>
    <w:rsid w:val="00EC03F3"/>
    <w:rsid w:val="00EC07BA"/>
    <w:rsid w:val="00EC1043"/>
    <w:rsid w:val="00EC12E0"/>
    <w:rsid w:val="00EC1418"/>
    <w:rsid w:val="00EC1D7B"/>
    <w:rsid w:val="00EC23BF"/>
    <w:rsid w:val="00EC30D6"/>
    <w:rsid w:val="00EC371F"/>
    <w:rsid w:val="00EC3929"/>
    <w:rsid w:val="00EC3F6B"/>
    <w:rsid w:val="00EC4075"/>
    <w:rsid w:val="00EC4135"/>
    <w:rsid w:val="00EC4386"/>
    <w:rsid w:val="00EC441B"/>
    <w:rsid w:val="00EC4938"/>
    <w:rsid w:val="00EC5252"/>
    <w:rsid w:val="00EC54B6"/>
    <w:rsid w:val="00EC58A0"/>
    <w:rsid w:val="00EC5A08"/>
    <w:rsid w:val="00EC6C47"/>
    <w:rsid w:val="00EC6E95"/>
    <w:rsid w:val="00EC7AD5"/>
    <w:rsid w:val="00EC7E1D"/>
    <w:rsid w:val="00EC7F08"/>
    <w:rsid w:val="00ED0094"/>
    <w:rsid w:val="00ED011A"/>
    <w:rsid w:val="00ED0E95"/>
    <w:rsid w:val="00ED220E"/>
    <w:rsid w:val="00ED249B"/>
    <w:rsid w:val="00ED26A7"/>
    <w:rsid w:val="00ED272A"/>
    <w:rsid w:val="00ED288B"/>
    <w:rsid w:val="00ED3820"/>
    <w:rsid w:val="00ED3EF3"/>
    <w:rsid w:val="00ED3F1B"/>
    <w:rsid w:val="00ED4E51"/>
    <w:rsid w:val="00ED4F9E"/>
    <w:rsid w:val="00ED5105"/>
    <w:rsid w:val="00ED5A00"/>
    <w:rsid w:val="00ED6DC6"/>
    <w:rsid w:val="00ED6E4C"/>
    <w:rsid w:val="00ED70D7"/>
    <w:rsid w:val="00ED7262"/>
    <w:rsid w:val="00ED7677"/>
    <w:rsid w:val="00EE005E"/>
    <w:rsid w:val="00EE06B5"/>
    <w:rsid w:val="00EE0BE6"/>
    <w:rsid w:val="00EE0EFC"/>
    <w:rsid w:val="00EE12FF"/>
    <w:rsid w:val="00EE193F"/>
    <w:rsid w:val="00EE1C8C"/>
    <w:rsid w:val="00EE2E04"/>
    <w:rsid w:val="00EE3342"/>
    <w:rsid w:val="00EE390B"/>
    <w:rsid w:val="00EE3EB2"/>
    <w:rsid w:val="00EE476C"/>
    <w:rsid w:val="00EE5018"/>
    <w:rsid w:val="00EE51C5"/>
    <w:rsid w:val="00EE53D9"/>
    <w:rsid w:val="00EE53F8"/>
    <w:rsid w:val="00EE5567"/>
    <w:rsid w:val="00EE5EA4"/>
    <w:rsid w:val="00EE6256"/>
    <w:rsid w:val="00EE67E0"/>
    <w:rsid w:val="00EE6F9C"/>
    <w:rsid w:val="00EE6F9F"/>
    <w:rsid w:val="00EE71AA"/>
    <w:rsid w:val="00EE7434"/>
    <w:rsid w:val="00EE7CB7"/>
    <w:rsid w:val="00EF0409"/>
    <w:rsid w:val="00EF0F53"/>
    <w:rsid w:val="00EF1782"/>
    <w:rsid w:val="00EF18AB"/>
    <w:rsid w:val="00EF241F"/>
    <w:rsid w:val="00EF286A"/>
    <w:rsid w:val="00EF3689"/>
    <w:rsid w:val="00EF39A7"/>
    <w:rsid w:val="00EF427A"/>
    <w:rsid w:val="00EF5ADB"/>
    <w:rsid w:val="00EF6AE1"/>
    <w:rsid w:val="00EF7044"/>
    <w:rsid w:val="00EF73AE"/>
    <w:rsid w:val="00EF782B"/>
    <w:rsid w:val="00F000D0"/>
    <w:rsid w:val="00F009DB"/>
    <w:rsid w:val="00F0156D"/>
    <w:rsid w:val="00F01B5E"/>
    <w:rsid w:val="00F0274A"/>
    <w:rsid w:val="00F02CB4"/>
    <w:rsid w:val="00F02D11"/>
    <w:rsid w:val="00F032F8"/>
    <w:rsid w:val="00F0335C"/>
    <w:rsid w:val="00F03A3E"/>
    <w:rsid w:val="00F03C2B"/>
    <w:rsid w:val="00F03EFF"/>
    <w:rsid w:val="00F04263"/>
    <w:rsid w:val="00F047C0"/>
    <w:rsid w:val="00F049F6"/>
    <w:rsid w:val="00F04C61"/>
    <w:rsid w:val="00F04D22"/>
    <w:rsid w:val="00F05325"/>
    <w:rsid w:val="00F05358"/>
    <w:rsid w:val="00F05615"/>
    <w:rsid w:val="00F06247"/>
    <w:rsid w:val="00F06647"/>
    <w:rsid w:val="00F06C1D"/>
    <w:rsid w:val="00F06EC9"/>
    <w:rsid w:val="00F06FA3"/>
    <w:rsid w:val="00F076D6"/>
    <w:rsid w:val="00F0770B"/>
    <w:rsid w:val="00F07732"/>
    <w:rsid w:val="00F07760"/>
    <w:rsid w:val="00F10019"/>
    <w:rsid w:val="00F10461"/>
    <w:rsid w:val="00F11D4E"/>
    <w:rsid w:val="00F12747"/>
    <w:rsid w:val="00F12903"/>
    <w:rsid w:val="00F12947"/>
    <w:rsid w:val="00F12E57"/>
    <w:rsid w:val="00F131F4"/>
    <w:rsid w:val="00F13446"/>
    <w:rsid w:val="00F13797"/>
    <w:rsid w:val="00F1393B"/>
    <w:rsid w:val="00F13CCD"/>
    <w:rsid w:val="00F14378"/>
    <w:rsid w:val="00F14A7F"/>
    <w:rsid w:val="00F15158"/>
    <w:rsid w:val="00F1639C"/>
    <w:rsid w:val="00F163A1"/>
    <w:rsid w:val="00F16769"/>
    <w:rsid w:val="00F1679F"/>
    <w:rsid w:val="00F17301"/>
    <w:rsid w:val="00F1762D"/>
    <w:rsid w:val="00F176C1"/>
    <w:rsid w:val="00F178D0"/>
    <w:rsid w:val="00F20B79"/>
    <w:rsid w:val="00F20E47"/>
    <w:rsid w:val="00F2103B"/>
    <w:rsid w:val="00F21C03"/>
    <w:rsid w:val="00F2276B"/>
    <w:rsid w:val="00F22E29"/>
    <w:rsid w:val="00F23B0C"/>
    <w:rsid w:val="00F24226"/>
    <w:rsid w:val="00F246E6"/>
    <w:rsid w:val="00F24DF0"/>
    <w:rsid w:val="00F2545F"/>
    <w:rsid w:val="00F2551A"/>
    <w:rsid w:val="00F25890"/>
    <w:rsid w:val="00F25C40"/>
    <w:rsid w:val="00F266EE"/>
    <w:rsid w:val="00F270A3"/>
    <w:rsid w:val="00F273D8"/>
    <w:rsid w:val="00F27850"/>
    <w:rsid w:val="00F27C0E"/>
    <w:rsid w:val="00F27C37"/>
    <w:rsid w:val="00F27CDC"/>
    <w:rsid w:val="00F3008F"/>
    <w:rsid w:val="00F30A34"/>
    <w:rsid w:val="00F31178"/>
    <w:rsid w:val="00F312BC"/>
    <w:rsid w:val="00F31944"/>
    <w:rsid w:val="00F31B24"/>
    <w:rsid w:val="00F31DF9"/>
    <w:rsid w:val="00F32066"/>
    <w:rsid w:val="00F32431"/>
    <w:rsid w:val="00F325C7"/>
    <w:rsid w:val="00F32C9B"/>
    <w:rsid w:val="00F32FF8"/>
    <w:rsid w:val="00F33345"/>
    <w:rsid w:val="00F333D0"/>
    <w:rsid w:val="00F33BD5"/>
    <w:rsid w:val="00F34479"/>
    <w:rsid w:val="00F3471A"/>
    <w:rsid w:val="00F34F6D"/>
    <w:rsid w:val="00F34FA3"/>
    <w:rsid w:val="00F35155"/>
    <w:rsid w:val="00F3545E"/>
    <w:rsid w:val="00F354BB"/>
    <w:rsid w:val="00F35831"/>
    <w:rsid w:val="00F35B3F"/>
    <w:rsid w:val="00F36409"/>
    <w:rsid w:val="00F36A09"/>
    <w:rsid w:val="00F3760D"/>
    <w:rsid w:val="00F376F7"/>
    <w:rsid w:val="00F37925"/>
    <w:rsid w:val="00F40FB8"/>
    <w:rsid w:val="00F418AD"/>
    <w:rsid w:val="00F41E61"/>
    <w:rsid w:val="00F4220B"/>
    <w:rsid w:val="00F422C0"/>
    <w:rsid w:val="00F4264A"/>
    <w:rsid w:val="00F426B2"/>
    <w:rsid w:val="00F4348B"/>
    <w:rsid w:val="00F43990"/>
    <w:rsid w:val="00F43ABE"/>
    <w:rsid w:val="00F43DC2"/>
    <w:rsid w:val="00F44B1A"/>
    <w:rsid w:val="00F44F86"/>
    <w:rsid w:val="00F45003"/>
    <w:rsid w:val="00F45101"/>
    <w:rsid w:val="00F45151"/>
    <w:rsid w:val="00F45A01"/>
    <w:rsid w:val="00F46482"/>
    <w:rsid w:val="00F46BA6"/>
    <w:rsid w:val="00F4744C"/>
    <w:rsid w:val="00F477F3"/>
    <w:rsid w:val="00F47C57"/>
    <w:rsid w:val="00F47FE5"/>
    <w:rsid w:val="00F5004F"/>
    <w:rsid w:val="00F50153"/>
    <w:rsid w:val="00F50CFA"/>
    <w:rsid w:val="00F50F88"/>
    <w:rsid w:val="00F513F0"/>
    <w:rsid w:val="00F514AB"/>
    <w:rsid w:val="00F51688"/>
    <w:rsid w:val="00F523D2"/>
    <w:rsid w:val="00F52700"/>
    <w:rsid w:val="00F52EEC"/>
    <w:rsid w:val="00F52FF8"/>
    <w:rsid w:val="00F532E4"/>
    <w:rsid w:val="00F53495"/>
    <w:rsid w:val="00F5391B"/>
    <w:rsid w:val="00F53971"/>
    <w:rsid w:val="00F54052"/>
    <w:rsid w:val="00F5448E"/>
    <w:rsid w:val="00F545A9"/>
    <w:rsid w:val="00F549E0"/>
    <w:rsid w:val="00F54A0F"/>
    <w:rsid w:val="00F556DD"/>
    <w:rsid w:val="00F55CCC"/>
    <w:rsid w:val="00F55E50"/>
    <w:rsid w:val="00F56685"/>
    <w:rsid w:val="00F5694B"/>
    <w:rsid w:val="00F5704A"/>
    <w:rsid w:val="00F57184"/>
    <w:rsid w:val="00F57F68"/>
    <w:rsid w:val="00F605E6"/>
    <w:rsid w:val="00F6103E"/>
    <w:rsid w:val="00F61A4B"/>
    <w:rsid w:val="00F62267"/>
    <w:rsid w:val="00F62375"/>
    <w:rsid w:val="00F6279D"/>
    <w:rsid w:val="00F62AEC"/>
    <w:rsid w:val="00F6308A"/>
    <w:rsid w:val="00F63290"/>
    <w:rsid w:val="00F63722"/>
    <w:rsid w:val="00F63BAE"/>
    <w:rsid w:val="00F642B6"/>
    <w:rsid w:val="00F643E2"/>
    <w:rsid w:val="00F64B2C"/>
    <w:rsid w:val="00F64E8A"/>
    <w:rsid w:val="00F64F6F"/>
    <w:rsid w:val="00F6549D"/>
    <w:rsid w:val="00F654AB"/>
    <w:rsid w:val="00F65B52"/>
    <w:rsid w:val="00F669E5"/>
    <w:rsid w:val="00F66A0D"/>
    <w:rsid w:val="00F66AA3"/>
    <w:rsid w:val="00F66C1E"/>
    <w:rsid w:val="00F6726D"/>
    <w:rsid w:val="00F672D9"/>
    <w:rsid w:val="00F67360"/>
    <w:rsid w:val="00F674D8"/>
    <w:rsid w:val="00F67CD9"/>
    <w:rsid w:val="00F67DB0"/>
    <w:rsid w:val="00F704BC"/>
    <w:rsid w:val="00F705CE"/>
    <w:rsid w:val="00F706A2"/>
    <w:rsid w:val="00F713CD"/>
    <w:rsid w:val="00F71612"/>
    <w:rsid w:val="00F71BA9"/>
    <w:rsid w:val="00F71F31"/>
    <w:rsid w:val="00F71F37"/>
    <w:rsid w:val="00F72342"/>
    <w:rsid w:val="00F72750"/>
    <w:rsid w:val="00F73746"/>
    <w:rsid w:val="00F738FF"/>
    <w:rsid w:val="00F749D0"/>
    <w:rsid w:val="00F74B08"/>
    <w:rsid w:val="00F74B7F"/>
    <w:rsid w:val="00F75BF7"/>
    <w:rsid w:val="00F75E54"/>
    <w:rsid w:val="00F75EDE"/>
    <w:rsid w:val="00F76E8A"/>
    <w:rsid w:val="00F8011D"/>
    <w:rsid w:val="00F80253"/>
    <w:rsid w:val="00F80B65"/>
    <w:rsid w:val="00F80F6E"/>
    <w:rsid w:val="00F810C0"/>
    <w:rsid w:val="00F81244"/>
    <w:rsid w:val="00F813F1"/>
    <w:rsid w:val="00F8146C"/>
    <w:rsid w:val="00F81584"/>
    <w:rsid w:val="00F81D7C"/>
    <w:rsid w:val="00F822C0"/>
    <w:rsid w:val="00F82B0A"/>
    <w:rsid w:val="00F83F61"/>
    <w:rsid w:val="00F84830"/>
    <w:rsid w:val="00F858B2"/>
    <w:rsid w:val="00F86516"/>
    <w:rsid w:val="00F86799"/>
    <w:rsid w:val="00F86F72"/>
    <w:rsid w:val="00F874C9"/>
    <w:rsid w:val="00F878CA"/>
    <w:rsid w:val="00F901DA"/>
    <w:rsid w:val="00F902C4"/>
    <w:rsid w:val="00F90595"/>
    <w:rsid w:val="00F908A7"/>
    <w:rsid w:val="00F91192"/>
    <w:rsid w:val="00F919E7"/>
    <w:rsid w:val="00F91BAB"/>
    <w:rsid w:val="00F91F01"/>
    <w:rsid w:val="00F920B2"/>
    <w:rsid w:val="00F92143"/>
    <w:rsid w:val="00F92155"/>
    <w:rsid w:val="00F9274C"/>
    <w:rsid w:val="00F927D1"/>
    <w:rsid w:val="00F928C1"/>
    <w:rsid w:val="00F92E18"/>
    <w:rsid w:val="00F94163"/>
    <w:rsid w:val="00F942B1"/>
    <w:rsid w:val="00F94967"/>
    <w:rsid w:val="00F94D2B"/>
    <w:rsid w:val="00F95A88"/>
    <w:rsid w:val="00F95CA0"/>
    <w:rsid w:val="00F961F8"/>
    <w:rsid w:val="00F96945"/>
    <w:rsid w:val="00F96AC7"/>
    <w:rsid w:val="00F96D95"/>
    <w:rsid w:val="00F972B9"/>
    <w:rsid w:val="00F97765"/>
    <w:rsid w:val="00F979A1"/>
    <w:rsid w:val="00FA10EE"/>
    <w:rsid w:val="00FA17EC"/>
    <w:rsid w:val="00FA20A7"/>
    <w:rsid w:val="00FA2664"/>
    <w:rsid w:val="00FA2B33"/>
    <w:rsid w:val="00FA30F5"/>
    <w:rsid w:val="00FA33B6"/>
    <w:rsid w:val="00FA3885"/>
    <w:rsid w:val="00FA39A4"/>
    <w:rsid w:val="00FA472D"/>
    <w:rsid w:val="00FA4DC3"/>
    <w:rsid w:val="00FA61D1"/>
    <w:rsid w:val="00FA6493"/>
    <w:rsid w:val="00FA665E"/>
    <w:rsid w:val="00FA6708"/>
    <w:rsid w:val="00FA68F5"/>
    <w:rsid w:val="00FA6D94"/>
    <w:rsid w:val="00FA6E91"/>
    <w:rsid w:val="00FA6F21"/>
    <w:rsid w:val="00FA7280"/>
    <w:rsid w:val="00FA75D9"/>
    <w:rsid w:val="00FA76D7"/>
    <w:rsid w:val="00FA7AF1"/>
    <w:rsid w:val="00FB05AF"/>
    <w:rsid w:val="00FB0946"/>
    <w:rsid w:val="00FB0A15"/>
    <w:rsid w:val="00FB1006"/>
    <w:rsid w:val="00FB1502"/>
    <w:rsid w:val="00FB190F"/>
    <w:rsid w:val="00FB1C91"/>
    <w:rsid w:val="00FB1DE8"/>
    <w:rsid w:val="00FB2038"/>
    <w:rsid w:val="00FB348A"/>
    <w:rsid w:val="00FB3584"/>
    <w:rsid w:val="00FB37A6"/>
    <w:rsid w:val="00FB38DC"/>
    <w:rsid w:val="00FB3C55"/>
    <w:rsid w:val="00FB45C5"/>
    <w:rsid w:val="00FB4658"/>
    <w:rsid w:val="00FB4DA7"/>
    <w:rsid w:val="00FB5498"/>
    <w:rsid w:val="00FB55BC"/>
    <w:rsid w:val="00FB6210"/>
    <w:rsid w:val="00FB6401"/>
    <w:rsid w:val="00FB754E"/>
    <w:rsid w:val="00FB75DC"/>
    <w:rsid w:val="00FB771B"/>
    <w:rsid w:val="00FB7886"/>
    <w:rsid w:val="00FB79B0"/>
    <w:rsid w:val="00FB79B1"/>
    <w:rsid w:val="00FC03C5"/>
    <w:rsid w:val="00FC132A"/>
    <w:rsid w:val="00FC143A"/>
    <w:rsid w:val="00FC208D"/>
    <w:rsid w:val="00FC217A"/>
    <w:rsid w:val="00FC2327"/>
    <w:rsid w:val="00FC2D31"/>
    <w:rsid w:val="00FC3570"/>
    <w:rsid w:val="00FC3FD8"/>
    <w:rsid w:val="00FC43E2"/>
    <w:rsid w:val="00FC4540"/>
    <w:rsid w:val="00FC47B9"/>
    <w:rsid w:val="00FC486E"/>
    <w:rsid w:val="00FC5020"/>
    <w:rsid w:val="00FC5334"/>
    <w:rsid w:val="00FC5584"/>
    <w:rsid w:val="00FC5EEE"/>
    <w:rsid w:val="00FC6C79"/>
    <w:rsid w:val="00FC779C"/>
    <w:rsid w:val="00FC7BA9"/>
    <w:rsid w:val="00FD063E"/>
    <w:rsid w:val="00FD1BAD"/>
    <w:rsid w:val="00FD1CA9"/>
    <w:rsid w:val="00FD1DDD"/>
    <w:rsid w:val="00FD1F43"/>
    <w:rsid w:val="00FD23C0"/>
    <w:rsid w:val="00FD259E"/>
    <w:rsid w:val="00FD29B7"/>
    <w:rsid w:val="00FD3035"/>
    <w:rsid w:val="00FD3044"/>
    <w:rsid w:val="00FD367C"/>
    <w:rsid w:val="00FD3F25"/>
    <w:rsid w:val="00FD41A4"/>
    <w:rsid w:val="00FD4840"/>
    <w:rsid w:val="00FD5DDD"/>
    <w:rsid w:val="00FD5E03"/>
    <w:rsid w:val="00FD5E19"/>
    <w:rsid w:val="00FD61D8"/>
    <w:rsid w:val="00FD63EB"/>
    <w:rsid w:val="00FD6437"/>
    <w:rsid w:val="00FD6625"/>
    <w:rsid w:val="00FD6B9A"/>
    <w:rsid w:val="00FD6FAF"/>
    <w:rsid w:val="00FD7037"/>
    <w:rsid w:val="00FD70FF"/>
    <w:rsid w:val="00FD76EB"/>
    <w:rsid w:val="00FD775B"/>
    <w:rsid w:val="00FD789E"/>
    <w:rsid w:val="00FD7E69"/>
    <w:rsid w:val="00FE0078"/>
    <w:rsid w:val="00FE01F4"/>
    <w:rsid w:val="00FE0937"/>
    <w:rsid w:val="00FE0BF3"/>
    <w:rsid w:val="00FE1282"/>
    <w:rsid w:val="00FE1742"/>
    <w:rsid w:val="00FE244C"/>
    <w:rsid w:val="00FE26D2"/>
    <w:rsid w:val="00FE2811"/>
    <w:rsid w:val="00FE2F10"/>
    <w:rsid w:val="00FE31B7"/>
    <w:rsid w:val="00FE389A"/>
    <w:rsid w:val="00FE3DD4"/>
    <w:rsid w:val="00FE471C"/>
    <w:rsid w:val="00FE4782"/>
    <w:rsid w:val="00FE5177"/>
    <w:rsid w:val="00FE56BB"/>
    <w:rsid w:val="00FE5CC7"/>
    <w:rsid w:val="00FE7789"/>
    <w:rsid w:val="00FE7E7B"/>
    <w:rsid w:val="00FE7E91"/>
    <w:rsid w:val="00FF00CA"/>
    <w:rsid w:val="00FF00E0"/>
    <w:rsid w:val="00FF0D15"/>
    <w:rsid w:val="00FF11BD"/>
    <w:rsid w:val="00FF186A"/>
    <w:rsid w:val="00FF1A5D"/>
    <w:rsid w:val="00FF250B"/>
    <w:rsid w:val="00FF3101"/>
    <w:rsid w:val="00FF3153"/>
    <w:rsid w:val="00FF3B38"/>
    <w:rsid w:val="00FF3C80"/>
    <w:rsid w:val="00FF41D3"/>
    <w:rsid w:val="00FF44E2"/>
    <w:rsid w:val="00FF45E3"/>
    <w:rsid w:val="00FF463E"/>
    <w:rsid w:val="00FF4A2C"/>
    <w:rsid w:val="00FF55BC"/>
    <w:rsid w:val="00FF564A"/>
    <w:rsid w:val="00FF5B87"/>
    <w:rsid w:val="00FF67D5"/>
    <w:rsid w:val="00FF6FC7"/>
    <w:rsid w:val="00FF76AA"/>
    <w:rsid w:val="00FF7FFB"/>
    <w:rsid w:val="55DFC2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2D936"/>
  <w15:chartTrackingRefBased/>
  <w15:docId w15:val="{EC1DD605-12B4-4899-ACF7-AA7C3D7CD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D619B"/>
    <w:pPr>
      <w:jc w:val="both"/>
    </w:pPr>
    <w:rPr>
      <w:rFonts w:ascii="Arial" w:hAnsi="Arial"/>
      <w:sz w:val="22"/>
      <w:szCs w:val="22"/>
      <w:lang w:eastAsia="en-US"/>
    </w:rPr>
  </w:style>
  <w:style w:type="paragraph" w:styleId="Nadpis1">
    <w:name w:val="heading 1"/>
    <w:basedOn w:val="Normln"/>
    <w:next w:val="Normln"/>
    <w:link w:val="Nadpis1Char"/>
    <w:qFormat/>
    <w:rsid w:val="00DB248A"/>
    <w:pPr>
      <w:keepNext/>
      <w:keepLines/>
      <w:spacing w:before="480"/>
      <w:outlineLvl w:val="0"/>
    </w:pPr>
    <w:rPr>
      <w:rFonts w:eastAsia="Times New Roman" w:cs="Arial"/>
      <w:b/>
      <w:bCs/>
      <w:sz w:val="28"/>
      <w:szCs w:val="28"/>
    </w:rPr>
  </w:style>
  <w:style w:type="paragraph" w:styleId="Nadpis2">
    <w:name w:val="heading 2"/>
    <w:basedOn w:val="Normln"/>
    <w:next w:val="Normln"/>
    <w:link w:val="Nadpis2Char"/>
    <w:unhideWhenUsed/>
    <w:qFormat/>
    <w:rsid w:val="00DB248A"/>
    <w:pPr>
      <w:keepNext/>
      <w:keepLines/>
      <w:spacing w:before="200"/>
      <w:outlineLvl w:val="1"/>
    </w:pPr>
    <w:rPr>
      <w:rFonts w:eastAsia="Times New Roman" w:cs="Arial"/>
      <w:b/>
      <w:bCs/>
      <w:sz w:val="26"/>
      <w:szCs w:val="26"/>
    </w:rPr>
  </w:style>
  <w:style w:type="paragraph" w:styleId="Nadpis3">
    <w:name w:val="heading 3"/>
    <w:aliases w:val="Nadpis 3 - tučné"/>
    <w:basedOn w:val="Normln"/>
    <w:next w:val="Normln"/>
    <w:link w:val="Nadpis3Char"/>
    <w:uiPriority w:val="9"/>
    <w:unhideWhenUsed/>
    <w:qFormat/>
    <w:rsid w:val="00CC6FA2"/>
    <w:pPr>
      <w:keepNext/>
      <w:keepLines/>
      <w:spacing w:before="200"/>
      <w:outlineLvl w:val="2"/>
    </w:pPr>
    <w:rPr>
      <w:rFonts w:eastAsia="Times New Roman"/>
      <w:b/>
      <w:bCs/>
      <w:color w:val="000000"/>
      <w:sz w:val="24"/>
    </w:rPr>
  </w:style>
  <w:style w:type="paragraph" w:styleId="Nadpis4">
    <w:name w:val="heading 4"/>
    <w:aliases w:val="Nadpis 5-tabulk"/>
    <w:basedOn w:val="Normln"/>
    <w:next w:val="Normln"/>
    <w:link w:val="Nadpis4Char"/>
    <w:unhideWhenUsed/>
    <w:qFormat/>
    <w:rsid w:val="0019394B"/>
    <w:pPr>
      <w:keepNext/>
      <w:keepLines/>
      <w:spacing w:before="200"/>
      <w:outlineLvl w:val="3"/>
    </w:pPr>
    <w:rPr>
      <w:rFonts w:ascii="Cambria" w:eastAsia="Times New Roman" w:hAnsi="Cambria"/>
      <w:b/>
      <w:bCs/>
      <w:i/>
      <w:iCs/>
      <w:color w:val="4F81BD"/>
    </w:rPr>
  </w:style>
  <w:style w:type="paragraph" w:styleId="Nadpis5">
    <w:name w:val="heading 5"/>
    <w:aliases w:val="nadpis 4 - text"/>
    <w:basedOn w:val="Normln"/>
    <w:next w:val="Normln"/>
    <w:link w:val="Nadpis5Char"/>
    <w:uiPriority w:val="99"/>
    <w:unhideWhenUsed/>
    <w:qFormat/>
    <w:rsid w:val="0019394B"/>
    <w:pPr>
      <w:keepNext/>
      <w:keepLines/>
      <w:spacing w:before="200"/>
      <w:outlineLvl w:val="4"/>
    </w:pPr>
    <w:rPr>
      <w:rFonts w:ascii="Cambria" w:eastAsia="Times New Roman" w:hAnsi="Cambria"/>
      <w:color w:val="243F60"/>
    </w:rPr>
  </w:style>
  <w:style w:type="paragraph" w:styleId="Nadpis6">
    <w:name w:val="heading 6"/>
    <w:aliases w:val="Nadpis 6-zdroj"/>
    <w:basedOn w:val="Normln"/>
    <w:next w:val="Normln"/>
    <w:link w:val="Nadpis6Char"/>
    <w:unhideWhenUsed/>
    <w:qFormat/>
    <w:rsid w:val="00D74C2A"/>
    <w:pPr>
      <w:spacing w:before="240" w:after="60"/>
      <w:outlineLvl w:val="5"/>
    </w:pPr>
    <w:rPr>
      <w:rFonts w:ascii="Calibri" w:eastAsia="Times New Roman" w:hAnsi="Calibri"/>
      <w:b/>
      <w:bCs/>
    </w:rPr>
  </w:style>
  <w:style w:type="paragraph" w:styleId="Nadpis7">
    <w:name w:val="heading 7"/>
    <w:basedOn w:val="Normln"/>
    <w:next w:val="Normln"/>
    <w:link w:val="Nadpis7Char"/>
    <w:uiPriority w:val="99"/>
    <w:qFormat/>
    <w:rsid w:val="00D74C2A"/>
    <w:pPr>
      <w:numPr>
        <w:numId w:val="9"/>
      </w:numPr>
      <w:outlineLvl w:val="6"/>
    </w:pPr>
    <w:rPr>
      <w:rFonts w:ascii="Times New Roman" w:eastAsia="Times New Roman" w:hAnsi="Times New Roman"/>
      <w:sz w:val="24"/>
      <w:szCs w:val="20"/>
      <w:lang w:val="x-none" w:eastAsia="x-none"/>
    </w:rPr>
  </w:style>
  <w:style w:type="paragraph" w:styleId="Nadpis8">
    <w:name w:val="heading 8"/>
    <w:basedOn w:val="Normln"/>
    <w:next w:val="Normln"/>
    <w:link w:val="Nadpis8Char"/>
    <w:qFormat/>
    <w:rsid w:val="00D74C2A"/>
    <w:pPr>
      <w:outlineLvl w:val="7"/>
    </w:pPr>
    <w:rPr>
      <w:rFonts w:ascii="Times New Roman" w:eastAsia="Times New Roman" w:hAnsi="Times New Roman"/>
      <w:b/>
      <w:i/>
      <w:sz w:val="24"/>
      <w:szCs w:val="20"/>
      <w:lang w:val="x-none" w:eastAsia="x-none"/>
    </w:rPr>
  </w:style>
  <w:style w:type="paragraph" w:styleId="Nadpis9">
    <w:name w:val="heading 9"/>
    <w:basedOn w:val="Normln"/>
    <w:next w:val="Normln"/>
    <w:link w:val="Nadpis9Char"/>
    <w:qFormat/>
    <w:rsid w:val="00D74C2A"/>
    <w:pPr>
      <w:keepNext/>
      <w:ind w:firstLine="567"/>
      <w:jc w:val="center"/>
      <w:outlineLvl w:val="8"/>
    </w:pPr>
    <w:rPr>
      <w:rFonts w:ascii="Times New Roman" w:eastAsia="Times New Roman" w:hAnsi="Times New Roman"/>
      <w:sz w:val="28"/>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DB248A"/>
    <w:rPr>
      <w:rFonts w:ascii="Arial" w:eastAsia="Times New Roman" w:hAnsi="Arial" w:cs="Arial"/>
      <w:b/>
      <w:bCs/>
      <w:sz w:val="28"/>
      <w:szCs w:val="28"/>
    </w:rPr>
  </w:style>
  <w:style w:type="character" w:customStyle="1" w:styleId="Nadpis2Char">
    <w:name w:val="Nadpis 2 Char"/>
    <w:link w:val="Nadpis2"/>
    <w:uiPriority w:val="9"/>
    <w:rsid w:val="00DB248A"/>
    <w:rPr>
      <w:rFonts w:ascii="Arial" w:eastAsia="Times New Roman" w:hAnsi="Arial" w:cs="Arial"/>
      <w:b/>
      <w:bCs/>
      <w:sz w:val="26"/>
      <w:szCs w:val="26"/>
    </w:rPr>
  </w:style>
  <w:style w:type="paragraph" w:styleId="Odstavecseseznamem">
    <w:name w:val="List Paragraph"/>
    <w:basedOn w:val="Normln"/>
    <w:link w:val="OdstavecseseznamemChar"/>
    <w:uiPriority w:val="34"/>
    <w:qFormat/>
    <w:rsid w:val="0019394B"/>
    <w:pPr>
      <w:ind w:left="720"/>
      <w:contextualSpacing/>
    </w:pPr>
    <w:rPr>
      <w:rFonts w:ascii="Times New Roman" w:eastAsia="Times New Roman" w:hAnsi="Times New Roman"/>
      <w:sz w:val="24"/>
      <w:szCs w:val="20"/>
      <w:lang w:eastAsia="cs-CZ"/>
    </w:rPr>
  </w:style>
  <w:style w:type="paragraph" w:customStyle="1" w:styleId="Normlnktabver1">
    <w:name w:val="Normální k tab. ver1"/>
    <w:basedOn w:val="Normln"/>
    <w:rsid w:val="0019394B"/>
    <w:pPr>
      <w:spacing w:before="60" w:after="60"/>
      <w:ind w:right="57"/>
    </w:pPr>
    <w:rPr>
      <w:rFonts w:ascii="Times New Roman" w:eastAsia="Times New Roman" w:hAnsi="Times New Roman"/>
      <w:b/>
      <w:kern w:val="28"/>
      <w:sz w:val="18"/>
      <w:szCs w:val="20"/>
      <w:lang w:eastAsia="cs-CZ"/>
    </w:rPr>
  </w:style>
  <w:style w:type="paragraph" w:customStyle="1" w:styleId="Normlnktabhor">
    <w:name w:val="Normální k tab. hor."/>
    <w:basedOn w:val="Normln"/>
    <w:rsid w:val="0019394B"/>
    <w:pPr>
      <w:keepNext/>
      <w:keepLines/>
      <w:spacing w:before="60" w:after="60"/>
      <w:ind w:left="57" w:right="57"/>
      <w:jc w:val="center"/>
    </w:pPr>
    <w:rPr>
      <w:rFonts w:ascii="Times New Roman" w:eastAsia="Times New Roman" w:hAnsi="Times New Roman"/>
      <w:b/>
      <w:sz w:val="18"/>
      <w:szCs w:val="20"/>
      <w:lang w:eastAsia="cs-CZ"/>
    </w:rPr>
  </w:style>
  <w:style w:type="paragraph" w:customStyle="1" w:styleId="Normlnktabulce">
    <w:name w:val="Normální k tabulce"/>
    <w:basedOn w:val="Nadpis4"/>
    <w:rsid w:val="0019394B"/>
    <w:pPr>
      <w:keepNext w:val="0"/>
      <w:tabs>
        <w:tab w:val="decimal" w:pos="851"/>
        <w:tab w:val="num" w:pos="2520"/>
      </w:tabs>
      <w:spacing w:before="60"/>
      <w:ind w:left="57" w:right="57"/>
    </w:pPr>
    <w:rPr>
      <w:rFonts w:ascii="Times New Roman" w:hAnsi="Times New Roman"/>
      <w:b w:val="0"/>
      <w:bCs w:val="0"/>
      <w:i w:val="0"/>
      <w:iCs w:val="0"/>
      <w:color w:val="auto"/>
      <w:kern w:val="28"/>
      <w:sz w:val="18"/>
      <w:szCs w:val="20"/>
      <w:lang w:val="x-none" w:eastAsia="x-none"/>
    </w:rPr>
  </w:style>
  <w:style w:type="paragraph" w:customStyle="1" w:styleId="ernvtabulce">
    <w:name w:val="černý v tabulce"/>
    <w:basedOn w:val="Normlnktabver1"/>
    <w:rsid w:val="0019394B"/>
    <w:pPr>
      <w:keepNext/>
      <w:keepLines/>
      <w:outlineLvl w:val="3"/>
    </w:pPr>
    <w:rPr>
      <w:sz w:val="22"/>
    </w:rPr>
  </w:style>
  <w:style w:type="character" w:customStyle="1" w:styleId="Nadpis4Char">
    <w:name w:val="Nadpis 4 Char"/>
    <w:aliases w:val="Nadpis 5-tabulk Char"/>
    <w:link w:val="Nadpis4"/>
    <w:uiPriority w:val="9"/>
    <w:rsid w:val="0019394B"/>
    <w:rPr>
      <w:rFonts w:ascii="Cambria" w:eastAsia="Times New Roman" w:hAnsi="Cambria" w:cs="Times New Roman"/>
      <w:b/>
      <w:bCs/>
      <w:i/>
      <w:iCs/>
      <w:color w:val="4F81BD"/>
    </w:rPr>
  </w:style>
  <w:style w:type="paragraph" w:styleId="Zkladntext">
    <w:name w:val="Body Text"/>
    <w:aliases w:val=" Char,Char1"/>
    <w:basedOn w:val="Normln"/>
    <w:link w:val="ZkladntextChar"/>
    <w:rsid w:val="0019394B"/>
    <w:pPr>
      <w:spacing w:line="360" w:lineRule="auto"/>
      <w:ind w:firstLine="708"/>
    </w:pPr>
    <w:rPr>
      <w:rFonts w:ascii="Times New Roman" w:eastAsia="Times New Roman" w:hAnsi="Times New Roman"/>
      <w:sz w:val="24"/>
      <w:szCs w:val="20"/>
      <w:lang w:eastAsia="cs-CZ"/>
    </w:rPr>
  </w:style>
  <w:style w:type="character" w:customStyle="1" w:styleId="ZkladntextChar">
    <w:name w:val="Základní text Char"/>
    <w:aliases w:val=" Char Char1,Char1 Char1"/>
    <w:link w:val="Zkladntext"/>
    <w:rsid w:val="0019394B"/>
    <w:rPr>
      <w:rFonts w:ascii="Times New Roman" w:eastAsia="Times New Roman" w:hAnsi="Times New Roman" w:cs="Times New Roman"/>
      <w:sz w:val="24"/>
      <w:szCs w:val="20"/>
      <w:lang w:eastAsia="cs-CZ"/>
    </w:rPr>
  </w:style>
  <w:style w:type="character" w:styleId="Hypertextovodkaz">
    <w:name w:val="Hyperlink"/>
    <w:uiPriority w:val="99"/>
    <w:rsid w:val="0019394B"/>
    <w:rPr>
      <w:color w:val="0000FF"/>
      <w:u w:val="single"/>
    </w:rPr>
  </w:style>
  <w:style w:type="paragraph" w:customStyle="1" w:styleId="Textpsmene">
    <w:name w:val="Text písmene"/>
    <w:basedOn w:val="Normln"/>
    <w:rsid w:val="0019394B"/>
    <w:pPr>
      <w:numPr>
        <w:numId w:val="1"/>
      </w:numPr>
      <w:ind w:left="0" w:firstLine="0"/>
    </w:pPr>
    <w:rPr>
      <w:rFonts w:ascii="Times New Roman" w:eastAsia="Times New Roman" w:hAnsi="Times New Roman"/>
      <w:sz w:val="24"/>
      <w:szCs w:val="20"/>
      <w:lang w:eastAsia="cs-CZ"/>
    </w:rPr>
  </w:style>
  <w:style w:type="character" w:customStyle="1" w:styleId="Nadpis5Char">
    <w:name w:val="Nadpis 5 Char"/>
    <w:aliases w:val="nadpis 4 - text Char"/>
    <w:link w:val="Nadpis5"/>
    <w:uiPriority w:val="99"/>
    <w:rsid w:val="0019394B"/>
    <w:rPr>
      <w:rFonts w:ascii="Cambria" w:eastAsia="Times New Roman" w:hAnsi="Cambria" w:cs="Times New Roman"/>
      <w:color w:val="243F60"/>
    </w:rPr>
  </w:style>
  <w:style w:type="character" w:customStyle="1" w:styleId="Nadpis3Char">
    <w:name w:val="Nadpis 3 Char"/>
    <w:aliases w:val="Nadpis 3 - tučné Char"/>
    <w:link w:val="Nadpis3"/>
    <w:uiPriority w:val="9"/>
    <w:rsid w:val="00CC6FA2"/>
    <w:rPr>
      <w:rFonts w:ascii="Arial" w:eastAsia="Times New Roman" w:hAnsi="Arial" w:cs="Times New Roman"/>
      <w:b/>
      <w:bCs/>
      <w:color w:val="000000"/>
      <w:sz w:val="24"/>
    </w:rPr>
  </w:style>
  <w:style w:type="table" w:styleId="Mkatabulky">
    <w:name w:val="Table Grid"/>
    <w:basedOn w:val="Normlntabulka"/>
    <w:uiPriority w:val="39"/>
    <w:rsid w:val="00CC6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unhideWhenUsed/>
    <w:rsid w:val="00CC6FA2"/>
    <w:rPr>
      <w:rFonts w:ascii="Calibri Light" w:hAnsi="Calibri Light"/>
      <w:sz w:val="20"/>
      <w:szCs w:val="20"/>
    </w:rPr>
  </w:style>
  <w:style w:type="character" w:customStyle="1" w:styleId="TextpoznpodarouChar">
    <w:name w:val="Text pozn. pod čarou Char"/>
    <w:link w:val="Textpoznpodarou"/>
    <w:uiPriority w:val="99"/>
    <w:rsid w:val="00CC6FA2"/>
    <w:rPr>
      <w:rFonts w:ascii="Calibri Light" w:hAnsi="Calibri Light"/>
      <w:sz w:val="20"/>
      <w:szCs w:val="20"/>
    </w:rPr>
  </w:style>
  <w:style w:type="character" w:styleId="Znakapoznpodarou">
    <w:name w:val="footnote reference"/>
    <w:uiPriority w:val="99"/>
    <w:semiHidden/>
    <w:unhideWhenUsed/>
    <w:rsid w:val="00CC6FA2"/>
    <w:rPr>
      <w:vertAlign w:val="superscript"/>
    </w:rPr>
  </w:style>
  <w:style w:type="paragraph" w:styleId="Textbubliny">
    <w:name w:val="Balloon Text"/>
    <w:basedOn w:val="Normln"/>
    <w:link w:val="TextbublinyChar"/>
    <w:uiPriority w:val="99"/>
    <w:unhideWhenUsed/>
    <w:rsid w:val="00CC6FA2"/>
    <w:rPr>
      <w:rFonts w:ascii="Tahoma" w:hAnsi="Tahoma" w:cs="Tahoma"/>
      <w:sz w:val="16"/>
      <w:szCs w:val="16"/>
    </w:rPr>
  </w:style>
  <w:style w:type="character" w:customStyle="1" w:styleId="TextbublinyChar">
    <w:name w:val="Text bubliny Char"/>
    <w:link w:val="Textbubliny"/>
    <w:uiPriority w:val="99"/>
    <w:rsid w:val="00CC6FA2"/>
    <w:rPr>
      <w:rFonts w:ascii="Tahoma" w:hAnsi="Tahoma" w:cs="Tahoma"/>
      <w:sz w:val="16"/>
      <w:szCs w:val="16"/>
    </w:rPr>
  </w:style>
  <w:style w:type="paragraph" w:styleId="Titulek">
    <w:name w:val="caption"/>
    <w:aliases w:val="Popisky obrazku/tabulek"/>
    <w:basedOn w:val="Normln"/>
    <w:next w:val="Normln"/>
    <w:uiPriority w:val="35"/>
    <w:unhideWhenUsed/>
    <w:qFormat/>
    <w:rsid w:val="00CC6FA2"/>
    <w:pPr>
      <w:spacing w:after="200"/>
    </w:pPr>
    <w:rPr>
      <w:b/>
      <w:bCs/>
      <w:color w:val="4F81BD"/>
      <w:sz w:val="18"/>
      <w:szCs w:val="18"/>
    </w:rPr>
  </w:style>
  <w:style w:type="character" w:customStyle="1" w:styleId="xsptextcomputedfield">
    <w:name w:val="xsptextcomputedfield"/>
    <w:rsid w:val="00CC6FA2"/>
  </w:style>
  <w:style w:type="paragraph" w:customStyle="1" w:styleId="Default">
    <w:name w:val="Default"/>
    <w:rsid w:val="009921AF"/>
    <w:pPr>
      <w:autoSpaceDE w:val="0"/>
      <w:autoSpaceDN w:val="0"/>
      <w:adjustRightInd w:val="0"/>
      <w:jc w:val="both"/>
    </w:pPr>
    <w:rPr>
      <w:rFonts w:ascii="Arial" w:hAnsi="Arial" w:cs="Arial"/>
      <w:color w:val="000000"/>
      <w:sz w:val="24"/>
      <w:szCs w:val="24"/>
      <w:lang w:eastAsia="en-US"/>
    </w:rPr>
  </w:style>
  <w:style w:type="paragraph" w:customStyle="1" w:styleId="mezikapitolamivtmi">
    <w:name w:val="mezikapitolamivětšími"/>
    <w:basedOn w:val="Normln"/>
    <w:rsid w:val="000D7F2E"/>
    <w:pPr>
      <w:keepNext/>
      <w:keepLines/>
      <w:spacing w:before="120" w:after="120"/>
    </w:pPr>
    <w:rPr>
      <w:rFonts w:ascii="Times New Roman" w:eastAsia="Times New Roman" w:hAnsi="Times New Roman"/>
      <w:b/>
      <w:i/>
      <w:sz w:val="26"/>
      <w:szCs w:val="20"/>
      <w:lang w:eastAsia="cs-CZ"/>
    </w:rPr>
  </w:style>
  <w:style w:type="character" w:styleId="Siln">
    <w:name w:val="Strong"/>
    <w:aliases w:val="perex"/>
    <w:uiPriority w:val="22"/>
    <w:qFormat/>
    <w:rsid w:val="000325DD"/>
    <w:rPr>
      <w:b/>
      <w:bCs/>
    </w:rPr>
  </w:style>
  <w:style w:type="character" w:styleId="Odkaznakoment">
    <w:name w:val="annotation reference"/>
    <w:uiPriority w:val="99"/>
    <w:unhideWhenUsed/>
    <w:rsid w:val="000325DD"/>
    <w:rPr>
      <w:sz w:val="16"/>
      <w:szCs w:val="16"/>
    </w:rPr>
  </w:style>
  <w:style w:type="paragraph" w:styleId="Textkomente">
    <w:name w:val="annotation text"/>
    <w:basedOn w:val="Normln"/>
    <w:link w:val="TextkomenteChar"/>
    <w:uiPriority w:val="99"/>
    <w:unhideWhenUsed/>
    <w:rsid w:val="000325DD"/>
    <w:rPr>
      <w:sz w:val="20"/>
      <w:szCs w:val="20"/>
    </w:rPr>
  </w:style>
  <w:style w:type="character" w:customStyle="1" w:styleId="TextkomenteChar">
    <w:name w:val="Text komentáře Char"/>
    <w:link w:val="Textkomente"/>
    <w:uiPriority w:val="99"/>
    <w:rsid w:val="000325DD"/>
    <w:rPr>
      <w:rFonts w:ascii="Arial" w:hAnsi="Arial"/>
      <w:sz w:val="20"/>
      <w:szCs w:val="20"/>
    </w:rPr>
  </w:style>
  <w:style w:type="paragraph" w:styleId="Pedmtkomente">
    <w:name w:val="annotation subject"/>
    <w:basedOn w:val="Textkomente"/>
    <w:next w:val="Textkomente"/>
    <w:link w:val="PedmtkomenteChar"/>
    <w:uiPriority w:val="99"/>
    <w:unhideWhenUsed/>
    <w:rsid w:val="000325DD"/>
    <w:rPr>
      <w:b/>
      <w:bCs/>
    </w:rPr>
  </w:style>
  <w:style w:type="character" w:customStyle="1" w:styleId="PedmtkomenteChar">
    <w:name w:val="Předmět komentáře Char"/>
    <w:link w:val="Pedmtkomente"/>
    <w:uiPriority w:val="99"/>
    <w:rsid w:val="000325DD"/>
    <w:rPr>
      <w:rFonts w:ascii="Arial" w:hAnsi="Arial"/>
      <w:b/>
      <w:bCs/>
      <w:sz w:val="20"/>
      <w:szCs w:val="20"/>
    </w:rPr>
  </w:style>
  <w:style w:type="paragraph" w:styleId="Normlnweb">
    <w:name w:val="Normal (Web)"/>
    <w:basedOn w:val="Normln"/>
    <w:uiPriority w:val="99"/>
    <w:rsid w:val="000325DD"/>
    <w:pPr>
      <w:spacing w:before="100" w:beforeAutospacing="1" w:after="100" w:afterAutospacing="1"/>
    </w:pPr>
    <w:rPr>
      <w:rFonts w:ascii="Arial Unicode MS" w:eastAsia="Arial Unicode MS" w:hAnsi="Arial Unicode MS"/>
      <w:sz w:val="24"/>
      <w:szCs w:val="24"/>
      <w:lang w:eastAsia="cs-CZ"/>
    </w:rPr>
  </w:style>
  <w:style w:type="paragraph" w:customStyle="1" w:styleId="center">
    <w:name w:val="center"/>
    <w:basedOn w:val="Normln"/>
    <w:rsid w:val="000325DD"/>
    <w:pPr>
      <w:spacing w:before="100" w:beforeAutospacing="1" w:after="100" w:afterAutospacing="1"/>
    </w:pPr>
    <w:rPr>
      <w:rFonts w:ascii="Times New Roman" w:eastAsia="Times New Roman" w:hAnsi="Times New Roman"/>
      <w:sz w:val="24"/>
      <w:szCs w:val="24"/>
      <w:lang w:eastAsia="cs-CZ"/>
    </w:rPr>
  </w:style>
  <w:style w:type="character" w:customStyle="1" w:styleId="logo-project-subtitle">
    <w:name w:val="logo-project-subtitle"/>
    <w:basedOn w:val="Standardnpsmoodstavce"/>
    <w:rsid w:val="000325DD"/>
  </w:style>
  <w:style w:type="character" w:customStyle="1" w:styleId="Nadpis6Char">
    <w:name w:val="Nadpis 6 Char"/>
    <w:aliases w:val="Nadpis 6-zdroj Char"/>
    <w:link w:val="Nadpis6"/>
    <w:rsid w:val="00D74C2A"/>
    <w:rPr>
      <w:rFonts w:ascii="Calibri" w:eastAsia="Times New Roman" w:hAnsi="Calibri" w:cs="Times New Roman"/>
      <w:b/>
      <w:bCs/>
    </w:rPr>
  </w:style>
  <w:style w:type="character" w:customStyle="1" w:styleId="Nadpis7Char">
    <w:name w:val="Nadpis 7 Char"/>
    <w:link w:val="Nadpis7"/>
    <w:uiPriority w:val="99"/>
    <w:rsid w:val="00D74C2A"/>
    <w:rPr>
      <w:rFonts w:ascii="Times New Roman" w:eastAsia="Times New Roman" w:hAnsi="Times New Roman"/>
      <w:sz w:val="24"/>
      <w:lang w:val="x-none" w:eastAsia="x-none"/>
    </w:rPr>
  </w:style>
  <w:style w:type="character" w:customStyle="1" w:styleId="Nadpis8Char">
    <w:name w:val="Nadpis 8 Char"/>
    <w:link w:val="Nadpis8"/>
    <w:rsid w:val="00D74C2A"/>
    <w:rPr>
      <w:rFonts w:ascii="Times New Roman" w:eastAsia="Times New Roman" w:hAnsi="Times New Roman" w:cs="Times New Roman"/>
      <w:b/>
      <w:i/>
      <w:sz w:val="24"/>
      <w:szCs w:val="20"/>
      <w:lang w:val="x-none" w:eastAsia="x-none"/>
    </w:rPr>
  </w:style>
  <w:style w:type="character" w:customStyle="1" w:styleId="Nadpis9Char">
    <w:name w:val="Nadpis 9 Char"/>
    <w:link w:val="Nadpis9"/>
    <w:rsid w:val="00D74C2A"/>
    <w:rPr>
      <w:rFonts w:ascii="Times New Roman" w:eastAsia="Times New Roman" w:hAnsi="Times New Roman" w:cs="Times New Roman"/>
      <w:sz w:val="28"/>
      <w:szCs w:val="20"/>
      <w:lang w:val="x-none" w:eastAsia="x-none"/>
    </w:rPr>
  </w:style>
  <w:style w:type="paragraph" w:customStyle="1" w:styleId="Modrzprva-anotace">
    <w:name w:val="Modrá zpráva - anotace"/>
    <w:basedOn w:val="Normln"/>
    <w:link w:val="Modrzprva-anotaceChar"/>
    <w:rsid w:val="00D74C2A"/>
    <w:rPr>
      <w:rFonts w:eastAsia="Times New Roman"/>
      <w:b/>
      <w:lang w:val="x-none" w:eastAsia="x-none"/>
    </w:rPr>
  </w:style>
  <w:style w:type="character" w:customStyle="1" w:styleId="Modrzprva-anotaceChar">
    <w:name w:val="Modrá zpráva - anotace Char"/>
    <w:link w:val="Modrzprva-anotace"/>
    <w:rsid w:val="00D74C2A"/>
    <w:rPr>
      <w:rFonts w:ascii="Arial" w:eastAsia="Times New Roman" w:hAnsi="Arial" w:cs="Times New Roman"/>
      <w:b/>
      <w:lang w:val="x-none" w:eastAsia="x-none"/>
    </w:rPr>
  </w:style>
  <w:style w:type="character" w:customStyle="1" w:styleId="OdstavecseseznamemChar">
    <w:name w:val="Odstavec se seznamem Char"/>
    <w:link w:val="Odstavecseseznamem"/>
    <w:uiPriority w:val="34"/>
    <w:locked/>
    <w:rsid w:val="00D74C2A"/>
    <w:rPr>
      <w:rFonts w:ascii="Times New Roman" w:eastAsia="Times New Roman" w:hAnsi="Times New Roman" w:cs="Times New Roman"/>
      <w:sz w:val="24"/>
      <w:szCs w:val="20"/>
      <w:lang w:eastAsia="cs-CZ"/>
    </w:rPr>
  </w:style>
  <w:style w:type="paragraph" w:customStyle="1" w:styleId="podnadpisMZ">
    <w:name w:val="podnadpis MZ"/>
    <w:basedOn w:val="Nadpis2"/>
    <w:link w:val="podnadpisMZChar"/>
    <w:qFormat/>
    <w:rsid w:val="00D74C2A"/>
    <w:pPr>
      <w:widowControl w:val="0"/>
      <w:numPr>
        <w:ilvl w:val="1"/>
        <w:numId w:val="3"/>
      </w:numPr>
      <w:suppressAutoHyphens/>
      <w:spacing w:before="120" w:after="240"/>
    </w:pPr>
    <w:rPr>
      <w:rFonts w:ascii="Times New Roman" w:hAnsi="Times New Roman" w:cs="Times New Roman"/>
      <w:bCs w:val="0"/>
      <w:sz w:val="28"/>
      <w:szCs w:val="20"/>
      <w:lang w:val="x-none" w:eastAsia="x-none"/>
    </w:rPr>
  </w:style>
  <w:style w:type="character" w:customStyle="1" w:styleId="podnadpisMZChar">
    <w:name w:val="podnadpis MZ Char"/>
    <w:link w:val="podnadpisMZ"/>
    <w:rsid w:val="00D74C2A"/>
    <w:rPr>
      <w:rFonts w:ascii="Times New Roman" w:eastAsia="Times New Roman" w:hAnsi="Times New Roman"/>
      <w:b/>
      <w:sz w:val="28"/>
      <w:lang w:val="x-none" w:eastAsia="x-none"/>
    </w:rPr>
  </w:style>
  <w:style w:type="paragraph" w:customStyle="1" w:styleId="bn-text">
    <w:name w:val="běžný-text"/>
    <w:rsid w:val="00D74C2A"/>
    <w:pPr>
      <w:spacing w:before="60" w:after="60"/>
      <w:ind w:firstLine="567"/>
      <w:jc w:val="both"/>
    </w:pPr>
    <w:rPr>
      <w:rFonts w:ascii="Times New Roman" w:eastAsia="Times New Roman" w:hAnsi="Times New Roman"/>
      <w:sz w:val="24"/>
      <w:szCs w:val="24"/>
    </w:rPr>
  </w:style>
  <w:style w:type="paragraph" w:customStyle="1" w:styleId="text">
    <w:name w:val="text"/>
    <w:basedOn w:val="Normln"/>
    <w:link w:val="textChar"/>
    <w:qFormat/>
    <w:rsid w:val="00D74C2A"/>
    <w:rPr>
      <w:rFonts w:ascii="Verdana" w:eastAsia="Times New Roman" w:hAnsi="Verdana"/>
      <w:color w:val="000000"/>
      <w:sz w:val="18"/>
      <w:szCs w:val="18"/>
      <w:lang w:eastAsia="cs-CZ"/>
    </w:rPr>
  </w:style>
  <w:style w:type="paragraph" w:customStyle="1" w:styleId="xl46">
    <w:name w:val="xl46"/>
    <w:basedOn w:val="Normln"/>
    <w:rsid w:val="00D74C2A"/>
    <w:pPr>
      <w:pBdr>
        <w:left w:val="single" w:sz="4" w:space="0" w:color="auto"/>
        <w:right w:val="single" w:sz="4" w:space="0" w:color="auto"/>
      </w:pBdr>
      <w:spacing w:before="100" w:after="100"/>
    </w:pPr>
    <w:rPr>
      <w:rFonts w:eastAsia="Times New Roman"/>
      <w:b/>
      <w:sz w:val="24"/>
      <w:szCs w:val="20"/>
      <w:lang w:eastAsia="cs-CZ"/>
    </w:rPr>
  </w:style>
  <w:style w:type="paragraph" w:customStyle="1" w:styleId="Normlnktabnadpisver1">
    <w:name w:val="Normální k tab. nadpis ver1"/>
    <w:basedOn w:val="Nadpis4"/>
    <w:rsid w:val="00D74C2A"/>
    <w:pPr>
      <w:spacing w:before="120" w:after="120"/>
      <w:ind w:left="57" w:right="57"/>
      <w:jc w:val="center"/>
    </w:pPr>
    <w:rPr>
      <w:rFonts w:ascii="Arial" w:hAnsi="Arial"/>
      <w:bCs w:val="0"/>
      <w:i w:val="0"/>
      <w:iCs w:val="0"/>
      <w:color w:val="auto"/>
      <w:kern w:val="28"/>
      <w:szCs w:val="20"/>
      <w:lang w:eastAsia="cs-CZ"/>
    </w:rPr>
  </w:style>
  <w:style w:type="paragraph" w:styleId="Zkladntextodsazen">
    <w:name w:val="Body Text Indent"/>
    <w:basedOn w:val="Normln"/>
    <w:link w:val="ZkladntextodsazenChar"/>
    <w:unhideWhenUsed/>
    <w:rsid w:val="00D74C2A"/>
    <w:pPr>
      <w:spacing w:after="120"/>
      <w:ind w:left="283"/>
    </w:pPr>
  </w:style>
  <w:style w:type="character" w:customStyle="1" w:styleId="ZkladntextodsazenChar">
    <w:name w:val="Základní text odsazený Char"/>
    <w:link w:val="Zkladntextodsazen"/>
    <w:rsid w:val="00D74C2A"/>
    <w:rPr>
      <w:rFonts w:ascii="Arial" w:eastAsia="Calibri" w:hAnsi="Arial" w:cs="Times New Roman"/>
    </w:rPr>
  </w:style>
  <w:style w:type="paragraph" w:customStyle="1" w:styleId="ZkladntextIMP">
    <w:name w:val="Základní text_IMP"/>
    <w:basedOn w:val="Normln"/>
    <w:rsid w:val="00D74C2A"/>
    <w:pPr>
      <w:suppressAutoHyphens/>
      <w:spacing w:line="230" w:lineRule="auto"/>
    </w:pPr>
    <w:rPr>
      <w:rFonts w:ascii="Times New Roman" w:eastAsia="Times New Roman" w:hAnsi="Times New Roman"/>
      <w:sz w:val="24"/>
      <w:szCs w:val="20"/>
      <w:lang w:eastAsia="cs-CZ"/>
    </w:rPr>
  </w:style>
  <w:style w:type="paragraph" w:customStyle="1" w:styleId="Anglina">
    <w:name w:val="Anglina"/>
    <w:basedOn w:val="Normln"/>
    <w:rsid w:val="00D74C2A"/>
    <w:pPr>
      <w:spacing w:line="480" w:lineRule="auto"/>
      <w:ind w:firstLine="709"/>
    </w:pPr>
    <w:rPr>
      <w:rFonts w:ascii="Times New Roman" w:eastAsia="Times New Roman" w:hAnsi="Times New Roman"/>
      <w:sz w:val="24"/>
      <w:szCs w:val="20"/>
      <w:lang w:val="en-GB" w:eastAsia="cs-CZ"/>
    </w:rPr>
  </w:style>
  <w:style w:type="paragraph" w:styleId="Zkladntextodsazen2">
    <w:name w:val="Body Text Indent 2"/>
    <w:basedOn w:val="Normln"/>
    <w:link w:val="Zkladntextodsazen2Char"/>
    <w:unhideWhenUsed/>
    <w:rsid w:val="00D74C2A"/>
    <w:pPr>
      <w:spacing w:after="120" w:line="480" w:lineRule="auto"/>
      <w:ind w:left="283"/>
    </w:pPr>
  </w:style>
  <w:style w:type="character" w:customStyle="1" w:styleId="Zkladntextodsazen2Char">
    <w:name w:val="Základní text odsazený 2 Char"/>
    <w:link w:val="Zkladntextodsazen2"/>
    <w:rsid w:val="00D74C2A"/>
    <w:rPr>
      <w:rFonts w:ascii="Arial" w:eastAsia="Calibri" w:hAnsi="Arial" w:cs="Times New Roman"/>
    </w:rPr>
  </w:style>
  <w:style w:type="paragraph" w:styleId="Obsah1">
    <w:name w:val="toc 1"/>
    <w:basedOn w:val="Normln"/>
    <w:next w:val="Normln"/>
    <w:autoRedefine/>
    <w:uiPriority w:val="39"/>
    <w:unhideWhenUsed/>
    <w:qFormat/>
    <w:rsid w:val="005766EE"/>
    <w:pPr>
      <w:tabs>
        <w:tab w:val="right" w:leader="dot" w:pos="9628"/>
      </w:tabs>
      <w:ind w:left="284" w:hanging="284"/>
    </w:pPr>
    <w:rPr>
      <w:rFonts w:eastAsia="Times New Roman" w:cs="Arial"/>
      <w:noProof/>
    </w:rPr>
  </w:style>
  <w:style w:type="paragraph" w:styleId="Obsah2">
    <w:name w:val="toc 2"/>
    <w:basedOn w:val="Normln"/>
    <w:next w:val="Normln"/>
    <w:autoRedefine/>
    <w:uiPriority w:val="39"/>
    <w:unhideWhenUsed/>
    <w:qFormat/>
    <w:rsid w:val="00146E8A"/>
    <w:pPr>
      <w:tabs>
        <w:tab w:val="left" w:pos="880"/>
        <w:tab w:val="right" w:leader="dot" w:pos="9628"/>
      </w:tabs>
      <w:ind w:left="220"/>
    </w:pPr>
  </w:style>
  <w:style w:type="paragraph" w:customStyle="1" w:styleId="poznmkypodtab">
    <w:name w:val="poznámkypodtab"/>
    <w:rsid w:val="00D74C2A"/>
    <w:pPr>
      <w:keepNext/>
      <w:keepLines/>
      <w:ind w:left="567" w:hanging="567"/>
      <w:jc w:val="both"/>
    </w:pPr>
    <w:rPr>
      <w:rFonts w:ascii="Times New Roman" w:eastAsia="Times New Roman" w:hAnsi="Times New Roman"/>
      <w:szCs w:val="24"/>
    </w:rPr>
  </w:style>
  <w:style w:type="paragraph" w:customStyle="1" w:styleId="Modrzprva-text">
    <w:name w:val="Modrá zpráva-text"/>
    <w:basedOn w:val="Normln"/>
    <w:link w:val="Modrzprva-textChar"/>
    <w:rsid w:val="00D74C2A"/>
    <w:rPr>
      <w:rFonts w:eastAsia="Times New Roman"/>
      <w:lang w:val="x-none" w:eastAsia="x-none"/>
    </w:rPr>
  </w:style>
  <w:style w:type="character" w:customStyle="1" w:styleId="Modrzprva-textChar">
    <w:name w:val="Modrá zpráva-text Char"/>
    <w:link w:val="Modrzprva-text"/>
    <w:rsid w:val="00D74C2A"/>
    <w:rPr>
      <w:rFonts w:ascii="Arial" w:eastAsia="Times New Roman" w:hAnsi="Arial" w:cs="Times New Roman"/>
      <w:lang w:val="x-none" w:eastAsia="x-none"/>
    </w:rPr>
  </w:style>
  <w:style w:type="paragraph" w:customStyle="1" w:styleId="Modrzprva-pramen">
    <w:name w:val="Modrá zpráva-pramen"/>
    <w:basedOn w:val="Normln"/>
    <w:link w:val="Modrzprva-pramenChar"/>
    <w:qFormat/>
    <w:rsid w:val="00D74C2A"/>
    <w:pPr>
      <w:autoSpaceDE w:val="0"/>
      <w:autoSpaceDN w:val="0"/>
      <w:adjustRightInd w:val="0"/>
    </w:pPr>
    <w:rPr>
      <w:rFonts w:eastAsia="Times New Roman"/>
      <w:b/>
      <w:i/>
      <w:sz w:val="18"/>
      <w:szCs w:val="18"/>
      <w:lang w:val="x-none" w:eastAsia="x-none"/>
    </w:rPr>
  </w:style>
  <w:style w:type="character" w:customStyle="1" w:styleId="Modrzprva-pramenChar">
    <w:name w:val="Modrá zpráva-pramen Char"/>
    <w:link w:val="Modrzprva-pramen"/>
    <w:rsid w:val="00D74C2A"/>
    <w:rPr>
      <w:rFonts w:ascii="Arial" w:eastAsia="Times New Roman" w:hAnsi="Arial" w:cs="Times New Roman"/>
      <w:b/>
      <w:i/>
      <w:sz w:val="18"/>
      <w:szCs w:val="18"/>
      <w:lang w:val="x-none" w:eastAsia="x-none"/>
    </w:rPr>
  </w:style>
  <w:style w:type="paragraph" w:customStyle="1" w:styleId="tun-vod">
    <w:name w:val="tučný-úvod"/>
    <w:rsid w:val="00D74C2A"/>
    <w:pPr>
      <w:spacing w:before="180" w:after="120"/>
      <w:jc w:val="both"/>
    </w:pPr>
    <w:rPr>
      <w:rFonts w:ascii="Times New Roman" w:eastAsia="Times New Roman" w:hAnsi="Times New Roman"/>
      <w:b/>
      <w:sz w:val="24"/>
      <w:szCs w:val="24"/>
    </w:rPr>
  </w:style>
  <w:style w:type="paragraph" w:customStyle="1" w:styleId="Normlnsodrkou">
    <w:name w:val="Normální s odrážkou"/>
    <w:basedOn w:val="Normln"/>
    <w:uiPriority w:val="99"/>
    <w:rsid w:val="00D74C2A"/>
    <w:pPr>
      <w:numPr>
        <w:numId w:val="4"/>
      </w:numPr>
      <w:spacing w:before="120" w:line="360" w:lineRule="auto"/>
    </w:pPr>
    <w:rPr>
      <w:rFonts w:ascii="Times New Roman" w:eastAsia="Times New Roman" w:hAnsi="Times New Roman"/>
      <w:szCs w:val="20"/>
      <w:lang w:eastAsia="cs-CZ"/>
    </w:rPr>
  </w:style>
  <w:style w:type="paragraph" w:customStyle="1" w:styleId="Nadpistabulky">
    <w:name w:val="Nadpis tabulky"/>
    <w:basedOn w:val="Normln"/>
    <w:rsid w:val="00D74C2A"/>
    <w:pPr>
      <w:keepNext/>
      <w:keepLines/>
      <w:spacing w:before="240" w:after="120"/>
      <w:ind w:left="1701" w:hanging="1701"/>
    </w:pPr>
    <w:rPr>
      <w:rFonts w:ascii="Times New Roman" w:eastAsia="Times New Roman" w:hAnsi="Times New Roman"/>
      <w:b/>
      <w:sz w:val="24"/>
      <w:szCs w:val="24"/>
      <w:lang w:eastAsia="cs-CZ"/>
    </w:rPr>
  </w:style>
  <w:style w:type="paragraph" w:customStyle="1" w:styleId="Nadpisobrzku">
    <w:name w:val="Nadpis obrázku"/>
    <w:basedOn w:val="Nadpistabulky"/>
    <w:link w:val="NadpisobrzkuChar"/>
    <w:rsid w:val="00D74C2A"/>
    <w:rPr>
      <w:lang w:val="x-none" w:eastAsia="x-none"/>
    </w:rPr>
  </w:style>
  <w:style w:type="character" w:customStyle="1" w:styleId="NadpisobrzkuChar">
    <w:name w:val="Nadpis obrázku Char"/>
    <w:link w:val="Nadpisobrzku"/>
    <w:rsid w:val="00D74C2A"/>
    <w:rPr>
      <w:rFonts w:ascii="Times New Roman" w:eastAsia="Times New Roman" w:hAnsi="Times New Roman" w:cs="Times New Roman"/>
      <w:b/>
      <w:sz w:val="24"/>
      <w:szCs w:val="24"/>
      <w:lang w:val="x-none" w:eastAsia="x-none"/>
    </w:rPr>
  </w:style>
  <w:style w:type="paragraph" w:styleId="Zpat">
    <w:name w:val="footer"/>
    <w:basedOn w:val="Normln"/>
    <w:link w:val="ZpatChar"/>
    <w:uiPriority w:val="99"/>
    <w:unhideWhenUsed/>
    <w:rsid w:val="00D74C2A"/>
    <w:pPr>
      <w:tabs>
        <w:tab w:val="center" w:pos="4536"/>
        <w:tab w:val="right" w:pos="9072"/>
      </w:tabs>
    </w:pPr>
    <w:rPr>
      <w:rFonts w:ascii="Times New Roman" w:eastAsia="Times New Roman" w:hAnsi="Times New Roman"/>
      <w:sz w:val="24"/>
      <w:szCs w:val="20"/>
      <w:lang w:val="x-none" w:eastAsia="x-none"/>
    </w:rPr>
  </w:style>
  <w:style w:type="character" w:customStyle="1" w:styleId="ZpatChar">
    <w:name w:val="Zápatí Char"/>
    <w:link w:val="Zpat"/>
    <w:uiPriority w:val="99"/>
    <w:rsid w:val="00D74C2A"/>
    <w:rPr>
      <w:rFonts w:ascii="Times New Roman" w:eastAsia="Times New Roman" w:hAnsi="Times New Roman" w:cs="Times New Roman"/>
      <w:sz w:val="24"/>
      <w:szCs w:val="20"/>
      <w:lang w:val="x-none" w:eastAsia="x-none"/>
    </w:rPr>
  </w:style>
  <w:style w:type="paragraph" w:customStyle="1" w:styleId="packy">
    <w:name w:val="packy"/>
    <w:rsid w:val="00D74C2A"/>
    <w:pPr>
      <w:numPr>
        <w:numId w:val="5"/>
      </w:numPr>
      <w:spacing w:after="60"/>
      <w:jc w:val="both"/>
    </w:pPr>
    <w:rPr>
      <w:rFonts w:ascii="Times New Roman" w:eastAsia="Times New Roman" w:hAnsi="Times New Roman"/>
      <w:sz w:val="24"/>
      <w:szCs w:val="24"/>
    </w:rPr>
  </w:style>
  <w:style w:type="paragraph" w:styleId="Zhlav">
    <w:name w:val="header"/>
    <w:basedOn w:val="Normln"/>
    <w:link w:val="ZhlavChar"/>
    <w:unhideWhenUsed/>
    <w:rsid w:val="00D74C2A"/>
    <w:pPr>
      <w:tabs>
        <w:tab w:val="center" w:pos="4536"/>
        <w:tab w:val="right" w:pos="9072"/>
      </w:tabs>
    </w:pPr>
    <w:rPr>
      <w:rFonts w:ascii="Times New Roman" w:eastAsia="Times New Roman" w:hAnsi="Times New Roman"/>
      <w:sz w:val="24"/>
      <w:szCs w:val="20"/>
      <w:lang w:val="x-none" w:eastAsia="x-none"/>
    </w:rPr>
  </w:style>
  <w:style w:type="character" w:customStyle="1" w:styleId="ZhlavChar">
    <w:name w:val="Záhlaví Char"/>
    <w:link w:val="Zhlav"/>
    <w:rsid w:val="00D74C2A"/>
    <w:rPr>
      <w:rFonts w:ascii="Times New Roman" w:eastAsia="Times New Roman" w:hAnsi="Times New Roman" w:cs="Times New Roman"/>
      <w:sz w:val="24"/>
      <w:szCs w:val="20"/>
      <w:lang w:val="x-none" w:eastAsia="x-none"/>
    </w:rPr>
  </w:style>
  <w:style w:type="paragraph" w:customStyle="1" w:styleId="mezikapitolamimalmi">
    <w:name w:val="mezikapitolamimalými"/>
    <w:basedOn w:val="Normln"/>
    <w:rsid w:val="00D74C2A"/>
    <w:pPr>
      <w:spacing w:after="60"/>
    </w:pPr>
    <w:rPr>
      <w:rFonts w:ascii="Times New Roman" w:eastAsia="Times New Roman" w:hAnsi="Times New Roman"/>
      <w:sz w:val="24"/>
      <w:szCs w:val="20"/>
      <w:lang w:eastAsia="cs-CZ"/>
    </w:rPr>
  </w:style>
  <w:style w:type="paragraph" w:customStyle="1" w:styleId="Tdy">
    <w:name w:val="Třídy"/>
    <w:basedOn w:val="bn-text"/>
    <w:rsid w:val="00D74C2A"/>
  </w:style>
  <w:style w:type="paragraph" w:customStyle="1" w:styleId="Bntext">
    <w:name w:val="Běžný text"/>
    <w:basedOn w:val="Normln"/>
    <w:rsid w:val="00D74C2A"/>
    <w:pPr>
      <w:tabs>
        <w:tab w:val="left" w:pos="851"/>
      </w:tabs>
      <w:spacing w:before="60" w:after="60"/>
      <w:ind w:firstLine="851"/>
    </w:pPr>
    <w:rPr>
      <w:rFonts w:ascii="Times New Roman" w:eastAsia="Times New Roman" w:hAnsi="Times New Roman"/>
      <w:snapToGrid w:val="0"/>
      <w:sz w:val="24"/>
      <w:szCs w:val="20"/>
      <w:lang w:eastAsia="cs-CZ"/>
    </w:rPr>
  </w:style>
  <w:style w:type="paragraph" w:styleId="Zkladntext3">
    <w:name w:val="Body Text 3"/>
    <w:basedOn w:val="Normln"/>
    <w:link w:val="Zkladntext3Char"/>
    <w:unhideWhenUsed/>
    <w:rsid w:val="00D74C2A"/>
    <w:pPr>
      <w:spacing w:after="120"/>
    </w:pPr>
    <w:rPr>
      <w:rFonts w:ascii="Times New Roman" w:eastAsia="Times New Roman" w:hAnsi="Times New Roman"/>
      <w:sz w:val="16"/>
      <w:szCs w:val="16"/>
      <w:lang w:val="x-none" w:eastAsia="x-none"/>
    </w:rPr>
  </w:style>
  <w:style w:type="character" w:customStyle="1" w:styleId="Zkladntext3Char">
    <w:name w:val="Základní text 3 Char"/>
    <w:link w:val="Zkladntext3"/>
    <w:rsid w:val="00D74C2A"/>
    <w:rPr>
      <w:rFonts w:ascii="Times New Roman" w:eastAsia="Times New Roman" w:hAnsi="Times New Roman" w:cs="Times New Roman"/>
      <w:sz w:val="16"/>
      <w:szCs w:val="16"/>
      <w:lang w:val="x-none" w:eastAsia="x-none"/>
    </w:rPr>
  </w:style>
  <w:style w:type="paragraph" w:styleId="Zkladntextodsazen3">
    <w:name w:val="Body Text Indent 3"/>
    <w:basedOn w:val="Normln"/>
    <w:link w:val="Zkladntextodsazen3Char"/>
    <w:unhideWhenUsed/>
    <w:rsid w:val="00D74C2A"/>
    <w:pPr>
      <w:spacing w:after="120"/>
      <w:ind w:left="283"/>
    </w:pPr>
    <w:rPr>
      <w:rFonts w:ascii="Times New Roman" w:eastAsia="Times New Roman" w:hAnsi="Times New Roman"/>
      <w:sz w:val="16"/>
      <w:szCs w:val="16"/>
      <w:lang w:val="x-none" w:eastAsia="x-none"/>
    </w:rPr>
  </w:style>
  <w:style w:type="character" w:customStyle="1" w:styleId="Zkladntextodsazen3Char">
    <w:name w:val="Základní text odsazený 3 Char"/>
    <w:link w:val="Zkladntextodsazen3"/>
    <w:rsid w:val="00D74C2A"/>
    <w:rPr>
      <w:rFonts w:ascii="Times New Roman" w:eastAsia="Times New Roman" w:hAnsi="Times New Roman" w:cs="Times New Roman"/>
      <w:sz w:val="16"/>
      <w:szCs w:val="16"/>
      <w:lang w:val="x-none" w:eastAsia="x-none"/>
    </w:rPr>
  </w:style>
  <w:style w:type="paragraph" w:customStyle="1" w:styleId="Mail">
    <w:name w:val="Mail"/>
    <w:basedOn w:val="Normln"/>
    <w:rsid w:val="00D74C2A"/>
    <w:rPr>
      <w:rFonts w:ascii="Times New Roman" w:eastAsia="Times New Roman" w:hAnsi="Times New Roman"/>
      <w:noProof/>
      <w:sz w:val="24"/>
      <w:szCs w:val="20"/>
      <w:lang w:eastAsia="cs-CZ"/>
    </w:rPr>
  </w:style>
  <w:style w:type="paragraph" w:customStyle="1" w:styleId="Doplnktabulek">
    <w:name w:val="Doplněk tabulek"/>
    <w:basedOn w:val="Normln"/>
    <w:rsid w:val="00D74C2A"/>
    <w:pPr>
      <w:spacing w:before="120"/>
    </w:pPr>
    <w:rPr>
      <w:rFonts w:ascii="Times New Roman" w:eastAsia="Times New Roman" w:hAnsi="Times New Roman"/>
      <w:sz w:val="14"/>
      <w:szCs w:val="20"/>
      <w:lang w:eastAsia="cs-CZ"/>
    </w:rPr>
  </w:style>
  <w:style w:type="paragraph" w:customStyle="1" w:styleId="celslovtabulce">
    <w:name w:val="celé číslo v tabulce"/>
    <w:basedOn w:val="Normln"/>
    <w:rsid w:val="00D74C2A"/>
    <w:pPr>
      <w:spacing w:before="60" w:after="60"/>
      <w:ind w:right="57"/>
      <w:jc w:val="right"/>
    </w:pPr>
    <w:rPr>
      <w:rFonts w:ascii="Times New Roman" w:eastAsia="Times New Roman" w:hAnsi="Times New Roman"/>
      <w:sz w:val="18"/>
      <w:szCs w:val="20"/>
      <w:lang w:eastAsia="cs-CZ"/>
    </w:rPr>
  </w:style>
  <w:style w:type="paragraph" w:customStyle="1" w:styleId="OdsekZ">
    <w:name w:val="Odsek Z"/>
    <w:basedOn w:val="Odsek1"/>
    <w:rsid w:val="00D74C2A"/>
  </w:style>
  <w:style w:type="paragraph" w:customStyle="1" w:styleId="Odsek1">
    <w:name w:val="Odsek 1"/>
    <w:basedOn w:val="Odstavec"/>
    <w:rsid w:val="00D74C2A"/>
  </w:style>
  <w:style w:type="paragraph" w:customStyle="1" w:styleId="Odstavec">
    <w:name w:val="Odstavec"/>
    <w:basedOn w:val="Normln"/>
    <w:rsid w:val="00D74C2A"/>
    <w:pPr>
      <w:ind w:firstLine="567"/>
    </w:pPr>
    <w:rPr>
      <w:rFonts w:ascii="Times New Roman" w:eastAsia="Times New Roman" w:hAnsi="Times New Roman"/>
      <w:snapToGrid w:val="0"/>
      <w:szCs w:val="20"/>
      <w:lang w:eastAsia="cs-CZ"/>
    </w:rPr>
  </w:style>
  <w:style w:type="paragraph" w:customStyle="1" w:styleId="Normlnprvn">
    <w:name w:val="Normální první"/>
    <w:basedOn w:val="Normln"/>
    <w:next w:val="Normln"/>
    <w:rsid w:val="00D74C2A"/>
    <w:pPr>
      <w:keepLines/>
      <w:spacing w:line="360" w:lineRule="auto"/>
    </w:pPr>
    <w:rPr>
      <w:rFonts w:ascii="Times New Roman" w:eastAsia="Times New Roman" w:hAnsi="Times New Roman"/>
      <w:szCs w:val="20"/>
      <w:lang w:eastAsia="cs-CZ"/>
    </w:rPr>
  </w:style>
  <w:style w:type="paragraph" w:customStyle="1" w:styleId="normlnktabulcekrtk">
    <w:name w:val="normální k tabulce krátký"/>
    <w:basedOn w:val="Normlnktabulce"/>
    <w:rsid w:val="00D74C2A"/>
    <w:pPr>
      <w:tabs>
        <w:tab w:val="clear" w:pos="851"/>
        <w:tab w:val="clear" w:pos="2520"/>
        <w:tab w:val="decimal" w:pos="284"/>
      </w:tabs>
      <w:ind w:left="0"/>
    </w:pPr>
  </w:style>
  <w:style w:type="paragraph" w:customStyle="1" w:styleId="Popisektabulek">
    <w:name w:val="Popisek tabulek"/>
    <w:basedOn w:val="Normln"/>
    <w:rsid w:val="00D74C2A"/>
    <w:pPr>
      <w:spacing w:before="120" w:line="360" w:lineRule="auto"/>
    </w:pPr>
    <w:rPr>
      <w:rFonts w:ascii="Times New Roman" w:eastAsia="Times New Roman" w:hAnsi="Times New Roman"/>
      <w:sz w:val="14"/>
      <w:szCs w:val="20"/>
      <w:lang w:eastAsia="cs-CZ"/>
    </w:rPr>
  </w:style>
  <w:style w:type="paragraph" w:customStyle="1" w:styleId="normktabdlouh">
    <w:name w:val="norm k tab dlouhý"/>
    <w:basedOn w:val="Normlnktabulce"/>
    <w:rsid w:val="00D74C2A"/>
    <w:pPr>
      <w:tabs>
        <w:tab w:val="clear" w:pos="851"/>
        <w:tab w:val="decimal" w:pos="1134"/>
      </w:tabs>
    </w:pPr>
  </w:style>
  <w:style w:type="paragraph" w:customStyle="1" w:styleId="Normtextvtabulce">
    <w:name w:val="Norm text v tabulce"/>
    <w:basedOn w:val="Normln"/>
    <w:rsid w:val="00D74C2A"/>
    <w:pPr>
      <w:keepNext/>
      <w:keepLines/>
      <w:spacing w:before="60" w:after="60"/>
      <w:ind w:left="57" w:right="57"/>
      <w:outlineLvl w:val="3"/>
    </w:pPr>
    <w:rPr>
      <w:rFonts w:ascii="Times New Roman" w:eastAsia="Times New Roman" w:hAnsi="Times New Roman"/>
      <w:kern w:val="28"/>
      <w:sz w:val="18"/>
      <w:szCs w:val="20"/>
      <w:lang w:eastAsia="cs-CZ"/>
    </w:rPr>
  </w:style>
  <w:style w:type="paragraph" w:customStyle="1" w:styleId="Normlnktabulcekrtky">
    <w:name w:val="Normální k tabulce krátky"/>
    <w:basedOn w:val="Normln"/>
    <w:rsid w:val="00D74C2A"/>
    <w:pPr>
      <w:keepNext/>
      <w:keepLines/>
      <w:tabs>
        <w:tab w:val="decimal" w:pos="284"/>
      </w:tabs>
      <w:spacing w:before="60" w:after="60"/>
      <w:ind w:left="57" w:right="57"/>
      <w:outlineLvl w:val="3"/>
    </w:pPr>
    <w:rPr>
      <w:rFonts w:ascii="Times New Roman" w:eastAsia="Times New Roman" w:hAnsi="Times New Roman"/>
      <w:kern w:val="28"/>
      <w:sz w:val="18"/>
      <w:szCs w:val="20"/>
      <w:lang w:eastAsia="cs-CZ"/>
    </w:rPr>
  </w:style>
  <w:style w:type="paragraph" w:customStyle="1" w:styleId="podnadpis">
    <w:name w:val="podnadpis"/>
    <w:basedOn w:val="Normln"/>
    <w:rsid w:val="00D74C2A"/>
    <w:pPr>
      <w:suppressAutoHyphens/>
      <w:spacing w:after="227" w:line="230" w:lineRule="auto"/>
    </w:pPr>
    <w:rPr>
      <w:rFonts w:ascii="Times New Roman" w:eastAsia="Times New Roman" w:hAnsi="Times New Roman"/>
      <w:b/>
      <w:sz w:val="24"/>
      <w:szCs w:val="20"/>
      <w:lang w:eastAsia="cs-CZ"/>
    </w:rPr>
  </w:style>
  <w:style w:type="paragraph" w:customStyle="1" w:styleId="Smrnice">
    <w:name w:val="Směrnice"/>
    <w:basedOn w:val="Normln"/>
    <w:rsid w:val="00D74C2A"/>
    <w:pPr>
      <w:numPr>
        <w:numId w:val="7"/>
      </w:numPr>
      <w:spacing w:before="480" w:line="360" w:lineRule="auto"/>
    </w:pPr>
    <w:rPr>
      <w:rFonts w:ascii="Times New Roman" w:eastAsia="Times New Roman" w:hAnsi="Times New Roman"/>
      <w:szCs w:val="20"/>
      <w:lang w:eastAsia="cs-CZ"/>
    </w:rPr>
  </w:style>
  <w:style w:type="paragraph" w:styleId="slovanseznam">
    <w:name w:val="List Number"/>
    <w:basedOn w:val="Normlnsodrkou"/>
    <w:rsid w:val="00D74C2A"/>
    <w:pPr>
      <w:numPr>
        <w:numId w:val="6"/>
      </w:numPr>
      <w:tabs>
        <w:tab w:val="clear" w:pos="360"/>
        <w:tab w:val="num" w:pos="525"/>
        <w:tab w:val="num" w:pos="720"/>
      </w:tabs>
      <w:spacing w:before="60"/>
      <w:ind w:left="525" w:hanging="525"/>
    </w:pPr>
  </w:style>
  <w:style w:type="character" w:customStyle="1" w:styleId="ProsttextChar">
    <w:name w:val="Prostý text Char"/>
    <w:link w:val="Prosttext"/>
    <w:uiPriority w:val="99"/>
    <w:rsid w:val="00D74C2A"/>
    <w:rPr>
      <w:rFonts w:ascii="Courier New" w:eastAsia="Times New Roman" w:hAnsi="Courier New"/>
      <w:sz w:val="24"/>
    </w:rPr>
  </w:style>
  <w:style w:type="paragraph" w:styleId="Prosttext">
    <w:name w:val="Plain Text"/>
    <w:basedOn w:val="Normln"/>
    <w:link w:val="ProsttextChar"/>
    <w:uiPriority w:val="99"/>
    <w:rsid w:val="00D74C2A"/>
    <w:rPr>
      <w:rFonts w:ascii="Courier New" w:eastAsia="Times New Roman" w:hAnsi="Courier New"/>
      <w:sz w:val="24"/>
    </w:rPr>
  </w:style>
  <w:style w:type="character" w:customStyle="1" w:styleId="ProsttextChar1">
    <w:name w:val="Prostý text Char1"/>
    <w:uiPriority w:val="99"/>
    <w:semiHidden/>
    <w:rsid w:val="00D74C2A"/>
    <w:rPr>
      <w:rFonts w:ascii="Consolas" w:hAnsi="Consolas" w:cs="Consolas"/>
      <w:sz w:val="21"/>
      <w:szCs w:val="21"/>
    </w:rPr>
  </w:style>
  <w:style w:type="paragraph" w:styleId="Zkladntext2">
    <w:name w:val="Body Text 2"/>
    <w:basedOn w:val="Normln"/>
    <w:link w:val="Zkladntext2Char"/>
    <w:rsid w:val="00D74C2A"/>
    <w:pPr>
      <w:spacing w:after="120"/>
    </w:pPr>
    <w:rPr>
      <w:rFonts w:eastAsia="Times New Roman"/>
      <w:i/>
      <w:sz w:val="24"/>
      <w:szCs w:val="20"/>
      <w:lang w:val="x-none" w:eastAsia="x-none"/>
    </w:rPr>
  </w:style>
  <w:style w:type="character" w:customStyle="1" w:styleId="Zkladntext2Char">
    <w:name w:val="Základní text 2 Char"/>
    <w:link w:val="Zkladntext2"/>
    <w:rsid w:val="00D74C2A"/>
    <w:rPr>
      <w:rFonts w:ascii="Arial" w:eastAsia="Times New Roman" w:hAnsi="Arial" w:cs="Times New Roman"/>
      <w:i/>
      <w:sz w:val="24"/>
      <w:szCs w:val="20"/>
      <w:lang w:val="x-none" w:eastAsia="x-none"/>
    </w:rPr>
  </w:style>
  <w:style w:type="paragraph" w:customStyle="1" w:styleId="MDSR">
    <w:name w:val="MDS ČR"/>
    <w:basedOn w:val="Normln"/>
    <w:rsid w:val="00D74C2A"/>
    <w:pPr>
      <w:suppressAutoHyphens/>
      <w:spacing w:before="120"/>
      <w:ind w:firstLine="567"/>
    </w:pPr>
    <w:rPr>
      <w:rFonts w:ascii="Times New Roman" w:eastAsia="Times New Roman" w:hAnsi="Times New Roman"/>
      <w:sz w:val="24"/>
      <w:szCs w:val="20"/>
      <w:lang w:eastAsia="cs-CZ"/>
    </w:rPr>
  </w:style>
  <w:style w:type="paragraph" w:customStyle="1" w:styleId="xl28">
    <w:name w:val="xl28"/>
    <w:basedOn w:val="Normln"/>
    <w:rsid w:val="00D74C2A"/>
    <w:pPr>
      <w:pBdr>
        <w:top w:val="single" w:sz="4" w:space="0" w:color="auto"/>
        <w:bottom w:val="single" w:sz="4" w:space="0" w:color="auto"/>
        <w:right w:val="single" w:sz="4" w:space="0" w:color="auto"/>
      </w:pBdr>
      <w:spacing w:before="100" w:after="100"/>
      <w:jc w:val="right"/>
    </w:pPr>
    <w:rPr>
      <w:rFonts w:eastAsia="Times New Roman"/>
      <w:sz w:val="24"/>
      <w:szCs w:val="20"/>
      <w:lang w:eastAsia="cs-CZ"/>
    </w:rPr>
  </w:style>
  <w:style w:type="paragraph" w:customStyle="1" w:styleId="Normln0">
    <w:name w:val="Norm‡ln’"/>
    <w:rsid w:val="00D74C2A"/>
    <w:pPr>
      <w:jc w:val="both"/>
    </w:pPr>
    <w:rPr>
      <w:rFonts w:ascii="Times New Roman" w:eastAsia="Times New Roman" w:hAnsi="Times New Roman"/>
      <w:sz w:val="24"/>
    </w:rPr>
  </w:style>
  <w:style w:type="paragraph" w:customStyle="1" w:styleId="5Normal">
    <w:name w:val="5 Normal"/>
    <w:rsid w:val="00D74C2A"/>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eastAsia="Times New Roman" w:hAnsi="Arial"/>
      <w:spacing w:val="-2"/>
      <w:sz w:val="22"/>
      <w:lang w:val="en-GB" w:eastAsia="en-GB"/>
    </w:rPr>
  </w:style>
  <w:style w:type="character" w:customStyle="1" w:styleId="PedmtkomenteChar1">
    <w:name w:val="Předmět komentáře Char1"/>
    <w:uiPriority w:val="99"/>
    <w:semiHidden/>
    <w:rsid w:val="00D74C2A"/>
    <w:rPr>
      <w:rFonts w:ascii="Times New Roman" w:eastAsia="Times New Roman" w:hAnsi="Times New Roman" w:cs="Times New Roman"/>
      <w:b/>
      <w:bCs/>
      <w:sz w:val="24"/>
      <w:szCs w:val="20"/>
      <w:lang w:val="x-none" w:eastAsia="x-none"/>
    </w:rPr>
  </w:style>
  <w:style w:type="character" w:customStyle="1" w:styleId="RozloendokumentuChar1">
    <w:name w:val="Rozložení dokumentu Char1"/>
    <w:aliases w:val="Rozvržení dokumentu Char,Rozložení dokumentu1 Char,Rozvržení dokumentu1 Char"/>
    <w:link w:val="Rozloendokumentu"/>
    <w:rsid w:val="00D74C2A"/>
    <w:rPr>
      <w:rFonts w:ascii="Tahoma" w:eastAsia="Times New Roman" w:hAnsi="Tahoma" w:cs="Tahoma"/>
      <w:shd w:val="clear" w:color="auto" w:fill="000080"/>
    </w:rPr>
  </w:style>
  <w:style w:type="paragraph" w:styleId="Rozloendokumentu">
    <w:name w:val="Document Map"/>
    <w:aliases w:val="Rozvržení dokumentu,Rozložení dokumentu1,Rozvržení dokumentu1"/>
    <w:basedOn w:val="Normln"/>
    <w:link w:val="RozloendokumentuChar1"/>
    <w:rsid w:val="00D74C2A"/>
    <w:pPr>
      <w:shd w:val="clear" w:color="auto" w:fill="000080"/>
    </w:pPr>
    <w:rPr>
      <w:rFonts w:ascii="Tahoma" w:eastAsia="Times New Roman" w:hAnsi="Tahoma" w:cs="Tahoma"/>
    </w:rPr>
  </w:style>
  <w:style w:type="character" w:customStyle="1" w:styleId="RozloendokumentuChar">
    <w:name w:val="Rozložení dokumentu Char"/>
    <w:uiPriority w:val="99"/>
    <w:semiHidden/>
    <w:rsid w:val="00D74C2A"/>
    <w:rPr>
      <w:rFonts w:ascii="Tahoma" w:hAnsi="Tahoma" w:cs="Tahoma"/>
      <w:sz w:val="16"/>
      <w:szCs w:val="16"/>
    </w:rPr>
  </w:style>
  <w:style w:type="paragraph" w:customStyle="1" w:styleId="Textbodu">
    <w:name w:val="Text bodu"/>
    <w:basedOn w:val="Normln"/>
    <w:rsid w:val="00D74C2A"/>
    <w:pPr>
      <w:numPr>
        <w:ilvl w:val="1"/>
        <w:numId w:val="8"/>
      </w:numPr>
      <w:tabs>
        <w:tab w:val="clear" w:pos="425"/>
        <w:tab w:val="num" w:pos="850"/>
      </w:tabs>
      <w:ind w:left="850"/>
      <w:outlineLvl w:val="8"/>
    </w:pPr>
    <w:rPr>
      <w:rFonts w:ascii="Times New Roman" w:eastAsia="Times New Roman" w:hAnsi="Times New Roman"/>
      <w:sz w:val="24"/>
      <w:szCs w:val="20"/>
      <w:lang w:eastAsia="cs-CZ"/>
    </w:rPr>
  </w:style>
  <w:style w:type="character" w:customStyle="1" w:styleId="NzevChar">
    <w:name w:val="Název Char"/>
    <w:link w:val="Nzev"/>
    <w:rsid w:val="00D74C2A"/>
    <w:rPr>
      <w:rFonts w:ascii="Times New Roman" w:eastAsia="Times New Roman" w:hAnsi="Times New Roman"/>
      <w:sz w:val="24"/>
    </w:rPr>
  </w:style>
  <w:style w:type="paragraph" w:styleId="Nzev">
    <w:name w:val="Title"/>
    <w:basedOn w:val="Normln"/>
    <w:link w:val="NzevChar"/>
    <w:qFormat/>
    <w:rsid w:val="00D74C2A"/>
    <w:pPr>
      <w:spacing w:before="120"/>
      <w:jc w:val="center"/>
    </w:pPr>
    <w:rPr>
      <w:rFonts w:ascii="Times New Roman" w:eastAsia="Times New Roman" w:hAnsi="Times New Roman"/>
      <w:sz w:val="24"/>
    </w:rPr>
  </w:style>
  <w:style w:type="character" w:customStyle="1" w:styleId="NzevChar1">
    <w:name w:val="Název Char1"/>
    <w:uiPriority w:val="10"/>
    <w:rsid w:val="00D74C2A"/>
    <w:rPr>
      <w:rFonts w:ascii="Cambria" w:eastAsia="Times New Roman" w:hAnsi="Cambria" w:cs="Times New Roman"/>
      <w:color w:val="17365D"/>
      <w:spacing w:val="5"/>
      <w:kern w:val="28"/>
      <w:sz w:val="52"/>
      <w:szCs w:val="52"/>
    </w:rPr>
  </w:style>
  <w:style w:type="paragraph" w:customStyle="1" w:styleId="psmena">
    <w:name w:val="písmena"/>
    <w:uiPriority w:val="99"/>
    <w:rsid w:val="00D74C2A"/>
    <w:pPr>
      <w:spacing w:before="60"/>
      <w:ind w:left="568" w:hanging="284"/>
      <w:jc w:val="both"/>
    </w:pPr>
    <w:rPr>
      <w:rFonts w:ascii="Times New Roman" w:eastAsia="Times New Roman" w:hAnsi="Times New Roman"/>
      <w:sz w:val="24"/>
      <w:szCs w:val="24"/>
    </w:rPr>
  </w:style>
  <w:style w:type="paragraph" w:customStyle="1" w:styleId="Nadpisgrafu">
    <w:name w:val="Nadpis grafu"/>
    <w:rsid w:val="00D74C2A"/>
    <w:pPr>
      <w:keepNext/>
      <w:keepLines/>
      <w:spacing w:before="240" w:after="120"/>
      <w:ind w:left="1418" w:hanging="1418"/>
      <w:jc w:val="both"/>
    </w:pPr>
    <w:rPr>
      <w:rFonts w:ascii="Times New Roman" w:eastAsia="Times New Roman" w:hAnsi="Times New Roman"/>
      <w:b/>
      <w:sz w:val="24"/>
      <w:szCs w:val="24"/>
    </w:rPr>
  </w:style>
  <w:style w:type="paragraph" w:customStyle="1" w:styleId="nzevpodkapit">
    <w:name w:val="názevpodkapit"/>
    <w:basedOn w:val="Nadpis2"/>
    <w:rsid w:val="00D74C2A"/>
    <w:pPr>
      <w:widowControl w:val="0"/>
      <w:suppressAutoHyphens/>
      <w:spacing w:before="120" w:after="240"/>
      <w:outlineLvl w:val="2"/>
    </w:pPr>
    <w:rPr>
      <w:rFonts w:ascii="Times New Roman" w:hAnsi="Times New Roman" w:cs="Times New Roman"/>
      <w:bCs w:val="0"/>
      <w:sz w:val="28"/>
      <w:szCs w:val="20"/>
      <w:lang w:val="x-none" w:eastAsia="cs-CZ"/>
    </w:rPr>
  </w:style>
  <w:style w:type="paragraph" w:customStyle="1" w:styleId="tabulka">
    <w:name w:val="tabulka"/>
    <w:basedOn w:val="Zkladntextodsazen"/>
    <w:rsid w:val="00D74C2A"/>
    <w:pPr>
      <w:spacing w:after="0"/>
      <w:ind w:left="0"/>
    </w:pPr>
    <w:rPr>
      <w:rFonts w:ascii="Times New Roman" w:eastAsia="Times New Roman" w:hAnsi="Times New Roman"/>
      <w:b/>
      <w:sz w:val="24"/>
      <w:szCs w:val="20"/>
      <w:lang w:val="x-none" w:eastAsia="x-none"/>
    </w:rPr>
  </w:style>
  <w:style w:type="paragraph" w:customStyle="1" w:styleId="Zkladntext21">
    <w:name w:val="Základní text 21"/>
    <w:basedOn w:val="Normln"/>
    <w:rsid w:val="00D74C2A"/>
    <w:pPr>
      <w:widowControl w:val="0"/>
    </w:pPr>
    <w:rPr>
      <w:rFonts w:ascii="Times New Roman" w:eastAsia="Times New Roman" w:hAnsi="Times New Roman"/>
      <w:sz w:val="24"/>
      <w:szCs w:val="24"/>
      <w:lang w:eastAsia="cs-CZ"/>
    </w:rPr>
  </w:style>
  <w:style w:type="character" w:styleId="slostrnky">
    <w:name w:val="page number"/>
    <w:rsid w:val="00D74C2A"/>
  </w:style>
  <w:style w:type="paragraph" w:customStyle="1" w:styleId="Odstavec0">
    <w:name w:val="Odstavec~"/>
    <w:basedOn w:val="Normln"/>
    <w:rsid w:val="00D74C2A"/>
    <w:pPr>
      <w:suppressAutoHyphens/>
      <w:spacing w:after="115" w:line="230" w:lineRule="auto"/>
    </w:pPr>
    <w:rPr>
      <w:rFonts w:ascii="Times New Roman" w:eastAsia="Times New Roman" w:hAnsi="Times New Roman"/>
      <w:sz w:val="24"/>
      <w:szCs w:val="20"/>
      <w:lang w:eastAsia="cs-CZ"/>
    </w:rPr>
  </w:style>
  <w:style w:type="paragraph" w:customStyle="1" w:styleId="Seznamroz">
    <w:name w:val="Seznam roz."/>
    <w:basedOn w:val="Normln"/>
    <w:rsid w:val="00D74C2A"/>
    <w:pPr>
      <w:suppressAutoHyphens/>
      <w:spacing w:after="57" w:line="230" w:lineRule="auto"/>
      <w:ind w:left="482" w:firstLine="28"/>
    </w:pPr>
    <w:rPr>
      <w:rFonts w:ascii="Times New Roman" w:eastAsia="Times New Roman" w:hAnsi="Times New Roman"/>
      <w:sz w:val="24"/>
      <w:szCs w:val="20"/>
      <w:lang w:eastAsia="cs-CZ"/>
    </w:rPr>
  </w:style>
  <w:style w:type="paragraph" w:customStyle="1" w:styleId="Export0">
    <w:name w:val="Export 0"/>
    <w:basedOn w:val="Normln"/>
    <w:rsid w:val="00D74C2A"/>
    <w:pPr>
      <w:widowControl w:val="0"/>
      <w:ind w:firstLine="540"/>
    </w:pPr>
    <w:rPr>
      <w:rFonts w:ascii="Avinion" w:eastAsia="Times New Roman" w:hAnsi="Avinion"/>
      <w:snapToGrid w:val="0"/>
      <w:sz w:val="24"/>
      <w:szCs w:val="20"/>
      <w:lang w:eastAsia="cs-CZ"/>
    </w:rPr>
  </w:style>
  <w:style w:type="paragraph" w:customStyle="1" w:styleId="n">
    <w:name w:val="n"/>
    <w:basedOn w:val="Normln"/>
    <w:rsid w:val="00D74C2A"/>
    <w:rPr>
      <w:rFonts w:eastAsia="Times New Roman"/>
      <w:sz w:val="16"/>
      <w:szCs w:val="20"/>
      <w:lang w:eastAsia="cs-CZ"/>
    </w:rPr>
  </w:style>
  <w:style w:type="paragraph" w:customStyle="1" w:styleId="Styl1">
    <w:name w:val="Styl1"/>
    <w:basedOn w:val="Normln"/>
    <w:rsid w:val="00D74C2A"/>
    <w:rPr>
      <w:rFonts w:eastAsia="Times New Roman"/>
      <w:sz w:val="24"/>
      <w:szCs w:val="20"/>
      <w:lang w:eastAsia="cs-CZ"/>
    </w:rPr>
  </w:style>
  <w:style w:type="paragraph" w:customStyle="1" w:styleId="Tabulkacentrovan">
    <w:name w:val="Tabulka centrovaná"/>
    <w:basedOn w:val="Normln"/>
    <w:rsid w:val="00D74C2A"/>
    <w:pPr>
      <w:spacing w:before="60" w:after="60"/>
      <w:jc w:val="center"/>
    </w:pPr>
    <w:rPr>
      <w:rFonts w:ascii="Times New Roman" w:eastAsia="Times New Roman" w:hAnsi="Times New Roman"/>
      <w:sz w:val="24"/>
      <w:szCs w:val="20"/>
      <w:lang w:eastAsia="cs-CZ"/>
    </w:rPr>
  </w:style>
  <w:style w:type="paragraph" w:customStyle="1" w:styleId="xl24">
    <w:name w:val="xl24"/>
    <w:basedOn w:val="Normln"/>
    <w:rsid w:val="00D74C2A"/>
    <w:pPr>
      <w:pBdr>
        <w:top w:val="single" w:sz="4" w:space="0" w:color="auto"/>
        <w:bottom w:val="single" w:sz="4" w:space="0" w:color="auto"/>
      </w:pBdr>
      <w:spacing w:before="100" w:after="100"/>
    </w:pPr>
    <w:rPr>
      <w:rFonts w:ascii="Times New Roman" w:eastAsia="Times New Roman" w:hAnsi="Times New Roman"/>
      <w:sz w:val="24"/>
      <w:szCs w:val="20"/>
      <w:lang w:eastAsia="cs-CZ"/>
    </w:rPr>
  </w:style>
  <w:style w:type="paragraph" w:customStyle="1" w:styleId="xl25">
    <w:name w:val="xl25"/>
    <w:basedOn w:val="Normln"/>
    <w:rsid w:val="00D74C2A"/>
    <w:pPr>
      <w:pBdr>
        <w:top w:val="single" w:sz="4" w:space="0" w:color="auto"/>
        <w:bottom w:val="single" w:sz="4" w:space="0" w:color="auto"/>
      </w:pBdr>
      <w:spacing w:before="100" w:after="100"/>
    </w:pPr>
    <w:rPr>
      <w:rFonts w:eastAsia="Times New Roman"/>
      <w:sz w:val="24"/>
      <w:szCs w:val="20"/>
      <w:lang w:eastAsia="cs-CZ"/>
    </w:rPr>
  </w:style>
  <w:style w:type="paragraph" w:customStyle="1" w:styleId="xl26">
    <w:name w:val="xl26"/>
    <w:basedOn w:val="Normln"/>
    <w:rsid w:val="00D74C2A"/>
    <w:pPr>
      <w:pBdr>
        <w:top w:val="single" w:sz="4" w:space="0" w:color="auto"/>
        <w:bottom w:val="single" w:sz="4" w:space="0" w:color="auto"/>
      </w:pBdr>
      <w:spacing w:before="100" w:after="100"/>
    </w:pPr>
    <w:rPr>
      <w:rFonts w:ascii="Times New Roman" w:eastAsia="Times New Roman" w:hAnsi="Times New Roman"/>
      <w:sz w:val="24"/>
      <w:szCs w:val="20"/>
      <w:lang w:eastAsia="cs-CZ"/>
    </w:rPr>
  </w:style>
  <w:style w:type="paragraph" w:customStyle="1" w:styleId="xl27">
    <w:name w:val="xl27"/>
    <w:basedOn w:val="Normln"/>
    <w:rsid w:val="00D74C2A"/>
    <w:pPr>
      <w:pBdr>
        <w:top w:val="single" w:sz="4" w:space="0" w:color="auto"/>
        <w:bottom w:val="single" w:sz="4" w:space="0" w:color="auto"/>
      </w:pBdr>
      <w:spacing w:before="100" w:after="100"/>
      <w:jc w:val="right"/>
    </w:pPr>
    <w:rPr>
      <w:rFonts w:eastAsia="Times New Roman"/>
      <w:sz w:val="24"/>
      <w:szCs w:val="20"/>
      <w:lang w:eastAsia="cs-CZ"/>
    </w:rPr>
  </w:style>
  <w:style w:type="paragraph" w:customStyle="1" w:styleId="xl29">
    <w:name w:val="xl29"/>
    <w:basedOn w:val="Normln"/>
    <w:rsid w:val="00D74C2A"/>
    <w:pPr>
      <w:pBdr>
        <w:left w:val="single" w:sz="4" w:space="0" w:color="auto"/>
        <w:right w:val="single" w:sz="4" w:space="0" w:color="auto"/>
      </w:pBdr>
      <w:spacing w:before="100" w:after="100"/>
    </w:pPr>
    <w:rPr>
      <w:rFonts w:eastAsia="Times New Roman"/>
      <w:sz w:val="24"/>
      <w:szCs w:val="20"/>
      <w:lang w:eastAsia="cs-CZ"/>
    </w:rPr>
  </w:style>
  <w:style w:type="paragraph" w:customStyle="1" w:styleId="xl30">
    <w:name w:val="xl30"/>
    <w:basedOn w:val="Normln"/>
    <w:rsid w:val="00D74C2A"/>
    <w:pPr>
      <w:pBdr>
        <w:top w:val="single" w:sz="4" w:space="0" w:color="auto"/>
        <w:left w:val="single" w:sz="4" w:space="0" w:color="auto"/>
        <w:right w:val="single" w:sz="4" w:space="0" w:color="auto"/>
      </w:pBdr>
      <w:spacing w:before="100" w:after="100"/>
    </w:pPr>
    <w:rPr>
      <w:rFonts w:eastAsia="Times New Roman"/>
      <w:sz w:val="18"/>
      <w:szCs w:val="20"/>
      <w:lang w:eastAsia="cs-CZ"/>
    </w:rPr>
  </w:style>
  <w:style w:type="paragraph" w:customStyle="1" w:styleId="xl31">
    <w:name w:val="xl31"/>
    <w:basedOn w:val="Normln"/>
    <w:rsid w:val="00D74C2A"/>
    <w:pPr>
      <w:pBdr>
        <w:top w:val="single" w:sz="4" w:space="0" w:color="auto"/>
        <w:left w:val="single" w:sz="4" w:space="0" w:color="auto"/>
        <w:right w:val="single" w:sz="4" w:space="0" w:color="auto"/>
      </w:pBdr>
      <w:spacing w:before="100" w:after="100"/>
      <w:jc w:val="right"/>
    </w:pPr>
    <w:rPr>
      <w:rFonts w:eastAsia="Times New Roman"/>
      <w:sz w:val="18"/>
      <w:szCs w:val="20"/>
      <w:lang w:eastAsia="cs-CZ"/>
    </w:rPr>
  </w:style>
  <w:style w:type="paragraph" w:customStyle="1" w:styleId="xl32">
    <w:name w:val="xl32"/>
    <w:basedOn w:val="Normln"/>
    <w:rsid w:val="00D74C2A"/>
    <w:pPr>
      <w:pBdr>
        <w:top w:val="single" w:sz="4" w:space="0" w:color="auto"/>
        <w:left w:val="single" w:sz="4" w:space="0" w:color="auto"/>
        <w:right w:val="single" w:sz="4" w:space="0" w:color="auto"/>
      </w:pBdr>
      <w:spacing w:before="100" w:after="100"/>
    </w:pPr>
    <w:rPr>
      <w:rFonts w:eastAsia="Times New Roman"/>
      <w:sz w:val="24"/>
      <w:szCs w:val="20"/>
      <w:lang w:eastAsia="cs-CZ"/>
    </w:rPr>
  </w:style>
  <w:style w:type="paragraph" w:customStyle="1" w:styleId="xl33">
    <w:name w:val="xl33"/>
    <w:basedOn w:val="Normln"/>
    <w:rsid w:val="00D74C2A"/>
    <w:pPr>
      <w:pBdr>
        <w:top w:val="single" w:sz="4" w:space="0" w:color="auto"/>
        <w:left w:val="single" w:sz="4" w:space="0" w:color="auto"/>
        <w:right w:val="single" w:sz="4" w:space="0" w:color="auto"/>
      </w:pBdr>
      <w:spacing w:before="100" w:after="100"/>
      <w:jc w:val="center"/>
    </w:pPr>
    <w:rPr>
      <w:rFonts w:eastAsia="Times New Roman"/>
      <w:sz w:val="24"/>
      <w:szCs w:val="20"/>
      <w:lang w:eastAsia="cs-CZ"/>
    </w:rPr>
  </w:style>
  <w:style w:type="paragraph" w:customStyle="1" w:styleId="xl34">
    <w:name w:val="xl34"/>
    <w:basedOn w:val="Normln"/>
    <w:rsid w:val="00D74C2A"/>
    <w:pPr>
      <w:pBdr>
        <w:top w:val="dotted" w:sz="4" w:space="0" w:color="auto"/>
        <w:left w:val="single" w:sz="4" w:space="0" w:color="auto"/>
        <w:right w:val="single" w:sz="4" w:space="0" w:color="auto"/>
      </w:pBdr>
      <w:spacing w:before="100" w:after="100"/>
      <w:jc w:val="center"/>
    </w:pPr>
    <w:rPr>
      <w:rFonts w:eastAsia="Times New Roman"/>
      <w:sz w:val="18"/>
      <w:szCs w:val="20"/>
      <w:lang w:eastAsia="cs-CZ"/>
    </w:rPr>
  </w:style>
  <w:style w:type="paragraph" w:customStyle="1" w:styleId="xl35">
    <w:name w:val="xl35"/>
    <w:basedOn w:val="Normln"/>
    <w:rsid w:val="00D74C2A"/>
    <w:pPr>
      <w:pBdr>
        <w:top w:val="dotted" w:sz="4" w:space="0" w:color="auto"/>
        <w:left w:val="single" w:sz="4" w:space="0" w:color="auto"/>
        <w:right w:val="single" w:sz="4" w:space="0" w:color="auto"/>
      </w:pBdr>
      <w:spacing w:before="100" w:after="100"/>
      <w:jc w:val="center"/>
    </w:pPr>
    <w:rPr>
      <w:rFonts w:eastAsia="Times New Roman"/>
      <w:sz w:val="24"/>
      <w:szCs w:val="20"/>
      <w:lang w:eastAsia="cs-CZ"/>
    </w:rPr>
  </w:style>
  <w:style w:type="paragraph" w:customStyle="1" w:styleId="xl36">
    <w:name w:val="xl36"/>
    <w:basedOn w:val="Normln"/>
    <w:rsid w:val="00D74C2A"/>
    <w:pPr>
      <w:pBdr>
        <w:left w:val="single" w:sz="4" w:space="0" w:color="auto"/>
        <w:bottom w:val="single" w:sz="4" w:space="0" w:color="auto"/>
        <w:right w:val="single" w:sz="4" w:space="0" w:color="auto"/>
      </w:pBdr>
      <w:spacing w:before="100" w:after="100"/>
    </w:pPr>
    <w:rPr>
      <w:rFonts w:eastAsia="Times New Roman"/>
      <w:sz w:val="24"/>
      <w:szCs w:val="20"/>
      <w:lang w:eastAsia="cs-CZ"/>
    </w:rPr>
  </w:style>
  <w:style w:type="paragraph" w:customStyle="1" w:styleId="xl37">
    <w:name w:val="xl37"/>
    <w:basedOn w:val="Normln"/>
    <w:rsid w:val="00D74C2A"/>
    <w:pPr>
      <w:pBdr>
        <w:left w:val="single" w:sz="4" w:space="0" w:color="auto"/>
        <w:bottom w:val="single" w:sz="4" w:space="0" w:color="auto"/>
        <w:right w:val="single" w:sz="4" w:space="0" w:color="auto"/>
      </w:pBdr>
      <w:spacing w:before="100" w:after="100"/>
      <w:jc w:val="center"/>
    </w:pPr>
    <w:rPr>
      <w:rFonts w:eastAsia="Times New Roman"/>
      <w:sz w:val="18"/>
      <w:szCs w:val="20"/>
      <w:lang w:eastAsia="cs-CZ"/>
    </w:rPr>
  </w:style>
  <w:style w:type="paragraph" w:customStyle="1" w:styleId="xl38">
    <w:name w:val="xl38"/>
    <w:basedOn w:val="Normln"/>
    <w:rsid w:val="00D74C2A"/>
    <w:pPr>
      <w:pBdr>
        <w:left w:val="single" w:sz="4" w:space="0" w:color="auto"/>
        <w:bottom w:val="single" w:sz="4" w:space="0" w:color="auto"/>
        <w:right w:val="single" w:sz="4" w:space="0" w:color="auto"/>
      </w:pBdr>
      <w:spacing w:before="100" w:after="100"/>
    </w:pPr>
    <w:rPr>
      <w:rFonts w:eastAsia="Times New Roman"/>
      <w:sz w:val="24"/>
      <w:szCs w:val="20"/>
      <w:lang w:eastAsia="cs-CZ"/>
    </w:rPr>
  </w:style>
  <w:style w:type="paragraph" w:customStyle="1" w:styleId="xl39">
    <w:name w:val="xl39"/>
    <w:basedOn w:val="Normln"/>
    <w:rsid w:val="00D74C2A"/>
    <w:pPr>
      <w:pBdr>
        <w:left w:val="single" w:sz="4" w:space="0" w:color="auto"/>
        <w:bottom w:val="single" w:sz="4" w:space="0" w:color="auto"/>
        <w:right w:val="single" w:sz="4" w:space="0" w:color="auto"/>
      </w:pBdr>
      <w:spacing w:before="100" w:after="100"/>
      <w:jc w:val="right"/>
    </w:pPr>
    <w:rPr>
      <w:rFonts w:eastAsia="Times New Roman"/>
      <w:sz w:val="24"/>
      <w:szCs w:val="20"/>
      <w:lang w:eastAsia="cs-CZ"/>
    </w:rPr>
  </w:style>
  <w:style w:type="paragraph" w:customStyle="1" w:styleId="xl40">
    <w:name w:val="xl40"/>
    <w:basedOn w:val="Normln"/>
    <w:rsid w:val="00D74C2A"/>
    <w:pPr>
      <w:pBdr>
        <w:left w:val="single" w:sz="4" w:space="0" w:color="auto"/>
        <w:bottom w:val="single" w:sz="4" w:space="0" w:color="auto"/>
        <w:right w:val="single" w:sz="4" w:space="0" w:color="auto"/>
      </w:pBdr>
      <w:spacing w:before="100" w:after="100"/>
      <w:jc w:val="right"/>
    </w:pPr>
    <w:rPr>
      <w:rFonts w:eastAsia="Times New Roman"/>
      <w:sz w:val="18"/>
      <w:szCs w:val="20"/>
      <w:lang w:eastAsia="cs-CZ"/>
    </w:rPr>
  </w:style>
  <w:style w:type="paragraph" w:customStyle="1" w:styleId="xl41">
    <w:name w:val="xl41"/>
    <w:basedOn w:val="Normln"/>
    <w:rsid w:val="00D74C2A"/>
    <w:pPr>
      <w:pBdr>
        <w:left w:val="single" w:sz="4" w:space="0" w:color="auto"/>
        <w:bottom w:val="single" w:sz="4" w:space="0" w:color="auto"/>
        <w:right w:val="single" w:sz="4" w:space="0" w:color="auto"/>
      </w:pBdr>
      <w:spacing w:before="100" w:after="100"/>
    </w:pPr>
    <w:rPr>
      <w:rFonts w:eastAsia="Times New Roman"/>
      <w:sz w:val="24"/>
      <w:szCs w:val="20"/>
      <w:lang w:eastAsia="cs-CZ"/>
    </w:rPr>
  </w:style>
  <w:style w:type="paragraph" w:customStyle="1" w:styleId="xl42">
    <w:name w:val="xl42"/>
    <w:basedOn w:val="Normln"/>
    <w:rsid w:val="00D74C2A"/>
    <w:pPr>
      <w:pBdr>
        <w:top w:val="single" w:sz="4" w:space="0" w:color="auto"/>
        <w:left w:val="single" w:sz="4" w:space="0" w:color="auto"/>
        <w:bottom w:val="single" w:sz="4" w:space="0" w:color="auto"/>
        <w:right w:val="single" w:sz="4" w:space="0" w:color="auto"/>
      </w:pBdr>
      <w:spacing w:before="100" w:after="100"/>
    </w:pPr>
    <w:rPr>
      <w:rFonts w:eastAsia="Times New Roman"/>
      <w:sz w:val="24"/>
      <w:szCs w:val="20"/>
      <w:lang w:eastAsia="cs-CZ"/>
    </w:rPr>
  </w:style>
  <w:style w:type="paragraph" w:customStyle="1" w:styleId="xl43">
    <w:name w:val="xl43"/>
    <w:basedOn w:val="Normln"/>
    <w:rsid w:val="00D74C2A"/>
    <w:pPr>
      <w:pBdr>
        <w:top w:val="single" w:sz="4" w:space="0" w:color="auto"/>
        <w:left w:val="single" w:sz="4" w:space="0" w:color="auto"/>
        <w:bottom w:val="single" w:sz="4" w:space="0" w:color="auto"/>
        <w:right w:val="single" w:sz="4" w:space="0" w:color="auto"/>
      </w:pBdr>
      <w:spacing w:before="100" w:after="100"/>
      <w:jc w:val="right"/>
    </w:pPr>
    <w:rPr>
      <w:rFonts w:eastAsia="Times New Roman"/>
      <w:sz w:val="24"/>
      <w:szCs w:val="20"/>
      <w:lang w:eastAsia="cs-CZ"/>
    </w:rPr>
  </w:style>
  <w:style w:type="paragraph" w:customStyle="1" w:styleId="xl44">
    <w:name w:val="xl44"/>
    <w:basedOn w:val="Normln"/>
    <w:rsid w:val="00D74C2A"/>
    <w:pPr>
      <w:pBdr>
        <w:top w:val="single" w:sz="4" w:space="0" w:color="auto"/>
        <w:left w:val="single" w:sz="4" w:space="0" w:color="auto"/>
        <w:bottom w:val="single" w:sz="4" w:space="0" w:color="auto"/>
        <w:right w:val="single" w:sz="4" w:space="0" w:color="auto"/>
      </w:pBdr>
      <w:spacing w:before="100" w:after="100"/>
      <w:jc w:val="right"/>
    </w:pPr>
    <w:rPr>
      <w:rFonts w:eastAsia="Times New Roman"/>
      <w:sz w:val="18"/>
      <w:szCs w:val="20"/>
      <w:lang w:eastAsia="cs-CZ"/>
    </w:rPr>
  </w:style>
  <w:style w:type="paragraph" w:customStyle="1" w:styleId="xl45">
    <w:name w:val="xl45"/>
    <w:basedOn w:val="Normln"/>
    <w:rsid w:val="00D74C2A"/>
    <w:pPr>
      <w:pBdr>
        <w:top w:val="single" w:sz="4" w:space="0" w:color="auto"/>
        <w:left w:val="single" w:sz="4" w:space="0" w:color="auto"/>
        <w:bottom w:val="single" w:sz="4" w:space="0" w:color="auto"/>
        <w:right w:val="single" w:sz="4" w:space="0" w:color="auto"/>
      </w:pBdr>
      <w:spacing w:before="100" w:after="100"/>
    </w:pPr>
    <w:rPr>
      <w:rFonts w:eastAsia="Times New Roman"/>
      <w:sz w:val="24"/>
      <w:szCs w:val="20"/>
      <w:lang w:eastAsia="cs-CZ"/>
    </w:rPr>
  </w:style>
  <w:style w:type="paragraph" w:customStyle="1" w:styleId="xl47">
    <w:name w:val="xl47"/>
    <w:basedOn w:val="Normln"/>
    <w:rsid w:val="00D74C2A"/>
    <w:pPr>
      <w:pBdr>
        <w:top w:val="single" w:sz="4" w:space="0" w:color="auto"/>
        <w:left w:val="single" w:sz="4" w:space="0" w:color="auto"/>
        <w:right w:val="single" w:sz="4" w:space="0" w:color="auto"/>
      </w:pBdr>
      <w:spacing w:before="100" w:after="100"/>
      <w:jc w:val="right"/>
    </w:pPr>
    <w:rPr>
      <w:rFonts w:eastAsia="Times New Roman"/>
      <w:b/>
      <w:sz w:val="24"/>
      <w:szCs w:val="20"/>
      <w:lang w:eastAsia="cs-CZ"/>
    </w:rPr>
  </w:style>
  <w:style w:type="paragraph" w:customStyle="1" w:styleId="xl48">
    <w:name w:val="xl48"/>
    <w:basedOn w:val="Normln"/>
    <w:rsid w:val="00D74C2A"/>
    <w:pPr>
      <w:pBdr>
        <w:top w:val="single" w:sz="4" w:space="0" w:color="auto"/>
        <w:left w:val="single" w:sz="4" w:space="0" w:color="auto"/>
        <w:right w:val="single" w:sz="4" w:space="0" w:color="auto"/>
      </w:pBdr>
      <w:spacing w:before="100" w:after="100"/>
      <w:jc w:val="right"/>
    </w:pPr>
    <w:rPr>
      <w:rFonts w:eastAsia="Times New Roman"/>
      <w:b/>
      <w:sz w:val="18"/>
      <w:szCs w:val="20"/>
      <w:lang w:eastAsia="cs-CZ"/>
    </w:rPr>
  </w:style>
  <w:style w:type="paragraph" w:customStyle="1" w:styleId="xl49">
    <w:name w:val="xl49"/>
    <w:basedOn w:val="Normln"/>
    <w:rsid w:val="00D74C2A"/>
    <w:pPr>
      <w:pBdr>
        <w:top w:val="single" w:sz="4" w:space="0" w:color="auto"/>
        <w:left w:val="single" w:sz="4" w:space="0" w:color="auto"/>
        <w:right w:val="single" w:sz="4" w:space="0" w:color="auto"/>
      </w:pBdr>
      <w:spacing w:before="100" w:after="100"/>
    </w:pPr>
    <w:rPr>
      <w:rFonts w:eastAsia="Times New Roman"/>
      <w:b/>
      <w:sz w:val="24"/>
      <w:szCs w:val="20"/>
      <w:lang w:eastAsia="cs-CZ"/>
    </w:rPr>
  </w:style>
  <w:style w:type="paragraph" w:customStyle="1" w:styleId="xl50">
    <w:name w:val="xl50"/>
    <w:basedOn w:val="Normln"/>
    <w:rsid w:val="00D74C2A"/>
    <w:pPr>
      <w:pBdr>
        <w:left w:val="single" w:sz="4" w:space="0" w:color="auto"/>
        <w:bottom w:val="single" w:sz="4" w:space="0" w:color="auto"/>
        <w:right w:val="single" w:sz="4" w:space="0" w:color="auto"/>
      </w:pBdr>
      <w:spacing w:before="100" w:after="100"/>
    </w:pPr>
    <w:rPr>
      <w:rFonts w:eastAsia="Times New Roman"/>
      <w:b/>
      <w:sz w:val="24"/>
      <w:szCs w:val="20"/>
      <w:lang w:eastAsia="cs-CZ"/>
    </w:rPr>
  </w:style>
  <w:style w:type="paragraph" w:customStyle="1" w:styleId="xl51">
    <w:name w:val="xl51"/>
    <w:basedOn w:val="Normln"/>
    <w:rsid w:val="00D74C2A"/>
    <w:pPr>
      <w:pBdr>
        <w:bottom w:val="single" w:sz="4" w:space="0" w:color="auto"/>
      </w:pBdr>
      <w:spacing w:before="100" w:after="100"/>
    </w:pPr>
    <w:rPr>
      <w:rFonts w:eastAsia="Times New Roman"/>
      <w:b/>
      <w:sz w:val="18"/>
      <w:szCs w:val="20"/>
      <w:lang w:eastAsia="cs-CZ"/>
    </w:rPr>
  </w:style>
  <w:style w:type="paragraph" w:customStyle="1" w:styleId="xl52">
    <w:name w:val="xl52"/>
    <w:basedOn w:val="Normln"/>
    <w:rsid w:val="00D74C2A"/>
    <w:pPr>
      <w:pBdr>
        <w:left w:val="single" w:sz="4" w:space="0" w:color="auto"/>
        <w:bottom w:val="single" w:sz="4" w:space="0" w:color="auto"/>
        <w:right w:val="single" w:sz="4" w:space="0" w:color="auto"/>
      </w:pBdr>
      <w:spacing w:before="100" w:after="100"/>
      <w:jc w:val="right"/>
    </w:pPr>
    <w:rPr>
      <w:rFonts w:eastAsia="Times New Roman"/>
      <w:b/>
      <w:sz w:val="18"/>
      <w:szCs w:val="20"/>
      <w:lang w:eastAsia="cs-CZ"/>
    </w:rPr>
  </w:style>
  <w:style w:type="paragraph" w:customStyle="1" w:styleId="xl53">
    <w:name w:val="xl53"/>
    <w:basedOn w:val="Normln"/>
    <w:rsid w:val="00D74C2A"/>
    <w:pPr>
      <w:pBdr>
        <w:bottom w:val="single" w:sz="4" w:space="0" w:color="auto"/>
      </w:pBdr>
      <w:spacing w:before="100" w:after="100"/>
    </w:pPr>
    <w:rPr>
      <w:rFonts w:eastAsia="Times New Roman"/>
      <w:b/>
      <w:sz w:val="18"/>
      <w:szCs w:val="20"/>
      <w:lang w:eastAsia="cs-CZ"/>
    </w:rPr>
  </w:style>
  <w:style w:type="paragraph" w:customStyle="1" w:styleId="xl54">
    <w:name w:val="xl54"/>
    <w:basedOn w:val="Normln"/>
    <w:rsid w:val="00D74C2A"/>
    <w:pPr>
      <w:pBdr>
        <w:left w:val="single" w:sz="4" w:space="0" w:color="auto"/>
        <w:bottom w:val="single" w:sz="4" w:space="0" w:color="auto"/>
        <w:right w:val="single" w:sz="4" w:space="0" w:color="auto"/>
      </w:pBdr>
      <w:spacing w:before="100" w:after="100"/>
      <w:jc w:val="right"/>
    </w:pPr>
    <w:rPr>
      <w:rFonts w:eastAsia="Times New Roman"/>
      <w:b/>
      <w:sz w:val="18"/>
      <w:szCs w:val="20"/>
      <w:lang w:eastAsia="cs-CZ"/>
    </w:rPr>
  </w:style>
  <w:style w:type="paragraph" w:customStyle="1" w:styleId="nzevtabulky">
    <w:name w:val="názevtabulky"/>
    <w:basedOn w:val="nzevpodkapit"/>
    <w:rsid w:val="00D74C2A"/>
    <w:pPr>
      <w:widowControl/>
      <w:overflowPunct w:val="0"/>
      <w:autoSpaceDE w:val="0"/>
      <w:autoSpaceDN w:val="0"/>
      <w:adjustRightInd w:val="0"/>
      <w:textAlignment w:val="baseline"/>
    </w:pPr>
  </w:style>
  <w:style w:type="character" w:styleId="Sledovanodkaz">
    <w:name w:val="FollowedHyperlink"/>
    <w:rsid w:val="00D74C2A"/>
    <w:rPr>
      <w:color w:val="800080"/>
      <w:u w:val="single"/>
    </w:rPr>
  </w:style>
  <w:style w:type="paragraph" w:customStyle="1" w:styleId="Nadpispozmn">
    <w:name w:val="Nadpis pozm.n."/>
    <w:basedOn w:val="Normln"/>
    <w:next w:val="Normln"/>
    <w:rsid w:val="00D74C2A"/>
    <w:pPr>
      <w:keepNext/>
      <w:keepLines/>
      <w:spacing w:after="120"/>
      <w:jc w:val="center"/>
    </w:pPr>
    <w:rPr>
      <w:rFonts w:ascii="Times New Roman" w:eastAsia="Times New Roman" w:hAnsi="Times New Roman"/>
      <w:b/>
      <w:sz w:val="32"/>
      <w:szCs w:val="20"/>
      <w:lang w:eastAsia="cs-CZ"/>
    </w:rPr>
  </w:style>
  <w:style w:type="paragraph" w:customStyle="1" w:styleId="funkce">
    <w:name w:val="funkce"/>
    <w:basedOn w:val="Normln"/>
    <w:rsid w:val="00D74C2A"/>
    <w:pPr>
      <w:keepLines/>
      <w:jc w:val="center"/>
    </w:pPr>
    <w:rPr>
      <w:rFonts w:ascii="Times New Roman" w:eastAsia="Times New Roman" w:hAnsi="Times New Roman"/>
      <w:sz w:val="24"/>
      <w:szCs w:val="20"/>
      <w:lang w:eastAsia="cs-CZ"/>
    </w:rPr>
  </w:style>
  <w:style w:type="paragraph" w:customStyle="1" w:styleId="Char">
    <w:name w:val="Char"/>
    <w:basedOn w:val="Normln"/>
    <w:rsid w:val="00D74C2A"/>
    <w:pPr>
      <w:suppressAutoHyphens/>
    </w:pPr>
    <w:rPr>
      <w:rFonts w:ascii="Times New Roman" w:eastAsia="Times New Roman" w:hAnsi="Times New Roman"/>
      <w:sz w:val="24"/>
      <w:szCs w:val="24"/>
      <w:lang w:val="pl-PL" w:eastAsia="pl-PL"/>
    </w:rPr>
  </w:style>
  <w:style w:type="character" w:customStyle="1" w:styleId="tx1">
    <w:name w:val="tx1"/>
    <w:rsid w:val="00D74C2A"/>
    <w:rPr>
      <w:b/>
      <w:bCs/>
    </w:rPr>
  </w:style>
  <w:style w:type="paragraph" w:styleId="Obsah3">
    <w:name w:val="toc 3"/>
    <w:basedOn w:val="Normln"/>
    <w:next w:val="Normln"/>
    <w:autoRedefine/>
    <w:uiPriority w:val="39"/>
    <w:unhideWhenUsed/>
    <w:qFormat/>
    <w:rsid w:val="00D74C2A"/>
    <w:pPr>
      <w:spacing w:after="100" w:line="276" w:lineRule="auto"/>
      <w:ind w:left="440"/>
    </w:pPr>
    <w:rPr>
      <w:rFonts w:ascii="Calibri" w:eastAsia="Times New Roman" w:hAnsi="Calibri"/>
      <w:lang w:eastAsia="cs-CZ"/>
    </w:rPr>
  </w:style>
  <w:style w:type="paragraph" w:styleId="Obsah4">
    <w:name w:val="toc 4"/>
    <w:basedOn w:val="Normln"/>
    <w:next w:val="Normln"/>
    <w:autoRedefine/>
    <w:uiPriority w:val="39"/>
    <w:unhideWhenUsed/>
    <w:rsid w:val="00D74C2A"/>
    <w:pPr>
      <w:spacing w:after="100" w:line="276" w:lineRule="auto"/>
      <w:ind w:left="660"/>
    </w:pPr>
    <w:rPr>
      <w:rFonts w:ascii="Calibri" w:eastAsia="Times New Roman" w:hAnsi="Calibri"/>
      <w:lang w:eastAsia="cs-CZ"/>
    </w:rPr>
  </w:style>
  <w:style w:type="paragraph" w:styleId="Obsah5">
    <w:name w:val="toc 5"/>
    <w:basedOn w:val="Normln"/>
    <w:next w:val="Normln"/>
    <w:autoRedefine/>
    <w:uiPriority w:val="39"/>
    <w:unhideWhenUsed/>
    <w:rsid w:val="00D74C2A"/>
    <w:pPr>
      <w:spacing w:after="100" w:line="276" w:lineRule="auto"/>
      <w:ind w:left="880"/>
    </w:pPr>
    <w:rPr>
      <w:rFonts w:ascii="Calibri" w:eastAsia="Times New Roman" w:hAnsi="Calibri"/>
      <w:lang w:eastAsia="cs-CZ"/>
    </w:rPr>
  </w:style>
  <w:style w:type="paragraph" w:styleId="Obsah6">
    <w:name w:val="toc 6"/>
    <w:basedOn w:val="Normln"/>
    <w:next w:val="Normln"/>
    <w:autoRedefine/>
    <w:uiPriority w:val="39"/>
    <w:unhideWhenUsed/>
    <w:rsid w:val="00D74C2A"/>
    <w:pPr>
      <w:spacing w:after="100" w:line="276" w:lineRule="auto"/>
      <w:ind w:left="1100"/>
    </w:pPr>
    <w:rPr>
      <w:rFonts w:ascii="Calibri" w:eastAsia="Times New Roman" w:hAnsi="Calibri"/>
      <w:lang w:eastAsia="cs-CZ"/>
    </w:rPr>
  </w:style>
  <w:style w:type="paragraph" w:styleId="Obsah7">
    <w:name w:val="toc 7"/>
    <w:basedOn w:val="Normln"/>
    <w:next w:val="Normln"/>
    <w:autoRedefine/>
    <w:uiPriority w:val="39"/>
    <w:unhideWhenUsed/>
    <w:rsid w:val="00D74C2A"/>
    <w:pPr>
      <w:spacing w:after="100" w:line="276" w:lineRule="auto"/>
      <w:ind w:left="1320"/>
    </w:pPr>
    <w:rPr>
      <w:rFonts w:ascii="Calibri" w:eastAsia="Times New Roman" w:hAnsi="Calibri"/>
      <w:lang w:eastAsia="cs-CZ"/>
    </w:rPr>
  </w:style>
  <w:style w:type="paragraph" w:styleId="Obsah8">
    <w:name w:val="toc 8"/>
    <w:basedOn w:val="Normln"/>
    <w:next w:val="Normln"/>
    <w:autoRedefine/>
    <w:uiPriority w:val="39"/>
    <w:unhideWhenUsed/>
    <w:rsid w:val="00D74C2A"/>
    <w:pPr>
      <w:spacing w:after="100" w:line="276" w:lineRule="auto"/>
      <w:ind w:left="1540"/>
    </w:pPr>
    <w:rPr>
      <w:rFonts w:ascii="Calibri" w:eastAsia="Times New Roman" w:hAnsi="Calibri"/>
      <w:lang w:eastAsia="cs-CZ"/>
    </w:rPr>
  </w:style>
  <w:style w:type="paragraph" w:styleId="Obsah9">
    <w:name w:val="toc 9"/>
    <w:basedOn w:val="Normln"/>
    <w:next w:val="Normln"/>
    <w:autoRedefine/>
    <w:uiPriority w:val="39"/>
    <w:unhideWhenUsed/>
    <w:rsid w:val="00D74C2A"/>
    <w:pPr>
      <w:spacing w:after="100" w:line="276" w:lineRule="auto"/>
      <w:ind w:left="1760"/>
    </w:pPr>
    <w:rPr>
      <w:rFonts w:ascii="Calibri" w:eastAsia="Times New Roman" w:hAnsi="Calibri"/>
      <w:lang w:eastAsia="cs-CZ"/>
    </w:rPr>
  </w:style>
  <w:style w:type="paragraph" w:customStyle="1" w:styleId="5text10oby">
    <w:name w:val="+5 text 10 obyč."/>
    <w:basedOn w:val="Zkladntext3"/>
    <w:link w:val="5text10obyCharChar"/>
    <w:uiPriority w:val="99"/>
    <w:rsid w:val="00D74C2A"/>
    <w:pPr>
      <w:tabs>
        <w:tab w:val="left" w:pos="284"/>
      </w:tabs>
      <w:spacing w:after="0" w:line="288" w:lineRule="auto"/>
    </w:pPr>
    <w:rPr>
      <w:rFonts w:ascii="JohnSans Text Pro" w:hAnsi="JohnSans Text Pro"/>
      <w:b/>
      <w:sz w:val="28"/>
      <w:szCs w:val="24"/>
    </w:rPr>
  </w:style>
  <w:style w:type="character" w:customStyle="1" w:styleId="5text10obyCharChar">
    <w:name w:val="+5 text 10 obyč. Char Char"/>
    <w:link w:val="5text10oby"/>
    <w:uiPriority w:val="99"/>
    <w:rsid w:val="00D74C2A"/>
    <w:rPr>
      <w:rFonts w:ascii="JohnSans Text Pro" w:eastAsia="Times New Roman" w:hAnsi="JohnSans Text Pro" w:cs="Times New Roman"/>
      <w:b/>
      <w:sz w:val="28"/>
      <w:szCs w:val="24"/>
      <w:lang w:val="x-none" w:eastAsia="x-none"/>
    </w:rPr>
  </w:style>
  <w:style w:type="paragraph" w:customStyle="1" w:styleId="Podtitul">
    <w:name w:val="Podtitul"/>
    <w:link w:val="PodtitulChar1"/>
    <w:uiPriority w:val="99"/>
    <w:rsid w:val="00D74C2A"/>
    <w:pPr>
      <w:spacing w:before="72" w:after="72"/>
      <w:jc w:val="both"/>
    </w:pPr>
    <w:rPr>
      <w:rFonts w:ascii="Times New Roman" w:eastAsia="Times New Roman" w:hAnsi="Times New Roman"/>
      <w:color w:val="000000"/>
      <w:sz w:val="24"/>
    </w:rPr>
  </w:style>
  <w:style w:type="character" w:customStyle="1" w:styleId="PodtitulChar">
    <w:name w:val="Podtitul Char"/>
    <w:rsid w:val="00D74C2A"/>
    <w:rPr>
      <w:rFonts w:ascii="Cambria" w:eastAsia="Times New Roman" w:hAnsi="Cambria" w:cs="Times New Roman"/>
      <w:i/>
      <w:iCs/>
      <w:color w:val="4F81BD"/>
      <w:spacing w:val="15"/>
      <w:sz w:val="24"/>
      <w:szCs w:val="24"/>
    </w:rPr>
  </w:style>
  <w:style w:type="character" w:customStyle="1" w:styleId="PodtitulChar1">
    <w:name w:val="Podtitul Char1"/>
    <w:link w:val="Podtitul"/>
    <w:uiPriority w:val="99"/>
    <w:rsid w:val="00D74C2A"/>
    <w:rPr>
      <w:rFonts w:ascii="Times New Roman" w:eastAsia="Times New Roman" w:hAnsi="Times New Roman" w:cs="Times New Roman"/>
      <w:color w:val="000000"/>
      <w:sz w:val="24"/>
      <w:szCs w:val="20"/>
      <w:lang w:eastAsia="cs-CZ"/>
    </w:rPr>
  </w:style>
  <w:style w:type="paragraph" w:customStyle="1" w:styleId="StylKD">
    <w:name w:val="Styl_KD"/>
    <w:basedOn w:val="Normln"/>
    <w:next w:val="Normln"/>
    <w:link w:val="StylKDChar"/>
    <w:rsid w:val="00D74C2A"/>
    <w:pPr>
      <w:autoSpaceDE w:val="0"/>
      <w:autoSpaceDN w:val="0"/>
      <w:adjustRightInd w:val="0"/>
    </w:pPr>
    <w:rPr>
      <w:rFonts w:eastAsia="Times New Roman"/>
      <w:sz w:val="20"/>
      <w:szCs w:val="24"/>
      <w:lang w:val="x-none" w:eastAsia="x-none"/>
    </w:rPr>
  </w:style>
  <w:style w:type="character" w:customStyle="1" w:styleId="StylKDChar">
    <w:name w:val="Styl_KD Char"/>
    <w:link w:val="StylKD"/>
    <w:rsid w:val="00D74C2A"/>
    <w:rPr>
      <w:rFonts w:ascii="Arial" w:eastAsia="Times New Roman" w:hAnsi="Arial" w:cs="Times New Roman"/>
      <w:sz w:val="20"/>
      <w:szCs w:val="24"/>
      <w:lang w:val="x-none" w:eastAsia="x-none"/>
    </w:rPr>
  </w:style>
  <w:style w:type="character" w:customStyle="1" w:styleId="vicejs1">
    <w:name w:val="vice_js1"/>
    <w:rsid w:val="00D74C2A"/>
  </w:style>
  <w:style w:type="paragraph" w:customStyle="1" w:styleId="Zkladntext22">
    <w:name w:val="Základní text 22"/>
    <w:basedOn w:val="Normln"/>
    <w:rsid w:val="00D74C2A"/>
    <w:pPr>
      <w:ind w:firstLine="708"/>
    </w:pPr>
    <w:rPr>
      <w:rFonts w:ascii="Times New Roman" w:eastAsia="Times New Roman" w:hAnsi="Times New Roman"/>
      <w:sz w:val="24"/>
      <w:szCs w:val="20"/>
      <w:lang w:eastAsia="cs-CZ"/>
    </w:rPr>
  </w:style>
  <w:style w:type="paragraph" w:customStyle="1" w:styleId="Zkladntext23">
    <w:name w:val="Základní text 23"/>
    <w:basedOn w:val="Normln"/>
    <w:rsid w:val="00D74C2A"/>
    <w:pPr>
      <w:ind w:firstLine="708"/>
    </w:pPr>
    <w:rPr>
      <w:rFonts w:ascii="Times New Roman" w:eastAsia="Times New Roman" w:hAnsi="Times New Roman"/>
      <w:sz w:val="24"/>
      <w:szCs w:val="20"/>
      <w:lang w:eastAsia="cs-CZ"/>
    </w:rPr>
  </w:style>
  <w:style w:type="paragraph" w:customStyle="1" w:styleId="Zkladntext24">
    <w:name w:val="Základní text 24"/>
    <w:basedOn w:val="Normln"/>
    <w:rsid w:val="00D74C2A"/>
    <w:pPr>
      <w:ind w:firstLine="708"/>
    </w:pPr>
    <w:rPr>
      <w:rFonts w:ascii="Times New Roman" w:eastAsia="Times New Roman" w:hAnsi="Times New Roman"/>
      <w:sz w:val="24"/>
      <w:szCs w:val="20"/>
      <w:lang w:eastAsia="cs-CZ"/>
    </w:rPr>
  </w:style>
  <w:style w:type="character" w:customStyle="1" w:styleId="st1">
    <w:name w:val="st1"/>
    <w:rsid w:val="00D74C2A"/>
  </w:style>
  <w:style w:type="character" w:customStyle="1" w:styleId="NadpisobrzkuCharChar">
    <w:name w:val="Nadpis obrázku Char Char"/>
    <w:rsid w:val="00D74C2A"/>
    <w:rPr>
      <w:b/>
      <w:sz w:val="24"/>
      <w:szCs w:val="24"/>
      <w:lang w:val="en-US" w:eastAsia="cs-CZ" w:bidi="ar-SA"/>
    </w:rPr>
  </w:style>
  <w:style w:type="paragraph" w:customStyle="1" w:styleId="Odstavecseseznamem1">
    <w:name w:val="Odstavec se seznamem1"/>
    <w:basedOn w:val="Normln"/>
    <w:link w:val="ListParagraphChar"/>
    <w:rsid w:val="00D74C2A"/>
    <w:pPr>
      <w:spacing w:after="200" w:line="276" w:lineRule="auto"/>
      <w:ind w:left="720"/>
    </w:pPr>
    <w:rPr>
      <w:rFonts w:ascii="Calibri" w:eastAsia="Times New Roman" w:hAnsi="Calibri" w:cs="Calibri"/>
    </w:rPr>
  </w:style>
  <w:style w:type="character" w:customStyle="1" w:styleId="apple-converted-space">
    <w:name w:val="apple-converted-space"/>
    <w:rsid w:val="00D74C2A"/>
  </w:style>
  <w:style w:type="paragraph" w:customStyle="1" w:styleId="Arial10">
    <w:name w:val="Arial 10"/>
    <w:basedOn w:val="Normln"/>
    <w:rsid w:val="00D74C2A"/>
    <w:rPr>
      <w:rFonts w:eastAsia="Times New Roman"/>
      <w:snapToGrid w:val="0"/>
      <w:color w:val="000000"/>
      <w:sz w:val="24"/>
      <w:szCs w:val="20"/>
    </w:rPr>
  </w:style>
  <w:style w:type="character" w:customStyle="1" w:styleId="hps">
    <w:name w:val="hps"/>
    <w:rsid w:val="00D74C2A"/>
  </w:style>
  <w:style w:type="character" w:styleId="Nzevknihy">
    <w:name w:val="Book Title"/>
    <w:uiPriority w:val="33"/>
    <w:qFormat/>
    <w:rsid w:val="00D74C2A"/>
    <w:rPr>
      <w:b/>
      <w:bCs/>
      <w:smallCaps/>
      <w:spacing w:val="5"/>
    </w:rPr>
  </w:style>
  <w:style w:type="character" w:customStyle="1" w:styleId="ZkladntextChar1">
    <w:name w:val="Základní text Char1"/>
    <w:aliases w:val=" Char Char,Char Char,Char1 Char"/>
    <w:rsid w:val="00D74C2A"/>
    <w:rPr>
      <w:rFonts w:ascii="Arial" w:eastAsia="Times New Roman" w:hAnsi="Arial"/>
    </w:rPr>
  </w:style>
  <w:style w:type="paragraph" w:customStyle="1" w:styleId="Standard">
    <w:name w:val="Standard"/>
    <w:rsid w:val="00D74C2A"/>
    <w:pPr>
      <w:suppressAutoHyphens/>
      <w:autoSpaceDN w:val="0"/>
      <w:spacing w:after="200" w:line="276" w:lineRule="auto"/>
      <w:jc w:val="both"/>
      <w:textAlignment w:val="baseline"/>
    </w:pPr>
    <w:rPr>
      <w:rFonts w:eastAsia="SimSun" w:cs="Calibri"/>
      <w:kern w:val="3"/>
      <w:sz w:val="22"/>
      <w:szCs w:val="22"/>
    </w:rPr>
  </w:style>
  <w:style w:type="character" w:customStyle="1" w:styleId="ListParagraphChar">
    <w:name w:val="List Paragraph Char"/>
    <w:link w:val="Odstavecseseznamem1"/>
    <w:locked/>
    <w:rsid w:val="00D74C2A"/>
    <w:rPr>
      <w:rFonts w:ascii="Calibri" w:eastAsia="Times New Roman" w:hAnsi="Calibri" w:cs="Calibri"/>
    </w:rPr>
  </w:style>
  <w:style w:type="paragraph" w:customStyle="1" w:styleId="zkladniodsazen">
    <w:name w:val="základni odsazený"/>
    <w:basedOn w:val="Normln"/>
    <w:rsid w:val="00D74C2A"/>
    <w:pPr>
      <w:spacing w:before="60" w:after="60"/>
      <w:ind w:firstLine="709"/>
    </w:pPr>
    <w:rPr>
      <w:szCs w:val="24"/>
      <w:lang w:eastAsia="cs-CZ"/>
    </w:rPr>
  </w:style>
  <w:style w:type="paragraph" w:styleId="Bezmezer">
    <w:name w:val="No Spacing"/>
    <w:link w:val="BezmezerChar"/>
    <w:uiPriority w:val="1"/>
    <w:qFormat/>
    <w:rsid w:val="00D74C2A"/>
    <w:pPr>
      <w:jc w:val="both"/>
    </w:pPr>
    <w:rPr>
      <w:rFonts w:ascii="Times New Roman" w:eastAsia="Times New Roman" w:hAnsi="Times New Roman"/>
      <w:sz w:val="24"/>
    </w:rPr>
  </w:style>
  <w:style w:type="character" w:customStyle="1" w:styleId="BezmezerChar">
    <w:name w:val="Bez mezer Char"/>
    <w:link w:val="Bezmezer"/>
    <w:uiPriority w:val="1"/>
    <w:locked/>
    <w:rsid w:val="00D74C2A"/>
    <w:rPr>
      <w:rFonts w:ascii="Times New Roman" w:eastAsia="Times New Roman" w:hAnsi="Times New Roman" w:cs="Times New Roman"/>
      <w:sz w:val="24"/>
      <w:szCs w:val="20"/>
      <w:lang w:eastAsia="cs-CZ"/>
    </w:rPr>
  </w:style>
  <w:style w:type="character" w:styleId="Zdraznnjemn">
    <w:name w:val="Subtle Emphasis"/>
    <w:uiPriority w:val="19"/>
    <w:qFormat/>
    <w:rsid w:val="00D74C2A"/>
    <w:rPr>
      <w:i/>
      <w:iCs/>
      <w:color w:val="808080"/>
    </w:rPr>
  </w:style>
  <w:style w:type="paragraph" w:customStyle="1" w:styleId="adresat">
    <w:name w:val="adresat"/>
    <w:basedOn w:val="Normln"/>
    <w:rsid w:val="00D74C2A"/>
    <w:rPr>
      <w:rFonts w:ascii="Verdana" w:eastAsia="Times New Roman" w:hAnsi="Verdana"/>
      <w:color w:val="000000"/>
      <w:sz w:val="16"/>
      <w:szCs w:val="18"/>
      <w:lang w:eastAsia="cs-CZ"/>
    </w:rPr>
  </w:style>
  <w:style w:type="character" w:customStyle="1" w:styleId="TEXTChar0">
    <w:name w:val="TEXT Char"/>
    <w:link w:val="TEXT0"/>
    <w:locked/>
    <w:rsid w:val="00D74C2A"/>
    <w:rPr>
      <w:rFonts w:ascii="Arial" w:hAnsi="Arial" w:cs="Arial"/>
    </w:rPr>
  </w:style>
  <w:style w:type="paragraph" w:customStyle="1" w:styleId="TEXT0">
    <w:name w:val="TEXT"/>
    <w:basedOn w:val="Bezmezer"/>
    <w:link w:val="TEXTChar0"/>
    <w:qFormat/>
    <w:rsid w:val="00D74C2A"/>
    <w:pPr>
      <w:spacing w:line="360" w:lineRule="auto"/>
    </w:pPr>
    <w:rPr>
      <w:rFonts w:ascii="Arial" w:eastAsia="Calibri" w:hAnsi="Arial" w:cs="Arial"/>
      <w:sz w:val="22"/>
      <w:szCs w:val="22"/>
      <w:lang w:eastAsia="en-US"/>
    </w:rPr>
  </w:style>
  <w:style w:type="paragraph" w:customStyle="1" w:styleId="Textnadtabulkou">
    <w:name w:val="Text nad tabulkou"/>
    <w:basedOn w:val="Normln"/>
    <w:rsid w:val="00D74C2A"/>
    <w:pPr>
      <w:keepNext/>
      <w:spacing w:after="60" w:line="288" w:lineRule="auto"/>
    </w:pPr>
    <w:rPr>
      <w:rFonts w:ascii="JohnSans Text Pro" w:eastAsia="Times New Roman" w:hAnsi="JohnSans Text Pro"/>
      <w:b/>
      <w:sz w:val="20"/>
      <w:szCs w:val="20"/>
      <w:lang w:eastAsia="cs-CZ"/>
    </w:rPr>
  </w:style>
  <w:style w:type="paragraph" w:customStyle="1" w:styleId="Normln6">
    <w:name w:val="Normální + 6"/>
    <w:basedOn w:val="Normln"/>
    <w:qFormat/>
    <w:rsid w:val="00D74C2A"/>
    <w:pPr>
      <w:spacing w:after="120" w:line="288" w:lineRule="auto"/>
    </w:pPr>
    <w:rPr>
      <w:rFonts w:ascii="JohnSans Text Pro" w:eastAsia="Times New Roman" w:hAnsi="JohnSans Text Pro"/>
      <w:sz w:val="20"/>
      <w:szCs w:val="24"/>
      <w:lang w:eastAsia="cs-CZ"/>
    </w:rPr>
  </w:style>
  <w:style w:type="paragraph" w:customStyle="1" w:styleId="TabNL">
    <w:name w:val="Tab_N_L"/>
    <w:basedOn w:val="Normln"/>
    <w:rsid w:val="00D74C2A"/>
    <w:rPr>
      <w:rFonts w:ascii="JohnSans Text Pro" w:eastAsia="Times New Roman" w:hAnsi="JohnSans Text Pro"/>
      <w:b/>
      <w:sz w:val="20"/>
      <w:szCs w:val="24"/>
      <w:lang w:eastAsia="cs-CZ"/>
    </w:rPr>
  </w:style>
  <w:style w:type="paragraph" w:customStyle="1" w:styleId="TabtextL">
    <w:name w:val="Tab_text_L"/>
    <w:basedOn w:val="Normln"/>
    <w:rsid w:val="00D74C2A"/>
    <w:pPr>
      <w:spacing w:line="252" w:lineRule="auto"/>
    </w:pPr>
    <w:rPr>
      <w:rFonts w:ascii="JohnSans Text Pro" w:eastAsia="Times New Roman" w:hAnsi="JohnSans Text Pro"/>
      <w:sz w:val="20"/>
      <w:szCs w:val="24"/>
      <w:lang w:eastAsia="cs-CZ"/>
    </w:rPr>
  </w:style>
  <w:style w:type="paragraph" w:customStyle="1" w:styleId="TabtextM">
    <w:name w:val="Tab_text_M"/>
    <w:basedOn w:val="TabtextL"/>
    <w:rsid w:val="00D74C2A"/>
    <w:pPr>
      <w:jc w:val="center"/>
    </w:pPr>
  </w:style>
  <w:style w:type="paragraph" w:customStyle="1" w:styleId="TabtextR">
    <w:name w:val="Tab_text_R"/>
    <w:basedOn w:val="TabtextL"/>
    <w:rsid w:val="00D74C2A"/>
    <w:pPr>
      <w:jc w:val="right"/>
    </w:pPr>
  </w:style>
  <w:style w:type="paragraph" w:customStyle="1" w:styleId="Nadpis10bod">
    <w:name w:val="Nadpis_10 bodů"/>
    <w:basedOn w:val="Normln"/>
    <w:rsid w:val="00D74C2A"/>
    <w:pPr>
      <w:keepNext/>
      <w:keepLines/>
      <w:spacing w:before="360" w:after="120"/>
    </w:pPr>
    <w:rPr>
      <w:rFonts w:ascii="JohnSans Text Pro" w:eastAsia="Times New Roman" w:hAnsi="JohnSans Text Pro"/>
      <w:b/>
      <w:caps/>
      <w:color w:val="000000"/>
      <w:sz w:val="20"/>
      <w:szCs w:val="24"/>
      <w:lang w:eastAsia="cs-CZ"/>
    </w:rPr>
  </w:style>
  <w:style w:type="paragraph" w:styleId="Textvysvtlivek">
    <w:name w:val="endnote text"/>
    <w:basedOn w:val="Normln"/>
    <w:link w:val="TextvysvtlivekChar"/>
    <w:rsid w:val="00D74C2A"/>
    <w:pPr>
      <w:spacing w:before="120" w:line="288" w:lineRule="auto"/>
    </w:pPr>
    <w:rPr>
      <w:rFonts w:ascii="JohnSans Text Pro" w:eastAsia="Times New Roman" w:hAnsi="JohnSans Text Pro"/>
      <w:sz w:val="16"/>
      <w:szCs w:val="20"/>
      <w:lang w:val="x-none" w:eastAsia="x-none"/>
    </w:rPr>
  </w:style>
  <w:style w:type="character" w:customStyle="1" w:styleId="TextvysvtlivekChar">
    <w:name w:val="Text vysvětlivek Char"/>
    <w:link w:val="Textvysvtlivek"/>
    <w:rsid w:val="00D74C2A"/>
    <w:rPr>
      <w:rFonts w:ascii="JohnSans Text Pro" w:eastAsia="Times New Roman" w:hAnsi="JohnSans Text Pro" w:cs="Times New Roman"/>
      <w:sz w:val="16"/>
      <w:szCs w:val="20"/>
      <w:lang w:val="x-none" w:eastAsia="x-none"/>
    </w:rPr>
  </w:style>
  <w:style w:type="paragraph" w:customStyle="1" w:styleId="1">
    <w:name w:val="1"/>
    <w:basedOn w:val="Normln"/>
    <w:next w:val="Rozloendokumentu"/>
    <w:rsid w:val="00D74C2A"/>
    <w:pPr>
      <w:shd w:val="clear" w:color="auto" w:fill="000080"/>
    </w:pPr>
    <w:rPr>
      <w:rFonts w:ascii="Tahoma" w:eastAsia="Times New Roman" w:hAnsi="Tahoma" w:cs="Tahoma"/>
    </w:rPr>
  </w:style>
  <w:style w:type="character" w:customStyle="1" w:styleId="PPZPtextCharCharChar">
    <w:name w:val="PPZP text Char Char Char"/>
    <w:link w:val="PPZPtextCharChar"/>
    <w:rsid w:val="00D74C2A"/>
    <w:rPr>
      <w:sz w:val="24"/>
      <w:szCs w:val="24"/>
    </w:rPr>
  </w:style>
  <w:style w:type="paragraph" w:customStyle="1" w:styleId="PPZPtextCharChar">
    <w:name w:val="PPZP text Char Char"/>
    <w:basedOn w:val="Normln"/>
    <w:link w:val="PPZPtextCharCharChar"/>
    <w:rsid w:val="00D74C2A"/>
    <w:pPr>
      <w:spacing w:before="120"/>
    </w:pPr>
    <w:rPr>
      <w:rFonts w:ascii="Calibri" w:hAnsi="Calibri"/>
      <w:sz w:val="24"/>
      <w:szCs w:val="24"/>
    </w:rPr>
  </w:style>
  <w:style w:type="paragraph" w:customStyle="1" w:styleId="Normlslovanodst">
    <w:name w:val="Normál číslovaný odst."/>
    <w:basedOn w:val="Normln"/>
    <w:rsid w:val="00D74C2A"/>
    <w:pPr>
      <w:tabs>
        <w:tab w:val="left" w:pos="624"/>
        <w:tab w:val="left" w:pos="1191"/>
        <w:tab w:val="left" w:pos="1701"/>
        <w:tab w:val="left" w:pos="2268"/>
        <w:tab w:val="left" w:pos="2835"/>
      </w:tabs>
      <w:spacing w:before="40" w:line="360" w:lineRule="auto"/>
    </w:pPr>
    <w:rPr>
      <w:rFonts w:ascii="Times New Roman" w:eastAsia="Times New Roman" w:hAnsi="Times New Roman"/>
      <w:sz w:val="24"/>
      <w:szCs w:val="24"/>
      <w:lang w:eastAsia="cs-CZ"/>
    </w:rPr>
  </w:style>
  <w:style w:type="character" w:customStyle="1" w:styleId="nadpis051">
    <w:name w:val="nadpis051"/>
    <w:rsid w:val="00D74C2A"/>
    <w:rPr>
      <w:rFonts w:ascii="Arial" w:hAnsi="Arial" w:cs="Arial" w:hint="default"/>
      <w:b/>
      <w:bCs/>
      <w:sz w:val="16"/>
      <w:szCs w:val="16"/>
    </w:rPr>
  </w:style>
  <w:style w:type="paragraph" w:customStyle="1" w:styleId="bold1">
    <w:name w:val="bold1"/>
    <w:basedOn w:val="Normln"/>
    <w:rsid w:val="00D74C2A"/>
    <w:rPr>
      <w:rFonts w:ascii="Times New Roman" w:eastAsia="Times New Roman" w:hAnsi="Times New Roman"/>
      <w:b/>
      <w:bCs/>
      <w:color w:val="333333"/>
      <w:sz w:val="24"/>
      <w:szCs w:val="24"/>
      <w:lang w:eastAsia="cs-CZ"/>
    </w:rPr>
  </w:style>
  <w:style w:type="paragraph" w:customStyle="1" w:styleId="ModrZprva-kapitola">
    <w:name w:val="Modrá Zpráva - kapitola"/>
    <w:basedOn w:val="Nadpis1"/>
    <w:link w:val="ModrZprva-kapitolaChar"/>
    <w:uiPriority w:val="99"/>
    <w:rsid w:val="00D74C2A"/>
    <w:pPr>
      <w:keepLines w:val="0"/>
      <w:numPr>
        <w:numId w:val="10"/>
      </w:numPr>
      <w:spacing w:before="240" w:after="240"/>
    </w:pPr>
    <w:rPr>
      <w:rFonts w:cs="Times New Roman"/>
      <w:bCs w:val="0"/>
      <w:sz w:val="22"/>
      <w:szCs w:val="22"/>
      <w:lang w:val="x-none" w:eastAsia="x-none"/>
    </w:rPr>
  </w:style>
  <w:style w:type="character" w:customStyle="1" w:styleId="ModrZprva-kapitolaChar">
    <w:name w:val="Modrá Zpráva - kapitola Char"/>
    <w:link w:val="ModrZprva-kapitola"/>
    <w:uiPriority w:val="99"/>
    <w:rsid w:val="00D74C2A"/>
    <w:rPr>
      <w:rFonts w:ascii="Arial" w:eastAsia="Times New Roman" w:hAnsi="Arial"/>
      <w:b/>
      <w:sz w:val="22"/>
      <w:szCs w:val="22"/>
      <w:lang w:val="x-none" w:eastAsia="x-none"/>
    </w:rPr>
  </w:style>
  <w:style w:type="paragraph" w:customStyle="1" w:styleId="Modrzprva-podkapitola">
    <w:name w:val="Modrá zpráva - podkapitola"/>
    <w:basedOn w:val="podnadpisMZ"/>
    <w:link w:val="Modrzprva-podkapitolaChar"/>
    <w:rsid w:val="00D74C2A"/>
    <w:pPr>
      <w:numPr>
        <w:ilvl w:val="0"/>
        <w:numId w:val="0"/>
      </w:numPr>
      <w:spacing w:before="240"/>
    </w:pPr>
    <w:rPr>
      <w:rFonts w:ascii="Arial" w:hAnsi="Arial"/>
      <w:sz w:val="22"/>
      <w:szCs w:val="22"/>
    </w:rPr>
  </w:style>
  <w:style w:type="character" w:customStyle="1" w:styleId="Modrzprva-podkapitolaChar">
    <w:name w:val="Modrá zpráva - podkapitola Char"/>
    <w:link w:val="Modrzprva-podkapitola"/>
    <w:rsid w:val="00D74C2A"/>
    <w:rPr>
      <w:rFonts w:ascii="Arial" w:eastAsia="Times New Roman" w:hAnsi="Arial"/>
      <w:b/>
      <w:sz w:val="22"/>
      <w:szCs w:val="22"/>
      <w:lang w:val="x-none" w:eastAsia="x-none"/>
    </w:rPr>
  </w:style>
  <w:style w:type="character" w:styleId="Zdraznnintenzivn">
    <w:name w:val="Intense Emphasis"/>
    <w:uiPriority w:val="21"/>
    <w:qFormat/>
    <w:rsid w:val="00D74C2A"/>
    <w:rPr>
      <w:b/>
      <w:i/>
      <w:color w:val="4F81BD"/>
    </w:rPr>
  </w:style>
  <w:style w:type="paragraph" w:styleId="Revize">
    <w:name w:val="Revision"/>
    <w:hidden/>
    <w:uiPriority w:val="99"/>
    <w:semiHidden/>
    <w:rsid w:val="00D74C2A"/>
    <w:pPr>
      <w:jc w:val="both"/>
    </w:pPr>
    <w:rPr>
      <w:rFonts w:ascii="Arial" w:hAnsi="Arial"/>
      <w:sz w:val="22"/>
      <w:szCs w:val="22"/>
      <w:lang w:eastAsia="en-US"/>
    </w:rPr>
  </w:style>
  <w:style w:type="table" w:styleId="Svtlstnovnzvraznn5">
    <w:name w:val="Light Shading Accent 5"/>
    <w:basedOn w:val="Normlntabulka"/>
    <w:uiPriority w:val="60"/>
    <w:rsid w:val="00D74C2A"/>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Nadpisobsahu">
    <w:name w:val="TOC Heading"/>
    <w:basedOn w:val="Nadpis1"/>
    <w:next w:val="Normln"/>
    <w:uiPriority w:val="39"/>
    <w:semiHidden/>
    <w:unhideWhenUsed/>
    <w:qFormat/>
    <w:rsid w:val="00D74C2A"/>
    <w:pPr>
      <w:spacing w:line="276" w:lineRule="auto"/>
      <w:outlineLvl w:val="9"/>
    </w:pPr>
    <w:rPr>
      <w:rFonts w:ascii="Cambria" w:hAnsi="Cambria" w:cs="Times New Roman"/>
      <w:color w:val="365F91"/>
      <w:lang w:eastAsia="cs-CZ"/>
    </w:rPr>
  </w:style>
  <w:style w:type="character" w:customStyle="1" w:styleId="ilfuvd">
    <w:name w:val="ilfuvd"/>
    <w:rsid w:val="00D74C2A"/>
  </w:style>
  <w:style w:type="character" w:customStyle="1" w:styleId="Zvraznn">
    <w:name w:val="Zvýraznění"/>
    <w:uiPriority w:val="20"/>
    <w:qFormat/>
    <w:rsid w:val="00D74C2A"/>
    <w:rPr>
      <w:i/>
      <w:iCs/>
    </w:rPr>
  </w:style>
  <w:style w:type="paragraph" w:customStyle="1" w:styleId="Zkladntext25">
    <w:name w:val="Základní text 25"/>
    <w:basedOn w:val="Normln"/>
    <w:rsid w:val="00EE6F9C"/>
    <w:pPr>
      <w:widowControl w:val="0"/>
    </w:pPr>
    <w:rPr>
      <w:rFonts w:ascii="Times New Roman" w:eastAsia="Times New Roman" w:hAnsi="Times New Roman"/>
      <w:sz w:val="24"/>
      <w:szCs w:val="24"/>
      <w:lang w:eastAsia="cs-CZ"/>
    </w:rPr>
  </w:style>
  <w:style w:type="character" w:customStyle="1" w:styleId="st">
    <w:name w:val="st"/>
    <w:rsid w:val="008409C0"/>
  </w:style>
  <w:style w:type="table" w:customStyle="1" w:styleId="TableGrid">
    <w:name w:val="TableGrid"/>
    <w:rsid w:val="00B43B9E"/>
    <w:pPr>
      <w:jc w:val="both"/>
    </w:pPr>
    <w:rPr>
      <w:rFonts w:eastAsia="Times New Roman"/>
      <w:sz w:val="22"/>
      <w:szCs w:val="22"/>
      <w:lang w:eastAsia="en-US"/>
    </w:rPr>
    <w:tblPr>
      <w:tblCellMar>
        <w:top w:w="0" w:type="dxa"/>
        <w:left w:w="0" w:type="dxa"/>
        <w:bottom w:w="0" w:type="dxa"/>
        <w:right w:w="0" w:type="dxa"/>
      </w:tblCellMar>
    </w:tblPr>
  </w:style>
  <w:style w:type="character" w:styleId="Odkazjemn">
    <w:name w:val="Subtle Reference"/>
    <w:uiPriority w:val="31"/>
    <w:qFormat/>
    <w:rsid w:val="009B421C"/>
    <w:rPr>
      <w:smallCaps/>
      <w:color w:val="5A5A5A"/>
    </w:rPr>
  </w:style>
  <w:style w:type="paragraph" w:customStyle="1" w:styleId="NORMLN1">
    <w:name w:val="NORMÁLNÍ"/>
    <w:basedOn w:val="Normln"/>
    <w:link w:val="NORMLNChar"/>
    <w:qFormat/>
    <w:rsid w:val="009B421C"/>
    <w:pPr>
      <w:spacing w:before="120" w:after="120"/>
      <w:ind w:firstLine="567"/>
    </w:pPr>
    <w:rPr>
      <w:rFonts w:ascii="Calibri" w:hAnsi="Calibri"/>
      <w:sz w:val="24"/>
      <w:szCs w:val="20"/>
    </w:rPr>
  </w:style>
  <w:style w:type="character" w:customStyle="1" w:styleId="NORMLNChar">
    <w:name w:val="NORMÁLNÍ Char"/>
    <w:link w:val="NORMLN1"/>
    <w:rsid w:val="009B421C"/>
    <w:rPr>
      <w:sz w:val="24"/>
      <w:lang w:eastAsia="en-US"/>
    </w:rPr>
  </w:style>
  <w:style w:type="table" w:styleId="Tmavtabulkasmkou5zvraznn1">
    <w:name w:val="Grid Table 5 Dark Accent 1"/>
    <w:basedOn w:val="Normlntabulka"/>
    <w:uiPriority w:val="50"/>
    <w:rsid w:val="00D930A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ulkasmkou3zvraznn1">
    <w:name w:val="Grid Table 3 Accent 1"/>
    <w:basedOn w:val="Normlntabulka"/>
    <w:uiPriority w:val="48"/>
    <w:rsid w:val="0036573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Svtltabulkasmkou1">
    <w:name w:val="Grid Table 1 Light"/>
    <w:basedOn w:val="Normlntabulka"/>
    <w:uiPriority w:val="46"/>
    <w:rsid w:val="00E002FB"/>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Prosttabulka2">
    <w:name w:val="Plain Table 2"/>
    <w:basedOn w:val="Normlntabulka"/>
    <w:uiPriority w:val="42"/>
    <w:rsid w:val="00BC585B"/>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Modrzprva">
    <w:name w:val="Modrá zpráva"/>
    <w:basedOn w:val="NORMLN1"/>
    <w:link w:val="ModrzprvaChar"/>
    <w:qFormat/>
    <w:rsid w:val="00873969"/>
    <w:pPr>
      <w:spacing w:before="0" w:after="0"/>
      <w:ind w:firstLine="0"/>
    </w:pPr>
    <w:rPr>
      <w:rFonts w:ascii="Arial" w:hAnsi="Arial" w:cs="Arial"/>
      <w:b/>
      <w:sz w:val="22"/>
      <w:szCs w:val="22"/>
    </w:rPr>
  </w:style>
  <w:style w:type="paragraph" w:styleId="FormtovanvHTML">
    <w:name w:val="HTML Preformatted"/>
    <w:basedOn w:val="Normln"/>
    <w:link w:val="FormtovanvHTMLChar"/>
    <w:uiPriority w:val="99"/>
    <w:unhideWhenUsed/>
    <w:rsid w:val="00AF2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cs-CZ"/>
    </w:rPr>
  </w:style>
  <w:style w:type="character" w:customStyle="1" w:styleId="ModrzprvaChar">
    <w:name w:val="Modrá zpráva Char"/>
    <w:link w:val="Modrzprva"/>
    <w:rsid w:val="00873969"/>
    <w:rPr>
      <w:rFonts w:ascii="Arial" w:hAnsi="Arial" w:cs="Arial"/>
      <w:b/>
      <w:sz w:val="22"/>
      <w:szCs w:val="22"/>
      <w:lang w:eastAsia="en-US"/>
    </w:rPr>
  </w:style>
  <w:style w:type="character" w:customStyle="1" w:styleId="FormtovanvHTMLChar">
    <w:name w:val="Formátovaný v HTML Char"/>
    <w:link w:val="FormtovanvHTML"/>
    <w:uiPriority w:val="99"/>
    <w:rsid w:val="00AF2B22"/>
    <w:rPr>
      <w:rFonts w:ascii="Courier New" w:eastAsia="Times New Roman" w:hAnsi="Courier New" w:cs="Courier New"/>
    </w:rPr>
  </w:style>
  <w:style w:type="paragraph" w:customStyle="1" w:styleId="TZKika">
    <w:name w:val="TZKika"/>
    <w:basedOn w:val="Normln"/>
    <w:link w:val="TZKikaChar"/>
    <w:qFormat/>
    <w:rsid w:val="005D309D"/>
    <w:pPr>
      <w:spacing w:before="240" w:after="160" w:line="230" w:lineRule="exact"/>
    </w:pPr>
    <w:rPr>
      <w:rFonts w:ascii="Times New Roman" w:hAnsi="Times New Roman"/>
      <w:color w:val="14387F"/>
      <w:sz w:val="20"/>
      <w:szCs w:val="20"/>
    </w:rPr>
  </w:style>
  <w:style w:type="character" w:customStyle="1" w:styleId="TZKikaChar">
    <w:name w:val="TZKika Char"/>
    <w:link w:val="TZKika"/>
    <w:rsid w:val="005D309D"/>
    <w:rPr>
      <w:rFonts w:ascii="Times New Roman" w:hAnsi="Times New Roman"/>
      <w:color w:val="14387F"/>
      <w:lang w:eastAsia="en-US"/>
    </w:rPr>
  </w:style>
  <w:style w:type="table" w:customStyle="1" w:styleId="TableNormal">
    <w:name w:val="Table Normal"/>
    <w:uiPriority w:val="2"/>
    <w:semiHidden/>
    <w:unhideWhenUsed/>
    <w:qFormat/>
    <w:rsid w:val="00B77BB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B77BB5"/>
    <w:pPr>
      <w:widowControl w:val="0"/>
      <w:autoSpaceDE w:val="0"/>
      <w:autoSpaceDN w:val="0"/>
      <w:spacing w:before="29"/>
      <w:jc w:val="left"/>
    </w:pPr>
    <w:rPr>
      <w:rFonts w:ascii="Gill Sans MT" w:eastAsia="Gill Sans MT" w:hAnsi="Gill Sans MT" w:cs="Gill Sans MT"/>
      <w:lang w:val="en-US"/>
    </w:rPr>
  </w:style>
  <w:style w:type="paragraph" w:customStyle="1" w:styleId="Zkladntext26">
    <w:name w:val="Základní text 26"/>
    <w:basedOn w:val="Normln"/>
    <w:rsid w:val="008B2A03"/>
    <w:pPr>
      <w:widowControl w:val="0"/>
    </w:pPr>
    <w:rPr>
      <w:rFonts w:ascii="Times New Roman" w:eastAsia="Times New Roman" w:hAnsi="Times New Roman"/>
      <w:sz w:val="24"/>
      <w:szCs w:val="24"/>
      <w:lang w:eastAsia="cs-CZ"/>
    </w:rPr>
  </w:style>
  <w:style w:type="character" w:customStyle="1" w:styleId="markedcontent">
    <w:name w:val="markedcontent"/>
    <w:rsid w:val="0052601F"/>
  </w:style>
  <w:style w:type="paragraph" w:customStyle="1" w:styleId="TZKikapopisek">
    <w:name w:val="TZKika_popisek"/>
    <w:basedOn w:val="Titulek"/>
    <w:link w:val="TZKikapopisekChar"/>
    <w:qFormat/>
    <w:rsid w:val="009431B1"/>
    <w:pPr>
      <w:spacing w:before="120" w:after="120"/>
      <w:jc w:val="left"/>
    </w:pPr>
    <w:rPr>
      <w:rFonts w:cs="Arial"/>
      <w:b w:val="0"/>
      <w:bCs w:val="0"/>
      <w:i/>
      <w:iCs/>
      <w:color w:val="14387F"/>
    </w:rPr>
  </w:style>
  <w:style w:type="character" w:customStyle="1" w:styleId="TZKikapopisekChar">
    <w:name w:val="TZKika_popisek Char"/>
    <w:link w:val="TZKikapopisek"/>
    <w:rsid w:val="009431B1"/>
    <w:rPr>
      <w:rFonts w:ascii="Arial" w:hAnsi="Arial" w:cs="Arial"/>
      <w:i/>
      <w:iCs/>
      <w:color w:val="14387F"/>
      <w:sz w:val="18"/>
      <w:szCs w:val="18"/>
      <w:lang w:eastAsia="en-US"/>
    </w:rPr>
  </w:style>
  <w:style w:type="paragraph" w:customStyle="1" w:styleId="paragraph">
    <w:name w:val="paragraph"/>
    <w:basedOn w:val="Normln"/>
    <w:rsid w:val="006D3D87"/>
    <w:pPr>
      <w:jc w:val="left"/>
    </w:pPr>
    <w:rPr>
      <w:rFonts w:ascii="Times New Roman" w:eastAsia="Times New Roman" w:hAnsi="Times New Roman"/>
      <w:sz w:val="24"/>
      <w:szCs w:val="24"/>
      <w:lang w:eastAsia="cs-CZ"/>
    </w:rPr>
  </w:style>
  <w:style w:type="paragraph" w:customStyle="1" w:styleId="odstavec1">
    <w:name w:val="odstavec"/>
    <w:basedOn w:val="Normln"/>
    <w:rsid w:val="00DB020C"/>
    <w:pPr>
      <w:spacing w:before="120"/>
      <w:ind w:firstLine="482"/>
    </w:pPr>
    <w:rPr>
      <w:rFonts w:ascii="Times New Roman" w:eastAsia="Times New Roman" w:hAnsi="Times New Roman"/>
      <w:sz w:val="24"/>
      <w:szCs w:val="24"/>
      <w:lang w:eastAsia="cs-CZ"/>
    </w:rPr>
  </w:style>
  <w:style w:type="character" w:customStyle="1" w:styleId="fcup0c">
    <w:name w:val="fcup0c"/>
    <w:basedOn w:val="Standardnpsmoodstavce"/>
    <w:rsid w:val="00B5787A"/>
  </w:style>
  <w:style w:type="character" w:styleId="Nevyeenzmnka">
    <w:name w:val="Unresolved Mention"/>
    <w:basedOn w:val="Standardnpsmoodstavce"/>
    <w:uiPriority w:val="99"/>
    <w:semiHidden/>
    <w:unhideWhenUsed/>
    <w:rsid w:val="007E29E1"/>
    <w:rPr>
      <w:color w:val="605E5C"/>
      <w:shd w:val="clear" w:color="auto" w:fill="E1DFDD"/>
    </w:rPr>
  </w:style>
  <w:style w:type="character" w:customStyle="1" w:styleId="q4iawc">
    <w:name w:val="q4iawc"/>
    <w:basedOn w:val="Standardnpsmoodstavce"/>
    <w:rsid w:val="00740EE6"/>
  </w:style>
  <w:style w:type="paragraph" w:customStyle="1" w:styleId="AufzhlungmitEinzug">
    <w:name w:val="Aufzählung_mit_Einzug"/>
    <w:basedOn w:val="Normln"/>
    <w:rsid w:val="00740EE6"/>
    <w:pPr>
      <w:numPr>
        <w:numId w:val="17"/>
      </w:numPr>
      <w:jc w:val="left"/>
    </w:pPr>
    <w:rPr>
      <w:rFonts w:ascii="Tahoma" w:eastAsia="Times New Roman" w:hAnsi="Tahoma"/>
      <w:sz w:val="24"/>
      <w:szCs w:val="20"/>
      <w:lang w:val="de-DE" w:eastAsia="de-DE"/>
    </w:rPr>
  </w:style>
  <w:style w:type="character" w:customStyle="1" w:styleId="normaltextrun1">
    <w:name w:val="normaltextrun1"/>
    <w:rsid w:val="00CC16CB"/>
  </w:style>
  <w:style w:type="paragraph" w:customStyle="1" w:styleId="Zkladntext27">
    <w:name w:val="Základní text 27"/>
    <w:basedOn w:val="Normln"/>
    <w:rsid w:val="00441B26"/>
    <w:pPr>
      <w:widowControl w:val="0"/>
    </w:pPr>
    <w:rPr>
      <w:rFonts w:ascii="Times New Roman" w:eastAsia="Times New Roman" w:hAnsi="Times New Roman"/>
      <w:sz w:val="24"/>
      <w:szCs w:val="24"/>
      <w:lang w:eastAsia="cs-CZ"/>
    </w:rPr>
  </w:style>
  <w:style w:type="character" w:customStyle="1" w:styleId="rynqvb">
    <w:name w:val="rynqvb"/>
    <w:rsid w:val="00415794"/>
  </w:style>
  <w:style w:type="character" w:customStyle="1" w:styleId="jlqj4b">
    <w:name w:val="jlqj4b"/>
    <w:basedOn w:val="Standardnpsmoodstavce"/>
    <w:rsid w:val="00415794"/>
  </w:style>
  <w:style w:type="paragraph" w:customStyle="1" w:styleId="Normalodsazen">
    <w:name w:val="Normal odsazený"/>
    <w:basedOn w:val="Normln"/>
    <w:qFormat/>
    <w:rsid w:val="00F91F01"/>
    <w:pPr>
      <w:spacing w:line="360" w:lineRule="auto"/>
      <w:ind w:firstLine="567"/>
    </w:pPr>
    <w:rPr>
      <w:rFonts w:eastAsia="Arial" w:cs="Arial"/>
      <w:szCs w:val="24"/>
    </w:rPr>
  </w:style>
  <w:style w:type="character" w:customStyle="1" w:styleId="textChar">
    <w:name w:val="text Char"/>
    <w:basedOn w:val="Standardnpsmoodstavce"/>
    <w:link w:val="text"/>
    <w:locked/>
    <w:rsid w:val="00941EA9"/>
    <w:rPr>
      <w:rFonts w:ascii="Verdana" w:eastAsia="Times New Roman" w:hAnsi="Verdana"/>
      <w:color w:val="000000"/>
      <w:sz w:val="18"/>
      <w:szCs w:val="18"/>
    </w:rPr>
  </w:style>
  <w:style w:type="character" w:customStyle="1" w:styleId="eop">
    <w:name w:val="eop"/>
    <w:rsid w:val="00C82640"/>
  </w:style>
  <w:style w:type="character" w:customStyle="1" w:styleId="spellingerror">
    <w:name w:val="spellingerror"/>
    <w:rsid w:val="00C82640"/>
  </w:style>
  <w:style w:type="paragraph" w:styleId="Podnadpis0">
    <w:name w:val="Subtitle"/>
    <w:basedOn w:val="Normln"/>
    <w:next w:val="Normln"/>
    <w:link w:val="PodnadpisChar"/>
    <w:uiPriority w:val="11"/>
    <w:qFormat/>
    <w:rsid w:val="00754064"/>
    <w:pPr>
      <w:numPr>
        <w:ilvl w:val="1"/>
      </w:numPr>
      <w:spacing w:after="160" w:line="339" w:lineRule="exact"/>
      <w:jc w:val="left"/>
    </w:pPr>
    <w:rPr>
      <w:rFonts w:asciiTheme="minorHAnsi" w:eastAsiaTheme="minorEastAsia" w:hAnsiTheme="minorHAnsi" w:cstheme="minorBidi"/>
      <w:color w:val="5A5A5A" w:themeColor="text1" w:themeTint="A5"/>
      <w:spacing w:val="15"/>
    </w:rPr>
  </w:style>
  <w:style w:type="character" w:customStyle="1" w:styleId="PodnadpisChar">
    <w:name w:val="Podnadpis Char"/>
    <w:basedOn w:val="Standardnpsmoodstavce"/>
    <w:link w:val="Podnadpis0"/>
    <w:uiPriority w:val="11"/>
    <w:rsid w:val="00754064"/>
    <w:rPr>
      <w:rFonts w:asciiTheme="minorHAnsi" w:eastAsiaTheme="minorEastAsia" w:hAnsiTheme="minorHAnsi" w:cstheme="minorBidi"/>
      <w:color w:val="5A5A5A" w:themeColor="text1" w:themeTint="A5"/>
      <w:spacing w:val="15"/>
      <w:sz w:val="22"/>
      <w:szCs w:val="22"/>
      <w:lang w:eastAsia="en-US"/>
    </w:rPr>
  </w:style>
  <w:style w:type="paragraph" w:customStyle="1" w:styleId="6normln6">
    <w:name w:val="_+6 normální +6"/>
    <w:basedOn w:val="Normln"/>
    <w:next w:val="Normln"/>
    <w:qFormat/>
    <w:rsid w:val="00486A3F"/>
    <w:pPr>
      <w:spacing w:before="120" w:after="120" w:line="288" w:lineRule="auto"/>
    </w:pPr>
    <w:rPr>
      <w:rFonts w:ascii="Segoe UI" w:eastAsia="Times New Roman" w:hAnsi="Segoe UI"/>
      <w:sz w:val="20"/>
      <w:szCs w:val="24"/>
      <w:lang w:eastAsia="cs-CZ"/>
    </w:rPr>
  </w:style>
  <w:style w:type="paragraph" w:customStyle="1" w:styleId="tabulkatlo">
    <w:name w:val="tabulka_tělo"/>
    <w:basedOn w:val="Normln"/>
    <w:link w:val="tabulkatloChar"/>
    <w:qFormat/>
    <w:rsid w:val="00911AEC"/>
    <w:pPr>
      <w:jc w:val="center"/>
    </w:pPr>
    <w:rPr>
      <w:rFonts w:eastAsia="Times New Roman" w:cs="Arial"/>
      <w:color w:val="14387F"/>
      <w:sz w:val="18"/>
      <w:szCs w:val="18"/>
      <w:lang w:eastAsia="cs-CZ"/>
    </w:rPr>
  </w:style>
  <w:style w:type="character" w:customStyle="1" w:styleId="tabulkatloChar">
    <w:name w:val="tabulka_tělo Char"/>
    <w:basedOn w:val="Standardnpsmoodstavce"/>
    <w:link w:val="tabulkatlo"/>
    <w:rsid w:val="00911AEC"/>
    <w:rPr>
      <w:rFonts w:ascii="Arial" w:eastAsia="Times New Roman" w:hAnsi="Arial" w:cs="Arial"/>
      <w:color w:val="14387F"/>
      <w:sz w:val="18"/>
      <w:szCs w:val="18"/>
    </w:rPr>
  </w:style>
  <w:style w:type="character" w:customStyle="1" w:styleId="docdata">
    <w:name w:val="docdata"/>
    <w:aliases w:val="docy,v5,1530,bqiaagaaeyqcaaagiaiaaam0bqaabuifaaaaaaaaaaaaaaaaaaaaaaaaaaaaaaaaaaaaaaaaaaaaaaaaaaaaaaaaaaaaaaaaaaaaaaaaaaaaaaaaaaaaaaaaaaaaaaaaaaaaaaaaaaaaaaaaaaaaaaaaaaaaaaaaaaaaaaaaaaaaaaaaaaaaaaaaaaaaaaaaaaaaaaaaaaaaaaaaaaaaaaaaaaaaaaaaaaaaaaaa"/>
    <w:basedOn w:val="Standardnpsmoodstavce"/>
    <w:rsid w:val="00F46482"/>
  </w:style>
  <w:style w:type="table" w:styleId="Prosttabulka4">
    <w:name w:val="Plain Table 4"/>
    <w:basedOn w:val="Normlntabulka"/>
    <w:uiPriority w:val="44"/>
    <w:rsid w:val="00375BFA"/>
    <w:rPr>
      <w:rFonts w:asciiTheme="minorHAnsi" w:eastAsiaTheme="minorHAnsi" w:hAnsiTheme="minorHAnsi" w:cstheme="minorBidi"/>
      <w:kern w:val="2"/>
      <w:sz w:val="22"/>
      <w:szCs w:val="22"/>
      <w:lang w:eastAsia="en-US"/>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f0">
    <w:name w:val="pf0"/>
    <w:basedOn w:val="Normln"/>
    <w:rsid w:val="00A23FCE"/>
    <w:pPr>
      <w:spacing w:before="100" w:beforeAutospacing="1" w:after="100" w:afterAutospacing="1"/>
      <w:jc w:val="left"/>
    </w:pPr>
    <w:rPr>
      <w:rFonts w:ascii="Times New Roman" w:eastAsia="Times New Roman" w:hAnsi="Times New Roman"/>
      <w:sz w:val="24"/>
      <w:szCs w:val="24"/>
      <w:lang w:eastAsia="cs-CZ"/>
    </w:rPr>
  </w:style>
  <w:style w:type="character" w:customStyle="1" w:styleId="cf01">
    <w:name w:val="cf01"/>
    <w:basedOn w:val="Standardnpsmoodstavce"/>
    <w:rsid w:val="00A23FC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958">
      <w:bodyDiv w:val="1"/>
      <w:marLeft w:val="0"/>
      <w:marRight w:val="0"/>
      <w:marTop w:val="0"/>
      <w:marBottom w:val="0"/>
      <w:divBdr>
        <w:top w:val="none" w:sz="0" w:space="0" w:color="auto"/>
        <w:left w:val="none" w:sz="0" w:space="0" w:color="auto"/>
        <w:bottom w:val="none" w:sz="0" w:space="0" w:color="auto"/>
        <w:right w:val="none" w:sz="0" w:space="0" w:color="auto"/>
      </w:divBdr>
    </w:div>
    <w:div w:id="8484634">
      <w:bodyDiv w:val="1"/>
      <w:marLeft w:val="0"/>
      <w:marRight w:val="0"/>
      <w:marTop w:val="0"/>
      <w:marBottom w:val="0"/>
      <w:divBdr>
        <w:top w:val="none" w:sz="0" w:space="0" w:color="auto"/>
        <w:left w:val="none" w:sz="0" w:space="0" w:color="auto"/>
        <w:bottom w:val="none" w:sz="0" w:space="0" w:color="auto"/>
        <w:right w:val="none" w:sz="0" w:space="0" w:color="auto"/>
      </w:divBdr>
    </w:div>
    <w:div w:id="18700157">
      <w:bodyDiv w:val="1"/>
      <w:marLeft w:val="0"/>
      <w:marRight w:val="0"/>
      <w:marTop w:val="0"/>
      <w:marBottom w:val="0"/>
      <w:divBdr>
        <w:top w:val="none" w:sz="0" w:space="0" w:color="auto"/>
        <w:left w:val="none" w:sz="0" w:space="0" w:color="auto"/>
        <w:bottom w:val="none" w:sz="0" w:space="0" w:color="auto"/>
        <w:right w:val="none" w:sz="0" w:space="0" w:color="auto"/>
      </w:divBdr>
    </w:div>
    <w:div w:id="33314801">
      <w:bodyDiv w:val="1"/>
      <w:marLeft w:val="0"/>
      <w:marRight w:val="0"/>
      <w:marTop w:val="0"/>
      <w:marBottom w:val="0"/>
      <w:divBdr>
        <w:top w:val="none" w:sz="0" w:space="0" w:color="auto"/>
        <w:left w:val="none" w:sz="0" w:space="0" w:color="auto"/>
        <w:bottom w:val="none" w:sz="0" w:space="0" w:color="auto"/>
        <w:right w:val="none" w:sz="0" w:space="0" w:color="auto"/>
      </w:divBdr>
    </w:div>
    <w:div w:id="38089267">
      <w:bodyDiv w:val="1"/>
      <w:marLeft w:val="0"/>
      <w:marRight w:val="0"/>
      <w:marTop w:val="0"/>
      <w:marBottom w:val="0"/>
      <w:divBdr>
        <w:top w:val="none" w:sz="0" w:space="0" w:color="auto"/>
        <w:left w:val="none" w:sz="0" w:space="0" w:color="auto"/>
        <w:bottom w:val="none" w:sz="0" w:space="0" w:color="auto"/>
        <w:right w:val="none" w:sz="0" w:space="0" w:color="auto"/>
      </w:divBdr>
    </w:div>
    <w:div w:id="39482606">
      <w:bodyDiv w:val="1"/>
      <w:marLeft w:val="0"/>
      <w:marRight w:val="0"/>
      <w:marTop w:val="0"/>
      <w:marBottom w:val="0"/>
      <w:divBdr>
        <w:top w:val="none" w:sz="0" w:space="0" w:color="auto"/>
        <w:left w:val="none" w:sz="0" w:space="0" w:color="auto"/>
        <w:bottom w:val="none" w:sz="0" w:space="0" w:color="auto"/>
        <w:right w:val="none" w:sz="0" w:space="0" w:color="auto"/>
      </w:divBdr>
    </w:div>
    <w:div w:id="41638988">
      <w:bodyDiv w:val="1"/>
      <w:marLeft w:val="0"/>
      <w:marRight w:val="0"/>
      <w:marTop w:val="0"/>
      <w:marBottom w:val="0"/>
      <w:divBdr>
        <w:top w:val="none" w:sz="0" w:space="0" w:color="auto"/>
        <w:left w:val="none" w:sz="0" w:space="0" w:color="auto"/>
        <w:bottom w:val="none" w:sz="0" w:space="0" w:color="auto"/>
        <w:right w:val="none" w:sz="0" w:space="0" w:color="auto"/>
      </w:divBdr>
    </w:div>
    <w:div w:id="41950174">
      <w:bodyDiv w:val="1"/>
      <w:marLeft w:val="0"/>
      <w:marRight w:val="0"/>
      <w:marTop w:val="0"/>
      <w:marBottom w:val="0"/>
      <w:divBdr>
        <w:top w:val="none" w:sz="0" w:space="0" w:color="auto"/>
        <w:left w:val="none" w:sz="0" w:space="0" w:color="auto"/>
        <w:bottom w:val="none" w:sz="0" w:space="0" w:color="auto"/>
        <w:right w:val="none" w:sz="0" w:space="0" w:color="auto"/>
      </w:divBdr>
    </w:div>
    <w:div w:id="44112679">
      <w:bodyDiv w:val="1"/>
      <w:marLeft w:val="0"/>
      <w:marRight w:val="0"/>
      <w:marTop w:val="0"/>
      <w:marBottom w:val="0"/>
      <w:divBdr>
        <w:top w:val="none" w:sz="0" w:space="0" w:color="auto"/>
        <w:left w:val="none" w:sz="0" w:space="0" w:color="auto"/>
        <w:bottom w:val="none" w:sz="0" w:space="0" w:color="auto"/>
        <w:right w:val="none" w:sz="0" w:space="0" w:color="auto"/>
      </w:divBdr>
    </w:div>
    <w:div w:id="76370728">
      <w:bodyDiv w:val="1"/>
      <w:marLeft w:val="0"/>
      <w:marRight w:val="0"/>
      <w:marTop w:val="0"/>
      <w:marBottom w:val="0"/>
      <w:divBdr>
        <w:top w:val="none" w:sz="0" w:space="0" w:color="auto"/>
        <w:left w:val="none" w:sz="0" w:space="0" w:color="auto"/>
        <w:bottom w:val="none" w:sz="0" w:space="0" w:color="auto"/>
        <w:right w:val="none" w:sz="0" w:space="0" w:color="auto"/>
      </w:divBdr>
    </w:div>
    <w:div w:id="83496409">
      <w:bodyDiv w:val="1"/>
      <w:marLeft w:val="0"/>
      <w:marRight w:val="0"/>
      <w:marTop w:val="0"/>
      <w:marBottom w:val="0"/>
      <w:divBdr>
        <w:top w:val="none" w:sz="0" w:space="0" w:color="auto"/>
        <w:left w:val="none" w:sz="0" w:space="0" w:color="auto"/>
        <w:bottom w:val="none" w:sz="0" w:space="0" w:color="auto"/>
        <w:right w:val="none" w:sz="0" w:space="0" w:color="auto"/>
      </w:divBdr>
    </w:div>
    <w:div w:id="104738951">
      <w:bodyDiv w:val="1"/>
      <w:marLeft w:val="0"/>
      <w:marRight w:val="0"/>
      <w:marTop w:val="0"/>
      <w:marBottom w:val="0"/>
      <w:divBdr>
        <w:top w:val="none" w:sz="0" w:space="0" w:color="auto"/>
        <w:left w:val="none" w:sz="0" w:space="0" w:color="auto"/>
        <w:bottom w:val="none" w:sz="0" w:space="0" w:color="auto"/>
        <w:right w:val="none" w:sz="0" w:space="0" w:color="auto"/>
      </w:divBdr>
    </w:div>
    <w:div w:id="111482927">
      <w:bodyDiv w:val="1"/>
      <w:marLeft w:val="0"/>
      <w:marRight w:val="0"/>
      <w:marTop w:val="0"/>
      <w:marBottom w:val="0"/>
      <w:divBdr>
        <w:top w:val="none" w:sz="0" w:space="0" w:color="auto"/>
        <w:left w:val="none" w:sz="0" w:space="0" w:color="auto"/>
        <w:bottom w:val="none" w:sz="0" w:space="0" w:color="auto"/>
        <w:right w:val="none" w:sz="0" w:space="0" w:color="auto"/>
      </w:divBdr>
    </w:div>
    <w:div w:id="112873331">
      <w:bodyDiv w:val="1"/>
      <w:marLeft w:val="0"/>
      <w:marRight w:val="0"/>
      <w:marTop w:val="0"/>
      <w:marBottom w:val="0"/>
      <w:divBdr>
        <w:top w:val="none" w:sz="0" w:space="0" w:color="auto"/>
        <w:left w:val="none" w:sz="0" w:space="0" w:color="auto"/>
        <w:bottom w:val="none" w:sz="0" w:space="0" w:color="auto"/>
        <w:right w:val="none" w:sz="0" w:space="0" w:color="auto"/>
      </w:divBdr>
    </w:div>
    <w:div w:id="118032196">
      <w:bodyDiv w:val="1"/>
      <w:marLeft w:val="0"/>
      <w:marRight w:val="0"/>
      <w:marTop w:val="0"/>
      <w:marBottom w:val="0"/>
      <w:divBdr>
        <w:top w:val="none" w:sz="0" w:space="0" w:color="auto"/>
        <w:left w:val="none" w:sz="0" w:space="0" w:color="auto"/>
        <w:bottom w:val="none" w:sz="0" w:space="0" w:color="auto"/>
        <w:right w:val="none" w:sz="0" w:space="0" w:color="auto"/>
      </w:divBdr>
    </w:div>
    <w:div w:id="121312513">
      <w:bodyDiv w:val="1"/>
      <w:marLeft w:val="0"/>
      <w:marRight w:val="0"/>
      <w:marTop w:val="0"/>
      <w:marBottom w:val="0"/>
      <w:divBdr>
        <w:top w:val="none" w:sz="0" w:space="0" w:color="auto"/>
        <w:left w:val="none" w:sz="0" w:space="0" w:color="auto"/>
        <w:bottom w:val="none" w:sz="0" w:space="0" w:color="auto"/>
        <w:right w:val="none" w:sz="0" w:space="0" w:color="auto"/>
      </w:divBdr>
    </w:div>
    <w:div w:id="127747021">
      <w:bodyDiv w:val="1"/>
      <w:marLeft w:val="0"/>
      <w:marRight w:val="0"/>
      <w:marTop w:val="0"/>
      <w:marBottom w:val="0"/>
      <w:divBdr>
        <w:top w:val="none" w:sz="0" w:space="0" w:color="auto"/>
        <w:left w:val="none" w:sz="0" w:space="0" w:color="auto"/>
        <w:bottom w:val="none" w:sz="0" w:space="0" w:color="auto"/>
        <w:right w:val="none" w:sz="0" w:space="0" w:color="auto"/>
      </w:divBdr>
    </w:div>
    <w:div w:id="131756227">
      <w:bodyDiv w:val="1"/>
      <w:marLeft w:val="0"/>
      <w:marRight w:val="0"/>
      <w:marTop w:val="0"/>
      <w:marBottom w:val="0"/>
      <w:divBdr>
        <w:top w:val="none" w:sz="0" w:space="0" w:color="auto"/>
        <w:left w:val="none" w:sz="0" w:space="0" w:color="auto"/>
        <w:bottom w:val="none" w:sz="0" w:space="0" w:color="auto"/>
        <w:right w:val="none" w:sz="0" w:space="0" w:color="auto"/>
      </w:divBdr>
    </w:div>
    <w:div w:id="147484916">
      <w:bodyDiv w:val="1"/>
      <w:marLeft w:val="0"/>
      <w:marRight w:val="0"/>
      <w:marTop w:val="0"/>
      <w:marBottom w:val="0"/>
      <w:divBdr>
        <w:top w:val="none" w:sz="0" w:space="0" w:color="auto"/>
        <w:left w:val="none" w:sz="0" w:space="0" w:color="auto"/>
        <w:bottom w:val="none" w:sz="0" w:space="0" w:color="auto"/>
        <w:right w:val="none" w:sz="0" w:space="0" w:color="auto"/>
      </w:divBdr>
    </w:div>
    <w:div w:id="151603905">
      <w:bodyDiv w:val="1"/>
      <w:marLeft w:val="0"/>
      <w:marRight w:val="0"/>
      <w:marTop w:val="0"/>
      <w:marBottom w:val="0"/>
      <w:divBdr>
        <w:top w:val="none" w:sz="0" w:space="0" w:color="auto"/>
        <w:left w:val="none" w:sz="0" w:space="0" w:color="auto"/>
        <w:bottom w:val="none" w:sz="0" w:space="0" w:color="auto"/>
        <w:right w:val="none" w:sz="0" w:space="0" w:color="auto"/>
      </w:divBdr>
    </w:div>
    <w:div w:id="154494995">
      <w:bodyDiv w:val="1"/>
      <w:marLeft w:val="0"/>
      <w:marRight w:val="0"/>
      <w:marTop w:val="0"/>
      <w:marBottom w:val="0"/>
      <w:divBdr>
        <w:top w:val="none" w:sz="0" w:space="0" w:color="auto"/>
        <w:left w:val="none" w:sz="0" w:space="0" w:color="auto"/>
        <w:bottom w:val="none" w:sz="0" w:space="0" w:color="auto"/>
        <w:right w:val="none" w:sz="0" w:space="0" w:color="auto"/>
      </w:divBdr>
    </w:div>
    <w:div w:id="168106595">
      <w:bodyDiv w:val="1"/>
      <w:marLeft w:val="0"/>
      <w:marRight w:val="0"/>
      <w:marTop w:val="0"/>
      <w:marBottom w:val="0"/>
      <w:divBdr>
        <w:top w:val="none" w:sz="0" w:space="0" w:color="auto"/>
        <w:left w:val="none" w:sz="0" w:space="0" w:color="auto"/>
        <w:bottom w:val="none" w:sz="0" w:space="0" w:color="auto"/>
        <w:right w:val="none" w:sz="0" w:space="0" w:color="auto"/>
      </w:divBdr>
    </w:div>
    <w:div w:id="182980142">
      <w:bodyDiv w:val="1"/>
      <w:marLeft w:val="0"/>
      <w:marRight w:val="0"/>
      <w:marTop w:val="0"/>
      <w:marBottom w:val="0"/>
      <w:divBdr>
        <w:top w:val="none" w:sz="0" w:space="0" w:color="auto"/>
        <w:left w:val="none" w:sz="0" w:space="0" w:color="auto"/>
        <w:bottom w:val="none" w:sz="0" w:space="0" w:color="auto"/>
        <w:right w:val="none" w:sz="0" w:space="0" w:color="auto"/>
      </w:divBdr>
    </w:div>
    <w:div w:id="199712255">
      <w:bodyDiv w:val="1"/>
      <w:marLeft w:val="0"/>
      <w:marRight w:val="0"/>
      <w:marTop w:val="0"/>
      <w:marBottom w:val="0"/>
      <w:divBdr>
        <w:top w:val="none" w:sz="0" w:space="0" w:color="auto"/>
        <w:left w:val="none" w:sz="0" w:space="0" w:color="auto"/>
        <w:bottom w:val="none" w:sz="0" w:space="0" w:color="auto"/>
        <w:right w:val="none" w:sz="0" w:space="0" w:color="auto"/>
      </w:divBdr>
    </w:div>
    <w:div w:id="202181488">
      <w:bodyDiv w:val="1"/>
      <w:marLeft w:val="0"/>
      <w:marRight w:val="0"/>
      <w:marTop w:val="0"/>
      <w:marBottom w:val="0"/>
      <w:divBdr>
        <w:top w:val="none" w:sz="0" w:space="0" w:color="auto"/>
        <w:left w:val="none" w:sz="0" w:space="0" w:color="auto"/>
        <w:bottom w:val="none" w:sz="0" w:space="0" w:color="auto"/>
        <w:right w:val="none" w:sz="0" w:space="0" w:color="auto"/>
      </w:divBdr>
    </w:div>
    <w:div w:id="203180085">
      <w:bodyDiv w:val="1"/>
      <w:marLeft w:val="0"/>
      <w:marRight w:val="0"/>
      <w:marTop w:val="0"/>
      <w:marBottom w:val="0"/>
      <w:divBdr>
        <w:top w:val="none" w:sz="0" w:space="0" w:color="auto"/>
        <w:left w:val="none" w:sz="0" w:space="0" w:color="auto"/>
        <w:bottom w:val="none" w:sz="0" w:space="0" w:color="auto"/>
        <w:right w:val="none" w:sz="0" w:space="0" w:color="auto"/>
      </w:divBdr>
    </w:div>
    <w:div w:id="208805440">
      <w:bodyDiv w:val="1"/>
      <w:marLeft w:val="0"/>
      <w:marRight w:val="0"/>
      <w:marTop w:val="0"/>
      <w:marBottom w:val="0"/>
      <w:divBdr>
        <w:top w:val="none" w:sz="0" w:space="0" w:color="auto"/>
        <w:left w:val="none" w:sz="0" w:space="0" w:color="auto"/>
        <w:bottom w:val="none" w:sz="0" w:space="0" w:color="auto"/>
        <w:right w:val="none" w:sz="0" w:space="0" w:color="auto"/>
      </w:divBdr>
    </w:div>
    <w:div w:id="214124703">
      <w:bodyDiv w:val="1"/>
      <w:marLeft w:val="0"/>
      <w:marRight w:val="0"/>
      <w:marTop w:val="0"/>
      <w:marBottom w:val="0"/>
      <w:divBdr>
        <w:top w:val="none" w:sz="0" w:space="0" w:color="auto"/>
        <w:left w:val="none" w:sz="0" w:space="0" w:color="auto"/>
        <w:bottom w:val="none" w:sz="0" w:space="0" w:color="auto"/>
        <w:right w:val="none" w:sz="0" w:space="0" w:color="auto"/>
      </w:divBdr>
    </w:div>
    <w:div w:id="222913359">
      <w:bodyDiv w:val="1"/>
      <w:marLeft w:val="0"/>
      <w:marRight w:val="0"/>
      <w:marTop w:val="0"/>
      <w:marBottom w:val="0"/>
      <w:divBdr>
        <w:top w:val="none" w:sz="0" w:space="0" w:color="auto"/>
        <w:left w:val="none" w:sz="0" w:space="0" w:color="auto"/>
        <w:bottom w:val="none" w:sz="0" w:space="0" w:color="auto"/>
        <w:right w:val="none" w:sz="0" w:space="0" w:color="auto"/>
      </w:divBdr>
    </w:div>
    <w:div w:id="225383896">
      <w:bodyDiv w:val="1"/>
      <w:marLeft w:val="0"/>
      <w:marRight w:val="0"/>
      <w:marTop w:val="0"/>
      <w:marBottom w:val="0"/>
      <w:divBdr>
        <w:top w:val="none" w:sz="0" w:space="0" w:color="auto"/>
        <w:left w:val="none" w:sz="0" w:space="0" w:color="auto"/>
        <w:bottom w:val="none" w:sz="0" w:space="0" w:color="auto"/>
        <w:right w:val="none" w:sz="0" w:space="0" w:color="auto"/>
      </w:divBdr>
    </w:div>
    <w:div w:id="227695151">
      <w:bodyDiv w:val="1"/>
      <w:marLeft w:val="0"/>
      <w:marRight w:val="0"/>
      <w:marTop w:val="0"/>
      <w:marBottom w:val="0"/>
      <w:divBdr>
        <w:top w:val="none" w:sz="0" w:space="0" w:color="auto"/>
        <w:left w:val="none" w:sz="0" w:space="0" w:color="auto"/>
        <w:bottom w:val="none" w:sz="0" w:space="0" w:color="auto"/>
        <w:right w:val="none" w:sz="0" w:space="0" w:color="auto"/>
      </w:divBdr>
    </w:div>
    <w:div w:id="228227434">
      <w:bodyDiv w:val="1"/>
      <w:marLeft w:val="0"/>
      <w:marRight w:val="0"/>
      <w:marTop w:val="0"/>
      <w:marBottom w:val="0"/>
      <w:divBdr>
        <w:top w:val="none" w:sz="0" w:space="0" w:color="auto"/>
        <w:left w:val="none" w:sz="0" w:space="0" w:color="auto"/>
        <w:bottom w:val="none" w:sz="0" w:space="0" w:color="auto"/>
        <w:right w:val="none" w:sz="0" w:space="0" w:color="auto"/>
      </w:divBdr>
    </w:div>
    <w:div w:id="239605094">
      <w:bodyDiv w:val="1"/>
      <w:marLeft w:val="0"/>
      <w:marRight w:val="0"/>
      <w:marTop w:val="0"/>
      <w:marBottom w:val="0"/>
      <w:divBdr>
        <w:top w:val="none" w:sz="0" w:space="0" w:color="auto"/>
        <w:left w:val="none" w:sz="0" w:space="0" w:color="auto"/>
        <w:bottom w:val="none" w:sz="0" w:space="0" w:color="auto"/>
        <w:right w:val="none" w:sz="0" w:space="0" w:color="auto"/>
      </w:divBdr>
    </w:div>
    <w:div w:id="258025478">
      <w:bodyDiv w:val="1"/>
      <w:marLeft w:val="0"/>
      <w:marRight w:val="0"/>
      <w:marTop w:val="0"/>
      <w:marBottom w:val="0"/>
      <w:divBdr>
        <w:top w:val="none" w:sz="0" w:space="0" w:color="auto"/>
        <w:left w:val="none" w:sz="0" w:space="0" w:color="auto"/>
        <w:bottom w:val="none" w:sz="0" w:space="0" w:color="auto"/>
        <w:right w:val="none" w:sz="0" w:space="0" w:color="auto"/>
      </w:divBdr>
    </w:div>
    <w:div w:id="275716649">
      <w:bodyDiv w:val="1"/>
      <w:marLeft w:val="0"/>
      <w:marRight w:val="0"/>
      <w:marTop w:val="0"/>
      <w:marBottom w:val="0"/>
      <w:divBdr>
        <w:top w:val="none" w:sz="0" w:space="0" w:color="auto"/>
        <w:left w:val="none" w:sz="0" w:space="0" w:color="auto"/>
        <w:bottom w:val="none" w:sz="0" w:space="0" w:color="auto"/>
        <w:right w:val="none" w:sz="0" w:space="0" w:color="auto"/>
      </w:divBdr>
    </w:div>
    <w:div w:id="278416909">
      <w:bodyDiv w:val="1"/>
      <w:marLeft w:val="0"/>
      <w:marRight w:val="0"/>
      <w:marTop w:val="0"/>
      <w:marBottom w:val="0"/>
      <w:divBdr>
        <w:top w:val="none" w:sz="0" w:space="0" w:color="auto"/>
        <w:left w:val="none" w:sz="0" w:space="0" w:color="auto"/>
        <w:bottom w:val="none" w:sz="0" w:space="0" w:color="auto"/>
        <w:right w:val="none" w:sz="0" w:space="0" w:color="auto"/>
      </w:divBdr>
    </w:div>
    <w:div w:id="284430694">
      <w:bodyDiv w:val="1"/>
      <w:marLeft w:val="0"/>
      <w:marRight w:val="0"/>
      <w:marTop w:val="0"/>
      <w:marBottom w:val="0"/>
      <w:divBdr>
        <w:top w:val="none" w:sz="0" w:space="0" w:color="auto"/>
        <w:left w:val="none" w:sz="0" w:space="0" w:color="auto"/>
        <w:bottom w:val="none" w:sz="0" w:space="0" w:color="auto"/>
        <w:right w:val="none" w:sz="0" w:space="0" w:color="auto"/>
      </w:divBdr>
    </w:div>
    <w:div w:id="289552080">
      <w:bodyDiv w:val="1"/>
      <w:marLeft w:val="0"/>
      <w:marRight w:val="0"/>
      <w:marTop w:val="0"/>
      <w:marBottom w:val="0"/>
      <w:divBdr>
        <w:top w:val="none" w:sz="0" w:space="0" w:color="auto"/>
        <w:left w:val="none" w:sz="0" w:space="0" w:color="auto"/>
        <w:bottom w:val="none" w:sz="0" w:space="0" w:color="auto"/>
        <w:right w:val="none" w:sz="0" w:space="0" w:color="auto"/>
      </w:divBdr>
    </w:div>
    <w:div w:id="316761351">
      <w:bodyDiv w:val="1"/>
      <w:marLeft w:val="0"/>
      <w:marRight w:val="0"/>
      <w:marTop w:val="0"/>
      <w:marBottom w:val="0"/>
      <w:divBdr>
        <w:top w:val="none" w:sz="0" w:space="0" w:color="auto"/>
        <w:left w:val="none" w:sz="0" w:space="0" w:color="auto"/>
        <w:bottom w:val="none" w:sz="0" w:space="0" w:color="auto"/>
        <w:right w:val="none" w:sz="0" w:space="0" w:color="auto"/>
      </w:divBdr>
    </w:div>
    <w:div w:id="319619377">
      <w:bodyDiv w:val="1"/>
      <w:marLeft w:val="0"/>
      <w:marRight w:val="0"/>
      <w:marTop w:val="0"/>
      <w:marBottom w:val="0"/>
      <w:divBdr>
        <w:top w:val="none" w:sz="0" w:space="0" w:color="auto"/>
        <w:left w:val="none" w:sz="0" w:space="0" w:color="auto"/>
        <w:bottom w:val="none" w:sz="0" w:space="0" w:color="auto"/>
        <w:right w:val="none" w:sz="0" w:space="0" w:color="auto"/>
      </w:divBdr>
    </w:div>
    <w:div w:id="340815120">
      <w:bodyDiv w:val="1"/>
      <w:marLeft w:val="0"/>
      <w:marRight w:val="0"/>
      <w:marTop w:val="0"/>
      <w:marBottom w:val="0"/>
      <w:divBdr>
        <w:top w:val="none" w:sz="0" w:space="0" w:color="auto"/>
        <w:left w:val="none" w:sz="0" w:space="0" w:color="auto"/>
        <w:bottom w:val="none" w:sz="0" w:space="0" w:color="auto"/>
        <w:right w:val="none" w:sz="0" w:space="0" w:color="auto"/>
      </w:divBdr>
    </w:div>
    <w:div w:id="359353637">
      <w:bodyDiv w:val="1"/>
      <w:marLeft w:val="0"/>
      <w:marRight w:val="0"/>
      <w:marTop w:val="0"/>
      <w:marBottom w:val="0"/>
      <w:divBdr>
        <w:top w:val="none" w:sz="0" w:space="0" w:color="auto"/>
        <w:left w:val="none" w:sz="0" w:space="0" w:color="auto"/>
        <w:bottom w:val="none" w:sz="0" w:space="0" w:color="auto"/>
        <w:right w:val="none" w:sz="0" w:space="0" w:color="auto"/>
      </w:divBdr>
    </w:div>
    <w:div w:id="365102872">
      <w:bodyDiv w:val="1"/>
      <w:marLeft w:val="0"/>
      <w:marRight w:val="0"/>
      <w:marTop w:val="0"/>
      <w:marBottom w:val="0"/>
      <w:divBdr>
        <w:top w:val="none" w:sz="0" w:space="0" w:color="auto"/>
        <w:left w:val="none" w:sz="0" w:space="0" w:color="auto"/>
        <w:bottom w:val="none" w:sz="0" w:space="0" w:color="auto"/>
        <w:right w:val="none" w:sz="0" w:space="0" w:color="auto"/>
      </w:divBdr>
    </w:div>
    <w:div w:id="366954610">
      <w:bodyDiv w:val="1"/>
      <w:marLeft w:val="0"/>
      <w:marRight w:val="0"/>
      <w:marTop w:val="0"/>
      <w:marBottom w:val="0"/>
      <w:divBdr>
        <w:top w:val="none" w:sz="0" w:space="0" w:color="auto"/>
        <w:left w:val="none" w:sz="0" w:space="0" w:color="auto"/>
        <w:bottom w:val="none" w:sz="0" w:space="0" w:color="auto"/>
        <w:right w:val="none" w:sz="0" w:space="0" w:color="auto"/>
      </w:divBdr>
    </w:div>
    <w:div w:id="382488185">
      <w:bodyDiv w:val="1"/>
      <w:marLeft w:val="0"/>
      <w:marRight w:val="0"/>
      <w:marTop w:val="0"/>
      <w:marBottom w:val="0"/>
      <w:divBdr>
        <w:top w:val="none" w:sz="0" w:space="0" w:color="auto"/>
        <w:left w:val="none" w:sz="0" w:space="0" w:color="auto"/>
        <w:bottom w:val="none" w:sz="0" w:space="0" w:color="auto"/>
        <w:right w:val="none" w:sz="0" w:space="0" w:color="auto"/>
      </w:divBdr>
    </w:div>
    <w:div w:id="392314392">
      <w:bodyDiv w:val="1"/>
      <w:marLeft w:val="0"/>
      <w:marRight w:val="0"/>
      <w:marTop w:val="0"/>
      <w:marBottom w:val="0"/>
      <w:divBdr>
        <w:top w:val="none" w:sz="0" w:space="0" w:color="auto"/>
        <w:left w:val="none" w:sz="0" w:space="0" w:color="auto"/>
        <w:bottom w:val="none" w:sz="0" w:space="0" w:color="auto"/>
        <w:right w:val="none" w:sz="0" w:space="0" w:color="auto"/>
      </w:divBdr>
    </w:div>
    <w:div w:id="394472236">
      <w:bodyDiv w:val="1"/>
      <w:marLeft w:val="0"/>
      <w:marRight w:val="0"/>
      <w:marTop w:val="0"/>
      <w:marBottom w:val="0"/>
      <w:divBdr>
        <w:top w:val="none" w:sz="0" w:space="0" w:color="auto"/>
        <w:left w:val="none" w:sz="0" w:space="0" w:color="auto"/>
        <w:bottom w:val="none" w:sz="0" w:space="0" w:color="auto"/>
        <w:right w:val="none" w:sz="0" w:space="0" w:color="auto"/>
      </w:divBdr>
    </w:div>
    <w:div w:id="399645468">
      <w:bodyDiv w:val="1"/>
      <w:marLeft w:val="0"/>
      <w:marRight w:val="0"/>
      <w:marTop w:val="0"/>
      <w:marBottom w:val="0"/>
      <w:divBdr>
        <w:top w:val="none" w:sz="0" w:space="0" w:color="auto"/>
        <w:left w:val="none" w:sz="0" w:space="0" w:color="auto"/>
        <w:bottom w:val="none" w:sz="0" w:space="0" w:color="auto"/>
        <w:right w:val="none" w:sz="0" w:space="0" w:color="auto"/>
      </w:divBdr>
    </w:div>
    <w:div w:id="400519612">
      <w:bodyDiv w:val="1"/>
      <w:marLeft w:val="0"/>
      <w:marRight w:val="0"/>
      <w:marTop w:val="0"/>
      <w:marBottom w:val="0"/>
      <w:divBdr>
        <w:top w:val="none" w:sz="0" w:space="0" w:color="auto"/>
        <w:left w:val="none" w:sz="0" w:space="0" w:color="auto"/>
        <w:bottom w:val="none" w:sz="0" w:space="0" w:color="auto"/>
        <w:right w:val="none" w:sz="0" w:space="0" w:color="auto"/>
      </w:divBdr>
    </w:div>
    <w:div w:id="418793379">
      <w:bodyDiv w:val="1"/>
      <w:marLeft w:val="0"/>
      <w:marRight w:val="0"/>
      <w:marTop w:val="0"/>
      <w:marBottom w:val="0"/>
      <w:divBdr>
        <w:top w:val="none" w:sz="0" w:space="0" w:color="auto"/>
        <w:left w:val="none" w:sz="0" w:space="0" w:color="auto"/>
        <w:bottom w:val="none" w:sz="0" w:space="0" w:color="auto"/>
        <w:right w:val="none" w:sz="0" w:space="0" w:color="auto"/>
      </w:divBdr>
    </w:div>
    <w:div w:id="422535637">
      <w:bodyDiv w:val="1"/>
      <w:marLeft w:val="0"/>
      <w:marRight w:val="0"/>
      <w:marTop w:val="0"/>
      <w:marBottom w:val="0"/>
      <w:divBdr>
        <w:top w:val="none" w:sz="0" w:space="0" w:color="auto"/>
        <w:left w:val="none" w:sz="0" w:space="0" w:color="auto"/>
        <w:bottom w:val="none" w:sz="0" w:space="0" w:color="auto"/>
        <w:right w:val="none" w:sz="0" w:space="0" w:color="auto"/>
      </w:divBdr>
    </w:div>
    <w:div w:id="427894956">
      <w:bodyDiv w:val="1"/>
      <w:marLeft w:val="0"/>
      <w:marRight w:val="0"/>
      <w:marTop w:val="0"/>
      <w:marBottom w:val="0"/>
      <w:divBdr>
        <w:top w:val="none" w:sz="0" w:space="0" w:color="auto"/>
        <w:left w:val="none" w:sz="0" w:space="0" w:color="auto"/>
        <w:bottom w:val="none" w:sz="0" w:space="0" w:color="auto"/>
        <w:right w:val="none" w:sz="0" w:space="0" w:color="auto"/>
      </w:divBdr>
    </w:div>
    <w:div w:id="437066732">
      <w:bodyDiv w:val="1"/>
      <w:marLeft w:val="0"/>
      <w:marRight w:val="0"/>
      <w:marTop w:val="0"/>
      <w:marBottom w:val="0"/>
      <w:divBdr>
        <w:top w:val="none" w:sz="0" w:space="0" w:color="auto"/>
        <w:left w:val="none" w:sz="0" w:space="0" w:color="auto"/>
        <w:bottom w:val="none" w:sz="0" w:space="0" w:color="auto"/>
        <w:right w:val="none" w:sz="0" w:space="0" w:color="auto"/>
      </w:divBdr>
    </w:div>
    <w:div w:id="438642034">
      <w:bodyDiv w:val="1"/>
      <w:marLeft w:val="0"/>
      <w:marRight w:val="0"/>
      <w:marTop w:val="0"/>
      <w:marBottom w:val="0"/>
      <w:divBdr>
        <w:top w:val="none" w:sz="0" w:space="0" w:color="auto"/>
        <w:left w:val="none" w:sz="0" w:space="0" w:color="auto"/>
        <w:bottom w:val="none" w:sz="0" w:space="0" w:color="auto"/>
        <w:right w:val="none" w:sz="0" w:space="0" w:color="auto"/>
      </w:divBdr>
    </w:div>
    <w:div w:id="455294774">
      <w:bodyDiv w:val="1"/>
      <w:marLeft w:val="0"/>
      <w:marRight w:val="0"/>
      <w:marTop w:val="0"/>
      <w:marBottom w:val="0"/>
      <w:divBdr>
        <w:top w:val="none" w:sz="0" w:space="0" w:color="auto"/>
        <w:left w:val="none" w:sz="0" w:space="0" w:color="auto"/>
        <w:bottom w:val="none" w:sz="0" w:space="0" w:color="auto"/>
        <w:right w:val="none" w:sz="0" w:space="0" w:color="auto"/>
      </w:divBdr>
    </w:div>
    <w:div w:id="456603729">
      <w:bodyDiv w:val="1"/>
      <w:marLeft w:val="0"/>
      <w:marRight w:val="0"/>
      <w:marTop w:val="0"/>
      <w:marBottom w:val="0"/>
      <w:divBdr>
        <w:top w:val="none" w:sz="0" w:space="0" w:color="auto"/>
        <w:left w:val="none" w:sz="0" w:space="0" w:color="auto"/>
        <w:bottom w:val="none" w:sz="0" w:space="0" w:color="auto"/>
        <w:right w:val="none" w:sz="0" w:space="0" w:color="auto"/>
      </w:divBdr>
    </w:div>
    <w:div w:id="467473606">
      <w:bodyDiv w:val="1"/>
      <w:marLeft w:val="0"/>
      <w:marRight w:val="0"/>
      <w:marTop w:val="0"/>
      <w:marBottom w:val="0"/>
      <w:divBdr>
        <w:top w:val="none" w:sz="0" w:space="0" w:color="auto"/>
        <w:left w:val="none" w:sz="0" w:space="0" w:color="auto"/>
        <w:bottom w:val="none" w:sz="0" w:space="0" w:color="auto"/>
        <w:right w:val="none" w:sz="0" w:space="0" w:color="auto"/>
      </w:divBdr>
    </w:div>
    <w:div w:id="475493460">
      <w:bodyDiv w:val="1"/>
      <w:marLeft w:val="0"/>
      <w:marRight w:val="0"/>
      <w:marTop w:val="0"/>
      <w:marBottom w:val="0"/>
      <w:divBdr>
        <w:top w:val="none" w:sz="0" w:space="0" w:color="auto"/>
        <w:left w:val="none" w:sz="0" w:space="0" w:color="auto"/>
        <w:bottom w:val="none" w:sz="0" w:space="0" w:color="auto"/>
        <w:right w:val="none" w:sz="0" w:space="0" w:color="auto"/>
      </w:divBdr>
    </w:div>
    <w:div w:id="476578810">
      <w:bodyDiv w:val="1"/>
      <w:marLeft w:val="0"/>
      <w:marRight w:val="0"/>
      <w:marTop w:val="0"/>
      <w:marBottom w:val="0"/>
      <w:divBdr>
        <w:top w:val="none" w:sz="0" w:space="0" w:color="auto"/>
        <w:left w:val="none" w:sz="0" w:space="0" w:color="auto"/>
        <w:bottom w:val="none" w:sz="0" w:space="0" w:color="auto"/>
        <w:right w:val="none" w:sz="0" w:space="0" w:color="auto"/>
      </w:divBdr>
    </w:div>
    <w:div w:id="477766382">
      <w:bodyDiv w:val="1"/>
      <w:marLeft w:val="0"/>
      <w:marRight w:val="0"/>
      <w:marTop w:val="0"/>
      <w:marBottom w:val="0"/>
      <w:divBdr>
        <w:top w:val="none" w:sz="0" w:space="0" w:color="auto"/>
        <w:left w:val="none" w:sz="0" w:space="0" w:color="auto"/>
        <w:bottom w:val="none" w:sz="0" w:space="0" w:color="auto"/>
        <w:right w:val="none" w:sz="0" w:space="0" w:color="auto"/>
      </w:divBdr>
    </w:div>
    <w:div w:id="480272244">
      <w:bodyDiv w:val="1"/>
      <w:marLeft w:val="0"/>
      <w:marRight w:val="0"/>
      <w:marTop w:val="0"/>
      <w:marBottom w:val="0"/>
      <w:divBdr>
        <w:top w:val="none" w:sz="0" w:space="0" w:color="auto"/>
        <w:left w:val="none" w:sz="0" w:space="0" w:color="auto"/>
        <w:bottom w:val="none" w:sz="0" w:space="0" w:color="auto"/>
        <w:right w:val="none" w:sz="0" w:space="0" w:color="auto"/>
      </w:divBdr>
    </w:div>
    <w:div w:id="483081118">
      <w:bodyDiv w:val="1"/>
      <w:marLeft w:val="0"/>
      <w:marRight w:val="0"/>
      <w:marTop w:val="0"/>
      <w:marBottom w:val="0"/>
      <w:divBdr>
        <w:top w:val="none" w:sz="0" w:space="0" w:color="auto"/>
        <w:left w:val="none" w:sz="0" w:space="0" w:color="auto"/>
        <w:bottom w:val="none" w:sz="0" w:space="0" w:color="auto"/>
        <w:right w:val="none" w:sz="0" w:space="0" w:color="auto"/>
      </w:divBdr>
    </w:div>
    <w:div w:id="489097492">
      <w:bodyDiv w:val="1"/>
      <w:marLeft w:val="0"/>
      <w:marRight w:val="0"/>
      <w:marTop w:val="0"/>
      <w:marBottom w:val="0"/>
      <w:divBdr>
        <w:top w:val="none" w:sz="0" w:space="0" w:color="auto"/>
        <w:left w:val="none" w:sz="0" w:space="0" w:color="auto"/>
        <w:bottom w:val="none" w:sz="0" w:space="0" w:color="auto"/>
        <w:right w:val="none" w:sz="0" w:space="0" w:color="auto"/>
      </w:divBdr>
    </w:div>
    <w:div w:id="492910435">
      <w:bodyDiv w:val="1"/>
      <w:marLeft w:val="0"/>
      <w:marRight w:val="0"/>
      <w:marTop w:val="0"/>
      <w:marBottom w:val="0"/>
      <w:divBdr>
        <w:top w:val="none" w:sz="0" w:space="0" w:color="auto"/>
        <w:left w:val="none" w:sz="0" w:space="0" w:color="auto"/>
        <w:bottom w:val="none" w:sz="0" w:space="0" w:color="auto"/>
        <w:right w:val="none" w:sz="0" w:space="0" w:color="auto"/>
      </w:divBdr>
    </w:div>
    <w:div w:id="501555382">
      <w:bodyDiv w:val="1"/>
      <w:marLeft w:val="0"/>
      <w:marRight w:val="0"/>
      <w:marTop w:val="0"/>
      <w:marBottom w:val="0"/>
      <w:divBdr>
        <w:top w:val="none" w:sz="0" w:space="0" w:color="auto"/>
        <w:left w:val="none" w:sz="0" w:space="0" w:color="auto"/>
        <w:bottom w:val="none" w:sz="0" w:space="0" w:color="auto"/>
        <w:right w:val="none" w:sz="0" w:space="0" w:color="auto"/>
      </w:divBdr>
    </w:div>
    <w:div w:id="503014897">
      <w:bodyDiv w:val="1"/>
      <w:marLeft w:val="0"/>
      <w:marRight w:val="0"/>
      <w:marTop w:val="0"/>
      <w:marBottom w:val="0"/>
      <w:divBdr>
        <w:top w:val="none" w:sz="0" w:space="0" w:color="auto"/>
        <w:left w:val="none" w:sz="0" w:space="0" w:color="auto"/>
        <w:bottom w:val="none" w:sz="0" w:space="0" w:color="auto"/>
        <w:right w:val="none" w:sz="0" w:space="0" w:color="auto"/>
      </w:divBdr>
    </w:div>
    <w:div w:id="505556089">
      <w:bodyDiv w:val="1"/>
      <w:marLeft w:val="0"/>
      <w:marRight w:val="0"/>
      <w:marTop w:val="0"/>
      <w:marBottom w:val="0"/>
      <w:divBdr>
        <w:top w:val="none" w:sz="0" w:space="0" w:color="auto"/>
        <w:left w:val="none" w:sz="0" w:space="0" w:color="auto"/>
        <w:bottom w:val="none" w:sz="0" w:space="0" w:color="auto"/>
        <w:right w:val="none" w:sz="0" w:space="0" w:color="auto"/>
      </w:divBdr>
    </w:div>
    <w:div w:id="507066525">
      <w:bodyDiv w:val="1"/>
      <w:marLeft w:val="0"/>
      <w:marRight w:val="0"/>
      <w:marTop w:val="0"/>
      <w:marBottom w:val="0"/>
      <w:divBdr>
        <w:top w:val="none" w:sz="0" w:space="0" w:color="auto"/>
        <w:left w:val="none" w:sz="0" w:space="0" w:color="auto"/>
        <w:bottom w:val="none" w:sz="0" w:space="0" w:color="auto"/>
        <w:right w:val="none" w:sz="0" w:space="0" w:color="auto"/>
      </w:divBdr>
    </w:div>
    <w:div w:id="510684547">
      <w:bodyDiv w:val="1"/>
      <w:marLeft w:val="0"/>
      <w:marRight w:val="0"/>
      <w:marTop w:val="0"/>
      <w:marBottom w:val="0"/>
      <w:divBdr>
        <w:top w:val="none" w:sz="0" w:space="0" w:color="auto"/>
        <w:left w:val="none" w:sz="0" w:space="0" w:color="auto"/>
        <w:bottom w:val="none" w:sz="0" w:space="0" w:color="auto"/>
        <w:right w:val="none" w:sz="0" w:space="0" w:color="auto"/>
      </w:divBdr>
    </w:div>
    <w:div w:id="539899066">
      <w:bodyDiv w:val="1"/>
      <w:marLeft w:val="0"/>
      <w:marRight w:val="0"/>
      <w:marTop w:val="0"/>
      <w:marBottom w:val="0"/>
      <w:divBdr>
        <w:top w:val="none" w:sz="0" w:space="0" w:color="auto"/>
        <w:left w:val="none" w:sz="0" w:space="0" w:color="auto"/>
        <w:bottom w:val="none" w:sz="0" w:space="0" w:color="auto"/>
        <w:right w:val="none" w:sz="0" w:space="0" w:color="auto"/>
      </w:divBdr>
    </w:div>
    <w:div w:id="550969653">
      <w:bodyDiv w:val="1"/>
      <w:marLeft w:val="0"/>
      <w:marRight w:val="0"/>
      <w:marTop w:val="0"/>
      <w:marBottom w:val="0"/>
      <w:divBdr>
        <w:top w:val="none" w:sz="0" w:space="0" w:color="auto"/>
        <w:left w:val="none" w:sz="0" w:space="0" w:color="auto"/>
        <w:bottom w:val="none" w:sz="0" w:space="0" w:color="auto"/>
        <w:right w:val="none" w:sz="0" w:space="0" w:color="auto"/>
      </w:divBdr>
    </w:div>
    <w:div w:id="563371528">
      <w:bodyDiv w:val="1"/>
      <w:marLeft w:val="0"/>
      <w:marRight w:val="0"/>
      <w:marTop w:val="0"/>
      <w:marBottom w:val="0"/>
      <w:divBdr>
        <w:top w:val="none" w:sz="0" w:space="0" w:color="auto"/>
        <w:left w:val="none" w:sz="0" w:space="0" w:color="auto"/>
        <w:bottom w:val="none" w:sz="0" w:space="0" w:color="auto"/>
        <w:right w:val="none" w:sz="0" w:space="0" w:color="auto"/>
      </w:divBdr>
    </w:div>
    <w:div w:id="569779257">
      <w:bodyDiv w:val="1"/>
      <w:marLeft w:val="0"/>
      <w:marRight w:val="0"/>
      <w:marTop w:val="0"/>
      <w:marBottom w:val="0"/>
      <w:divBdr>
        <w:top w:val="none" w:sz="0" w:space="0" w:color="auto"/>
        <w:left w:val="none" w:sz="0" w:space="0" w:color="auto"/>
        <w:bottom w:val="none" w:sz="0" w:space="0" w:color="auto"/>
        <w:right w:val="none" w:sz="0" w:space="0" w:color="auto"/>
      </w:divBdr>
    </w:div>
    <w:div w:id="571698773">
      <w:bodyDiv w:val="1"/>
      <w:marLeft w:val="0"/>
      <w:marRight w:val="0"/>
      <w:marTop w:val="0"/>
      <w:marBottom w:val="0"/>
      <w:divBdr>
        <w:top w:val="none" w:sz="0" w:space="0" w:color="auto"/>
        <w:left w:val="none" w:sz="0" w:space="0" w:color="auto"/>
        <w:bottom w:val="none" w:sz="0" w:space="0" w:color="auto"/>
        <w:right w:val="none" w:sz="0" w:space="0" w:color="auto"/>
      </w:divBdr>
    </w:div>
    <w:div w:id="578440990">
      <w:bodyDiv w:val="1"/>
      <w:marLeft w:val="0"/>
      <w:marRight w:val="0"/>
      <w:marTop w:val="0"/>
      <w:marBottom w:val="0"/>
      <w:divBdr>
        <w:top w:val="none" w:sz="0" w:space="0" w:color="auto"/>
        <w:left w:val="none" w:sz="0" w:space="0" w:color="auto"/>
        <w:bottom w:val="none" w:sz="0" w:space="0" w:color="auto"/>
        <w:right w:val="none" w:sz="0" w:space="0" w:color="auto"/>
      </w:divBdr>
    </w:div>
    <w:div w:id="582177886">
      <w:bodyDiv w:val="1"/>
      <w:marLeft w:val="0"/>
      <w:marRight w:val="0"/>
      <w:marTop w:val="0"/>
      <w:marBottom w:val="0"/>
      <w:divBdr>
        <w:top w:val="none" w:sz="0" w:space="0" w:color="auto"/>
        <w:left w:val="none" w:sz="0" w:space="0" w:color="auto"/>
        <w:bottom w:val="none" w:sz="0" w:space="0" w:color="auto"/>
        <w:right w:val="none" w:sz="0" w:space="0" w:color="auto"/>
      </w:divBdr>
    </w:div>
    <w:div w:id="582225819">
      <w:bodyDiv w:val="1"/>
      <w:marLeft w:val="0"/>
      <w:marRight w:val="0"/>
      <w:marTop w:val="0"/>
      <w:marBottom w:val="0"/>
      <w:divBdr>
        <w:top w:val="none" w:sz="0" w:space="0" w:color="auto"/>
        <w:left w:val="none" w:sz="0" w:space="0" w:color="auto"/>
        <w:bottom w:val="none" w:sz="0" w:space="0" w:color="auto"/>
        <w:right w:val="none" w:sz="0" w:space="0" w:color="auto"/>
      </w:divBdr>
    </w:div>
    <w:div w:id="588197964">
      <w:bodyDiv w:val="1"/>
      <w:marLeft w:val="0"/>
      <w:marRight w:val="0"/>
      <w:marTop w:val="0"/>
      <w:marBottom w:val="0"/>
      <w:divBdr>
        <w:top w:val="none" w:sz="0" w:space="0" w:color="auto"/>
        <w:left w:val="none" w:sz="0" w:space="0" w:color="auto"/>
        <w:bottom w:val="none" w:sz="0" w:space="0" w:color="auto"/>
        <w:right w:val="none" w:sz="0" w:space="0" w:color="auto"/>
      </w:divBdr>
    </w:div>
    <w:div w:id="595869081">
      <w:bodyDiv w:val="1"/>
      <w:marLeft w:val="0"/>
      <w:marRight w:val="0"/>
      <w:marTop w:val="0"/>
      <w:marBottom w:val="0"/>
      <w:divBdr>
        <w:top w:val="none" w:sz="0" w:space="0" w:color="auto"/>
        <w:left w:val="none" w:sz="0" w:space="0" w:color="auto"/>
        <w:bottom w:val="none" w:sz="0" w:space="0" w:color="auto"/>
        <w:right w:val="none" w:sz="0" w:space="0" w:color="auto"/>
      </w:divBdr>
    </w:div>
    <w:div w:id="598293048">
      <w:bodyDiv w:val="1"/>
      <w:marLeft w:val="0"/>
      <w:marRight w:val="0"/>
      <w:marTop w:val="0"/>
      <w:marBottom w:val="0"/>
      <w:divBdr>
        <w:top w:val="none" w:sz="0" w:space="0" w:color="auto"/>
        <w:left w:val="none" w:sz="0" w:space="0" w:color="auto"/>
        <w:bottom w:val="none" w:sz="0" w:space="0" w:color="auto"/>
        <w:right w:val="none" w:sz="0" w:space="0" w:color="auto"/>
      </w:divBdr>
    </w:div>
    <w:div w:id="598491946">
      <w:bodyDiv w:val="1"/>
      <w:marLeft w:val="0"/>
      <w:marRight w:val="0"/>
      <w:marTop w:val="0"/>
      <w:marBottom w:val="0"/>
      <w:divBdr>
        <w:top w:val="none" w:sz="0" w:space="0" w:color="auto"/>
        <w:left w:val="none" w:sz="0" w:space="0" w:color="auto"/>
        <w:bottom w:val="none" w:sz="0" w:space="0" w:color="auto"/>
        <w:right w:val="none" w:sz="0" w:space="0" w:color="auto"/>
      </w:divBdr>
    </w:div>
    <w:div w:id="606229481">
      <w:bodyDiv w:val="1"/>
      <w:marLeft w:val="0"/>
      <w:marRight w:val="0"/>
      <w:marTop w:val="0"/>
      <w:marBottom w:val="0"/>
      <w:divBdr>
        <w:top w:val="none" w:sz="0" w:space="0" w:color="auto"/>
        <w:left w:val="none" w:sz="0" w:space="0" w:color="auto"/>
        <w:bottom w:val="none" w:sz="0" w:space="0" w:color="auto"/>
        <w:right w:val="none" w:sz="0" w:space="0" w:color="auto"/>
      </w:divBdr>
    </w:div>
    <w:div w:id="612832434">
      <w:bodyDiv w:val="1"/>
      <w:marLeft w:val="0"/>
      <w:marRight w:val="0"/>
      <w:marTop w:val="0"/>
      <w:marBottom w:val="0"/>
      <w:divBdr>
        <w:top w:val="none" w:sz="0" w:space="0" w:color="auto"/>
        <w:left w:val="none" w:sz="0" w:space="0" w:color="auto"/>
        <w:bottom w:val="none" w:sz="0" w:space="0" w:color="auto"/>
        <w:right w:val="none" w:sz="0" w:space="0" w:color="auto"/>
      </w:divBdr>
    </w:div>
    <w:div w:id="617831987">
      <w:bodyDiv w:val="1"/>
      <w:marLeft w:val="0"/>
      <w:marRight w:val="0"/>
      <w:marTop w:val="0"/>
      <w:marBottom w:val="0"/>
      <w:divBdr>
        <w:top w:val="none" w:sz="0" w:space="0" w:color="auto"/>
        <w:left w:val="none" w:sz="0" w:space="0" w:color="auto"/>
        <w:bottom w:val="none" w:sz="0" w:space="0" w:color="auto"/>
        <w:right w:val="none" w:sz="0" w:space="0" w:color="auto"/>
      </w:divBdr>
    </w:div>
    <w:div w:id="620723810">
      <w:bodyDiv w:val="1"/>
      <w:marLeft w:val="0"/>
      <w:marRight w:val="0"/>
      <w:marTop w:val="0"/>
      <w:marBottom w:val="0"/>
      <w:divBdr>
        <w:top w:val="none" w:sz="0" w:space="0" w:color="auto"/>
        <w:left w:val="none" w:sz="0" w:space="0" w:color="auto"/>
        <w:bottom w:val="none" w:sz="0" w:space="0" w:color="auto"/>
        <w:right w:val="none" w:sz="0" w:space="0" w:color="auto"/>
      </w:divBdr>
    </w:div>
    <w:div w:id="627246807">
      <w:bodyDiv w:val="1"/>
      <w:marLeft w:val="0"/>
      <w:marRight w:val="0"/>
      <w:marTop w:val="0"/>
      <w:marBottom w:val="0"/>
      <w:divBdr>
        <w:top w:val="none" w:sz="0" w:space="0" w:color="auto"/>
        <w:left w:val="none" w:sz="0" w:space="0" w:color="auto"/>
        <w:bottom w:val="none" w:sz="0" w:space="0" w:color="auto"/>
        <w:right w:val="none" w:sz="0" w:space="0" w:color="auto"/>
      </w:divBdr>
    </w:div>
    <w:div w:id="635524015">
      <w:bodyDiv w:val="1"/>
      <w:marLeft w:val="0"/>
      <w:marRight w:val="0"/>
      <w:marTop w:val="0"/>
      <w:marBottom w:val="0"/>
      <w:divBdr>
        <w:top w:val="none" w:sz="0" w:space="0" w:color="auto"/>
        <w:left w:val="none" w:sz="0" w:space="0" w:color="auto"/>
        <w:bottom w:val="none" w:sz="0" w:space="0" w:color="auto"/>
        <w:right w:val="none" w:sz="0" w:space="0" w:color="auto"/>
      </w:divBdr>
    </w:div>
    <w:div w:id="645666863">
      <w:bodyDiv w:val="1"/>
      <w:marLeft w:val="0"/>
      <w:marRight w:val="0"/>
      <w:marTop w:val="0"/>
      <w:marBottom w:val="0"/>
      <w:divBdr>
        <w:top w:val="none" w:sz="0" w:space="0" w:color="auto"/>
        <w:left w:val="none" w:sz="0" w:space="0" w:color="auto"/>
        <w:bottom w:val="none" w:sz="0" w:space="0" w:color="auto"/>
        <w:right w:val="none" w:sz="0" w:space="0" w:color="auto"/>
      </w:divBdr>
    </w:div>
    <w:div w:id="646670800">
      <w:bodyDiv w:val="1"/>
      <w:marLeft w:val="0"/>
      <w:marRight w:val="0"/>
      <w:marTop w:val="0"/>
      <w:marBottom w:val="0"/>
      <w:divBdr>
        <w:top w:val="none" w:sz="0" w:space="0" w:color="auto"/>
        <w:left w:val="none" w:sz="0" w:space="0" w:color="auto"/>
        <w:bottom w:val="none" w:sz="0" w:space="0" w:color="auto"/>
        <w:right w:val="none" w:sz="0" w:space="0" w:color="auto"/>
      </w:divBdr>
    </w:div>
    <w:div w:id="662467083">
      <w:bodyDiv w:val="1"/>
      <w:marLeft w:val="0"/>
      <w:marRight w:val="0"/>
      <w:marTop w:val="0"/>
      <w:marBottom w:val="0"/>
      <w:divBdr>
        <w:top w:val="none" w:sz="0" w:space="0" w:color="auto"/>
        <w:left w:val="none" w:sz="0" w:space="0" w:color="auto"/>
        <w:bottom w:val="none" w:sz="0" w:space="0" w:color="auto"/>
        <w:right w:val="none" w:sz="0" w:space="0" w:color="auto"/>
      </w:divBdr>
    </w:div>
    <w:div w:id="672538117">
      <w:bodyDiv w:val="1"/>
      <w:marLeft w:val="0"/>
      <w:marRight w:val="0"/>
      <w:marTop w:val="0"/>
      <w:marBottom w:val="0"/>
      <w:divBdr>
        <w:top w:val="none" w:sz="0" w:space="0" w:color="auto"/>
        <w:left w:val="none" w:sz="0" w:space="0" w:color="auto"/>
        <w:bottom w:val="none" w:sz="0" w:space="0" w:color="auto"/>
        <w:right w:val="none" w:sz="0" w:space="0" w:color="auto"/>
      </w:divBdr>
    </w:div>
    <w:div w:id="674916643">
      <w:bodyDiv w:val="1"/>
      <w:marLeft w:val="0"/>
      <w:marRight w:val="0"/>
      <w:marTop w:val="0"/>
      <w:marBottom w:val="0"/>
      <w:divBdr>
        <w:top w:val="none" w:sz="0" w:space="0" w:color="auto"/>
        <w:left w:val="none" w:sz="0" w:space="0" w:color="auto"/>
        <w:bottom w:val="none" w:sz="0" w:space="0" w:color="auto"/>
        <w:right w:val="none" w:sz="0" w:space="0" w:color="auto"/>
      </w:divBdr>
    </w:div>
    <w:div w:id="677657409">
      <w:bodyDiv w:val="1"/>
      <w:marLeft w:val="0"/>
      <w:marRight w:val="0"/>
      <w:marTop w:val="0"/>
      <w:marBottom w:val="0"/>
      <w:divBdr>
        <w:top w:val="none" w:sz="0" w:space="0" w:color="auto"/>
        <w:left w:val="none" w:sz="0" w:space="0" w:color="auto"/>
        <w:bottom w:val="none" w:sz="0" w:space="0" w:color="auto"/>
        <w:right w:val="none" w:sz="0" w:space="0" w:color="auto"/>
      </w:divBdr>
    </w:div>
    <w:div w:id="678431026">
      <w:bodyDiv w:val="1"/>
      <w:marLeft w:val="0"/>
      <w:marRight w:val="0"/>
      <w:marTop w:val="0"/>
      <w:marBottom w:val="0"/>
      <w:divBdr>
        <w:top w:val="none" w:sz="0" w:space="0" w:color="auto"/>
        <w:left w:val="none" w:sz="0" w:space="0" w:color="auto"/>
        <w:bottom w:val="none" w:sz="0" w:space="0" w:color="auto"/>
        <w:right w:val="none" w:sz="0" w:space="0" w:color="auto"/>
      </w:divBdr>
    </w:div>
    <w:div w:id="678850207">
      <w:bodyDiv w:val="1"/>
      <w:marLeft w:val="0"/>
      <w:marRight w:val="0"/>
      <w:marTop w:val="0"/>
      <w:marBottom w:val="0"/>
      <w:divBdr>
        <w:top w:val="none" w:sz="0" w:space="0" w:color="auto"/>
        <w:left w:val="none" w:sz="0" w:space="0" w:color="auto"/>
        <w:bottom w:val="none" w:sz="0" w:space="0" w:color="auto"/>
        <w:right w:val="none" w:sz="0" w:space="0" w:color="auto"/>
      </w:divBdr>
    </w:div>
    <w:div w:id="691611262">
      <w:bodyDiv w:val="1"/>
      <w:marLeft w:val="0"/>
      <w:marRight w:val="0"/>
      <w:marTop w:val="0"/>
      <w:marBottom w:val="0"/>
      <w:divBdr>
        <w:top w:val="none" w:sz="0" w:space="0" w:color="auto"/>
        <w:left w:val="none" w:sz="0" w:space="0" w:color="auto"/>
        <w:bottom w:val="none" w:sz="0" w:space="0" w:color="auto"/>
        <w:right w:val="none" w:sz="0" w:space="0" w:color="auto"/>
      </w:divBdr>
    </w:div>
    <w:div w:id="695813118">
      <w:bodyDiv w:val="1"/>
      <w:marLeft w:val="0"/>
      <w:marRight w:val="0"/>
      <w:marTop w:val="0"/>
      <w:marBottom w:val="0"/>
      <w:divBdr>
        <w:top w:val="none" w:sz="0" w:space="0" w:color="auto"/>
        <w:left w:val="none" w:sz="0" w:space="0" w:color="auto"/>
        <w:bottom w:val="none" w:sz="0" w:space="0" w:color="auto"/>
        <w:right w:val="none" w:sz="0" w:space="0" w:color="auto"/>
      </w:divBdr>
    </w:div>
    <w:div w:id="726294647">
      <w:bodyDiv w:val="1"/>
      <w:marLeft w:val="0"/>
      <w:marRight w:val="0"/>
      <w:marTop w:val="0"/>
      <w:marBottom w:val="0"/>
      <w:divBdr>
        <w:top w:val="none" w:sz="0" w:space="0" w:color="auto"/>
        <w:left w:val="none" w:sz="0" w:space="0" w:color="auto"/>
        <w:bottom w:val="none" w:sz="0" w:space="0" w:color="auto"/>
        <w:right w:val="none" w:sz="0" w:space="0" w:color="auto"/>
      </w:divBdr>
    </w:div>
    <w:div w:id="732000738">
      <w:bodyDiv w:val="1"/>
      <w:marLeft w:val="0"/>
      <w:marRight w:val="0"/>
      <w:marTop w:val="0"/>
      <w:marBottom w:val="0"/>
      <w:divBdr>
        <w:top w:val="none" w:sz="0" w:space="0" w:color="auto"/>
        <w:left w:val="none" w:sz="0" w:space="0" w:color="auto"/>
        <w:bottom w:val="none" w:sz="0" w:space="0" w:color="auto"/>
        <w:right w:val="none" w:sz="0" w:space="0" w:color="auto"/>
      </w:divBdr>
    </w:div>
    <w:div w:id="733478963">
      <w:bodyDiv w:val="1"/>
      <w:marLeft w:val="0"/>
      <w:marRight w:val="0"/>
      <w:marTop w:val="0"/>
      <w:marBottom w:val="0"/>
      <w:divBdr>
        <w:top w:val="none" w:sz="0" w:space="0" w:color="auto"/>
        <w:left w:val="none" w:sz="0" w:space="0" w:color="auto"/>
        <w:bottom w:val="none" w:sz="0" w:space="0" w:color="auto"/>
        <w:right w:val="none" w:sz="0" w:space="0" w:color="auto"/>
      </w:divBdr>
    </w:div>
    <w:div w:id="734166649">
      <w:bodyDiv w:val="1"/>
      <w:marLeft w:val="0"/>
      <w:marRight w:val="0"/>
      <w:marTop w:val="0"/>
      <w:marBottom w:val="0"/>
      <w:divBdr>
        <w:top w:val="none" w:sz="0" w:space="0" w:color="auto"/>
        <w:left w:val="none" w:sz="0" w:space="0" w:color="auto"/>
        <w:bottom w:val="none" w:sz="0" w:space="0" w:color="auto"/>
        <w:right w:val="none" w:sz="0" w:space="0" w:color="auto"/>
      </w:divBdr>
    </w:div>
    <w:div w:id="736711875">
      <w:bodyDiv w:val="1"/>
      <w:marLeft w:val="0"/>
      <w:marRight w:val="0"/>
      <w:marTop w:val="0"/>
      <w:marBottom w:val="0"/>
      <w:divBdr>
        <w:top w:val="none" w:sz="0" w:space="0" w:color="auto"/>
        <w:left w:val="none" w:sz="0" w:space="0" w:color="auto"/>
        <w:bottom w:val="none" w:sz="0" w:space="0" w:color="auto"/>
        <w:right w:val="none" w:sz="0" w:space="0" w:color="auto"/>
      </w:divBdr>
    </w:div>
    <w:div w:id="743599951">
      <w:bodyDiv w:val="1"/>
      <w:marLeft w:val="0"/>
      <w:marRight w:val="0"/>
      <w:marTop w:val="0"/>
      <w:marBottom w:val="0"/>
      <w:divBdr>
        <w:top w:val="none" w:sz="0" w:space="0" w:color="auto"/>
        <w:left w:val="none" w:sz="0" w:space="0" w:color="auto"/>
        <w:bottom w:val="none" w:sz="0" w:space="0" w:color="auto"/>
        <w:right w:val="none" w:sz="0" w:space="0" w:color="auto"/>
      </w:divBdr>
    </w:div>
    <w:div w:id="744061658">
      <w:bodyDiv w:val="1"/>
      <w:marLeft w:val="0"/>
      <w:marRight w:val="0"/>
      <w:marTop w:val="0"/>
      <w:marBottom w:val="0"/>
      <w:divBdr>
        <w:top w:val="none" w:sz="0" w:space="0" w:color="auto"/>
        <w:left w:val="none" w:sz="0" w:space="0" w:color="auto"/>
        <w:bottom w:val="none" w:sz="0" w:space="0" w:color="auto"/>
        <w:right w:val="none" w:sz="0" w:space="0" w:color="auto"/>
      </w:divBdr>
    </w:div>
    <w:div w:id="751121360">
      <w:bodyDiv w:val="1"/>
      <w:marLeft w:val="0"/>
      <w:marRight w:val="0"/>
      <w:marTop w:val="0"/>
      <w:marBottom w:val="0"/>
      <w:divBdr>
        <w:top w:val="none" w:sz="0" w:space="0" w:color="auto"/>
        <w:left w:val="none" w:sz="0" w:space="0" w:color="auto"/>
        <w:bottom w:val="none" w:sz="0" w:space="0" w:color="auto"/>
        <w:right w:val="none" w:sz="0" w:space="0" w:color="auto"/>
      </w:divBdr>
    </w:div>
    <w:div w:id="757168551">
      <w:bodyDiv w:val="1"/>
      <w:marLeft w:val="0"/>
      <w:marRight w:val="0"/>
      <w:marTop w:val="0"/>
      <w:marBottom w:val="0"/>
      <w:divBdr>
        <w:top w:val="none" w:sz="0" w:space="0" w:color="auto"/>
        <w:left w:val="none" w:sz="0" w:space="0" w:color="auto"/>
        <w:bottom w:val="none" w:sz="0" w:space="0" w:color="auto"/>
        <w:right w:val="none" w:sz="0" w:space="0" w:color="auto"/>
      </w:divBdr>
    </w:div>
    <w:div w:id="765073285">
      <w:bodyDiv w:val="1"/>
      <w:marLeft w:val="0"/>
      <w:marRight w:val="0"/>
      <w:marTop w:val="0"/>
      <w:marBottom w:val="0"/>
      <w:divBdr>
        <w:top w:val="none" w:sz="0" w:space="0" w:color="auto"/>
        <w:left w:val="none" w:sz="0" w:space="0" w:color="auto"/>
        <w:bottom w:val="none" w:sz="0" w:space="0" w:color="auto"/>
        <w:right w:val="none" w:sz="0" w:space="0" w:color="auto"/>
      </w:divBdr>
    </w:div>
    <w:div w:id="769161111">
      <w:bodyDiv w:val="1"/>
      <w:marLeft w:val="0"/>
      <w:marRight w:val="0"/>
      <w:marTop w:val="0"/>
      <w:marBottom w:val="0"/>
      <w:divBdr>
        <w:top w:val="none" w:sz="0" w:space="0" w:color="auto"/>
        <w:left w:val="none" w:sz="0" w:space="0" w:color="auto"/>
        <w:bottom w:val="none" w:sz="0" w:space="0" w:color="auto"/>
        <w:right w:val="none" w:sz="0" w:space="0" w:color="auto"/>
      </w:divBdr>
    </w:div>
    <w:div w:id="773596910">
      <w:bodyDiv w:val="1"/>
      <w:marLeft w:val="0"/>
      <w:marRight w:val="0"/>
      <w:marTop w:val="0"/>
      <w:marBottom w:val="0"/>
      <w:divBdr>
        <w:top w:val="none" w:sz="0" w:space="0" w:color="auto"/>
        <w:left w:val="none" w:sz="0" w:space="0" w:color="auto"/>
        <w:bottom w:val="none" w:sz="0" w:space="0" w:color="auto"/>
        <w:right w:val="none" w:sz="0" w:space="0" w:color="auto"/>
      </w:divBdr>
    </w:div>
    <w:div w:id="782043613">
      <w:bodyDiv w:val="1"/>
      <w:marLeft w:val="0"/>
      <w:marRight w:val="0"/>
      <w:marTop w:val="0"/>
      <w:marBottom w:val="0"/>
      <w:divBdr>
        <w:top w:val="none" w:sz="0" w:space="0" w:color="auto"/>
        <w:left w:val="none" w:sz="0" w:space="0" w:color="auto"/>
        <w:bottom w:val="none" w:sz="0" w:space="0" w:color="auto"/>
        <w:right w:val="none" w:sz="0" w:space="0" w:color="auto"/>
      </w:divBdr>
    </w:div>
    <w:div w:id="783303831">
      <w:bodyDiv w:val="1"/>
      <w:marLeft w:val="0"/>
      <w:marRight w:val="0"/>
      <w:marTop w:val="0"/>
      <w:marBottom w:val="0"/>
      <w:divBdr>
        <w:top w:val="none" w:sz="0" w:space="0" w:color="auto"/>
        <w:left w:val="none" w:sz="0" w:space="0" w:color="auto"/>
        <w:bottom w:val="none" w:sz="0" w:space="0" w:color="auto"/>
        <w:right w:val="none" w:sz="0" w:space="0" w:color="auto"/>
      </w:divBdr>
    </w:div>
    <w:div w:id="787435421">
      <w:bodyDiv w:val="1"/>
      <w:marLeft w:val="0"/>
      <w:marRight w:val="0"/>
      <w:marTop w:val="0"/>
      <w:marBottom w:val="0"/>
      <w:divBdr>
        <w:top w:val="none" w:sz="0" w:space="0" w:color="auto"/>
        <w:left w:val="none" w:sz="0" w:space="0" w:color="auto"/>
        <w:bottom w:val="none" w:sz="0" w:space="0" w:color="auto"/>
        <w:right w:val="none" w:sz="0" w:space="0" w:color="auto"/>
      </w:divBdr>
    </w:div>
    <w:div w:id="815562573">
      <w:bodyDiv w:val="1"/>
      <w:marLeft w:val="0"/>
      <w:marRight w:val="0"/>
      <w:marTop w:val="0"/>
      <w:marBottom w:val="0"/>
      <w:divBdr>
        <w:top w:val="none" w:sz="0" w:space="0" w:color="auto"/>
        <w:left w:val="none" w:sz="0" w:space="0" w:color="auto"/>
        <w:bottom w:val="none" w:sz="0" w:space="0" w:color="auto"/>
        <w:right w:val="none" w:sz="0" w:space="0" w:color="auto"/>
      </w:divBdr>
    </w:div>
    <w:div w:id="837577592">
      <w:bodyDiv w:val="1"/>
      <w:marLeft w:val="0"/>
      <w:marRight w:val="0"/>
      <w:marTop w:val="0"/>
      <w:marBottom w:val="0"/>
      <w:divBdr>
        <w:top w:val="none" w:sz="0" w:space="0" w:color="auto"/>
        <w:left w:val="none" w:sz="0" w:space="0" w:color="auto"/>
        <w:bottom w:val="none" w:sz="0" w:space="0" w:color="auto"/>
        <w:right w:val="none" w:sz="0" w:space="0" w:color="auto"/>
      </w:divBdr>
    </w:div>
    <w:div w:id="844900104">
      <w:bodyDiv w:val="1"/>
      <w:marLeft w:val="0"/>
      <w:marRight w:val="0"/>
      <w:marTop w:val="0"/>
      <w:marBottom w:val="0"/>
      <w:divBdr>
        <w:top w:val="none" w:sz="0" w:space="0" w:color="auto"/>
        <w:left w:val="none" w:sz="0" w:space="0" w:color="auto"/>
        <w:bottom w:val="none" w:sz="0" w:space="0" w:color="auto"/>
        <w:right w:val="none" w:sz="0" w:space="0" w:color="auto"/>
      </w:divBdr>
    </w:div>
    <w:div w:id="853417144">
      <w:bodyDiv w:val="1"/>
      <w:marLeft w:val="0"/>
      <w:marRight w:val="0"/>
      <w:marTop w:val="0"/>
      <w:marBottom w:val="0"/>
      <w:divBdr>
        <w:top w:val="none" w:sz="0" w:space="0" w:color="auto"/>
        <w:left w:val="none" w:sz="0" w:space="0" w:color="auto"/>
        <w:bottom w:val="none" w:sz="0" w:space="0" w:color="auto"/>
        <w:right w:val="none" w:sz="0" w:space="0" w:color="auto"/>
      </w:divBdr>
    </w:div>
    <w:div w:id="859078475">
      <w:bodyDiv w:val="1"/>
      <w:marLeft w:val="0"/>
      <w:marRight w:val="0"/>
      <w:marTop w:val="0"/>
      <w:marBottom w:val="0"/>
      <w:divBdr>
        <w:top w:val="none" w:sz="0" w:space="0" w:color="auto"/>
        <w:left w:val="none" w:sz="0" w:space="0" w:color="auto"/>
        <w:bottom w:val="none" w:sz="0" w:space="0" w:color="auto"/>
        <w:right w:val="none" w:sz="0" w:space="0" w:color="auto"/>
      </w:divBdr>
    </w:div>
    <w:div w:id="868377463">
      <w:bodyDiv w:val="1"/>
      <w:marLeft w:val="0"/>
      <w:marRight w:val="0"/>
      <w:marTop w:val="0"/>
      <w:marBottom w:val="0"/>
      <w:divBdr>
        <w:top w:val="none" w:sz="0" w:space="0" w:color="auto"/>
        <w:left w:val="none" w:sz="0" w:space="0" w:color="auto"/>
        <w:bottom w:val="none" w:sz="0" w:space="0" w:color="auto"/>
        <w:right w:val="none" w:sz="0" w:space="0" w:color="auto"/>
      </w:divBdr>
    </w:div>
    <w:div w:id="881869477">
      <w:bodyDiv w:val="1"/>
      <w:marLeft w:val="0"/>
      <w:marRight w:val="0"/>
      <w:marTop w:val="0"/>
      <w:marBottom w:val="0"/>
      <w:divBdr>
        <w:top w:val="none" w:sz="0" w:space="0" w:color="auto"/>
        <w:left w:val="none" w:sz="0" w:space="0" w:color="auto"/>
        <w:bottom w:val="none" w:sz="0" w:space="0" w:color="auto"/>
        <w:right w:val="none" w:sz="0" w:space="0" w:color="auto"/>
      </w:divBdr>
    </w:div>
    <w:div w:id="890655176">
      <w:bodyDiv w:val="1"/>
      <w:marLeft w:val="0"/>
      <w:marRight w:val="0"/>
      <w:marTop w:val="0"/>
      <w:marBottom w:val="0"/>
      <w:divBdr>
        <w:top w:val="none" w:sz="0" w:space="0" w:color="auto"/>
        <w:left w:val="none" w:sz="0" w:space="0" w:color="auto"/>
        <w:bottom w:val="none" w:sz="0" w:space="0" w:color="auto"/>
        <w:right w:val="none" w:sz="0" w:space="0" w:color="auto"/>
      </w:divBdr>
    </w:div>
    <w:div w:id="898786555">
      <w:bodyDiv w:val="1"/>
      <w:marLeft w:val="0"/>
      <w:marRight w:val="0"/>
      <w:marTop w:val="0"/>
      <w:marBottom w:val="0"/>
      <w:divBdr>
        <w:top w:val="none" w:sz="0" w:space="0" w:color="auto"/>
        <w:left w:val="none" w:sz="0" w:space="0" w:color="auto"/>
        <w:bottom w:val="none" w:sz="0" w:space="0" w:color="auto"/>
        <w:right w:val="none" w:sz="0" w:space="0" w:color="auto"/>
      </w:divBdr>
    </w:div>
    <w:div w:id="903873805">
      <w:bodyDiv w:val="1"/>
      <w:marLeft w:val="0"/>
      <w:marRight w:val="0"/>
      <w:marTop w:val="0"/>
      <w:marBottom w:val="0"/>
      <w:divBdr>
        <w:top w:val="none" w:sz="0" w:space="0" w:color="auto"/>
        <w:left w:val="none" w:sz="0" w:space="0" w:color="auto"/>
        <w:bottom w:val="none" w:sz="0" w:space="0" w:color="auto"/>
        <w:right w:val="none" w:sz="0" w:space="0" w:color="auto"/>
      </w:divBdr>
    </w:div>
    <w:div w:id="919749818">
      <w:bodyDiv w:val="1"/>
      <w:marLeft w:val="0"/>
      <w:marRight w:val="0"/>
      <w:marTop w:val="0"/>
      <w:marBottom w:val="0"/>
      <w:divBdr>
        <w:top w:val="none" w:sz="0" w:space="0" w:color="auto"/>
        <w:left w:val="none" w:sz="0" w:space="0" w:color="auto"/>
        <w:bottom w:val="none" w:sz="0" w:space="0" w:color="auto"/>
        <w:right w:val="none" w:sz="0" w:space="0" w:color="auto"/>
      </w:divBdr>
    </w:div>
    <w:div w:id="921063252">
      <w:bodyDiv w:val="1"/>
      <w:marLeft w:val="0"/>
      <w:marRight w:val="0"/>
      <w:marTop w:val="0"/>
      <w:marBottom w:val="0"/>
      <w:divBdr>
        <w:top w:val="none" w:sz="0" w:space="0" w:color="auto"/>
        <w:left w:val="none" w:sz="0" w:space="0" w:color="auto"/>
        <w:bottom w:val="none" w:sz="0" w:space="0" w:color="auto"/>
        <w:right w:val="none" w:sz="0" w:space="0" w:color="auto"/>
      </w:divBdr>
    </w:div>
    <w:div w:id="935750107">
      <w:bodyDiv w:val="1"/>
      <w:marLeft w:val="0"/>
      <w:marRight w:val="0"/>
      <w:marTop w:val="0"/>
      <w:marBottom w:val="0"/>
      <w:divBdr>
        <w:top w:val="none" w:sz="0" w:space="0" w:color="auto"/>
        <w:left w:val="none" w:sz="0" w:space="0" w:color="auto"/>
        <w:bottom w:val="none" w:sz="0" w:space="0" w:color="auto"/>
        <w:right w:val="none" w:sz="0" w:space="0" w:color="auto"/>
      </w:divBdr>
    </w:div>
    <w:div w:id="957486783">
      <w:bodyDiv w:val="1"/>
      <w:marLeft w:val="0"/>
      <w:marRight w:val="0"/>
      <w:marTop w:val="0"/>
      <w:marBottom w:val="0"/>
      <w:divBdr>
        <w:top w:val="none" w:sz="0" w:space="0" w:color="auto"/>
        <w:left w:val="none" w:sz="0" w:space="0" w:color="auto"/>
        <w:bottom w:val="none" w:sz="0" w:space="0" w:color="auto"/>
        <w:right w:val="none" w:sz="0" w:space="0" w:color="auto"/>
      </w:divBdr>
    </w:div>
    <w:div w:id="961499087">
      <w:bodyDiv w:val="1"/>
      <w:marLeft w:val="0"/>
      <w:marRight w:val="0"/>
      <w:marTop w:val="0"/>
      <w:marBottom w:val="0"/>
      <w:divBdr>
        <w:top w:val="none" w:sz="0" w:space="0" w:color="auto"/>
        <w:left w:val="none" w:sz="0" w:space="0" w:color="auto"/>
        <w:bottom w:val="none" w:sz="0" w:space="0" w:color="auto"/>
        <w:right w:val="none" w:sz="0" w:space="0" w:color="auto"/>
      </w:divBdr>
    </w:div>
    <w:div w:id="964431542">
      <w:bodyDiv w:val="1"/>
      <w:marLeft w:val="0"/>
      <w:marRight w:val="0"/>
      <w:marTop w:val="0"/>
      <w:marBottom w:val="0"/>
      <w:divBdr>
        <w:top w:val="none" w:sz="0" w:space="0" w:color="auto"/>
        <w:left w:val="none" w:sz="0" w:space="0" w:color="auto"/>
        <w:bottom w:val="none" w:sz="0" w:space="0" w:color="auto"/>
        <w:right w:val="none" w:sz="0" w:space="0" w:color="auto"/>
      </w:divBdr>
    </w:div>
    <w:div w:id="974993798">
      <w:bodyDiv w:val="1"/>
      <w:marLeft w:val="0"/>
      <w:marRight w:val="0"/>
      <w:marTop w:val="0"/>
      <w:marBottom w:val="0"/>
      <w:divBdr>
        <w:top w:val="none" w:sz="0" w:space="0" w:color="auto"/>
        <w:left w:val="none" w:sz="0" w:space="0" w:color="auto"/>
        <w:bottom w:val="none" w:sz="0" w:space="0" w:color="auto"/>
        <w:right w:val="none" w:sz="0" w:space="0" w:color="auto"/>
      </w:divBdr>
    </w:div>
    <w:div w:id="1000696310">
      <w:bodyDiv w:val="1"/>
      <w:marLeft w:val="0"/>
      <w:marRight w:val="0"/>
      <w:marTop w:val="0"/>
      <w:marBottom w:val="0"/>
      <w:divBdr>
        <w:top w:val="none" w:sz="0" w:space="0" w:color="auto"/>
        <w:left w:val="none" w:sz="0" w:space="0" w:color="auto"/>
        <w:bottom w:val="none" w:sz="0" w:space="0" w:color="auto"/>
        <w:right w:val="none" w:sz="0" w:space="0" w:color="auto"/>
      </w:divBdr>
    </w:div>
    <w:div w:id="1020933133">
      <w:bodyDiv w:val="1"/>
      <w:marLeft w:val="0"/>
      <w:marRight w:val="0"/>
      <w:marTop w:val="0"/>
      <w:marBottom w:val="0"/>
      <w:divBdr>
        <w:top w:val="none" w:sz="0" w:space="0" w:color="auto"/>
        <w:left w:val="none" w:sz="0" w:space="0" w:color="auto"/>
        <w:bottom w:val="none" w:sz="0" w:space="0" w:color="auto"/>
        <w:right w:val="none" w:sz="0" w:space="0" w:color="auto"/>
      </w:divBdr>
    </w:div>
    <w:div w:id="1023507670">
      <w:bodyDiv w:val="1"/>
      <w:marLeft w:val="0"/>
      <w:marRight w:val="0"/>
      <w:marTop w:val="0"/>
      <w:marBottom w:val="0"/>
      <w:divBdr>
        <w:top w:val="none" w:sz="0" w:space="0" w:color="auto"/>
        <w:left w:val="none" w:sz="0" w:space="0" w:color="auto"/>
        <w:bottom w:val="none" w:sz="0" w:space="0" w:color="auto"/>
        <w:right w:val="none" w:sz="0" w:space="0" w:color="auto"/>
      </w:divBdr>
    </w:div>
    <w:div w:id="1030304989">
      <w:bodyDiv w:val="1"/>
      <w:marLeft w:val="0"/>
      <w:marRight w:val="0"/>
      <w:marTop w:val="0"/>
      <w:marBottom w:val="0"/>
      <w:divBdr>
        <w:top w:val="none" w:sz="0" w:space="0" w:color="auto"/>
        <w:left w:val="none" w:sz="0" w:space="0" w:color="auto"/>
        <w:bottom w:val="none" w:sz="0" w:space="0" w:color="auto"/>
        <w:right w:val="none" w:sz="0" w:space="0" w:color="auto"/>
      </w:divBdr>
    </w:div>
    <w:div w:id="1043754365">
      <w:bodyDiv w:val="1"/>
      <w:marLeft w:val="0"/>
      <w:marRight w:val="0"/>
      <w:marTop w:val="0"/>
      <w:marBottom w:val="0"/>
      <w:divBdr>
        <w:top w:val="none" w:sz="0" w:space="0" w:color="auto"/>
        <w:left w:val="none" w:sz="0" w:space="0" w:color="auto"/>
        <w:bottom w:val="none" w:sz="0" w:space="0" w:color="auto"/>
        <w:right w:val="none" w:sz="0" w:space="0" w:color="auto"/>
      </w:divBdr>
    </w:div>
    <w:div w:id="1053388478">
      <w:bodyDiv w:val="1"/>
      <w:marLeft w:val="0"/>
      <w:marRight w:val="0"/>
      <w:marTop w:val="0"/>
      <w:marBottom w:val="0"/>
      <w:divBdr>
        <w:top w:val="none" w:sz="0" w:space="0" w:color="auto"/>
        <w:left w:val="none" w:sz="0" w:space="0" w:color="auto"/>
        <w:bottom w:val="none" w:sz="0" w:space="0" w:color="auto"/>
        <w:right w:val="none" w:sz="0" w:space="0" w:color="auto"/>
      </w:divBdr>
    </w:div>
    <w:div w:id="1068191409">
      <w:bodyDiv w:val="1"/>
      <w:marLeft w:val="0"/>
      <w:marRight w:val="0"/>
      <w:marTop w:val="0"/>
      <w:marBottom w:val="0"/>
      <w:divBdr>
        <w:top w:val="none" w:sz="0" w:space="0" w:color="auto"/>
        <w:left w:val="none" w:sz="0" w:space="0" w:color="auto"/>
        <w:bottom w:val="none" w:sz="0" w:space="0" w:color="auto"/>
        <w:right w:val="none" w:sz="0" w:space="0" w:color="auto"/>
      </w:divBdr>
    </w:div>
    <w:div w:id="1068764756">
      <w:bodyDiv w:val="1"/>
      <w:marLeft w:val="0"/>
      <w:marRight w:val="0"/>
      <w:marTop w:val="0"/>
      <w:marBottom w:val="0"/>
      <w:divBdr>
        <w:top w:val="none" w:sz="0" w:space="0" w:color="auto"/>
        <w:left w:val="none" w:sz="0" w:space="0" w:color="auto"/>
        <w:bottom w:val="none" w:sz="0" w:space="0" w:color="auto"/>
        <w:right w:val="none" w:sz="0" w:space="0" w:color="auto"/>
      </w:divBdr>
    </w:div>
    <w:div w:id="1072313266">
      <w:bodyDiv w:val="1"/>
      <w:marLeft w:val="0"/>
      <w:marRight w:val="0"/>
      <w:marTop w:val="0"/>
      <w:marBottom w:val="0"/>
      <w:divBdr>
        <w:top w:val="none" w:sz="0" w:space="0" w:color="auto"/>
        <w:left w:val="none" w:sz="0" w:space="0" w:color="auto"/>
        <w:bottom w:val="none" w:sz="0" w:space="0" w:color="auto"/>
        <w:right w:val="none" w:sz="0" w:space="0" w:color="auto"/>
      </w:divBdr>
    </w:div>
    <w:div w:id="1082218479">
      <w:bodyDiv w:val="1"/>
      <w:marLeft w:val="0"/>
      <w:marRight w:val="0"/>
      <w:marTop w:val="0"/>
      <w:marBottom w:val="0"/>
      <w:divBdr>
        <w:top w:val="none" w:sz="0" w:space="0" w:color="auto"/>
        <w:left w:val="none" w:sz="0" w:space="0" w:color="auto"/>
        <w:bottom w:val="none" w:sz="0" w:space="0" w:color="auto"/>
        <w:right w:val="none" w:sz="0" w:space="0" w:color="auto"/>
      </w:divBdr>
    </w:div>
    <w:div w:id="1086390294">
      <w:bodyDiv w:val="1"/>
      <w:marLeft w:val="0"/>
      <w:marRight w:val="0"/>
      <w:marTop w:val="0"/>
      <w:marBottom w:val="0"/>
      <w:divBdr>
        <w:top w:val="none" w:sz="0" w:space="0" w:color="auto"/>
        <w:left w:val="none" w:sz="0" w:space="0" w:color="auto"/>
        <w:bottom w:val="none" w:sz="0" w:space="0" w:color="auto"/>
        <w:right w:val="none" w:sz="0" w:space="0" w:color="auto"/>
      </w:divBdr>
    </w:div>
    <w:div w:id="1092166306">
      <w:bodyDiv w:val="1"/>
      <w:marLeft w:val="0"/>
      <w:marRight w:val="0"/>
      <w:marTop w:val="0"/>
      <w:marBottom w:val="0"/>
      <w:divBdr>
        <w:top w:val="none" w:sz="0" w:space="0" w:color="auto"/>
        <w:left w:val="none" w:sz="0" w:space="0" w:color="auto"/>
        <w:bottom w:val="none" w:sz="0" w:space="0" w:color="auto"/>
        <w:right w:val="none" w:sz="0" w:space="0" w:color="auto"/>
      </w:divBdr>
    </w:div>
    <w:div w:id="1094286197">
      <w:bodyDiv w:val="1"/>
      <w:marLeft w:val="0"/>
      <w:marRight w:val="0"/>
      <w:marTop w:val="0"/>
      <w:marBottom w:val="0"/>
      <w:divBdr>
        <w:top w:val="none" w:sz="0" w:space="0" w:color="auto"/>
        <w:left w:val="none" w:sz="0" w:space="0" w:color="auto"/>
        <w:bottom w:val="none" w:sz="0" w:space="0" w:color="auto"/>
        <w:right w:val="none" w:sz="0" w:space="0" w:color="auto"/>
      </w:divBdr>
    </w:div>
    <w:div w:id="1100679831">
      <w:bodyDiv w:val="1"/>
      <w:marLeft w:val="0"/>
      <w:marRight w:val="0"/>
      <w:marTop w:val="0"/>
      <w:marBottom w:val="0"/>
      <w:divBdr>
        <w:top w:val="none" w:sz="0" w:space="0" w:color="auto"/>
        <w:left w:val="none" w:sz="0" w:space="0" w:color="auto"/>
        <w:bottom w:val="none" w:sz="0" w:space="0" w:color="auto"/>
        <w:right w:val="none" w:sz="0" w:space="0" w:color="auto"/>
      </w:divBdr>
    </w:div>
    <w:div w:id="1109929595">
      <w:bodyDiv w:val="1"/>
      <w:marLeft w:val="0"/>
      <w:marRight w:val="0"/>
      <w:marTop w:val="0"/>
      <w:marBottom w:val="0"/>
      <w:divBdr>
        <w:top w:val="none" w:sz="0" w:space="0" w:color="auto"/>
        <w:left w:val="none" w:sz="0" w:space="0" w:color="auto"/>
        <w:bottom w:val="none" w:sz="0" w:space="0" w:color="auto"/>
        <w:right w:val="none" w:sz="0" w:space="0" w:color="auto"/>
      </w:divBdr>
    </w:div>
    <w:div w:id="1113477108">
      <w:bodyDiv w:val="1"/>
      <w:marLeft w:val="0"/>
      <w:marRight w:val="0"/>
      <w:marTop w:val="0"/>
      <w:marBottom w:val="0"/>
      <w:divBdr>
        <w:top w:val="none" w:sz="0" w:space="0" w:color="auto"/>
        <w:left w:val="none" w:sz="0" w:space="0" w:color="auto"/>
        <w:bottom w:val="none" w:sz="0" w:space="0" w:color="auto"/>
        <w:right w:val="none" w:sz="0" w:space="0" w:color="auto"/>
      </w:divBdr>
    </w:div>
    <w:div w:id="1119570833">
      <w:bodyDiv w:val="1"/>
      <w:marLeft w:val="0"/>
      <w:marRight w:val="0"/>
      <w:marTop w:val="0"/>
      <w:marBottom w:val="0"/>
      <w:divBdr>
        <w:top w:val="none" w:sz="0" w:space="0" w:color="auto"/>
        <w:left w:val="none" w:sz="0" w:space="0" w:color="auto"/>
        <w:bottom w:val="none" w:sz="0" w:space="0" w:color="auto"/>
        <w:right w:val="none" w:sz="0" w:space="0" w:color="auto"/>
      </w:divBdr>
    </w:div>
    <w:div w:id="1122385216">
      <w:bodyDiv w:val="1"/>
      <w:marLeft w:val="0"/>
      <w:marRight w:val="0"/>
      <w:marTop w:val="0"/>
      <w:marBottom w:val="0"/>
      <w:divBdr>
        <w:top w:val="none" w:sz="0" w:space="0" w:color="auto"/>
        <w:left w:val="none" w:sz="0" w:space="0" w:color="auto"/>
        <w:bottom w:val="none" w:sz="0" w:space="0" w:color="auto"/>
        <w:right w:val="none" w:sz="0" w:space="0" w:color="auto"/>
      </w:divBdr>
    </w:div>
    <w:div w:id="1156456085">
      <w:bodyDiv w:val="1"/>
      <w:marLeft w:val="0"/>
      <w:marRight w:val="0"/>
      <w:marTop w:val="0"/>
      <w:marBottom w:val="0"/>
      <w:divBdr>
        <w:top w:val="none" w:sz="0" w:space="0" w:color="auto"/>
        <w:left w:val="none" w:sz="0" w:space="0" w:color="auto"/>
        <w:bottom w:val="none" w:sz="0" w:space="0" w:color="auto"/>
        <w:right w:val="none" w:sz="0" w:space="0" w:color="auto"/>
      </w:divBdr>
    </w:div>
    <w:div w:id="1165321200">
      <w:bodyDiv w:val="1"/>
      <w:marLeft w:val="0"/>
      <w:marRight w:val="0"/>
      <w:marTop w:val="0"/>
      <w:marBottom w:val="0"/>
      <w:divBdr>
        <w:top w:val="none" w:sz="0" w:space="0" w:color="auto"/>
        <w:left w:val="none" w:sz="0" w:space="0" w:color="auto"/>
        <w:bottom w:val="none" w:sz="0" w:space="0" w:color="auto"/>
        <w:right w:val="none" w:sz="0" w:space="0" w:color="auto"/>
      </w:divBdr>
    </w:div>
    <w:div w:id="1171991689">
      <w:bodyDiv w:val="1"/>
      <w:marLeft w:val="0"/>
      <w:marRight w:val="0"/>
      <w:marTop w:val="0"/>
      <w:marBottom w:val="0"/>
      <w:divBdr>
        <w:top w:val="none" w:sz="0" w:space="0" w:color="auto"/>
        <w:left w:val="none" w:sz="0" w:space="0" w:color="auto"/>
        <w:bottom w:val="none" w:sz="0" w:space="0" w:color="auto"/>
        <w:right w:val="none" w:sz="0" w:space="0" w:color="auto"/>
      </w:divBdr>
    </w:div>
    <w:div w:id="1174153378">
      <w:bodyDiv w:val="1"/>
      <w:marLeft w:val="0"/>
      <w:marRight w:val="0"/>
      <w:marTop w:val="0"/>
      <w:marBottom w:val="0"/>
      <w:divBdr>
        <w:top w:val="none" w:sz="0" w:space="0" w:color="auto"/>
        <w:left w:val="none" w:sz="0" w:space="0" w:color="auto"/>
        <w:bottom w:val="none" w:sz="0" w:space="0" w:color="auto"/>
        <w:right w:val="none" w:sz="0" w:space="0" w:color="auto"/>
      </w:divBdr>
    </w:div>
    <w:div w:id="1175655135">
      <w:bodyDiv w:val="1"/>
      <w:marLeft w:val="0"/>
      <w:marRight w:val="0"/>
      <w:marTop w:val="0"/>
      <w:marBottom w:val="0"/>
      <w:divBdr>
        <w:top w:val="none" w:sz="0" w:space="0" w:color="auto"/>
        <w:left w:val="none" w:sz="0" w:space="0" w:color="auto"/>
        <w:bottom w:val="none" w:sz="0" w:space="0" w:color="auto"/>
        <w:right w:val="none" w:sz="0" w:space="0" w:color="auto"/>
      </w:divBdr>
    </w:div>
    <w:div w:id="1179807729">
      <w:bodyDiv w:val="1"/>
      <w:marLeft w:val="0"/>
      <w:marRight w:val="0"/>
      <w:marTop w:val="0"/>
      <w:marBottom w:val="0"/>
      <w:divBdr>
        <w:top w:val="none" w:sz="0" w:space="0" w:color="auto"/>
        <w:left w:val="none" w:sz="0" w:space="0" w:color="auto"/>
        <w:bottom w:val="none" w:sz="0" w:space="0" w:color="auto"/>
        <w:right w:val="none" w:sz="0" w:space="0" w:color="auto"/>
      </w:divBdr>
    </w:div>
    <w:div w:id="1191182440">
      <w:bodyDiv w:val="1"/>
      <w:marLeft w:val="0"/>
      <w:marRight w:val="0"/>
      <w:marTop w:val="0"/>
      <w:marBottom w:val="0"/>
      <w:divBdr>
        <w:top w:val="none" w:sz="0" w:space="0" w:color="auto"/>
        <w:left w:val="none" w:sz="0" w:space="0" w:color="auto"/>
        <w:bottom w:val="none" w:sz="0" w:space="0" w:color="auto"/>
        <w:right w:val="none" w:sz="0" w:space="0" w:color="auto"/>
      </w:divBdr>
    </w:div>
    <w:div w:id="1191258404">
      <w:bodyDiv w:val="1"/>
      <w:marLeft w:val="0"/>
      <w:marRight w:val="0"/>
      <w:marTop w:val="0"/>
      <w:marBottom w:val="0"/>
      <w:divBdr>
        <w:top w:val="none" w:sz="0" w:space="0" w:color="auto"/>
        <w:left w:val="none" w:sz="0" w:space="0" w:color="auto"/>
        <w:bottom w:val="none" w:sz="0" w:space="0" w:color="auto"/>
        <w:right w:val="none" w:sz="0" w:space="0" w:color="auto"/>
      </w:divBdr>
    </w:div>
    <w:div w:id="1201095249">
      <w:bodyDiv w:val="1"/>
      <w:marLeft w:val="0"/>
      <w:marRight w:val="0"/>
      <w:marTop w:val="0"/>
      <w:marBottom w:val="0"/>
      <w:divBdr>
        <w:top w:val="none" w:sz="0" w:space="0" w:color="auto"/>
        <w:left w:val="none" w:sz="0" w:space="0" w:color="auto"/>
        <w:bottom w:val="none" w:sz="0" w:space="0" w:color="auto"/>
        <w:right w:val="none" w:sz="0" w:space="0" w:color="auto"/>
      </w:divBdr>
    </w:div>
    <w:div w:id="1205555355">
      <w:bodyDiv w:val="1"/>
      <w:marLeft w:val="0"/>
      <w:marRight w:val="0"/>
      <w:marTop w:val="0"/>
      <w:marBottom w:val="0"/>
      <w:divBdr>
        <w:top w:val="none" w:sz="0" w:space="0" w:color="auto"/>
        <w:left w:val="none" w:sz="0" w:space="0" w:color="auto"/>
        <w:bottom w:val="none" w:sz="0" w:space="0" w:color="auto"/>
        <w:right w:val="none" w:sz="0" w:space="0" w:color="auto"/>
      </w:divBdr>
    </w:div>
    <w:div w:id="1207719695">
      <w:bodyDiv w:val="1"/>
      <w:marLeft w:val="0"/>
      <w:marRight w:val="0"/>
      <w:marTop w:val="0"/>
      <w:marBottom w:val="0"/>
      <w:divBdr>
        <w:top w:val="none" w:sz="0" w:space="0" w:color="auto"/>
        <w:left w:val="none" w:sz="0" w:space="0" w:color="auto"/>
        <w:bottom w:val="none" w:sz="0" w:space="0" w:color="auto"/>
        <w:right w:val="none" w:sz="0" w:space="0" w:color="auto"/>
      </w:divBdr>
    </w:div>
    <w:div w:id="1209413100">
      <w:bodyDiv w:val="1"/>
      <w:marLeft w:val="0"/>
      <w:marRight w:val="0"/>
      <w:marTop w:val="0"/>
      <w:marBottom w:val="0"/>
      <w:divBdr>
        <w:top w:val="none" w:sz="0" w:space="0" w:color="auto"/>
        <w:left w:val="none" w:sz="0" w:space="0" w:color="auto"/>
        <w:bottom w:val="none" w:sz="0" w:space="0" w:color="auto"/>
        <w:right w:val="none" w:sz="0" w:space="0" w:color="auto"/>
      </w:divBdr>
    </w:div>
    <w:div w:id="1216966346">
      <w:bodyDiv w:val="1"/>
      <w:marLeft w:val="0"/>
      <w:marRight w:val="0"/>
      <w:marTop w:val="0"/>
      <w:marBottom w:val="0"/>
      <w:divBdr>
        <w:top w:val="none" w:sz="0" w:space="0" w:color="auto"/>
        <w:left w:val="none" w:sz="0" w:space="0" w:color="auto"/>
        <w:bottom w:val="none" w:sz="0" w:space="0" w:color="auto"/>
        <w:right w:val="none" w:sz="0" w:space="0" w:color="auto"/>
      </w:divBdr>
    </w:div>
    <w:div w:id="1224755485">
      <w:bodyDiv w:val="1"/>
      <w:marLeft w:val="0"/>
      <w:marRight w:val="0"/>
      <w:marTop w:val="0"/>
      <w:marBottom w:val="0"/>
      <w:divBdr>
        <w:top w:val="none" w:sz="0" w:space="0" w:color="auto"/>
        <w:left w:val="none" w:sz="0" w:space="0" w:color="auto"/>
        <w:bottom w:val="none" w:sz="0" w:space="0" w:color="auto"/>
        <w:right w:val="none" w:sz="0" w:space="0" w:color="auto"/>
      </w:divBdr>
    </w:div>
    <w:div w:id="1234199311">
      <w:bodyDiv w:val="1"/>
      <w:marLeft w:val="0"/>
      <w:marRight w:val="0"/>
      <w:marTop w:val="0"/>
      <w:marBottom w:val="0"/>
      <w:divBdr>
        <w:top w:val="none" w:sz="0" w:space="0" w:color="auto"/>
        <w:left w:val="none" w:sz="0" w:space="0" w:color="auto"/>
        <w:bottom w:val="none" w:sz="0" w:space="0" w:color="auto"/>
        <w:right w:val="none" w:sz="0" w:space="0" w:color="auto"/>
      </w:divBdr>
    </w:div>
    <w:div w:id="1242058966">
      <w:bodyDiv w:val="1"/>
      <w:marLeft w:val="0"/>
      <w:marRight w:val="0"/>
      <w:marTop w:val="0"/>
      <w:marBottom w:val="0"/>
      <w:divBdr>
        <w:top w:val="none" w:sz="0" w:space="0" w:color="auto"/>
        <w:left w:val="none" w:sz="0" w:space="0" w:color="auto"/>
        <w:bottom w:val="none" w:sz="0" w:space="0" w:color="auto"/>
        <w:right w:val="none" w:sz="0" w:space="0" w:color="auto"/>
      </w:divBdr>
    </w:div>
    <w:div w:id="1242524176">
      <w:bodyDiv w:val="1"/>
      <w:marLeft w:val="0"/>
      <w:marRight w:val="0"/>
      <w:marTop w:val="0"/>
      <w:marBottom w:val="0"/>
      <w:divBdr>
        <w:top w:val="none" w:sz="0" w:space="0" w:color="auto"/>
        <w:left w:val="none" w:sz="0" w:space="0" w:color="auto"/>
        <w:bottom w:val="none" w:sz="0" w:space="0" w:color="auto"/>
        <w:right w:val="none" w:sz="0" w:space="0" w:color="auto"/>
      </w:divBdr>
    </w:div>
    <w:div w:id="1247350180">
      <w:bodyDiv w:val="1"/>
      <w:marLeft w:val="0"/>
      <w:marRight w:val="0"/>
      <w:marTop w:val="0"/>
      <w:marBottom w:val="0"/>
      <w:divBdr>
        <w:top w:val="none" w:sz="0" w:space="0" w:color="auto"/>
        <w:left w:val="none" w:sz="0" w:space="0" w:color="auto"/>
        <w:bottom w:val="none" w:sz="0" w:space="0" w:color="auto"/>
        <w:right w:val="none" w:sz="0" w:space="0" w:color="auto"/>
      </w:divBdr>
    </w:div>
    <w:div w:id="1257592557">
      <w:bodyDiv w:val="1"/>
      <w:marLeft w:val="0"/>
      <w:marRight w:val="0"/>
      <w:marTop w:val="0"/>
      <w:marBottom w:val="0"/>
      <w:divBdr>
        <w:top w:val="none" w:sz="0" w:space="0" w:color="auto"/>
        <w:left w:val="none" w:sz="0" w:space="0" w:color="auto"/>
        <w:bottom w:val="none" w:sz="0" w:space="0" w:color="auto"/>
        <w:right w:val="none" w:sz="0" w:space="0" w:color="auto"/>
      </w:divBdr>
    </w:div>
    <w:div w:id="1261714990">
      <w:bodyDiv w:val="1"/>
      <w:marLeft w:val="0"/>
      <w:marRight w:val="0"/>
      <w:marTop w:val="0"/>
      <w:marBottom w:val="0"/>
      <w:divBdr>
        <w:top w:val="none" w:sz="0" w:space="0" w:color="auto"/>
        <w:left w:val="none" w:sz="0" w:space="0" w:color="auto"/>
        <w:bottom w:val="none" w:sz="0" w:space="0" w:color="auto"/>
        <w:right w:val="none" w:sz="0" w:space="0" w:color="auto"/>
      </w:divBdr>
    </w:div>
    <w:div w:id="1268273925">
      <w:bodyDiv w:val="1"/>
      <w:marLeft w:val="0"/>
      <w:marRight w:val="0"/>
      <w:marTop w:val="0"/>
      <w:marBottom w:val="0"/>
      <w:divBdr>
        <w:top w:val="none" w:sz="0" w:space="0" w:color="auto"/>
        <w:left w:val="none" w:sz="0" w:space="0" w:color="auto"/>
        <w:bottom w:val="none" w:sz="0" w:space="0" w:color="auto"/>
        <w:right w:val="none" w:sz="0" w:space="0" w:color="auto"/>
      </w:divBdr>
    </w:div>
    <w:div w:id="1293900372">
      <w:bodyDiv w:val="1"/>
      <w:marLeft w:val="0"/>
      <w:marRight w:val="0"/>
      <w:marTop w:val="0"/>
      <w:marBottom w:val="0"/>
      <w:divBdr>
        <w:top w:val="none" w:sz="0" w:space="0" w:color="auto"/>
        <w:left w:val="none" w:sz="0" w:space="0" w:color="auto"/>
        <w:bottom w:val="none" w:sz="0" w:space="0" w:color="auto"/>
        <w:right w:val="none" w:sz="0" w:space="0" w:color="auto"/>
      </w:divBdr>
    </w:div>
    <w:div w:id="1298603807">
      <w:bodyDiv w:val="1"/>
      <w:marLeft w:val="0"/>
      <w:marRight w:val="0"/>
      <w:marTop w:val="0"/>
      <w:marBottom w:val="0"/>
      <w:divBdr>
        <w:top w:val="none" w:sz="0" w:space="0" w:color="auto"/>
        <w:left w:val="none" w:sz="0" w:space="0" w:color="auto"/>
        <w:bottom w:val="none" w:sz="0" w:space="0" w:color="auto"/>
        <w:right w:val="none" w:sz="0" w:space="0" w:color="auto"/>
      </w:divBdr>
    </w:div>
    <w:div w:id="1304894312">
      <w:bodyDiv w:val="1"/>
      <w:marLeft w:val="0"/>
      <w:marRight w:val="0"/>
      <w:marTop w:val="0"/>
      <w:marBottom w:val="0"/>
      <w:divBdr>
        <w:top w:val="none" w:sz="0" w:space="0" w:color="auto"/>
        <w:left w:val="none" w:sz="0" w:space="0" w:color="auto"/>
        <w:bottom w:val="none" w:sz="0" w:space="0" w:color="auto"/>
        <w:right w:val="none" w:sz="0" w:space="0" w:color="auto"/>
      </w:divBdr>
    </w:div>
    <w:div w:id="1305889202">
      <w:bodyDiv w:val="1"/>
      <w:marLeft w:val="0"/>
      <w:marRight w:val="0"/>
      <w:marTop w:val="0"/>
      <w:marBottom w:val="0"/>
      <w:divBdr>
        <w:top w:val="none" w:sz="0" w:space="0" w:color="auto"/>
        <w:left w:val="none" w:sz="0" w:space="0" w:color="auto"/>
        <w:bottom w:val="none" w:sz="0" w:space="0" w:color="auto"/>
        <w:right w:val="none" w:sz="0" w:space="0" w:color="auto"/>
      </w:divBdr>
    </w:div>
    <w:div w:id="1324700651">
      <w:bodyDiv w:val="1"/>
      <w:marLeft w:val="0"/>
      <w:marRight w:val="0"/>
      <w:marTop w:val="0"/>
      <w:marBottom w:val="0"/>
      <w:divBdr>
        <w:top w:val="none" w:sz="0" w:space="0" w:color="auto"/>
        <w:left w:val="none" w:sz="0" w:space="0" w:color="auto"/>
        <w:bottom w:val="none" w:sz="0" w:space="0" w:color="auto"/>
        <w:right w:val="none" w:sz="0" w:space="0" w:color="auto"/>
      </w:divBdr>
    </w:div>
    <w:div w:id="1325746598">
      <w:bodyDiv w:val="1"/>
      <w:marLeft w:val="0"/>
      <w:marRight w:val="0"/>
      <w:marTop w:val="0"/>
      <w:marBottom w:val="0"/>
      <w:divBdr>
        <w:top w:val="none" w:sz="0" w:space="0" w:color="auto"/>
        <w:left w:val="none" w:sz="0" w:space="0" w:color="auto"/>
        <w:bottom w:val="none" w:sz="0" w:space="0" w:color="auto"/>
        <w:right w:val="none" w:sz="0" w:space="0" w:color="auto"/>
      </w:divBdr>
    </w:div>
    <w:div w:id="1333069246">
      <w:bodyDiv w:val="1"/>
      <w:marLeft w:val="0"/>
      <w:marRight w:val="0"/>
      <w:marTop w:val="0"/>
      <w:marBottom w:val="0"/>
      <w:divBdr>
        <w:top w:val="none" w:sz="0" w:space="0" w:color="auto"/>
        <w:left w:val="none" w:sz="0" w:space="0" w:color="auto"/>
        <w:bottom w:val="none" w:sz="0" w:space="0" w:color="auto"/>
        <w:right w:val="none" w:sz="0" w:space="0" w:color="auto"/>
      </w:divBdr>
    </w:div>
    <w:div w:id="1338070382">
      <w:bodyDiv w:val="1"/>
      <w:marLeft w:val="0"/>
      <w:marRight w:val="0"/>
      <w:marTop w:val="0"/>
      <w:marBottom w:val="0"/>
      <w:divBdr>
        <w:top w:val="none" w:sz="0" w:space="0" w:color="auto"/>
        <w:left w:val="none" w:sz="0" w:space="0" w:color="auto"/>
        <w:bottom w:val="none" w:sz="0" w:space="0" w:color="auto"/>
        <w:right w:val="none" w:sz="0" w:space="0" w:color="auto"/>
      </w:divBdr>
    </w:div>
    <w:div w:id="1364597037">
      <w:bodyDiv w:val="1"/>
      <w:marLeft w:val="0"/>
      <w:marRight w:val="0"/>
      <w:marTop w:val="0"/>
      <w:marBottom w:val="0"/>
      <w:divBdr>
        <w:top w:val="none" w:sz="0" w:space="0" w:color="auto"/>
        <w:left w:val="none" w:sz="0" w:space="0" w:color="auto"/>
        <w:bottom w:val="none" w:sz="0" w:space="0" w:color="auto"/>
        <w:right w:val="none" w:sz="0" w:space="0" w:color="auto"/>
      </w:divBdr>
    </w:div>
    <w:div w:id="1371954195">
      <w:bodyDiv w:val="1"/>
      <w:marLeft w:val="0"/>
      <w:marRight w:val="0"/>
      <w:marTop w:val="0"/>
      <w:marBottom w:val="0"/>
      <w:divBdr>
        <w:top w:val="none" w:sz="0" w:space="0" w:color="auto"/>
        <w:left w:val="none" w:sz="0" w:space="0" w:color="auto"/>
        <w:bottom w:val="none" w:sz="0" w:space="0" w:color="auto"/>
        <w:right w:val="none" w:sz="0" w:space="0" w:color="auto"/>
      </w:divBdr>
    </w:div>
    <w:div w:id="1395273658">
      <w:bodyDiv w:val="1"/>
      <w:marLeft w:val="0"/>
      <w:marRight w:val="0"/>
      <w:marTop w:val="0"/>
      <w:marBottom w:val="0"/>
      <w:divBdr>
        <w:top w:val="none" w:sz="0" w:space="0" w:color="auto"/>
        <w:left w:val="none" w:sz="0" w:space="0" w:color="auto"/>
        <w:bottom w:val="none" w:sz="0" w:space="0" w:color="auto"/>
        <w:right w:val="none" w:sz="0" w:space="0" w:color="auto"/>
      </w:divBdr>
    </w:div>
    <w:div w:id="1399129305">
      <w:bodyDiv w:val="1"/>
      <w:marLeft w:val="0"/>
      <w:marRight w:val="0"/>
      <w:marTop w:val="0"/>
      <w:marBottom w:val="0"/>
      <w:divBdr>
        <w:top w:val="none" w:sz="0" w:space="0" w:color="auto"/>
        <w:left w:val="none" w:sz="0" w:space="0" w:color="auto"/>
        <w:bottom w:val="none" w:sz="0" w:space="0" w:color="auto"/>
        <w:right w:val="none" w:sz="0" w:space="0" w:color="auto"/>
      </w:divBdr>
    </w:div>
    <w:div w:id="1414664950">
      <w:bodyDiv w:val="1"/>
      <w:marLeft w:val="0"/>
      <w:marRight w:val="0"/>
      <w:marTop w:val="0"/>
      <w:marBottom w:val="0"/>
      <w:divBdr>
        <w:top w:val="none" w:sz="0" w:space="0" w:color="auto"/>
        <w:left w:val="none" w:sz="0" w:space="0" w:color="auto"/>
        <w:bottom w:val="none" w:sz="0" w:space="0" w:color="auto"/>
        <w:right w:val="none" w:sz="0" w:space="0" w:color="auto"/>
      </w:divBdr>
    </w:div>
    <w:div w:id="1430927670">
      <w:bodyDiv w:val="1"/>
      <w:marLeft w:val="0"/>
      <w:marRight w:val="0"/>
      <w:marTop w:val="0"/>
      <w:marBottom w:val="0"/>
      <w:divBdr>
        <w:top w:val="none" w:sz="0" w:space="0" w:color="auto"/>
        <w:left w:val="none" w:sz="0" w:space="0" w:color="auto"/>
        <w:bottom w:val="none" w:sz="0" w:space="0" w:color="auto"/>
        <w:right w:val="none" w:sz="0" w:space="0" w:color="auto"/>
      </w:divBdr>
    </w:div>
    <w:div w:id="1448043106">
      <w:bodyDiv w:val="1"/>
      <w:marLeft w:val="0"/>
      <w:marRight w:val="0"/>
      <w:marTop w:val="0"/>
      <w:marBottom w:val="0"/>
      <w:divBdr>
        <w:top w:val="none" w:sz="0" w:space="0" w:color="auto"/>
        <w:left w:val="none" w:sz="0" w:space="0" w:color="auto"/>
        <w:bottom w:val="none" w:sz="0" w:space="0" w:color="auto"/>
        <w:right w:val="none" w:sz="0" w:space="0" w:color="auto"/>
      </w:divBdr>
    </w:div>
    <w:div w:id="1458987253">
      <w:bodyDiv w:val="1"/>
      <w:marLeft w:val="0"/>
      <w:marRight w:val="0"/>
      <w:marTop w:val="0"/>
      <w:marBottom w:val="0"/>
      <w:divBdr>
        <w:top w:val="none" w:sz="0" w:space="0" w:color="auto"/>
        <w:left w:val="none" w:sz="0" w:space="0" w:color="auto"/>
        <w:bottom w:val="none" w:sz="0" w:space="0" w:color="auto"/>
        <w:right w:val="none" w:sz="0" w:space="0" w:color="auto"/>
      </w:divBdr>
    </w:div>
    <w:div w:id="1488206078">
      <w:bodyDiv w:val="1"/>
      <w:marLeft w:val="0"/>
      <w:marRight w:val="0"/>
      <w:marTop w:val="0"/>
      <w:marBottom w:val="0"/>
      <w:divBdr>
        <w:top w:val="none" w:sz="0" w:space="0" w:color="auto"/>
        <w:left w:val="none" w:sz="0" w:space="0" w:color="auto"/>
        <w:bottom w:val="none" w:sz="0" w:space="0" w:color="auto"/>
        <w:right w:val="none" w:sz="0" w:space="0" w:color="auto"/>
      </w:divBdr>
    </w:div>
    <w:div w:id="1492675256">
      <w:bodyDiv w:val="1"/>
      <w:marLeft w:val="0"/>
      <w:marRight w:val="0"/>
      <w:marTop w:val="0"/>
      <w:marBottom w:val="0"/>
      <w:divBdr>
        <w:top w:val="none" w:sz="0" w:space="0" w:color="auto"/>
        <w:left w:val="none" w:sz="0" w:space="0" w:color="auto"/>
        <w:bottom w:val="none" w:sz="0" w:space="0" w:color="auto"/>
        <w:right w:val="none" w:sz="0" w:space="0" w:color="auto"/>
      </w:divBdr>
    </w:div>
    <w:div w:id="1496335525">
      <w:bodyDiv w:val="1"/>
      <w:marLeft w:val="0"/>
      <w:marRight w:val="0"/>
      <w:marTop w:val="0"/>
      <w:marBottom w:val="0"/>
      <w:divBdr>
        <w:top w:val="none" w:sz="0" w:space="0" w:color="auto"/>
        <w:left w:val="none" w:sz="0" w:space="0" w:color="auto"/>
        <w:bottom w:val="none" w:sz="0" w:space="0" w:color="auto"/>
        <w:right w:val="none" w:sz="0" w:space="0" w:color="auto"/>
      </w:divBdr>
    </w:div>
    <w:div w:id="1497913116">
      <w:bodyDiv w:val="1"/>
      <w:marLeft w:val="0"/>
      <w:marRight w:val="0"/>
      <w:marTop w:val="0"/>
      <w:marBottom w:val="0"/>
      <w:divBdr>
        <w:top w:val="none" w:sz="0" w:space="0" w:color="auto"/>
        <w:left w:val="none" w:sz="0" w:space="0" w:color="auto"/>
        <w:bottom w:val="none" w:sz="0" w:space="0" w:color="auto"/>
        <w:right w:val="none" w:sz="0" w:space="0" w:color="auto"/>
      </w:divBdr>
    </w:div>
    <w:div w:id="1500003559">
      <w:bodyDiv w:val="1"/>
      <w:marLeft w:val="0"/>
      <w:marRight w:val="0"/>
      <w:marTop w:val="0"/>
      <w:marBottom w:val="0"/>
      <w:divBdr>
        <w:top w:val="none" w:sz="0" w:space="0" w:color="auto"/>
        <w:left w:val="none" w:sz="0" w:space="0" w:color="auto"/>
        <w:bottom w:val="none" w:sz="0" w:space="0" w:color="auto"/>
        <w:right w:val="none" w:sz="0" w:space="0" w:color="auto"/>
      </w:divBdr>
    </w:div>
    <w:div w:id="1509641372">
      <w:bodyDiv w:val="1"/>
      <w:marLeft w:val="0"/>
      <w:marRight w:val="0"/>
      <w:marTop w:val="0"/>
      <w:marBottom w:val="0"/>
      <w:divBdr>
        <w:top w:val="none" w:sz="0" w:space="0" w:color="auto"/>
        <w:left w:val="none" w:sz="0" w:space="0" w:color="auto"/>
        <w:bottom w:val="none" w:sz="0" w:space="0" w:color="auto"/>
        <w:right w:val="none" w:sz="0" w:space="0" w:color="auto"/>
      </w:divBdr>
    </w:div>
    <w:div w:id="1509785395">
      <w:bodyDiv w:val="1"/>
      <w:marLeft w:val="0"/>
      <w:marRight w:val="0"/>
      <w:marTop w:val="0"/>
      <w:marBottom w:val="0"/>
      <w:divBdr>
        <w:top w:val="none" w:sz="0" w:space="0" w:color="auto"/>
        <w:left w:val="none" w:sz="0" w:space="0" w:color="auto"/>
        <w:bottom w:val="none" w:sz="0" w:space="0" w:color="auto"/>
        <w:right w:val="none" w:sz="0" w:space="0" w:color="auto"/>
      </w:divBdr>
    </w:div>
    <w:div w:id="1515849663">
      <w:bodyDiv w:val="1"/>
      <w:marLeft w:val="0"/>
      <w:marRight w:val="0"/>
      <w:marTop w:val="0"/>
      <w:marBottom w:val="0"/>
      <w:divBdr>
        <w:top w:val="none" w:sz="0" w:space="0" w:color="auto"/>
        <w:left w:val="none" w:sz="0" w:space="0" w:color="auto"/>
        <w:bottom w:val="none" w:sz="0" w:space="0" w:color="auto"/>
        <w:right w:val="none" w:sz="0" w:space="0" w:color="auto"/>
      </w:divBdr>
    </w:div>
    <w:div w:id="1521043173">
      <w:bodyDiv w:val="1"/>
      <w:marLeft w:val="0"/>
      <w:marRight w:val="0"/>
      <w:marTop w:val="0"/>
      <w:marBottom w:val="0"/>
      <w:divBdr>
        <w:top w:val="none" w:sz="0" w:space="0" w:color="auto"/>
        <w:left w:val="none" w:sz="0" w:space="0" w:color="auto"/>
        <w:bottom w:val="none" w:sz="0" w:space="0" w:color="auto"/>
        <w:right w:val="none" w:sz="0" w:space="0" w:color="auto"/>
      </w:divBdr>
    </w:div>
    <w:div w:id="1521119334">
      <w:bodyDiv w:val="1"/>
      <w:marLeft w:val="0"/>
      <w:marRight w:val="0"/>
      <w:marTop w:val="0"/>
      <w:marBottom w:val="0"/>
      <w:divBdr>
        <w:top w:val="none" w:sz="0" w:space="0" w:color="auto"/>
        <w:left w:val="none" w:sz="0" w:space="0" w:color="auto"/>
        <w:bottom w:val="none" w:sz="0" w:space="0" w:color="auto"/>
        <w:right w:val="none" w:sz="0" w:space="0" w:color="auto"/>
      </w:divBdr>
    </w:div>
    <w:div w:id="1521627365">
      <w:bodyDiv w:val="1"/>
      <w:marLeft w:val="0"/>
      <w:marRight w:val="0"/>
      <w:marTop w:val="0"/>
      <w:marBottom w:val="0"/>
      <w:divBdr>
        <w:top w:val="none" w:sz="0" w:space="0" w:color="auto"/>
        <w:left w:val="none" w:sz="0" w:space="0" w:color="auto"/>
        <w:bottom w:val="none" w:sz="0" w:space="0" w:color="auto"/>
        <w:right w:val="none" w:sz="0" w:space="0" w:color="auto"/>
      </w:divBdr>
    </w:div>
    <w:div w:id="1524585854">
      <w:bodyDiv w:val="1"/>
      <w:marLeft w:val="0"/>
      <w:marRight w:val="0"/>
      <w:marTop w:val="0"/>
      <w:marBottom w:val="0"/>
      <w:divBdr>
        <w:top w:val="none" w:sz="0" w:space="0" w:color="auto"/>
        <w:left w:val="none" w:sz="0" w:space="0" w:color="auto"/>
        <w:bottom w:val="none" w:sz="0" w:space="0" w:color="auto"/>
        <w:right w:val="none" w:sz="0" w:space="0" w:color="auto"/>
      </w:divBdr>
    </w:div>
    <w:div w:id="1526018600">
      <w:bodyDiv w:val="1"/>
      <w:marLeft w:val="0"/>
      <w:marRight w:val="0"/>
      <w:marTop w:val="0"/>
      <w:marBottom w:val="0"/>
      <w:divBdr>
        <w:top w:val="none" w:sz="0" w:space="0" w:color="auto"/>
        <w:left w:val="none" w:sz="0" w:space="0" w:color="auto"/>
        <w:bottom w:val="none" w:sz="0" w:space="0" w:color="auto"/>
        <w:right w:val="none" w:sz="0" w:space="0" w:color="auto"/>
      </w:divBdr>
    </w:div>
    <w:div w:id="1526476404">
      <w:bodyDiv w:val="1"/>
      <w:marLeft w:val="0"/>
      <w:marRight w:val="0"/>
      <w:marTop w:val="0"/>
      <w:marBottom w:val="0"/>
      <w:divBdr>
        <w:top w:val="none" w:sz="0" w:space="0" w:color="auto"/>
        <w:left w:val="none" w:sz="0" w:space="0" w:color="auto"/>
        <w:bottom w:val="none" w:sz="0" w:space="0" w:color="auto"/>
        <w:right w:val="none" w:sz="0" w:space="0" w:color="auto"/>
      </w:divBdr>
    </w:div>
    <w:div w:id="1529178356">
      <w:bodyDiv w:val="1"/>
      <w:marLeft w:val="0"/>
      <w:marRight w:val="0"/>
      <w:marTop w:val="0"/>
      <w:marBottom w:val="0"/>
      <w:divBdr>
        <w:top w:val="none" w:sz="0" w:space="0" w:color="auto"/>
        <w:left w:val="none" w:sz="0" w:space="0" w:color="auto"/>
        <w:bottom w:val="none" w:sz="0" w:space="0" w:color="auto"/>
        <w:right w:val="none" w:sz="0" w:space="0" w:color="auto"/>
      </w:divBdr>
    </w:div>
    <w:div w:id="1534417021">
      <w:bodyDiv w:val="1"/>
      <w:marLeft w:val="0"/>
      <w:marRight w:val="0"/>
      <w:marTop w:val="0"/>
      <w:marBottom w:val="0"/>
      <w:divBdr>
        <w:top w:val="none" w:sz="0" w:space="0" w:color="auto"/>
        <w:left w:val="none" w:sz="0" w:space="0" w:color="auto"/>
        <w:bottom w:val="none" w:sz="0" w:space="0" w:color="auto"/>
        <w:right w:val="none" w:sz="0" w:space="0" w:color="auto"/>
      </w:divBdr>
    </w:div>
    <w:div w:id="1538271381">
      <w:bodyDiv w:val="1"/>
      <w:marLeft w:val="0"/>
      <w:marRight w:val="0"/>
      <w:marTop w:val="0"/>
      <w:marBottom w:val="0"/>
      <w:divBdr>
        <w:top w:val="none" w:sz="0" w:space="0" w:color="auto"/>
        <w:left w:val="none" w:sz="0" w:space="0" w:color="auto"/>
        <w:bottom w:val="none" w:sz="0" w:space="0" w:color="auto"/>
        <w:right w:val="none" w:sz="0" w:space="0" w:color="auto"/>
      </w:divBdr>
    </w:div>
    <w:div w:id="1547644382">
      <w:bodyDiv w:val="1"/>
      <w:marLeft w:val="0"/>
      <w:marRight w:val="0"/>
      <w:marTop w:val="0"/>
      <w:marBottom w:val="0"/>
      <w:divBdr>
        <w:top w:val="none" w:sz="0" w:space="0" w:color="auto"/>
        <w:left w:val="none" w:sz="0" w:space="0" w:color="auto"/>
        <w:bottom w:val="none" w:sz="0" w:space="0" w:color="auto"/>
        <w:right w:val="none" w:sz="0" w:space="0" w:color="auto"/>
      </w:divBdr>
    </w:div>
    <w:div w:id="1548226511">
      <w:bodyDiv w:val="1"/>
      <w:marLeft w:val="0"/>
      <w:marRight w:val="0"/>
      <w:marTop w:val="0"/>
      <w:marBottom w:val="0"/>
      <w:divBdr>
        <w:top w:val="none" w:sz="0" w:space="0" w:color="auto"/>
        <w:left w:val="none" w:sz="0" w:space="0" w:color="auto"/>
        <w:bottom w:val="none" w:sz="0" w:space="0" w:color="auto"/>
        <w:right w:val="none" w:sz="0" w:space="0" w:color="auto"/>
      </w:divBdr>
    </w:div>
    <w:div w:id="1550190400">
      <w:bodyDiv w:val="1"/>
      <w:marLeft w:val="0"/>
      <w:marRight w:val="0"/>
      <w:marTop w:val="0"/>
      <w:marBottom w:val="0"/>
      <w:divBdr>
        <w:top w:val="none" w:sz="0" w:space="0" w:color="auto"/>
        <w:left w:val="none" w:sz="0" w:space="0" w:color="auto"/>
        <w:bottom w:val="none" w:sz="0" w:space="0" w:color="auto"/>
        <w:right w:val="none" w:sz="0" w:space="0" w:color="auto"/>
      </w:divBdr>
    </w:div>
    <w:div w:id="1561552210">
      <w:bodyDiv w:val="1"/>
      <w:marLeft w:val="0"/>
      <w:marRight w:val="0"/>
      <w:marTop w:val="0"/>
      <w:marBottom w:val="0"/>
      <w:divBdr>
        <w:top w:val="none" w:sz="0" w:space="0" w:color="auto"/>
        <w:left w:val="none" w:sz="0" w:space="0" w:color="auto"/>
        <w:bottom w:val="none" w:sz="0" w:space="0" w:color="auto"/>
        <w:right w:val="none" w:sz="0" w:space="0" w:color="auto"/>
      </w:divBdr>
    </w:div>
    <w:div w:id="1567063073">
      <w:bodyDiv w:val="1"/>
      <w:marLeft w:val="0"/>
      <w:marRight w:val="0"/>
      <w:marTop w:val="0"/>
      <w:marBottom w:val="0"/>
      <w:divBdr>
        <w:top w:val="none" w:sz="0" w:space="0" w:color="auto"/>
        <w:left w:val="none" w:sz="0" w:space="0" w:color="auto"/>
        <w:bottom w:val="none" w:sz="0" w:space="0" w:color="auto"/>
        <w:right w:val="none" w:sz="0" w:space="0" w:color="auto"/>
      </w:divBdr>
    </w:div>
    <w:div w:id="1569416050">
      <w:bodyDiv w:val="1"/>
      <w:marLeft w:val="0"/>
      <w:marRight w:val="0"/>
      <w:marTop w:val="0"/>
      <w:marBottom w:val="0"/>
      <w:divBdr>
        <w:top w:val="none" w:sz="0" w:space="0" w:color="auto"/>
        <w:left w:val="none" w:sz="0" w:space="0" w:color="auto"/>
        <w:bottom w:val="none" w:sz="0" w:space="0" w:color="auto"/>
        <w:right w:val="none" w:sz="0" w:space="0" w:color="auto"/>
      </w:divBdr>
    </w:div>
    <w:div w:id="1573468145">
      <w:bodyDiv w:val="1"/>
      <w:marLeft w:val="0"/>
      <w:marRight w:val="0"/>
      <w:marTop w:val="0"/>
      <w:marBottom w:val="0"/>
      <w:divBdr>
        <w:top w:val="none" w:sz="0" w:space="0" w:color="auto"/>
        <w:left w:val="none" w:sz="0" w:space="0" w:color="auto"/>
        <w:bottom w:val="none" w:sz="0" w:space="0" w:color="auto"/>
        <w:right w:val="none" w:sz="0" w:space="0" w:color="auto"/>
      </w:divBdr>
    </w:div>
    <w:div w:id="1578436849">
      <w:bodyDiv w:val="1"/>
      <w:marLeft w:val="0"/>
      <w:marRight w:val="0"/>
      <w:marTop w:val="0"/>
      <w:marBottom w:val="0"/>
      <w:divBdr>
        <w:top w:val="none" w:sz="0" w:space="0" w:color="auto"/>
        <w:left w:val="none" w:sz="0" w:space="0" w:color="auto"/>
        <w:bottom w:val="none" w:sz="0" w:space="0" w:color="auto"/>
        <w:right w:val="none" w:sz="0" w:space="0" w:color="auto"/>
      </w:divBdr>
    </w:div>
    <w:div w:id="1579367762">
      <w:bodyDiv w:val="1"/>
      <w:marLeft w:val="0"/>
      <w:marRight w:val="0"/>
      <w:marTop w:val="0"/>
      <w:marBottom w:val="0"/>
      <w:divBdr>
        <w:top w:val="none" w:sz="0" w:space="0" w:color="auto"/>
        <w:left w:val="none" w:sz="0" w:space="0" w:color="auto"/>
        <w:bottom w:val="none" w:sz="0" w:space="0" w:color="auto"/>
        <w:right w:val="none" w:sz="0" w:space="0" w:color="auto"/>
      </w:divBdr>
    </w:div>
    <w:div w:id="1590695124">
      <w:bodyDiv w:val="1"/>
      <w:marLeft w:val="0"/>
      <w:marRight w:val="0"/>
      <w:marTop w:val="0"/>
      <w:marBottom w:val="0"/>
      <w:divBdr>
        <w:top w:val="none" w:sz="0" w:space="0" w:color="auto"/>
        <w:left w:val="none" w:sz="0" w:space="0" w:color="auto"/>
        <w:bottom w:val="none" w:sz="0" w:space="0" w:color="auto"/>
        <w:right w:val="none" w:sz="0" w:space="0" w:color="auto"/>
      </w:divBdr>
    </w:div>
    <w:div w:id="1593852018">
      <w:bodyDiv w:val="1"/>
      <w:marLeft w:val="0"/>
      <w:marRight w:val="0"/>
      <w:marTop w:val="0"/>
      <w:marBottom w:val="0"/>
      <w:divBdr>
        <w:top w:val="none" w:sz="0" w:space="0" w:color="auto"/>
        <w:left w:val="none" w:sz="0" w:space="0" w:color="auto"/>
        <w:bottom w:val="none" w:sz="0" w:space="0" w:color="auto"/>
        <w:right w:val="none" w:sz="0" w:space="0" w:color="auto"/>
      </w:divBdr>
    </w:div>
    <w:div w:id="1605109767">
      <w:bodyDiv w:val="1"/>
      <w:marLeft w:val="0"/>
      <w:marRight w:val="0"/>
      <w:marTop w:val="0"/>
      <w:marBottom w:val="0"/>
      <w:divBdr>
        <w:top w:val="none" w:sz="0" w:space="0" w:color="auto"/>
        <w:left w:val="none" w:sz="0" w:space="0" w:color="auto"/>
        <w:bottom w:val="none" w:sz="0" w:space="0" w:color="auto"/>
        <w:right w:val="none" w:sz="0" w:space="0" w:color="auto"/>
      </w:divBdr>
    </w:div>
    <w:div w:id="1657371410">
      <w:bodyDiv w:val="1"/>
      <w:marLeft w:val="0"/>
      <w:marRight w:val="0"/>
      <w:marTop w:val="0"/>
      <w:marBottom w:val="0"/>
      <w:divBdr>
        <w:top w:val="none" w:sz="0" w:space="0" w:color="auto"/>
        <w:left w:val="none" w:sz="0" w:space="0" w:color="auto"/>
        <w:bottom w:val="none" w:sz="0" w:space="0" w:color="auto"/>
        <w:right w:val="none" w:sz="0" w:space="0" w:color="auto"/>
      </w:divBdr>
    </w:div>
    <w:div w:id="1703092800">
      <w:bodyDiv w:val="1"/>
      <w:marLeft w:val="0"/>
      <w:marRight w:val="0"/>
      <w:marTop w:val="0"/>
      <w:marBottom w:val="0"/>
      <w:divBdr>
        <w:top w:val="none" w:sz="0" w:space="0" w:color="auto"/>
        <w:left w:val="none" w:sz="0" w:space="0" w:color="auto"/>
        <w:bottom w:val="none" w:sz="0" w:space="0" w:color="auto"/>
        <w:right w:val="none" w:sz="0" w:space="0" w:color="auto"/>
      </w:divBdr>
    </w:div>
    <w:div w:id="1713651786">
      <w:bodyDiv w:val="1"/>
      <w:marLeft w:val="0"/>
      <w:marRight w:val="0"/>
      <w:marTop w:val="0"/>
      <w:marBottom w:val="0"/>
      <w:divBdr>
        <w:top w:val="none" w:sz="0" w:space="0" w:color="auto"/>
        <w:left w:val="none" w:sz="0" w:space="0" w:color="auto"/>
        <w:bottom w:val="none" w:sz="0" w:space="0" w:color="auto"/>
        <w:right w:val="none" w:sz="0" w:space="0" w:color="auto"/>
      </w:divBdr>
    </w:div>
    <w:div w:id="1723402131">
      <w:bodyDiv w:val="1"/>
      <w:marLeft w:val="0"/>
      <w:marRight w:val="0"/>
      <w:marTop w:val="0"/>
      <w:marBottom w:val="0"/>
      <w:divBdr>
        <w:top w:val="none" w:sz="0" w:space="0" w:color="auto"/>
        <w:left w:val="none" w:sz="0" w:space="0" w:color="auto"/>
        <w:bottom w:val="none" w:sz="0" w:space="0" w:color="auto"/>
        <w:right w:val="none" w:sz="0" w:space="0" w:color="auto"/>
      </w:divBdr>
    </w:div>
    <w:div w:id="1735396056">
      <w:bodyDiv w:val="1"/>
      <w:marLeft w:val="0"/>
      <w:marRight w:val="0"/>
      <w:marTop w:val="0"/>
      <w:marBottom w:val="0"/>
      <w:divBdr>
        <w:top w:val="none" w:sz="0" w:space="0" w:color="auto"/>
        <w:left w:val="none" w:sz="0" w:space="0" w:color="auto"/>
        <w:bottom w:val="none" w:sz="0" w:space="0" w:color="auto"/>
        <w:right w:val="none" w:sz="0" w:space="0" w:color="auto"/>
      </w:divBdr>
    </w:div>
    <w:div w:id="1751003841">
      <w:bodyDiv w:val="1"/>
      <w:marLeft w:val="0"/>
      <w:marRight w:val="0"/>
      <w:marTop w:val="0"/>
      <w:marBottom w:val="0"/>
      <w:divBdr>
        <w:top w:val="none" w:sz="0" w:space="0" w:color="auto"/>
        <w:left w:val="none" w:sz="0" w:space="0" w:color="auto"/>
        <w:bottom w:val="none" w:sz="0" w:space="0" w:color="auto"/>
        <w:right w:val="none" w:sz="0" w:space="0" w:color="auto"/>
      </w:divBdr>
    </w:div>
    <w:div w:id="1754862336">
      <w:bodyDiv w:val="1"/>
      <w:marLeft w:val="0"/>
      <w:marRight w:val="0"/>
      <w:marTop w:val="0"/>
      <w:marBottom w:val="0"/>
      <w:divBdr>
        <w:top w:val="none" w:sz="0" w:space="0" w:color="auto"/>
        <w:left w:val="none" w:sz="0" w:space="0" w:color="auto"/>
        <w:bottom w:val="none" w:sz="0" w:space="0" w:color="auto"/>
        <w:right w:val="none" w:sz="0" w:space="0" w:color="auto"/>
      </w:divBdr>
    </w:div>
    <w:div w:id="1757633396">
      <w:bodyDiv w:val="1"/>
      <w:marLeft w:val="0"/>
      <w:marRight w:val="0"/>
      <w:marTop w:val="0"/>
      <w:marBottom w:val="0"/>
      <w:divBdr>
        <w:top w:val="none" w:sz="0" w:space="0" w:color="auto"/>
        <w:left w:val="none" w:sz="0" w:space="0" w:color="auto"/>
        <w:bottom w:val="none" w:sz="0" w:space="0" w:color="auto"/>
        <w:right w:val="none" w:sz="0" w:space="0" w:color="auto"/>
      </w:divBdr>
    </w:div>
    <w:div w:id="1763792554">
      <w:bodyDiv w:val="1"/>
      <w:marLeft w:val="0"/>
      <w:marRight w:val="0"/>
      <w:marTop w:val="0"/>
      <w:marBottom w:val="0"/>
      <w:divBdr>
        <w:top w:val="none" w:sz="0" w:space="0" w:color="auto"/>
        <w:left w:val="none" w:sz="0" w:space="0" w:color="auto"/>
        <w:bottom w:val="none" w:sz="0" w:space="0" w:color="auto"/>
        <w:right w:val="none" w:sz="0" w:space="0" w:color="auto"/>
      </w:divBdr>
    </w:div>
    <w:div w:id="1773477480">
      <w:bodyDiv w:val="1"/>
      <w:marLeft w:val="0"/>
      <w:marRight w:val="0"/>
      <w:marTop w:val="0"/>
      <w:marBottom w:val="0"/>
      <w:divBdr>
        <w:top w:val="none" w:sz="0" w:space="0" w:color="auto"/>
        <w:left w:val="none" w:sz="0" w:space="0" w:color="auto"/>
        <w:bottom w:val="none" w:sz="0" w:space="0" w:color="auto"/>
        <w:right w:val="none" w:sz="0" w:space="0" w:color="auto"/>
      </w:divBdr>
    </w:div>
    <w:div w:id="1782995770">
      <w:bodyDiv w:val="1"/>
      <w:marLeft w:val="0"/>
      <w:marRight w:val="0"/>
      <w:marTop w:val="0"/>
      <w:marBottom w:val="0"/>
      <w:divBdr>
        <w:top w:val="none" w:sz="0" w:space="0" w:color="auto"/>
        <w:left w:val="none" w:sz="0" w:space="0" w:color="auto"/>
        <w:bottom w:val="none" w:sz="0" w:space="0" w:color="auto"/>
        <w:right w:val="none" w:sz="0" w:space="0" w:color="auto"/>
      </w:divBdr>
    </w:div>
    <w:div w:id="1791121622">
      <w:bodyDiv w:val="1"/>
      <w:marLeft w:val="0"/>
      <w:marRight w:val="0"/>
      <w:marTop w:val="0"/>
      <w:marBottom w:val="0"/>
      <w:divBdr>
        <w:top w:val="none" w:sz="0" w:space="0" w:color="auto"/>
        <w:left w:val="none" w:sz="0" w:space="0" w:color="auto"/>
        <w:bottom w:val="none" w:sz="0" w:space="0" w:color="auto"/>
        <w:right w:val="none" w:sz="0" w:space="0" w:color="auto"/>
      </w:divBdr>
    </w:div>
    <w:div w:id="1794254423">
      <w:bodyDiv w:val="1"/>
      <w:marLeft w:val="0"/>
      <w:marRight w:val="0"/>
      <w:marTop w:val="0"/>
      <w:marBottom w:val="0"/>
      <w:divBdr>
        <w:top w:val="none" w:sz="0" w:space="0" w:color="auto"/>
        <w:left w:val="none" w:sz="0" w:space="0" w:color="auto"/>
        <w:bottom w:val="none" w:sz="0" w:space="0" w:color="auto"/>
        <w:right w:val="none" w:sz="0" w:space="0" w:color="auto"/>
      </w:divBdr>
    </w:div>
    <w:div w:id="1798062483">
      <w:bodyDiv w:val="1"/>
      <w:marLeft w:val="0"/>
      <w:marRight w:val="0"/>
      <w:marTop w:val="0"/>
      <w:marBottom w:val="0"/>
      <w:divBdr>
        <w:top w:val="none" w:sz="0" w:space="0" w:color="auto"/>
        <w:left w:val="none" w:sz="0" w:space="0" w:color="auto"/>
        <w:bottom w:val="none" w:sz="0" w:space="0" w:color="auto"/>
        <w:right w:val="none" w:sz="0" w:space="0" w:color="auto"/>
      </w:divBdr>
    </w:div>
    <w:div w:id="1837571845">
      <w:bodyDiv w:val="1"/>
      <w:marLeft w:val="0"/>
      <w:marRight w:val="0"/>
      <w:marTop w:val="0"/>
      <w:marBottom w:val="0"/>
      <w:divBdr>
        <w:top w:val="none" w:sz="0" w:space="0" w:color="auto"/>
        <w:left w:val="none" w:sz="0" w:space="0" w:color="auto"/>
        <w:bottom w:val="none" w:sz="0" w:space="0" w:color="auto"/>
        <w:right w:val="none" w:sz="0" w:space="0" w:color="auto"/>
      </w:divBdr>
    </w:div>
    <w:div w:id="1838837700">
      <w:bodyDiv w:val="1"/>
      <w:marLeft w:val="0"/>
      <w:marRight w:val="0"/>
      <w:marTop w:val="0"/>
      <w:marBottom w:val="0"/>
      <w:divBdr>
        <w:top w:val="none" w:sz="0" w:space="0" w:color="auto"/>
        <w:left w:val="none" w:sz="0" w:space="0" w:color="auto"/>
        <w:bottom w:val="none" w:sz="0" w:space="0" w:color="auto"/>
        <w:right w:val="none" w:sz="0" w:space="0" w:color="auto"/>
      </w:divBdr>
    </w:div>
    <w:div w:id="1855722250">
      <w:bodyDiv w:val="1"/>
      <w:marLeft w:val="0"/>
      <w:marRight w:val="0"/>
      <w:marTop w:val="0"/>
      <w:marBottom w:val="0"/>
      <w:divBdr>
        <w:top w:val="none" w:sz="0" w:space="0" w:color="auto"/>
        <w:left w:val="none" w:sz="0" w:space="0" w:color="auto"/>
        <w:bottom w:val="none" w:sz="0" w:space="0" w:color="auto"/>
        <w:right w:val="none" w:sz="0" w:space="0" w:color="auto"/>
      </w:divBdr>
    </w:div>
    <w:div w:id="1858814891">
      <w:bodyDiv w:val="1"/>
      <w:marLeft w:val="0"/>
      <w:marRight w:val="0"/>
      <w:marTop w:val="0"/>
      <w:marBottom w:val="0"/>
      <w:divBdr>
        <w:top w:val="none" w:sz="0" w:space="0" w:color="auto"/>
        <w:left w:val="none" w:sz="0" w:space="0" w:color="auto"/>
        <w:bottom w:val="none" w:sz="0" w:space="0" w:color="auto"/>
        <w:right w:val="none" w:sz="0" w:space="0" w:color="auto"/>
      </w:divBdr>
    </w:div>
    <w:div w:id="1865509152">
      <w:bodyDiv w:val="1"/>
      <w:marLeft w:val="0"/>
      <w:marRight w:val="0"/>
      <w:marTop w:val="0"/>
      <w:marBottom w:val="0"/>
      <w:divBdr>
        <w:top w:val="none" w:sz="0" w:space="0" w:color="auto"/>
        <w:left w:val="none" w:sz="0" w:space="0" w:color="auto"/>
        <w:bottom w:val="none" w:sz="0" w:space="0" w:color="auto"/>
        <w:right w:val="none" w:sz="0" w:space="0" w:color="auto"/>
      </w:divBdr>
    </w:div>
    <w:div w:id="1874154230">
      <w:bodyDiv w:val="1"/>
      <w:marLeft w:val="0"/>
      <w:marRight w:val="0"/>
      <w:marTop w:val="0"/>
      <w:marBottom w:val="0"/>
      <w:divBdr>
        <w:top w:val="none" w:sz="0" w:space="0" w:color="auto"/>
        <w:left w:val="none" w:sz="0" w:space="0" w:color="auto"/>
        <w:bottom w:val="none" w:sz="0" w:space="0" w:color="auto"/>
        <w:right w:val="none" w:sz="0" w:space="0" w:color="auto"/>
      </w:divBdr>
    </w:div>
    <w:div w:id="1874883985">
      <w:bodyDiv w:val="1"/>
      <w:marLeft w:val="0"/>
      <w:marRight w:val="0"/>
      <w:marTop w:val="0"/>
      <w:marBottom w:val="0"/>
      <w:divBdr>
        <w:top w:val="none" w:sz="0" w:space="0" w:color="auto"/>
        <w:left w:val="none" w:sz="0" w:space="0" w:color="auto"/>
        <w:bottom w:val="none" w:sz="0" w:space="0" w:color="auto"/>
        <w:right w:val="none" w:sz="0" w:space="0" w:color="auto"/>
      </w:divBdr>
    </w:div>
    <w:div w:id="1875342177">
      <w:bodyDiv w:val="1"/>
      <w:marLeft w:val="0"/>
      <w:marRight w:val="0"/>
      <w:marTop w:val="0"/>
      <w:marBottom w:val="0"/>
      <w:divBdr>
        <w:top w:val="none" w:sz="0" w:space="0" w:color="auto"/>
        <w:left w:val="none" w:sz="0" w:space="0" w:color="auto"/>
        <w:bottom w:val="none" w:sz="0" w:space="0" w:color="auto"/>
        <w:right w:val="none" w:sz="0" w:space="0" w:color="auto"/>
      </w:divBdr>
    </w:div>
    <w:div w:id="1878010750">
      <w:bodyDiv w:val="1"/>
      <w:marLeft w:val="0"/>
      <w:marRight w:val="0"/>
      <w:marTop w:val="0"/>
      <w:marBottom w:val="0"/>
      <w:divBdr>
        <w:top w:val="none" w:sz="0" w:space="0" w:color="auto"/>
        <w:left w:val="none" w:sz="0" w:space="0" w:color="auto"/>
        <w:bottom w:val="none" w:sz="0" w:space="0" w:color="auto"/>
        <w:right w:val="none" w:sz="0" w:space="0" w:color="auto"/>
      </w:divBdr>
    </w:div>
    <w:div w:id="1882129629">
      <w:bodyDiv w:val="1"/>
      <w:marLeft w:val="0"/>
      <w:marRight w:val="0"/>
      <w:marTop w:val="0"/>
      <w:marBottom w:val="0"/>
      <w:divBdr>
        <w:top w:val="none" w:sz="0" w:space="0" w:color="auto"/>
        <w:left w:val="none" w:sz="0" w:space="0" w:color="auto"/>
        <w:bottom w:val="none" w:sz="0" w:space="0" w:color="auto"/>
        <w:right w:val="none" w:sz="0" w:space="0" w:color="auto"/>
      </w:divBdr>
    </w:div>
    <w:div w:id="1889144955">
      <w:bodyDiv w:val="1"/>
      <w:marLeft w:val="0"/>
      <w:marRight w:val="0"/>
      <w:marTop w:val="0"/>
      <w:marBottom w:val="0"/>
      <w:divBdr>
        <w:top w:val="none" w:sz="0" w:space="0" w:color="auto"/>
        <w:left w:val="none" w:sz="0" w:space="0" w:color="auto"/>
        <w:bottom w:val="none" w:sz="0" w:space="0" w:color="auto"/>
        <w:right w:val="none" w:sz="0" w:space="0" w:color="auto"/>
      </w:divBdr>
    </w:div>
    <w:div w:id="1899046983">
      <w:bodyDiv w:val="1"/>
      <w:marLeft w:val="0"/>
      <w:marRight w:val="0"/>
      <w:marTop w:val="0"/>
      <w:marBottom w:val="0"/>
      <w:divBdr>
        <w:top w:val="none" w:sz="0" w:space="0" w:color="auto"/>
        <w:left w:val="none" w:sz="0" w:space="0" w:color="auto"/>
        <w:bottom w:val="none" w:sz="0" w:space="0" w:color="auto"/>
        <w:right w:val="none" w:sz="0" w:space="0" w:color="auto"/>
      </w:divBdr>
    </w:div>
    <w:div w:id="1906331917">
      <w:bodyDiv w:val="1"/>
      <w:marLeft w:val="0"/>
      <w:marRight w:val="0"/>
      <w:marTop w:val="0"/>
      <w:marBottom w:val="0"/>
      <w:divBdr>
        <w:top w:val="none" w:sz="0" w:space="0" w:color="auto"/>
        <w:left w:val="none" w:sz="0" w:space="0" w:color="auto"/>
        <w:bottom w:val="none" w:sz="0" w:space="0" w:color="auto"/>
        <w:right w:val="none" w:sz="0" w:space="0" w:color="auto"/>
      </w:divBdr>
    </w:div>
    <w:div w:id="1908685079">
      <w:bodyDiv w:val="1"/>
      <w:marLeft w:val="0"/>
      <w:marRight w:val="0"/>
      <w:marTop w:val="0"/>
      <w:marBottom w:val="0"/>
      <w:divBdr>
        <w:top w:val="none" w:sz="0" w:space="0" w:color="auto"/>
        <w:left w:val="none" w:sz="0" w:space="0" w:color="auto"/>
        <w:bottom w:val="none" w:sz="0" w:space="0" w:color="auto"/>
        <w:right w:val="none" w:sz="0" w:space="0" w:color="auto"/>
      </w:divBdr>
    </w:div>
    <w:div w:id="1909728887">
      <w:bodyDiv w:val="1"/>
      <w:marLeft w:val="0"/>
      <w:marRight w:val="0"/>
      <w:marTop w:val="0"/>
      <w:marBottom w:val="0"/>
      <w:divBdr>
        <w:top w:val="none" w:sz="0" w:space="0" w:color="auto"/>
        <w:left w:val="none" w:sz="0" w:space="0" w:color="auto"/>
        <w:bottom w:val="none" w:sz="0" w:space="0" w:color="auto"/>
        <w:right w:val="none" w:sz="0" w:space="0" w:color="auto"/>
      </w:divBdr>
    </w:div>
    <w:div w:id="1922523340">
      <w:bodyDiv w:val="1"/>
      <w:marLeft w:val="0"/>
      <w:marRight w:val="0"/>
      <w:marTop w:val="0"/>
      <w:marBottom w:val="0"/>
      <w:divBdr>
        <w:top w:val="none" w:sz="0" w:space="0" w:color="auto"/>
        <w:left w:val="none" w:sz="0" w:space="0" w:color="auto"/>
        <w:bottom w:val="none" w:sz="0" w:space="0" w:color="auto"/>
        <w:right w:val="none" w:sz="0" w:space="0" w:color="auto"/>
      </w:divBdr>
    </w:div>
    <w:div w:id="1943998286">
      <w:bodyDiv w:val="1"/>
      <w:marLeft w:val="0"/>
      <w:marRight w:val="0"/>
      <w:marTop w:val="0"/>
      <w:marBottom w:val="0"/>
      <w:divBdr>
        <w:top w:val="none" w:sz="0" w:space="0" w:color="auto"/>
        <w:left w:val="none" w:sz="0" w:space="0" w:color="auto"/>
        <w:bottom w:val="none" w:sz="0" w:space="0" w:color="auto"/>
        <w:right w:val="none" w:sz="0" w:space="0" w:color="auto"/>
      </w:divBdr>
    </w:div>
    <w:div w:id="1948998098">
      <w:bodyDiv w:val="1"/>
      <w:marLeft w:val="0"/>
      <w:marRight w:val="0"/>
      <w:marTop w:val="0"/>
      <w:marBottom w:val="0"/>
      <w:divBdr>
        <w:top w:val="none" w:sz="0" w:space="0" w:color="auto"/>
        <w:left w:val="none" w:sz="0" w:space="0" w:color="auto"/>
        <w:bottom w:val="none" w:sz="0" w:space="0" w:color="auto"/>
        <w:right w:val="none" w:sz="0" w:space="0" w:color="auto"/>
      </w:divBdr>
    </w:div>
    <w:div w:id="1955402177">
      <w:bodyDiv w:val="1"/>
      <w:marLeft w:val="0"/>
      <w:marRight w:val="0"/>
      <w:marTop w:val="0"/>
      <w:marBottom w:val="0"/>
      <w:divBdr>
        <w:top w:val="none" w:sz="0" w:space="0" w:color="auto"/>
        <w:left w:val="none" w:sz="0" w:space="0" w:color="auto"/>
        <w:bottom w:val="none" w:sz="0" w:space="0" w:color="auto"/>
        <w:right w:val="none" w:sz="0" w:space="0" w:color="auto"/>
      </w:divBdr>
    </w:div>
    <w:div w:id="1977027571">
      <w:bodyDiv w:val="1"/>
      <w:marLeft w:val="0"/>
      <w:marRight w:val="0"/>
      <w:marTop w:val="0"/>
      <w:marBottom w:val="0"/>
      <w:divBdr>
        <w:top w:val="none" w:sz="0" w:space="0" w:color="auto"/>
        <w:left w:val="none" w:sz="0" w:space="0" w:color="auto"/>
        <w:bottom w:val="none" w:sz="0" w:space="0" w:color="auto"/>
        <w:right w:val="none" w:sz="0" w:space="0" w:color="auto"/>
      </w:divBdr>
    </w:div>
    <w:div w:id="1996647445">
      <w:bodyDiv w:val="1"/>
      <w:marLeft w:val="0"/>
      <w:marRight w:val="0"/>
      <w:marTop w:val="0"/>
      <w:marBottom w:val="0"/>
      <w:divBdr>
        <w:top w:val="none" w:sz="0" w:space="0" w:color="auto"/>
        <w:left w:val="none" w:sz="0" w:space="0" w:color="auto"/>
        <w:bottom w:val="none" w:sz="0" w:space="0" w:color="auto"/>
        <w:right w:val="none" w:sz="0" w:space="0" w:color="auto"/>
      </w:divBdr>
    </w:div>
    <w:div w:id="2004158073">
      <w:bodyDiv w:val="1"/>
      <w:marLeft w:val="0"/>
      <w:marRight w:val="0"/>
      <w:marTop w:val="0"/>
      <w:marBottom w:val="0"/>
      <w:divBdr>
        <w:top w:val="none" w:sz="0" w:space="0" w:color="auto"/>
        <w:left w:val="none" w:sz="0" w:space="0" w:color="auto"/>
        <w:bottom w:val="none" w:sz="0" w:space="0" w:color="auto"/>
        <w:right w:val="none" w:sz="0" w:space="0" w:color="auto"/>
      </w:divBdr>
    </w:div>
    <w:div w:id="2016230183">
      <w:bodyDiv w:val="1"/>
      <w:marLeft w:val="0"/>
      <w:marRight w:val="0"/>
      <w:marTop w:val="0"/>
      <w:marBottom w:val="0"/>
      <w:divBdr>
        <w:top w:val="none" w:sz="0" w:space="0" w:color="auto"/>
        <w:left w:val="none" w:sz="0" w:space="0" w:color="auto"/>
        <w:bottom w:val="none" w:sz="0" w:space="0" w:color="auto"/>
        <w:right w:val="none" w:sz="0" w:space="0" w:color="auto"/>
      </w:divBdr>
    </w:div>
    <w:div w:id="2030792312">
      <w:bodyDiv w:val="1"/>
      <w:marLeft w:val="0"/>
      <w:marRight w:val="0"/>
      <w:marTop w:val="0"/>
      <w:marBottom w:val="0"/>
      <w:divBdr>
        <w:top w:val="none" w:sz="0" w:space="0" w:color="auto"/>
        <w:left w:val="none" w:sz="0" w:space="0" w:color="auto"/>
        <w:bottom w:val="none" w:sz="0" w:space="0" w:color="auto"/>
        <w:right w:val="none" w:sz="0" w:space="0" w:color="auto"/>
      </w:divBdr>
    </w:div>
    <w:div w:id="2035305495">
      <w:bodyDiv w:val="1"/>
      <w:marLeft w:val="0"/>
      <w:marRight w:val="0"/>
      <w:marTop w:val="0"/>
      <w:marBottom w:val="0"/>
      <w:divBdr>
        <w:top w:val="none" w:sz="0" w:space="0" w:color="auto"/>
        <w:left w:val="none" w:sz="0" w:space="0" w:color="auto"/>
        <w:bottom w:val="none" w:sz="0" w:space="0" w:color="auto"/>
        <w:right w:val="none" w:sz="0" w:space="0" w:color="auto"/>
      </w:divBdr>
    </w:div>
    <w:div w:id="2060979739">
      <w:bodyDiv w:val="1"/>
      <w:marLeft w:val="0"/>
      <w:marRight w:val="0"/>
      <w:marTop w:val="0"/>
      <w:marBottom w:val="0"/>
      <w:divBdr>
        <w:top w:val="none" w:sz="0" w:space="0" w:color="auto"/>
        <w:left w:val="none" w:sz="0" w:space="0" w:color="auto"/>
        <w:bottom w:val="none" w:sz="0" w:space="0" w:color="auto"/>
        <w:right w:val="none" w:sz="0" w:space="0" w:color="auto"/>
      </w:divBdr>
    </w:div>
    <w:div w:id="2077165777">
      <w:bodyDiv w:val="1"/>
      <w:marLeft w:val="0"/>
      <w:marRight w:val="0"/>
      <w:marTop w:val="0"/>
      <w:marBottom w:val="0"/>
      <w:divBdr>
        <w:top w:val="none" w:sz="0" w:space="0" w:color="auto"/>
        <w:left w:val="none" w:sz="0" w:space="0" w:color="auto"/>
        <w:bottom w:val="none" w:sz="0" w:space="0" w:color="auto"/>
        <w:right w:val="none" w:sz="0" w:space="0" w:color="auto"/>
      </w:divBdr>
    </w:div>
    <w:div w:id="2086222738">
      <w:bodyDiv w:val="1"/>
      <w:marLeft w:val="0"/>
      <w:marRight w:val="0"/>
      <w:marTop w:val="0"/>
      <w:marBottom w:val="0"/>
      <w:divBdr>
        <w:top w:val="none" w:sz="0" w:space="0" w:color="auto"/>
        <w:left w:val="none" w:sz="0" w:space="0" w:color="auto"/>
        <w:bottom w:val="none" w:sz="0" w:space="0" w:color="auto"/>
        <w:right w:val="none" w:sz="0" w:space="0" w:color="auto"/>
      </w:divBdr>
    </w:div>
    <w:div w:id="2088183193">
      <w:bodyDiv w:val="1"/>
      <w:marLeft w:val="0"/>
      <w:marRight w:val="0"/>
      <w:marTop w:val="0"/>
      <w:marBottom w:val="0"/>
      <w:divBdr>
        <w:top w:val="none" w:sz="0" w:space="0" w:color="auto"/>
        <w:left w:val="none" w:sz="0" w:space="0" w:color="auto"/>
        <w:bottom w:val="none" w:sz="0" w:space="0" w:color="auto"/>
        <w:right w:val="none" w:sz="0" w:space="0" w:color="auto"/>
      </w:divBdr>
    </w:div>
    <w:div w:id="2088919312">
      <w:bodyDiv w:val="1"/>
      <w:marLeft w:val="0"/>
      <w:marRight w:val="0"/>
      <w:marTop w:val="0"/>
      <w:marBottom w:val="0"/>
      <w:divBdr>
        <w:top w:val="none" w:sz="0" w:space="0" w:color="auto"/>
        <w:left w:val="none" w:sz="0" w:space="0" w:color="auto"/>
        <w:bottom w:val="none" w:sz="0" w:space="0" w:color="auto"/>
        <w:right w:val="none" w:sz="0" w:space="0" w:color="auto"/>
      </w:divBdr>
    </w:div>
    <w:div w:id="2090803894">
      <w:bodyDiv w:val="1"/>
      <w:marLeft w:val="0"/>
      <w:marRight w:val="0"/>
      <w:marTop w:val="0"/>
      <w:marBottom w:val="0"/>
      <w:divBdr>
        <w:top w:val="none" w:sz="0" w:space="0" w:color="auto"/>
        <w:left w:val="none" w:sz="0" w:space="0" w:color="auto"/>
        <w:bottom w:val="none" w:sz="0" w:space="0" w:color="auto"/>
        <w:right w:val="none" w:sz="0" w:space="0" w:color="auto"/>
      </w:divBdr>
    </w:div>
    <w:div w:id="2102339158">
      <w:bodyDiv w:val="1"/>
      <w:marLeft w:val="0"/>
      <w:marRight w:val="0"/>
      <w:marTop w:val="0"/>
      <w:marBottom w:val="0"/>
      <w:divBdr>
        <w:top w:val="none" w:sz="0" w:space="0" w:color="auto"/>
        <w:left w:val="none" w:sz="0" w:space="0" w:color="auto"/>
        <w:bottom w:val="none" w:sz="0" w:space="0" w:color="auto"/>
        <w:right w:val="none" w:sz="0" w:space="0" w:color="auto"/>
      </w:divBdr>
    </w:div>
    <w:div w:id="2109232361">
      <w:bodyDiv w:val="1"/>
      <w:marLeft w:val="0"/>
      <w:marRight w:val="0"/>
      <w:marTop w:val="0"/>
      <w:marBottom w:val="0"/>
      <w:divBdr>
        <w:top w:val="none" w:sz="0" w:space="0" w:color="auto"/>
        <w:left w:val="none" w:sz="0" w:space="0" w:color="auto"/>
        <w:bottom w:val="none" w:sz="0" w:space="0" w:color="auto"/>
        <w:right w:val="none" w:sz="0" w:space="0" w:color="auto"/>
      </w:divBdr>
    </w:div>
    <w:div w:id="213826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2.png"/><Relationship Id="rId21" Type="http://schemas.openxmlformats.org/officeDocument/2006/relationships/image" Target="media/image10.png"/><Relationship Id="rId42" Type="http://schemas.openxmlformats.org/officeDocument/2006/relationships/image" Target="media/image27.png"/><Relationship Id="rId63" Type="http://schemas.openxmlformats.org/officeDocument/2006/relationships/image" Target="media/image48.png"/><Relationship Id="rId84" Type="http://schemas.openxmlformats.org/officeDocument/2006/relationships/chart" Target="charts/chart8.xml"/><Relationship Id="rId138" Type="http://schemas.openxmlformats.org/officeDocument/2006/relationships/hyperlink" Target="http://www.lesycr.cz" TargetMode="External"/><Relationship Id="rId107" Type="http://schemas.openxmlformats.org/officeDocument/2006/relationships/chart" Target="charts/chart29.xml"/><Relationship Id="rId11" Type="http://schemas.openxmlformats.org/officeDocument/2006/relationships/endnotes" Target="endnotes.xml"/><Relationship Id="rId32" Type="http://schemas.openxmlformats.org/officeDocument/2006/relationships/hyperlink" Target="https://www.chmi.cz/documents/d/chmi.cz/rz_2025" TargetMode="External"/><Relationship Id="rId53" Type="http://schemas.openxmlformats.org/officeDocument/2006/relationships/image" Target="media/image38.png"/><Relationship Id="rId74" Type="http://schemas.openxmlformats.org/officeDocument/2006/relationships/chart" Target="charts/chart7.xml"/><Relationship Id="rId128" Type="http://schemas.openxmlformats.org/officeDocument/2006/relationships/hyperlink" Target="https://www.isvavai.cz/" TargetMode="External"/><Relationship Id="rId5" Type="http://schemas.openxmlformats.org/officeDocument/2006/relationships/customXml" Target="../customXml/item5.xml"/><Relationship Id="rId90" Type="http://schemas.openxmlformats.org/officeDocument/2006/relationships/chart" Target="charts/chart14.xml"/><Relationship Id="rId95" Type="http://schemas.openxmlformats.org/officeDocument/2006/relationships/chart" Target="charts/chart19.xml"/><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28.jpeg"/><Relationship Id="rId48" Type="http://schemas.openxmlformats.org/officeDocument/2006/relationships/image" Target="media/image33.jpeg"/><Relationship Id="rId64" Type="http://schemas.openxmlformats.org/officeDocument/2006/relationships/image" Target="media/image49.png"/><Relationship Id="rId69" Type="http://schemas.openxmlformats.org/officeDocument/2006/relationships/chart" Target="charts/chart5.xml"/><Relationship Id="rId113" Type="http://schemas.openxmlformats.org/officeDocument/2006/relationships/hyperlink" Target="https://www.mze.gov.cz/public/portal/mze/voda/planovani-v-oblasti-vod" TargetMode="External"/><Relationship Id="rId118" Type="http://schemas.openxmlformats.org/officeDocument/2006/relationships/image" Target="media/image63.emf"/><Relationship Id="rId134" Type="http://schemas.openxmlformats.org/officeDocument/2006/relationships/hyperlink" Target="http://www.pvl.cz" TargetMode="External"/><Relationship Id="rId139" Type="http://schemas.openxmlformats.org/officeDocument/2006/relationships/hyperlink" Target="http://www.chmi.cz" TargetMode="External"/><Relationship Id="rId80" Type="http://schemas.openxmlformats.org/officeDocument/2006/relationships/image" Target="media/image57.png"/><Relationship Id="rId85" Type="http://schemas.openxmlformats.org/officeDocument/2006/relationships/chart" Target="charts/chart9.xml"/><Relationship Id="rId12" Type="http://schemas.openxmlformats.org/officeDocument/2006/relationships/image" Target="media/image1.png"/><Relationship Id="rId17" Type="http://schemas.openxmlformats.org/officeDocument/2006/relationships/image" Target="media/image6.png"/><Relationship Id="rId33" Type="http://schemas.openxmlformats.org/officeDocument/2006/relationships/hyperlink" Target="https://info.chmi.cz/povodne/zprava2024.pdf" TargetMode="External"/><Relationship Id="rId38" Type="http://schemas.openxmlformats.org/officeDocument/2006/relationships/image" Target="media/image25.png"/><Relationship Id="rId59" Type="http://schemas.openxmlformats.org/officeDocument/2006/relationships/image" Target="media/image44.png"/><Relationship Id="rId103" Type="http://schemas.openxmlformats.org/officeDocument/2006/relationships/chart" Target="charts/chart25.xml"/><Relationship Id="rId108" Type="http://schemas.openxmlformats.org/officeDocument/2006/relationships/chart" Target="charts/chart30.xml"/><Relationship Id="rId124" Type="http://schemas.openxmlformats.org/officeDocument/2006/relationships/hyperlink" Target="http://www.icpdr.org" TargetMode="External"/><Relationship Id="rId129" Type="http://schemas.openxmlformats.org/officeDocument/2006/relationships/hyperlink" Target="http://heis.vuv.cz/projekty/rsv" TargetMode="External"/><Relationship Id="rId54" Type="http://schemas.openxmlformats.org/officeDocument/2006/relationships/image" Target="media/image39.png"/><Relationship Id="rId70" Type="http://schemas.openxmlformats.org/officeDocument/2006/relationships/image" Target="media/image52.png"/><Relationship Id="rId75" Type="http://schemas.openxmlformats.org/officeDocument/2006/relationships/hyperlink" Target="https://me.vumop.cz" TargetMode="External"/><Relationship Id="rId91" Type="http://schemas.openxmlformats.org/officeDocument/2006/relationships/chart" Target="charts/chart15.xml"/><Relationship Id="rId96" Type="http://schemas.openxmlformats.org/officeDocument/2006/relationships/chart" Target="charts/chart20.xml"/><Relationship Id="rId140" Type="http://schemas.openxmlformats.org/officeDocument/2006/relationships/hyperlink" Target="http://www.vuv.cz" TargetMode="External"/><Relationship Id="rId145"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image" Target="media/image12.png"/><Relationship Id="rId28" Type="http://schemas.openxmlformats.org/officeDocument/2006/relationships/image" Target="media/image17.png"/><Relationship Id="rId49" Type="http://schemas.openxmlformats.org/officeDocument/2006/relationships/image" Target="media/image34.png"/><Relationship Id="rId114" Type="http://schemas.openxmlformats.org/officeDocument/2006/relationships/hyperlink" Target="https://povis2.mzp.gov.cz," TargetMode="External"/><Relationship Id="rId119" Type="http://schemas.openxmlformats.org/officeDocument/2006/relationships/image" Target="media/image64.jpeg"/><Relationship Id="rId44" Type="http://schemas.openxmlformats.org/officeDocument/2006/relationships/image" Target="media/image29.jpeg"/><Relationship Id="rId60" Type="http://schemas.openxmlformats.org/officeDocument/2006/relationships/image" Target="media/image45.jpeg"/><Relationship Id="rId65" Type="http://schemas.openxmlformats.org/officeDocument/2006/relationships/chart" Target="charts/chart3.xml"/><Relationship Id="rId81" Type="http://schemas.openxmlformats.org/officeDocument/2006/relationships/hyperlink" Target="http://www.mze.gov.cz" TargetMode="External"/><Relationship Id="rId86" Type="http://schemas.openxmlformats.org/officeDocument/2006/relationships/chart" Target="charts/chart10.xml"/><Relationship Id="rId130" Type="http://schemas.openxmlformats.org/officeDocument/2006/relationships/hyperlink" Target="https://eagri.cz/public/portal/mze/voda/planovani-v-oblasti-vod" TargetMode="External"/><Relationship Id="rId135" Type="http://schemas.openxmlformats.org/officeDocument/2006/relationships/hyperlink" Target="http://www.poh.cz" TargetMode="External"/><Relationship Id="rId13" Type="http://schemas.openxmlformats.org/officeDocument/2006/relationships/image" Target="media/image2.png"/><Relationship Id="rId18" Type="http://schemas.openxmlformats.org/officeDocument/2006/relationships/image" Target="media/image7.tiff"/><Relationship Id="rId39" Type="http://schemas.openxmlformats.org/officeDocument/2006/relationships/image" Target="media/image26.svg"/><Relationship Id="rId109" Type="http://schemas.openxmlformats.org/officeDocument/2006/relationships/chart" Target="charts/chart31.xml"/><Relationship Id="rId34" Type="http://schemas.openxmlformats.org/officeDocument/2006/relationships/image" Target="media/image21.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hyperlink" Target="https://geoportal.vumop.cz" TargetMode="External"/><Relationship Id="rId97" Type="http://schemas.openxmlformats.org/officeDocument/2006/relationships/chart" Target="charts/chart21.xml"/><Relationship Id="rId104" Type="http://schemas.openxmlformats.org/officeDocument/2006/relationships/chart" Target="charts/chart26.xml"/><Relationship Id="rId120" Type="http://schemas.openxmlformats.org/officeDocument/2006/relationships/hyperlink" Target="http://www.unece.org/env/water" TargetMode="External"/><Relationship Id="rId125" Type="http://schemas.openxmlformats.org/officeDocument/2006/relationships/image" Target="media/image67.png"/><Relationship Id="rId141" Type="http://schemas.openxmlformats.org/officeDocument/2006/relationships/hyperlink" Target="http://www.spucr.cz" TargetMode="External"/><Relationship Id="rId146" Type="http://schemas.openxmlformats.org/officeDocument/2006/relationships/theme" Target="theme/theme1.xml"/><Relationship Id="rId7" Type="http://schemas.openxmlformats.org/officeDocument/2006/relationships/styles" Target="styles.xml"/><Relationship Id="rId71" Type="http://schemas.openxmlformats.org/officeDocument/2006/relationships/image" Target="media/image53.png"/><Relationship Id="rId92" Type="http://schemas.openxmlformats.org/officeDocument/2006/relationships/chart" Target="charts/chart16.xml"/><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chart" Target="charts/chart1.xml"/><Relationship Id="rId45" Type="http://schemas.openxmlformats.org/officeDocument/2006/relationships/image" Target="media/image30.jpeg"/><Relationship Id="rId66" Type="http://schemas.openxmlformats.org/officeDocument/2006/relationships/image" Target="media/image50.png"/><Relationship Id="rId87" Type="http://schemas.openxmlformats.org/officeDocument/2006/relationships/chart" Target="charts/chart11.xml"/><Relationship Id="rId110" Type="http://schemas.openxmlformats.org/officeDocument/2006/relationships/chart" Target="charts/chart32.xml"/><Relationship Id="rId115" Type="http://schemas.openxmlformats.org/officeDocument/2006/relationships/image" Target="media/image60.png"/><Relationship Id="rId131" Type="http://schemas.openxmlformats.org/officeDocument/2006/relationships/hyperlink" Target="http://www.mze.gov.cz" TargetMode="External"/><Relationship Id="rId136" Type="http://schemas.openxmlformats.org/officeDocument/2006/relationships/hyperlink" Target="http://www.pod.cz" TargetMode="External"/><Relationship Id="rId61" Type="http://schemas.openxmlformats.org/officeDocument/2006/relationships/image" Target="media/image46.jpeg"/><Relationship Id="rId82" Type="http://schemas.openxmlformats.org/officeDocument/2006/relationships/hyperlink" Target="http://www.voda.gov.cz" TargetMode="External"/><Relationship Id="rId19" Type="http://schemas.openxmlformats.org/officeDocument/2006/relationships/image" Target="media/image8.emf"/><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2.png"/><Relationship Id="rId56" Type="http://schemas.openxmlformats.org/officeDocument/2006/relationships/image" Target="media/image41.png"/><Relationship Id="rId77" Type="http://schemas.openxmlformats.org/officeDocument/2006/relationships/hyperlink" Target="https://vlaha.vumop.cz" TargetMode="External"/><Relationship Id="rId100" Type="http://schemas.openxmlformats.org/officeDocument/2006/relationships/image" Target="media/image59.png"/><Relationship Id="rId105" Type="http://schemas.openxmlformats.org/officeDocument/2006/relationships/chart" Target="charts/chart27.xml"/><Relationship Id="rId126" Type="http://schemas.openxmlformats.org/officeDocument/2006/relationships/hyperlink" Target="http://mkoo.pl/index.php?lang=CZ" TargetMode="External"/><Relationship Id="rId8" Type="http://schemas.openxmlformats.org/officeDocument/2006/relationships/settings" Target="settings.xml"/><Relationship Id="rId51" Type="http://schemas.openxmlformats.org/officeDocument/2006/relationships/image" Target="media/image36.png"/><Relationship Id="rId72" Type="http://schemas.openxmlformats.org/officeDocument/2006/relationships/image" Target="media/image54.png"/><Relationship Id="rId93" Type="http://schemas.openxmlformats.org/officeDocument/2006/relationships/chart" Target="charts/chart17.xml"/><Relationship Id="rId98" Type="http://schemas.openxmlformats.org/officeDocument/2006/relationships/chart" Target="charts/chart22.xml"/><Relationship Id="rId121" Type="http://schemas.openxmlformats.org/officeDocument/2006/relationships/image" Target="media/image65.jpg"/><Relationship Id="rId142" Type="http://schemas.openxmlformats.org/officeDocument/2006/relationships/hyperlink" Target="http://www.vumop.cz" TargetMode="External"/><Relationship Id="rId3" Type="http://schemas.openxmlformats.org/officeDocument/2006/relationships/customXml" Target="../customXml/item3.xml"/><Relationship Id="rId25" Type="http://schemas.openxmlformats.org/officeDocument/2006/relationships/image" Target="media/image14.png"/><Relationship Id="rId46" Type="http://schemas.openxmlformats.org/officeDocument/2006/relationships/image" Target="media/image31.jpeg"/><Relationship Id="rId67" Type="http://schemas.openxmlformats.org/officeDocument/2006/relationships/chart" Target="charts/chart4.xml"/><Relationship Id="rId116" Type="http://schemas.openxmlformats.org/officeDocument/2006/relationships/image" Target="media/image61.png"/><Relationship Id="rId137" Type="http://schemas.openxmlformats.org/officeDocument/2006/relationships/hyperlink" Target="http://www.pmo.cz" TargetMode="External"/><Relationship Id="rId20" Type="http://schemas.openxmlformats.org/officeDocument/2006/relationships/image" Target="media/image9.png"/><Relationship Id="rId41" Type="http://schemas.openxmlformats.org/officeDocument/2006/relationships/chart" Target="charts/chart2.xml"/><Relationship Id="rId62" Type="http://schemas.openxmlformats.org/officeDocument/2006/relationships/image" Target="media/image47.png"/><Relationship Id="rId83" Type="http://schemas.openxmlformats.org/officeDocument/2006/relationships/hyperlink" Target="http://www.voda.gov.cz" TargetMode="External"/><Relationship Id="rId88" Type="http://schemas.openxmlformats.org/officeDocument/2006/relationships/chart" Target="charts/chart12.xml"/><Relationship Id="rId111" Type="http://schemas.openxmlformats.org/officeDocument/2006/relationships/chart" Target="charts/chart33.xml"/><Relationship Id="rId132" Type="http://schemas.openxmlformats.org/officeDocument/2006/relationships/hyperlink" Target="http://www.mzp.gov.cz" TargetMode="External"/><Relationship Id="rId15" Type="http://schemas.openxmlformats.org/officeDocument/2006/relationships/image" Target="media/image4.png"/><Relationship Id="rId36" Type="http://schemas.openxmlformats.org/officeDocument/2006/relationships/image" Target="media/image23.png"/><Relationship Id="rId57" Type="http://schemas.openxmlformats.org/officeDocument/2006/relationships/image" Target="media/image42.png"/><Relationship Id="rId106" Type="http://schemas.openxmlformats.org/officeDocument/2006/relationships/chart" Target="charts/chart28.xml"/><Relationship Id="rId127" Type="http://schemas.openxmlformats.org/officeDocument/2006/relationships/chart" Target="charts/chart35.xml"/><Relationship Id="rId10" Type="http://schemas.openxmlformats.org/officeDocument/2006/relationships/footnotes" Target="footnotes.xml"/><Relationship Id="rId31" Type="http://schemas.openxmlformats.org/officeDocument/2006/relationships/image" Target="media/image20.png"/><Relationship Id="rId52" Type="http://schemas.openxmlformats.org/officeDocument/2006/relationships/image" Target="media/image37.png"/><Relationship Id="rId73" Type="http://schemas.openxmlformats.org/officeDocument/2006/relationships/chart" Target="charts/chart6.xml"/><Relationship Id="rId78" Type="http://schemas.openxmlformats.org/officeDocument/2006/relationships/image" Target="media/image55.jpeg"/><Relationship Id="rId94" Type="http://schemas.openxmlformats.org/officeDocument/2006/relationships/chart" Target="charts/chart18.xml"/><Relationship Id="rId99" Type="http://schemas.openxmlformats.org/officeDocument/2006/relationships/image" Target="media/image58.png"/><Relationship Id="rId101" Type="http://schemas.openxmlformats.org/officeDocument/2006/relationships/chart" Target="charts/chart23.xml"/><Relationship Id="rId122" Type="http://schemas.openxmlformats.org/officeDocument/2006/relationships/hyperlink" Target="http://www.ikse-mkol.org" TargetMode="External"/><Relationship Id="rId143"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image" Target="media/image15.png"/><Relationship Id="rId47" Type="http://schemas.openxmlformats.org/officeDocument/2006/relationships/image" Target="media/image32.jpeg"/><Relationship Id="rId68" Type="http://schemas.openxmlformats.org/officeDocument/2006/relationships/image" Target="media/image51.png"/><Relationship Id="rId89" Type="http://schemas.openxmlformats.org/officeDocument/2006/relationships/chart" Target="charts/chart13.xml"/><Relationship Id="rId112" Type="http://schemas.openxmlformats.org/officeDocument/2006/relationships/chart" Target="charts/chart34.xml"/><Relationship Id="rId133" Type="http://schemas.openxmlformats.org/officeDocument/2006/relationships/hyperlink" Target="http://www.pla.cz" TargetMode="External"/><Relationship Id="rId16" Type="http://schemas.openxmlformats.org/officeDocument/2006/relationships/image" Target="media/image5.png"/><Relationship Id="rId37" Type="http://schemas.openxmlformats.org/officeDocument/2006/relationships/image" Target="media/image24.png"/><Relationship Id="rId58" Type="http://schemas.openxmlformats.org/officeDocument/2006/relationships/image" Target="media/image43.png"/><Relationship Id="rId79" Type="http://schemas.openxmlformats.org/officeDocument/2006/relationships/image" Target="media/image56.jpeg"/><Relationship Id="rId102" Type="http://schemas.openxmlformats.org/officeDocument/2006/relationships/chart" Target="charts/chart24.xml"/><Relationship Id="rId123" Type="http://schemas.openxmlformats.org/officeDocument/2006/relationships/image" Target="media/image66.png"/><Relationship Id="rId14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00%20P&#345;ehrady\Zpr&#225;vy%20do%20Ro&#269;enky\Podklady%20pro%20ro&#269;enku\grafy%20chlorofyl%20VN.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ministerstvozemedelstvi.sharepoint.com/teams/MZE_15112/Sdilene%20dokumenty/General/Modr&#233;%20zpr&#225;vy/Modr&#225;%20zpr&#225;va%202024/grafy_tisk/6.%20kapitola/6.2.1_6.2.2_2024.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ministerstvozemedelstvi.sharepoint.com/teams/MZE_15112/Sdilene%20dokumenty/General/Modr&#233;%20zpr&#225;vy/Modr&#225;%20zpr&#225;va%202025/grafy/6.2.3_2025.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ministerstvozemedelstvi.sharepoint.com/teams/MZE_15112/Sdilene%20dokumenty/General/Modr&#233;%20zpr&#225;vy/Modr&#225;%20zpr&#225;va%202024/grafy_tisk/6.%20kapitola/6.2.4_graf_MVE_tr&#382;by_2024.xlsx"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https://ministerstvozemedelstvi.sharepoint.com/teams/MZE_15112/Sdilene%20dokumenty/General/Modr&#233;%20zpr&#225;vy/Modr&#225;%20zpr&#225;va%202024/grafy_tisk/6.%20kapitola/6.2.5-dotace_2024.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4.xml.rels><?xml version="1.0" encoding="UTF-8" standalone="yes"?>
<Relationships xmlns="http://schemas.openxmlformats.org/package/2006/relationships"><Relationship Id="rId3" Type="http://schemas.openxmlformats.org/officeDocument/2006/relationships/oleObject" Target="https://ministerstvozemedelstvi.sharepoint.com/teams/MZE_15112/Sdilene%20dokumenty/General/Modr&#233;%20zpr&#225;vy/Modr&#225;%20zpr&#225;va%202025/grafy/6.2.6%20investice_2025.xlsx" TargetMode="External"/><Relationship Id="rId2" Type="http://schemas.microsoft.com/office/2011/relationships/chartColorStyle" Target="colors2.xml"/><Relationship Id="rId1" Type="http://schemas.microsoft.com/office/2011/relationships/chartStyle" Target="style2.xml"/></Relationships>
</file>

<file path=word/charts/_rels/chart15.xml.rels><?xml version="1.0" encoding="UTF-8" standalone="yes"?>
<Relationships xmlns="http://schemas.openxmlformats.org/package/2006/relationships"><Relationship Id="rId3" Type="http://schemas.openxmlformats.org/officeDocument/2006/relationships/oleObject" Target="https://ministerstvozemedelstvi.sharepoint.com/teams/MZE_15112/Sdilene%20dokumenty/General/Modr&#233;%20zpr&#225;vy/Modr&#225;%20zpr&#225;va%202025/grafy/6.2.7.xlsx" TargetMode="External"/><Relationship Id="rId2" Type="http://schemas.microsoft.com/office/2011/relationships/chartColorStyle" Target="colors3.xml"/><Relationship Id="rId1" Type="http://schemas.microsoft.com/office/2011/relationships/chartStyle" Target="style3.xml"/></Relationships>
</file>

<file path=word/charts/_rels/chart16.xml.rels><?xml version="1.0" encoding="UTF-8" standalone="yes"?>
<Relationships xmlns="http://schemas.openxmlformats.org/package/2006/relationships"><Relationship Id="rId3" Type="http://schemas.openxmlformats.org/officeDocument/2006/relationships/oleObject" Target="https://ministerstvozemedelstvi.sharepoint.com/teams/MZE_15112/Sdilene%20dokumenty/General/Modr&#233;%20zpr&#225;vy/Modr&#225;%20zpr&#225;va%202025/grafy/6.2.7.xlsx" TargetMode="External"/><Relationship Id="rId2" Type="http://schemas.microsoft.com/office/2011/relationships/chartColorStyle" Target="colors4.xml"/><Relationship Id="rId1" Type="http://schemas.microsoft.com/office/2011/relationships/chartStyle" Target="style4.xml"/></Relationships>
</file>

<file path=word/charts/_rels/chart17.xml.rels><?xml version="1.0" encoding="UTF-8" standalone="yes"?>
<Relationships xmlns="http://schemas.openxmlformats.org/package/2006/relationships"><Relationship Id="rId3" Type="http://schemas.openxmlformats.org/officeDocument/2006/relationships/oleObject" Target="https://ministerstvozemedelstvi.sharepoint.com/teams/MZE_15112/Sdilene%20dokumenty/General/Modr&#233;%20zpr&#225;vy/Modr&#225;%20zpr&#225;va%202025/grafy/6.2.7.xlsx" TargetMode="External"/><Relationship Id="rId2" Type="http://schemas.microsoft.com/office/2011/relationships/chartColorStyle" Target="colors5.xml"/><Relationship Id="rId1" Type="http://schemas.microsoft.com/office/2011/relationships/chartStyle" Target="style5.xml"/></Relationships>
</file>

<file path=word/charts/_rels/chart18.xml.rels><?xml version="1.0" encoding="UTF-8" standalone="yes"?>
<Relationships xmlns="http://schemas.openxmlformats.org/package/2006/relationships"><Relationship Id="rId3" Type="http://schemas.openxmlformats.org/officeDocument/2006/relationships/oleObject" Target="https://ministerstvozemedelstvi.sharepoint.com/teams/MZE_15112/Sdilene%20dokumenty/General/Modr&#233;%20zpr&#225;vy/Modr&#225;%20zpr&#225;va%202025/grafy/6.2.7.xlsx" TargetMode="External"/><Relationship Id="rId2" Type="http://schemas.microsoft.com/office/2011/relationships/chartColorStyle" Target="colors6.xml"/><Relationship Id="rId1" Type="http://schemas.microsoft.com/office/2011/relationships/chartStyle" Target="style6.xml"/></Relationships>
</file>

<file path=word/charts/_rels/chart19.xml.rels><?xml version="1.0" encoding="UTF-8" standalone="yes"?>
<Relationships xmlns="http://schemas.openxmlformats.org/package/2006/relationships"><Relationship Id="rId3" Type="http://schemas.openxmlformats.org/officeDocument/2006/relationships/oleObject" Target="https://ministerstvozemedelstvi.sharepoint.com/teams/MZE_15112/Sdilene%20dokumenty/General/Modr&#233;%20zpr&#225;vy/Modr&#225;%20zpr&#225;va%202025/grafy/6.2.7.xlsx" TargetMode="External"/><Relationship Id="rId2" Type="http://schemas.microsoft.com/office/2011/relationships/chartColorStyle" Target="colors7.xml"/><Relationship Id="rId1" Type="http://schemas.microsoft.com/office/2011/relationships/chartStyle" Target="style7.xml"/></Relationships>
</file>

<file path=word/charts/_rels/chart2.xml.rels><?xml version="1.0" encoding="UTF-8" standalone="yes"?>
<Relationships xmlns="http://schemas.openxmlformats.org/package/2006/relationships"><Relationship Id="rId1" Type="http://schemas.openxmlformats.org/officeDocument/2006/relationships/oleObject" Target="file:///D:\00%20P&#345;ehrady\Zpr&#225;vy%20do%20Ro&#269;enky\Podklady%20pro%20ro&#269;enku\grafy%20chlorofyl%20RN.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https://ministerstvozemedelstvi.sharepoint.com/teams/MZE_15112/Sdilene%20dokumenty/General/Modr&#233;%20zpr&#225;vy/Modr&#225;%20zpr&#225;va%202025/grafy/6.2.8%20kontroly_2025.xlsx" TargetMode="External"/><Relationship Id="rId2" Type="http://schemas.microsoft.com/office/2011/relationships/chartColorStyle" Target="colors8.xml"/><Relationship Id="rId1" Type="http://schemas.microsoft.com/office/2011/relationships/chartStyle" Target="style8.xm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LCR.LOCAL\SHARE\DataOdb\OVH\P&#345;ehledy%20a%20statistiky\Finance\P&#345;ehled%20financov&#225;n&#237;%20VH%20a%20po&#269;ty%20realizovan&#253;ch%20akc&#237;.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LCR.LOCAL\SHARE\DataOdb\OVH\P&#345;ehledy%20a%20statistiky\Finance\P&#345;ehled%20financov&#225;n&#237;%20VH%20a%20po&#269;ty%20realizovan&#253;ch%20akc&#237;.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ministerstvozemedelstvi-my.sharepoint.com/personal/jakub_najman_mze_gov_cz/Documents/Plocha/Ro&#269;enka/Ro&#269;enka%20za%20rok%202025/Ro&#269;enka_2025.xlsx" TargetMode="External"/></Relationships>
</file>

<file path=word/charts/_rels/chart24.xml.rels><?xml version="1.0" encoding="UTF-8" standalone="yes"?>
<Relationships xmlns="http://schemas.openxmlformats.org/package/2006/relationships"><Relationship Id="rId3" Type="http://schemas.openxmlformats.org/officeDocument/2006/relationships/oleObject" Target="https://ministerstvozemedelstvi-my.sharepoint.com/personal/jakub_najman_mze_gov_cz/Documents/Plocha/Ro&#269;enka/Ro&#269;enka%20za%20rok%202025/Ro&#269;enka_2025.xlsx" TargetMode="External"/><Relationship Id="rId2" Type="http://schemas.microsoft.com/office/2011/relationships/chartColorStyle" Target="colors11.xml"/><Relationship Id="rId1" Type="http://schemas.microsoft.com/office/2011/relationships/chartStyle" Target="style11.xml"/></Relationships>
</file>

<file path=word/charts/_rels/chart25.xml.rels><?xml version="1.0" encoding="UTF-8" standalone="yes"?>
<Relationships xmlns="http://schemas.openxmlformats.org/package/2006/relationships"><Relationship Id="rId1" Type="http://schemas.openxmlformats.org/officeDocument/2006/relationships/oleObject" Target="https://ministerstvozemedelstvi-my.sharepoint.com/personal/jakub_najman_mze_gov_cz/Documents/Plocha/Ro&#269;enka/Ro&#269;enka%20za%20rok%202025/Ro&#269;enka_2025.xlsx" TargetMode="External"/></Relationships>
</file>

<file path=word/charts/_rels/chart26.xml.rels><?xml version="1.0" encoding="UTF-8" standalone="yes"?>
<Relationships xmlns="http://schemas.openxmlformats.org/package/2006/relationships"><Relationship Id="rId3" Type="http://schemas.openxmlformats.org/officeDocument/2006/relationships/oleObject" Target="https://ministerstvozemedelstvi.sharepoint.com/teams/MZE_15112/Sdilene%20dokumenty/General/Modr&#233;%20zpr&#225;vy/Modr&#225;%20zpr&#225;va%202025/grafy/11.1.1_11.1.1.1_2025.xlsx" TargetMode="External"/><Relationship Id="rId2" Type="http://schemas.microsoft.com/office/2011/relationships/chartColorStyle" Target="colors12.xml"/><Relationship Id="rId1" Type="http://schemas.microsoft.com/office/2011/relationships/chartStyle" Target="style12.xml"/></Relationships>
</file>

<file path=word/charts/_rels/chart27.xml.rels><?xml version="1.0" encoding="UTF-8" standalone="yes"?>
<Relationships xmlns="http://schemas.openxmlformats.org/package/2006/relationships"><Relationship Id="rId3" Type="http://schemas.openxmlformats.org/officeDocument/2006/relationships/oleObject" Target="https://ministerstvozemedelstvi.sharepoint.com/teams/MZE_15112/Sdilene%20dokumenty/General/Modr&#233;%20zpr&#225;vy/Modr&#225;%20zpr&#225;va%202025/grafy/11.1.1_11.1.1.1_2025.xlsx" TargetMode="External"/><Relationship Id="rId2" Type="http://schemas.microsoft.com/office/2011/relationships/chartColorStyle" Target="colors13.xml"/><Relationship Id="rId1" Type="http://schemas.microsoft.com/office/2011/relationships/chartStyle" Target="style13.xml"/></Relationships>
</file>

<file path=word/charts/_rels/chart28.xml.rels><?xml version="1.0" encoding="UTF-8" standalone="yes"?>
<Relationships xmlns="http://schemas.openxmlformats.org/package/2006/relationships"><Relationship Id="rId3" Type="http://schemas.openxmlformats.org/officeDocument/2006/relationships/oleObject" Target="file:///\\sfzp.cz\DFSN\TDrive\SE\OR\OdRB\Zpr&#225;va%20o%20stavu%20vodn&#237;ho%20hospod&#225;&#345;stv&#237;\2025\Grafy.xlsx" TargetMode="Externa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2.xml"/></Relationships>
</file>

<file path=word/charts/_rels/chart29.xml.rels><?xml version="1.0" encoding="UTF-8" standalone="yes"?>
<Relationships xmlns="http://schemas.openxmlformats.org/package/2006/relationships"><Relationship Id="rId3" Type="http://schemas.openxmlformats.org/officeDocument/2006/relationships/oleObject" Target="file:///\\sfzp.cz\DFSN\TDrive\SE\OR\OdRB\3_Zpr&#225;vy%20o%20hospoda&#345;en&#237;\1_Zpr&#225;va%20o%20hospoda&#345;en&#237;%20za%20rok%202025\V&#253;voj%20p&#345;&#237;jm&#367;%20z%20poplat&#367;.xlsx" TargetMode="External"/><Relationship Id="rId2" Type="http://schemas.microsoft.com/office/2011/relationships/chartColorStyle" Target="colors15.xml"/><Relationship Id="rId1" Type="http://schemas.microsoft.com/office/2011/relationships/chartStyle" Target="style15.xml"/></Relationships>
</file>

<file path=word/charts/_rels/chart3.xml.rels><?xml version="1.0" encoding="UTF-8" standalone="yes"?>
<Relationships xmlns="http://schemas.openxmlformats.org/package/2006/relationships"><Relationship Id="rId1" Type="http://schemas.openxmlformats.org/officeDocument/2006/relationships/oleObject" Target="https://ministerstvozemedelstvi.sharepoint.com/teams/MZE_15112/Sdilene%20dokumenty/General/Modr&#233;%20zpr&#225;vy/Modr&#225;%20zpr&#225;va%202023/grafy_2023/4.1.2_4.2.2_4.3.2_4.4.1_4.4.2_2023.xls" TargetMode="External"/></Relationships>
</file>

<file path=word/charts/_rels/chart30.xml.rels><?xml version="1.0" encoding="UTF-8" standalone="yes"?>
<Relationships xmlns="http://schemas.openxmlformats.org/package/2006/relationships"><Relationship Id="rId3" Type="http://schemas.openxmlformats.org/officeDocument/2006/relationships/oleObject" Target="file:///\\sfzp.cz\DFSN\TDrive\SE\OR\OdRB\3_Zpr&#225;vy%20o%20hospoda&#345;en&#237;\1_Zpr&#225;va%20o%20hospoda&#345;en&#237;%20za%20rok%202025\V&#253;voj%20p&#345;&#237;jm&#367;%20z%20poplat&#367;.xlsx" TargetMode="External"/><Relationship Id="rId2" Type="http://schemas.microsoft.com/office/2011/relationships/chartColorStyle" Target="colors16.xml"/><Relationship Id="rId1" Type="http://schemas.microsoft.com/office/2011/relationships/chartStyle" Target="style16.xml"/></Relationships>
</file>

<file path=word/charts/_rels/chart31.xml.rels><?xml version="1.0" encoding="UTF-8" standalone="yes"?>
<Relationships xmlns="http://schemas.openxmlformats.org/package/2006/relationships"><Relationship Id="rId3" Type="http://schemas.openxmlformats.org/officeDocument/2006/relationships/oleObject" Target="file:///\\sfzp.cz\DFSN\TDrive\SE\OR\OdRB\3_Zpr&#225;vy%20o%20hospoda&#345;en&#237;\1_Zpr&#225;va%20o%20hospoda&#345;en&#237;%20za%20rok%202025\V&#253;voj%20p&#345;&#237;jm&#367;%20z%20poplat&#367;.xlsx" TargetMode="External"/><Relationship Id="rId2" Type="http://schemas.microsoft.com/office/2011/relationships/chartColorStyle" Target="colors17.xml"/><Relationship Id="rId1" Type="http://schemas.microsoft.com/office/2011/relationships/chartStyle" Target="style17.xml"/></Relationships>
</file>

<file path=word/charts/_rels/chart32.xml.rels><?xml version="1.0" encoding="UTF-8" standalone="yes"?>
<Relationships xmlns="http://schemas.openxmlformats.org/package/2006/relationships"><Relationship Id="rId3" Type="http://schemas.openxmlformats.org/officeDocument/2006/relationships/oleObject" Target="https://ministerstvozemedelstvi.sharepoint.com/teams/MZE_15112/Sdilene%20dokumenty/General/Modr&#233;%20zpr&#225;vy/Modr&#225;%20zpr&#225;va%202024/grafy_tisk/11.1.1_11.1.1.1_11.1.3.1,11.1.3.2,11.1.3.3.xlsx" TargetMode="External"/><Relationship Id="rId2" Type="http://schemas.microsoft.com/office/2011/relationships/chartColorStyle" Target="colors18.xml"/><Relationship Id="rId1" Type="http://schemas.microsoft.com/office/2011/relationships/chartStyle" Target="style18.xml"/></Relationships>
</file>

<file path=word/charts/_rels/chart33.xml.rels><?xml version="1.0" encoding="UTF-8" standalone="yes"?>
<Relationships xmlns="http://schemas.openxmlformats.org/package/2006/relationships"><Relationship Id="rId3" Type="http://schemas.openxmlformats.org/officeDocument/2006/relationships/oleObject" Target="https://ministerstvozemedelstvi.sharepoint.com/teams/MZE_15112/Sdilene%20dokumenty/General/Modr&#233;%20zpr&#225;vy/Modr&#225;%20zpr&#225;va%202025/grafy/11.1.1_11.1.1.1_11.1.3.1,11.1.3.2,11.1.3.3_2025.xlsx" TargetMode="External"/><Relationship Id="rId2" Type="http://schemas.microsoft.com/office/2011/relationships/chartColorStyle" Target="colors19.xml"/><Relationship Id="rId1" Type="http://schemas.microsoft.com/office/2011/relationships/chartStyle" Target="style19.xml"/></Relationships>
</file>

<file path=word/charts/_rels/chart34.xml.rels><?xml version="1.0" encoding="UTF-8" standalone="yes"?>
<Relationships xmlns="http://schemas.openxmlformats.org/package/2006/relationships"><Relationship Id="rId3" Type="http://schemas.openxmlformats.org/officeDocument/2006/relationships/oleObject" Target="https://ministerstvozemedelstvi.sharepoint.com/teams/MZE_15112/Sdilene%20dokumenty/General/Modr&#233;%20zpr&#225;vy/Modr&#225;%20zpr&#225;va%202025/grafy/11.1.1_11.1.1.1_11.1.3.1,11.1.3.2,11.1.3.3_2025.xlsx" TargetMode="External"/><Relationship Id="rId2" Type="http://schemas.microsoft.com/office/2011/relationships/chartColorStyle" Target="colors20.xml"/><Relationship Id="rId1" Type="http://schemas.microsoft.com/office/2011/relationships/chartStyle" Target="style20.xml"/></Relationships>
</file>

<file path=word/charts/_rels/chart35.xml.rels><?xml version="1.0" encoding="UTF-8" standalone="yes"?>
<Relationships xmlns="http://schemas.openxmlformats.org/package/2006/relationships"><Relationship Id="rId3" Type="http://schemas.openxmlformats.org/officeDocument/2006/relationships/oleObject" Target="https://ministerstvozemedelstvi.sharepoint.com/teams/MZE_15112/Sdilene%20dokumenty/General/Modr&#233;%20zpr&#225;vy/Modr&#225;%20zpr&#225;va%202024/grafy/15.%201.xlsx" TargetMode="External"/><Relationship Id="rId2" Type="http://schemas.microsoft.com/office/2011/relationships/chartColorStyle" Target="colors21.xml"/><Relationship Id="rId1" Type="http://schemas.microsoft.com/office/2011/relationships/chartStyle" Target="style21.xml"/></Relationships>
</file>

<file path=word/charts/_rels/chart4.xml.rels><?xml version="1.0" encoding="UTF-8" standalone="yes"?>
<Relationships xmlns="http://schemas.openxmlformats.org/package/2006/relationships"><Relationship Id="rId1" Type="http://schemas.openxmlformats.org/officeDocument/2006/relationships/oleObject" Target="https://ministerstvozemedelstvi.sharepoint.com/teams/MZE_15112/Sdilene%20dokumenty/General/Modr&#233;%20zpr&#225;vy/Modr&#225;%20zpr&#225;va%202025/grafy/4.1.2_4.2.2_4.3.2_4.4.1_4.4.2_202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ministerstvozemedelstvi.sharepoint.com/teams/MZE_15112/Sdilene%20dokumenty/General/Modr&#233;%20zpr&#225;vy/Modr&#225;%20zpr&#225;va%202025/grafy/4.1.2_4.2.2_4.3.2_4.4.1_4.4.2_2025.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DATA\BILANCE_VHB\ZPRAVA%20do%20VLADY\2026\v&#253;stupy\kapitola_5\Graf%205.1.1_2025.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DATA\BILANCE_VHB\ZPRAVA%20do%20VLADY\2026\v&#253;stupy\kapitola_5\Graf%205.1.1_2025.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ministerstvozemedelstvi.sharepoint.com/teams/MZE_15112/Sdilene%20dokumenty/General/Modr&#233;%20zpr&#225;vy/Modr&#225;%20zpr&#225;va%202025/MZ%20Formulare_2025_POV.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ministerstvozemedelstvi.sharepoint.com/teams/MZE_15112/Sdilene%20dokumenty/General/Modr&#233;%20zpr&#225;vy/Modr&#225;%20zpr&#225;va%202024/grafy_tisk/6.%20kapitola/6.2.1_6.2.2_20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8277948307309"/>
          <c:y val="5.9096560298383755E-2"/>
          <c:w val="0.86299568486142619"/>
          <c:h val="0.76556405025642982"/>
        </c:manualLayout>
      </c:layout>
      <c:barChart>
        <c:barDir val="col"/>
        <c:grouping val="clustered"/>
        <c:varyColors val="0"/>
        <c:ser>
          <c:idx val="0"/>
          <c:order val="0"/>
          <c:tx>
            <c:strRef>
              <c:f>List1!$B$267</c:f>
              <c:strCache>
                <c:ptCount val="1"/>
                <c:pt idx="0">
                  <c:v>duben</c:v>
                </c:pt>
              </c:strCache>
            </c:strRef>
          </c:tx>
          <c:invertIfNegative val="0"/>
          <c:cat>
            <c:strRef>
              <c:f>(List1!$A$268:$A$271,List1!$A$275:$A$276,List1!$A$278:$A$281,List1!$A$283:$A$284,List1!$A$287:$A$288,List1!$A$292)</c:f>
              <c:strCache>
                <c:ptCount val="15"/>
                <c:pt idx="0">
                  <c:v>Karolinka</c:v>
                </c:pt>
                <c:pt idx="1">
                  <c:v>Slušovice</c:v>
                </c:pt>
                <c:pt idx="2">
                  <c:v>Vranov</c:v>
                </c:pt>
                <c:pt idx="3">
                  <c:v>Nová Říše</c:v>
                </c:pt>
                <c:pt idx="4">
                  <c:v>Landštejn</c:v>
                </c:pt>
                <c:pt idx="5">
                  <c:v>Opatovice</c:v>
                </c:pt>
                <c:pt idx="6">
                  <c:v>Koryčany</c:v>
                </c:pt>
                <c:pt idx="7">
                  <c:v>Bojkovice</c:v>
                </c:pt>
                <c:pt idx="8">
                  <c:v>Boskovice</c:v>
                </c:pt>
                <c:pt idx="9">
                  <c:v>Fryšták</c:v>
                </c:pt>
                <c:pt idx="10">
                  <c:v>Ludkovice</c:v>
                </c:pt>
                <c:pt idx="11">
                  <c:v>Vír</c:v>
                </c:pt>
                <c:pt idx="12">
                  <c:v>Znojmo</c:v>
                </c:pt>
                <c:pt idx="13">
                  <c:v>Mostiště</c:v>
                </c:pt>
                <c:pt idx="14">
                  <c:v>Hubenov</c:v>
                </c:pt>
              </c:strCache>
            </c:strRef>
          </c:cat>
          <c:val>
            <c:numRef>
              <c:f>(List1!$B$268:$B$271,List1!$B$275:$B$276,List1!$B$278:$B$281,List1!$B$283:$B$284,List1!$B$287:$B$288,List1!$B$292)</c:f>
              <c:numCache>
                <c:formatCode>General</c:formatCode>
                <c:ptCount val="15"/>
                <c:pt idx="0">
                  <c:v>2.7</c:v>
                </c:pt>
                <c:pt idx="1">
                  <c:v>3.2</c:v>
                </c:pt>
                <c:pt idx="2">
                  <c:v>4.0999999999999996</c:v>
                </c:pt>
                <c:pt idx="3">
                  <c:v>8</c:v>
                </c:pt>
                <c:pt idx="4">
                  <c:v>7.2</c:v>
                </c:pt>
                <c:pt idx="5">
                  <c:v>8.1</c:v>
                </c:pt>
                <c:pt idx="6">
                  <c:v>9.3000000000000007</c:v>
                </c:pt>
                <c:pt idx="7">
                  <c:v>18</c:v>
                </c:pt>
                <c:pt idx="8">
                  <c:v>25</c:v>
                </c:pt>
                <c:pt idx="9">
                  <c:v>2.5</c:v>
                </c:pt>
                <c:pt idx="10">
                  <c:v>9</c:v>
                </c:pt>
                <c:pt idx="11">
                  <c:v>6.5</c:v>
                </c:pt>
                <c:pt idx="12">
                  <c:v>4.5</c:v>
                </c:pt>
                <c:pt idx="13">
                  <c:v>35</c:v>
                </c:pt>
                <c:pt idx="14">
                  <c:v>34</c:v>
                </c:pt>
              </c:numCache>
            </c:numRef>
          </c:val>
          <c:extLst>
            <c:ext xmlns:c16="http://schemas.microsoft.com/office/drawing/2014/chart" uri="{C3380CC4-5D6E-409C-BE32-E72D297353CC}">
              <c16:uniqueId val="{00000000-04DC-413E-AFC9-ACCD68078BCC}"/>
            </c:ext>
          </c:extLst>
        </c:ser>
        <c:ser>
          <c:idx val="1"/>
          <c:order val="1"/>
          <c:tx>
            <c:strRef>
              <c:f>List1!$C$267</c:f>
              <c:strCache>
                <c:ptCount val="1"/>
                <c:pt idx="0">
                  <c:v>květen</c:v>
                </c:pt>
              </c:strCache>
            </c:strRef>
          </c:tx>
          <c:invertIfNegative val="0"/>
          <c:cat>
            <c:strRef>
              <c:f>(List1!$A$268:$A$271,List1!$A$275:$A$276,List1!$A$278:$A$281,List1!$A$283:$A$284,List1!$A$287:$A$288,List1!$A$292)</c:f>
              <c:strCache>
                <c:ptCount val="15"/>
                <c:pt idx="0">
                  <c:v>Karolinka</c:v>
                </c:pt>
                <c:pt idx="1">
                  <c:v>Slušovice</c:v>
                </c:pt>
                <c:pt idx="2">
                  <c:v>Vranov</c:v>
                </c:pt>
                <c:pt idx="3">
                  <c:v>Nová Říše</c:v>
                </c:pt>
                <c:pt idx="4">
                  <c:v>Landštejn</c:v>
                </c:pt>
                <c:pt idx="5">
                  <c:v>Opatovice</c:v>
                </c:pt>
                <c:pt idx="6">
                  <c:v>Koryčany</c:v>
                </c:pt>
                <c:pt idx="7">
                  <c:v>Bojkovice</c:v>
                </c:pt>
                <c:pt idx="8">
                  <c:v>Boskovice</c:v>
                </c:pt>
                <c:pt idx="9">
                  <c:v>Fryšták</c:v>
                </c:pt>
                <c:pt idx="10">
                  <c:v>Ludkovice</c:v>
                </c:pt>
                <c:pt idx="11">
                  <c:v>Vír</c:v>
                </c:pt>
                <c:pt idx="12">
                  <c:v>Znojmo</c:v>
                </c:pt>
                <c:pt idx="13">
                  <c:v>Mostiště</c:v>
                </c:pt>
                <c:pt idx="14">
                  <c:v>Hubenov</c:v>
                </c:pt>
              </c:strCache>
            </c:strRef>
          </c:cat>
          <c:val>
            <c:numRef>
              <c:f>(List1!$C$268:$C$271,List1!$C$275:$C$276,List1!$C$278:$C$281,List1!$C$283:$C$284,List1!$C$287:$C$288,List1!$C$292)</c:f>
              <c:numCache>
                <c:formatCode>General</c:formatCode>
                <c:ptCount val="15"/>
                <c:pt idx="0">
                  <c:v>2.5</c:v>
                </c:pt>
                <c:pt idx="1">
                  <c:v>2.5</c:v>
                </c:pt>
                <c:pt idx="2">
                  <c:v>2.5</c:v>
                </c:pt>
                <c:pt idx="3">
                  <c:v>3.8</c:v>
                </c:pt>
                <c:pt idx="4">
                  <c:v>2.5</c:v>
                </c:pt>
                <c:pt idx="5">
                  <c:v>7.9</c:v>
                </c:pt>
                <c:pt idx="6">
                  <c:v>7.5</c:v>
                </c:pt>
                <c:pt idx="7">
                  <c:v>4.7</c:v>
                </c:pt>
                <c:pt idx="8">
                  <c:v>13</c:v>
                </c:pt>
                <c:pt idx="9">
                  <c:v>3</c:v>
                </c:pt>
                <c:pt idx="10">
                  <c:v>7.7</c:v>
                </c:pt>
                <c:pt idx="11">
                  <c:v>8.1</c:v>
                </c:pt>
                <c:pt idx="12">
                  <c:v>15</c:v>
                </c:pt>
                <c:pt idx="13">
                  <c:v>12</c:v>
                </c:pt>
                <c:pt idx="14">
                  <c:v>6.8</c:v>
                </c:pt>
              </c:numCache>
            </c:numRef>
          </c:val>
          <c:extLst>
            <c:ext xmlns:c16="http://schemas.microsoft.com/office/drawing/2014/chart" uri="{C3380CC4-5D6E-409C-BE32-E72D297353CC}">
              <c16:uniqueId val="{00000001-04DC-413E-AFC9-ACCD68078BCC}"/>
            </c:ext>
          </c:extLst>
        </c:ser>
        <c:ser>
          <c:idx val="2"/>
          <c:order val="2"/>
          <c:tx>
            <c:strRef>
              <c:f>List1!$D$267</c:f>
              <c:strCache>
                <c:ptCount val="1"/>
                <c:pt idx="0">
                  <c:v>červen</c:v>
                </c:pt>
              </c:strCache>
            </c:strRef>
          </c:tx>
          <c:invertIfNegative val="0"/>
          <c:cat>
            <c:strRef>
              <c:f>(List1!$A$268:$A$271,List1!$A$275:$A$276,List1!$A$278:$A$281,List1!$A$283:$A$284,List1!$A$287:$A$288,List1!$A$292)</c:f>
              <c:strCache>
                <c:ptCount val="15"/>
                <c:pt idx="0">
                  <c:v>Karolinka</c:v>
                </c:pt>
                <c:pt idx="1">
                  <c:v>Slušovice</c:v>
                </c:pt>
                <c:pt idx="2">
                  <c:v>Vranov</c:v>
                </c:pt>
                <c:pt idx="3">
                  <c:v>Nová Říše</c:v>
                </c:pt>
                <c:pt idx="4">
                  <c:v>Landštejn</c:v>
                </c:pt>
                <c:pt idx="5">
                  <c:v>Opatovice</c:v>
                </c:pt>
                <c:pt idx="6">
                  <c:v>Koryčany</c:v>
                </c:pt>
                <c:pt idx="7">
                  <c:v>Bojkovice</c:v>
                </c:pt>
                <c:pt idx="8">
                  <c:v>Boskovice</c:v>
                </c:pt>
                <c:pt idx="9">
                  <c:v>Fryšták</c:v>
                </c:pt>
                <c:pt idx="10">
                  <c:v>Ludkovice</c:v>
                </c:pt>
                <c:pt idx="11">
                  <c:v>Vír</c:v>
                </c:pt>
                <c:pt idx="12">
                  <c:v>Znojmo</c:v>
                </c:pt>
                <c:pt idx="13">
                  <c:v>Mostiště</c:v>
                </c:pt>
                <c:pt idx="14">
                  <c:v>Hubenov</c:v>
                </c:pt>
              </c:strCache>
            </c:strRef>
          </c:cat>
          <c:val>
            <c:numRef>
              <c:f>(List1!$D$268:$D$271,List1!$D$275:$D$276,List1!$D$278:$D$281,List1!$D$283:$D$284,List1!$D$287:$D$288,List1!$D$292)</c:f>
              <c:numCache>
                <c:formatCode>General</c:formatCode>
                <c:ptCount val="15"/>
                <c:pt idx="0">
                  <c:v>2.5</c:v>
                </c:pt>
                <c:pt idx="1">
                  <c:v>4.9000000000000004</c:v>
                </c:pt>
                <c:pt idx="2">
                  <c:v>4.2</c:v>
                </c:pt>
                <c:pt idx="3">
                  <c:v>4.9000000000000004</c:v>
                </c:pt>
                <c:pt idx="4">
                  <c:v>2.5</c:v>
                </c:pt>
                <c:pt idx="5">
                  <c:v>3</c:v>
                </c:pt>
                <c:pt idx="6">
                  <c:v>9.1</c:v>
                </c:pt>
                <c:pt idx="7">
                  <c:v>8.1999999999999993</c:v>
                </c:pt>
                <c:pt idx="8">
                  <c:v>3.5</c:v>
                </c:pt>
                <c:pt idx="9">
                  <c:v>13</c:v>
                </c:pt>
                <c:pt idx="10">
                  <c:v>23</c:v>
                </c:pt>
                <c:pt idx="11">
                  <c:v>15</c:v>
                </c:pt>
                <c:pt idx="12">
                  <c:v>35</c:v>
                </c:pt>
                <c:pt idx="13">
                  <c:v>39</c:v>
                </c:pt>
                <c:pt idx="14">
                  <c:v>18</c:v>
                </c:pt>
              </c:numCache>
            </c:numRef>
          </c:val>
          <c:extLst>
            <c:ext xmlns:c16="http://schemas.microsoft.com/office/drawing/2014/chart" uri="{C3380CC4-5D6E-409C-BE32-E72D297353CC}">
              <c16:uniqueId val="{00000002-04DC-413E-AFC9-ACCD68078BCC}"/>
            </c:ext>
          </c:extLst>
        </c:ser>
        <c:ser>
          <c:idx val="3"/>
          <c:order val="3"/>
          <c:tx>
            <c:strRef>
              <c:f>List1!$E$267</c:f>
              <c:strCache>
                <c:ptCount val="1"/>
                <c:pt idx="0">
                  <c:v>červenec</c:v>
                </c:pt>
              </c:strCache>
            </c:strRef>
          </c:tx>
          <c:invertIfNegative val="0"/>
          <c:cat>
            <c:strRef>
              <c:f>(List1!$A$268:$A$271,List1!$A$275:$A$276,List1!$A$278:$A$281,List1!$A$283:$A$284,List1!$A$287:$A$288,List1!$A$292)</c:f>
              <c:strCache>
                <c:ptCount val="15"/>
                <c:pt idx="0">
                  <c:v>Karolinka</c:v>
                </c:pt>
                <c:pt idx="1">
                  <c:v>Slušovice</c:v>
                </c:pt>
                <c:pt idx="2">
                  <c:v>Vranov</c:v>
                </c:pt>
                <c:pt idx="3">
                  <c:v>Nová Říše</c:v>
                </c:pt>
                <c:pt idx="4">
                  <c:v>Landštejn</c:v>
                </c:pt>
                <c:pt idx="5">
                  <c:v>Opatovice</c:v>
                </c:pt>
                <c:pt idx="6">
                  <c:v>Koryčany</c:v>
                </c:pt>
                <c:pt idx="7">
                  <c:v>Bojkovice</c:v>
                </c:pt>
                <c:pt idx="8">
                  <c:v>Boskovice</c:v>
                </c:pt>
                <c:pt idx="9">
                  <c:v>Fryšták</c:v>
                </c:pt>
                <c:pt idx="10">
                  <c:v>Ludkovice</c:v>
                </c:pt>
                <c:pt idx="11">
                  <c:v>Vír</c:v>
                </c:pt>
                <c:pt idx="12">
                  <c:v>Znojmo</c:v>
                </c:pt>
                <c:pt idx="13">
                  <c:v>Mostiště</c:v>
                </c:pt>
                <c:pt idx="14">
                  <c:v>Hubenov</c:v>
                </c:pt>
              </c:strCache>
            </c:strRef>
          </c:cat>
          <c:val>
            <c:numRef>
              <c:f>(List1!$E$268:$E$271,List1!$E$275:$E$276,List1!$E$278:$E$281,List1!$E$283:$E$284,List1!$E$287:$E$288,List1!$E$292)</c:f>
              <c:numCache>
                <c:formatCode>General</c:formatCode>
                <c:ptCount val="15"/>
                <c:pt idx="0">
                  <c:v>3.1</c:v>
                </c:pt>
                <c:pt idx="1">
                  <c:v>12</c:v>
                </c:pt>
                <c:pt idx="2">
                  <c:v>8.6</c:v>
                </c:pt>
                <c:pt idx="3">
                  <c:v>5.4</c:v>
                </c:pt>
                <c:pt idx="4">
                  <c:v>12</c:v>
                </c:pt>
                <c:pt idx="5">
                  <c:v>3.9</c:v>
                </c:pt>
                <c:pt idx="6">
                  <c:v>14</c:v>
                </c:pt>
                <c:pt idx="7">
                  <c:v>9.9</c:v>
                </c:pt>
                <c:pt idx="8">
                  <c:v>5.8</c:v>
                </c:pt>
                <c:pt idx="9">
                  <c:v>17</c:v>
                </c:pt>
                <c:pt idx="10">
                  <c:v>13</c:v>
                </c:pt>
                <c:pt idx="11">
                  <c:v>2.5</c:v>
                </c:pt>
                <c:pt idx="12">
                  <c:v>73</c:v>
                </c:pt>
                <c:pt idx="13">
                  <c:v>8</c:v>
                </c:pt>
                <c:pt idx="14">
                  <c:v>28</c:v>
                </c:pt>
              </c:numCache>
            </c:numRef>
          </c:val>
          <c:extLst>
            <c:ext xmlns:c16="http://schemas.microsoft.com/office/drawing/2014/chart" uri="{C3380CC4-5D6E-409C-BE32-E72D297353CC}">
              <c16:uniqueId val="{00000003-04DC-413E-AFC9-ACCD68078BCC}"/>
            </c:ext>
          </c:extLst>
        </c:ser>
        <c:ser>
          <c:idx val="4"/>
          <c:order val="4"/>
          <c:tx>
            <c:strRef>
              <c:f>List1!$F$267</c:f>
              <c:strCache>
                <c:ptCount val="1"/>
                <c:pt idx="0">
                  <c:v>srpen</c:v>
                </c:pt>
              </c:strCache>
            </c:strRef>
          </c:tx>
          <c:invertIfNegative val="0"/>
          <c:cat>
            <c:strRef>
              <c:f>(List1!$A$268:$A$271,List1!$A$275:$A$276,List1!$A$278:$A$281,List1!$A$283:$A$284,List1!$A$287:$A$288,List1!$A$292)</c:f>
              <c:strCache>
                <c:ptCount val="15"/>
                <c:pt idx="0">
                  <c:v>Karolinka</c:v>
                </c:pt>
                <c:pt idx="1">
                  <c:v>Slušovice</c:v>
                </c:pt>
                <c:pt idx="2">
                  <c:v>Vranov</c:v>
                </c:pt>
                <c:pt idx="3">
                  <c:v>Nová Říše</c:v>
                </c:pt>
                <c:pt idx="4">
                  <c:v>Landštejn</c:v>
                </c:pt>
                <c:pt idx="5">
                  <c:v>Opatovice</c:v>
                </c:pt>
                <c:pt idx="6">
                  <c:v>Koryčany</c:v>
                </c:pt>
                <c:pt idx="7">
                  <c:v>Bojkovice</c:v>
                </c:pt>
                <c:pt idx="8">
                  <c:v>Boskovice</c:v>
                </c:pt>
                <c:pt idx="9">
                  <c:v>Fryšták</c:v>
                </c:pt>
                <c:pt idx="10">
                  <c:v>Ludkovice</c:v>
                </c:pt>
                <c:pt idx="11">
                  <c:v>Vír</c:v>
                </c:pt>
                <c:pt idx="12">
                  <c:v>Znojmo</c:v>
                </c:pt>
                <c:pt idx="13">
                  <c:v>Mostiště</c:v>
                </c:pt>
                <c:pt idx="14">
                  <c:v>Hubenov</c:v>
                </c:pt>
              </c:strCache>
            </c:strRef>
          </c:cat>
          <c:val>
            <c:numRef>
              <c:f>(List1!$F$268:$F$271,List1!$F$275:$F$276,List1!$F$278:$F$281,List1!$F$283:$F$284,List1!$F$287:$F$288,List1!$F$292)</c:f>
              <c:numCache>
                <c:formatCode>General</c:formatCode>
                <c:ptCount val="15"/>
                <c:pt idx="0">
                  <c:v>2.5</c:v>
                </c:pt>
                <c:pt idx="1">
                  <c:v>4.0999999999999996</c:v>
                </c:pt>
                <c:pt idx="2">
                  <c:v>10</c:v>
                </c:pt>
                <c:pt idx="3">
                  <c:v>5.4</c:v>
                </c:pt>
                <c:pt idx="4">
                  <c:v>13</c:v>
                </c:pt>
                <c:pt idx="5">
                  <c:v>7.7</c:v>
                </c:pt>
                <c:pt idx="6">
                  <c:v>6.7</c:v>
                </c:pt>
                <c:pt idx="7">
                  <c:v>6.3</c:v>
                </c:pt>
                <c:pt idx="8">
                  <c:v>10</c:v>
                </c:pt>
                <c:pt idx="9">
                  <c:v>27</c:v>
                </c:pt>
                <c:pt idx="10">
                  <c:v>22</c:v>
                </c:pt>
                <c:pt idx="11">
                  <c:v>31</c:v>
                </c:pt>
                <c:pt idx="12">
                  <c:v>29</c:v>
                </c:pt>
                <c:pt idx="13">
                  <c:v>31</c:v>
                </c:pt>
                <c:pt idx="14">
                  <c:v>70</c:v>
                </c:pt>
              </c:numCache>
            </c:numRef>
          </c:val>
          <c:extLst>
            <c:ext xmlns:c16="http://schemas.microsoft.com/office/drawing/2014/chart" uri="{C3380CC4-5D6E-409C-BE32-E72D297353CC}">
              <c16:uniqueId val="{00000004-04DC-413E-AFC9-ACCD68078BCC}"/>
            </c:ext>
          </c:extLst>
        </c:ser>
        <c:ser>
          <c:idx val="5"/>
          <c:order val="5"/>
          <c:tx>
            <c:strRef>
              <c:f>List1!$G$267</c:f>
              <c:strCache>
                <c:ptCount val="1"/>
                <c:pt idx="0">
                  <c:v>září</c:v>
                </c:pt>
              </c:strCache>
            </c:strRef>
          </c:tx>
          <c:invertIfNegative val="0"/>
          <c:cat>
            <c:strRef>
              <c:f>(List1!$A$268:$A$271,List1!$A$275:$A$276,List1!$A$278:$A$281,List1!$A$283:$A$284,List1!$A$287:$A$288,List1!$A$292)</c:f>
              <c:strCache>
                <c:ptCount val="15"/>
                <c:pt idx="0">
                  <c:v>Karolinka</c:v>
                </c:pt>
                <c:pt idx="1">
                  <c:v>Slušovice</c:v>
                </c:pt>
                <c:pt idx="2">
                  <c:v>Vranov</c:v>
                </c:pt>
                <c:pt idx="3">
                  <c:v>Nová Říše</c:v>
                </c:pt>
                <c:pt idx="4">
                  <c:v>Landštejn</c:v>
                </c:pt>
                <c:pt idx="5">
                  <c:v>Opatovice</c:v>
                </c:pt>
                <c:pt idx="6">
                  <c:v>Koryčany</c:v>
                </c:pt>
                <c:pt idx="7">
                  <c:v>Bojkovice</c:v>
                </c:pt>
                <c:pt idx="8">
                  <c:v>Boskovice</c:v>
                </c:pt>
                <c:pt idx="9">
                  <c:v>Fryšták</c:v>
                </c:pt>
                <c:pt idx="10">
                  <c:v>Ludkovice</c:v>
                </c:pt>
                <c:pt idx="11">
                  <c:v>Vír</c:v>
                </c:pt>
                <c:pt idx="12">
                  <c:v>Znojmo</c:v>
                </c:pt>
                <c:pt idx="13">
                  <c:v>Mostiště</c:v>
                </c:pt>
                <c:pt idx="14">
                  <c:v>Hubenov</c:v>
                </c:pt>
              </c:strCache>
            </c:strRef>
          </c:cat>
          <c:val>
            <c:numRef>
              <c:f>(List1!$G$268:$G$271,List1!$G$275:$G$276,List1!$G$278:$G$281,List1!$G$283:$G$284,List1!$G$287:$G$288,List1!$G$292)</c:f>
              <c:numCache>
                <c:formatCode>General</c:formatCode>
                <c:ptCount val="15"/>
                <c:pt idx="0">
                  <c:v>4.3</c:v>
                </c:pt>
                <c:pt idx="1">
                  <c:v>4.7</c:v>
                </c:pt>
                <c:pt idx="2">
                  <c:v>9.1999999999999993</c:v>
                </c:pt>
                <c:pt idx="3">
                  <c:v>10</c:v>
                </c:pt>
                <c:pt idx="4">
                  <c:v>8.8000000000000007</c:v>
                </c:pt>
                <c:pt idx="5">
                  <c:v>17</c:v>
                </c:pt>
                <c:pt idx="6">
                  <c:v>13</c:v>
                </c:pt>
                <c:pt idx="7">
                  <c:v>19</c:v>
                </c:pt>
                <c:pt idx="8">
                  <c:v>16</c:v>
                </c:pt>
                <c:pt idx="9">
                  <c:v>27</c:v>
                </c:pt>
                <c:pt idx="10">
                  <c:v>39</c:v>
                </c:pt>
                <c:pt idx="11">
                  <c:v>65</c:v>
                </c:pt>
                <c:pt idx="12">
                  <c:v>23</c:v>
                </c:pt>
                <c:pt idx="13">
                  <c:v>42</c:v>
                </c:pt>
                <c:pt idx="14">
                  <c:v>55</c:v>
                </c:pt>
              </c:numCache>
            </c:numRef>
          </c:val>
          <c:extLst>
            <c:ext xmlns:c16="http://schemas.microsoft.com/office/drawing/2014/chart" uri="{C3380CC4-5D6E-409C-BE32-E72D297353CC}">
              <c16:uniqueId val="{00000005-04DC-413E-AFC9-ACCD68078BCC}"/>
            </c:ext>
          </c:extLst>
        </c:ser>
        <c:ser>
          <c:idx val="6"/>
          <c:order val="6"/>
          <c:tx>
            <c:strRef>
              <c:f>List1!$H$267</c:f>
              <c:strCache>
                <c:ptCount val="1"/>
                <c:pt idx="0">
                  <c:v>říjen</c:v>
                </c:pt>
              </c:strCache>
            </c:strRef>
          </c:tx>
          <c:invertIfNegative val="0"/>
          <c:cat>
            <c:strRef>
              <c:f>(List1!$A$268:$A$271,List1!$A$275:$A$276,List1!$A$278:$A$281,List1!$A$283:$A$284,List1!$A$287:$A$288,List1!$A$292)</c:f>
              <c:strCache>
                <c:ptCount val="15"/>
                <c:pt idx="0">
                  <c:v>Karolinka</c:v>
                </c:pt>
                <c:pt idx="1">
                  <c:v>Slušovice</c:v>
                </c:pt>
                <c:pt idx="2">
                  <c:v>Vranov</c:v>
                </c:pt>
                <c:pt idx="3">
                  <c:v>Nová Říše</c:v>
                </c:pt>
                <c:pt idx="4">
                  <c:v>Landštejn</c:v>
                </c:pt>
                <c:pt idx="5">
                  <c:v>Opatovice</c:v>
                </c:pt>
                <c:pt idx="6">
                  <c:v>Koryčany</c:v>
                </c:pt>
                <c:pt idx="7">
                  <c:v>Bojkovice</c:v>
                </c:pt>
                <c:pt idx="8">
                  <c:v>Boskovice</c:v>
                </c:pt>
                <c:pt idx="9">
                  <c:v>Fryšták</c:v>
                </c:pt>
                <c:pt idx="10">
                  <c:v>Ludkovice</c:v>
                </c:pt>
                <c:pt idx="11">
                  <c:v>Vír</c:v>
                </c:pt>
                <c:pt idx="12">
                  <c:v>Znojmo</c:v>
                </c:pt>
                <c:pt idx="13">
                  <c:v>Mostiště</c:v>
                </c:pt>
                <c:pt idx="14">
                  <c:v>Hubenov</c:v>
                </c:pt>
              </c:strCache>
            </c:strRef>
          </c:cat>
          <c:val>
            <c:numRef>
              <c:f>(List1!$H$268:$H$271,List1!$H$275:$H$276,List1!$H$278:$H$281,List1!$H$283:$H$284,List1!$H$287:$H$288,List1!$H$292)</c:f>
              <c:numCache>
                <c:formatCode>General</c:formatCode>
                <c:ptCount val="15"/>
                <c:pt idx="0">
                  <c:v>4</c:v>
                </c:pt>
                <c:pt idx="1">
                  <c:v>2.5</c:v>
                </c:pt>
                <c:pt idx="2">
                  <c:v>11</c:v>
                </c:pt>
                <c:pt idx="3">
                  <c:v>13</c:v>
                </c:pt>
                <c:pt idx="4">
                  <c:v>13</c:v>
                </c:pt>
                <c:pt idx="5">
                  <c:v>23</c:v>
                </c:pt>
                <c:pt idx="6">
                  <c:v>12</c:v>
                </c:pt>
                <c:pt idx="7">
                  <c:v>6.7</c:v>
                </c:pt>
                <c:pt idx="8">
                  <c:v>9.9</c:v>
                </c:pt>
                <c:pt idx="9">
                  <c:v>13</c:v>
                </c:pt>
                <c:pt idx="10">
                  <c:v>29</c:v>
                </c:pt>
                <c:pt idx="11">
                  <c:v>25</c:v>
                </c:pt>
                <c:pt idx="12">
                  <c:v>2.5</c:v>
                </c:pt>
                <c:pt idx="13">
                  <c:v>20</c:v>
                </c:pt>
                <c:pt idx="14">
                  <c:v>74</c:v>
                </c:pt>
              </c:numCache>
            </c:numRef>
          </c:val>
          <c:extLst>
            <c:ext xmlns:c16="http://schemas.microsoft.com/office/drawing/2014/chart" uri="{C3380CC4-5D6E-409C-BE32-E72D297353CC}">
              <c16:uniqueId val="{00000006-04DC-413E-AFC9-ACCD68078BCC}"/>
            </c:ext>
          </c:extLst>
        </c:ser>
        <c:dLbls>
          <c:showLegendKey val="0"/>
          <c:showVal val="0"/>
          <c:showCatName val="0"/>
          <c:showSerName val="0"/>
          <c:showPercent val="0"/>
          <c:showBubbleSize val="0"/>
        </c:dLbls>
        <c:gapWidth val="150"/>
        <c:axId val="223260672"/>
        <c:axId val="223262208"/>
      </c:barChart>
      <c:catAx>
        <c:axId val="223260672"/>
        <c:scaling>
          <c:orientation val="minMax"/>
        </c:scaling>
        <c:delete val="0"/>
        <c:axPos val="b"/>
        <c:numFmt formatCode="General" sourceLinked="0"/>
        <c:majorTickMark val="out"/>
        <c:minorTickMark val="none"/>
        <c:tickLblPos val="nextTo"/>
        <c:spPr>
          <a:solidFill>
            <a:schemeClr val="bg1"/>
          </a:solidFill>
        </c:spPr>
        <c:crossAx val="223262208"/>
        <c:crosses val="autoZero"/>
        <c:auto val="1"/>
        <c:lblAlgn val="ctr"/>
        <c:lblOffset val="100"/>
        <c:noMultiLvlLbl val="0"/>
      </c:catAx>
      <c:valAx>
        <c:axId val="223262208"/>
        <c:scaling>
          <c:orientation val="minMax"/>
          <c:max val="80"/>
          <c:min val="0"/>
        </c:scaling>
        <c:delete val="0"/>
        <c:axPos val="l"/>
        <c:majorGridlines/>
        <c:title>
          <c:tx>
            <c:rich>
              <a:bodyPr rot="-5400000" vert="horz"/>
              <a:lstStyle/>
              <a:p>
                <a:pPr>
                  <a:defRPr/>
                </a:pPr>
                <a:r>
                  <a:rPr lang="cs-CZ"/>
                  <a:t>koncentrace chlorofylu a </a:t>
                </a:r>
                <a:r>
                  <a:rPr lang="en-US"/>
                  <a:t>[</a:t>
                </a:r>
                <a:r>
                  <a:rPr lang="cs-CZ"/>
                  <a:t>mg/l</a:t>
                </a:r>
                <a:r>
                  <a:rPr lang="en-US"/>
                  <a:t>]</a:t>
                </a:r>
                <a:endParaRPr lang="cs-CZ"/>
              </a:p>
            </c:rich>
          </c:tx>
          <c:layout>
            <c:manualLayout>
              <c:xMode val="edge"/>
              <c:yMode val="edge"/>
              <c:x val="1.1180579171789563E-3"/>
              <c:y val="0.16780606738878454"/>
            </c:manualLayout>
          </c:layout>
          <c:overlay val="0"/>
        </c:title>
        <c:numFmt formatCode="#,##0" sourceLinked="0"/>
        <c:majorTickMark val="out"/>
        <c:minorTickMark val="none"/>
        <c:tickLblPos val="nextTo"/>
        <c:crossAx val="223260672"/>
        <c:crosses val="autoZero"/>
        <c:crossBetween val="between"/>
        <c:majorUnit val="20"/>
      </c:valAx>
    </c:plotArea>
    <c:legend>
      <c:legendPos val="r"/>
      <c:layout>
        <c:manualLayout>
          <c:xMode val="edge"/>
          <c:yMode val="edge"/>
          <c:x val="0.12142325232601739"/>
          <c:y val="0.10776917509266773"/>
          <c:w val="0.14733896635013646"/>
          <c:h val="0.44632436265801034"/>
        </c:manualLayout>
      </c:layout>
      <c:overlay val="0"/>
      <c:spPr>
        <a:solidFill>
          <a:schemeClr val="bg1"/>
        </a:solidFill>
        <a:ln>
          <a:solidFill>
            <a:schemeClr val="tx1"/>
          </a:solidFill>
        </a:ln>
      </c:spPr>
    </c:legend>
    <c:plotVisOnly val="1"/>
    <c:dispBlanksAs val="gap"/>
    <c:showDLblsOverMax val="0"/>
  </c:chart>
  <c:txPr>
    <a:bodyPr/>
    <a:lstStyle/>
    <a:p>
      <a:pPr>
        <a:defRPr sz="1100"/>
      </a:pPr>
      <a:endParaRPr lang="cs-CZ"/>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0" i="0" u="none" strike="noStrike" baseline="0">
                <a:solidFill>
                  <a:srgbClr val="000000"/>
                </a:solidFill>
                <a:latin typeface="Gill Sans MT"/>
                <a:ea typeface="Gill Sans MT"/>
                <a:cs typeface="Gill Sans MT"/>
              </a:defRPr>
            </a:pPr>
            <a:r>
              <a:rPr lang="cs-CZ" sz="1320" b="1" i="0" u="none" strike="noStrike" baseline="0">
                <a:solidFill>
                  <a:srgbClr val="333333"/>
                </a:solidFill>
                <a:latin typeface="Gill Sans MT"/>
              </a:rPr>
              <a:t>celkem</a:t>
            </a:r>
          </a:p>
          <a:p>
            <a:pPr>
              <a:defRPr sz="1100" b="0" i="0" u="none" strike="noStrike" baseline="0">
                <a:solidFill>
                  <a:srgbClr val="000000"/>
                </a:solidFill>
                <a:latin typeface="Gill Sans MT"/>
                <a:ea typeface="Gill Sans MT"/>
                <a:cs typeface="Gill Sans MT"/>
              </a:defRPr>
            </a:pPr>
            <a:r>
              <a:rPr lang="cs-CZ" sz="1320" b="1" i="0" u="none" strike="noStrike" baseline="0">
                <a:solidFill>
                  <a:srgbClr val="333333"/>
                </a:solidFill>
                <a:latin typeface="Gill Sans MT"/>
              </a:rPr>
              <a:t>6,5 mld. Kč</a:t>
            </a:r>
          </a:p>
        </c:rich>
      </c:tx>
      <c:layout>
        <c:manualLayout>
          <c:xMode val="edge"/>
          <c:yMode val="edge"/>
          <c:x val="0.22576165092765466"/>
          <c:y val="0.42729965884063398"/>
        </c:manualLayout>
      </c:layout>
      <c:overlay val="0"/>
      <c:spPr>
        <a:noFill/>
        <a:ln w="25400">
          <a:noFill/>
        </a:ln>
      </c:spPr>
    </c:title>
    <c:autoTitleDeleted val="0"/>
    <c:plotArea>
      <c:layout>
        <c:manualLayout>
          <c:layoutTarget val="inner"/>
          <c:xMode val="edge"/>
          <c:yMode val="edge"/>
          <c:x val="6.526630047532718E-2"/>
          <c:y val="0.10892264206619141"/>
          <c:w val="0.47765781854587763"/>
          <c:h val="0.82491647001098156"/>
        </c:manualLayout>
      </c:layout>
      <c:doughnutChart>
        <c:varyColors val="1"/>
        <c:ser>
          <c:idx val="0"/>
          <c:order val="0"/>
          <c:spPr>
            <a:ln>
              <a:noFill/>
            </a:ln>
          </c:spPr>
          <c:explosion val="1"/>
          <c:dPt>
            <c:idx val="0"/>
            <c:bubble3D val="0"/>
            <c:explosion val="0"/>
            <c:spPr>
              <a:solidFill>
                <a:schemeClr val="tx2">
                  <a:lumMod val="60000"/>
                  <a:lumOff val="40000"/>
                </a:schemeClr>
              </a:solidFill>
              <a:ln w="19050">
                <a:noFill/>
              </a:ln>
              <a:effectLst/>
            </c:spPr>
            <c:extLst>
              <c:ext xmlns:c16="http://schemas.microsoft.com/office/drawing/2014/chart" uri="{C3380CC4-5D6E-409C-BE32-E72D297353CC}">
                <c16:uniqueId val="{00000001-D39A-40AF-AA9D-1010A5719F26}"/>
              </c:ext>
            </c:extLst>
          </c:dPt>
          <c:dPt>
            <c:idx val="1"/>
            <c:bubble3D val="0"/>
            <c:spPr>
              <a:solidFill>
                <a:srgbClr val="FFFF00"/>
              </a:solidFill>
              <a:ln w="25400">
                <a:noFill/>
              </a:ln>
            </c:spPr>
            <c:extLst>
              <c:ext xmlns:c16="http://schemas.microsoft.com/office/drawing/2014/chart" uri="{C3380CC4-5D6E-409C-BE32-E72D297353CC}">
                <c16:uniqueId val="{00000003-D39A-40AF-AA9D-1010A5719F26}"/>
              </c:ext>
            </c:extLst>
          </c:dPt>
          <c:dPt>
            <c:idx val="2"/>
            <c:bubble3D val="0"/>
            <c:spPr>
              <a:solidFill>
                <a:schemeClr val="accent6">
                  <a:lumMod val="75000"/>
                </a:schemeClr>
              </a:solidFill>
              <a:ln w="19050">
                <a:noFill/>
              </a:ln>
              <a:effectLst/>
            </c:spPr>
            <c:extLst>
              <c:ext xmlns:c16="http://schemas.microsoft.com/office/drawing/2014/chart" uri="{C3380CC4-5D6E-409C-BE32-E72D297353CC}">
                <c16:uniqueId val="{00000005-D39A-40AF-AA9D-1010A5719F26}"/>
              </c:ext>
            </c:extLst>
          </c:dPt>
          <c:dPt>
            <c:idx val="3"/>
            <c:bubble3D val="0"/>
            <c:spPr>
              <a:solidFill>
                <a:srgbClr val="FF0000"/>
              </a:solidFill>
              <a:ln w="25400">
                <a:noFill/>
              </a:ln>
            </c:spPr>
            <c:extLst>
              <c:ext xmlns:c16="http://schemas.microsoft.com/office/drawing/2014/chart" uri="{C3380CC4-5D6E-409C-BE32-E72D297353CC}">
                <c16:uniqueId val="{00000007-D39A-40AF-AA9D-1010A5719F26}"/>
              </c:ext>
            </c:extLst>
          </c:dPt>
          <c:dPt>
            <c:idx val="4"/>
            <c:bubble3D val="0"/>
            <c:spPr>
              <a:solidFill>
                <a:srgbClr val="92D050"/>
              </a:solidFill>
              <a:ln w="25400">
                <a:noFill/>
              </a:ln>
            </c:spPr>
            <c:extLst>
              <c:ext xmlns:c16="http://schemas.microsoft.com/office/drawing/2014/chart" uri="{C3380CC4-5D6E-409C-BE32-E72D297353CC}">
                <c16:uniqueId val="{00000009-D39A-40AF-AA9D-1010A5719F26}"/>
              </c:ext>
            </c:extLst>
          </c:dPt>
          <c:dLbls>
            <c:dLbl>
              <c:idx val="4"/>
              <c:layout>
                <c:manualLayout>
                  <c:x val="4.5819014891179842E-3"/>
                  <c:y val="-8.7042532146389712E-2"/>
                </c:manualLayout>
              </c:layout>
              <c:numFmt formatCode="0.0%" sourceLinked="0"/>
              <c:spPr>
                <a:noFill/>
                <a:ln w="25400">
                  <a:noFill/>
                </a:ln>
              </c:spPr>
              <c:txPr>
                <a:bodyPr/>
                <a:lstStyle/>
                <a:p>
                  <a:pPr>
                    <a:defRPr sz="1100" b="1" i="0" u="none" strike="noStrike" baseline="0">
                      <a:solidFill>
                        <a:srgbClr val="333333"/>
                      </a:solidFill>
                      <a:latin typeface="Gill Sans MT"/>
                      <a:ea typeface="Gill Sans MT"/>
                      <a:cs typeface="Gill Sans MT"/>
                    </a:defRPr>
                  </a:pPr>
                  <a:endParaRPr lang="cs-CZ"/>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39A-40AF-AA9D-1010A5719F26}"/>
                </c:ext>
              </c:extLst>
            </c:dLbl>
            <c:numFmt formatCode="0.0%" sourceLinked="0"/>
            <c:spPr>
              <a:noFill/>
              <a:ln w="25400">
                <a:noFill/>
              </a:ln>
            </c:spPr>
            <c:txPr>
              <a:bodyPr wrap="square" lIns="38100" tIns="19050" rIns="38100" bIns="19050" anchor="ctr">
                <a:spAutoFit/>
              </a:bodyPr>
              <a:lstStyle/>
              <a:p>
                <a:pPr>
                  <a:defRPr sz="1100" b="1" i="0" u="none" strike="noStrike" baseline="0">
                    <a:solidFill>
                      <a:srgbClr val="333333"/>
                    </a:solidFill>
                    <a:latin typeface="Gill Sans MT"/>
                    <a:ea typeface="Gill Sans MT"/>
                    <a:cs typeface="Gill Sans MT"/>
                  </a:defRPr>
                </a:pPr>
                <a:endParaRPr lang="cs-CZ"/>
              </a:p>
            </c:txPr>
            <c:showLegendKey val="0"/>
            <c:showVal val="0"/>
            <c:showCatName val="0"/>
            <c:showSerName val="0"/>
            <c:showPercent val="1"/>
            <c:showBubbleSize val="0"/>
            <c:showLeaderLines val="0"/>
            <c:extLst>
              <c:ext xmlns:c15="http://schemas.microsoft.com/office/drawing/2012/chart" uri="{CE6537A1-D6FC-4f65-9D91-7224C49458BB}"/>
            </c:extLst>
          </c:dLbls>
          <c:cat>
            <c:strRef>
              <c:f>' graf 6.2.1 a 6.2.2'!$A$33:$A$37</c:f>
              <c:strCache>
                <c:ptCount val="5"/>
                <c:pt idx="0">
                  <c:v>Platby za odběry povrchové vody</c:v>
                </c:pt>
                <c:pt idx="1">
                  <c:v>Ostatní  příjmy </c:v>
                </c:pt>
                <c:pt idx="2">
                  <c:v>Výroba elektrické energie</c:v>
                </c:pt>
                <c:pt idx="3">
                  <c:v>Účelové neinvestiční dotace</c:v>
                </c:pt>
                <c:pt idx="4">
                  <c:v>Příjmy za využívání vzdouvacích zařízení </c:v>
                </c:pt>
              </c:strCache>
            </c:strRef>
          </c:cat>
          <c:val>
            <c:numRef>
              <c:f>' graf 6.2.1 a 6.2.2'!$G$33:$G$37</c:f>
              <c:numCache>
                <c:formatCode>#,##0</c:formatCode>
                <c:ptCount val="5"/>
                <c:pt idx="0">
                  <c:v>4449331</c:v>
                </c:pt>
                <c:pt idx="1">
                  <c:v>748630</c:v>
                </c:pt>
                <c:pt idx="2">
                  <c:v>645578</c:v>
                </c:pt>
                <c:pt idx="3">
                  <c:v>548922</c:v>
                </c:pt>
                <c:pt idx="4">
                  <c:v>117924</c:v>
                </c:pt>
              </c:numCache>
            </c:numRef>
          </c:val>
          <c:extLst>
            <c:ext xmlns:c16="http://schemas.microsoft.com/office/drawing/2014/chart" uri="{C3380CC4-5D6E-409C-BE32-E72D297353CC}">
              <c16:uniqueId val="{0000000A-D39A-40AF-AA9D-1010A5719F26}"/>
            </c:ext>
          </c:extLst>
        </c:ser>
        <c:dLbls>
          <c:showLegendKey val="0"/>
          <c:showVal val="0"/>
          <c:showCatName val="0"/>
          <c:showSerName val="0"/>
          <c:showPercent val="0"/>
          <c:showBubbleSize val="0"/>
          <c:showLeaderLines val="0"/>
        </c:dLbls>
        <c:firstSliceAng val="0"/>
        <c:holeSize val="50"/>
      </c:doughnutChart>
      <c:spPr>
        <a:noFill/>
        <a:ln w="25400">
          <a:noFill/>
        </a:ln>
      </c:spPr>
    </c:plotArea>
    <c:legend>
      <c:legendPos val="r"/>
      <c:layout>
        <c:manualLayout>
          <c:xMode val="edge"/>
          <c:yMode val="edge"/>
          <c:x val="0.60482957671528181"/>
          <c:y val="0.19561847730642445"/>
          <c:w val="0.37572746705630866"/>
          <c:h val="0.63073255696785613"/>
        </c:manualLayout>
      </c:layout>
      <c:overlay val="0"/>
      <c:spPr>
        <a:noFill/>
        <a:ln w="25400">
          <a:noFill/>
        </a:ln>
      </c:spPr>
      <c:txPr>
        <a:bodyPr/>
        <a:lstStyle/>
        <a:p>
          <a:pPr>
            <a:defRPr sz="925" b="0" i="0" u="none" strike="noStrike" baseline="0">
              <a:solidFill>
                <a:srgbClr val="333333"/>
              </a:solidFill>
              <a:latin typeface="Gill Sans MT"/>
              <a:ea typeface="Gill Sans MT"/>
              <a:cs typeface="Gill Sans MT"/>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b="0" i="0" u="none" strike="noStrike" baseline="0">
          <a:solidFill>
            <a:srgbClr val="000000"/>
          </a:solidFill>
          <a:latin typeface="Gill Sans MT"/>
          <a:ea typeface="Gill Sans MT"/>
          <a:cs typeface="Gill Sans MT"/>
        </a:defRPr>
      </a:pPr>
      <a:endParaRPr lang="cs-CZ"/>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List1!$B$16</c:f>
              <c:strCache>
                <c:ptCount val="1"/>
                <c:pt idx="0">
                  <c:v>Dodávky povrchové vody celkem</c:v>
                </c:pt>
              </c:strCache>
            </c:strRef>
          </c:tx>
          <c:spPr>
            <a:solidFill>
              <a:srgbClr val="00B0F0"/>
            </a:solidFill>
          </c:spPr>
          <c:invertIfNegative val="0"/>
          <c:dPt>
            <c:idx val="0"/>
            <c:invertIfNegative val="0"/>
            <c:bubble3D val="0"/>
            <c:extLst>
              <c:ext xmlns:c16="http://schemas.microsoft.com/office/drawing/2014/chart" uri="{C3380CC4-5D6E-409C-BE32-E72D297353CC}">
                <c16:uniqueId val="{00000000-28D6-4BEB-B56C-6A1980FDD65E}"/>
              </c:ext>
            </c:extLst>
          </c:dPt>
          <c:dPt>
            <c:idx val="1"/>
            <c:invertIfNegative val="0"/>
            <c:bubble3D val="0"/>
            <c:extLst>
              <c:ext xmlns:c16="http://schemas.microsoft.com/office/drawing/2014/chart" uri="{C3380CC4-5D6E-409C-BE32-E72D297353CC}">
                <c16:uniqueId val="{00000001-28D6-4BEB-B56C-6A1980FDD65E}"/>
              </c:ext>
            </c:extLst>
          </c:dPt>
          <c:dPt>
            <c:idx val="2"/>
            <c:invertIfNegative val="0"/>
            <c:bubble3D val="0"/>
            <c:extLst>
              <c:ext xmlns:c16="http://schemas.microsoft.com/office/drawing/2014/chart" uri="{C3380CC4-5D6E-409C-BE32-E72D297353CC}">
                <c16:uniqueId val="{00000002-28D6-4BEB-B56C-6A1980FDD65E}"/>
              </c:ext>
            </c:extLst>
          </c:dPt>
          <c:dPt>
            <c:idx val="3"/>
            <c:invertIfNegative val="0"/>
            <c:bubble3D val="0"/>
            <c:extLst>
              <c:ext xmlns:c16="http://schemas.microsoft.com/office/drawing/2014/chart" uri="{C3380CC4-5D6E-409C-BE32-E72D297353CC}">
                <c16:uniqueId val="{00000003-28D6-4BEB-B56C-6A1980FDD65E}"/>
              </c:ext>
            </c:extLst>
          </c:dPt>
          <c:dPt>
            <c:idx val="4"/>
            <c:invertIfNegative val="0"/>
            <c:bubble3D val="0"/>
            <c:extLst>
              <c:ext xmlns:c16="http://schemas.microsoft.com/office/drawing/2014/chart" uri="{C3380CC4-5D6E-409C-BE32-E72D297353CC}">
                <c16:uniqueId val="{00000004-28D6-4BEB-B56C-6A1980FDD65E}"/>
              </c:ext>
            </c:extLst>
          </c:dPt>
          <c:cat>
            <c:strRef>
              <c:f>List1!$A$17:$A$21</c:f>
              <c:strCache>
                <c:ptCount val="5"/>
                <c:pt idx="0">
                  <c:v>Povodí Labe  </c:v>
                </c:pt>
                <c:pt idx="1">
                  <c:v>Povodí Vltavy</c:v>
                </c:pt>
                <c:pt idx="2">
                  <c:v>Povodí Ohře</c:v>
                </c:pt>
                <c:pt idx="3">
                  <c:v>Povodí Odry</c:v>
                </c:pt>
                <c:pt idx="4">
                  <c:v>Povodí Moravy</c:v>
                </c:pt>
              </c:strCache>
            </c:strRef>
          </c:cat>
          <c:val>
            <c:numRef>
              <c:f>List1!$B$17:$B$21</c:f>
              <c:numCache>
                <c:formatCode>General</c:formatCode>
                <c:ptCount val="5"/>
                <c:pt idx="0">
                  <c:v>263607</c:v>
                </c:pt>
                <c:pt idx="1">
                  <c:v>207026</c:v>
                </c:pt>
                <c:pt idx="2">
                  <c:v>96125</c:v>
                </c:pt>
                <c:pt idx="3">
                  <c:v>92918</c:v>
                </c:pt>
                <c:pt idx="4">
                  <c:v>96066</c:v>
                </c:pt>
              </c:numCache>
            </c:numRef>
          </c:val>
          <c:extLst>
            <c:ext xmlns:c16="http://schemas.microsoft.com/office/drawing/2014/chart" uri="{C3380CC4-5D6E-409C-BE32-E72D297353CC}">
              <c16:uniqueId val="{00000005-28D6-4BEB-B56C-6A1980FDD65E}"/>
            </c:ext>
          </c:extLst>
        </c:ser>
        <c:ser>
          <c:idx val="1"/>
          <c:order val="1"/>
          <c:tx>
            <c:strRef>
              <c:f>List1!$C$16</c:f>
              <c:strCache>
                <c:ptCount val="1"/>
                <c:pt idx="0">
                  <c:v>Dodávky pro vodovody pro veřejnou potřebu </c:v>
                </c:pt>
              </c:strCache>
            </c:strRef>
          </c:tx>
          <c:spPr>
            <a:pattFill prst="dkVert">
              <a:fgClr>
                <a:srgbClr val="00B0F0"/>
              </a:fgClr>
              <a:bgClr>
                <a:schemeClr val="bg1"/>
              </a:bgClr>
            </a:pattFill>
          </c:spPr>
          <c:invertIfNegative val="0"/>
          <c:dPt>
            <c:idx val="0"/>
            <c:invertIfNegative val="0"/>
            <c:bubble3D val="0"/>
            <c:extLst>
              <c:ext xmlns:c16="http://schemas.microsoft.com/office/drawing/2014/chart" uri="{C3380CC4-5D6E-409C-BE32-E72D297353CC}">
                <c16:uniqueId val="{00000006-28D6-4BEB-B56C-6A1980FDD65E}"/>
              </c:ext>
            </c:extLst>
          </c:dPt>
          <c:dPt>
            <c:idx val="1"/>
            <c:invertIfNegative val="0"/>
            <c:bubble3D val="0"/>
            <c:extLst>
              <c:ext xmlns:c16="http://schemas.microsoft.com/office/drawing/2014/chart" uri="{C3380CC4-5D6E-409C-BE32-E72D297353CC}">
                <c16:uniqueId val="{00000007-28D6-4BEB-B56C-6A1980FDD65E}"/>
              </c:ext>
            </c:extLst>
          </c:dPt>
          <c:dPt>
            <c:idx val="2"/>
            <c:invertIfNegative val="0"/>
            <c:bubble3D val="0"/>
            <c:extLst>
              <c:ext xmlns:c16="http://schemas.microsoft.com/office/drawing/2014/chart" uri="{C3380CC4-5D6E-409C-BE32-E72D297353CC}">
                <c16:uniqueId val="{00000008-28D6-4BEB-B56C-6A1980FDD65E}"/>
              </c:ext>
            </c:extLst>
          </c:dPt>
          <c:dPt>
            <c:idx val="3"/>
            <c:invertIfNegative val="0"/>
            <c:bubble3D val="0"/>
            <c:extLst>
              <c:ext xmlns:c16="http://schemas.microsoft.com/office/drawing/2014/chart" uri="{C3380CC4-5D6E-409C-BE32-E72D297353CC}">
                <c16:uniqueId val="{00000009-28D6-4BEB-B56C-6A1980FDD65E}"/>
              </c:ext>
            </c:extLst>
          </c:dPt>
          <c:dPt>
            <c:idx val="4"/>
            <c:invertIfNegative val="0"/>
            <c:bubble3D val="0"/>
            <c:extLst>
              <c:ext xmlns:c16="http://schemas.microsoft.com/office/drawing/2014/chart" uri="{C3380CC4-5D6E-409C-BE32-E72D297353CC}">
                <c16:uniqueId val="{0000000A-28D6-4BEB-B56C-6A1980FDD65E}"/>
              </c:ext>
            </c:extLst>
          </c:dPt>
          <c:dLbls>
            <c:dLbl>
              <c:idx val="0"/>
              <c:tx>
                <c:rich>
                  <a:bodyPr/>
                  <a:lstStyle/>
                  <a:p>
                    <a:r>
                      <a:rPr lang="en-US" baseline="0"/>
                      <a:t>12 </a:t>
                    </a:r>
                    <a:r>
                      <a:rPr lang="en-US"/>
                      <a:t>%</a:t>
                    </a:r>
                  </a:p>
                </c:rich>
              </c:tx>
              <c:dLblPos val="ct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28D6-4BEB-B56C-6A1980FDD65E}"/>
                </c:ext>
              </c:extLst>
            </c:dLbl>
            <c:dLbl>
              <c:idx val="1"/>
              <c:tx>
                <c:rich>
                  <a:bodyPr/>
                  <a:lstStyle/>
                  <a:p>
                    <a:r>
                      <a:rPr lang="en-US" baseline="0"/>
                      <a:t>69 </a:t>
                    </a:r>
                    <a:r>
                      <a:rPr lang="en-US"/>
                      <a:t>%</a:t>
                    </a:r>
                  </a:p>
                </c:rich>
              </c:tx>
              <c:dLblPos val="ct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28D6-4BEB-B56C-6A1980FDD65E}"/>
                </c:ext>
              </c:extLst>
            </c:dLbl>
            <c:dLbl>
              <c:idx val="2"/>
              <c:tx>
                <c:rich>
                  <a:bodyPr wrap="square" lIns="38100" tIns="19050" rIns="38100" bIns="19050" anchor="ctr">
                    <a:noAutofit/>
                  </a:bodyPr>
                  <a:lstStyle/>
                  <a:p>
                    <a:pPr>
                      <a:defRPr b="1"/>
                    </a:pPr>
                    <a:r>
                      <a:rPr lang="en-US" b="1"/>
                      <a:t>41 %</a:t>
                    </a:r>
                  </a:p>
                </c:rich>
              </c:tx>
              <c:numFmt formatCode="#,##0.00" sourceLinked="0"/>
              <c:spPr>
                <a:noFill/>
                <a:ln w="25400">
                  <a:noFill/>
                </a:ln>
              </c:spPr>
              <c:dLblPos val="ct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8-28D6-4BEB-B56C-6A1980FDD65E}"/>
                </c:ext>
              </c:extLst>
            </c:dLbl>
            <c:dLbl>
              <c:idx val="3"/>
              <c:tx>
                <c:rich>
                  <a:bodyPr/>
                  <a:lstStyle/>
                  <a:p>
                    <a:r>
                      <a:rPr lang="en-US"/>
                      <a:t>63 %</a:t>
                    </a:r>
                  </a:p>
                </c:rich>
              </c:tx>
              <c:dLblPos val="ct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28D6-4BEB-B56C-6A1980FDD65E}"/>
                </c:ext>
              </c:extLst>
            </c:dLbl>
            <c:dLbl>
              <c:idx val="4"/>
              <c:tx>
                <c:rich>
                  <a:bodyPr/>
                  <a:lstStyle/>
                  <a:p>
                    <a:r>
                      <a:rPr lang="en-US"/>
                      <a:t>36 %</a:t>
                    </a:r>
                  </a:p>
                </c:rich>
              </c:tx>
              <c:dLblPos val="ct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28D6-4BEB-B56C-6A1980FDD65E}"/>
                </c:ext>
              </c:extLst>
            </c:dLbl>
            <c:numFmt formatCode="#,##0.00" sourceLinked="0"/>
            <c:spPr>
              <a:noFill/>
              <a:ln w="25400">
                <a:noFill/>
              </a:ln>
            </c:spPr>
            <c:txPr>
              <a:bodyPr wrap="square" lIns="38100" tIns="19050" rIns="38100" bIns="19050" anchor="ctr">
                <a:spAutoFit/>
              </a:bodyPr>
              <a:lstStyle/>
              <a:p>
                <a:pPr>
                  <a:defRPr b="1"/>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List1!$A$17:$A$21</c:f>
              <c:strCache>
                <c:ptCount val="5"/>
                <c:pt idx="0">
                  <c:v>Povodí Labe  </c:v>
                </c:pt>
                <c:pt idx="1">
                  <c:v>Povodí Vltavy</c:v>
                </c:pt>
                <c:pt idx="2">
                  <c:v>Povodí Ohře</c:v>
                </c:pt>
                <c:pt idx="3">
                  <c:v>Povodí Odry</c:v>
                </c:pt>
                <c:pt idx="4">
                  <c:v>Povodí Moravy</c:v>
                </c:pt>
              </c:strCache>
            </c:strRef>
          </c:cat>
          <c:val>
            <c:numRef>
              <c:f>List1!$C$17:$C$21</c:f>
              <c:numCache>
                <c:formatCode>General</c:formatCode>
                <c:ptCount val="5"/>
                <c:pt idx="0">
                  <c:v>32593</c:v>
                </c:pt>
                <c:pt idx="1">
                  <c:v>142777</c:v>
                </c:pt>
                <c:pt idx="2">
                  <c:v>39718</c:v>
                </c:pt>
                <c:pt idx="3">
                  <c:v>58147</c:v>
                </c:pt>
                <c:pt idx="4">
                  <c:v>35199</c:v>
                </c:pt>
              </c:numCache>
            </c:numRef>
          </c:val>
          <c:extLst>
            <c:ext xmlns:c16="http://schemas.microsoft.com/office/drawing/2014/chart" uri="{C3380CC4-5D6E-409C-BE32-E72D297353CC}">
              <c16:uniqueId val="{0000000B-28D6-4BEB-B56C-6A1980FDD65E}"/>
            </c:ext>
          </c:extLst>
        </c:ser>
        <c:dLbls>
          <c:showLegendKey val="0"/>
          <c:showVal val="0"/>
          <c:showCatName val="0"/>
          <c:showSerName val="0"/>
          <c:showPercent val="0"/>
          <c:showBubbleSize val="0"/>
        </c:dLbls>
        <c:gapWidth val="75"/>
        <c:overlap val="40"/>
        <c:axId val="134946112"/>
        <c:axId val="1"/>
      </c:barChart>
      <c:catAx>
        <c:axId val="134946112"/>
        <c:scaling>
          <c:orientation val="minMax"/>
        </c:scaling>
        <c:delete val="0"/>
        <c:axPos val="b"/>
        <c:numFmt formatCode="General" sourceLinked="1"/>
        <c:majorTickMark val="none"/>
        <c:minorTickMark val="none"/>
        <c:tickLblPos val="nextTo"/>
        <c:txPr>
          <a:bodyPr rot="0" vert="horz"/>
          <a:lstStyle/>
          <a:p>
            <a:pPr>
              <a:defRPr b="1"/>
            </a:pPr>
            <a:endParaRPr lang="cs-CZ"/>
          </a:p>
        </c:txPr>
        <c:crossAx val="1"/>
        <c:crosses val="autoZero"/>
        <c:auto val="1"/>
        <c:lblAlgn val="ctr"/>
        <c:lblOffset val="100"/>
        <c:noMultiLvlLbl val="0"/>
      </c:catAx>
      <c:valAx>
        <c:axId val="1"/>
        <c:scaling>
          <c:orientation val="minMax"/>
        </c:scaling>
        <c:delete val="0"/>
        <c:axPos val="l"/>
        <c:majorGridlines/>
        <c:title>
          <c:tx>
            <c:rich>
              <a:bodyPr rot="-5400000" vert="horz"/>
              <a:lstStyle/>
              <a:p>
                <a:pPr>
                  <a:defRPr b="1"/>
                </a:pPr>
                <a:r>
                  <a:rPr lang="en-US" b="1"/>
                  <a:t>mil. m</a:t>
                </a:r>
                <a:r>
                  <a:rPr lang="en-US" b="1" strike="noStrike" baseline="30000"/>
                  <a:t>3</a:t>
                </a:r>
              </a:p>
            </c:rich>
          </c:tx>
          <c:overlay val="0"/>
        </c:title>
        <c:numFmt formatCode="General" sourceLinked="1"/>
        <c:majorTickMark val="none"/>
        <c:minorTickMark val="none"/>
        <c:tickLblPos val="nextTo"/>
        <c:txPr>
          <a:bodyPr rot="0" vert="horz"/>
          <a:lstStyle/>
          <a:p>
            <a:pPr>
              <a:defRPr/>
            </a:pPr>
            <a:endParaRPr lang="cs-CZ"/>
          </a:p>
        </c:txPr>
        <c:crossAx val="134946112"/>
        <c:crosses val="autoZero"/>
        <c:crossBetween val="between"/>
        <c:dispUnits>
          <c:builtInUnit val="thousands"/>
        </c:dispUnits>
      </c:valAx>
    </c:plotArea>
    <c:legend>
      <c:legendPos val="r"/>
      <c:layout>
        <c:manualLayout>
          <c:xMode val="edge"/>
          <c:yMode val="edge"/>
          <c:x val="0.71067876571885813"/>
          <c:y val="0.43809189747769517"/>
          <c:w val="0.27382659383526253"/>
          <c:h val="0.29145472440944881"/>
        </c:manualLayout>
      </c:layout>
      <c:overlay val="0"/>
    </c:legend>
    <c:plotVisOnly val="1"/>
    <c:dispBlanksAs val="gap"/>
    <c:showDLblsOverMax val="0"/>
  </c:chart>
  <c:txPr>
    <a:bodyPr/>
    <a:lstStyle/>
    <a:p>
      <a:pPr>
        <a:defRPr sz="900" b="0" i="0" u="none" strike="noStrike" baseline="0">
          <a:solidFill>
            <a:srgbClr val="000000"/>
          </a:solidFill>
          <a:latin typeface="Arial" panose="020B0604020202020204" pitchFamily="34" charset="0"/>
          <a:ea typeface="Calibri"/>
          <a:cs typeface="Arial" panose="020B0604020202020204" pitchFamily="34" charset="0"/>
        </a:defRPr>
      </a:pPr>
      <a:endParaRPr lang="cs-CZ"/>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8.8023277393356136E-2"/>
          <c:y val="3.7162162162162164E-2"/>
          <c:w val="0.75439698825525592"/>
          <c:h val="0.83205495850180888"/>
        </c:manualLayout>
      </c:layout>
      <c:barChart>
        <c:barDir val="col"/>
        <c:grouping val="clustered"/>
        <c:varyColors val="0"/>
        <c:ser>
          <c:idx val="2"/>
          <c:order val="0"/>
          <c:tx>
            <c:strRef>
              <c:f>'MVE-tržby_6.2.4'!$A$2</c:f>
              <c:strCache>
                <c:ptCount val="1"/>
                <c:pt idx="0">
                  <c:v>Povodí Labe</c:v>
                </c:pt>
              </c:strCache>
            </c:strRef>
          </c:tx>
          <c:spPr>
            <a:solidFill>
              <a:schemeClr val="accent6">
                <a:lumMod val="75000"/>
              </a:schemeClr>
            </a:solidFill>
          </c:spPr>
          <c:invertIfNegative val="0"/>
          <c:cat>
            <c:numRef>
              <c:f>'MVE-tržby_6.2.4'!$B$1:$P$1</c:f>
              <c:numCache>
                <c:formatCode>General</c:formatCod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numCache>
            </c:numRef>
          </c:cat>
          <c:val>
            <c:numRef>
              <c:f>'MVE-tržby_6.2.4'!$B$2:$P$2</c:f>
              <c:numCache>
                <c:formatCode>General</c:formatCode>
                <c:ptCount val="15"/>
                <c:pt idx="0">
                  <c:v>44.387</c:v>
                </c:pt>
                <c:pt idx="1">
                  <c:v>41.222000000000001</c:v>
                </c:pt>
                <c:pt idx="2">
                  <c:v>52.256999999999998</c:v>
                </c:pt>
                <c:pt idx="3">
                  <c:v>36.531999999999996</c:v>
                </c:pt>
                <c:pt idx="4">
                  <c:v>39.39</c:v>
                </c:pt>
                <c:pt idx="5">
                  <c:v>27.754000000000001</c:v>
                </c:pt>
                <c:pt idx="6">
                  <c:v>61.268000000000001</c:v>
                </c:pt>
                <c:pt idx="7">
                  <c:v>38.012</c:v>
                </c:pt>
                <c:pt idx="8">
                  <c:v>48.758000000000003</c:v>
                </c:pt>
                <c:pt idx="9">
                  <c:v>76.808000000000007</c:v>
                </c:pt>
                <c:pt idx="10">
                  <c:v>50.914000000000001</c:v>
                </c:pt>
                <c:pt idx="11" formatCode="#,##0">
                  <c:v>67.567999999999998</c:v>
                </c:pt>
                <c:pt idx="12">
                  <c:v>92.97</c:v>
                </c:pt>
                <c:pt idx="13">
                  <c:v>63.795000000000002</c:v>
                </c:pt>
                <c:pt idx="14">
                  <c:v>52.256999999999998</c:v>
                </c:pt>
              </c:numCache>
            </c:numRef>
          </c:val>
          <c:extLst>
            <c:ext xmlns:c16="http://schemas.microsoft.com/office/drawing/2014/chart" uri="{C3380CC4-5D6E-409C-BE32-E72D297353CC}">
              <c16:uniqueId val="{00000000-540E-458C-A958-A3BDF3D8CFEF}"/>
            </c:ext>
          </c:extLst>
        </c:ser>
        <c:ser>
          <c:idx val="3"/>
          <c:order val="1"/>
          <c:tx>
            <c:strRef>
              <c:f>'MVE-tržby_6.2.4'!$A$3</c:f>
              <c:strCache>
                <c:ptCount val="1"/>
                <c:pt idx="0">
                  <c:v>Povodí Vltavy</c:v>
                </c:pt>
              </c:strCache>
            </c:strRef>
          </c:tx>
          <c:spPr>
            <a:solidFill>
              <a:srgbClr val="FFFF00"/>
            </a:solidFill>
          </c:spPr>
          <c:invertIfNegative val="0"/>
          <c:cat>
            <c:numRef>
              <c:f>'MVE-tržby_6.2.4'!$B$1:$P$1</c:f>
              <c:numCache>
                <c:formatCode>General</c:formatCod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numCache>
            </c:numRef>
          </c:cat>
          <c:val>
            <c:numRef>
              <c:f>'MVE-tržby_6.2.4'!$B$3:$P$3</c:f>
              <c:numCache>
                <c:formatCode>General</c:formatCode>
                <c:ptCount val="15"/>
                <c:pt idx="0">
                  <c:v>217.34800000000001</c:v>
                </c:pt>
                <c:pt idx="1">
                  <c:v>242.709</c:v>
                </c:pt>
                <c:pt idx="2">
                  <c:v>219.464</c:v>
                </c:pt>
                <c:pt idx="3">
                  <c:v>246.83699999999999</c:v>
                </c:pt>
                <c:pt idx="4">
                  <c:v>244.14599999999999</c:v>
                </c:pt>
                <c:pt idx="5">
                  <c:v>225.70400000000001</c:v>
                </c:pt>
                <c:pt idx="6">
                  <c:v>276.11399999999998</c:v>
                </c:pt>
                <c:pt idx="7">
                  <c:v>211.048</c:v>
                </c:pt>
                <c:pt idx="8">
                  <c:v>271.24400000000003</c:v>
                </c:pt>
                <c:pt idx="9">
                  <c:v>283.76900000000001</c:v>
                </c:pt>
                <c:pt idx="10">
                  <c:v>265.892</c:v>
                </c:pt>
                <c:pt idx="11" formatCode="#,##0">
                  <c:v>299.86700000000002</c:v>
                </c:pt>
                <c:pt idx="12">
                  <c:v>443.803</c:v>
                </c:pt>
                <c:pt idx="13">
                  <c:v>362.32400000000001</c:v>
                </c:pt>
                <c:pt idx="14">
                  <c:v>295.29199999999997</c:v>
                </c:pt>
              </c:numCache>
            </c:numRef>
          </c:val>
          <c:extLst>
            <c:ext xmlns:c16="http://schemas.microsoft.com/office/drawing/2014/chart" uri="{C3380CC4-5D6E-409C-BE32-E72D297353CC}">
              <c16:uniqueId val="{00000001-540E-458C-A958-A3BDF3D8CFEF}"/>
            </c:ext>
          </c:extLst>
        </c:ser>
        <c:ser>
          <c:idx val="4"/>
          <c:order val="2"/>
          <c:tx>
            <c:strRef>
              <c:f>'MVE-tržby_6.2.4'!$A$4</c:f>
              <c:strCache>
                <c:ptCount val="1"/>
                <c:pt idx="0">
                  <c:v>Povodí Ohře</c:v>
                </c:pt>
              </c:strCache>
            </c:strRef>
          </c:tx>
          <c:spPr>
            <a:solidFill>
              <a:srgbClr val="FF0000"/>
            </a:solidFill>
            <a:ln>
              <a:solidFill>
                <a:srgbClr val="00B050"/>
              </a:solidFill>
            </a:ln>
          </c:spPr>
          <c:invertIfNegative val="0"/>
          <c:cat>
            <c:numRef>
              <c:f>'MVE-tržby_6.2.4'!$B$1:$P$1</c:f>
              <c:numCache>
                <c:formatCode>General</c:formatCod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numCache>
            </c:numRef>
          </c:cat>
          <c:val>
            <c:numRef>
              <c:f>'MVE-tržby_6.2.4'!$B$4:$P$4</c:f>
              <c:numCache>
                <c:formatCode>General</c:formatCode>
                <c:ptCount val="15"/>
                <c:pt idx="0">
                  <c:v>167.297</c:v>
                </c:pt>
                <c:pt idx="1">
                  <c:v>171.11199999999999</c:v>
                </c:pt>
                <c:pt idx="2">
                  <c:v>229.54499999999999</c:v>
                </c:pt>
                <c:pt idx="3">
                  <c:v>174.34200000000001</c:v>
                </c:pt>
                <c:pt idx="4">
                  <c:v>230.23599999999999</c:v>
                </c:pt>
                <c:pt idx="5">
                  <c:v>136.22300000000001</c:v>
                </c:pt>
                <c:pt idx="6">
                  <c:v>327.221</c:v>
                </c:pt>
                <c:pt idx="7">
                  <c:v>189.511</c:v>
                </c:pt>
                <c:pt idx="8">
                  <c:v>211.005</c:v>
                </c:pt>
                <c:pt idx="9">
                  <c:v>212.22200000000001</c:v>
                </c:pt>
                <c:pt idx="10">
                  <c:v>218.54300000000001</c:v>
                </c:pt>
                <c:pt idx="11" formatCode="#,##0">
                  <c:v>160.07900000000001</c:v>
                </c:pt>
                <c:pt idx="12">
                  <c:v>474.34</c:v>
                </c:pt>
                <c:pt idx="13">
                  <c:v>388.798</c:v>
                </c:pt>
                <c:pt idx="14">
                  <c:v>188.577</c:v>
                </c:pt>
              </c:numCache>
            </c:numRef>
          </c:val>
          <c:extLst>
            <c:ext xmlns:c16="http://schemas.microsoft.com/office/drawing/2014/chart" uri="{C3380CC4-5D6E-409C-BE32-E72D297353CC}">
              <c16:uniqueId val="{00000002-540E-458C-A958-A3BDF3D8CFEF}"/>
            </c:ext>
          </c:extLst>
        </c:ser>
        <c:ser>
          <c:idx val="5"/>
          <c:order val="3"/>
          <c:tx>
            <c:strRef>
              <c:f>'MVE-tržby_6.2.4'!$A$5</c:f>
              <c:strCache>
                <c:ptCount val="1"/>
                <c:pt idx="0">
                  <c:v>Povodí Odry</c:v>
                </c:pt>
              </c:strCache>
            </c:strRef>
          </c:tx>
          <c:spPr>
            <a:solidFill>
              <a:srgbClr val="00B050"/>
            </a:solidFill>
          </c:spPr>
          <c:invertIfNegative val="0"/>
          <c:cat>
            <c:numRef>
              <c:f>'MVE-tržby_6.2.4'!$B$1:$P$1</c:f>
              <c:numCache>
                <c:formatCode>General</c:formatCod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numCache>
            </c:numRef>
          </c:cat>
          <c:val>
            <c:numRef>
              <c:f>'MVE-tržby_6.2.4'!$B$5:$P$5</c:f>
              <c:numCache>
                <c:formatCode>General</c:formatCode>
                <c:ptCount val="15"/>
                <c:pt idx="0">
                  <c:v>65.682000000000002</c:v>
                </c:pt>
                <c:pt idx="1">
                  <c:v>66</c:v>
                </c:pt>
                <c:pt idx="2">
                  <c:v>72.506</c:v>
                </c:pt>
                <c:pt idx="3">
                  <c:v>56.006</c:v>
                </c:pt>
                <c:pt idx="4">
                  <c:v>65.509</c:v>
                </c:pt>
                <c:pt idx="5">
                  <c:v>56.668999999999997</c:v>
                </c:pt>
                <c:pt idx="6">
                  <c:v>62.813000000000002</c:v>
                </c:pt>
                <c:pt idx="7">
                  <c:v>69.486999999999995</c:v>
                </c:pt>
                <c:pt idx="8">
                  <c:v>79.63</c:v>
                </c:pt>
                <c:pt idx="9">
                  <c:v>89.111999999999995</c:v>
                </c:pt>
                <c:pt idx="10">
                  <c:v>77.183000000000007</c:v>
                </c:pt>
                <c:pt idx="11" formatCode="#,##0">
                  <c:v>75.162000000000006</c:v>
                </c:pt>
                <c:pt idx="12">
                  <c:v>111.158</c:v>
                </c:pt>
                <c:pt idx="13">
                  <c:v>124.086</c:v>
                </c:pt>
                <c:pt idx="14">
                  <c:v>77.381</c:v>
                </c:pt>
              </c:numCache>
            </c:numRef>
          </c:val>
          <c:extLst>
            <c:ext xmlns:c16="http://schemas.microsoft.com/office/drawing/2014/chart" uri="{C3380CC4-5D6E-409C-BE32-E72D297353CC}">
              <c16:uniqueId val="{00000003-540E-458C-A958-A3BDF3D8CFEF}"/>
            </c:ext>
          </c:extLst>
        </c:ser>
        <c:ser>
          <c:idx val="0"/>
          <c:order val="4"/>
          <c:tx>
            <c:strRef>
              <c:f>'MVE-tržby_6.2.4'!$A$6</c:f>
              <c:strCache>
                <c:ptCount val="1"/>
                <c:pt idx="0">
                  <c:v>Povodí Moravy</c:v>
                </c:pt>
              </c:strCache>
            </c:strRef>
          </c:tx>
          <c:invertIfNegative val="0"/>
          <c:cat>
            <c:numRef>
              <c:f>'MVE-tržby_6.2.4'!$B$1:$P$1</c:f>
              <c:numCache>
                <c:formatCode>General</c:formatCod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numCache>
            </c:numRef>
          </c:cat>
          <c:val>
            <c:numRef>
              <c:f>'MVE-tržby_6.2.4'!$B$6:$P$6</c:f>
              <c:numCache>
                <c:formatCode>General</c:formatCode>
                <c:ptCount val="15"/>
                <c:pt idx="0">
                  <c:v>30.831</c:v>
                </c:pt>
                <c:pt idx="1">
                  <c:v>29.331</c:v>
                </c:pt>
                <c:pt idx="2">
                  <c:v>31.591999999999999</c:v>
                </c:pt>
                <c:pt idx="3">
                  <c:v>32.014000000000003</c:v>
                </c:pt>
                <c:pt idx="4">
                  <c:v>30.431999999999999</c:v>
                </c:pt>
                <c:pt idx="5">
                  <c:v>28.812000000000001</c:v>
                </c:pt>
                <c:pt idx="6">
                  <c:v>26.039000000000001</c:v>
                </c:pt>
                <c:pt idx="7">
                  <c:v>22.279</c:v>
                </c:pt>
                <c:pt idx="8">
                  <c:v>22.215</c:v>
                </c:pt>
                <c:pt idx="9">
                  <c:v>38.744</c:v>
                </c:pt>
                <c:pt idx="10">
                  <c:v>26.748000000000001</c:v>
                </c:pt>
                <c:pt idx="11" formatCode="#,##0">
                  <c:v>15.237</c:v>
                </c:pt>
                <c:pt idx="12">
                  <c:v>101.35599999999999</c:v>
                </c:pt>
                <c:pt idx="13">
                  <c:v>48.164000000000001</c:v>
                </c:pt>
                <c:pt idx="14">
                  <c:v>29.120999999999999</c:v>
                </c:pt>
              </c:numCache>
            </c:numRef>
          </c:val>
          <c:extLst>
            <c:ext xmlns:c16="http://schemas.microsoft.com/office/drawing/2014/chart" uri="{C3380CC4-5D6E-409C-BE32-E72D297353CC}">
              <c16:uniqueId val="{00000004-540E-458C-A958-A3BDF3D8CFEF}"/>
            </c:ext>
          </c:extLst>
        </c:ser>
        <c:dLbls>
          <c:showLegendKey val="0"/>
          <c:showVal val="0"/>
          <c:showCatName val="0"/>
          <c:showSerName val="0"/>
          <c:showPercent val="0"/>
          <c:showBubbleSize val="0"/>
        </c:dLbls>
        <c:gapWidth val="75"/>
        <c:overlap val="-25"/>
        <c:axId val="137686432"/>
        <c:axId val="1"/>
      </c:barChart>
      <c:catAx>
        <c:axId val="137686432"/>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Arial"/>
                <a:ea typeface="Arial"/>
                <a:cs typeface="Arial"/>
              </a:defRPr>
            </a:pPr>
            <a:endParaRPr lang="cs-CZ"/>
          </a:p>
        </c:txPr>
        <c:crossAx val="1"/>
        <c:crosses val="autoZero"/>
        <c:auto val="1"/>
        <c:lblAlgn val="ctr"/>
        <c:lblOffset val="100"/>
        <c:noMultiLvlLbl val="0"/>
      </c:catAx>
      <c:valAx>
        <c:axId val="1"/>
        <c:scaling>
          <c:orientation val="minMax"/>
        </c:scaling>
        <c:delete val="0"/>
        <c:axPos val="l"/>
        <c:majorGridlines/>
        <c:title>
          <c:tx>
            <c:rich>
              <a:bodyPr/>
              <a:lstStyle/>
              <a:p>
                <a:pPr>
                  <a:defRPr sz="1000" b="0" i="0" u="none" strike="noStrike" baseline="0">
                    <a:solidFill>
                      <a:srgbClr val="000000"/>
                    </a:solidFill>
                    <a:latin typeface="Arial"/>
                    <a:ea typeface="Arial"/>
                    <a:cs typeface="Arial"/>
                  </a:defRPr>
                </a:pPr>
                <a:r>
                  <a:rPr lang="cs-CZ"/>
                  <a:t>mil. Kč</a:t>
                </a:r>
              </a:p>
            </c:rich>
          </c:tx>
          <c:overlay val="0"/>
        </c:title>
        <c:numFmt formatCode="General" sourceLinked="1"/>
        <c:majorTickMark val="none"/>
        <c:minorTickMark val="none"/>
        <c:tickLblPos val="nextTo"/>
        <c:txPr>
          <a:bodyPr rot="0" vert="horz"/>
          <a:lstStyle/>
          <a:p>
            <a:pPr>
              <a:defRPr sz="1000" b="0" i="0" u="none" strike="noStrike" baseline="0">
                <a:solidFill>
                  <a:srgbClr val="000000"/>
                </a:solidFill>
                <a:latin typeface="Arial"/>
                <a:ea typeface="Arial"/>
                <a:cs typeface="Arial"/>
              </a:defRPr>
            </a:pPr>
            <a:endParaRPr lang="cs-CZ"/>
          </a:p>
        </c:txPr>
        <c:crossAx val="137686432"/>
        <c:crosses val="autoZero"/>
        <c:crossBetween val="between"/>
      </c:valAx>
    </c:plotArea>
    <c:legend>
      <c:legendPos val="r"/>
      <c:layout>
        <c:manualLayout>
          <c:xMode val="edge"/>
          <c:yMode val="edge"/>
          <c:x val="0.17761513543779348"/>
          <c:y val="0.922328154639804"/>
          <c:w val="0.64311831030556499"/>
          <c:h val="5.2366616838523672E-2"/>
        </c:manualLayout>
      </c:layout>
      <c:overlay val="0"/>
      <c:txPr>
        <a:bodyPr/>
        <a:lstStyle/>
        <a:p>
          <a:pPr>
            <a:defRPr sz="920" b="0" i="0" u="none" strike="noStrike" baseline="0">
              <a:solidFill>
                <a:srgbClr val="000000"/>
              </a:solidFill>
              <a:latin typeface="Arial"/>
              <a:ea typeface="Arial"/>
              <a:cs typeface="Arial"/>
            </a:defRPr>
          </a:pPr>
          <a:endParaRPr lang="cs-CZ"/>
        </a:p>
      </c:txPr>
    </c:legend>
    <c:plotVisOnly val="1"/>
    <c:dispBlanksAs val="gap"/>
    <c:showDLblsOverMax val="0"/>
  </c:chart>
  <c:txPr>
    <a:bodyPr/>
    <a:lstStyle/>
    <a:p>
      <a:pPr>
        <a:defRPr sz="1000" b="0" i="0" u="none" strike="noStrike" baseline="0">
          <a:solidFill>
            <a:srgbClr val="000000"/>
          </a:solidFill>
          <a:latin typeface="Arial"/>
          <a:ea typeface="Arial"/>
          <a:cs typeface="Arial"/>
        </a:defRPr>
      </a:pPr>
      <a:endParaRPr lang="cs-CZ"/>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948414614954662"/>
          <c:y val="5.4677274810674727E-2"/>
          <c:w val="0.70720363079615045"/>
          <c:h val="0.6600300138953219"/>
        </c:manualLayout>
      </c:layout>
      <c:barChart>
        <c:barDir val="col"/>
        <c:grouping val="stacked"/>
        <c:varyColors val="0"/>
        <c:ser>
          <c:idx val="0"/>
          <c:order val="0"/>
          <c:tx>
            <c:strRef>
              <c:f>'graf 6.2.5'!$A$19</c:f>
              <c:strCache>
                <c:ptCount val="1"/>
                <c:pt idx="0">
                  <c:v>Povodí Labe</c:v>
                </c:pt>
              </c:strCache>
            </c:strRef>
          </c:tx>
          <c:spPr>
            <a:solidFill>
              <a:schemeClr val="accent2"/>
            </a:solidFill>
            <a:ln>
              <a:noFill/>
            </a:ln>
            <a:effectLst/>
          </c:spPr>
          <c:invertIfNegative val="0"/>
          <c:cat>
            <c:strRef>
              <c:f>'graf 6.2.5'!$B$18:$C$18</c:f>
              <c:strCache>
                <c:ptCount val="2"/>
                <c:pt idx="0">
                  <c:v>Účelové neinvestiční dotace (tis. Kč)</c:v>
                </c:pt>
                <c:pt idx="1">
                  <c:v>Investiční dotace (tis. Kč)</c:v>
                </c:pt>
              </c:strCache>
            </c:strRef>
          </c:cat>
          <c:val>
            <c:numRef>
              <c:f>'graf 6.2.5'!$B$19:$C$19</c:f>
              <c:numCache>
                <c:formatCode>0</c:formatCode>
                <c:ptCount val="2"/>
                <c:pt idx="0">
                  <c:v>112475</c:v>
                </c:pt>
                <c:pt idx="1">
                  <c:v>289450</c:v>
                </c:pt>
              </c:numCache>
            </c:numRef>
          </c:val>
          <c:extLst>
            <c:ext xmlns:c16="http://schemas.microsoft.com/office/drawing/2014/chart" uri="{C3380CC4-5D6E-409C-BE32-E72D297353CC}">
              <c16:uniqueId val="{00000000-91BF-47B0-BB7E-A11432FA806E}"/>
            </c:ext>
          </c:extLst>
        </c:ser>
        <c:ser>
          <c:idx val="1"/>
          <c:order val="1"/>
          <c:tx>
            <c:strRef>
              <c:f>'graf 6.2.5'!$A$20</c:f>
              <c:strCache>
                <c:ptCount val="1"/>
                <c:pt idx="0">
                  <c:v>Povodí Vltavy</c:v>
                </c:pt>
              </c:strCache>
            </c:strRef>
          </c:tx>
          <c:spPr>
            <a:solidFill>
              <a:srgbClr val="FFFF00"/>
            </a:solidFill>
            <a:ln>
              <a:noFill/>
            </a:ln>
            <a:effectLst/>
          </c:spPr>
          <c:invertIfNegative val="0"/>
          <c:cat>
            <c:strRef>
              <c:f>'graf 6.2.5'!$B$18:$C$18</c:f>
              <c:strCache>
                <c:ptCount val="2"/>
                <c:pt idx="0">
                  <c:v>Účelové neinvestiční dotace (tis. Kč)</c:v>
                </c:pt>
                <c:pt idx="1">
                  <c:v>Investiční dotace (tis. Kč)</c:v>
                </c:pt>
              </c:strCache>
            </c:strRef>
          </c:cat>
          <c:val>
            <c:numRef>
              <c:f>'graf 6.2.5'!$B$20:$C$20</c:f>
              <c:numCache>
                <c:formatCode>0</c:formatCode>
                <c:ptCount val="2"/>
                <c:pt idx="0">
                  <c:v>77660</c:v>
                </c:pt>
                <c:pt idx="1">
                  <c:v>466943</c:v>
                </c:pt>
              </c:numCache>
            </c:numRef>
          </c:val>
          <c:extLst>
            <c:ext xmlns:c16="http://schemas.microsoft.com/office/drawing/2014/chart" uri="{C3380CC4-5D6E-409C-BE32-E72D297353CC}">
              <c16:uniqueId val="{00000001-91BF-47B0-BB7E-A11432FA806E}"/>
            </c:ext>
          </c:extLst>
        </c:ser>
        <c:ser>
          <c:idx val="2"/>
          <c:order val="2"/>
          <c:tx>
            <c:strRef>
              <c:f>'graf 6.2.5'!$A$21</c:f>
              <c:strCache>
                <c:ptCount val="1"/>
                <c:pt idx="0">
                  <c:v>Povodí Ohře</c:v>
                </c:pt>
              </c:strCache>
            </c:strRef>
          </c:tx>
          <c:spPr>
            <a:solidFill>
              <a:srgbClr val="FF0000"/>
            </a:solidFill>
            <a:ln>
              <a:noFill/>
            </a:ln>
            <a:effectLst/>
          </c:spPr>
          <c:invertIfNegative val="0"/>
          <c:cat>
            <c:strRef>
              <c:f>'graf 6.2.5'!$B$18:$C$18</c:f>
              <c:strCache>
                <c:ptCount val="2"/>
                <c:pt idx="0">
                  <c:v>Účelové neinvestiční dotace (tis. Kč)</c:v>
                </c:pt>
                <c:pt idx="1">
                  <c:v>Investiční dotace (tis. Kč)</c:v>
                </c:pt>
              </c:strCache>
            </c:strRef>
          </c:cat>
          <c:val>
            <c:numRef>
              <c:f>'graf 6.2.5'!$B$21:$C$21</c:f>
              <c:numCache>
                <c:formatCode>0</c:formatCode>
                <c:ptCount val="2"/>
                <c:pt idx="0">
                  <c:v>2527</c:v>
                </c:pt>
                <c:pt idx="1">
                  <c:v>51946</c:v>
                </c:pt>
              </c:numCache>
            </c:numRef>
          </c:val>
          <c:extLst>
            <c:ext xmlns:c16="http://schemas.microsoft.com/office/drawing/2014/chart" uri="{C3380CC4-5D6E-409C-BE32-E72D297353CC}">
              <c16:uniqueId val="{00000002-91BF-47B0-BB7E-A11432FA806E}"/>
            </c:ext>
          </c:extLst>
        </c:ser>
        <c:ser>
          <c:idx val="3"/>
          <c:order val="3"/>
          <c:tx>
            <c:strRef>
              <c:f>'graf 6.2.5'!$A$22</c:f>
              <c:strCache>
                <c:ptCount val="1"/>
                <c:pt idx="0">
                  <c:v>Povodí Odry</c:v>
                </c:pt>
              </c:strCache>
            </c:strRef>
          </c:tx>
          <c:spPr>
            <a:solidFill>
              <a:srgbClr val="00B050"/>
            </a:solidFill>
            <a:ln>
              <a:noFill/>
            </a:ln>
            <a:effectLst/>
          </c:spPr>
          <c:invertIfNegative val="0"/>
          <c:cat>
            <c:strRef>
              <c:f>'graf 6.2.5'!$B$18:$C$18</c:f>
              <c:strCache>
                <c:ptCount val="2"/>
                <c:pt idx="0">
                  <c:v>Účelové neinvestiční dotace (tis. Kč)</c:v>
                </c:pt>
                <c:pt idx="1">
                  <c:v>Investiční dotace (tis. Kč)</c:v>
                </c:pt>
              </c:strCache>
            </c:strRef>
          </c:cat>
          <c:val>
            <c:numRef>
              <c:f>'graf 6.2.5'!$B$22:$C$22</c:f>
              <c:numCache>
                <c:formatCode>0</c:formatCode>
                <c:ptCount val="2"/>
                <c:pt idx="0">
                  <c:v>148262</c:v>
                </c:pt>
                <c:pt idx="1">
                  <c:v>242680</c:v>
                </c:pt>
              </c:numCache>
            </c:numRef>
          </c:val>
          <c:extLst>
            <c:ext xmlns:c16="http://schemas.microsoft.com/office/drawing/2014/chart" uri="{C3380CC4-5D6E-409C-BE32-E72D297353CC}">
              <c16:uniqueId val="{00000003-91BF-47B0-BB7E-A11432FA806E}"/>
            </c:ext>
          </c:extLst>
        </c:ser>
        <c:ser>
          <c:idx val="4"/>
          <c:order val="4"/>
          <c:tx>
            <c:strRef>
              <c:f>'graf 6.2.5'!$A$23</c:f>
              <c:strCache>
                <c:ptCount val="1"/>
                <c:pt idx="0">
                  <c:v>Povodí Moravy</c:v>
                </c:pt>
              </c:strCache>
            </c:strRef>
          </c:tx>
          <c:spPr>
            <a:solidFill>
              <a:srgbClr val="0070C0"/>
            </a:solidFill>
            <a:ln>
              <a:noFill/>
            </a:ln>
            <a:effectLst/>
          </c:spPr>
          <c:invertIfNegative val="0"/>
          <c:cat>
            <c:strRef>
              <c:f>'graf 6.2.5'!$B$18:$C$18</c:f>
              <c:strCache>
                <c:ptCount val="2"/>
                <c:pt idx="0">
                  <c:v>Účelové neinvestiční dotace (tis. Kč)</c:v>
                </c:pt>
                <c:pt idx="1">
                  <c:v>Investiční dotace (tis. Kč)</c:v>
                </c:pt>
              </c:strCache>
            </c:strRef>
          </c:cat>
          <c:val>
            <c:numRef>
              <c:f>'graf 6.2.5'!$B$23:$C$23</c:f>
              <c:numCache>
                <c:formatCode>0</c:formatCode>
                <c:ptCount val="2"/>
                <c:pt idx="0">
                  <c:v>207690</c:v>
                </c:pt>
                <c:pt idx="1">
                  <c:v>397123</c:v>
                </c:pt>
              </c:numCache>
            </c:numRef>
          </c:val>
          <c:extLst>
            <c:ext xmlns:c16="http://schemas.microsoft.com/office/drawing/2014/chart" uri="{C3380CC4-5D6E-409C-BE32-E72D297353CC}">
              <c16:uniqueId val="{00000004-91BF-47B0-BB7E-A11432FA806E}"/>
            </c:ext>
          </c:extLst>
        </c:ser>
        <c:dLbls>
          <c:showLegendKey val="0"/>
          <c:showVal val="0"/>
          <c:showCatName val="0"/>
          <c:showSerName val="0"/>
          <c:showPercent val="0"/>
          <c:showBubbleSize val="0"/>
        </c:dLbls>
        <c:gapWidth val="150"/>
        <c:overlap val="100"/>
        <c:axId val="390112392"/>
        <c:axId val="390112720"/>
      </c:barChart>
      <c:catAx>
        <c:axId val="390112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390112720"/>
        <c:crosses val="autoZero"/>
        <c:auto val="1"/>
        <c:lblAlgn val="ctr"/>
        <c:lblOffset val="100"/>
        <c:noMultiLvlLbl val="0"/>
      </c:catAx>
      <c:valAx>
        <c:axId val="390112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mil. Kč</a:t>
                </a:r>
              </a:p>
            </c:rich>
          </c:tx>
          <c:layout>
            <c:manualLayout>
              <c:xMode val="edge"/>
              <c:yMode val="edge"/>
              <c:x val="7.2222222222222215E-2"/>
              <c:y val="0.32012474911224331"/>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title>
        <c:numFmt formatCode="#\ ##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3901123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Arial" panose="020B0604020202020204" pitchFamily="34" charset="0"/>
          <a:cs typeface="Arial" panose="020B0604020202020204" pitchFamily="34" charset="0"/>
        </a:defRPr>
      </a:pPr>
      <a:endParaRPr lang="cs-CZ"/>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92514026095813"/>
          <c:y val="4.2145593869731802E-2"/>
          <c:w val="0.80353139635779625"/>
          <c:h val="0.73207077563580414"/>
        </c:manualLayout>
      </c:layout>
      <c:barChart>
        <c:barDir val="col"/>
        <c:grouping val="stacked"/>
        <c:varyColors val="0"/>
        <c:ser>
          <c:idx val="0"/>
          <c:order val="0"/>
          <c:tx>
            <c:strRef>
              <c:f>List1!$A$4</c:f>
              <c:strCache>
                <c:ptCount val="1"/>
                <c:pt idx="0">
                  <c:v>Povodí Labe </c:v>
                </c:pt>
              </c:strCache>
            </c:strRef>
          </c:tx>
          <c:spPr>
            <a:solidFill>
              <a:schemeClr val="accent2"/>
            </a:solidFill>
            <a:ln>
              <a:noFill/>
            </a:ln>
            <a:effectLst/>
          </c:spPr>
          <c:invertIfNegative val="0"/>
          <c:cat>
            <c:numRef>
              <c:f>List1!$C$2:$P$2</c:f>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f>List1!$C$4:$P$4</c:f>
              <c:numCache>
                <c:formatCode>General</c:formatCode>
                <c:ptCount val="14"/>
                <c:pt idx="0" formatCode="#,##0.00">
                  <c:v>1240.8</c:v>
                </c:pt>
                <c:pt idx="1">
                  <c:v>1378.3</c:v>
                </c:pt>
                <c:pt idx="2">
                  <c:v>132.6</c:v>
                </c:pt>
                <c:pt idx="3">
                  <c:v>189.9</c:v>
                </c:pt>
                <c:pt idx="4">
                  <c:v>514.6</c:v>
                </c:pt>
                <c:pt idx="5">
                  <c:v>401.2</c:v>
                </c:pt>
                <c:pt idx="6">
                  <c:v>360</c:v>
                </c:pt>
                <c:pt idx="7">
                  <c:v>461.6</c:v>
                </c:pt>
                <c:pt idx="8">
                  <c:v>447.9</c:v>
                </c:pt>
                <c:pt idx="9">
                  <c:v>448.1</c:v>
                </c:pt>
                <c:pt idx="10">
                  <c:v>261.5</c:v>
                </c:pt>
                <c:pt idx="11">
                  <c:v>379.8</c:v>
                </c:pt>
                <c:pt idx="12">
                  <c:v>438.8</c:v>
                </c:pt>
                <c:pt idx="13">
                  <c:v>627.5</c:v>
                </c:pt>
              </c:numCache>
            </c:numRef>
          </c:val>
          <c:extLst>
            <c:ext xmlns:c16="http://schemas.microsoft.com/office/drawing/2014/chart" uri="{C3380CC4-5D6E-409C-BE32-E72D297353CC}">
              <c16:uniqueId val="{00000000-B783-4843-9DF9-2B8639E4793E}"/>
            </c:ext>
          </c:extLst>
        </c:ser>
        <c:ser>
          <c:idx val="1"/>
          <c:order val="1"/>
          <c:tx>
            <c:strRef>
              <c:f>List1!$A$5</c:f>
              <c:strCache>
                <c:ptCount val="1"/>
                <c:pt idx="0">
                  <c:v>Povodí Vltavy </c:v>
                </c:pt>
              </c:strCache>
            </c:strRef>
          </c:tx>
          <c:spPr>
            <a:solidFill>
              <a:srgbClr val="FFFF00"/>
            </a:solidFill>
            <a:ln>
              <a:noFill/>
            </a:ln>
            <a:effectLst/>
          </c:spPr>
          <c:invertIfNegative val="0"/>
          <c:cat>
            <c:numRef>
              <c:f>List1!$C$2:$P$2</c:f>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f>List1!$C$5:$P$5</c:f>
              <c:numCache>
                <c:formatCode>General</c:formatCode>
                <c:ptCount val="14"/>
                <c:pt idx="0">
                  <c:v>729.5</c:v>
                </c:pt>
                <c:pt idx="1">
                  <c:v>905.2</c:v>
                </c:pt>
                <c:pt idx="2">
                  <c:v>386.7</c:v>
                </c:pt>
                <c:pt idx="3">
                  <c:v>361.5</c:v>
                </c:pt>
                <c:pt idx="4">
                  <c:v>286</c:v>
                </c:pt>
                <c:pt idx="5">
                  <c:v>410.9</c:v>
                </c:pt>
                <c:pt idx="6">
                  <c:v>493</c:v>
                </c:pt>
                <c:pt idx="7">
                  <c:v>495.3</c:v>
                </c:pt>
                <c:pt idx="8">
                  <c:v>452.8</c:v>
                </c:pt>
                <c:pt idx="9">
                  <c:v>670.4</c:v>
                </c:pt>
                <c:pt idx="10">
                  <c:v>930.4</c:v>
                </c:pt>
                <c:pt idx="11">
                  <c:v>782.7</c:v>
                </c:pt>
                <c:pt idx="12">
                  <c:v>989.9</c:v>
                </c:pt>
                <c:pt idx="13">
                  <c:v>839.8</c:v>
                </c:pt>
              </c:numCache>
            </c:numRef>
          </c:val>
          <c:extLst>
            <c:ext xmlns:c16="http://schemas.microsoft.com/office/drawing/2014/chart" uri="{C3380CC4-5D6E-409C-BE32-E72D297353CC}">
              <c16:uniqueId val="{00000001-B783-4843-9DF9-2B8639E4793E}"/>
            </c:ext>
          </c:extLst>
        </c:ser>
        <c:ser>
          <c:idx val="2"/>
          <c:order val="2"/>
          <c:tx>
            <c:strRef>
              <c:f>List1!$A$6</c:f>
              <c:strCache>
                <c:ptCount val="1"/>
                <c:pt idx="0">
                  <c:v>Povodí Ohře </c:v>
                </c:pt>
              </c:strCache>
            </c:strRef>
          </c:tx>
          <c:spPr>
            <a:solidFill>
              <a:srgbClr val="FF0000"/>
            </a:solidFill>
            <a:ln>
              <a:noFill/>
            </a:ln>
            <a:effectLst/>
          </c:spPr>
          <c:invertIfNegative val="0"/>
          <c:cat>
            <c:numRef>
              <c:f>List1!$C$2:$P$2</c:f>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f>List1!$C$6:$P$6</c:f>
              <c:numCache>
                <c:formatCode>General</c:formatCode>
                <c:ptCount val="14"/>
                <c:pt idx="0">
                  <c:v>357.1</c:v>
                </c:pt>
                <c:pt idx="1">
                  <c:v>262.5</c:v>
                </c:pt>
                <c:pt idx="2">
                  <c:v>306.7</c:v>
                </c:pt>
                <c:pt idx="3">
                  <c:v>242.5</c:v>
                </c:pt>
                <c:pt idx="4">
                  <c:v>210.7</c:v>
                </c:pt>
                <c:pt idx="5">
                  <c:v>161.6</c:v>
                </c:pt>
                <c:pt idx="6">
                  <c:v>221.2</c:v>
                </c:pt>
                <c:pt idx="7">
                  <c:v>346.1</c:v>
                </c:pt>
                <c:pt idx="8">
                  <c:v>188.8</c:v>
                </c:pt>
                <c:pt idx="9">
                  <c:v>323.39999999999998</c:v>
                </c:pt>
                <c:pt idx="10">
                  <c:v>451.8</c:v>
                </c:pt>
                <c:pt idx="11">
                  <c:v>622.5</c:v>
                </c:pt>
                <c:pt idx="12">
                  <c:v>453.8</c:v>
                </c:pt>
                <c:pt idx="13">
                  <c:v>276.10000000000002</c:v>
                </c:pt>
              </c:numCache>
            </c:numRef>
          </c:val>
          <c:extLst>
            <c:ext xmlns:c16="http://schemas.microsoft.com/office/drawing/2014/chart" uri="{C3380CC4-5D6E-409C-BE32-E72D297353CC}">
              <c16:uniqueId val="{00000002-B783-4843-9DF9-2B8639E4793E}"/>
            </c:ext>
          </c:extLst>
        </c:ser>
        <c:ser>
          <c:idx val="3"/>
          <c:order val="3"/>
          <c:tx>
            <c:strRef>
              <c:f>List1!$A$7</c:f>
              <c:strCache>
                <c:ptCount val="1"/>
                <c:pt idx="0">
                  <c:v>Povodí Odry </c:v>
                </c:pt>
              </c:strCache>
            </c:strRef>
          </c:tx>
          <c:spPr>
            <a:solidFill>
              <a:srgbClr val="00B050"/>
            </a:solidFill>
            <a:ln>
              <a:noFill/>
            </a:ln>
            <a:effectLst/>
          </c:spPr>
          <c:invertIfNegative val="0"/>
          <c:cat>
            <c:numRef>
              <c:f>List1!$C$2:$P$2</c:f>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f>List1!$C$7:$P$7</c:f>
              <c:numCache>
                <c:formatCode>General</c:formatCode>
                <c:ptCount val="14"/>
                <c:pt idx="0">
                  <c:v>419.7</c:v>
                </c:pt>
                <c:pt idx="1">
                  <c:v>435.4</c:v>
                </c:pt>
                <c:pt idx="2">
                  <c:v>248.4</c:v>
                </c:pt>
                <c:pt idx="3">
                  <c:v>313.7</c:v>
                </c:pt>
                <c:pt idx="4">
                  <c:v>568.20000000000005</c:v>
                </c:pt>
                <c:pt idx="5">
                  <c:v>453.4</c:v>
                </c:pt>
                <c:pt idx="6">
                  <c:v>445.5</c:v>
                </c:pt>
                <c:pt idx="7">
                  <c:v>176.2</c:v>
                </c:pt>
                <c:pt idx="8">
                  <c:v>284.2</c:v>
                </c:pt>
                <c:pt idx="9">
                  <c:v>411.7</c:v>
                </c:pt>
                <c:pt idx="10">
                  <c:v>205.8</c:v>
                </c:pt>
                <c:pt idx="11">
                  <c:v>481.4</c:v>
                </c:pt>
                <c:pt idx="12">
                  <c:v>389.7</c:v>
                </c:pt>
                <c:pt idx="13">
                  <c:v>480.1</c:v>
                </c:pt>
              </c:numCache>
            </c:numRef>
          </c:val>
          <c:extLst>
            <c:ext xmlns:c16="http://schemas.microsoft.com/office/drawing/2014/chart" uri="{C3380CC4-5D6E-409C-BE32-E72D297353CC}">
              <c16:uniqueId val="{00000003-B783-4843-9DF9-2B8639E4793E}"/>
            </c:ext>
          </c:extLst>
        </c:ser>
        <c:ser>
          <c:idx val="4"/>
          <c:order val="4"/>
          <c:tx>
            <c:strRef>
              <c:f>List1!$A$8</c:f>
              <c:strCache>
                <c:ptCount val="1"/>
                <c:pt idx="0">
                  <c:v>Povodí Moravy</c:v>
                </c:pt>
              </c:strCache>
            </c:strRef>
          </c:tx>
          <c:spPr>
            <a:solidFill>
              <a:schemeClr val="accent5"/>
            </a:solidFill>
            <a:ln>
              <a:noFill/>
            </a:ln>
            <a:effectLst/>
          </c:spPr>
          <c:invertIfNegative val="0"/>
          <c:cat>
            <c:numRef>
              <c:f>List1!$C$2:$P$2</c:f>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f>List1!$C$8:$P$8</c:f>
              <c:numCache>
                <c:formatCode>General</c:formatCode>
                <c:ptCount val="14"/>
                <c:pt idx="0">
                  <c:v>512</c:v>
                </c:pt>
                <c:pt idx="1">
                  <c:v>856</c:v>
                </c:pt>
                <c:pt idx="2">
                  <c:v>290.39999999999998</c:v>
                </c:pt>
                <c:pt idx="3">
                  <c:v>314.45</c:v>
                </c:pt>
                <c:pt idx="4">
                  <c:v>283.66000000000003</c:v>
                </c:pt>
                <c:pt idx="5">
                  <c:v>468</c:v>
                </c:pt>
                <c:pt idx="6">
                  <c:v>823.7</c:v>
                </c:pt>
                <c:pt idx="7">
                  <c:v>851.7</c:v>
                </c:pt>
                <c:pt idx="8" formatCode="#,##0.00">
                  <c:v>1243</c:v>
                </c:pt>
                <c:pt idx="9" formatCode="#,##0">
                  <c:v>1119</c:v>
                </c:pt>
                <c:pt idx="10">
                  <c:v>919.3</c:v>
                </c:pt>
                <c:pt idx="11">
                  <c:v>519</c:v>
                </c:pt>
                <c:pt idx="12">
                  <c:v>360.7</c:v>
                </c:pt>
                <c:pt idx="13">
                  <c:v>568.29999999999995</c:v>
                </c:pt>
              </c:numCache>
            </c:numRef>
          </c:val>
          <c:extLst>
            <c:ext xmlns:c16="http://schemas.microsoft.com/office/drawing/2014/chart" uri="{C3380CC4-5D6E-409C-BE32-E72D297353CC}">
              <c16:uniqueId val="{00000004-B783-4843-9DF9-2B8639E4793E}"/>
            </c:ext>
          </c:extLst>
        </c:ser>
        <c:dLbls>
          <c:showLegendKey val="0"/>
          <c:showVal val="0"/>
          <c:showCatName val="0"/>
          <c:showSerName val="0"/>
          <c:showPercent val="0"/>
          <c:showBubbleSize val="0"/>
        </c:dLbls>
        <c:gapWidth val="150"/>
        <c:overlap val="100"/>
        <c:axId val="545355488"/>
        <c:axId val="545350568"/>
      </c:barChart>
      <c:catAx>
        <c:axId val="545355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545350568"/>
        <c:crosses val="autoZero"/>
        <c:auto val="1"/>
        <c:lblAlgn val="ctr"/>
        <c:lblOffset val="100"/>
        <c:noMultiLvlLbl val="0"/>
      </c:catAx>
      <c:valAx>
        <c:axId val="545350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mil. Kč</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545355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cs-CZ"/>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baseline="0">
                <a:solidFill>
                  <a:srgbClr val="000000"/>
                </a:solidFill>
                <a:latin typeface="Arial"/>
                <a:cs typeface="Arial"/>
              </a:rPr>
              <a:t>Povodí Labe</a:t>
            </a:r>
          </a:p>
          <a:p>
            <a:pPr>
              <a:defRPr/>
            </a:pPr>
            <a:r>
              <a:rPr lang="cs-CZ" sz="1400" b="0" i="0" u="none" strike="noStrike" baseline="0">
                <a:solidFill>
                  <a:srgbClr val="000000"/>
                </a:solidFill>
                <a:latin typeface="Arial"/>
                <a:cs typeface="Arial"/>
              </a:rPr>
              <a:t>628 mil. Kč</a:t>
            </a:r>
          </a:p>
          <a:p>
            <a:pPr>
              <a:defRPr/>
            </a:pPr>
            <a:endParaRPr lang="cs-CZ"/>
          </a:p>
        </c:rich>
      </c:tx>
      <c:layout>
        <c:manualLayout>
          <c:xMode val="edge"/>
          <c:yMode val="edge"/>
          <c:x val="0.3987222222222222"/>
          <c:y val="0.3010012458120154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0.25028740157480317"/>
          <c:y val="0.10924997278565983"/>
          <c:w val="0.53275874890638675"/>
          <c:h val="0.5892262660715798"/>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6A2-4A93-B96B-FD755AEE9C1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6A2-4A93-B96B-FD755AEE9C1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6A2-4A93-B96B-FD755AEE9C17}"/>
              </c:ext>
            </c:extLst>
          </c:dPt>
          <c:dLbls>
            <c:dLbl>
              <c:idx val="0"/>
              <c:layout>
                <c:manualLayout>
                  <c:x val="8.9299461123941493E-2"/>
                  <c:y val="0"/>
                </c:manualLayout>
              </c:layout>
              <c:tx>
                <c:rich>
                  <a:bodyPr/>
                  <a:lstStyle/>
                  <a:p>
                    <a:r>
                      <a:rPr lang="en-US"/>
                      <a:t>38 %</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96A2-4A93-B96B-FD755AEE9C17}"/>
                </c:ext>
              </c:extLst>
            </c:dLbl>
            <c:dLbl>
              <c:idx val="1"/>
              <c:layout>
                <c:manualLayout>
                  <c:x val="-0.12009237875288684"/>
                  <c:y val="4.1237113402061857E-3"/>
                </c:manualLayout>
              </c:layout>
              <c:tx>
                <c:rich>
                  <a:bodyPr/>
                  <a:lstStyle/>
                  <a:p>
                    <a:r>
                      <a:rPr lang="en-US"/>
                      <a:t>61 %</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96A2-4A93-B96B-FD755AEE9C17}"/>
                </c:ext>
              </c:extLst>
            </c:dLbl>
            <c:dLbl>
              <c:idx val="2"/>
              <c:layout>
                <c:manualLayout>
                  <c:x val="3.0792917628944213E-3"/>
                  <c:y val="-0.1154639175257732"/>
                </c:manualLayout>
              </c:layout>
              <c:tx>
                <c:rich>
                  <a:bodyPr/>
                  <a:lstStyle/>
                  <a:p>
                    <a:r>
                      <a:rPr lang="en-US"/>
                      <a:t>1 % </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96A2-4A93-B96B-FD755AEE9C1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cs-CZ"/>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'graf 6.2.7'!$B$2:$D$2</c:f>
              <c:strCache>
                <c:ptCount val="3"/>
                <c:pt idx="0">
                  <c:v>Vlastní zdroje</c:v>
                </c:pt>
                <c:pt idx="1">
                  <c:v>Cizí zdroje – státní rozpočet vč. Fondu národního majetku ČR</c:v>
                </c:pt>
                <c:pt idx="2">
                  <c:v>Ostatní zdroje</c:v>
                </c:pt>
              </c:strCache>
            </c:strRef>
          </c:cat>
          <c:val>
            <c:numRef>
              <c:f>'graf 6.2.7'!$B$3:$D$3</c:f>
              <c:numCache>
                <c:formatCode>0.0</c:formatCode>
                <c:ptCount val="3"/>
                <c:pt idx="0">
                  <c:v>338065</c:v>
                </c:pt>
                <c:pt idx="1">
                  <c:v>282450</c:v>
                </c:pt>
                <c:pt idx="2">
                  <c:v>7000</c:v>
                </c:pt>
              </c:numCache>
            </c:numRef>
          </c:val>
          <c:extLst>
            <c:ext xmlns:c16="http://schemas.microsoft.com/office/drawing/2014/chart" uri="{C3380CC4-5D6E-409C-BE32-E72D297353CC}">
              <c16:uniqueId val="{00000006-96A2-4A93-B96B-FD755AEE9C17}"/>
            </c:ext>
          </c:extLst>
        </c:ser>
        <c:dLbls>
          <c:showLegendKey val="0"/>
          <c:showVal val="0"/>
          <c:showCatName val="0"/>
          <c:showSerName val="0"/>
          <c:showPercent val="0"/>
          <c:showBubbleSize val="0"/>
          <c:showLeaderLines val="0"/>
        </c:dLbls>
        <c:firstSliceAng val="0"/>
        <c:holeSize val="75"/>
      </c:doughnutChart>
      <c:spPr>
        <a:noFill/>
        <a:ln>
          <a:noFill/>
        </a:ln>
        <a:effectLst/>
      </c:spPr>
    </c:plotArea>
    <c:legend>
      <c:legendPos val="b"/>
      <c:layout>
        <c:manualLayout>
          <c:xMode val="edge"/>
          <c:yMode val="edge"/>
          <c:x val="0.11644960084377445"/>
          <c:y val="0.7373718645993993"/>
          <c:w val="0.79173534558180225"/>
          <c:h val="0.19058657358551831"/>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baseline="0">
                <a:solidFill>
                  <a:srgbClr val="000000"/>
                </a:solidFill>
                <a:latin typeface="Arial"/>
                <a:cs typeface="Arial"/>
              </a:rPr>
              <a:t>Povodí Vltavy</a:t>
            </a:r>
          </a:p>
          <a:p>
            <a:pPr>
              <a:defRPr/>
            </a:pPr>
            <a:r>
              <a:rPr lang="cs-CZ" sz="1400" b="0" i="0" u="none" strike="noStrike" baseline="0">
                <a:solidFill>
                  <a:srgbClr val="000000"/>
                </a:solidFill>
                <a:latin typeface="Arial"/>
                <a:cs typeface="Arial"/>
              </a:rPr>
              <a:t>840 mil. Kč</a:t>
            </a:r>
          </a:p>
        </c:rich>
      </c:tx>
      <c:layout>
        <c:manualLayout>
          <c:xMode val="edge"/>
          <c:yMode val="edge"/>
          <c:x val="0.37833333333333335"/>
          <c:y val="0.25462962962962965"/>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0.32956189851268591"/>
          <c:y val="4.0183362496354631E-2"/>
          <c:w val="0.37143175853018373"/>
          <c:h val="0.61905293088363955"/>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64B-476B-8E57-AEECC459E57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64B-476B-8E57-AEECC459E57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64B-476B-8E57-AEECC459E575}"/>
              </c:ext>
            </c:extLst>
          </c:dPt>
          <c:dLbls>
            <c:dLbl>
              <c:idx val="0"/>
              <c:tx>
                <c:rich>
                  <a:bodyPr/>
                  <a:lstStyle/>
                  <a:p>
                    <a:r>
                      <a:rPr lang="en-US" baseline="0"/>
                      <a:t>
</a:t>
                    </a:r>
                    <a:fld id="{201C4546-DD56-4393-9B69-0370B24C307A}" type="PERCENTAGE">
                      <a:rPr lang="en-US" baseline="0"/>
                      <a:pPr/>
                      <a:t>[PROCENTO]</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64B-476B-8E57-AEECC459E575}"/>
                </c:ext>
              </c:extLst>
            </c:dLbl>
            <c:dLbl>
              <c:idx val="1"/>
              <c:tx>
                <c:rich>
                  <a:bodyPr/>
                  <a:lstStyle/>
                  <a:p>
                    <a:r>
                      <a:rPr lang="en-US" baseline="0"/>
                      <a:t>
</a:t>
                    </a:r>
                    <a:fld id="{D6A0EF62-C9AA-4DD7-A7D4-7D5AE70C7F46}" type="PERCENTAGE">
                      <a:rPr lang="en-US" baseline="0"/>
                      <a:pPr/>
                      <a:t>[PROCENTO]</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64B-476B-8E57-AEECC459E575}"/>
                </c:ext>
              </c:extLst>
            </c:dLbl>
            <c:dLbl>
              <c:idx val="2"/>
              <c:tx>
                <c:rich>
                  <a:bodyPr/>
                  <a:lstStyle/>
                  <a:p>
                    <a:r>
                      <a:rPr lang="en-US"/>
                      <a:t>4 %</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664B-476B-8E57-AEECC459E57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cs-CZ"/>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'graf 6.2.7'!$B$2:$D$2</c:f>
              <c:strCache>
                <c:ptCount val="3"/>
                <c:pt idx="0">
                  <c:v>Vlastní zdroje</c:v>
                </c:pt>
                <c:pt idx="1">
                  <c:v>Cizí zdroje – státní rozpočet vč. Fondu národního majetku ČR</c:v>
                </c:pt>
                <c:pt idx="2">
                  <c:v>Ostatní zdroje</c:v>
                </c:pt>
              </c:strCache>
            </c:strRef>
          </c:cat>
          <c:val>
            <c:numRef>
              <c:f>'graf 6.2.7'!$B$4:$D$4</c:f>
              <c:numCache>
                <c:formatCode>0.0</c:formatCode>
                <c:ptCount val="3"/>
                <c:pt idx="0">
                  <c:v>416964</c:v>
                </c:pt>
                <c:pt idx="1">
                  <c:v>422853</c:v>
                </c:pt>
                <c:pt idx="2">
                  <c:v>0</c:v>
                </c:pt>
              </c:numCache>
            </c:numRef>
          </c:val>
          <c:extLst>
            <c:ext xmlns:c16="http://schemas.microsoft.com/office/drawing/2014/chart" uri="{C3380CC4-5D6E-409C-BE32-E72D297353CC}">
              <c16:uniqueId val="{00000006-664B-476B-8E57-AEECC459E575}"/>
            </c:ext>
          </c:extLst>
        </c:ser>
        <c:dLbls>
          <c:showLegendKey val="0"/>
          <c:showVal val="0"/>
          <c:showCatName val="0"/>
          <c:showSerName val="0"/>
          <c:showPercent val="0"/>
          <c:showBubbleSize val="0"/>
          <c:showLeaderLines val="0"/>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baseline="0">
                <a:solidFill>
                  <a:srgbClr val="000000"/>
                </a:solidFill>
                <a:latin typeface="Arial"/>
                <a:cs typeface="Arial"/>
              </a:rPr>
              <a:t>Povodí Ohře</a:t>
            </a:r>
          </a:p>
          <a:p>
            <a:pPr>
              <a:defRPr/>
            </a:pPr>
            <a:r>
              <a:rPr lang="cs-CZ" sz="1400" b="0" i="0" u="none" strike="noStrike" baseline="0">
                <a:solidFill>
                  <a:srgbClr val="000000"/>
                </a:solidFill>
                <a:latin typeface="Arial"/>
                <a:cs typeface="Arial"/>
              </a:rPr>
              <a:t>276 mil. Kč</a:t>
            </a:r>
          </a:p>
        </c:rich>
      </c:tx>
      <c:layout>
        <c:manualLayout>
          <c:xMode val="edge"/>
          <c:yMode val="edge"/>
          <c:x val="0.34316666666666668"/>
          <c:y val="0.30555555555555558"/>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0.23511745406824147"/>
          <c:y val="2.629447360746575E-2"/>
          <c:w val="0.45198731408573928"/>
          <c:h val="0.75331219014289885"/>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EB5-4486-BCE9-CE535296B7B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EB5-4486-BCE9-CE535296B7B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EB5-4486-BCE9-CE535296B7B3}"/>
              </c:ext>
            </c:extLst>
          </c:dPt>
          <c:dLbls>
            <c:dLbl>
              <c:idx val="0"/>
              <c:tx>
                <c:rich>
                  <a:bodyPr/>
                  <a:lstStyle/>
                  <a:p>
                    <a:r>
                      <a:rPr lang="en-US"/>
                      <a:t>67</a:t>
                    </a:r>
                    <a:r>
                      <a:rPr lang="en-US" baseline="0"/>
                      <a:t> %</a:t>
                    </a:r>
                    <a:endParaRPr lang="en-US"/>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CEB5-4486-BCE9-CE535296B7B3}"/>
                </c:ext>
              </c:extLst>
            </c:dLbl>
            <c:dLbl>
              <c:idx val="1"/>
              <c:tx>
                <c:rich>
                  <a:bodyPr/>
                  <a:lstStyle/>
                  <a:p>
                    <a:r>
                      <a:rPr lang="en-US"/>
                      <a:t>33</a:t>
                    </a:r>
                    <a:r>
                      <a:rPr lang="en-US" baseline="0"/>
                      <a:t> % </a:t>
                    </a:r>
                    <a:endParaRPr lang="en-US"/>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CEB5-4486-BCE9-CE535296B7B3}"/>
                </c:ext>
              </c:extLst>
            </c:dLbl>
            <c:dLbl>
              <c:idx val="2"/>
              <c:delete val="1"/>
              <c:extLst>
                <c:ext xmlns:c15="http://schemas.microsoft.com/office/drawing/2012/chart" uri="{CE6537A1-D6FC-4f65-9D91-7224C49458BB}"/>
                <c:ext xmlns:c16="http://schemas.microsoft.com/office/drawing/2014/chart" uri="{C3380CC4-5D6E-409C-BE32-E72D297353CC}">
                  <c16:uniqueId val="{00000005-CEB5-4486-BCE9-CE535296B7B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cs-CZ"/>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'graf 6.2.7'!$B$2:$D$2</c:f>
              <c:strCache>
                <c:ptCount val="3"/>
                <c:pt idx="0">
                  <c:v>Vlastní zdroje</c:v>
                </c:pt>
                <c:pt idx="1">
                  <c:v>Cizí zdroje – státní rozpočet vč. Fondu národního majetku ČR</c:v>
                </c:pt>
                <c:pt idx="2">
                  <c:v>Ostatní zdroje</c:v>
                </c:pt>
              </c:strCache>
            </c:strRef>
          </c:cat>
          <c:val>
            <c:numRef>
              <c:f>'graf 6.2.7'!$B$5:$D$5</c:f>
              <c:numCache>
                <c:formatCode>0.0</c:formatCode>
                <c:ptCount val="3"/>
                <c:pt idx="0">
                  <c:v>224195</c:v>
                </c:pt>
                <c:pt idx="1">
                  <c:v>51946</c:v>
                </c:pt>
                <c:pt idx="2">
                  <c:v>0</c:v>
                </c:pt>
              </c:numCache>
            </c:numRef>
          </c:val>
          <c:extLst>
            <c:ext xmlns:c16="http://schemas.microsoft.com/office/drawing/2014/chart" uri="{C3380CC4-5D6E-409C-BE32-E72D297353CC}">
              <c16:uniqueId val="{00000006-CEB5-4486-BCE9-CE535296B7B3}"/>
            </c:ext>
          </c:extLst>
        </c:ser>
        <c:dLbls>
          <c:showLegendKey val="0"/>
          <c:showVal val="0"/>
          <c:showCatName val="0"/>
          <c:showSerName val="0"/>
          <c:showPercent val="0"/>
          <c:showBubbleSize val="0"/>
          <c:showLeaderLines val="0"/>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baseline="0">
                <a:solidFill>
                  <a:srgbClr val="000000"/>
                </a:solidFill>
                <a:latin typeface="Arial"/>
                <a:cs typeface="Arial"/>
              </a:rPr>
              <a:t>Povodí Odry</a:t>
            </a:r>
          </a:p>
          <a:p>
            <a:pPr>
              <a:defRPr/>
            </a:pPr>
            <a:r>
              <a:rPr lang="cs-CZ" sz="1400" b="0" i="0" u="none" strike="noStrike" baseline="0">
                <a:solidFill>
                  <a:srgbClr val="000000"/>
                </a:solidFill>
                <a:latin typeface="Arial"/>
                <a:cs typeface="Arial"/>
              </a:rPr>
              <a:t>481 mil. Kč</a:t>
            </a:r>
          </a:p>
          <a:p>
            <a:pPr>
              <a:defRPr/>
            </a:pPr>
            <a:endParaRPr lang="cs-CZ"/>
          </a:p>
        </c:rich>
      </c:tx>
      <c:layout>
        <c:manualLayout>
          <c:xMode val="edge"/>
          <c:yMode val="edge"/>
          <c:x val="0.33205555555555555"/>
          <c:y val="0.2870370370370370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0.26307699037620297"/>
          <c:y val="0.11245370370370375"/>
          <c:w val="0.34884623797025371"/>
          <c:h val="0.58141039661708949"/>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759-498A-B251-DFBB82B54DD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759-498A-B251-DFBB82B54DD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759-498A-B251-DFBB82B54DD9}"/>
              </c:ext>
            </c:extLst>
          </c:dPt>
          <c:dLbls>
            <c:dLbl>
              <c:idx val="0"/>
              <c:tx>
                <c:rich>
                  <a:bodyPr/>
                  <a:lstStyle/>
                  <a:p>
                    <a:r>
                      <a:rPr lang="en-US" baseline="0"/>
                      <a:t>
54 %</a:t>
                    </a:r>
                    <a:endParaRPr lang="en-US"/>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C759-498A-B251-DFBB82B54DD9}"/>
                </c:ext>
              </c:extLst>
            </c:dLbl>
            <c:dLbl>
              <c:idx val="1"/>
              <c:tx>
                <c:rich>
                  <a:bodyPr/>
                  <a:lstStyle/>
                  <a:p>
                    <a:r>
                      <a:rPr lang="en-US"/>
                      <a:t>28</a:t>
                    </a:r>
                    <a:r>
                      <a:rPr lang="en-US" baseline="0"/>
                      <a:t> %</a:t>
                    </a:r>
                    <a:endParaRPr lang="en-US"/>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C759-498A-B251-DFBB82B54DD9}"/>
                </c:ext>
              </c:extLst>
            </c:dLbl>
            <c:dLbl>
              <c:idx val="2"/>
              <c:tx>
                <c:rich>
                  <a:bodyPr/>
                  <a:lstStyle/>
                  <a:p>
                    <a:r>
                      <a:rPr lang="en-US"/>
                      <a:t>18 %</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C759-498A-B251-DFBB82B54DD9}"/>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cs-CZ"/>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'graf 6.2.7'!$B$2:$D$2</c:f>
              <c:strCache>
                <c:ptCount val="3"/>
                <c:pt idx="0">
                  <c:v>Vlastní zdroje</c:v>
                </c:pt>
                <c:pt idx="1">
                  <c:v>Cizí zdroje – státní rozpočet vč. Fondu národního majetku ČR</c:v>
                </c:pt>
                <c:pt idx="2">
                  <c:v>Ostatní zdroje</c:v>
                </c:pt>
              </c:strCache>
            </c:strRef>
          </c:cat>
          <c:val>
            <c:numRef>
              <c:f>'graf 6.2.7'!$B$6:$D$6</c:f>
              <c:numCache>
                <c:formatCode>0.0</c:formatCode>
                <c:ptCount val="3"/>
                <c:pt idx="0">
                  <c:v>215519</c:v>
                </c:pt>
                <c:pt idx="1">
                  <c:v>242680</c:v>
                </c:pt>
                <c:pt idx="2">
                  <c:v>22546</c:v>
                </c:pt>
              </c:numCache>
            </c:numRef>
          </c:val>
          <c:extLst>
            <c:ext xmlns:c16="http://schemas.microsoft.com/office/drawing/2014/chart" uri="{C3380CC4-5D6E-409C-BE32-E72D297353CC}">
              <c16:uniqueId val="{00000006-C759-498A-B251-DFBB82B54DD9}"/>
            </c:ext>
          </c:extLst>
        </c:ser>
        <c:dLbls>
          <c:showLegendKey val="0"/>
          <c:showVal val="0"/>
          <c:showCatName val="0"/>
          <c:showSerName val="0"/>
          <c:showPercent val="0"/>
          <c:showBubbleSize val="0"/>
          <c:showLeaderLines val="0"/>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baseline="0">
                <a:solidFill>
                  <a:srgbClr val="000000"/>
                </a:solidFill>
                <a:latin typeface="Arial"/>
                <a:cs typeface="Arial"/>
              </a:rPr>
              <a:t>Povodí Moravy</a:t>
            </a:r>
          </a:p>
          <a:p>
            <a:pPr>
              <a:defRPr/>
            </a:pPr>
            <a:r>
              <a:rPr lang="cs-CZ" sz="1400" b="0" i="0" u="none" strike="noStrike" baseline="0">
                <a:solidFill>
                  <a:srgbClr val="000000"/>
                </a:solidFill>
                <a:latin typeface="Arial"/>
                <a:cs typeface="Arial"/>
              </a:rPr>
              <a:t>568 mil. Kč</a:t>
            </a:r>
          </a:p>
        </c:rich>
      </c:tx>
      <c:layout>
        <c:manualLayout>
          <c:xMode val="edge"/>
          <c:yMode val="edge"/>
          <c:x val="0.34810411198600177"/>
          <c:y val="0.36875308886108937"/>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0.25953171478565179"/>
          <c:y val="0.13694783694909007"/>
          <c:w val="0.40593678915135617"/>
          <c:h val="0.56724800165778444"/>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35A-44AA-AC72-34805D81F18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35A-44AA-AC72-34805D81F18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35A-44AA-AC72-34805D81F185}"/>
              </c:ext>
            </c:extLst>
          </c:dPt>
          <c:dLbls>
            <c:dLbl>
              <c:idx val="0"/>
              <c:tx>
                <c:rich>
                  <a:bodyPr/>
                  <a:lstStyle/>
                  <a:p>
                    <a:r>
                      <a:rPr lang="en-US"/>
                      <a:t>33 %</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D35A-44AA-AC72-34805D81F185}"/>
                </c:ext>
              </c:extLst>
            </c:dLbl>
            <c:dLbl>
              <c:idx val="1"/>
              <c:tx>
                <c:rich>
                  <a:bodyPr/>
                  <a:lstStyle/>
                  <a:p>
                    <a:r>
                      <a:rPr lang="en-US"/>
                      <a:t>66 %</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D35A-44AA-AC72-34805D81F185}"/>
                </c:ext>
              </c:extLst>
            </c:dLbl>
            <c:dLbl>
              <c:idx val="2"/>
              <c:tx>
                <c:rich>
                  <a:bodyPr/>
                  <a:lstStyle/>
                  <a:p>
                    <a:r>
                      <a:rPr lang="en-US"/>
                      <a:t>1 %</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D35A-44AA-AC72-34805D81F18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cs-CZ"/>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'graf 6.2.7'!$B$2:$D$2</c:f>
              <c:strCache>
                <c:ptCount val="3"/>
                <c:pt idx="0">
                  <c:v>Vlastní zdroje</c:v>
                </c:pt>
                <c:pt idx="1">
                  <c:v>Cizí zdroje – státní rozpočet vč. Fondu národního majetku ČR</c:v>
                </c:pt>
                <c:pt idx="2">
                  <c:v>Ostatní zdroje</c:v>
                </c:pt>
              </c:strCache>
            </c:strRef>
          </c:cat>
          <c:val>
            <c:numRef>
              <c:f>'graf 6.2.7'!$B$7:$D$7</c:f>
              <c:numCache>
                <c:formatCode>0.0</c:formatCode>
                <c:ptCount val="3"/>
                <c:pt idx="0">
                  <c:v>171214</c:v>
                </c:pt>
                <c:pt idx="1">
                  <c:v>393878</c:v>
                </c:pt>
                <c:pt idx="2">
                  <c:v>3245</c:v>
                </c:pt>
              </c:numCache>
            </c:numRef>
          </c:val>
          <c:extLst>
            <c:ext xmlns:c16="http://schemas.microsoft.com/office/drawing/2014/chart" uri="{C3380CC4-5D6E-409C-BE32-E72D297353CC}">
              <c16:uniqueId val="{00000006-D35A-44AA-AC72-34805D81F185}"/>
            </c:ext>
          </c:extLst>
        </c:ser>
        <c:dLbls>
          <c:showLegendKey val="0"/>
          <c:showVal val="0"/>
          <c:showCatName val="0"/>
          <c:showSerName val="0"/>
          <c:showPercent val="0"/>
          <c:showBubbleSize val="0"/>
          <c:showLeaderLines val="0"/>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510352872557598"/>
          <c:y val="3.8251575142254503E-2"/>
          <c:w val="0.8718983245373898"/>
          <c:h val="0.67280195719660374"/>
        </c:manualLayout>
      </c:layout>
      <c:barChart>
        <c:barDir val="col"/>
        <c:grouping val="clustered"/>
        <c:varyColors val="0"/>
        <c:ser>
          <c:idx val="0"/>
          <c:order val="0"/>
          <c:tx>
            <c:strRef>
              <c:f>chlorofyl!$B$286</c:f>
              <c:strCache>
                <c:ptCount val="1"/>
                <c:pt idx="0">
                  <c:v>březen</c:v>
                </c:pt>
              </c:strCache>
            </c:strRef>
          </c:tx>
          <c:invertIfNegative val="0"/>
          <c:cat>
            <c:strRef>
              <c:f>(chlorofyl!$A$287,chlorofyl!$A$289:$A$291,chlorofyl!$A$293:$A$296,chlorofyl!$A$299,chlorofyl!$A$302:$A$303,chlorofyl!$A$306:$A$307)</c:f>
              <c:strCache>
                <c:ptCount val="13"/>
                <c:pt idx="0">
                  <c:v>Vranov</c:v>
                </c:pt>
                <c:pt idx="1">
                  <c:v>Letovice</c:v>
                </c:pt>
                <c:pt idx="2">
                  <c:v>Brno</c:v>
                </c:pt>
                <c:pt idx="3">
                  <c:v>Horní Bečva</c:v>
                </c:pt>
                <c:pt idx="4">
                  <c:v>Nové Mlýny - horní</c:v>
                </c:pt>
                <c:pt idx="5">
                  <c:v>Plumlov</c:v>
                </c:pt>
                <c:pt idx="6">
                  <c:v>Bystřička</c:v>
                </c:pt>
                <c:pt idx="7">
                  <c:v>Jevišovice</c:v>
                </c:pt>
                <c:pt idx="8">
                  <c:v>Nové Mlýny - dolní</c:v>
                </c:pt>
                <c:pt idx="9">
                  <c:v>Luhačovice</c:v>
                </c:pt>
                <c:pt idx="10">
                  <c:v>Výrovice</c:v>
                </c:pt>
                <c:pt idx="11">
                  <c:v>Podhradský rybník</c:v>
                </c:pt>
                <c:pt idx="12">
                  <c:v>Moravská Třebová</c:v>
                </c:pt>
              </c:strCache>
            </c:strRef>
          </c:cat>
          <c:val>
            <c:numRef>
              <c:f>(chlorofyl!$B$287,chlorofyl!$B$289:$B$291,chlorofyl!$B$293:$B$296,chlorofyl!$B$299,chlorofyl!$B$302:$B$303,chlorofyl!$B$306:$B$307)</c:f>
              <c:numCache>
                <c:formatCode>General</c:formatCode>
                <c:ptCount val="13"/>
                <c:pt idx="3">
                  <c:v>4.0999999999999996</c:v>
                </c:pt>
                <c:pt idx="6">
                  <c:v>72</c:v>
                </c:pt>
              </c:numCache>
            </c:numRef>
          </c:val>
          <c:extLst>
            <c:ext xmlns:c16="http://schemas.microsoft.com/office/drawing/2014/chart" uri="{C3380CC4-5D6E-409C-BE32-E72D297353CC}">
              <c16:uniqueId val="{00000000-2C7C-4929-8B57-ED08C56B705A}"/>
            </c:ext>
          </c:extLst>
        </c:ser>
        <c:ser>
          <c:idx val="1"/>
          <c:order val="1"/>
          <c:tx>
            <c:strRef>
              <c:f>chlorofyl!$C$286</c:f>
              <c:strCache>
                <c:ptCount val="1"/>
                <c:pt idx="0">
                  <c:v>duben</c:v>
                </c:pt>
              </c:strCache>
            </c:strRef>
          </c:tx>
          <c:invertIfNegative val="0"/>
          <c:cat>
            <c:strRef>
              <c:f>(chlorofyl!$A$287,chlorofyl!$A$289:$A$291,chlorofyl!$A$293:$A$296,chlorofyl!$A$299,chlorofyl!$A$302:$A$303,chlorofyl!$A$306:$A$307)</c:f>
              <c:strCache>
                <c:ptCount val="13"/>
                <c:pt idx="0">
                  <c:v>Vranov</c:v>
                </c:pt>
                <c:pt idx="1">
                  <c:v>Letovice</c:v>
                </c:pt>
                <c:pt idx="2">
                  <c:v>Brno</c:v>
                </c:pt>
                <c:pt idx="3">
                  <c:v>Horní Bečva</c:v>
                </c:pt>
                <c:pt idx="4">
                  <c:v>Nové Mlýny - horní</c:v>
                </c:pt>
                <c:pt idx="5">
                  <c:v>Plumlov</c:v>
                </c:pt>
                <c:pt idx="6">
                  <c:v>Bystřička</c:v>
                </c:pt>
                <c:pt idx="7">
                  <c:v>Jevišovice</c:v>
                </c:pt>
                <c:pt idx="8">
                  <c:v>Nové Mlýny - dolní</c:v>
                </c:pt>
                <c:pt idx="9">
                  <c:v>Luhačovice</c:v>
                </c:pt>
                <c:pt idx="10">
                  <c:v>Výrovice</c:v>
                </c:pt>
                <c:pt idx="11">
                  <c:v>Podhradský rybník</c:v>
                </c:pt>
                <c:pt idx="12">
                  <c:v>Moravská Třebová</c:v>
                </c:pt>
              </c:strCache>
            </c:strRef>
          </c:cat>
          <c:val>
            <c:numRef>
              <c:f>(chlorofyl!$C$287,chlorofyl!$C$289:$C$291,chlorofyl!$C$293:$C$296,chlorofyl!$C$299,chlorofyl!$C$302:$C$303,chlorofyl!$C$306:$C$307)</c:f>
              <c:numCache>
                <c:formatCode>General</c:formatCode>
                <c:ptCount val="13"/>
                <c:pt idx="0">
                  <c:v>4.0999999999999996</c:v>
                </c:pt>
                <c:pt idx="1">
                  <c:v>16</c:v>
                </c:pt>
                <c:pt idx="2">
                  <c:v>11</c:v>
                </c:pt>
                <c:pt idx="3">
                  <c:v>6.9</c:v>
                </c:pt>
                <c:pt idx="4">
                  <c:v>17</c:v>
                </c:pt>
                <c:pt idx="5">
                  <c:v>12</c:v>
                </c:pt>
                <c:pt idx="6">
                  <c:v>20</c:v>
                </c:pt>
                <c:pt idx="7">
                  <c:v>5.5</c:v>
                </c:pt>
                <c:pt idx="8">
                  <c:v>15</c:v>
                </c:pt>
                <c:pt idx="9">
                  <c:v>15</c:v>
                </c:pt>
                <c:pt idx="10">
                  <c:v>26</c:v>
                </c:pt>
                <c:pt idx="11">
                  <c:v>28</c:v>
                </c:pt>
                <c:pt idx="12">
                  <c:v>26</c:v>
                </c:pt>
              </c:numCache>
            </c:numRef>
          </c:val>
          <c:extLst>
            <c:ext xmlns:c16="http://schemas.microsoft.com/office/drawing/2014/chart" uri="{C3380CC4-5D6E-409C-BE32-E72D297353CC}">
              <c16:uniqueId val="{00000001-2C7C-4929-8B57-ED08C56B705A}"/>
            </c:ext>
          </c:extLst>
        </c:ser>
        <c:ser>
          <c:idx val="2"/>
          <c:order val="2"/>
          <c:tx>
            <c:strRef>
              <c:f>chlorofyl!$D$286</c:f>
              <c:strCache>
                <c:ptCount val="1"/>
                <c:pt idx="0">
                  <c:v>květen</c:v>
                </c:pt>
              </c:strCache>
            </c:strRef>
          </c:tx>
          <c:invertIfNegative val="0"/>
          <c:cat>
            <c:strRef>
              <c:f>(chlorofyl!$A$287,chlorofyl!$A$289:$A$291,chlorofyl!$A$293:$A$296,chlorofyl!$A$299,chlorofyl!$A$302:$A$303,chlorofyl!$A$306:$A$307)</c:f>
              <c:strCache>
                <c:ptCount val="13"/>
                <c:pt idx="0">
                  <c:v>Vranov</c:v>
                </c:pt>
                <c:pt idx="1">
                  <c:v>Letovice</c:v>
                </c:pt>
                <c:pt idx="2">
                  <c:v>Brno</c:v>
                </c:pt>
                <c:pt idx="3">
                  <c:v>Horní Bečva</c:v>
                </c:pt>
                <c:pt idx="4">
                  <c:v>Nové Mlýny - horní</c:v>
                </c:pt>
                <c:pt idx="5">
                  <c:v>Plumlov</c:v>
                </c:pt>
                <c:pt idx="6">
                  <c:v>Bystřička</c:v>
                </c:pt>
                <c:pt idx="7">
                  <c:v>Jevišovice</c:v>
                </c:pt>
                <c:pt idx="8">
                  <c:v>Nové Mlýny - dolní</c:v>
                </c:pt>
                <c:pt idx="9">
                  <c:v>Luhačovice</c:v>
                </c:pt>
                <c:pt idx="10">
                  <c:v>Výrovice</c:v>
                </c:pt>
                <c:pt idx="11">
                  <c:v>Podhradský rybník</c:v>
                </c:pt>
                <c:pt idx="12">
                  <c:v>Moravská Třebová</c:v>
                </c:pt>
              </c:strCache>
            </c:strRef>
          </c:cat>
          <c:val>
            <c:numRef>
              <c:f>(chlorofyl!$D$287,chlorofyl!$D$289:$D$291,chlorofyl!$D$293:$D$296,chlorofyl!$D$299,chlorofyl!$D$302:$D$303,chlorofyl!$D$306:$D$307)</c:f>
              <c:numCache>
                <c:formatCode>General</c:formatCode>
                <c:ptCount val="13"/>
                <c:pt idx="0">
                  <c:v>2.5</c:v>
                </c:pt>
                <c:pt idx="1">
                  <c:v>2.5</c:v>
                </c:pt>
                <c:pt idx="2">
                  <c:v>15</c:v>
                </c:pt>
                <c:pt idx="3">
                  <c:v>12</c:v>
                </c:pt>
                <c:pt idx="4">
                  <c:v>7.1</c:v>
                </c:pt>
                <c:pt idx="5">
                  <c:v>9.8000000000000007</c:v>
                </c:pt>
                <c:pt idx="6">
                  <c:v>9.9</c:v>
                </c:pt>
                <c:pt idx="7">
                  <c:v>34</c:v>
                </c:pt>
                <c:pt idx="8">
                  <c:v>5.5</c:v>
                </c:pt>
                <c:pt idx="9">
                  <c:v>38</c:v>
                </c:pt>
                <c:pt idx="10">
                  <c:v>2.5</c:v>
                </c:pt>
                <c:pt idx="11">
                  <c:v>26</c:v>
                </c:pt>
                <c:pt idx="12">
                  <c:v>160</c:v>
                </c:pt>
              </c:numCache>
            </c:numRef>
          </c:val>
          <c:extLst>
            <c:ext xmlns:c16="http://schemas.microsoft.com/office/drawing/2014/chart" uri="{C3380CC4-5D6E-409C-BE32-E72D297353CC}">
              <c16:uniqueId val="{00000002-2C7C-4929-8B57-ED08C56B705A}"/>
            </c:ext>
          </c:extLst>
        </c:ser>
        <c:ser>
          <c:idx val="3"/>
          <c:order val="3"/>
          <c:tx>
            <c:strRef>
              <c:f>chlorofyl!$E$286</c:f>
              <c:strCache>
                <c:ptCount val="1"/>
                <c:pt idx="0">
                  <c:v>červen</c:v>
                </c:pt>
              </c:strCache>
            </c:strRef>
          </c:tx>
          <c:invertIfNegative val="0"/>
          <c:cat>
            <c:strRef>
              <c:f>(chlorofyl!$A$287,chlorofyl!$A$289:$A$291,chlorofyl!$A$293:$A$296,chlorofyl!$A$299,chlorofyl!$A$302:$A$303,chlorofyl!$A$306:$A$307)</c:f>
              <c:strCache>
                <c:ptCount val="13"/>
                <c:pt idx="0">
                  <c:v>Vranov</c:v>
                </c:pt>
                <c:pt idx="1">
                  <c:v>Letovice</c:v>
                </c:pt>
                <c:pt idx="2">
                  <c:v>Brno</c:v>
                </c:pt>
                <c:pt idx="3">
                  <c:v>Horní Bečva</c:v>
                </c:pt>
                <c:pt idx="4">
                  <c:v>Nové Mlýny - horní</c:v>
                </c:pt>
                <c:pt idx="5">
                  <c:v>Plumlov</c:v>
                </c:pt>
                <c:pt idx="6">
                  <c:v>Bystřička</c:v>
                </c:pt>
                <c:pt idx="7">
                  <c:v>Jevišovice</c:v>
                </c:pt>
                <c:pt idx="8">
                  <c:v>Nové Mlýny - dolní</c:v>
                </c:pt>
                <c:pt idx="9">
                  <c:v>Luhačovice</c:v>
                </c:pt>
                <c:pt idx="10">
                  <c:v>Výrovice</c:v>
                </c:pt>
                <c:pt idx="11">
                  <c:v>Podhradský rybník</c:v>
                </c:pt>
                <c:pt idx="12">
                  <c:v>Moravská Třebová</c:v>
                </c:pt>
              </c:strCache>
            </c:strRef>
          </c:cat>
          <c:val>
            <c:numRef>
              <c:f>(chlorofyl!$E$287,chlorofyl!$E$289:$E$291,chlorofyl!$E$293:$E$296,chlorofyl!$E$299,chlorofyl!$E$302:$E$303,chlorofyl!$E$306:$E$307)</c:f>
              <c:numCache>
                <c:formatCode>General</c:formatCode>
                <c:ptCount val="13"/>
                <c:pt idx="0">
                  <c:v>4.2</c:v>
                </c:pt>
                <c:pt idx="1">
                  <c:v>5.6</c:v>
                </c:pt>
                <c:pt idx="2">
                  <c:v>6.8</c:v>
                </c:pt>
                <c:pt idx="3">
                  <c:v>17</c:v>
                </c:pt>
                <c:pt idx="4">
                  <c:v>9.1</c:v>
                </c:pt>
                <c:pt idx="5">
                  <c:v>16</c:v>
                </c:pt>
                <c:pt idx="6">
                  <c:v>19</c:v>
                </c:pt>
                <c:pt idx="7">
                  <c:v>49</c:v>
                </c:pt>
                <c:pt idx="8">
                  <c:v>8.3000000000000007</c:v>
                </c:pt>
                <c:pt idx="9">
                  <c:v>19</c:v>
                </c:pt>
                <c:pt idx="10">
                  <c:v>33</c:v>
                </c:pt>
                <c:pt idx="11">
                  <c:v>47</c:v>
                </c:pt>
                <c:pt idx="12">
                  <c:v>80</c:v>
                </c:pt>
              </c:numCache>
            </c:numRef>
          </c:val>
          <c:extLst>
            <c:ext xmlns:c16="http://schemas.microsoft.com/office/drawing/2014/chart" uri="{C3380CC4-5D6E-409C-BE32-E72D297353CC}">
              <c16:uniqueId val="{00000003-2C7C-4929-8B57-ED08C56B705A}"/>
            </c:ext>
          </c:extLst>
        </c:ser>
        <c:ser>
          <c:idx val="4"/>
          <c:order val="4"/>
          <c:tx>
            <c:strRef>
              <c:f>chlorofyl!$F$286</c:f>
              <c:strCache>
                <c:ptCount val="1"/>
                <c:pt idx="0">
                  <c:v>červenec</c:v>
                </c:pt>
              </c:strCache>
            </c:strRef>
          </c:tx>
          <c:invertIfNegative val="0"/>
          <c:cat>
            <c:strRef>
              <c:f>(chlorofyl!$A$287,chlorofyl!$A$289:$A$291,chlorofyl!$A$293:$A$296,chlorofyl!$A$299,chlorofyl!$A$302:$A$303,chlorofyl!$A$306:$A$307)</c:f>
              <c:strCache>
                <c:ptCount val="13"/>
                <c:pt idx="0">
                  <c:v>Vranov</c:v>
                </c:pt>
                <c:pt idx="1">
                  <c:v>Letovice</c:v>
                </c:pt>
                <c:pt idx="2">
                  <c:v>Brno</c:v>
                </c:pt>
                <c:pt idx="3">
                  <c:v>Horní Bečva</c:v>
                </c:pt>
                <c:pt idx="4">
                  <c:v>Nové Mlýny - horní</c:v>
                </c:pt>
                <c:pt idx="5">
                  <c:v>Plumlov</c:v>
                </c:pt>
                <c:pt idx="6">
                  <c:v>Bystřička</c:v>
                </c:pt>
                <c:pt idx="7">
                  <c:v>Jevišovice</c:v>
                </c:pt>
                <c:pt idx="8">
                  <c:v>Nové Mlýny - dolní</c:v>
                </c:pt>
                <c:pt idx="9">
                  <c:v>Luhačovice</c:v>
                </c:pt>
                <c:pt idx="10">
                  <c:v>Výrovice</c:v>
                </c:pt>
                <c:pt idx="11">
                  <c:v>Podhradský rybník</c:v>
                </c:pt>
                <c:pt idx="12">
                  <c:v>Moravská Třebová</c:v>
                </c:pt>
              </c:strCache>
            </c:strRef>
          </c:cat>
          <c:val>
            <c:numRef>
              <c:f>(chlorofyl!$F$287,chlorofyl!$F$289:$F$291,chlorofyl!$F$293:$F$296,chlorofyl!$F$299,chlorofyl!$F$302:$F$303,chlorofyl!$F$306:$F$307)</c:f>
              <c:numCache>
                <c:formatCode>General</c:formatCode>
                <c:ptCount val="13"/>
                <c:pt idx="0">
                  <c:v>8.6</c:v>
                </c:pt>
                <c:pt idx="1">
                  <c:v>7.9</c:v>
                </c:pt>
                <c:pt idx="2">
                  <c:v>31</c:v>
                </c:pt>
                <c:pt idx="3">
                  <c:v>13</c:v>
                </c:pt>
                <c:pt idx="4">
                  <c:v>22</c:v>
                </c:pt>
                <c:pt idx="5">
                  <c:v>17</c:v>
                </c:pt>
                <c:pt idx="6">
                  <c:v>20</c:v>
                </c:pt>
                <c:pt idx="7">
                  <c:v>40</c:v>
                </c:pt>
                <c:pt idx="8">
                  <c:v>4.2</c:v>
                </c:pt>
                <c:pt idx="9">
                  <c:v>41</c:v>
                </c:pt>
                <c:pt idx="10">
                  <c:v>44</c:v>
                </c:pt>
                <c:pt idx="11">
                  <c:v>140</c:v>
                </c:pt>
                <c:pt idx="12">
                  <c:v>210</c:v>
                </c:pt>
              </c:numCache>
            </c:numRef>
          </c:val>
          <c:extLst>
            <c:ext xmlns:c16="http://schemas.microsoft.com/office/drawing/2014/chart" uri="{C3380CC4-5D6E-409C-BE32-E72D297353CC}">
              <c16:uniqueId val="{00000004-2C7C-4929-8B57-ED08C56B705A}"/>
            </c:ext>
          </c:extLst>
        </c:ser>
        <c:ser>
          <c:idx val="5"/>
          <c:order val="5"/>
          <c:tx>
            <c:strRef>
              <c:f>chlorofyl!$G$286</c:f>
              <c:strCache>
                <c:ptCount val="1"/>
                <c:pt idx="0">
                  <c:v>srpen</c:v>
                </c:pt>
              </c:strCache>
            </c:strRef>
          </c:tx>
          <c:invertIfNegative val="0"/>
          <c:cat>
            <c:strRef>
              <c:f>(chlorofyl!$A$287,chlorofyl!$A$289:$A$291,chlorofyl!$A$293:$A$296,chlorofyl!$A$299,chlorofyl!$A$302:$A$303,chlorofyl!$A$306:$A$307)</c:f>
              <c:strCache>
                <c:ptCount val="13"/>
                <c:pt idx="0">
                  <c:v>Vranov</c:v>
                </c:pt>
                <c:pt idx="1">
                  <c:v>Letovice</c:v>
                </c:pt>
                <c:pt idx="2">
                  <c:v>Brno</c:v>
                </c:pt>
                <c:pt idx="3">
                  <c:v>Horní Bečva</c:v>
                </c:pt>
                <c:pt idx="4">
                  <c:v>Nové Mlýny - horní</c:v>
                </c:pt>
                <c:pt idx="5">
                  <c:v>Plumlov</c:v>
                </c:pt>
                <c:pt idx="6">
                  <c:v>Bystřička</c:v>
                </c:pt>
                <c:pt idx="7">
                  <c:v>Jevišovice</c:v>
                </c:pt>
                <c:pt idx="8">
                  <c:v>Nové Mlýny - dolní</c:v>
                </c:pt>
                <c:pt idx="9">
                  <c:v>Luhačovice</c:v>
                </c:pt>
                <c:pt idx="10">
                  <c:v>Výrovice</c:v>
                </c:pt>
                <c:pt idx="11">
                  <c:v>Podhradský rybník</c:v>
                </c:pt>
                <c:pt idx="12">
                  <c:v>Moravská Třebová</c:v>
                </c:pt>
              </c:strCache>
            </c:strRef>
          </c:cat>
          <c:val>
            <c:numRef>
              <c:f>(chlorofyl!$G$287,chlorofyl!$G$289:$G$291,chlorofyl!$G$293:$G$296,chlorofyl!$G$299,chlorofyl!$G$302:$G$303,chlorofyl!$G$306:$G$307)</c:f>
              <c:numCache>
                <c:formatCode>General</c:formatCode>
                <c:ptCount val="13"/>
                <c:pt idx="0">
                  <c:v>10</c:v>
                </c:pt>
                <c:pt idx="1">
                  <c:v>15</c:v>
                </c:pt>
                <c:pt idx="2">
                  <c:v>13</c:v>
                </c:pt>
                <c:pt idx="3">
                  <c:v>39</c:v>
                </c:pt>
                <c:pt idx="4">
                  <c:v>51</c:v>
                </c:pt>
                <c:pt idx="5">
                  <c:v>59</c:v>
                </c:pt>
                <c:pt idx="6">
                  <c:v>29</c:v>
                </c:pt>
                <c:pt idx="7">
                  <c:v>30</c:v>
                </c:pt>
                <c:pt idx="8">
                  <c:v>48</c:v>
                </c:pt>
                <c:pt idx="9">
                  <c:v>44</c:v>
                </c:pt>
                <c:pt idx="10">
                  <c:v>160</c:v>
                </c:pt>
                <c:pt idx="11">
                  <c:v>58</c:v>
                </c:pt>
                <c:pt idx="12">
                  <c:v>140</c:v>
                </c:pt>
              </c:numCache>
            </c:numRef>
          </c:val>
          <c:extLst>
            <c:ext xmlns:c16="http://schemas.microsoft.com/office/drawing/2014/chart" uri="{C3380CC4-5D6E-409C-BE32-E72D297353CC}">
              <c16:uniqueId val="{00000005-2C7C-4929-8B57-ED08C56B705A}"/>
            </c:ext>
          </c:extLst>
        </c:ser>
        <c:ser>
          <c:idx val="6"/>
          <c:order val="6"/>
          <c:tx>
            <c:strRef>
              <c:f>chlorofyl!$H$286</c:f>
              <c:strCache>
                <c:ptCount val="1"/>
                <c:pt idx="0">
                  <c:v>září</c:v>
                </c:pt>
              </c:strCache>
            </c:strRef>
          </c:tx>
          <c:invertIfNegative val="0"/>
          <c:cat>
            <c:strRef>
              <c:f>(chlorofyl!$A$287,chlorofyl!$A$289:$A$291,chlorofyl!$A$293:$A$296,chlorofyl!$A$299,chlorofyl!$A$302:$A$303,chlorofyl!$A$306:$A$307)</c:f>
              <c:strCache>
                <c:ptCount val="13"/>
                <c:pt idx="0">
                  <c:v>Vranov</c:v>
                </c:pt>
                <c:pt idx="1">
                  <c:v>Letovice</c:v>
                </c:pt>
                <c:pt idx="2">
                  <c:v>Brno</c:v>
                </c:pt>
                <c:pt idx="3">
                  <c:v>Horní Bečva</c:v>
                </c:pt>
                <c:pt idx="4">
                  <c:v>Nové Mlýny - horní</c:v>
                </c:pt>
                <c:pt idx="5">
                  <c:v>Plumlov</c:v>
                </c:pt>
                <c:pt idx="6">
                  <c:v>Bystřička</c:v>
                </c:pt>
                <c:pt idx="7">
                  <c:v>Jevišovice</c:v>
                </c:pt>
                <c:pt idx="8">
                  <c:v>Nové Mlýny - dolní</c:v>
                </c:pt>
                <c:pt idx="9">
                  <c:v>Luhačovice</c:v>
                </c:pt>
                <c:pt idx="10">
                  <c:v>Výrovice</c:v>
                </c:pt>
                <c:pt idx="11">
                  <c:v>Podhradský rybník</c:v>
                </c:pt>
                <c:pt idx="12">
                  <c:v>Moravská Třebová</c:v>
                </c:pt>
              </c:strCache>
            </c:strRef>
          </c:cat>
          <c:val>
            <c:numRef>
              <c:f>(chlorofyl!$H$287,chlorofyl!$H$289:$H$291,chlorofyl!$H$293:$H$296,chlorofyl!$H$299,chlorofyl!$H$302:$H$303,chlorofyl!$H$306:$H$307)</c:f>
              <c:numCache>
                <c:formatCode>General</c:formatCode>
                <c:ptCount val="13"/>
                <c:pt idx="0">
                  <c:v>9.1999999999999993</c:v>
                </c:pt>
                <c:pt idx="1">
                  <c:v>30</c:v>
                </c:pt>
                <c:pt idx="2">
                  <c:v>16</c:v>
                </c:pt>
                <c:pt idx="3">
                  <c:v>12</c:v>
                </c:pt>
                <c:pt idx="4">
                  <c:v>32</c:v>
                </c:pt>
                <c:pt idx="5">
                  <c:v>30</c:v>
                </c:pt>
                <c:pt idx="6">
                  <c:v>7.9</c:v>
                </c:pt>
                <c:pt idx="7">
                  <c:v>27</c:v>
                </c:pt>
                <c:pt idx="8">
                  <c:v>81</c:v>
                </c:pt>
                <c:pt idx="9">
                  <c:v>93</c:v>
                </c:pt>
                <c:pt idx="10">
                  <c:v>170</c:v>
                </c:pt>
                <c:pt idx="11">
                  <c:v>150</c:v>
                </c:pt>
                <c:pt idx="12">
                  <c:v>140</c:v>
                </c:pt>
              </c:numCache>
            </c:numRef>
          </c:val>
          <c:extLst>
            <c:ext xmlns:c16="http://schemas.microsoft.com/office/drawing/2014/chart" uri="{C3380CC4-5D6E-409C-BE32-E72D297353CC}">
              <c16:uniqueId val="{00000006-2C7C-4929-8B57-ED08C56B705A}"/>
            </c:ext>
          </c:extLst>
        </c:ser>
        <c:ser>
          <c:idx val="7"/>
          <c:order val="7"/>
          <c:tx>
            <c:strRef>
              <c:f>chlorofyl!$I$286</c:f>
              <c:strCache>
                <c:ptCount val="1"/>
                <c:pt idx="0">
                  <c:v>říjen</c:v>
                </c:pt>
              </c:strCache>
            </c:strRef>
          </c:tx>
          <c:invertIfNegative val="0"/>
          <c:cat>
            <c:strRef>
              <c:f>(chlorofyl!$A$287,chlorofyl!$A$289:$A$291,chlorofyl!$A$293:$A$296,chlorofyl!$A$299,chlorofyl!$A$302:$A$303,chlorofyl!$A$306:$A$307)</c:f>
              <c:strCache>
                <c:ptCount val="13"/>
                <c:pt idx="0">
                  <c:v>Vranov</c:v>
                </c:pt>
                <c:pt idx="1">
                  <c:v>Letovice</c:v>
                </c:pt>
                <c:pt idx="2">
                  <c:v>Brno</c:v>
                </c:pt>
                <c:pt idx="3">
                  <c:v>Horní Bečva</c:v>
                </c:pt>
                <c:pt idx="4">
                  <c:v>Nové Mlýny - horní</c:v>
                </c:pt>
                <c:pt idx="5">
                  <c:v>Plumlov</c:v>
                </c:pt>
                <c:pt idx="6">
                  <c:v>Bystřička</c:v>
                </c:pt>
                <c:pt idx="7">
                  <c:v>Jevišovice</c:v>
                </c:pt>
                <c:pt idx="8">
                  <c:v>Nové Mlýny - dolní</c:v>
                </c:pt>
                <c:pt idx="9">
                  <c:v>Luhačovice</c:v>
                </c:pt>
                <c:pt idx="10">
                  <c:v>Výrovice</c:v>
                </c:pt>
                <c:pt idx="11">
                  <c:v>Podhradský rybník</c:v>
                </c:pt>
                <c:pt idx="12">
                  <c:v>Moravská Třebová</c:v>
                </c:pt>
              </c:strCache>
            </c:strRef>
          </c:cat>
          <c:val>
            <c:numRef>
              <c:f>(chlorofyl!$I$287,chlorofyl!$I$289:$I$291,chlorofyl!$I$293:$I$296,chlorofyl!$I$299,chlorofyl!$I$302:$I$303,chlorofyl!$I$306:$I$307)</c:f>
              <c:numCache>
                <c:formatCode>General</c:formatCode>
                <c:ptCount val="13"/>
                <c:pt idx="0">
                  <c:v>11</c:v>
                </c:pt>
                <c:pt idx="1">
                  <c:v>15</c:v>
                </c:pt>
                <c:pt idx="2">
                  <c:v>8.1</c:v>
                </c:pt>
                <c:pt idx="4">
                  <c:v>4</c:v>
                </c:pt>
                <c:pt idx="5">
                  <c:v>12</c:v>
                </c:pt>
                <c:pt idx="7">
                  <c:v>2.9</c:v>
                </c:pt>
                <c:pt idx="8">
                  <c:v>88</c:v>
                </c:pt>
                <c:pt idx="9">
                  <c:v>97</c:v>
                </c:pt>
                <c:pt idx="10">
                  <c:v>28</c:v>
                </c:pt>
                <c:pt idx="11">
                  <c:v>110</c:v>
                </c:pt>
                <c:pt idx="12">
                  <c:v>180</c:v>
                </c:pt>
              </c:numCache>
            </c:numRef>
          </c:val>
          <c:extLst>
            <c:ext xmlns:c16="http://schemas.microsoft.com/office/drawing/2014/chart" uri="{C3380CC4-5D6E-409C-BE32-E72D297353CC}">
              <c16:uniqueId val="{00000007-2C7C-4929-8B57-ED08C56B705A}"/>
            </c:ext>
          </c:extLst>
        </c:ser>
        <c:dLbls>
          <c:showLegendKey val="0"/>
          <c:showVal val="0"/>
          <c:showCatName val="0"/>
          <c:showSerName val="0"/>
          <c:showPercent val="0"/>
          <c:showBubbleSize val="0"/>
        </c:dLbls>
        <c:gapWidth val="150"/>
        <c:axId val="138908416"/>
        <c:axId val="138909952"/>
      </c:barChart>
      <c:catAx>
        <c:axId val="138908416"/>
        <c:scaling>
          <c:orientation val="minMax"/>
        </c:scaling>
        <c:delete val="0"/>
        <c:axPos val="b"/>
        <c:numFmt formatCode="General" sourceLinked="0"/>
        <c:majorTickMark val="out"/>
        <c:minorTickMark val="none"/>
        <c:tickLblPos val="nextTo"/>
        <c:crossAx val="138909952"/>
        <c:crosses val="autoZero"/>
        <c:auto val="1"/>
        <c:lblAlgn val="ctr"/>
        <c:lblOffset val="100"/>
        <c:noMultiLvlLbl val="0"/>
      </c:catAx>
      <c:valAx>
        <c:axId val="138909952"/>
        <c:scaling>
          <c:orientation val="minMax"/>
          <c:max val="250"/>
          <c:min val="0"/>
        </c:scaling>
        <c:delete val="0"/>
        <c:axPos val="l"/>
        <c:majorGridlines/>
        <c:title>
          <c:tx>
            <c:rich>
              <a:bodyPr rot="-5400000" vert="horz"/>
              <a:lstStyle/>
              <a:p>
                <a:pPr>
                  <a:defRPr/>
                </a:pPr>
                <a:r>
                  <a:rPr lang="cs-CZ"/>
                  <a:t>koncentrace chlorofylu a [mg/l]</a:t>
                </a:r>
              </a:p>
            </c:rich>
          </c:tx>
          <c:layout>
            <c:manualLayout>
              <c:xMode val="edge"/>
              <c:yMode val="edge"/>
              <c:x val="2.9773566439788247E-3"/>
              <c:y val="0.11143901130005808"/>
            </c:manualLayout>
          </c:layout>
          <c:overlay val="0"/>
        </c:title>
        <c:numFmt formatCode="#,##0" sourceLinked="0"/>
        <c:majorTickMark val="out"/>
        <c:minorTickMark val="none"/>
        <c:tickLblPos val="nextTo"/>
        <c:crossAx val="138908416"/>
        <c:crosses val="autoZero"/>
        <c:crossBetween val="between"/>
        <c:majorUnit val="50"/>
      </c:valAx>
    </c:plotArea>
    <c:legend>
      <c:legendPos val="r"/>
      <c:layout>
        <c:manualLayout>
          <c:xMode val="edge"/>
          <c:yMode val="edge"/>
          <c:x val="0.12220561412874238"/>
          <c:y val="5.8158906607262327E-2"/>
          <c:w val="0.15214217625781851"/>
          <c:h val="0.54029246344206971"/>
        </c:manualLayout>
      </c:layout>
      <c:overlay val="0"/>
      <c:spPr>
        <a:solidFill>
          <a:schemeClr val="bg1"/>
        </a:solidFill>
        <a:ln>
          <a:solidFill>
            <a:schemeClr val="tx1"/>
          </a:solidFill>
        </a:ln>
      </c:spPr>
    </c:legend>
    <c:plotVisOnly val="1"/>
    <c:dispBlanksAs val="gap"/>
    <c:showDLblsOverMax val="0"/>
  </c:chart>
  <c:txPr>
    <a:bodyPr/>
    <a:lstStyle/>
    <a:p>
      <a:pPr>
        <a:defRPr sz="1100"/>
      </a:pPr>
      <a:endParaRPr lang="cs-CZ"/>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cs-CZ" sz="1100"/>
              <a:t>111</a:t>
            </a:r>
            <a:r>
              <a:rPr lang="en-US" sz="1100"/>
              <a:t> kontrol </a:t>
            </a:r>
            <a:endParaRPr lang="cs-CZ" sz="1100"/>
          </a:p>
          <a:p>
            <a:pPr>
              <a:defRPr sz="1100"/>
            </a:pPr>
            <a:r>
              <a:rPr lang="en-US" sz="1100"/>
              <a:t>celkem</a:t>
            </a:r>
          </a:p>
        </c:rich>
      </c:tx>
      <c:layout>
        <c:manualLayout>
          <c:xMode val="edge"/>
          <c:yMode val="edge"/>
          <c:x val="0.30005782734407277"/>
          <c:y val="0.524583593717452"/>
        </c:manualLayout>
      </c:layout>
      <c:overlay val="1"/>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title>
    <c:autoTitleDeleted val="0"/>
    <c:plotArea>
      <c:layout>
        <c:manualLayout>
          <c:layoutTarget val="inner"/>
          <c:xMode val="edge"/>
          <c:yMode val="edge"/>
          <c:x val="3.7406811137455399E-2"/>
          <c:y val="0.16228988360150634"/>
          <c:w val="0.63145625384187576"/>
          <c:h val="0.77680670251584405"/>
        </c:manualLayout>
      </c:layout>
      <c:doughnutChart>
        <c:varyColors val="1"/>
        <c:ser>
          <c:idx val="0"/>
          <c:order val="0"/>
          <c:spPr>
            <a:ln>
              <a:noFill/>
            </a:ln>
          </c:spPr>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6AE9-439F-8939-4E0C3C6E5987}"/>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6AE9-439F-8939-4E0C3C6E5987}"/>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6AE9-439F-8939-4E0C3C6E5987}"/>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6AE9-439F-8939-4E0C3C6E5987}"/>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6AE9-439F-8939-4E0C3C6E5987}"/>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6AE9-439F-8939-4E0C3C6E5987}"/>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6AE9-439F-8939-4E0C3C6E5987}"/>
              </c:ext>
            </c:extLst>
          </c:dPt>
          <c:dPt>
            <c:idx val="7"/>
            <c:bubble3D val="0"/>
            <c:spPr>
              <a:solidFill>
                <a:schemeClr val="accent2">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F-6AE9-439F-8939-4E0C3C6E5987}"/>
              </c:ext>
            </c:extLst>
          </c:dPt>
          <c:dPt>
            <c:idx val="8"/>
            <c:bubble3D val="0"/>
            <c:spPr>
              <a:solidFill>
                <a:srgbClr val="00B050"/>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1-6AE9-439F-8939-4E0C3C6E5987}"/>
              </c:ext>
            </c:extLst>
          </c:dPt>
          <c:dPt>
            <c:idx val="9"/>
            <c:bubble3D val="0"/>
            <c:spPr>
              <a:solidFill>
                <a:schemeClr val="accent4">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3-6AE9-439F-8939-4E0C3C6E5987}"/>
              </c:ext>
            </c:extLst>
          </c:dPt>
          <c:dPt>
            <c:idx val="10"/>
            <c:bubble3D val="0"/>
            <c:spPr>
              <a:solidFill>
                <a:schemeClr val="accent5">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5-6AE9-439F-8939-4E0C3C6E5987}"/>
              </c:ext>
            </c:extLst>
          </c:dPt>
          <c:dPt>
            <c:idx val="11"/>
            <c:bubble3D val="0"/>
            <c:spPr>
              <a:solidFill>
                <a:schemeClr val="accent6">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7-6AE9-439F-8939-4E0C3C6E5987}"/>
              </c:ext>
            </c:extLst>
          </c:dPt>
          <c:dPt>
            <c:idx val="12"/>
            <c:bubble3D val="0"/>
            <c:spPr>
              <a:solidFill>
                <a:srgbClr val="FFFF00"/>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9-6AE9-439F-8939-4E0C3C6E5987}"/>
              </c:ext>
            </c:extLst>
          </c:dPt>
          <c:dPt>
            <c:idx val="13"/>
            <c:bubble3D val="0"/>
            <c:spPr>
              <a:solidFill>
                <a:schemeClr val="accent2">
                  <a:lumMod val="80000"/>
                  <a:lumOff val="2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B-6AE9-439F-8939-4E0C3C6E5987}"/>
              </c:ext>
            </c:extLst>
          </c:dPt>
          <c:dPt>
            <c:idx val="14"/>
            <c:bubble3D val="0"/>
            <c:spPr>
              <a:solidFill>
                <a:schemeClr val="accent3">
                  <a:lumMod val="80000"/>
                  <a:lumOff val="2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D-6AE9-439F-8939-4E0C3C6E5987}"/>
              </c:ext>
            </c:extLst>
          </c:dPt>
          <c:dPt>
            <c:idx val="15"/>
            <c:bubble3D val="0"/>
            <c:spPr>
              <a:solidFill>
                <a:schemeClr val="accent4">
                  <a:lumMod val="80000"/>
                  <a:lumOff val="2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F-6AE9-439F-8939-4E0C3C6E5987}"/>
              </c:ext>
            </c:extLst>
          </c:dPt>
          <c:dPt>
            <c:idx val="16"/>
            <c:bubble3D val="0"/>
            <c:spPr>
              <a:solidFill>
                <a:schemeClr val="accent5">
                  <a:lumMod val="80000"/>
                  <a:lumOff val="2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21-6AE9-439F-8939-4E0C3C6E5987}"/>
              </c:ext>
            </c:extLst>
          </c:dPt>
          <c:dPt>
            <c:idx val="17"/>
            <c:bubble3D val="0"/>
            <c:spPr>
              <a:solidFill>
                <a:srgbClr val="00B0F0"/>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23-6AE9-439F-8939-4E0C3C6E5987}"/>
              </c:ext>
            </c:extLst>
          </c:dPt>
          <c:dLbls>
            <c:dLbl>
              <c:idx val="0"/>
              <c:tx>
                <c:rich>
                  <a:bodyPr/>
                  <a:lstStyle/>
                  <a:p>
                    <a:r>
                      <a:rPr lang="en-US"/>
                      <a:t>23 %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6AE9-439F-8939-4E0C3C6E5987}"/>
                </c:ext>
              </c:extLst>
            </c:dLbl>
            <c:dLbl>
              <c:idx val="1"/>
              <c:tx>
                <c:rich>
                  <a:bodyPr/>
                  <a:lstStyle/>
                  <a:p>
                    <a:r>
                      <a:rPr lang="en-US"/>
                      <a:t>17 %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6AE9-439F-8939-4E0C3C6E5987}"/>
                </c:ext>
              </c:extLst>
            </c:dLbl>
            <c:dLbl>
              <c:idx val="2"/>
              <c:tx>
                <c:rich>
                  <a:bodyPr/>
                  <a:lstStyle/>
                  <a:p>
                    <a:r>
                      <a:rPr lang="en-US"/>
                      <a:t>13 %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6AE9-439F-8939-4E0C3C6E5987}"/>
                </c:ext>
              </c:extLst>
            </c:dLbl>
            <c:dLbl>
              <c:idx val="3"/>
              <c:tx>
                <c:rich>
                  <a:bodyPr/>
                  <a:lstStyle/>
                  <a:p>
                    <a:r>
                      <a:rPr lang="en-US"/>
                      <a:t>10 %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6AE9-439F-8939-4E0C3C6E5987}"/>
                </c:ext>
              </c:extLst>
            </c:dLbl>
            <c:dLbl>
              <c:idx val="4"/>
              <c:tx>
                <c:rich>
                  <a:bodyPr/>
                  <a:lstStyle/>
                  <a:p>
                    <a:r>
                      <a:rPr lang="en-US"/>
                      <a:t>9 %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6AE9-439F-8939-4E0C3C6E5987}"/>
                </c:ext>
              </c:extLst>
            </c:dLbl>
            <c:dLbl>
              <c:idx val="5"/>
              <c:tx>
                <c:rich>
                  <a:bodyPr/>
                  <a:lstStyle/>
                  <a:p>
                    <a:r>
                      <a:rPr lang="en-US"/>
                      <a:t>4%</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B-6AE9-439F-8939-4E0C3C6E5987}"/>
                </c:ext>
              </c:extLst>
            </c:dLbl>
            <c:dLbl>
              <c:idx val="6"/>
              <c:tx>
                <c:rich>
                  <a:bodyPr/>
                  <a:lstStyle/>
                  <a:p>
                    <a:r>
                      <a:rPr lang="en-US"/>
                      <a:t>4 %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D-6AE9-439F-8939-4E0C3C6E5987}"/>
                </c:ext>
              </c:extLst>
            </c:dLbl>
            <c:dLbl>
              <c:idx val="7"/>
              <c:tx>
                <c:rich>
                  <a:bodyPr/>
                  <a:lstStyle/>
                  <a:p>
                    <a:r>
                      <a:rPr lang="en-US"/>
                      <a:t>4 %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F-6AE9-439F-8939-4E0C3C6E5987}"/>
                </c:ext>
              </c:extLst>
            </c:dLbl>
            <c:dLbl>
              <c:idx val="8"/>
              <c:tx>
                <c:rich>
                  <a:bodyPr/>
                  <a:lstStyle/>
                  <a:p>
                    <a:r>
                      <a:rPr lang="en-US"/>
                      <a:t>4 %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11-6AE9-439F-8939-4E0C3C6E5987}"/>
                </c:ext>
              </c:extLst>
            </c:dLbl>
            <c:dLbl>
              <c:idx val="9"/>
              <c:tx>
                <c:rich>
                  <a:bodyPr/>
                  <a:lstStyle/>
                  <a:p>
                    <a:r>
                      <a:rPr lang="en-US"/>
                      <a:t>3 %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13-6AE9-439F-8939-4E0C3C6E5987}"/>
                </c:ext>
              </c:extLst>
            </c:dLbl>
            <c:dLbl>
              <c:idx val="10"/>
              <c:tx>
                <c:rich>
                  <a:bodyPr/>
                  <a:lstStyle/>
                  <a:p>
                    <a:r>
                      <a:rPr lang="en-US"/>
                      <a:t>2 %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15-6AE9-439F-8939-4E0C3C6E5987}"/>
                </c:ext>
              </c:extLst>
            </c:dLbl>
            <c:dLbl>
              <c:idx val="11"/>
              <c:tx>
                <c:rich>
                  <a:bodyPr/>
                  <a:lstStyle/>
                  <a:p>
                    <a:r>
                      <a:rPr lang="en-US"/>
                      <a:t>2</a:t>
                    </a:r>
                    <a:r>
                      <a:rPr lang="en-US" baseline="0"/>
                      <a:t> %</a:t>
                    </a:r>
                    <a:endParaRPr lang="en-US"/>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17-6AE9-439F-8939-4E0C3C6E5987}"/>
                </c:ext>
              </c:extLst>
            </c:dLbl>
            <c:dLbl>
              <c:idx val="12"/>
              <c:layout>
                <c:manualLayout>
                  <c:x val="-3.7749742248761654E-3"/>
                  <c:y val="6.380050378198064E-3"/>
                </c:manualLayout>
              </c:layout>
              <c:tx>
                <c:rich>
                  <a:bodyPr/>
                  <a:lstStyle/>
                  <a:p>
                    <a:r>
                      <a:rPr lang="en-US"/>
                      <a:t>2 %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19-6AE9-439F-8939-4E0C3C6E5987}"/>
                </c:ext>
              </c:extLst>
            </c:dLbl>
            <c:dLbl>
              <c:idx val="13"/>
              <c:tx>
                <c:rich>
                  <a:bodyPr/>
                  <a:lstStyle/>
                  <a:p>
                    <a:r>
                      <a:rPr lang="en-US"/>
                      <a:t>2 %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1B-6AE9-439F-8939-4E0C3C6E5987}"/>
                </c:ext>
              </c:extLst>
            </c:dLbl>
            <c:dLbl>
              <c:idx val="14"/>
              <c:tx>
                <c:rich>
                  <a:bodyPr/>
                  <a:lstStyle/>
                  <a:p>
                    <a:r>
                      <a:rPr lang="en-US"/>
                      <a:t>2 %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1D-6AE9-439F-8939-4E0C3C6E5987}"/>
                </c:ext>
              </c:extLst>
            </c:dLbl>
            <c:dLbl>
              <c:idx val="15"/>
              <c:tx>
                <c:rich>
                  <a:bodyPr/>
                  <a:lstStyle/>
                  <a:p>
                    <a:r>
                      <a:rPr lang="en-US"/>
                      <a:t>2 %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1F-6AE9-439F-8939-4E0C3C6E5987}"/>
                </c:ext>
              </c:extLst>
            </c:dLbl>
            <c:dLbl>
              <c:idx val="16"/>
              <c:tx>
                <c:rich>
                  <a:bodyPr/>
                  <a:lstStyle/>
                  <a:p>
                    <a:r>
                      <a:rPr lang="en-US"/>
                      <a:t>2 %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21-6AE9-439F-8939-4E0C3C6E5987}"/>
                </c:ext>
              </c:extLst>
            </c:dLbl>
            <c:dLbl>
              <c:idx val="17"/>
              <c:tx>
                <c:rich>
                  <a:bodyPr/>
                  <a:lstStyle/>
                  <a:p>
                    <a:r>
                      <a:rPr lang="en-US"/>
                      <a:t>5</a:t>
                    </a:r>
                    <a:r>
                      <a:rPr lang="en-US" baseline="0"/>
                      <a:t> %</a:t>
                    </a:r>
                    <a:endParaRPr lang="en-US"/>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23-6AE9-439F-8939-4E0C3C6E5987}"/>
                </c:ext>
              </c:extLst>
            </c:dLbl>
            <c:numFmt formatCode="0.0\ %"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showLegendKey val="0"/>
            <c:showVal val="0"/>
            <c:showCatName val="0"/>
            <c:showSerName val="0"/>
            <c:showPercent val="1"/>
            <c:showBubbleSize val="0"/>
            <c:showLeaderLines val="0"/>
            <c:extLst>
              <c:ext xmlns:c15="http://schemas.microsoft.com/office/drawing/2012/chart" uri="{CE6537A1-D6FC-4f65-9D91-7224C49458BB}"/>
            </c:extLst>
          </c:dLbls>
          <c:cat>
            <c:strRef>
              <c:f>List1!$A$48:$A$65</c:f>
              <c:strCache>
                <c:ptCount val="18"/>
                <c:pt idx="0">
                  <c:v>vodoprávní úřady</c:v>
                </c:pt>
                <c:pt idx="1">
                  <c:v>Krajská hygienická stanice</c:v>
                </c:pt>
                <c:pt idx="2">
                  <c:v>Krajská veterinární správa</c:v>
                </c:pt>
                <c:pt idx="3">
                  <c:v>Česká inspekce životního prostředí</c:v>
                </c:pt>
                <c:pt idx="4">
                  <c:v>Ministerstvo zemědělství</c:v>
                </c:pt>
                <c:pt idx="5">
                  <c:v>Okresní správa sociálního zabezpečení</c:v>
                </c:pt>
                <c:pt idx="6">
                  <c:v>NKÚ</c:v>
                </c:pt>
                <c:pt idx="7">
                  <c:v>VZP</c:v>
                </c:pt>
                <c:pt idx="8">
                  <c:v>SFŽP</c:v>
                </c:pt>
                <c:pt idx="9">
                  <c:v>Digitální informační agentura</c:v>
                </c:pt>
                <c:pt idx="10">
                  <c:v>Úřad práce</c:v>
                </c:pt>
                <c:pt idx="11">
                  <c:v>Hasičský záchranný sbor</c:v>
                </c:pt>
                <c:pt idx="12">
                  <c:v>Oblastní inspektorát práce</c:v>
                </c:pt>
                <c:pt idx="13">
                  <c:v>Fakultní nemocnice Hradec králové</c:v>
                </c:pt>
                <c:pt idx="14">
                  <c:v>Celní úřad</c:v>
                </c:pt>
                <c:pt idx="15">
                  <c:v>Odborový svaz pracovníků dřevozpracujícího lesního a vodního hospodářství</c:v>
                </c:pt>
                <c:pt idx="16">
                  <c:v>Oblastní inspektorát práce</c:v>
                </c:pt>
                <c:pt idx="17">
                  <c:v>ostatní</c:v>
                </c:pt>
              </c:strCache>
            </c:strRef>
          </c:cat>
          <c:val>
            <c:numRef>
              <c:f>List1!$B$48:$B$65</c:f>
              <c:numCache>
                <c:formatCode>General</c:formatCode>
                <c:ptCount val="18"/>
                <c:pt idx="0">
                  <c:v>25</c:v>
                </c:pt>
                <c:pt idx="1">
                  <c:v>19</c:v>
                </c:pt>
                <c:pt idx="2">
                  <c:v>14</c:v>
                </c:pt>
                <c:pt idx="3">
                  <c:v>11</c:v>
                </c:pt>
                <c:pt idx="4">
                  <c:v>10</c:v>
                </c:pt>
                <c:pt idx="5">
                  <c:v>4</c:v>
                </c:pt>
                <c:pt idx="6">
                  <c:v>4</c:v>
                </c:pt>
                <c:pt idx="7">
                  <c:v>4</c:v>
                </c:pt>
                <c:pt idx="8">
                  <c:v>4</c:v>
                </c:pt>
                <c:pt idx="9">
                  <c:v>3</c:v>
                </c:pt>
                <c:pt idx="10">
                  <c:v>2</c:v>
                </c:pt>
                <c:pt idx="11">
                  <c:v>2</c:v>
                </c:pt>
                <c:pt idx="12">
                  <c:v>2</c:v>
                </c:pt>
                <c:pt idx="13">
                  <c:v>2</c:v>
                </c:pt>
                <c:pt idx="14">
                  <c:v>2</c:v>
                </c:pt>
                <c:pt idx="15">
                  <c:v>2</c:v>
                </c:pt>
                <c:pt idx="16">
                  <c:v>2</c:v>
                </c:pt>
                <c:pt idx="17">
                  <c:v>5</c:v>
                </c:pt>
              </c:numCache>
            </c:numRef>
          </c:val>
          <c:extLst>
            <c:ext xmlns:c16="http://schemas.microsoft.com/office/drawing/2014/chart" uri="{C3380CC4-5D6E-409C-BE32-E72D297353CC}">
              <c16:uniqueId val="{00000024-6AE9-439F-8939-4E0C3C6E5987}"/>
            </c:ext>
          </c:extLst>
        </c:ser>
        <c:dLbls>
          <c:showLegendKey val="0"/>
          <c:showVal val="0"/>
          <c:showCatName val="0"/>
          <c:showSerName val="0"/>
          <c:showPercent val="1"/>
          <c:showBubbleSize val="0"/>
          <c:showLeaderLines val="0"/>
        </c:dLbls>
        <c:firstSliceAng val="0"/>
        <c:holeSize val="32"/>
      </c:doughnutChart>
      <c:spPr>
        <a:noFill/>
        <a:ln>
          <a:noFill/>
        </a:ln>
        <a:effectLst/>
      </c:spPr>
    </c:plotArea>
    <c:legend>
      <c:legendPos val="b"/>
      <c:layout>
        <c:manualLayout>
          <c:xMode val="edge"/>
          <c:yMode val="edge"/>
          <c:x val="0.67573664816061563"/>
          <c:y val="0.1762777671083797"/>
          <c:w val="0.31821257830175387"/>
          <c:h val="0.72474756018536568"/>
        </c:manualLayout>
      </c:layout>
      <c:overlay val="0"/>
      <c:spPr>
        <a:solidFill>
          <a:schemeClr val="lt1">
            <a:alpha val="78000"/>
          </a:schemeClr>
        </a:solidFill>
        <a:ln>
          <a:noFill/>
        </a:ln>
        <a:effectLst/>
      </c:spPr>
      <c:txPr>
        <a:bodyPr rot="0" spcFirstLastPara="1" vertOverflow="ellipsis" vert="horz" wrap="square" anchor="ctr" anchorCtr="1"/>
        <a:lstStyle/>
        <a:p>
          <a:pPr rtl="0">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25" cap="flat" cmpd="sng" algn="ctr">
      <a:solidFill>
        <a:schemeClr val="dk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cs-CZ"/>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938237570557214"/>
          <c:y val="6.2597809076682318E-2"/>
          <c:w val="0.82765111481004305"/>
          <c:h val="0.8470902404805033"/>
        </c:manualLayout>
      </c:layout>
      <c:barChart>
        <c:barDir val="col"/>
        <c:grouping val="stacked"/>
        <c:varyColors val="0"/>
        <c:ser>
          <c:idx val="0"/>
          <c:order val="0"/>
          <c:tx>
            <c:strRef>
              <c:f>'Grafy pro MZe'!$D$4</c:f>
              <c:strCache>
                <c:ptCount val="1"/>
                <c:pt idx="0">
                  <c:v>mil. Kč</c:v>
                </c:pt>
              </c:strCache>
            </c:strRef>
          </c:tx>
          <c:spPr>
            <a:solidFill>
              <a:schemeClr val="accent5"/>
            </a:solidFill>
            <a:ln w="3175">
              <a:solidFill>
                <a:schemeClr val="accent1"/>
              </a:solidFill>
            </a:ln>
            <a:effectLst/>
          </c:spPr>
          <c:invertIfNegative val="0"/>
          <c:dLbls>
            <c:dLbl>
              <c:idx val="0"/>
              <c:layout>
                <c:manualLayout>
                  <c:x val="-2.339154499445324E-17"/>
                  <c:y val="-0.3009259259259259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498-41D1-89DA-ED7F7EE6D18E}"/>
                </c:ext>
              </c:extLst>
            </c:dLbl>
            <c:dLbl>
              <c:idx val="1"/>
              <c:layout>
                <c:manualLayout>
                  <c:x val="-2.339154499445324E-17"/>
                  <c:y val="-0.3472222222222222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498-41D1-89DA-ED7F7EE6D18E}"/>
                </c:ext>
              </c:extLst>
            </c:dLbl>
            <c:dLbl>
              <c:idx val="2"/>
              <c:layout>
                <c:manualLayout>
                  <c:x val="0"/>
                  <c:y val="-0.4305555555555555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498-41D1-89DA-ED7F7EE6D18E}"/>
                </c:ext>
              </c:extLst>
            </c:dLbl>
            <c:dLbl>
              <c:idx val="3"/>
              <c:layout>
                <c:manualLayout>
                  <c:x val="-4.6783089988906481E-17"/>
                  <c:y val="-0.3055555555555555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498-41D1-89DA-ED7F7EE6D18E}"/>
                </c:ext>
              </c:extLst>
            </c:dLbl>
            <c:dLbl>
              <c:idx val="4"/>
              <c:layout>
                <c:manualLayout>
                  <c:x val="-4.6783089988906481E-17"/>
                  <c:y val="-0.1898148148148149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498-41D1-89DA-ED7F7EE6D18E}"/>
                </c:ext>
              </c:extLst>
            </c:dLbl>
            <c:dLbl>
              <c:idx val="5"/>
              <c:layout>
                <c:manualLayout>
                  <c:x val="0"/>
                  <c:y val="-0.157407407407407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498-41D1-89DA-ED7F7EE6D18E}"/>
                </c:ext>
              </c:extLst>
            </c:dLbl>
            <c:dLbl>
              <c:idx val="6"/>
              <c:layout>
                <c:manualLayout>
                  <c:x val="-9.3566179977812962E-17"/>
                  <c:y val="-0.1944444444444444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498-41D1-89DA-ED7F7EE6D18E}"/>
                </c:ext>
              </c:extLst>
            </c:dLbl>
            <c:dLbl>
              <c:idx val="7"/>
              <c:layout>
                <c:manualLayout>
                  <c:x val="0"/>
                  <c:y val="-0.2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498-41D1-89DA-ED7F7EE6D18E}"/>
                </c:ext>
              </c:extLst>
            </c:dLbl>
            <c:dLbl>
              <c:idx val="8"/>
              <c:layout>
                <c:manualLayout>
                  <c:x val="0"/>
                  <c:y val="-0.2731481481481481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498-41D1-89DA-ED7F7EE6D18E}"/>
                </c:ext>
              </c:extLst>
            </c:dLbl>
            <c:dLbl>
              <c:idx val="9"/>
              <c:layout>
                <c:manualLayout>
                  <c:x val="-2.1714548907233386E-5"/>
                  <c:y val="-0.3424553062942604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498-41D1-89DA-ED7F7EE6D18E}"/>
                </c:ext>
              </c:extLst>
            </c:dLbl>
            <c:dLbl>
              <c:idx val="10"/>
              <c:layout>
                <c:manualLayout>
                  <c:x val="0"/>
                  <c:y val="-0.3055555555555555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498-41D1-89DA-ED7F7EE6D18E}"/>
                </c:ext>
              </c:extLst>
            </c:dLbl>
            <c:dLbl>
              <c:idx val="11"/>
              <c:layout>
                <c:manualLayout>
                  <c:x val="5.1036687743077295E-3"/>
                  <c:y val="-0.282407407407407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498-41D1-89DA-ED7F7EE6D18E}"/>
                </c:ext>
              </c:extLst>
            </c:dLbl>
            <c:dLbl>
              <c:idx val="12"/>
              <c:layout>
                <c:manualLayout>
                  <c:x val="-1.8713235995562592E-16"/>
                  <c:y val="-0.3333333333333333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498-41D1-89DA-ED7F7EE6D18E}"/>
                </c:ext>
              </c:extLst>
            </c:dLbl>
            <c:dLbl>
              <c:idx val="13"/>
              <c:layout>
                <c:manualLayout>
                  <c:x val="-9.2767199976201509E-17"/>
                  <c:y val="-0.4516405968121909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498-41D1-89DA-ED7F7EE6D18E}"/>
                </c:ext>
              </c:extLst>
            </c:dLbl>
            <c:dLbl>
              <c:idx val="14"/>
              <c:layout>
                <c:manualLayout>
                  <c:x val="2.5517583206565524E-3"/>
                  <c:y val="-0.4247076426767408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498-41D1-89DA-ED7F7EE6D18E}"/>
                </c:ext>
              </c:extLst>
            </c:dLbl>
            <c:dLbl>
              <c:idx val="15"/>
              <c:layout>
                <c:manualLayout>
                  <c:x val="1.0897117662555684E-4"/>
                  <c:y val="-0.4788480449377789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498-41D1-89DA-ED7F7EE6D1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'Grafy pro MZe'!$C$5:$C$20</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'Grafy pro MZe'!$D$5:$D$20</c:f>
              <c:numCache>
                <c:formatCode>0.0</c:formatCode>
                <c:ptCount val="16"/>
                <c:pt idx="0">
                  <c:v>253.5</c:v>
                </c:pt>
                <c:pt idx="1">
                  <c:v>301.89999999999998</c:v>
                </c:pt>
                <c:pt idx="2">
                  <c:v>376.8</c:v>
                </c:pt>
                <c:pt idx="3">
                  <c:v>258</c:v>
                </c:pt>
                <c:pt idx="4">
                  <c:v>144.4</c:v>
                </c:pt>
                <c:pt idx="5">
                  <c:v>117.2</c:v>
                </c:pt>
                <c:pt idx="6">
                  <c:v>154.80000000000001</c:v>
                </c:pt>
                <c:pt idx="7">
                  <c:v>201.9</c:v>
                </c:pt>
                <c:pt idx="8">
                  <c:v>222.2</c:v>
                </c:pt>
                <c:pt idx="9">
                  <c:v>289</c:v>
                </c:pt>
                <c:pt idx="10">
                  <c:v>255.10000000000002</c:v>
                </c:pt>
                <c:pt idx="11">
                  <c:v>240.1</c:v>
                </c:pt>
                <c:pt idx="12">
                  <c:v>274.10000000000002</c:v>
                </c:pt>
                <c:pt idx="13">
                  <c:v>393.2</c:v>
                </c:pt>
                <c:pt idx="14">
                  <c:v>387</c:v>
                </c:pt>
                <c:pt idx="15">
                  <c:v>375.3</c:v>
                </c:pt>
              </c:numCache>
            </c:numRef>
          </c:val>
          <c:extLst>
            <c:ext xmlns:c16="http://schemas.microsoft.com/office/drawing/2014/chart" uri="{C3380CC4-5D6E-409C-BE32-E72D297353CC}">
              <c16:uniqueId val="{00000010-0498-41D1-89DA-ED7F7EE6D18E}"/>
            </c:ext>
          </c:extLst>
        </c:ser>
        <c:dLbls>
          <c:dLblPos val="ctr"/>
          <c:showLegendKey val="0"/>
          <c:showVal val="1"/>
          <c:showCatName val="0"/>
          <c:showSerName val="0"/>
          <c:showPercent val="0"/>
          <c:showBubbleSize val="0"/>
        </c:dLbls>
        <c:gapWidth val="150"/>
        <c:overlap val="100"/>
        <c:axId val="594789680"/>
        <c:axId val="406164024"/>
      </c:barChart>
      <c:catAx>
        <c:axId val="594789680"/>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06164024"/>
        <c:crosses val="autoZero"/>
        <c:auto val="1"/>
        <c:lblAlgn val="ctr"/>
        <c:lblOffset val="100"/>
        <c:noMultiLvlLbl val="0"/>
      </c:catAx>
      <c:valAx>
        <c:axId val="40616402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mil. Kč.</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947896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'Grafy pro MZe'!$O$4</c:f>
              <c:strCache>
                <c:ptCount val="1"/>
                <c:pt idx="0">
                  <c:v>mil. Kč</c:v>
                </c:pt>
              </c:strCache>
            </c:strRef>
          </c:tx>
          <c:spPr>
            <a:solidFill>
              <a:schemeClr val="accent5"/>
            </a:solidFill>
            <a:ln>
              <a:noFill/>
            </a:ln>
            <a:effectLst/>
          </c:spPr>
          <c:invertIfNegative val="0"/>
          <c:dLbls>
            <c:dLbl>
              <c:idx val="0"/>
              <c:layout>
                <c:manualLayout>
                  <c:x val="-2.339154499445324E-17"/>
                  <c:y val="-0.3148148148148148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42-4314-BEC8-4527DE6B6FA1}"/>
                </c:ext>
              </c:extLst>
            </c:dLbl>
            <c:dLbl>
              <c:idx val="1"/>
              <c:layout>
                <c:manualLayout>
                  <c:x val="-2.5518343871538647E-3"/>
                  <c:y val="-0.3983065497094553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D42-4314-BEC8-4527DE6B6FA1}"/>
                </c:ext>
              </c:extLst>
            </c:dLbl>
            <c:dLbl>
              <c:idx val="2"/>
              <c:layout>
                <c:manualLayout>
                  <c:x val="-2.5518343871538647E-3"/>
                  <c:y val="-0.3708455457152363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D42-4314-BEC8-4527DE6B6FA1}"/>
                </c:ext>
              </c:extLst>
            </c:dLbl>
            <c:dLbl>
              <c:idx val="3"/>
              <c:layout>
                <c:manualLayout>
                  <c:x val="2.5518343871538647E-3"/>
                  <c:y val="-0.3523270858748290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D42-4314-BEC8-4527DE6B6FA1}"/>
                </c:ext>
              </c:extLst>
            </c:dLbl>
            <c:dLbl>
              <c:idx val="4"/>
              <c:layout>
                <c:manualLayout>
                  <c:x val="0"/>
                  <c:y val="-0.32454922007988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D42-4314-BEC8-4527DE6B6FA1}"/>
                </c:ext>
              </c:extLst>
            </c:dLbl>
            <c:dLbl>
              <c:idx val="5"/>
              <c:layout>
                <c:manualLayout>
                  <c:x val="-4.6783089988906481E-17"/>
                  <c:y val="-0.3651071785040954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D42-4314-BEC8-4527DE6B6FA1}"/>
                </c:ext>
              </c:extLst>
            </c:dLbl>
            <c:dLbl>
              <c:idx val="6"/>
              <c:layout>
                <c:manualLayout>
                  <c:x val="0"/>
                  <c:y val="-0.3159231856581308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D42-4314-BEC8-4527DE6B6FA1}"/>
                </c:ext>
              </c:extLst>
            </c:dLbl>
            <c:dLbl>
              <c:idx val="7"/>
              <c:layout>
                <c:manualLayout>
                  <c:x val="0"/>
                  <c:y val="-0.374366584458632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D42-4314-BEC8-4527DE6B6FA1}"/>
                </c:ext>
              </c:extLst>
            </c:dLbl>
            <c:dLbl>
              <c:idx val="8"/>
              <c:layout>
                <c:manualLayout>
                  <c:x val="0"/>
                  <c:y val="-0.3341251357664799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D42-4314-BEC8-4527DE6B6FA1}"/>
                </c:ext>
              </c:extLst>
            </c:dLbl>
            <c:dLbl>
              <c:idx val="9"/>
              <c:layout>
                <c:manualLayout>
                  <c:x val="0"/>
                  <c:y val="-0.3066641317722608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D42-4314-BEC8-4527DE6B6FA1}"/>
                </c:ext>
              </c:extLst>
            </c:dLbl>
            <c:dLbl>
              <c:idx val="10"/>
              <c:layout>
                <c:manualLayout>
                  <c:x val="-2.5518343871537711E-3"/>
                  <c:y val="-0.3564814814814814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D42-4314-BEC8-4527DE6B6FA1}"/>
                </c:ext>
              </c:extLst>
            </c:dLbl>
            <c:dLbl>
              <c:idx val="11"/>
              <c:layout>
                <c:manualLayout>
                  <c:x val="-9.3566179977812962E-17"/>
                  <c:y val="-0.3240739273787959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D42-4314-BEC8-4527DE6B6FA1}"/>
                </c:ext>
              </c:extLst>
            </c:dLbl>
            <c:dLbl>
              <c:idx val="12"/>
              <c:layout>
                <c:manualLayout>
                  <c:x val="-9.3566179977812962E-17"/>
                  <c:y val="-0.3476973828975603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D42-4314-BEC8-4527DE6B6FA1}"/>
                </c:ext>
              </c:extLst>
            </c:dLbl>
            <c:dLbl>
              <c:idx val="13"/>
              <c:layout>
                <c:manualLayout>
                  <c:x val="2.5518343871537711E-3"/>
                  <c:y val="-0.3979432148446233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D42-4314-BEC8-4527DE6B6FA1}"/>
                </c:ext>
              </c:extLst>
            </c:dLbl>
            <c:dLbl>
              <c:idx val="14"/>
              <c:layout>
                <c:manualLayout>
                  <c:x val="0"/>
                  <c:y val="-0.4560697518443997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D42-4314-BEC8-4527DE6B6FA1}"/>
                </c:ext>
              </c:extLst>
            </c:dLbl>
            <c:dLbl>
              <c:idx val="15"/>
              <c:layout>
                <c:manualLayout>
                  <c:x val="-1.8713235995562592E-16"/>
                  <c:y val="-0.4247708473060585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D42-4314-BEC8-4527DE6B6F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'Grafy pro MZe'!$N$5:$N$20</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'Grafy pro MZe'!$O$5:$O$20</c:f>
              <c:numCache>
                <c:formatCode>0.0</c:formatCode>
                <c:ptCount val="16"/>
                <c:pt idx="0">
                  <c:v>295.3</c:v>
                </c:pt>
                <c:pt idx="1">
                  <c:v>396</c:v>
                </c:pt>
                <c:pt idx="2">
                  <c:v>373.3</c:v>
                </c:pt>
                <c:pt idx="3">
                  <c:v>359</c:v>
                </c:pt>
                <c:pt idx="4">
                  <c:v>327.5</c:v>
                </c:pt>
                <c:pt idx="5">
                  <c:v>341.5</c:v>
                </c:pt>
                <c:pt idx="6">
                  <c:v>338.5</c:v>
                </c:pt>
                <c:pt idx="7">
                  <c:v>345.7</c:v>
                </c:pt>
                <c:pt idx="8">
                  <c:v>346.29999999999995</c:v>
                </c:pt>
                <c:pt idx="9">
                  <c:v>334.5</c:v>
                </c:pt>
                <c:pt idx="10">
                  <c:v>343.2</c:v>
                </c:pt>
                <c:pt idx="11">
                  <c:v>309.89999999999998</c:v>
                </c:pt>
                <c:pt idx="12">
                  <c:v>352.9</c:v>
                </c:pt>
                <c:pt idx="13">
                  <c:v>434.9</c:v>
                </c:pt>
                <c:pt idx="14">
                  <c:v>542.29999999999995</c:v>
                </c:pt>
                <c:pt idx="15">
                  <c:v>513.29999999999995</c:v>
                </c:pt>
              </c:numCache>
            </c:numRef>
          </c:val>
          <c:extLst>
            <c:ext xmlns:c16="http://schemas.microsoft.com/office/drawing/2014/chart" uri="{C3380CC4-5D6E-409C-BE32-E72D297353CC}">
              <c16:uniqueId val="{00000010-6D42-4314-BEC8-4527DE6B6FA1}"/>
            </c:ext>
          </c:extLst>
        </c:ser>
        <c:dLbls>
          <c:dLblPos val="ctr"/>
          <c:showLegendKey val="0"/>
          <c:showVal val="1"/>
          <c:showCatName val="0"/>
          <c:showSerName val="0"/>
          <c:showPercent val="0"/>
          <c:showBubbleSize val="0"/>
        </c:dLbls>
        <c:gapWidth val="150"/>
        <c:overlap val="100"/>
        <c:axId val="594789680"/>
        <c:axId val="406164024"/>
      </c:barChart>
      <c:catAx>
        <c:axId val="594789680"/>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06164024"/>
        <c:crosses val="autoZero"/>
        <c:auto val="1"/>
        <c:lblAlgn val="ctr"/>
        <c:lblOffset val="100"/>
        <c:noMultiLvlLbl val="0"/>
      </c:catAx>
      <c:valAx>
        <c:axId val="40616402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mil. Kč.</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947896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8.8925525747379094E-2"/>
          <c:y val="6.2499888556809408E-2"/>
          <c:w val="0.81191764315492421"/>
          <c:h val="0.64880952380952406"/>
        </c:manualLayout>
      </c:layout>
      <c:barChart>
        <c:barDir val="col"/>
        <c:grouping val="clustered"/>
        <c:varyColors val="0"/>
        <c:ser>
          <c:idx val="0"/>
          <c:order val="0"/>
          <c:tx>
            <c:strRef>
              <c:f>'G 2.3.1'!$A$4</c:f>
              <c:strCache>
                <c:ptCount val="1"/>
                <c:pt idx="0">
                  <c:v>Specifické množství vody fakturované domácnostem</c:v>
                </c:pt>
              </c:strCache>
            </c:strRef>
          </c:tx>
          <c:spPr>
            <a:solidFill>
              <a:srgbClr val="C00000"/>
            </a:solidFill>
            <a:ln>
              <a:noFill/>
            </a:ln>
          </c:spPr>
          <c:invertIfNegative val="0"/>
          <c:cat>
            <c:numRef>
              <c:f>'G 2.3.1'!$B$3:$L$3</c:f>
              <c:numCache>
                <c:formatCode>General</c:formatCode>
                <c:ptCount val="8"/>
                <c:pt idx="0">
                  <c:v>1989</c:v>
                </c:pt>
                <c:pt idx="1">
                  <c:v>2019</c:v>
                </c:pt>
                <c:pt idx="2">
                  <c:v>2020</c:v>
                </c:pt>
                <c:pt idx="3">
                  <c:v>2021</c:v>
                </c:pt>
                <c:pt idx="4">
                  <c:v>2022</c:v>
                </c:pt>
                <c:pt idx="5">
                  <c:v>2023</c:v>
                </c:pt>
                <c:pt idx="6">
                  <c:v>2024</c:v>
                </c:pt>
                <c:pt idx="7">
                  <c:v>2025</c:v>
                </c:pt>
              </c:numCache>
            </c:numRef>
          </c:cat>
          <c:val>
            <c:numRef>
              <c:f>'G 2.3.1'!$B$4:$L$4</c:f>
              <c:numCache>
                <c:formatCode>#\ ##0.0</c:formatCode>
                <c:ptCount val="8"/>
                <c:pt idx="0">
                  <c:v>171</c:v>
                </c:pt>
                <c:pt idx="1">
                  <c:v>90.6</c:v>
                </c:pt>
                <c:pt idx="2">
                  <c:v>91.1</c:v>
                </c:pt>
                <c:pt idx="3">
                  <c:v>93.2</c:v>
                </c:pt>
                <c:pt idx="4">
                  <c:v>89.4</c:v>
                </c:pt>
                <c:pt idx="5">
                  <c:v>86.7</c:v>
                </c:pt>
                <c:pt idx="6">
                  <c:v>88.254033139007106</c:v>
                </c:pt>
                <c:pt idx="7">
                  <c:v>89.674465668204661</c:v>
                </c:pt>
              </c:numCache>
            </c:numRef>
          </c:val>
          <c:extLst>
            <c:ext xmlns:c16="http://schemas.microsoft.com/office/drawing/2014/chart" uri="{C3380CC4-5D6E-409C-BE32-E72D297353CC}">
              <c16:uniqueId val="{00000000-FEDA-46AF-89B4-7C2108AB744A}"/>
            </c:ext>
          </c:extLst>
        </c:ser>
        <c:ser>
          <c:idx val="1"/>
          <c:order val="1"/>
          <c:tx>
            <c:strRef>
              <c:f>'G 2.3.1'!$A$5</c:f>
              <c:strCache>
                <c:ptCount val="1"/>
                <c:pt idx="0">
                  <c:v>Specifická spotřeba z vody vyrobené určené k realizaci</c:v>
                </c:pt>
              </c:strCache>
            </c:strRef>
          </c:tx>
          <c:spPr>
            <a:solidFill>
              <a:srgbClr val="002060"/>
            </a:solidFill>
            <a:ln>
              <a:noFill/>
            </a:ln>
          </c:spPr>
          <c:invertIfNegative val="0"/>
          <c:cat>
            <c:numRef>
              <c:f>'G 2.3.1'!$B$3:$L$3</c:f>
              <c:numCache>
                <c:formatCode>General</c:formatCode>
                <c:ptCount val="8"/>
                <c:pt idx="0">
                  <c:v>1989</c:v>
                </c:pt>
                <c:pt idx="1">
                  <c:v>2019</c:v>
                </c:pt>
                <c:pt idx="2">
                  <c:v>2020</c:v>
                </c:pt>
                <c:pt idx="3">
                  <c:v>2021</c:v>
                </c:pt>
                <c:pt idx="4">
                  <c:v>2022</c:v>
                </c:pt>
                <c:pt idx="5">
                  <c:v>2023</c:v>
                </c:pt>
                <c:pt idx="6">
                  <c:v>2024</c:v>
                </c:pt>
                <c:pt idx="7">
                  <c:v>2025</c:v>
                </c:pt>
              </c:numCache>
            </c:numRef>
          </c:cat>
          <c:val>
            <c:numRef>
              <c:f>'G 2.3.1'!$B$5:$L$5</c:f>
              <c:numCache>
                <c:formatCode>#\ ##0.0</c:formatCode>
                <c:ptCount val="8"/>
                <c:pt idx="0">
                  <c:v>401</c:v>
                </c:pt>
                <c:pt idx="1">
                  <c:v>163.5</c:v>
                </c:pt>
                <c:pt idx="2">
                  <c:v>159.5</c:v>
                </c:pt>
                <c:pt idx="3">
                  <c:v>157.5</c:v>
                </c:pt>
                <c:pt idx="4">
                  <c:v>156.69999999999999</c:v>
                </c:pt>
                <c:pt idx="5">
                  <c:v>153.30000000000001</c:v>
                </c:pt>
                <c:pt idx="6">
                  <c:v>156.6198227941957</c:v>
                </c:pt>
                <c:pt idx="7">
                  <c:v>155.39469442157872</c:v>
                </c:pt>
              </c:numCache>
            </c:numRef>
          </c:val>
          <c:extLst>
            <c:ext xmlns:c16="http://schemas.microsoft.com/office/drawing/2014/chart" uri="{C3380CC4-5D6E-409C-BE32-E72D297353CC}">
              <c16:uniqueId val="{00000001-FEDA-46AF-89B4-7C2108AB744A}"/>
            </c:ext>
          </c:extLst>
        </c:ser>
        <c:dLbls>
          <c:showLegendKey val="0"/>
          <c:showVal val="0"/>
          <c:showCatName val="0"/>
          <c:showSerName val="0"/>
          <c:showPercent val="0"/>
          <c:showBubbleSize val="0"/>
        </c:dLbls>
        <c:gapWidth val="150"/>
        <c:axId val="602943775"/>
        <c:axId val="1"/>
      </c:barChart>
      <c:barChart>
        <c:barDir val="col"/>
        <c:grouping val="clustered"/>
        <c:varyColors val="0"/>
        <c:ser>
          <c:idx val="2"/>
          <c:order val="2"/>
          <c:tx>
            <c:strRef>
              <c:f>'G 2.3.1'!$A$6</c:f>
              <c:strCache>
                <c:ptCount val="1"/>
                <c:pt idx="0">
                  <c:v>Obyv. skutečně zásobovaní vodou z vodovodů</c:v>
                </c:pt>
              </c:strCache>
            </c:strRef>
          </c:tx>
          <c:spPr>
            <a:solidFill>
              <a:schemeClr val="tx2">
                <a:lumMod val="25000"/>
                <a:lumOff val="75000"/>
              </a:schemeClr>
            </a:solidFill>
            <a:ln>
              <a:noFill/>
            </a:ln>
          </c:spPr>
          <c:invertIfNegative val="0"/>
          <c:cat>
            <c:numLit>
              <c:formatCode>General</c:formatCode>
              <c:ptCount val="12"/>
              <c:pt idx="0">
                <c:v>1989</c:v>
              </c:pt>
              <c:pt idx="1">
                <c:v>2013</c:v>
              </c:pt>
              <c:pt idx="2">
                <c:v>2014</c:v>
              </c:pt>
              <c:pt idx="3">
                <c:v>2015</c:v>
              </c:pt>
              <c:pt idx="4">
                <c:v>2016</c:v>
              </c:pt>
              <c:pt idx="5">
                <c:v>2017</c:v>
              </c:pt>
              <c:pt idx="6">
                <c:v>2018</c:v>
              </c:pt>
              <c:pt idx="7">
                <c:v>2019</c:v>
              </c:pt>
              <c:pt idx="8">
                <c:v>2020</c:v>
              </c:pt>
              <c:pt idx="9">
                <c:v>2021</c:v>
              </c:pt>
              <c:pt idx="10">
                <c:v>2022</c:v>
              </c:pt>
              <c:pt idx="11">
                <c:v>2023</c:v>
              </c:pt>
            </c:numLit>
          </c:cat>
          <c:val>
            <c:numRef>
              <c:f>'G 2.3.1'!$B$6:$L$6</c:f>
              <c:numCache>
                <c:formatCode>#,##0</c:formatCode>
                <c:ptCount val="8"/>
                <c:pt idx="0">
                  <c:v>8537</c:v>
                </c:pt>
                <c:pt idx="1">
                  <c:v>10090</c:v>
                </c:pt>
                <c:pt idx="2">
                  <c:v>10126</c:v>
                </c:pt>
                <c:pt idx="3">
                  <c:v>10076</c:v>
                </c:pt>
                <c:pt idx="4">
                  <c:v>10069</c:v>
                </c:pt>
                <c:pt idx="5">
                  <c:v>10279</c:v>
                </c:pt>
                <c:pt idx="6">
                  <c:v>10353.346</c:v>
                </c:pt>
                <c:pt idx="7">
                  <c:v>10411.088</c:v>
                </c:pt>
              </c:numCache>
            </c:numRef>
          </c:val>
          <c:extLst>
            <c:ext xmlns:c16="http://schemas.microsoft.com/office/drawing/2014/chart" uri="{C3380CC4-5D6E-409C-BE32-E72D297353CC}">
              <c16:uniqueId val="{00000002-FEDA-46AF-89B4-7C2108AB744A}"/>
            </c:ext>
          </c:extLst>
        </c:ser>
        <c:dLbls>
          <c:showLegendKey val="0"/>
          <c:showVal val="0"/>
          <c:showCatName val="0"/>
          <c:showSerName val="0"/>
          <c:showPercent val="0"/>
          <c:showBubbleSize val="0"/>
        </c:dLbls>
        <c:gapWidth val="260"/>
        <c:axId val="3"/>
        <c:axId val="4"/>
      </c:barChart>
      <c:catAx>
        <c:axId val="602943775"/>
        <c:scaling>
          <c:orientation val="minMax"/>
        </c:scaling>
        <c:delete val="0"/>
        <c:axPos val="b"/>
        <c:numFmt formatCode="General" sourceLinked="1"/>
        <c:majorTickMark val="none"/>
        <c:minorTickMark val="none"/>
        <c:tickLblPos val="nextTo"/>
        <c:txPr>
          <a:bodyPr rot="0" vert="horz"/>
          <a:lstStyle/>
          <a:p>
            <a:pPr>
              <a:defRPr sz="800" b="0" i="0" u="none" strike="noStrike" baseline="0">
                <a:solidFill>
                  <a:srgbClr val="000000"/>
                </a:solidFill>
                <a:latin typeface="Arial" panose="020B0604020202020204" pitchFamily="34" charset="0"/>
                <a:ea typeface="Calibri"/>
                <a:cs typeface="Calibri"/>
              </a:defRPr>
            </a:pPr>
            <a:endParaRPr lang="cs-CZ"/>
          </a:p>
        </c:txPr>
        <c:crossAx val="1"/>
        <c:crosses val="autoZero"/>
        <c:auto val="1"/>
        <c:lblAlgn val="ctr"/>
        <c:lblOffset val="100"/>
        <c:tickLblSkip val="1"/>
        <c:tickMarkSkip val="1"/>
        <c:noMultiLvlLbl val="0"/>
      </c:catAx>
      <c:valAx>
        <c:axId val="1"/>
        <c:scaling>
          <c:orientation val="minMax"/>
        </c:scaling>
        <c:delete val="0"/>
        <c:axPos val="l"/>
        <c:title>
          <c:tx>
            <c:rich>
              <a:bodyPr/>
              <a:lstStyle/>
              <a:p>
                <a:pPr>
                  <a:defRPr sz="1100" b="0" i="0" u="none" strike="noStrike" baseline="0">
                    <a:solidFill>
                      <a:srgbClr val="000000"/>
                    </a:solidFill>
                    <a:latin typeface="Aptos Narrow"/>
                    <a:ea typeface="Aptos Narrow"/>
                    <a:cs typeface="Aptos Narrow"/>
                  </a:defRPr>
                </a:pPr>
                <a:r>
                  <a:rPr lang="cs-CZ" sz="800" b="0" i="0" u="none" strike="noStrike" baseline="0">
                    <a:solidFill>
                      <a:srgbClr val="000000"/>
                    </a:solidFill>
                    <a:latin typeface="Arial" panose="020B0604020202020204" pitchFamily="34" charset="0"/>
                    <a:ea typeface="Calibri"/>
                    <a:cs typeface="Calibri"/>
                  </a:rPr>
                  <a:t>litry na osobu a den</a:t>
                </a:r>
              </a:p>
            </c:rich>
          </c:tx>
          <c:layout>
            <c:manualLayout>
              <c:xMode val="edge"/>
              <c:yMode val="edge"/>
              <c:x val="3.2841305068251675E-3"/>
              <c:y val="0.26171965636866795"/>
            </c:manualLayout>
          </c:layout>
          <c:overlay val="0"/>
        </c:title>
        <c:numFmt formatCode="#,##0" sourceLinked="0"/>
        <c:majorTickMark val="out"/>
        <c:minorTickMark val="none"/>
        <c:tickLblPos val="nextTo"/>
        <c:txPr>
          <a:bodyPr rot="0" vert="horz"/>
          <a:lstStyle/>
          <a:p>
            <a:pPr>
              <a:defRPr sz="800" b="0" i="0" u="none" strike="noStrike" baseline="0">
                <a:solidFill>
                  <a:srgbClr val="000000"/>
                </a:solidFill>
                <a:latin typeface="Arial" panose="020B0604020202020204" pitchFamily="34" charset="0"/>
                <a:ea typeface="Calibri"/>
                <a:cs typeface="Calibri"/>
              </a:defRPr>
            </a:pPr>
            <a:endParaRPr lang="cs-CZ"/>
          </a:p>
        </c:txPr>
        <c:crossAx val="602943775"/>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in val="7500"/>
        </c:scaling>
        <c:delete val="0"/>
        <c:axPos val="r"/>
        <c:majorGridlines>
          <c:spPr>
            <a:ln w="3175">
              <a:solidFill>
                <a:schemeClr val="bg1">
                  <a:lumMod val="75000"/>
                </a:schemeClr>
              </a:solidFill>
            </a:ln>
          </c:spPr>
        </c:majorGridlines>
        <c:title>
          <c:tx>
            <c:rich>
              <a:bodyPr/>
              <a:lstStyle/>
              <a:p>
                <a:pPr>
                  <a:defRPr sz="800" b="0" i="0" u="none" strike="noStrike" baseline="0">
                    <a:solidFill>
                      <a:srgbClr val="000000"/>
                    </a:solidFill>
                    <a:latin typeface="Arial" panose="020B0604020202020204" pitchFamily="34" charset="0"/>
                    <a:ea typeface="Calibri"/>
                    <a:cs typeface="Calibri"/>
                  </a:defRPr>
                </a:pPr>
                <a:r>
                  <a:rPr lang="cs-CZ" sz="800" baseline="0">
                    <a:latin typeface="Arial" panose="020B0604020202020204" pitchFamily="34" charset="0"/>
                  </a:rPr>
                  <a:t>počet zás. obyvatel (v tisících)</a:t>
                </a:r>
              </a:p>
            </c:rich>
          </c:tx>
          <c:layout>
            <c:manualLayout>
              <c:xMode val="edge"/>
              <c:yMode val="edge"/>
              <c:x val="0.96555006752718631"/>
              <c:y val="0.20485712210645857"/>
            </c:manualLayout>
          </c:layout>
          <c:overlay val="0"/>
        </c:title>
        <c:numFmt formatCode="#,##0" sourceLinked="1"/>
        <c:majorTickMark val="out"/>
        <c:minorTickMark val="none"/>
        <c:tickLblPos val="nextTo"/>
        <c:txPr>
          <a:bodyPr rot="0" vert="horz"/>
          <a:lstStyle/>
          <a:p>
            <a:pPr>
              <a:defRPr sz="800" b="0" i="0" u="none" strike="noStrike" baseline="0">
                <a:solidFill>
                  <a:srgbClr val="000000"/>
                </a:solidFill>
                <a:latin typeface="Arial" panose="020B0604020202020204" pitchFamily="34" charset="0"/>
                <a:ea typeface="Calibri"/>
                <a:cs typeface="Calibri"/>
              </a:defRPr>
            </a:pPr>
            <a:endParaRPr lang="cs-CZ"/>
          </a:p>
        </c:txPr>
        <c:crossAx val="3"/>
        <c:crosses val="max"/>
        <c:crossBetween val="between"/>
      </c:valAx>
    </c:plotArea>
    <c:legend>
      <c:legendPos val="b"/>
      <c:legendEntry>
        <c:idx val="0"/>
        <c:txPr>
          <a:bodyPr/>
          <a:lstStyle/>
          <a:p>
            <a:pPr>
              <a:defRPr sz="700" b="0" i="0" u="none" strike="noStrike" baseline="0">
                <a:solidFill>
                  <a:srgbClr val="000000"/>
                </a:solidFill>
                <a:latin typeface="Arial" panose="020B0604020202020204" pitchFamily="34" charset="0"/>
                <a:ea typeface="Calibri"/>
                <a:cs typeface="Calibri"/>
              </a:defRPr>
            </a:pPr>
            <a:endParaRPr lang="cs-CZ"/>
          </a:p>
        </c:txPr>
      </c:legendEntry>
      <c:legendEntry>
        <c:idx val="1"/>
        <c:txPr>
          <a:bodyPr/>
          <a:lstStyle/>
          <a:p>
            <a:pPr>
              <a:defRPr sz="700" b="0" i="0" u="none" strike="noStrike" baseline="0">
                <a:solidFill>
                  <a:srgbClr val="000000"/>
                </a:solidFill>
                <a:latin typeface="Arial" panose="020B0604020202020204" pitchFamily="34" charset="0"/>
                <a:ea typeface="Calibri"/>
                <a:cs typeface="Calibri"/>
              </a:defRPr>
            </a:pPr>
            <a:endParaRPr lang="cs-CZ"/>
          </a:p>
        </c:txPr>
      </c:legendEntry>
      <c:legendEntry>
        <c:idx val="2"/>
        <c:txPr>
          <a:bodyPr/>
          <a:lstStyle/>
          <a:p>
            <a:pPr>
              <a:defRPr sz="700" b="0" i="0" u="none" strike="noStrike" baseline="0">
                <a:solidFill>
                  <a:srgbClr val="000000"/>
                </a:solidFill>
                <a:latin typeface="Arial" panose="020B0604020202020204" pitchFamily="34" charset="0"/>
                <a:ea typeface="Calibri"/>
                <a:cs typeface="Calibri"/>
              </a:defRPr>
            </a:pPr>
            <a:endParaRPr lang="cs-CZ"/>
          </a:p>
        </c:txPr>
      </c:legendEntry>
      <c:layout>
        <c:manualLayout>
          <c:xMode val="edge"/>
          <c:yMode val="edge"/>
          <c:x val="6.5040069688872604E-2"/>
          <c:y val="0.79157423180023501"/>
          <c:w val="0.41665512337209243"/>
          <c:h val="0.11882525660107565"/>
        </c:manualLayout>
      </c:layout>
      <c:overlay val="0"/>
      <c:txPr>
        <a:bodyPr/>
        <a:lstStyle/>
        <a:p>
          <a:pPr>
            <a:defRPr sz="700" b="0" i="0" u="none" strike="noStrike" baseline="0">
              <a:solidFill>
                <a:srgbClr val="000000"/>
              </a:solidFill>
              <a:latin typeface="Arial" panose="020B0604020202020204" pitchFamily="34" charset="0"/>
              <a:ea typeface="Calibri"/>
              <a:cs typeface="Calibri"/>
            </a:defRPr>
          </a:pPr>
          <a:endParaRPr lang="cs-CZ"/>
        </a:p>
      </c:txPr>
    </c:legend>
    <c:plotVisOnly val="1"/>
    <c:dispBlanksAs val="gap"/>
    <c:showDLblsOverMax val="0"/>
  </c:chart>
  <c:spPr>
    <a:ln w="3175">
      <a:solidFill>
        <a:schemeClr val="bg1">
          <a:lumMod val="85000"/>
        </a:schemeClr>
      </a:solidFill>
    </a:ln>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 2.3.2'!$A$4</c:f>
              <c:strCache>
                <c:ptCount val="1"/>
                <c:pt idx="0">
                  <c:v>Voda vyrobená určená k realizaci celkem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'G 2.3.2'!$C$3:$L$3</c:f>
              <c:numCache>
                <c:formatCode>General</c:formatCode>
                <c:ptCount val="8"/>
                <c:pt idx="0">
                  <c:v>1989</c:v>
                </c:pt>
                <c:pt idx="1">
                  <c:v>2019</c:v>
                </c:pt>
                <c:pt idx="2">
                  <c:v>2020</c:v>
                </c:pt>
                <c:pt idx="3">
                  <c:v>2021</c:v>
                </c:pt>
                <c:pt idx="4">
                  <c:v>2022</c:v>
                </c:pt>
                <c:pt idx="5">
                  <c:v>2023</c:v>
                </c:pt>
                <c:pt idx="6">
                  <c:v>2024</c:v>
                </c:pt>
                <c:pt idx="7">
                  <c:v>2025</c:v>
                </c:pt>
              </c:numCache>
            </c:numRef>
          </c:cat>
          <c:val>
            <c:numRef>
              <c:f>'G 2.3.2'!$C$4:$L$4</c:f>
              <c:numCache>
                <c:formatCode>#,##0</c:formatCode>
                <c:ptCount val="8"/>
                <c:pt idx="0" formatCode="0">
                  <c:v>1251</c:v>
                </c:pt>
                <c:pt idx="1">
                  <c:v>589.4</c:v>
                </c:pt>
                <c:pt idx="2">
                  <c:v>587.20000000000005</c:v>
                </c:pt>
                <c:pt idx="3">
                  <c:v>584.29999999999995</c:v>
                </c:pt>
                <c:pt idx="4">
                  <c:v>583</c:v>
                </c:pt>
                <c:pt idx="5">
                  <c:v>593.48335300000008</c:v>
                </c:pt>
                <c:pt idx="6">
                  <c:v>593.48335300000008</c:v>
                </c:pt>
                <c:pt idx="7">
                  <c:v>590.50716100000022</c:v>
                </c:pt>
              </c:numCache>
            </c:numRef>
          </c:val>
          <c:smooth val="0"/>
          <c:extLst>
            <c:ext xmlns:c16="http://schemas.microsoft.com/office/drawing/2014/chart" uri="{C3380CC4-5D6E-409C-BE32-E72D297353CC}">
              <c16:uniqueId val="{00000000-27C9-40BF-B0E2-E749B3112874}"/>
            </c:ext>
          </c:extLst>
        </c:ser>
        <c:ser>
          <c:idx val="1"/>
          <c:order val="1"/>
          <c:tx>
            <c:strRef>
              <c:f>'G 2.3.2'!$A$5</c:f>
              <c:strCache>
                <c:ptCount val="1"/>
                <c:pt idx="0">
                  <c:v>Voda fakturovaná pitná celkem</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'G 2.3.2'!$C$3:$L$3</c:f>
              <c:numCache>
                <c:formatCode>General</c:formatCode>
                <c:ptCount val="8"/>
                <c:pt idx="0">
                  <c:v>1989</c:v>
                </c:pt>
                <c:pt idx="1">
                  <c:v>2019</c:v>
                </c:pt>
                <c:pt idx="2">
                  <c:v>2020</c:v>
                </c:pt>
                <c:pt idx="3">
                  <c:v>2021</c:v>
                </c:pt>
                <c:pt idx="4">
                  <c:v>2022</c:v>
                </c:pt>
                <c:pt idx="5">
                  <c:v>2023</c:v>
                </c:pt>
                <c:pt idx="6">
                  <c:v>2024</c:v>
                </c:pt>
                <c:pt idx="7">
                  <c:v>2025</c:v>
                </c:pt>
              </c:numCache>
            </c:numRef>
          </c:cat>
          <c:val>
            <c:numRef>
              <c:f>'G 2.3.2'!$C$5:$L$5</c:f>
              <c:numCache>
                <c:formatCode>0</c:formatCode>
                <c:ptCount val="8"/>
                <c:pt idx="0">
                  <c:v>929.4</c:v>
                </c:pt>
                <c:pt idx="1">
                  <c:v>479</c:v>
                </c:pt>
                <c:pt idx="2">
                  <c:v>478.7</c:v>
                </c:pt>
                <c:pt idx="3">
                  <c:v>478.1</c:v>
                </c:pt>
                <c:pt idx="4">
                  <c:v>476.9</c:v>
                </c:pt>
                <c:pt idx="5">
                  <c:v>488.28216399999997</c:v>
                </c:pt>
                <c:pt idx="6">
                  <c:v>488.28216399999997</c:v>
                </c:pt>
                <c:pt idx="7">
                  <c:v>492.09238500000004</c:v>
                </c:pt>
              </c:numCache>
            </c:numRef>
          </c:val>
          <c:smooth val="0"/>
          <c:extLst>
            <c:ext xmlns:c16="http://schemas.microsoft.com/office/drawing/2014/chart" uri="{C3380CC4-5D6E-409C-BE32-E72D297353CC}">
              <c16:uniqueId val="{00000001-27C9-40BF-B0E2-E749B3112874}"/>
            </c:ext>
          </c:extLst>
        </c:ser>
        <c:ser>
          <c:idx val="2"/>
          <c:order val="2"/>
          <c:tx>
            <c:strRef>
              <c:f>'G 2.3.2'!$A$6</c:f>
              <c:strCache>
                <c:ptCount val="1"/>
                <c:pt idx="0">
                  <c:v>Voda nefakturovaná celkem</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'G 2.3.2'!$C$3:$L$3</c:f>
              <c:numCache>
                <c:formatCode>General</c:formatCode>
                <c:ptCount val="8"/>
                <c:pt idx="0">
                  <c:v>1989</c:v>
                </c:pt>
                <c:pt idx="1">
                  <c:v>2019</c:v>
                </c:pt>
                <c:pt idx="2">
                  <c:v>2020</c:v>
                </c:pt>
                <c:pt idx="3">
                  <c:v>2021</c:v>
                </c:pt>
                <c:pt idx="4">
                  <c:v>2022</c:v>
                </c:pt>
                <c:pt idx="5">
                  <c:v>2023</c:v>
                </c:pt>
                <c:pt idx="6">
                  <c:v>2024</c:v>
                </c:pt>
                <c:pt idx="7">
                  <c:v>2025</c:v>
                </c:pt>
              </c:numCache>
            </c:numRef>
          </c:cat>
          <c:val>
            <c:numRef>
              <c:f>'G 2.3.2'!$C$6:$L$6</c:f>
              <c:numCache>
                <c:formatCode>#,##0</c:formatCode>
                <c:ptCount val="8"/>
                <c:pt idx="0" formatCode="0">
                  <c:v>316.10000000000002</c:v>
                </c:pt>
                <c:pt idx="1">
                  <c:v>101.4</c:v>
                </c:pt>
                <c:pt idx="2">
                  <c:v>102.6</c:v>
                </c:pt>
                <c:pt idx="3">
                  <c:v>100.4</c:v>
                </c:pt>
                <c:pt idx="4">
                  <c:v>97.9</c:v>
                </c:pt>
                <c:pt idx="5">
                  <c:v>98.4</c:v>
                </c:pt>
                <c:pt idx="6">
                  <c:v>104.669848</c:v>
                </c:pt>
                <c:pt idx="7">
                  <c:v>98.458562999999998</c:v>
                </c:pt>
              </c:numCache>
            </c:numRef>
          </c:val>
          <c:smooth val="0"/>
          <c:extLst>
            <c:ext xmlns:c16="http://schemas.microsoft.com/office/drawing/2014/chart" uri="{C3380CC4-5D6E-409C-BE32-E72D297353CC}">
              <c16:uniqueId val="{00000002-27C9-40BF-B0E2-E749B3112874}"/>
            </c:ext>
          </c:extLst>
        </c:ser>
        <c:ser>
          <c:idx val="3"/>
          <c:order val="3"/>
          <c:tx>
            <c:strRef>
              <c:f>'G 2.3.2'!$A$7</c:f>
              <c:strCache>
                <c:ptCount val="1"/>
                <c:pt idx="0">
                  <c:v>Ztráty vody v potrubní síti</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'G 2.3.2'!$C$3:$L$3</c:f>
              <c:numCache>
                <c:formatCode>General</c:formatCode>
                <c:ptCount val="8"/>
                <c:pt idx="0">
                  <c:v>1989</c:v>
                </c:pt>
                <c:pt idx="1">
                  <c:v>2019</c:v>
                </c:pt>
                <c:pt idx="2">
                  <c:v>2020</c:v>
                </c:pt>
                <c:pt idx="3">
                  <c:v>2021</c:v>
                </c:pt>
                <c:pt idx="4">
                  <c:v>2022</c:v>
                </c:pt>
                <c:pt idx="5">
                  <c:v>2023</c:v>
                </c:pt>
                <c:pt idx="6">
                  <c:v>2024</c:v>
                </c:pt>
                <c:pt idx="7">
                  <c:v>2025</c:v>
                </c:pt>
              </c:numCache>
            </c:numRef>
          </c:cat>
          <c:val>
            <c:numRef>
              <c:f>'G 2.3.2'!$C$7:$L$7</c:f>
              <c:numCache>
                <c:formatCode>0</c:formatCode>
                <c:ptCount val="8"/>
                <c:pt idx="0">
                  <c:v>272.39999999999998</c:v>
                </c:pt>
                <c:pt idx="1">
                  <c:v>86.3</c:v>
                </c:pt>
                <c:pt idx="2">
                  <c:v>87.8</c:v>
                </c:pt>
                <c:pt idx="3">
                  <c:v>86.5</c:v>
                </c:pt>
                <c:pt idx="4">
                  <c:v>84.4</c:v>
                </c:pt>
                <c:pt idx="5">
                  <c:v>85.1</c:v>
                </c:pt>
                <c:pt idx="6">
                  <c:v>89.564999999999998</c:v>
                </c:pt>
                <c:pt idx="7">
                  <c:v>83.691659000000001</c:v>
                </c:pt>
              </c:numCache>
            </c:numRef>
          </c:val>
          <c:smooth val="0"/>
          <c:extLst>
            <c:ext xmlns:c16="http://schemas.microsoft.com/office/drawing/2014/chart" uri="{C3380CC4-5D6E-409C-BE32-E72D297353CC}">
              <c16:uniqueId val="{00000003-27C9-40BF-B0E2-E749B3112874}"/>
            </c:ext>
          </c:extLst>
        </c:ser>
        <c:dLbls>
          <c:showLegendKey val="0"/>
          <c:showVal val="0"/>
          <c:showCatName val="0"/>
          <c:showSerName val="0"/>
          <c:showPercent val="0"/>
          <c:showBubbleSize val="0"/>
        </c:dLbls>
        <c:marker val="1"/>
        <c:smooth val="0"/>
        <c:axId val="1089169200"/>
        <c:axId val="1089169680"/>
      </c:lineChart>
      <c:catAx>
        <c:axId val="1089169200"/>
        <c:scaling>
          <c:orientation val="minMax"/>
        </c:scaling>
        <c:delete val="0"/>
        <c:axPos val="b"/>
        <c:numFmt formatCode="General" sourceLinked="1"/>
        <c:majorTickMark val="none"/>
        <c:minorTickMark val="none"/>
        <c:tickLblPos val="nextTo"/>
        <c:spPr>
          <a:noFill/>
          <a:ln w="6350" cap="flat" cmpd="sng" algn="ctr">
            <a:solidFill>
              <a:schemeClr val="tx1">
                <a:lumMod val="65000"/>
                <a:lumOff val="3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089169680"/>
        <c:crosses val="autoZero"/>
        <c:auto val="1"/>
        <c:lblAlgn val="ctr"/>
        <c:lblOffset val="100"/>
        <c:noMultiLvlLbl val="0"/>
      </c:catAx>
      <c:valAx>
        <c:axId val="1089169680"/>
        <c:scaling>
          <c:orientation val="minMax"/>
        </c:scaling>
        <c:delete val="0"/>
        <c:axPos val="l"/>
        <c:majorGridlines>
          <c:spPr>
            <a:ln w="6350" cap="flat" cmpd="sng" algn="ctr">
              <a:solidFill>
                <a:schemeClr val="bg1">
                  <a:lumMod val="7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sz="800" b="0" i="0" u="none" strike="noStrike" kern="1200" baseline="0">
                    <a:solidFill>
                      <a:sysClr val="windowText" lastClr="000000">
                        <a:lumMod val="65000"/>
                        <a:lumOff val="35000"/>
                      </a:sysClr>
                    </a:solidFill>
                    <a:latin typeface="Arial" panose="020B0604020202020204" pitchFamily="34" charset="0"/>
                    <a:cs typeface="Arial" panose="020B0604020202020204" pitchFamily="34" charset="0"/>
                  </a:rPr>
                  <a:t>mil. m</a:t>
                </a:r>
                <a:r>
                  <a:rPr lang="cs-CZ" sz="800" b="0" i="0" u="none" strike="noStrike" kern="1200" baseline="30000">
                    <a:solidFill>
                      <a:sysClr val="windowText" lastClr="000000">
                        <a:lumMod val="65000"/>
                        <a:lumOff val="35000"/>
                      </a:sysClr>
                    </a:solidFill>
                    <a:effectLst/>
                    <a:latin typeface="Arial" panose="020B0604020202020204" pitchFamily="34" charset="0"/>
                    <a:cs typeface="Arial" panose="020B0604020202020204" pitchFamily="34" charset="0"/>
                  </a:rPr>
                  <a:t>3</a:t>
                </a:r>
                <a:r>
                  <a:rPr lang="cs-CZ" sz="800" b="0" i="0" u="none" strike="noStrike" kern="1200" baseline="0">
                    <a:solidFill>
                      <a:sysClr val="windowText" lastClr="000000">
                        <a:lumMod val="65000"/>
                        <a:lumOff val="35000"/>
                      </a:sysClr>
                    </a:solidFill>
                    <a:latin typeface="Arial" panose="020B0604020202020204" pitchFamily="34" charset="0"/>
                    <a:cs typeface="Arial" panose="020B0604020202020204" pitchFamily="34" charset="0"/>
                  </a:rPr>
                  <a:t>/ rok</a:t>
                </a:r>
                <a:endParaRPr lang="cs-CZ" sz="800" b="0" i="0" u="none" strike="noStrike" kern="1200" baseline="30000">
                  <a:solidFill>
                    <a:sysClr val="windowText" lastClr="000000">
                      <a:lumMod val="65000"/>
                      <a:lumOff val="35000"/>
                    </a:sysClr>
                  </a:solidFill>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title>
        <c:numFmt formatCode="0" sourceLinked="1"/>
        <c:majorTickMark val="in"/>
        <c:minorTickMark val="none"/>
        <c:tickLblPos val="nextTo"/>
        <c:spPr>
          <a:noFill/>
          <a:ln w="6350">
            <a:solidFill>
              <a:schemeClr val="tx1">
                <a:lumMod val="65000"/>
                <a:lumOff val="3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mn-cs"/>
              </a:defRPr>
            </a:pPr>
            <a:endParaRPr lang="cs-CZ"/>
          </a:p>
        </c:txPr>
        <c:crossAx val="1089169200"/>
        <c:crosses val="autoZero"/>
        <c:crossBetween val="between"/>
      </c:valAx>
      <c:spPr>
        <a:noFill/>
        <a:ln>
          <a:noFill/>
        </a:ln>
        <a:effectLst/>
      </c:spPr>
    </c:plotArea>
    <c:legend>
      <c:legendPos val="b"/>
      <c:layout>
        <c:manualLayout>
          <c:xMode val="edge"/>
          <c:yMode val="edge"/>
          <c:x val="8.3132633796523334E-3"/>
          <c:y val="0.86763618067789072"/>
          <c:w val="0.97700188932306109"/>
          <c:h val="0.10753289445814164"/>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3175" cap="flat" cmpd="sng" algn="ctr">
      <a:solidFill>
        <a:schemeClr val="bg1">
          <a:lumMod val="85000"/>
        </a:schemeClr>
      </a:solidFill>
      <a:round/>
    </a:ln>
    <a:effectLst/>
  </c:spPr>
  <c:txPr>
    <a:bodyPr/>
    <a:lstStyle/>
    <a:p>
      <a:pPr>
        <a:defRPr/>
      </a:pPr>
      <a:endParaRPr lang="cs-CZ"/>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9.091920635894897E-2"/>
          <c:y val="6.25E-2"/>
          <c:w val="0.81191764315492421"/>
          <c:h val="0.64880952380952406"/>
        </c:manualLayout>
      </c:layout>
      <c:barChart>
        <c:barDir val="col"/>
        <c:grouping val="clustered"/>
        <c:varyColors val="0"/>
        <c:ser>
          <c:idx val="0"/>
          <c:order val="0"/>
          <c:tx>
            <c:strRef>
              <c:f>'G 2.5.1'!$E$26</c:f>
              <c:strCache>
                <c:ptCount val="1"/>
                <c:pt idx="0">
                  <c:v>Čištěné odpadní vody včetně vod srážkových</c:v>
                </c:pt>
              </c:strCache>
            </c:strRef>
          </c:tx>
          <c:spPr>
            <a:solidFill>
              <a:schemeClr val="accent2">
                <a:lumMod val="50000"/>
              </a:schemeClr>
            </a:solidFill>
            <a:ln>
              <a:noFill/>
            </a:ln>
          </c:spPr>
          <c:invertIfNegative val="0"/>
          <c:cat>
            <c:numRef>
              <c:f>'G 2.5.1'!$F$25:$Q$25</c:f>
              <c:numCache>
                <c:formatCode>General</c:formatCode>
                <c:ptCount val="8"/>
                <c:pt idx="0">
                  <c:v>1989</c:v>
                </c:pt>
                <c:pt idx="1">
                  <c:v>2019</c:v>
                </c:pt>
                <c:pt idx="2">
                  <c:v>2020</c:v>
                </c:pt>
                <c:pt idx="3">
                  <c:v>2021</c:v>
                </c:pt>
                <c:pt idx="4">
                  <c:v>2022</c:v>
                </c:pt>
                <c:pt idx="5">
                  <c:v>2023</c:v>
                </c:pt>
                <c:pt idx="6">
                  <c:v>2024</c:v>
                </c:pt>
                <c:pt idx="7">
                  <c:v>2025</c:v>
                </c:pt>
              </c:numCache>
            </c:numRef>
          </c:cat>
          <c:val>
            <c:numRef>
              <c:f>'G 2.5.1'!$F$26:$Q$26</c:f>
              <c:numCache>
                <c:formatCode>General</c:formatCode>
                <c:ptCount val="8"/>
                <c:pt idx="0">
                  <c:v>897.4</c:v>
                </c:pt>
                <c:pt idx="1">
                  <c:v>792.6</c:v>
                </c:pt>
                <c:pt idx="2">
                  <c:v>863</c:v>
                </c:pt>
                <c:pt idx="3">
                  <c:v>878</c:v>
                </c:pt>
                <c:pt idx="4">
                  <c:v>799.7</c:v>
                </c:pt>
                <c:pt idx="5">
                  <c:v>869.3</c:v>
                </c:pt>
                <c:pt idx="6">
                  <c:v>943.8</c:v>
                </c:pt>
                <c:pt idx="7">
                  <c:v>839.72137999999995</c:v>
                </c:pt>
              </c:numCache>
            </c:numRef>
          </c:val>
          <c:extLst>
            <c:ext xmlns:c16="http://schemas.microsoft.com/office/drawing/2014/chart" uri="{C3380CC4-5D6E-409C-BE32-E72D297353CC}">
              <c16:uniqueId val="{00000000-B2CD-48DD-8ECE-8D7A18396F3C}"/>
            </c:ext>
          </c:extLst>
        </c:ser>
        <c:ser>
          <c:idx val="1"/>
          <c:order val="1"/>
          <c:tx>
            <c:strRef>
              <c:f>'G 2.5.1'!$E$27</c:f>
              <c:strCache>
                <c:ptCount val="1"/>
                <c:pt idx="0">
                  <c:v>Vypouštěné fakturované odpadní vody do kanalizace </c:v>
                </c:pt>
              </c:strCache>
            </c:strRef>
          </c:tx>
          <c:spPr>
            <a:solidFill>
              <a:schemeClr val="accent2"/>
            </a:solidFill>
            <a:ln>
              <a:noFill/>
            </a:ln>
          </c:spPr>
          <c:invertIfNegative val="0"/>
          <c:cat>
            <c:numRef>
              <c:f>'G 2.5.1'!$F$25:$Q$25</c:f>
              <c:numCache>
                <c:formatCode>General</c:formatCode>
                <c:ptCount val="8"/>
                <c:pt idx="0">
                  <c:v>1989</c:v>
                </c:pt>
                <c:pt idx="1">
                  <c:v>2019</c:v>
                </c:pt>
                <c:pt idx="2">
                  <c:v>2020</c:v>
                </c:pt>
                <c:pt idx="3">
                  <c:v>2021</c:v>
                </c:pt>
                <c:pt idx="4">
                  <c:v>2022</c:v>
                </c:pt>
                <c:pt idx="5">
                  <c:v>2023</c:v>
                </c:pt>
                <c:pt idx="6">
                  <c:v>2024</c:v>
                </c:pt>
                <c:pt idx="7">
                  <c:v>2025</c:v>
                </c:pt>
              </c:numCache>
            </c:numRef>
          </c:cat>
          <c:val>
            <c:numRef>
              <c:f>'G 2.5.1'!$F$27:$Q$27</c:f>
              <c:numCache>
                <c:formatCode>General</c:formatCode>
                <c:ptCount val="8"/>
                <c:pt idx="0">
                  <c:v>878.8</c:v>
                </c:pt>
                <c:pt idx="1">
                  <c:v>461.1</c:v>
                </c:pt>
                <c:pt idx="2">
                  <c:v>450.5</c:v>
                </c:pt>
                <c:pt idx="3">
                  <c:v>451.8</c:v>
                </c:pt>
                <c:pt idx="4">
                  <c:v>453</c:v>
                </c:pt>
                <c:pt idx="5">
                  <c:v>454.5</c:v>
                </c:pt>
                <c:pt idx="6">
                  <c:v>584.4</c:v>
                </c:pt>
                <c:pt idx="7">
                  <c:v>585.31162700000004</c:v>
                </c:pt>
              </c:numCache>
            </c:numRef>
          </c:val>
          <c:extLst>
            <c:ext xmlns:c16="http://schemas.microsoft.com/office/drawing/2014/chart" uri="{C3380CC4-5D6E-409C-BE32-E72D297353CC}">
              <c16:uniqueId val="{00000001-B2CD-48DD-8ECE-8D7A18396F3C}"/>
            </c:ext>
          </c:extLst>
        </c:ser>
        <c:dLbls>
          <c:showLegendKey val="0"/>
          <c:showVal val="0"/>
          <c:showCatName val="0"/>
          <c:showSerName val="0"/>
          <c:showPercent val="0"/>
          <c:showBubbleSize val="0"/>
        </c:dLbls>
        <c:gapWidth val="150"/>
        <c:axId val="1288470016"/>
        <c:axId val="1"/>
      </c:barChart>
      <c:barChart>
        <c:barDir val="col"/>
        <c:grouping val="clustered"/>
        <c:varyColors val="0"/>
        <c:ser>
          <c:idx val="2"/>
          <c:order val="2"/>
          <c:tx>
            <c:strRef>
              <c:f>'G 2.5.1'!$E$28</c:f>
              <c:strCache>
                <c:ptCount val="1"/>
                <c:pt idx="0">
                  <c:v>Počet obyvatel připojených na kanalizaci</c:v>
                </c:pt>
              </c:strCache>
            </c:strRef>
          </c:tx>
          <c:spPr>
            <a:solidFill>
              <a:srgbClr val="002060"/>
            </a:solidFill>
            <a:ln>
              <a:noFill/>
            </a:ln>
          </c:spPr>
          <c:invertIfNegative val="0"/>
          <c:cat>
            <c:numLit>
              <c:formatCode>General</c:formatCode>
              <c:ptCount val="8"/>
              <c:pt idx="0">
                <c:v>1989</c:v>
              </c:pt>
              <c:pt idx="1">
                <c:v>2013</c:v>
              </c:pt>
              <c:pt idx="2">
                <c:v>2014</c:v>
              </c:pt>
              <c:pt idx="3">
                <c:v>2015</c:v>
              </c:pt>
              <c:pt idx="4">
                <c:v>2016</c:v>
              </c:pt>
              <c:pt idx="5">
                <c:v>2017</c:v>
              </c:pt>
              <c:pt idx="6">
                <c:v>2018</c:v>
              </c:pt>
              <c:pt idx="7">
                <c:v>2019</c:v>
              </c:pt>
            </c:numLit>
          </c:cat>
          <c:val>
            <c:numRef>
              <c:f>'G 2.5.1'!$F$28:$Q$28</c:f>
              <c:numCache>
                <c:formatCode>#,##0</c:formatCode>
                <c:ptCount val="8"/>
                <c:pt idx="0">
                  <c:v>7501</c:v>
                </c:pt>
                <c:pt idx="1">
                  <c:v>9120</c:v>
                </c:pt>
                <c:pt idx="2">
                  <c:v>9211</c:v>
                </c:pt>
                <c:pt idx="3">
                  <c:v>9174</c:v>
                </c:pt>
                <c:pt idx="4">
                  <c:v>9191</c:v>
                </c:pt>
                <c:pt idx="5">
                  <c:v>9428</c:v>
                </c:pt>
                <c:pt idx="6">
                  <c:v>9831.982</c:v>
                </c:pt>
                <c:pt idx="7">
                  <c:v>9888.2880000000005</c:v>
                </c:pt>
              </c:numCache>
            </c:numRef>
          </c:val>
          <c:extLst>
            <c:ext xmlns:c16="http://schemas.microsoft.com/office/drawing/2014/chart" uri="{C3380CC4-5D6E-409C-BE32-E72D297353CC}">
              <c16:uniqueId val="{00000002-B2CD-48DD-8ECE-8D7A18396F3C}"/>
            </c:ext>
          </c:extLst>
        </c:ser>
        <c:dLbls>
          <c:showLegendKey val="0"/>
          <c:showVal val="0"/>
          <c:showCatName val="0"/>
          <c:showSerName val="0"/>
          <c:showPercent val="0"/>
          <c:showBubbleSize val="0"/>
        </c:dLbls>
        <c:gapWidth val="260"/>
        <c:axId val="3"/>
        <c:axId val="4"/>
      </c:barChart>
      <c:catAx>
        <c:axId val="1288470016"/>
        <c:scaling>
          <c:orientation val="minMax"/>
        </c:scaling>
        <c:delete val="0"/>
        <c:axPos val="b"/>
        <c:numFmt formatCode="General" sourceLinked="1"/>
        <c:majorTickMark val="none"/>
        <c:minorTickMark val="none"/>
        <c:tickLblPos val="nextTo"/>
        <c:txPr>
          <a:bodyPr rot="0" vert="horz"/>
          <a:lstStyle/>
          <a:p>
            <a:pPr>
              <a:defRPr sz="800" b="0" i="0" u="none" strike="noStrike" baseline="0">
                <a:solidFill>
                  <a:srgbClr val="000000"/>
                </a:solidFill>
                <a:latin typeface="Arial" panose="020B0604020202020204" pitchFamily="34" charset="0"/>
                <a:ea typeface="Calibri"/>
                <a:cs typeface="Arial" panose="020B0604020202020204" pitchFamily="34" charset="0"/>
              </a:defRPr>
            </a:pPr>
            <a:endParaRPr lang="cs-CZ"/>
          </a:p>
        </c:txPr>
        <c:crossAx val="1"/>
        <c:crosses val="autoZero"/>
        <c:auto val="1"/>
        <c:lblAlgn val="ctr"/>
        <c:lblOffset val="100"/>
        <c:tickLblSkip val="1"/>
        <c:tickMarkSkip val="1"/>
        <c:noMultiLvlLbl val="0"/>
      </c:catAx>
      <c:valAx>
        <c:axId val="1"/>
        <c:scaling>
          <c:orientation val="minMax"/>
          <c:max val="1000"/>
        </c:scaling>
        <c:delete val="0"/>
        <c:axPos val="l"/>
        <c:title>
          <c:tx>
            <c:rich>
              <a:bodyPr/>
              <a:lstStyle/>
              <a:p>
                <a:pPr>
                  <a:defRPr sz="800" b="0" i="0" u="none" strike="noStrike" baseline="0">
                    <a:solidFill>
                      <a:srgbClr val="000000"/>
                    </a:solidFill>
                    <a:latin typeface="Calibri" panose="020F0502020204030204" pitchFamily="34" charset="0"/>
                    <a:ea typeface="Calibri" panose="020F0502020204030204" pitchFamily="34" charset="0"/>
                    <a:cs typeface="Calibri" panose="020F0502020204030204" pitchFamily="34" charset="0"/>
                  </a:defRPr>
                </a:pPr>
                <a:r>
                  <a:rPr lang="cs-CZ" sz="800" b="0" i="0" u="none" strike="noStrike" baseline="0">
                    <a:solidFill>
                      <a:srgbClr val="000000"/>
                    </a:solidFill>
                    <a:latin typeface="Calibri" panose="020F0502020204030204" pitchFamily="34" charset="0"/>
                    <a:ea typeface="Calibri" panose="020F0502020204030204" pitchFamily="34" charset="0"/>
                    <a:cs typeface="Calibri" panose="020F0502020204030204" pitchFamily="34" charset="0"/>
                  </a:rPr>
                  <a:t>mil. m</a:t>
                </a:r>
                <a:r>
                  <a:rPr lang="cs-CZ" sz="800" b="0" i="0" u="none" strike="noStrike" baseline="30000">
                    <a:solidFill>
                      <a:srgbClr val="000000"/>
                    </a:solidFill>
                    <a:latin typeface="Calibri" panose="020F0502020204030204" pitchFamily="34" charset="0"/>
                    <a:ea typeface="Calibri" panose="020F0502020204030204" pitchFamily="34" charset="0"/>
                    <a:cs typeface="Calibri" panose="020F0502020204030204" pitchFamily="34" charset="0"/>
                  </a:rPr>
                  <a:t>3</a:t>
                </a:r>
                <a:r>
                  <a:rPr lang="cs-CZ" sz="800" b="0" i="0" u="none" strike="noStrike" baseline="0">
                    <a:solidFill>
                      <a:srgbClr val="000000"/>
                    </a:solidFill>
                    <a:latin typeface="Calibri" panose="020F0502020204030204" pitchFamily="34" charset="0"/>
                    <a:ea typeface="Calibri" panose="020F0502020204030204" pitchFamily="34" charset="0"/>
                    <a:cs typeface="Calibri" panose="020F0502020204030204" pitchFamily="34" charset="0"/>
                  </a:rPr>
                  <a:t> /rok</a:t>
                </a:r>
              </a:p>
            </c:rich>
          </c:tx>
          <c:layout>
            <c:manualLayout>
              <c:xMode val="edge"/>
              <c:yMode val="edge"/>
              <c:x val="1.8140211582187322E-2"/>
              <c:y val="0.28788948123694169"/>
            </c:manualLayout>
          </c:layout>
          <c:overlay val="0"/>
        </c:title>
        <c:numFmt formatCode="General" sourceLinked="1"/>
        <c:majorTickMark val="out"/>
        <c:minorTickMark val="none"/>
        <c:tickLblPos val="nextTo"/>
        <c:txPr>
          <a:bodyPr rot="0" vert="horz"/>
          <a:lstStyle/>
          <a:p>
            <a:pPr>
              <a:defRPr sz="800" b="0" i="0" u="none" strike="noStrike" baseline="0">
                <a:solidFill>
                  <a:srgbClr val="000000"/>
                </a:solidFill>
                <a:latin typeface="Arial" panose="020B0604020202020204" pitchFamily="34" charset="0"/>
                <a:ea typeface="Calibri"/>
                <a:cs typeface="Arial" panose="020B0604020202020204" pitchFamily="34" charset="0"/>
              </a:defRPr>
            </a:pPr>
            <a:endParaRPr lang="cs-CZ"/>
          </a:p>
        </c:txPr>
        <c:crossAx val="1288470016"/>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10000"/>
          <c:min val="7000"/>
        </c:scaling>
        <c:delete val="0"/>
        <c:axPos val="r"/>
        <c:majorGridlines>
          <c:spPr>
            <a:ln w="6350">
              <a:solidFill>
                <a:schemeClr val="bg1">
                  <a:lumMod val="85000"/>
                </a:schemeClr>
              </a:solidFill>
            </a:ln>
          </c:spPr>
        </c:majorGridlines>
        <c:title>
          <c:tx>
            <c:rich>
              <a:bodyPr/>
              <a:lstStyle/>
              <a:p>
                <a:pPr>
                  <a:defRPr sz="700" b="0" i="0" u="none" strike="noStrike" baseline="0">
                    <a:solidFill>
                      <a:srgbClr val="000000"/>
                    </a:solidFill>
                    <a:latin typeface="Arial" panose="020B0604020202020204" pitchFamily="34" charset="0"/>
                    <a:ea typeface="Calibri"/>
                    <a:cs typeface="Arial" panose="020B0604020202020204" pitchFamily="34" charset="0"/>
                  </a:defRPr>
                </a:pPr>
                <a:r>
                  <a:rPr lang="cs-CZ" sz="700">
                    <a:latin typeface="Arial" panose="020B0604020202020204" pitchFamily="34" charset="0"/>
                    <a:cs typeface="Arial" panose="020B0604020202020204" pitchFamily="34" charset="0"/>
                  </a:rPr>
                  <a:t>Obyvatelé připojení na kanalizaci v tisících</a:t>
                </a:r>
              </a:p>
            </c:rich>
          </c:tx>
          <c:layout>
            <c:manualLayout>
              <c:xMode val="edge"/>
              <c:yMode val="edge"/>
              <c:x val="0.96912742453154355"/>
              <c:y val="0.11951967760403887"/>
            </c:manualLayout>
          </c:layout>
          <c:overlay val="0"/>
        </c:title>
        <c:numFmt formatCode="#,##0" sourceLinked="1"/>
        <c:majorTickMark val="out"/>
        <c:minorTickMark val="none"/>
        <c:tickLblPos val="nextTo"/>
        <c:txPr>
          <a:bodyPr rot="0" vert="horz"/>
          <a:lstStyle/>
          <a:p>
            <a:pPr>
              <a:defRPr sz="800" b="0" i="0" u="none" strike="noStrike" baseline="0">
                <a:solidFill>
                  <a:srgbClr val="000000"/>
                </a:solidFill>
                <a:latin typeface="Arial" panose="020B0604020202020204" pitchFamily="34" charset="0"/>
                <a:ea typeface="Calibri"/>
                <a:cs typeface="Arial" panose="020B0604020202020204" pitchFamily="34" charset="0"/>
              </a:defRPr>
            </a:pPr>
            <a:endParaRPr lang="cs-CZ"/>
          </a:p>
        </c:txPr>
        <c:crossAx val="3"/>
        <c:crosses val="max"/>
        <c:crossBetween val="between"/>
        <c:majorUnit val="500"/>
      </c:valAx>
    </c:plotArea>
    <c:legend>
      <c:legendPos val="b"/>
      <c:legendEntry>
        <c:idx val="0"/>
        <c:txPr>
          <a:bodyPr/>
          <a:lstStyle/>
          <a:p>
            <a:pPr>
              <a:defRPr sz="700" b="0" i="0" u="none" strike="noStrike" baseline="0">
                <a:solidFill>
                  <a:srgbClr val="000000"/>
                </a:solidFill>
                <a:latin typeface="Arial" panose="020B0604020202020204" pitchFamily="34" charset="0"/>
                <a:ea typeface="Calibri" panose="020F0502020204030204" pitchFamily="34" charset="0"/>
                <a:cs typeface="Arial" panose="020B0604020202020204" pitchFamily="34" charset="0"/>
              </a:defRPr>
            </a:pPr>
            <a:endParaRPr lang="cs-CZ"/>
          </a:p>
        </c:txPr>
      </c:legendEntry>
      <c:legendEntry>
        <c:idx val="1"/>
        <c:txPr>
          <a:bodyPr/>
          <a:lstStyle/>
          <a:p>
            <a:pPr>
              <a:defRPr sz="700" b="0" i="0" u="none" strike="noStrike" baseline="0">
                <a:solidFill>
                  <a:srgbClr val="000000"/>
                </a:solidFill>
                <a:latin typeface="Arial" panose="020B0604020202020204" pitchFamily="34" charset="0"/>
                <a:ea typeface="Calibri" panose="020F0502020204030204" pitchFamily="34" charset="0"/>
                <a:cs typeface="Arial" panose="020B0604020202020204" pitchFamily="34" charset="0"/>
              </a:defRPr>
            </a:pPr>
            <a:endParaRPr lang="cs-CZ"/>
          </a:p>
        </c:txPr>
      </c:legendEntry>
      <c:legendEntry>
        <c:idx val="2"/>
        <c:txPr>
          <a:bodyPr/>
          <a:lstStyle/>
          <a:p>
            <a:pPr>
              <a:defRPr sz="700" b="0" i="0" u="none" strike="noStrike" baseline="0">
                <a:solidFill>
                  <a:srgbClr val="000000"/>
                </a:solidFill>
                <a:latin typeface="Arial" panose="020B0604020202020204" pitchFamily="34" charset="0"/>
                <a:ea typeface="Calibri" panose="020F0502020204030204" pitchFamily="34" charset="0"/>
                <a:cs typeface="Arial" panose="020B0604020202020204" pitchFamily="34" charset="0"/>
              </a:defRPr>
            </a:pPr>
            <a:endParaRPr lang="cs-CZ"/>
          </a:p>
        </c:txPr>
      </c:legendEntry>
      <c:layout>
        <c:manualLayout>
          <c:xMode val="edge"/>
          <c:yMode val="edge"/>
          <c:x val="5.7080486852403483E-3"/>
          <c:y val="0.7876618113953886"/>
          <c:w val="0.98748457957592406"/>
          <c:h val="0.1758943963365526"/>
        </c:manualLayout>
      </c:layout>
      <c:overlay val="0"/>
      <c:txPr>
        <a:bodyPr/>
        <a:lstStyle/>
        <a:p>
          <a:pPr>
            <a:defRPr sz="700" b="0" i="0" u="none" strike="noStrike" baseline="0">
              <a:solidFill>
                <a:srgbClr val="000000"/>
              </a:solidFill>
              <a:latin typeface="Arial" panose="020B0604020202020204" pitchFamily="34" charset="0"/>
              <a:ea typeface="Calibri" panose="020F0502020204030204" pitchFamily="34" charset="0"/>
              <a:cs typeface="Arial" panose="020B0604020202020204" pitchFamily="34" charset="0"/>
            </a:defRPr>
          </a:pPr>
          <a:endParaRPr lang="cs-CZ"/>
        </a:p>
      </c:txPr>
    </c:legend>
    <c:plotVisOnly val="1"/>
    <c:dispBlanksAs val="gap"/>
    <c:showDLblsOverMax val="0"/>
  </c:chart>
  <c:spPr>
    <a:ln w="3175">
      <a:solidFill>
        <a:schemeClr val="bg1">
          <a:lumMod val="85000"/>
        </a:schemeClr>
      </a:solidFill>
    </a:ln>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b="1"/>
              <a:t>celkem </a:t>
            </a:r>
            <a:endParaRPr lang="cs-CZ" b="1"/>
          </a:p>
          <a:p>
            <a:pPr>
              <a:defRPr b="1"/>
            </a:pPr>
            <a:r>
              <a:rPr lang="cs-CZ" b="1"/>
              <a:t>12,8 </a:t>
            </a:r>
            <a:r>
              <a:rPr lang="en-US" b="1"/>
              <a:t>mld. Kč</a:t>
            </a:r>
          </a:p>
        </c:rich>
      </c:tx>
      <c:layout>
        <c:manualLayout>
          <c:xMode val="edge"/>
          <c:yMode val="edge"/>
          <c:x val="0.22069542960022559"/>
          <c:y val="0.40740740740740738"/>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title>
    <c:autoTitleDeleted val="0"/>
    <c:plotArea>
      <c:layout>
        <c:manualLayout>
          <c:layoutTarget val="inner"/>
          <c:xMode val="edge"/>
          <c:yMode val="edge"/>
          <c:x val="9.7872063512722068E-2"/>
          <c:y val="9.8055555555555562E-2"/>
          <c:w val="0.49020628619769646"/>
          <c:h val="0.82381889763779548"/>
        </c:manualLayout>
      </c:layout>
      <c:doughnutChart>
        <c:varyColors val="1"/>
        <c:ser>
          <c:idx val="0"/>
          <c:order val="0"/>
          <c:dPt>
            <c:idx val="0"/>
            <c:bubble3D val="0"/>
            <c:spPr>
              <a:solidFill>
                <a:srgbClr val="00B0F0"/>
              </a:solidFill>
              <a:ln w="19050">
                <a:solidFill>
                  <a:schemeClr val="lt1"/>
                </a:solidFill>
              </a:ln>
              <a:effectLst/>
            </c:spPr>
            <c:extLst>
              <c:ext xmlns:c16="http://schemas.microsoft.com/office/drawing/2014/chart" uri="{C3380CC4-5D6E-409C-BE32-E72D297353CC}">
                <c16:uniqueId val="{00000001-7140-488E-BF9B-7060C51C1E91}"/>
              </c:ext>
            </c:extLst>
          </c:dPt>
          <c:dPt>
            <c:idx val="1"/>
            <c:bubble3D val="0"/>
            <c:spPr>
              <a:solidFill>
                <a:srgbClr val="92D050"/>
              </a:solidFill>
              <a:ln w="19050">
                <a:noFill/>
              </a:ln>
              <a:effectLst/>
            </c:spPr>
            <c:extLst>
              <c:ext xmlns:c16="http://schemas.microsoft.com/office/drawing/2014/chart" uri="{C3380CC4-5D6E-409C-BE32-E72D297353CC}">
                <c16:uniqueId val="{00000003-7140-488E-BF9B-7060C51C1E91}"/>
              </c:ext>
            </c:extLst>
          </c:dPt>
          <c:dPt>
            <c:idx val="2"/>
            <c:bubble3D val="0"/>
            <c:spPr>
              <a:pattFill prst="openDmnd">
                <a:fgClr>
                  <a:schemeClr val="tx1"/>
                </a:fgClr>
                <a:bgClr>
                  <a:schemeClr val="accent1">
                    <a:lumMod val="40000"/>
                    <a:lumOff val="60000"/>
                  </a:schemeClr>
                </a:bgClr>
              </a:pattFill>
              <a:ln w="19050">
                <a:solidFill>
                  <a:schemeClr val="lt1"/>
                </a:solidFill>
              </a:ln>
              <a:effectLst/>
            </c:spPr>
            <c:extLst>
              <c:ext xmlns:c16="http://schemas.microsoft.com/office/drawing/2014/chart" uri="{C3380CC4-5D6E-409C-BE32-E72D297353CC}">
                <c16:uniqueId val="{00000005-7140-488E-BF9B-7060C51C1E91}"/>
              </c:ext>
            </c:extLst>
          </c:dPt>
          <c:dLbls>
            <c:dLbl>
              <c:idx val="0"/>
              <c:tx>
                <c:rich>
                  <a:bodyPr/>
                  <a:lstStyle/>
                  <a:p>
                    <a:r>
                      <a:rPr lang="en-US"/>
                      <a:t>34 %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7140-488E-BF9B-7060C51C1E91}"/>
                </c:ext>
              </c:extLst>
            </c:dLbl>
            <c:dLbl>
              <c:idx val="1"/>
              <c:tx>
                <c:rich>
                  <a:bodyPr/>
                  <a:lstStyle/>
                  <a:p>
                    <a:r>
                      <a:rPr lang="en-US"/>
                      <a:t>60 %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7140-488E-BF9B-7060C51C1E91}"/>
                </c:ext>
              </c:extLst>
            </c:dLbl>
            <c:dLbl>
              <c:idx val="2"/>
              <c:tx>
                <c:rich>
                  <a:bodyPr rot="0" spcFirstLastPara="1" vertOverflow="ellipsis" vert="horz" wrap="square" anchor="ctr" anchorCtr="1"/>
                  <a:lstStyle/>
                  <a:p>
                    <a:pPr>
                      <a:defRPr sz="11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r>
                      <a:rPr lang="en-US"/>
                      <a:t>6 %</a:t>
                    </a:r>
                  </a:p>
                </c:rich>
              </c:tx>
              <c:numFmt formatCode="0.0\ %" sourceLinked="0"/>
              <c:spPr>
                <a:solidFill>
                  <a:schemeClr val="bg1"/>
                </a:solid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cs-CZ"/>
                </a:p>
              </c:txP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7140-488E-BF9B-7060C51C1E91}"/>
                </c:ext>
              </c:extLst>
            </c:dLbl>
            <c:numFmt formatCode="0.0\ %" sourceLinked="0"/>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cs-CZ"/>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'11.1.1'!$A$2:$A$4</c:f>
              <c:strCache>
                <c:ptCount val="3"/>
                <c:pt idx="0">
                  <c:v>Ministerstvo zemědělství</c:v>
                </c:pt>
                <c:pt idx="1">
                  <c:v>Ministerstvo životního prostředí</c:v>
                </c:pt>
                <c:pt idx="2">
                  <c:v>Ministerstvo dopravy</c:v>
                </c:pt>
              </c:strCache>
            </c:strRef>
          </c:cat>
          <c:val>
            <c:numRef>
              <c:f>'11.1.1'!$B$2:$B$4</c:f>
              <c:numCache>
                <c:formatCode>#,##0</c:formatCode>
                <c:ptCount val="3"/>
                <c:pt idx="0" formatCode="#,##0.00">
                  <c:v>4387</c:v>
                </c:pt>
                <c:pt idx="1">
                  <c:v>7662</c:v>
                </c:pt>
                <c:pt idx="2" formatCode="General">
                  <c:v>790</c:v>
                </c:pt>
              </c:numCache>
            </c:numRef>
          </c:val>
          <c:extLst>
            <c:ext xmlns:c16="http://schemas.microsoft.com/office/drawing/2014/chart" uri="{C3380CC4-5D6E-409C-BE32-E72D297353CC}">
              <c16:uniqueId val="{00000006-7140-488E-BF9B-7060C51C1E91}"/>
            </c:ext>
          </c:extLst>
        </c:ser>
        <c:dLbls>
          <c:showLegendKey val="0"/>
          <c:showVal val="1"/>
          <c:showCatName val="0"/>
          <c:showSerName val="0"/>
          <c:showPercent val="0"/>
          <c:showBubbleSize val="0"/>
          <c:showLeaderLines val="1"/>
        </c:dLbls>
        <c:firstSliceAng val="0"/>
        <c:holeSize val="65"/>
      </c:doughnutChart>
      <c:spPr>
        <a:noFill/>
        <a:ln>
          <a:noFill/>
        </a:ln>
        <a:effectLst/>
      </c:spPr>
    </c:plotArea>
    <c:legend>
      <c:legendPos val="b"/>
      <c:layout>
        <c:manualLayout>
          <c:xMode val="edge"/>
          <c:yMode val="edge"/>
          <c:x val="0.59545454545454546"/>
          <c:y val="0.31076334208223971"/>
          <c:w val="0.38760330578512397"/>
          <c:h val="0.4299773986585010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cs-CZ"/>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400"/>
              <a:t>celkem </a:t>
            </a:r>
            <a:endParaRPr lang="cs-CZ" sz="1400"/>
          </a:p>
          <a:p>
            <a:pPr>
              <a:defRPr sz="1400"/>
            </a:pPr>
            <a:r>
              <a:rPr lang="cs-CZ" sz="1400" baseline="0"/>
              <a:t>3,4 </a:t>
            </a:r>
            <a:r>
              <a:rPr lang="en-US" sz="1400"/>
              <a:t>mld. Kč</a:t>
            </a:r>
          </a:p>
        </c:rich>
      </c:tx>
      <c:layout>
        <c:manualLayout>
          <c:xMode val="edge"/>
          <c:yMode val="edge"/>
          <c:x val="0.22944271019377016"/>
          <c:y val="0.29829764492108168"/>
        </c:manualLayout>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title>
    <c:autoTitleDeleted val="0"/>
    <c:plotArea>
      <c:layout>
        <c:manualLayout>
          <c:layoutTarget val="inner"/>
          <c:xMode val="edge"/>
          <c:yMode val="edge"/>
          <c:x val="7.1398950131233596E-2"/>
          <c:y val="6.6406022163896183E-2"/>
          <c:w val="0.50281277340332453"/>
          <c:h val="0.83802128900554085"/>
        </c:manualLayout>
      </c:layout>
      <c:doughnutChart>
        <c:varyColors val="1"/>
        <c:ser>
          <c:idx val="0"/>
          <c:order val="0"/>
          <c:dPt>
            <c:idx val="0"/>
            <c:bubble3D val="0"/>
            <c:spPr>
              <a:solidFill>
                <a:srgbClr val="00B0F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BCE-41F9-9B04-E7548EE935A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BCE-41F9-9B04-E7548EE935A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BCE-41F9-9B04-E7548EE935A8}"/>
              </c:ext>
            </c:extLst>
          </c:dPt>
          <c:dLbls>
            <c:dLbl>
              <c:idx val="1"/>
              <c:layout>
                <c:manualLayout>
                  <c:x val="3.9447731755424063E-2"/>
                  <c:y val="-5.6830601092896164E-2"/>
                </c:manualLayout>
              </c:layout>
              <c:tx>
                <c:rich>
                  <a:bodyPr/>
                  <a:lstStyle/>
                  <a:p>
                    <a:r>
                      <a:rPr lang="en-US"/>
                      <a:t>3 %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3BCE-41F9-9B04-E7548EE935A8}"/>
                </c:ext>
              </c:extLst>
            </c:dLbl>
            <c:dLbl>
              <c:idx val="2"/>
              <c:tx>
                <c:rich>
                  <a:bodyPr/>
                  <a:lstStyle/>
                  <a:p>
                    <a:r>
                      <a:rPr lang="en-US"/>
                      <a:t>31 %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3BCE-41F9-9B04-E7548EE935A8}"/>
                </c:ext>
              </c:extLst>
            </c:dLbl>
            <c:numFmt formatCode="0.0\ %" sourceLinked="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'11.1.1'!$B$29:$B$31</c:f>
              <c:strCache>
                <c:ptCount val="3"/>
                <c:pt idx="0">
                  <c:v>Národní programy celkem</c:v>
                </c:pt>
                <c:pt idx="1">
                  <c:v>Operační program Rybářství 2021–2027</c:v>
                </c:pt>
                <c:pt idx="2">
                  <c:v>Program rozvoje venkova 2014–2022</c:v>
                </c:pt>
              </c:strCache>
            </c:strRef>
          </c:cat>
          <c:val>
            <c:numRef>
              <c:f>'11.1.1'!$C$29:$C$31</c:f>
              <c:numCache>
                <c:formatCode>General</c:formatCode>
                <c:ptCount val="3"/>
                <c:pt idx="0" formatCode="#,##0.00">
                  <c:v>2908.1770000000006</c:v>
                </c:pt>
                <c:pt idx="1">
                  <c:v>137.6</c:v>
                </c:pt>
                <c:pt idx="2">
                  <c:v>1341</c:v>
                </c:pt>
              </c:numCache>
            </c:numRef>
          </c:val>
          <c:extLst>
            <c:ext xmlns:c16="http://schemas.microsoft.com/office/drawing/2014/chart" uri="{C3380CC4-5D6E-409C-BE32-E72D297353CC}">
              <c16:uniqueId val="{00000006-3BCE-41F9-9B04-E7548EE935A8}"/>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61505533683289593"/>
          <c:y val="0.20047608632254302"/>
          <c:w val="0.36827799650043747"/>
          <c:h val="0.61756634587343251"/>
        </c:manualLayout>
      </c:layout>
      <c:overlay val="0"/>
      <c:spPr>
        <a:noFill/>
        <a:ln>
          <a:noFill/>
        </a:ln>
        <a:effectLst/>
      </c:spPr>
      <c:txPr>
        <a:bodyPr rot="0" spcFirstLastPara="1" vertOverflow="ellipsis" vert="horz" wrap="square" anchor="ctr" anchorCtr="1"/>
        <a:lstStyle/>
        <a:p>
          <a:pPr rtl="0">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cs-CZ"/>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chemeClr val="accent6">
                <a:lumMod val="60000"/>
                <a:lumOff val="40000"/>
              </a:schemeClr>
            </a:solidFill>
          </c:spPr>
          <c:dPt>
            <c:idx val="0"/>
            <c:bubble3D val="0"/>
            <c:spPr>
              <a:solidFill>
                <a:srgbClr val="92D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E8B-4FF5-A77F-05783E941643}"/>
              </c:ext>
            </c:extLst>
          </c:dPt>
          <c:dPt>
            <c:idx val="1"/>
            <c:bubble3D val="0"/>
            <c:spPr>
              <a:solidFill>
                <a:srgbClr val="00B0F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E8B-4FF5-A77F-05783E94164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cs-CZ"/>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List4!$B$2:$B$3</c:f>
              <c:strCache>
                <c:ptCount val="2"/>
                <c:pt idx="0">
                  <c:v>Ministerstvo životního prostředí - celkem</c:v>
                </c:pt>
                <c:pt idx="1">
                  <c:v>Státní fond životního prostředí ČR - poskytnutá podpora celkem</c:v>
                </c:pt>
              </c:strCache>
            </c:strRef>
          </c:cat>
          <c:val>
            <c:numRef>
              <c:f>List4!$C$2:$C$3</c:f>
              <c:numCache>
                <c:formatCode>0%</c:formatCode>
                <c:ptCount val="2"/>
                <c:pt idx="0">
                  <c:v>0.49</c:v>
                </c:pt>
                <c:pt idx="1">
                  <c:v>0.51</c:v>
                </c:pt>
              </c:numCache>
            </c:numRef>
          </c:val>
          <c:extLst>
            <c:ext xmlns:c16="http://schemas.microsoft.com/office/drawing/2014/chart" uri="{C3380CC4-5D6E-409C-BE32-E72D297353CC}">
              <c16:uniqueId val="{00000004-9E8B-4FF5-A77F-05783E941643}"/>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65894035972776133"/>
          <c:y val="0.33546158167928691"/>
          <c:w val="0.32374362295622144"/>
          <c:h val="0.4332129947453415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3">
    <c:autoUpdate val="0"/>
  </c:externalData>
  <c:userShapes r:id="rId4"/>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Vývoj příjmů z poplatků</a:t>
            </a:r>
            <a:r>
              <a:rPr lang="cs-CZ" baseline="0"/>
              <a:t> ve složce</a:t>
            </a:r>
          </a:p>
          <a:p>
            <a:pPr>
              <a:defRPr/>
            </a:pPr>
            <a:r>
              <a:rPr lang="cs-CZ" baseline="0"/>
              <a:t>Odpadní voda (tis. Kč)</a:t>
            </a:r>
            <a:endParaRPr lang="cs-C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1"/>
          <c:order val="0"/>
          <c:tx>
            <c:strRef>
              <c:f>'List1 (2)'!$C$2</c:f>
              <c:strCache>
                <c:ptCount val="1"/>
                <c:pt idx="0">
                  <c:v>rok 2023</c:v>
                </c:pt>
              </c:strCache>
            </c:strRef>
          </c:tx>
          <c:spPr>
            <a:solidFill>
              <a:schemeClr val="accent2"/>
            </a:solidFill>
            <a:ln>
              <a:noFill/>
            </a:ln>
            <a:effectLst/>
          </c:spPr>
          <c:invertIfNegative val="0"/>
          <c:cat>
            <c:strRef>
              <c:f>'List1 (2)'!$A$3:$A$14</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'List1 (2)'!$C$3:$C$14</c:f>
              <c:numCache>
                <c:formatCode>#,##0.00</c:formatCode>
                <c:ptCount val="12"/>
                <c:pt idx="0">
                  <c:v>281.39999999999998</c:v>
                </c:pt>
                <c:pt idx="1">
                  <c:v>366.3</c:v>
                </c:pt>
                <c:pt idx="2">
                  <c:v>366.3</c:v>
                </c:pt>
                <c:pt idx="3">
                  <c:v>31548.1</c:v>
                </c:pt>
                <c:pt idx="4">
                  <c:v>80611.600000000006</c:v>
                </c:pt>
                <c:pt idx="5">
                  <c:v>135524.1</c:v>
                </c:pt>
                <c:pt idx="6">
                  <c:v>188892.5</c:v>
                </c:pt>
                <c:pt idx="7">
                  <c:v>190278.39999999999</c:v>
                </c:pt>
                <c:pt idx="8">
                  <c:v>192310.5</c:v>
                </c:pt>
                <c:pt idx="9">
                  <c:v>192568.1</c:v>
                </c:pt>
                <c:pt idx="10">
                  <c:v>192638.7</c:v>
                </c:pt>
                <c:pt idx="11">
                  <c:v>192766</c:v>
                </c:pt>
              </c:numCache>
            </c:numRef>
          </c:val>
          <c:extLst>
            <c:ext xmlns:c16="http://schemas.microsoft.com/office/drawing/2014/chart" uri="{C3380CC4-5D6E-409C-BE32-E72D297353CC}">
              <c16:uniqueId val="{00000000-AAE0-445D-8705-842FF211506A}"/>
            </c:ext>
          </c:extLst>
        </c:ser>
        <c:ser>
          <c:idx val="2"/>
          <c:order val="1"/>
          <c:tx>
            <c:strRef>
              <c:f>'List1 (2)'!$D$2</c:f>
              <c:strCache>
                <c:ptCount val="1"/>
                <c:pt idx="0">
                  <c:v>rok 2024</c:v>
                </c:pt>
              </c:strCache>
            </c:strRef>
          </c:tx>
          <c:spPr>
            <a:solidFill>
              <a:schemeClr val="accent3"/>
            </a:solidFill>
            <a:ln>
              <a:noFill/>
            </a:ln>
            <a:effectLst/>
          </c:spPr>
          <c:invertIfNegative val="0"/>
          <c:cat>
            <c:strRef>
              <c:f>'List1 (2)'!$A$3:$A$14</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'List1 (2)'!$D$3:$D$14</c:f>
              <c:numCache>
                <c:formatCode>#,##0.00</c:formatCode>
                <c:ptCount val="12"/>
                <c:pt idx="0">
                  <c:v>3341</c:v>
                </c:pt>
                <c:pt idx="1">
                  <c:v>3341</c:v>
                </c:pt>
                <c:pt idx="2">
                  <c:v>9592.2000000000007</c:v>
                </c:pt>
                <c:pt idx="3">
                  <c:v>99604.7</c:v>
                </c:pt>
                <c:pt idx="4">
                  <c:v>169143.7</c:v>
                </c:pt>
                <c:pt idx="5">
                  <c:v>179635.20000000001</c:v>
                </c:pt>
                <c:pt idx="6">
                  <c:v>179942</c:v>
                </c:pt>
                <c:pt idx="7">
                  <c:v>180372</c:v>
                </c:pt>
                <c:pt idx="8">
                  <c:v>180485</c:v>
                </c:pt>
                <c:pt idx="9">
                  <c:v>180579</c:v>
                </c:pt>
                <c:pt idx="10">
                  <c:v>181567.4</c:v>
                </c:pt>
                <c:pt idx="11">
                  <c:v>181567.4</c:v>
                </c:pt>
              </c:numCache>
            </c:numRef>
          </c:val>
          <c:extLst>
            <c:ext xmlns:c16="http://schemas.microsoft.com/office/drawing/2014/chart" uri="{C3380CC4-5D6E-409C-BE32-E72D297353CC}">
              <c16:uniqueId val="{00000001-AAE0-445D-8705-842FF211506A}"/>
            </c:ext>
          </c:extLst>
        </c:ser>
        <c:ser>
          <c:idx val="3"/>
          <c:order val="2"/>
          <c:tx>
            <c:strRef>
              <c:f>'List1 (2)'!$E$2</c:f>
              <c:strCache>
                <c:ptCount val="1"/>
                <c:pt idx="0">
                  <c:v>rok 2025</c:v>
                </c:pt>
              </c:strCache>
            </c:strRef>
          </c:tx>
          <c:spPr>
            <a:solidFill>
              <a:schemeClr val="accent4"/>
            </a:solidFill>
            <a:ln>
              <a:noFill/>
            </a:ln>
            <a:effectLst/>
          </c:spPr>
          <c:invertIfNegative val="0"/>
          <c:cat>
            <c:strRef>
              <c:f>'List1 (2)'!$A$3:$A$14</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'List1 (2)'!$E$3:$E$14</c:f>
              <c:numCache>
                <c:formatCode>#,##0.00</c:formatCode>
                <c:ptCount val="12"/>
                <c:pt idx="0">
                  <c:v>550.29999999999995</c:v>
                </c:pt>
                <c:pt idx="1">
                  <c:v>561.20000000000005</c:v>
                </c:pt>
                <c:pt idx="2">
                  <c:v>2372</c:v>
                </c:pt>
                <c:pt idx="3">
                  <c:v>77101.5</c:v>
                </c:pt>
                <c:pt idx="4">
                  <c:v>162133</c:v>
                </c:pt>
                <c:pt idx="5">
                  <c:v>183827.8</c:v>
                </c:pt>
                <c:pt idx="6">
                  <c:v>190020</c:v>
                </c:pt>
                <c:pt idx="7">
                  <c:v>191656</c:v>
                </c:pt>
                <c:pt idx="8">
                  <c:v>192495</c:v>
                </c:pt>
                <c:pt idx="9">
                  <c:v>192880</c:v>
                </c:pt>
                <c:pt idx="10">
                  <c:v>193052</c:v>
                </c:pt>
                <c:pt idx="11">
                  <c:v>193190</c:v>
                </c:pt>
              </c:numCache>
            </c:numRef>
          </c:val>
          <c:extLst>
            <c:ext xmlns:c16="http://schemas.microsoft.com/office/drawing/2014/chart" uri="{C3380CC4-5D6E-409C-BE32-E72D297353CC}">
              <c16:uniqueId val="{00000002-AAE0-445D-8705-842FF211506A}"/>
            </c:ext>
          </c:extLst>
        </c:ser>
        <c:dLbls>
          <c:showLegendKey val="0"/>
          <c:showVal val="0"/>
          <c:showCatName val="0"/>
          <c:showSerName val="0"/>
          <c:showPercent val="0"/>
          <c:showBubbleSize val="0"/>
        </c:dLbls>
        <c:gapWidth val="150"/>
        <c:axId val="573511752"/>
        <c:axId val="978803176"/>
      </c:barChart>
      <c:lineChart>
        <c:grouping val="standard"/>
        <c:varyColors val="0"/>
        <c:ser>
          <c:idx val="4"/>
          <c:order val="3"/>
          <c:tx>
            <c:strRef>
              <c:f>'List1 (2)'!$F$2</c:f>
              <c:strCache>
                <c:ptCount val="1"/>
                <c:pt idx="0">
                  <c:v>rozpočet  2025</c:v>
                </c:pt>
              </c:strCache>
            </c:strRef>
          </c:tx>
          <c:spPr>
            <a:ln w="28575" cap="rnd">
              <a:solidFill>
                <a:schemeClr val="accent5"/>
              </a:solidFill>
              <a:round/>
            </a:ln>
            <a:effectLst/>
          </c:spPr>
          <c:marker>
            <c:symbol val="none"/>
          </c:marker>
          <c:cat>
            <c:strRef>
              <c:f>'List1 (2)'!$A$3:$A$14</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'List1 (2)'!$F$3:$F$14</c:f>
              <c:numCache>
                <c:formatCode>#,##0.00</c:formatCode>
                <c:ptCount val="12"/>
                <c:pt idx="0">
                  <c:v>0</c:v>
                </c:pt>
                <c:pt idx="1">
                  <c:v>0</c:v>
                </c:pt>
                <c:pt idx="2">
                  <c:v>5250</c:v>
                </c:pt>
                <c:pt idx="3">
                  <c:v>94500</c:v>
                </c:pt>
                <c:pt idx="4">
                  <c:v>164500</c:v>
                </c:pt>
                <c:pt idx="5">
                  <c:v>175000</c:v>
                </c:pt>
                <c:pt idx="6">
                  <c:v>175000</c:v>
                </c:pt>
                <c:pt idx="7">
                  <c:v>175000</c:v>
                </c:pt>
                <c:pt idx="8">
                  <c:v>175000</c:v>
                </c:pt>
                <c:pt idx="9">
                  <c:v>175000</c:v>
                </c:pt>
                <c:pt idx="10">
                  <c:v>175000</c:v>
                </c:pt>
                <c:pt idx="11">
                  <c:v>175000</c:v>
                </c:pt>
              </c:numCache>
            </c:numRef>
          </c:val>
          <c:smooth val="0"/>
          <c:extLst>
            <c:ext xmlns:c16="http://schemas.microsoft.com/office/drawing/2014/chart" uri="{C3380CC4-5D6E-409C-BE32-E72D297353CC}">
              <c16:uniqueId val="{00000003-AAE0-445D-8705-842FF211506A}"/>
            </c:ext>
          </c:extLst>
        </c:ser>
        <c:dLbls>
          <c:showLegendKey val="0"/>
          <c:showVal val="0"/>
          <c:showCatName val="0"/>
          <c:showSerName val="0"/>
          <c:showPercent val="0"/>
          <c:showBubbleSize val="0"/>
        </c:dLbls>
        <c:marker val="1"/>
        <c:smooth val="0"/>
        <c:axId val="573511752"/>
        <c:axId val="978803176"/>
      </c:lineChart>
      <c:catAx>
        <c:axId val="573511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978803176"/>
        <c:crosses val="autoZero"/>
        <c:auto val="1"/>
        <c:lblAlgn val="ctr"/>
        <c:lblOffset val="100"/>
        <c:noMultiLvlLbl val="0"/>
      </c:catAx>
      <c:valAx>
        <c:axId val="978803176"/>
        <c:scaling>
          <c:orientation val="minMax"/>
          <c:max val="25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73511752"/>
        <c:crosses val="autoZero"/>
        <c:crossBetween val="between"/>
        <c:majorUnit val="50000"/>
        <c:minorUnit val="10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'grafy nové'!$A$25</c:f>
              <c:strCache>
                <c:ptCount val="1"/>
                <c:pt idx="0">
                  <c:v>Celkem</c:v>
                </c:pt>
              </c:strCache>
            </c:strRef>
          </c:tx>
          <c:spPr>
            <a:solidFill>
              <a:schemeClr val="accent5">
                <a:lumMod val="60000"/>
                <a:lumOff val="40000"/>
              </a:schemeClr>
            </a:solidFill>
            <a:ln>
              <a:solidFill>
                <a:schemeClr val="accent5">
                  <a:lumMod val="50000"/>
                </a:schemeClr>
              </a:solidFill>
            </a:ln>
          </c:spPr>
          <c:invertIfNegative val="0"/>
          <c:cat>
            <c:numRef>
              <c:f>'grafy nové'!$B$19:$AU$19</c:f>
              <c:numCache>
                <c:formatCode>0</c:formatCode>
                <c:ptCount val="46"/>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pt idx="32">
                  <c:v>2012</c:v>
                </c:pt>
                <c:pt idx="33">
                  <c:v>2013</c:v>
                </c:pt>
                <c:pt idx="34">
                  <c:v>2014</c:v>
                </c:pt>
                <c:pt idx="35">
                  <c:v>2015</c:v>
                </c:pt>
                <c:pt idx="36">
                  <c:v>2016</c:v>
                </c:pt>
                <c:pt idx="37">
                  <c:v>2017</c:v>
                </c:pt>
                <c:pt idx="38">
                  <c:v>2018</c:v>
                </c:pt>
                <c:pt idx="39">
                  <c:v>2019</c:v>
                </c:pt>
                <c:pt idx="40" formatCode="0_)">
                  <c:v>2020</c:v>
                </c:pt>
                <c:pt idx="41" formatCode="0_)">
                  <c:v>2021</c:v>
                </c:pt>
                <c:pt idx="42" formatCode="0_)">
                  <c:v>2022</c:v>
                </c:pt>
                <c:pt idx="43" formatCode="0_)">
                  <c:v>2023</c:v>
                </c:pt>
                <c:pt idx="44" formatCode="0_)">
                  <c:v>2024</c:v>
                </c:pt>
                <c:pt idx="45" formatCode="General_)">
                  <c:v>2025</c:v>
                </c:pt>
              </c:numCache>
            </c:numRef>
          </c:cat>
          <c:val>
            <c:numRef>
              <c:f>'grafy nové'!$B$25:$AU$25</c:f>
              <c:numCache>
                <c:formatCode>General_)</c:formatCode>
                <c:ptCount val="46"/>
                <c:pt idx="0">
                  <c:v>545.29999999999984</c:v>
                </c:pt>
                <c:pt idx="1">
                  <c:v>560.29999999999995</c:v>
                </c:pt>
                <c:pt idx="2">
                  <c:v>567.9</c:v>
                </c:pt>
                <c:pt idx="3">
                  <c:v>568.4</c:v>
                </c:pt>
                <c:pt idx="4">
                  <c:v>557.59999999999991</c:v>
                </c:pt>
                <c:pt idx="5">
                  <c:v>566.00000000000011</c:v>
                </c:pt>
                <c:pt idx="6">
                  <c:v>591.4</c:v>
                </c:pt>
                <c:pt idx="7">
                  <c:v>614.19999999999993</c:v>
                </c:pt>
                <c:pt idx="8">
                  <c:v>624.20000000000005</c:v>
                </c:pt>
                <c:pt idx="9">
                  <c:v>623.49999999999989</c:v>
                </c:pt>
                <c:pt idx="10">
                  <c:v>608.4</c:v>
                </c:pt>
                <c:pt idx="11">
                  <c:v>567.80000000000007</c:v>
                </c:pt>
                <c:pt idx="12">
                  <c:v>561.4</c:v>
                </c:pt>
                <c:pt idx="13">
                  <c:v>534.19999999999993</c:v>
                </c:pt>
                <c:pt idx="14">
                  <c:v>500.90000000000003</c:v>
                </c:pt>
                <c:pt idx="15">
                  <c:v>496.79999999999995</c:v>
                </c:pt>
                <c:pt idx="16">
                  <c:v>488.8</c:v>
                </c:pt>
                <c:pt idx="17">
                  <c:v>466.4</c:v>
                </c:pt>
                <c:pt idx="18">
                  <c:v>454.50689999999997</c:v>
                </c:pt>
                <c:pt idx="19">
                  <c:v>450.79999999999995</c:v>
                </c:pt>
                <c:pt idx="20">
                  <c:v>441.2</c:v>
                </c:pt>
                <c:pt idx="21">
                  <c:v>433.90000000000003</c:v>
                </c:pt>
                <c:pt idx="22" formatCode="0.0_)">
                  <c:v>423.99999999999994</c:v>
                </c:pt>
                <c:pt idx="23" formatCode="0.0_)">
                  <c:v>421.00000000000006</c:v>
                </c:pt>
                <c:pt idx="24" formatCode="0.0_)">
                  <c:v>401.9</c:v>
                </c:pt>
                <c:pt idx="25" formatCode="0.0_)">
                  <c:v>384.80000000000007</c:v>
                </c:pt>
                <c:pt idx="26" formatCode="0.0_)">
                  <c:v>379.29999999999995</c:v>
                </c:pt>
                <c:pt idx="27" formatCode="0.0_)">
                  <c:v>380.5</c:v>
                </c:pt>
                <c:pt idx="28" formatCode="0.0_)">
                  <c:v>381.3</c:v>
                </c:pt>
                <c:pt idx="29" formatCode="0.0_)">
                  <c:v>376.59999999999997</c:v>
                </c:pt>
                <c:pt idx="30" formatCode="0.0_)">
                  <c:v>377.59999999999997</c:v>
                </c:pt>
                <c:pt idx="31" formatCode="0.0_)">
                  <c:v>379</c:v>
                </c:pt>
                <c:pt idx="32" formatCode="0.0_)">
                  <c:v>379.4</c:v>
                </c:pt>
                <c:pt idx="33" formatCode="0.0_)">
                  <c:v>371.2</c:v>
                </c:pt>
                <c:pt idx="34" formatCode="0.0_)">
                  <c:v>361</c:v>
                </c:pt>
                <c:pt idx="35" formatCode="0.0_)">
                  <c:v>366.4</c:v>
                </c:pt>
                <c:pt idx="36" formatCode="0.0_)">
                  <c:v>362.8</c:v>
                </c:pt>
                <c:pt idx="37" formatCode="0.0_)">
                  <c:v>369.40000000000003</c:v>
                </c:pt>
                <c:pt idx="38" formatCode="0.000">
                  <c:v>370.38000000000005</c:v>
                </c:pt>
                <c:pt idx="39" formatCode="0.0_)">
                  <c:v>359.29999999999995</c:v>
                </c:pt>
                <c:pt idx="40" formatCode="0.0_)">
                  <c:v>354.89999999999992</c:v>
                </c:pt>
                <c:pt idx="41" formatCode="0.0_)">
                  <c:v>362.1</c:v>
                </c:pt>
                <c:pt idx="42" formatCode="0.0_)">
                  <c:v>356.5</c:v>
                </c:pt>
                <c:pt idx="43" formatCode="0.0">
                  <c:v>357.69999999999993</c:v>
                </c:pt>
                <c:pt idx="44">
                  <c:v>364.97</c:v>
                </c:pt>
                <c:pt idx="45">
                  <c:v>364.9</c:v>
                </c:pt>
              </c:numCache>
            </c:numRef>
          </c:val>
          <c:extLst>
            <c:ext xmlns:c16="http://schemas.microsoft.com/office/drawing/2014/chart" uri="{C3380CC4-5D6E-409C-BE32-E72D297353CC}">
              <c16:uniqueId val="{00000000-3C2C-4B1C-9509-EC187D239543}"/>
            </c:ext>
          </c:extLst>
        </c:ser>
        <c:dLbls>
          <c:showLegendKey val="0"/>
          <c:showVal val="0"/>
          <c:showCatName val="0"/>
          <c:showSerName val="0"/>
          <c:showPercent val="0"/>
          <c:showBubbleSize val="0"/>
        </c:dLbls>
        <c:gapWidth val="0"/>
        <c:axId val="1405239776"/>
        <c:axId val="1"/>
      </c:barChart>
      <c:catAx>
        <c:axId val="1405239776"/>
        <c:scaling>
          <c:orientation val="minMax"/>
        </c:scaling>
        <c:delete val="0"/>
        <c:axPos val="b"/>
        <c:numFmt formatCode="0" sourceLinked="0"/>
        <c:majorTickMark val="none"/>
        <c:minorTickMark val="none"/>
        <c:tickLblPos val="nextTo"/>
        <c:txPr>
          <a:bodyPr rot="-5400000" vert="horz"/>
          <a:lstStyle/>
          <a:p>
            <a:pPr>
              <a:defRPr sz="900" b="0" i="0" u="none" strike="noStrike" baseline="0">
                <a:solidFill>
                  <a:srgbClr val="000000"/>
                </a:solidFill>
                <a:latin typeface="Arial"/>
                <a:ea typeface="Arial"/>
                <a:cs typeface="Arial"/>
              </a:defRPr>
            </a:pPr>
            <a:endParaRPr lang="cs-CZ"/>
          </a:p>
        </c:txPr>
        <c:crossAx val="1"/>
        <c:crosses val="autoZero"/>
        <c:auto val="1"/>
        <c:lblAlgn val="ctr"/>
        <c:lblOffset val="100"/>
        <c:tickLblSkip val="1"/>
        <c:noMultiLvlLbl val="0"/>
      </c:catAx>
      <c:valAx>
        <c:axId val="1"/>
        <c:scaling>
          <c:orientation val="minMax"/>
        </c:scaling>
        <c:delete val="0"/>
        <c:axPos val="l"/>
        <c:majorGridlines/>
        <c:title>
          <c:tx>
            <c:rich>
              <a:bodyPr/>
              <a:lstStyle/>
              <a:p>
                <a:pPr>
                  <a:defRPr sz="1100" b="0" i="0" u="none" strike="noStrike" baseline="0">
                    <a:solidFill>
                      <a:srgbClr val="000000"/>
                    </a:solidFill>
                    <a:latin typeface="Aptos Narrow"/>
                    <a:ea typeface="Aptos Narrow"/>
                    <a:cs typeface="Aptos Narrow"/>
                  </a:defRPr>
                </a:pPr>
                <a:r>
                  <a:rPr lang="cs-CZ" sz="900" b="1" i="0" u="none" strike="noStrike" baseline="0">
                    <a:solidFill>
                      <a:srgbClr val="000000"/>
                    </a:solidFill>
                    <a:latin typeface="Arial"/>
                    <a:cs typeface="Arial"/>
                  </a:rPr>
                  <a:t>mil. m</a:t>
                </a:r>
                <a:r>
                  <a:rPr lang="cs-CZ" sz="900" b="1" i="0" u="none" strike="noStrike" baseline="30000">
                    <a:solidFill>
                      <a:srgbClr val="000000"/>
                    </a:solidFill>
                    <a:latin typeface="Arial"/>
                    <a:cs typeface="Arial"/>
                  </a:rPr>
                  <a:t>3</a:t>
                </a:r>
              </a:p>
            </c:rich>
          </c:tx>
          <c:overlay val="0"/>
        </c:title>
        <c:numFmt formatCode="#,##0" sourceLinked="0"/>
        <c:majorTickMark val="none"/>
        <c:minorTickMark val="none"/>
        <c:tickLblPos val="nextTo"/>
        <c:txPr>
          <a:bodyPr rot="0" vert="horz"/>
          <a:lstStyle/>
          <a:p>
            <a:pPr>
              <a:defRPr sz="900" b="0" i="0" u="none" strike="noStrike" baseline="0">
                <a:solidFill>
                  <a:srgbClr val="000000"/>
                </a:solidFill>
                <a:latin typeface="Arial"/>
                <a:ea typeface="Arial"/>
                <a:cs typeface="Arial"/>
              </a:defRPr>
            </a:pPr>
            <a:endParaRPr lang="cs-CZ"/>
          </a:p>
        </c:txPr>
        <c:crossAx val="1405239776"/>
        <c:crosses val="autoZero"/>
        <c:crossBetween val="between"/>
      </c:valAx>
    </c:plotArea>
    <c:plotVisOnly val="1"/>
    <c:dispBlanksAs val="gap"/>
    <c:showDLblsOverMax val="0"/>
  </c:chart>
  <c:txPr>
    <a:bodyPr/>
    <a:lstStyle/>
    <a:p>
      <a:pPr>
        <a:defRPr sz="900" b="0" i="0" u="none" strike="noStrike" baseline="0">
          <a:solidFill>
            <a:srgbClr val="000000"/>
          </a:solidFill>
          <a:latin typeface="Arial"/>
          <a:ea typeface="Arial"/>
          <a:cs typeface="Arial"/>
        </a:defRPr>
      </a:pPr>
      <a:endParaRPr lang="cs-CZ"/>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Vývoj příjmů z</a:t>
            </a:r>
            <a:r>
              <a:rPr lang="cs-CZ" baseline="0"/>
              <a:t> poplatků ve složce </a:t>
            </a:r>
          </a:p>
          <a:p>
            <a:pPr>
              <a:defRPr/>
            </a:pPr>
            <a:r>
              <a:rPr lang="cs-CZ" baseline="0"/>
              <a:t>Podzemní voda (tis. Kč)</a:t>
            </a:r>
            <a:endParaRPr lang="cs-C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1"/>
          <c:order val="0"/>
          <c:tx>
            <c:strRef>
              <c:f>'List1 (2)'!$C$19</c:f>
              <c:strCache>
                <c:ptCount val="1"/>
                <c:pt idx="0">
                  <c:v>rok 2023</c:v>
                </c:pt>
              </c:strCache>
            </c:strRef>
          </c:tx>
          <c:spPr>
            <a:solidFill>
              <a:schemeClr val="accent2"/>
            </a:solidFill>
            <a:ln>
              <a:noFill/>
            </a:ln>
            <a:effectLst/>
          </c:spPr>
          <c:invertIfNegative val="0"/>
          <c:cat>
            <c:strRef>
              <c:f>'List1 (2)'!$A$20:$A$31</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'List1 (2)'!$C$20:$C$31</c:f>
              <c:numCache>
                <c:formatCode>#,##0.00</c:formatCode>
                <c:ptCount val="12"/>
                <c:pt idx="0">
                  <c:v>33.700000000000003</c:v>
                </c:pt>
                <c:pt idx="1">
                  <c:v>103.9</c:v>
                </c:pt>
                <c:pt idx="2">
                  <c:v>334.6</c:v>
                </c:pt>
                <c:pt idx="3">
                  <c:v>104173.3</c:v>
                </c:pt>
                <c:pt idx="4">
                  <c:v>244294.9</c:v>
                </c:pt>
                <c:pt idx="5">
                  <c:v>346936.3</c:v>
                </c:pt>
                <c:pt idx="6">
                  <c:v>352880.3</c:v>
                </c:pt>
                <c:pt idx="7">
                  <c:v>355128.6</c:v>
                </c:pt>
                <c:pt idx="8">
                  <c:v>356087.1</c:v>
                </c:pt>
                <c:pt idx="9">
                  <c:v>356208.2</c:v>
                </c:pt>
                <c:pt idx="10">
                  <c:v>356407.8</c:v>
                </c:pt>
                <c:pt idx="11">
                  <c:v>356408</c:v>
                </c:pt>
              </c:numCache>
            </c:numRef>
          </c:val>
          <c:extLst>
            <c:ext xmlns:c16="http://schemas.microsoft.com/office/drawing/2014/chart" uri="{C3380CC4-5D6E-409C-BE32-E72D297353CC}">
              <c16:uniqueId val="{00000000-9CD1-4CC0-93ED-10CC701FA054}"/>
            </c:ext>
          </c:extLst>
        </c:ser>
        <c:ser>
          <c:idx val="2"/>
          <c:order val="1"/>
          <c:tx>
            <c:strRef>
              <c:f>'List1 (2)'!$D$19</c:f>
              <c:strCache>
                <c:ptCount val="1"/>
                <c:pt idx="0">
                  <c:v>rok 2024</c:v>
                </c:pt>
              </c:strCache>
            </c:strRef>
          </c:tx>
          <c:spPr>
            <a:solidFill>
              <a:schemeClr val="accent3"/>
            </a:solidFill>
            <a:ln>
              <a:noFill/>
            </a:ln>
            <a:effectLst/>
          </c:spPr>
          <c:invertIfNegative val="0"/>
          <c:cat>
            <c:strRef>
              <c:f>'List1 (2)'!$A$20:$A$31</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'List1 (2)'!$D$20:$D$31</c:f>
              <c:numCache>
                <c:formatCode>#,##0.00</c:formatCode>
                <c:ptCount val="12"/>
                <c:pt idx="0">
                  <c:v>25.2</c:v>
                </c:pt>
                <c:pt idx="1">
                  <c:v>36</c:v>
                </c:pt>
                <c:pt idx="2">
                  <c:v>33885</c:v>
                </c:pt>
                <c:pt idx="3">
                  <c:v>278669.8</c:v>
                </c:pt>
                <c:pt idx="4">
                  <c:v>351856.5</c:v>
                </c:pt>
                <c:pt idx="5">
                  <c:v>353179.9</c:v>
                </c:pt>
                <c:pt idx="6">
                  <c:v>355063</c:v>
                </c:pt>
                <c:pt idx="7">
                  <c:v>355340</c:v>
                </c:pt>
                <c:pt idx="8">
                  <c:v>355754</c:v>
                </c:pt>
                <c:pt idx="9">
                  <c:v>355839.9</c:v>
                </c:pt>
                <c:pt idx="10">
                  <c:v>355844.1</c:v>
                </c:pt>
                <c:pt idx="11">
                  <c:v>355852.2</c:v>
                </c:pt>
              </c:numCache>
            </c:numRef>
          </c:val>
          <c:extLst>
            <c:ext xmlns:c16="http://schemas.microsoft.com/office/drawing/2014/chart" uri="{C3380CC4-5D6E-409C-BE32-E72D297353CC}">
              <c16:uniqueId val="{00000001-9CD1-4CC0-93ED-10CC701FA054}"/>
            </c:ext>
          </c:extLst>
        </c:ser>
        <c:ser>
          <c:idx val="4"/>
          <c:order val="3"/>
          <c:tx>
            <c:strRef>
              <c:f>'List1 (2)'!$E$19</c:f>
              <c:strCache>
                <c:ptCount val="1"/>
                <c:pt idx="0">
                  <c:v>rok 2025</c:v>
                </c:pt>
              </c:strCache>
            </c:strRef>
          </c:tx>
          <c:spPr>
            <a:solidFill>
              <a:schemeClr val="accent5"/>
            </a:solidFill>
            <a:ln>
              <a:noFill/>
            </a:ln>
            <a:effectLst/>
          </c:spPr>
          <c:invertIfNegative val="0"/>
          <c:val>
            <c:numRef>
              <c:f>'List1 (2)'!$E$20:$E$31</c:f>
              <c:numCache>
                <c:formatCode>#,##0.00</c:formatCode>
                <c:ptCount val="12"/>
                <c:pt idx="0">
                  <c:v>141.80000000000001</c:v>
                </c:pt>
                <c:pt idx="1">
                  <c:v>186</c:v>
                </c:pt>
                <c:pt idx="2">
                  <c:v>28689</c:v>
                </c:pt>
                <c:pt idx="3">
                  <c:v>253108.3</c:v>
                </c:pt>
                <c:pt idx="4">
                  <c:v>358974</c:v>
                </c:pt>
                <c:pt idx="5">
                  <c:v>361248</c:v>
                </c:pt>
                <c:pt idx="6">
                  <c:v>361867</c:v>
                </c:pt>
                <c:pt idx="7">
                  <c:v>362771</c:v>
                </c:pt>
                <c:pt idx="8">
                  <c:v>362971</c:v>
                </c:pt>
                <c:pt idx="9">
                  <c:v>363073</c:v>
                </c:pt>
                <c:pt idx="10">
                  <c:v>363104</c:v>
                </c:pt>
                <c:pt idx="11">
                  <c:v>363111</c:v>
                </c:pt>
              </c:numCache>
            </c:numRef>
          </c:val>
          <c:extLst>
            <c:ext xmlns:c16="http://schemas.microsoft.com/office/drawing/2014/chart" uri="{C3380CC4-5D6E-409C-BE32-E72D297353CC}">
              <c16:uniqueId val="{00000002-9CD1-4CC0-93ED-10CC701FA054}"/>
            </c:ext>
          </c:extLst>
        </c:ser>
        <c:dLbls>
          <c:showLegendKey val="0"/>
          <c:showVal val="0"/>
          <c:showCatName val="0"/>
          <c:showSerName val="0"/>
          <c:showPercent val="0"/>
          <c:showBubbleSize val="0"/>
        </c:dLbls>
        <c:gapWidth val="150"/>
        <c:axId val="1199822880"/>
        <c:axId val="1199821080"/>
      </c:barChart>
      <c:lineChart>
        <c:grouping val="standard"/>
        <c:varyColors val="0"/>
        <c:ser>
          <c:idx val="3"/>
          <c:order val="2"/>
          <c:tx>
            <c:strRef>
              <c:f>'List1 (2)'!$F$19</c:f>
              <c:strCache>
                <c:ptCount val="1"/>
                <c:pt idx="0">
                  <c:v>rozpočet 2025</c:v>
                </c:pt>
              </c:strCache>
            </c:strRef>
          </c:tx>
          <c:spPr>
            <a:ln w="28575" cap="rnd">
              <a:solidFill>
                <a:schemeClr val="accent4"/>
              </a:solidFill>
              <a:round/>
            </a:ln>
            <a:effectLst/>
          </c:spPr>
          <c:marker>
            <c:symbol val="none"/>
          </c:marker>
          <c:cat>
            <c:strRef>
              <c:f>'List1 (2)'!$A$20:$A$31</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'List1 (2)'!$F$20:$F$31</c:f>
              <c:numCache>
                <c:formatCode>#,##0.00</c:formatCode>
                <c:ptCount val="12"/>
                <c:pt idx="0">
                  <c:v>0</c:v>
                </c:pt>
                <c:pt idx="1">
                  <c:v>0</c:v>
                </c:pt>
                <c:pt idx="2">
                  <c:v>33000</c:v>
                </c:pt>
                <c:pt idx="3">
                  <c:v>273900</c:v>
                </c:pt>
                <c:pt idx="4">
                  <c:v>330000</c:v>
                </c:pt>
                <c:pt idx="5">
                  <c:v>330000</c:v>
                </c:pt>
                <c:pt idx="6">
                  <c:v>330000</c:v>
                </c:pt>
                <c:pt idx="7">
                  <c:v>330000</c:v>
                </c:pt>
                <c:pt idx="8">
                  <c:v>330000</c:v>
                </c:pt>
                <c:pt idx="9">
                  <c:v>330000</c:v>
                </c:pt>
                <c:pt idx="10">
                  <c:v>330000</c:v>
                </c:pt>
                <c:pt idx="11">
                  <c:v>330000</c:v>
                </c:pt>
              </c:numCache>
            </c:numRef>
          </c:val>
          <c:smooth val="0"/>
          <c:extLst>
            <c:ext xmlns:c16="http://schemas.microsoft.com/office/drawing/2014/chart" uri="{C3380CC4-5D6E-409C-BE32-E72D297353CC}">
              <c16:uniqueId val="{00000003-9CD1-4CC0-93ED-10CC701FA054}"/>
            </c:ext>
          </c:extLst>
        </c:ser>
        <c:dLbls>
          <c:showLegendKey val="0"/>
          <c:showVal val="0"/>
          <c:showCatName val="0"/>
          <c:showSerName val="0"/>
          <c:showPercent val="0"/>
          <c:showBubbleSize val="0"/>
        </c:dLbls>
        <c:marker val="1"/>
        <c:smooth val="0"/>
        <c:axId val="1199822880"/>
        <c:axId val="1199821080"/>
      </c:lineChart>
      <c:catAx>
        <c:axId val="1199822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199821080"/>
        <c:crosses val="autoZero"/>
        <c:auto val="1"/>
        <c:lblAlgn val="ctr"/>
        <c:lblOffset val="100"/>
        <c:noMultiLvlLbl val="0"/>
      </c:catAx>
      <c:valAx>
        <c:axId val="1199821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199822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cs-CZ"/>
              <a:t>Celkem </a:t>
            </a:r>
          </a:p>
          <a:p>
            <a:pPr>
              <a:defRPr/>
            </a:pPr>
            <a:r>
              <a:rPr lang="cs-CZ"/>
              <a:t>3 908,9 mil Kč</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cs-CZ"/>
        </a:p>
      </c:txPr>
    </c:title>
    <c:autoTitleDeleted val="0"/>
    <c:plotArea>
      <c:layout/>
      <c:doughnutChart>
        <c:varyColors val="1"/>
        <c:ser>
          <c:idx val="0"/>
          <c:order val="0"/>
          <c:dPt>
            <c:idx val="0"/>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374-4938-A464-3510FDA1A7EF}"/>
              </c:ext>
            </c:extLst>
          </c:dPt>
          <c:dPt>
            <c:idx val="1"/>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374-4938-A464-3510FDA1A7EF}"/>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374-4938-A464-3510FDA1A7EF}"/>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374-4938-A464-3510FDA1A7EF}"/>
              </c:ext>
            </c:extLst>
          </c:dPt>
          <c:dPt>
            <c:idx val="4"/>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4374-4938-A464-3510FDA1A7EF}"/>
              </c:ext>
            </c:extLst>
          </c:dPt>
          <c:dLbls>
            <c:delete val="1"/>
          </c:dLbls>
          <c:cat>
            <c:strRef>
              <c:f>List4!$B$26:$B$30</c:f>
              <c:strCache>
                <c:ptCount val="5"/>
                <c:pt idx="0">
                  <c:v>NPŽP</c:v>
                </c:pt>
                <c:pt idx="1">
                  <c:v>Povodně – Obnova infrastruktury pro ŽP po povodni 2024</c:v>
                </c:pt>
                <c:pt idx="2">
                  <c:v>OPŽP 2021+ zápůjčky</c:v>
                </c:pt>
                <c:pt idx="3">
                  <c:v>NPO</c:v>
                </c:pt>
                <c:pt idx="4">
                  <c:v>Projektová schémata</c:v>
                </c:pt>
              </c:strCache>
              <c:extLst/>
            </c:strRef>
          </c:cat>
          <c:val>
            <c:numRef>
              <c:f>List4!$C$26:$C$30</c:f>
              <c:numCache>
                <c:formatCode>General</c:formatCode>
                <c:ptCount val="5"/>
                <c:pt idx="0">
                  <c:v>2976</c:v>
                </c:pt>
                <c:pt idx="1">
                  <c:v>241.2</c:v>
                </c:pt>
                <c:pt idx="2">
                  <c:v>65.599999999999994</c:v>
                </c:pt>
                <c:pt idx="3">
                  <c:v>513.9</c:v>
                </c:pt>
                <c:pt idx="4">
                  <c:v>112.2</c:v>
                </c:pt>
              </c:numCache>
              <c:extLst/>
            </c:numRef>
          </c:val>
          <c:extLst>
            <c:ext xmlns:c16="http://schemas.microsoft.com/office/drawing/2014/chart" uri="{C3380CC4-5D6E-409C-BE32-E72D297353CC}">
              <c16:uniqueId val="{0000000A-4374-4938-A464-3510FDA1A7EF}"/>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65367173964914471"/>
          <c:y val="0.26940731686517527"/>
          <c:w val="0.34105816812424139"/>
          <c:h val="0.73059268313482484"/>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0" baseline="0">
              <a:solidFill>
                <a:schemeClr val="dk1">
                  <a:lumMod val="75000"/>
                  <a:lumOff val="2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cs-CZ"/>
              <a:t>celkem</a:t>
            </a:r>
          </a:p>
          <a:p>
            <a:pPr>
              <a:defRPr/>
            </a:pPr>
            <a:r>
              <a:rPr lang="cs-CZ"/>
              <a:t>0,8 mld. Kč</a:t>
            </a:r>
          </a:p>
        </c:rich>
      </c:tx>
      <c:layout>
        <c:manualLayout>
          <c:xMode val="edge"/>
          <c:yMode val="edge"/>
          <c:x val="0.36694444444444446"/>
          <c:y val="0.40740740740740738"/>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cs-CZ"/>
        </a:p>
      </c:txPr>
    </c:title>
    <c:autoTitleDeleted val="0"/>
    <c:plotArea>
      <c:layout>
        <c:manualLayout>
          <c:layoutTarget val="inner"/>
          <c:xMode val="edge"/>
          <c:yMode val="edge"/>
          <c:x val="0.20383923884514435"/>
          <c:y val="5.6206255468066513E-2"/>
          <c:w val="0.5074136045494313"/>
          <c:h val="0.8456893409157189"/>
        </c:manualLayout>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CB3-4C7F-A680-458A89D1D0E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CB3-4C7F-A680-458A89D1D0E8}"/>
              </c:ext>
            </c:extLst>
          </c:dPt>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List1!$A$88:$A$89</c:f>
              <c:strCache>
                <c:ptCount val="2"/>
                <c:pt idx="0">
                  <c:v>Investiční výdaje</c:v>
                </c:pt>
                <c:pt idx="1">
                  <c:v>Neinvestiční výdaje</c:v>
                </c:pt>
              </c:strCache>
            </c:strRef>
          </c:cat>
          <c:val>
            <c:numRef>
              <c:f>List1!$B$88:$B$89</c:f>
              <c:numCache>
                <c:formatCode>General</c:formatCode>
                <c:ptCount val="2"/>
                <c:pt idx="0">
                  <c:v>712.74</c:v>
                </c:pt>
                <c:pt idx="1">
                  <c:v>76.88</c:v>
                </c:pt>
              </c:numCache>
            </c:numRef>
          </c:val>
          <c:extLst>
            <c:ext xmlns:c16="http://schemas.microsoft.com/office/drawing/2014/chart" uri="{C3380CC4-5D6E-409C-BE32-E72D297353CC}">
              <c16:uniqueId val="{00000004-ECB3-4C7F-A680-458A89D1D0E8}"/>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1000">
          <a:latin typeface="Arial" panose="020B0604020202020204" pitchFamily="34" charset="0"/>
          <a:cs typeface="Arial" panose="020B0604020202020204" pitchFamily="34" charset="0"/>
        </a:defRPr>
      </a:pPr>
      <a:endParaRPr lang="cs-CZ"/>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b="1"/>
              <a:t>celkem </a:t>
            </a:r>
            <a:endParaRPr lang="cs-CZ" b="1"/>
          </a:p>
          <a:p>
            <a:pPr>
              <a:defRPr b="1"/>
            </a:pPr>
            <a:r>
              <a:rPr lang="cs-CZ" b="1"/>
              <a:t>0,931</a:t>
            </a:r>
            <a:r>
              <a:rPr lang="en-US" b="1"/>
              <a:t> mld. Kč</a:t>
            </a:r>
          </a:p>
        </c:rich>
      </c:tx>
      <c:layout>
        <c:manualLayout>
          <c:xMode val="edge"/>
          <c:yMode val="edge"/>
          <c:x val="0.2239234470691164"/>
          <c:y val="0.46296296296296297"/>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title>
    <c:autoTitleDeleted val="0"/>
    <c:plotArea>
      <c:layout>
        <c:manualLayout>
          <c:layoutTarget val="inner"/>
          <c:xMode val="edge"/>
          <c:yMode val="edge"/>
          <c:x val="8.6466535433070868E-2"/>
          <c:y val="0.12848680373286669"/>
          <c:w val="0.49928937007874014"/>
          <c:h val="0.83214895013123358"/>
        </c:manualLayout>
      </c:layout>
      <c:doughnutChart>
        <c:varyColors val="1"/>
        <c:ser>
          <c:idx val="0"/>
          <c:order val="0"/>
          <c:dPt>
            <c:idx val="0"/>
            <c:bubble3D val="0"/>
            <c:spPr>
              <a:pattFill prst="openDmnd">
                <a:fgClr>
                  <a:schemeClr val="tx1"/>
                </a:fgClr>
                <a:bgClr>
                  <a:schemeClr val="accent1">
                    <a:lumMod val="40000"/>
                    <a:lumOff val="60000"/>
                  </a:schemeClr>
                </a:bgClr>
              </a:pattFill>
              <a:ln w="19050">
                <a:solidFill>
                  <a:schemeClr val="lt1"/>
                </a:solidFill>
              </a:ln>
              <a:effectLst/>
            </c:spPr>
            <c:extLst>
              <c:ext xmlns:c16="http://schemas.microsoft.com/office/drawing/2014/chart" uri="{C3380CC4-5D6E-409C-BE32-E72D297353CC}">
                <c16:uniqueId val="{00000001-3AE5-4AB5-8B0B-9EB84DB6CB11}"/>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3AE5-4AB5-8B0B-9EB84DB6CB11}"/>
              </c:ext>
            </c:extLst>
          </c:dPt>
          <c:dLbls>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cs-CZ"/>
                </a:p>
              </c:txPr>
              <c:showLegendKey val="0"/>
              <c:showVal val="0"/>
              <c:showCatName val="0"/>
              <c:showSerName val="0"/>
              <c:showPercent val="1"/>
              <c:showBubbleSize val="0"/>
              <c:extLst>
                <c:ext xmlns:c16="http://schemas.microsoft.com/office/drawing/2014/chart" uri="{C3380CC4-5D6E-409C-BE32-E72D297353CC}">
                  <c16:uniqueId val="{00000001-3AE5-4AB5-8B0B-9EB84DB6CB1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cs-CZ"/>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List1!$A$104:$A$105</c:f>
              <c:strCache>
                <c:ptCount val="2"/>
                <c:pt idx="0">
                  <c:v>Ředitelství vodních cest</c:v>
                </c:pt>
                <c:pt idx="1">
                  <c:v>s. p. Povodí</c:v>
                </c:pt>
              </c:strCache>
            </c:strRef>
          </c:cat>
          <c:val>
            <c:numRef>
              <c:f>List1!$B$104:$B$105</c:f>
              <c:numCache>
                <c:formatCode>#,##0.00</c:formatCode>
                <c:ptCount val="2"/>
                <c:pt idx="0">
                  <c:v>789.6</c:v>
                </c:pt>
                <c:pt idx="1">
                  <c:v>142</c:v>
                </c:pt>
              </c:numCache>
            </c:numRef>
          </c:val>
          <c:extLst>
            <c:ext xmlns:c16="http://schemas.microsoft.com/office/drawing/2014/chart" uri="{C3380CC4-5D6E-409C-BE32-E72D297353CC}">
              <c16:uniqueId val="{00000004-3AE5-4AB5-8B0B-9EB84DB6CB11}"/>
            </c:ext>
          </c:extLst>
        </c:ser>
        <c:dLbls>
          <c:showLegendKey val="0"/>
          <c:showVal val="0"/>
          <c:showCatName val="0"/>
          <c:showSerName val="0"/>
          <c:showPercent val="0"/>
          <c:showBubbleSize val="0"/>
          <c:showLeaderLines val="1"/>
        </c:dLbls>
        <c:firstSliceAng val="0"/>
        <c:holeSize val="56"/>
      </c:doughnutChart>
      <c:spPr>
        <a:noFill/>
        <a:ln>
          <a:noFill/>
        </a:ln>
        <a:effectLst/>
      </c:spPr>
    </c:plotArea>
    <c:legend>
      <c:legendPos val="b"/>
      <c:layout>
        <c:manualLayout>
          <c:xMode val="edge"/>
          <c:yMode val="edge"/>
          <c:x val="0.65647965879265091"/>
          <c:y val="0.27835593467483233"/>
          <c:w val="0.31481846019247595"/>
          <c:h val="0.4947922134733158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cs-CZ"/>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en-US" sz="1400"/>
              <a:t>celkem </a:t>
            </a:r>
            <a:endParaRPr lang="cs-CZ" sz="1400"/>
          </a:p>
          <a:p>
            <a:pPr>
              <a:defRPr sz="1400"/>
            </a:pPr>
            <a:r>
              <a:rPr lang="cs-CZ" sz="1400"/>
              <a:t>1,1</a:t>
            </a:r>
            <a:r>
              <a:rPr lang="en-US" sz="1400"/>
              <a:t> mld. Kč</a:t>
            </a:r>
          </a:p>
        </c:rich>
      </c:tx>
      <c:layout>
        <c:manualLayout>
          <c:xMode val="edge"/>
          <c:yMode val="edge"/>
          <c:x val="0.12538072085251636"/>
          <c:y val="0.49852122840361834"/>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cs-CZ"/>
        </a:p>
      </c:txPr>
    </c:title>
    <c:autoTitleDeleted val="0"/>
    <c:plotArea>
      <c:layout>
        <c:manualLayout>
          <c:layoutTarget val="inner"/>
          <c:xMode val="edge"/>
          <c:yMode val="edge"/>
          <c:x val="1.0470465385375179E-4"/>
          <c:y val="0.23206096397041276"/>
          <c:w val="0.50158267716535432"/>
          <c:h val="0.83597112860892386"/>
        </c:manualLayout>
      </c:layout>
      <c:doughnutChart>
        <c:varyColors val="1"/>
        <c:ser>
          <c:idx val="0"/>
          <c:order val="0"/>
          <c:dPt>
            <c:idx val="0"/>
            <c:bubble3D val="0"/>
            <c:spPr>
              <a:pattFill prst="openDmnd">
                <a:fgClr>
                  <a:schemeClr val="tx1"/>
                </a:fgClr>
                <a:bgClr>
                  <a:schemeClr val="accent1">
                    <a:lumMod val="40000"/>
                    <a:lumOff val="60000"/>
                  </a:schemeClr>
                </a:bgClr>
              </a:patt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D27-48C7-B0EB-0E3F7C06F7C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D27-48C7-B0EB-0E3F7C06F7CA}"/>
              </c:ext>
            </c:extLst>
          </c:dPt>
          <c:dPt>
            <c:idx val="2"/>
            <c:bubble3D val="0"/>
            <c:spPr>
              <a:solidFill>
                <a:srgbClr val="FFFF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D27-48C7-B0EB-0E3F7C06F7CA}"/>
              </c:ext>
            </c:extLst>
          </c:dPt>
          <c:dPt>
            <c:idx val="3"/>
            <c:bubble3D val="0"/>
            <c:spPr>
              <a:solidFill>
                <a:srgbClr val="00B0F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D27-48C7-B0EB-0E3F7C06F7CA}"/>
              </c:ext>
            </c:extLst>
          </c:dPt>
          <c:dLbls>
            <c:dLbl>
              <c:idx val="0"/>
              <c:tx>
                <c:rich>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73</a:t>
                    </a:r>
                    <a:r>
                      <a:rPr lang="en-US" baseline="0"/>
                      <a:t> %</a:t>
                    </a:r>
                    <a:endParaRPr lang="en-US"/>
                  </a:p>
                </c:rich>
              </c:tx>
              <c:numFmt formatCode="0.0\ %" sourceLinked="0"/>
              <c:spPr>
                <a:solidFill>
                  <a:schemeClr val="bg1"/>
                </a:solid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5D27-48C7-B0EB-0E3F7C06F7CA}"/>
                </c:ext>
              </c:extLst>
            </c:dLbl>
            <c:dLbl>
              <c:idx val="1"/>
              <c:tx>
                <c:rich>
                  <a:bodyPr/>
                  <a:lstStyle/>
                  <a:p>
                    <a:r>
                      <a:rPr lang="en-US"/>
                      <a:t>11</a:t>
                    </a:r>
                    <a:r>
                      <a:rPr lang="en-US" baseline="0"/>
                      <a:t> %</a:t>
                    </a:r>
                    <a:endParaRPr lang="en-US"/>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5D27-48C7-B0EB-0E3F7C06F7CA}"/>
                </c:ext>
              </c:extLst>
            </c:dLbl>
            <c:dLbl>
              <c:idx val="2"/>
              <c:tx>
                <c:rich>
                  <a:bodyPr/>
                  <a:lstStyle/>
                  <a:p>
                    <a:r>
                      <a:rPr lang="en-US"/>
                      <a:t>12 %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5D27-48C7-B0EB-0E3F7C06F7CA}"/>
                </c:ext>
              </c:extLst>
            </c:dLbl>
            <c:dLbl>
              <c:idx val="3"/>
              <c:tx>
                <c:rich>
                  <a:bodyPr/>
                  <a:lstStyle/>
                  <a:p>
                    <a:r>
                      <a:rPr lang="en-US"/>
                      <a:t>4 %</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5D27-48C7-B0EB-0E3F7C06F7CA}"/>
                </c:ext>
              </c:extLst>
            </c:dLbl>
            <c:numFmt formatCode="0.0\ %" sourceLinked="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cs-CZ"/>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List1!$A$110:$A$113</c:f>
              <c:strCache>
                <c:ptCount val="4"/>
                <c:pt idx="0">
                  <c:v>Ředitelství vodních cest</c:v>
                </c:pt>
                <c:pt idx="1">
                  <c:v>Povodí Labe</c:v>
                </c:pt>
                <c:pt idx="2">
                  <c:v>Povodí Vltavy</c:v>
                </c:pt>
                <c:pt idx="3">
                  <c:v>Povodí Moravy</c:v>
                </c:pt>
              </c:strCache>
            </c:strRef>
          </c:cat>
          <c:val>
            <c:numRef>
              <c:f>List1!$B$110:$B$113</c:f>
              <c:numCache>
                <c:formatCode>#,##0</c:formatCode>
                <c:ptCount val="4"/>
                <c:pt idx="0" formatCode="#,##0.00">
                  <c:v>789.6</c:v>
                </c:pt>
                <c:pt idx="1">
                  <c:v>117</c:v>
                </c:pt>
                <c:pt idx="2">
                  <c:v>126</c:v>
                </c:pt>
                <c:pt idx="3">
                  <c:v>42</c:v>
                </c:pt>
              </c:numCache>
            </c:numRef>
          </c:val>
          <c:extLst>
            <c:ext xmlns:c16="http://schemas.microsoft.com/office/drawing/2014/chart" uri="{C3380CC4-5D6E-409C-BE32-E72D297353CC}">
              <c16:uniqueId val="{00000008-5D27-48C7-B0EB-0E3F7C06F7CA}"/>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b="1"/>
              <a:t>celkem </a:t>
            </a:r>
            <a:endParaRPr lang="cs-CZ" b="1"/>
          </a:p>
          <a:p>
            <a:pPr>
              <a:defRPr b="1"/>
            </a:pPr>
            <a:r>
              <a:rPr lang="cs-CZ" b="1"/>
              <a:t>0,324</a:t>
            </a:r>
            <a:r>
              <a:rPr lang="en-US" b="1"/>
              <a:t> mld. Kč</a:t>
            </a:r>
          </a:p>
        </c:rich>
      </c:tx>
      <c:layout>
        <c:manualLayout>
          <c:xMode val="edge"/>
          <c:yMode val="edge"/>
          <c:x val="0.2239234470691164"/>
          <c:y val="0.46296296296296297"/>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title>
    <c:autoTitleDeleted val="0"/>
    <c:plotArea>
      <c:layout>
        <c:manualLayout>
          <c:layoutTarget val="inner"/>
          <c:xMode val="edge"/>
          <c:yMode val="edge"/>
          <c:x val="8.6466535433070868E-2"/>
          <c:y val="0.12848680373286669"/>
          <c:w val="0.49928937007874014"/>
          <c:h val="0.83214895013123358"/>
        </c:manualLayout>
      </c:layout>
      <c:doughnutChart>
        <c:varyColors val="1"/>
        <c:ser>
          <c:idx val="0"/>
          <c:order val="0"/>
          <c:dPt>
            <c:idx val="0"/>
            <c:bubble3D val="0"/>
            <c:spPr>
              <a:pattFill prst="openDmnd">
                <a:fgClr>
                  <a:schemeClr val="tx1"/>
                </a:fgClr>
                <a:bgClr>
                  <a:schemeClr val="accent1">
                    <a:lumMod val="40000"/>
                    <a:lumOff val="60000"/>
                  </a:schemeClr>
                </a:bgClr>
              </a:pattFill>
              <a:ln w="19050">
                <a:solidFill>
                  <a:schemeClr val="lt1"/>
                </a:solidFill>
              </a:ln>
              <a:effectLst/>
            </c:spPr>
            <c:extLst>
              <c:ext xmlns:c16="http://schemas.microsoft.com/office/drawing/2014/chart" uri="{C3380CC4-5D6E-409C-BE32-E72D297353CC}">
                <c16:uniqueId val="{00000001-7F05-4739-9A27-A1A2F03C13B4}"/>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7F05-4739-9A27-A1A2F03C13B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F05-4739-9A27-A1A2F03C13B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F05-4739-9A27-A1A2F03C13B4}"/>
              </c:ext>
            </c:extLst>
          </c:dPt>
          <c:dLbls>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cs-CZ"/>
                </a:p>
              </c:txPr>
              <c:showLegendKey val="0"/>
              <c:showVal val="0"/>
              <c:showCatName val="0"/>
              <c:showSerName val="0"/>
              <c:showPercent val="1"/>
              <c:showBubbleSize val="0"/>
              <c:extLst>
                <c:ext xmlns:c16="http://schemas.microsoft.com/office/drawing/2014/chart" uri="{C3380CC4-5D6E-409C-BE32-E72D297353CC}">
                  <c16:uniqueId val="{00000001-7F05-4739-9A27-A1A2F03C13B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cs-CZ"/>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List1!$A$91:$A$94</c:f>
              <c:strCache>
                <c:ptCount val="4"/>
                <c:pt idx="0">
                  <c:v>Ministerstvo zemědělství</c:v>
                </c:pt>
                <c:pt idx="1">
                  <c:v>Ministerstvo životního prostředí</c:v>
                </c:pt>
                <c:pt idx="2">
                  <c:v>Ministerstvo školství, mládeže a tělovýchovy </c:v>
                </c:pt>
                <c:pt idx="3">
                  <c:v>Technologická agentura ČR</c:v>
                </c:pt>
              </c:strCache>
            </c:strRef>
          </c:cat>
          <c:val>
            <c:numRef>
              <c:f>List1!$B$91:$B$94</c:f>
              <c:numCache>
                <c:formatCode>General</c:formatCode>
                <c:ptCount val="4"/>
                <c:pt idx="0">
                  <c:v>65.44</c:v>
                </c:pt>
                <c:pt idx="1">
                  <c:v>134.23400000000001</c:v>
                </c:pt>
                <c:pt idx="2">
                  <c:v>71</c:v>
                </c:pt>
                <c:pt idx="3" formatCode="#,##0.00">
                  <c:v>53.5</c:v>
                </c:pt>
              </c:numCache>
            </c:numRef>
          </c:val>
          <c:extLst>
            <c:ext xmlns:c16="http://schemas.microsoft.com/office/drawing/2014/chart" uri="{C3380CC4-5D6E-409C-BE32-E72D297353CC}">
              <c16:uniqueId val="{00000008-7F05-4739-9A27-A1A2F03C13B4}"/>
            </c:ext>
          </c:extLst>
        </c:ser>
        <c:dLbls>
          <c:showLegendKey val="0"/>
          <c:showVal val="0"/>
          <c:showCatName val="0"/>
          <c:showSerName val="0"/>
          <c:showPercent val="0"/>
          <c:showBubbleSize val="0"/>
          <c:showLeaderLines val="1"/>
        </c:dLbls>
        <c:firstSliceAng val="0"/>
        <c:holeSize val="56"/>
      </c:doughnutChart>
      <c:spPr>
        <a:noFill/>
        <a:ln>
          <a:noFill/>
        </a:ln>
        <a:effectLst/>
      </c:spPr>
    </c:plotArea>
    <c:legend>
      <c:legendPos val="b"/>
      <c:layout>
        <c:manualLayout>
          <c:xMode val="edge"/>
          <c:yMode val="edge"/>
          <c:x val="0.65647965879265091"/>
          <c:y val="0.27835593467483233"/>
          <c:w val="0.31481846019247595"/>
          <c:h val="0.4947922134733158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'grafy nové'!$B$26</c:f>
              <c:strCache>
                <c:ptCount val="1"/>
                <c:pt idx="0">
                  <c:v>Vypouštění do povrchových vod</c:v>
                </c:pt>
              </c:strCache>
            </c:strRef>
          </c:tx>
          <c:spPr>
            <a:solidFill>
              <a:schemeClr val="bg2">
                <a:lumMod val="50000"/>
              </a:schemeClr>
            </a:solidFill>
            <a:ln>
              <a:solidFill>
                <a:schemeClr val="bg2">
                  <a:lumMod val="10000"/>
                </a:schemeClr>
              </a:solidFill>
            </a:ln>
          </c:spPr>
          <c:invertIfNegative val="0"/>
          <c:cat>
            <c:numRef>
              <c:f>'grafy nové'!$B$28:$AU$28</c:f>
              <c:numCache>
                <c:formatCode>0</c:formatCode>
                <c:ptCount val="46"/>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pt idx="32">
                  <c:v>2012</c:v>
                </c:pt>
                <c:pt idx="33">
                  <c:v>2013</c:v>
                </c:pt>
                <c:pt idx="34">
                  <c:v>2014</c:v>
                </c:pt>
                <c:pt idx="35">
                  <c:v>2015</c:v>
                </c:pt>
                <c:pt idx="36">
                  <c:v>2016</c:v>
                </c:pt>
                <c:pt idx="37">
                  <c:v>2017</c:v>
                </c:pt>
                <c:pt idx="38">
                  <c:v>2018</c:v>
                </c:pt>
                <c:pt idx="39">
                  <c:v>2019</c:v>
                </c:pt>
                <c:pt idx="40" formatCode="0_)">
                  <c:v>2020</c:v>
                </c:pt>
                <c:pt idx="41" formatCode="0_)">
                  <c:v>2021</c:v>
                </c:pt>
                <c:pt idx="42" formatCode="0_)">
                  <c:v>2022</c:v>
                </c:pt>
                <c:pt idx="43" formatCode="0_)">
                  <c:v>2023</c:v>
                </c:pt>
                <c:pt idx="44" formatCode="0_)">
                  <c:v>2024</c:v>
                </c:pt>
                <c:pt idx="45" formatCode="0_)">
                  <c:v>2025</c:v>
                </c:pt>
              </c:numCache>
            </c:numRef>
          </c:cat>
          <c:val>
            <c:numRef>
              <c:f>'grafy nové'!$B$34:$AU$34</c:f>
              <c:numCache>
                <c:formatCode>General_)</c:formatCode>
                <c:ptCount val="46"/>
                <c:pt idx="0" formatCode="0.0_)">
                  <c:v>3064.1000000000004</c:v>
                </c:pt>
                <c:pt idx="1">
                  <c:v>3154.6</c:v>
                </c:pt>
                <c:pt idx="2">
                  <c:v>3064.1</c:v>
                </c:pt>
                <c:pt idx="3">
                  <c:v>3112.0000000000005</c:v>
                </c:pt>
                <c:pt idx="4">
                  <c:v>3084.9999999999995</c:v>
                </c:pt>
                <c:pt idx="5">
                  <c:v>3035.7</c:v>
                </c:pt>
                <c:pt idx="6">
                  <c:v>3021.5</c:v>
                </c:pt>
                <c:pt idx="7">
                  <c:v>2955</c:v>
                </c:pt>
                <c:pt idx="8">
                  <c:v>2977.2</c:v>
                </c:pt>
                <c:pt idx="9">
                  <c:v>2889.5</c:v>
                </c:pt>
                <c:pt idx="10">
                  <c:v>2932.5</c:v>
                </c:pt>
                <c:pt idx="11">
                  <c:v>2732.7</c:v>
                </c:pt>
                <c:pt idx="12">
                  <c:v>2486.7999999999997</c:v>
                </c:pt>
                <c:pt idx="13">
                  <c:v>2442</c:v>
                </c:pt>
                <c:pt idx="14">
                  <c:v>2254.3999999999996</c:v>
                </c:pt>
                <c:pt idx="15">
                  <c:v>2242.7999999999997</c:v>
                </c:pt>
                <c:pt idx="16">
                  <c:v>2316.6</c:v>
                </c:pt>
                <c:pt idx="17">
                  <c:v>2292.9</c:v>
                </c:pt>
                <c:pt idx="18">
                  <c:v>2128.1725000000001</c:v>
                </c:pt>
                <c:pt idx="19">
                  <c:v>1845.8</c:v>
                </c:pt>
                <c:pt idx="20">
                  <c:v>1803</c:v>
                </c:pt>
                <c:pt idx="21">
                  <c:v>1783.8000000000002</c:v>
                </c:pt>
                <c:pt idx="22">
                  <c:v>1886.8999999999999</c:v>
                </c:pt>
                <c:pt idx="23" formatCode="0.0_)">
                  <c:v>1957</c:v>
                </c:pt>
                <c:pt idx="24" formatCode="0.0_)">
                  <c:v>1987.7</c:v>
                </c:pt>
                <c:pt idx="25" formatCode="0.0_)">
                  <c:v>1957.7999999999997</c:v>
                </c:pt>
                <c:pt idx="26" formatCode="0.0_)">
                  <c:v>2024.1</c:v>
                </c:pt>
                <c:pt idx="27" formatCode="0.0_)">
                  <c:v>2019.3</c:v>
                </c:pt>
                <c:pt idx="28" formatCode="0.0_)">
                  <c:v>1970.2</c:v>
                </c:pt>
                <c:pt idx="29" formatCode="0.0_)">
                  <c:v>1993.6</c:v>
                </c:pt>
                <c:pt idx="30" formatCode="0.0_)">
                  <c:v>2142.1</c:v>
                </c:pt>
                <c:pt idx="31" formatCode="0.0_)">
                  <c:v>1975.0000000000002</c:v>
                </c:pt>
                <c:pt idx="32" formatCode="0.0_)">
                  <c:v>1885</c:v>
                </c:pt>
                <c:pt idx="33" formatCode="0.0_)">
                  <c:v>1846.3000000000002</c:v>
                </c:pt>
                <c:pt idx="34" formatCode="0.0_)">
                  <c:v>1716.9</c:v>
                </c:pt>
                <c:pt idx="35" formatCode="0.0_)">
                  <c:v>1621.4</c:v>
                </c:pt>
                <c:pt idx="36" formatCode="0.0_)">
                  <c:v>1700.8000000000002</c:v>
                </c:pt>
                <c:pt idx="37" formatCode="0.0_)">
                  <c:v>1702.13</c:v>
                </c:pt>
                <c:pt idx="38" formatCode="0.000">
                  <c:v>1540.87</c:v>
                </c:pt>
                <c:pt idx="39" formatCode="0.0_)">
                  <c:v>1522.3</c:v>
                </c:pt>
                <c:pt idx="40" formatCode="0.0_)">
                  <c:v>1502.3000000000002</c:v>
                </c:pt>
                <c:pt idx="41" formatCode="0.0_)">
                  <c:v>1512</c:v>
                </c:pt>
                <c:pt idx="42" formatCode="0.0_)">
                  <c:v>1496.8999999999999</c:v>
                </c:pt>
                <c:pt idx="43" formatCode="0.0">
                  <c:v>1471.4999999999998</c:v>
                </c:pt>
                <c:pt idx="44">
                  <c:v>1464.421</c:v>
                </c:pt>
                <c:pt idx="45">
                  <c:v>1235</c:v>
                </c:pt>
              </c:numCache>
            </c:numRef>
          </c:val>
          <c:extLst>
            <c:ext xmlns:c16="http://schemas.microsoft.com/office/drawing/2014/chart" uri="{C3380CC4-5D6E-409C-BE32-E72D297353CC}">
              <c16:uniqueId val="{00000000-2A56-479D-AD02-8739D2D81D56}"/>
            </c:ext>
          </c:extLst>
        </c:ser>
        <c:dLbls>
          <c:showLegendKey val="0"/>
          <c:showVal val="0"/>
          <c:showCatName val="0"/>
          <c:showSerName val="0"/>
          <c:showPercent val="0"/>
          <c:showBubbleSize val="0"/>
        </c:dLbls>
        <c:gapWidth val="0"/>
        <c:axId val="1399558496"/>
        <c:axId val="1"/>
      </c:barChart>
      <c:catAx>
        <c:axId val="1399558496"/>
        <c:scaling>
          <c:orientation val="minMax"/>
        </c:scaling>
        <c:delete val="0"/>
        <c:axPos val="b"/>
        <c:numFmt formatCode="0" sourceLinked="0"/>
        <c:majorTickMark val="none"/>
        <c:minorTickMark val="none"/>
        <c:tickLblPos val="nextTo"/>
        <c:txPr>
          <a:bodyPr rot="-5400000" vert="horz"/>
          <a:lstStyle/>
          <a:p>
            <a:pPr>
              <a:defRPr sz="900" b="0" i="0" u="none" strike="noStrike" baseline="0">
                <a:solidFill>
                  <a:srgbClr val="000000"/>
                </a:solidFill>
                <a:latin typeface="Arial"/>
                <a:ea typeface="Arial"/>
                <a:cs typeface="Arial"/>
              </a:defRPr>
            </a:pPr>
            <a:endParaRPr lang="cs-CZ"/>
          </a:p>
        </c:txPr>
        <c:crossAx val="1"/>
        <c:crosses val="autoZero"/>
        <c:auto val="1"/>
        <c:lblAlgn val="ctr"/>
        <c:lblOffset val="100"/>
        <c:tickLblSkip val="1"/>
        <c:noMultiLvlLbl val="0"/>
      </c:catAx>
      <c:valAx>
        <c:axId val="1"/>
        <c:scaling>
          <c:orientation val="minMax"/>
        </c:scaling>
        <c:delete val="0"/>
        <c:axPos val="l"/>
        <c:majorGridlines/>
        <c:title>
          <c:tx>
            <c:rich>
              <a:bodyPr/>
              <a:lstStyle/>
              <a:p>
                <a:pPr>
                  <a:defRPr sz="1100" b="0" i="0" u="none" strike="noStrike" baseline="0">
                    <a:solidFill>
                      <a:srgbClr val="000000"/>
                    </a:solidFill>
                    <a:latin typeface="Aptos Narrow"/>
                    <a:ea typeface="Aptos Narrow"/>
                    <a:cs typeface="Aptos Narrow"/>
                  </a:defRPr>
                </a:pPr>
                <a:r>
                  <a:rPr lang="cs-CZ" sz="900" b="1" i="0" u="none" strike="noStrike" baseline="0">
                    <a:solidFill>
                      <a:srgbClr val="000000"/>
                    </a:solidFill>
                    <a:latin typeface="Arial"/>
                    <a:cs typeface="Arial"/>
                  </a:rPr>
                  <a:t>mil. m</a:t>
                </a:r>
                <a:r>
                  <a:rPr lang="cs-CZ" sz="900" b="1" i="0" u="none" strike="noStrike" baseline="30000">
                    <a:solidFill>
                      <a:srgbClr val="000000"/>
                    </a:solidFill>
                    <a:latin typeface="Arial"/>
                    <a:cs typeface="Arial"/>
                  </a:rPr>
                  <a:t>3</a:t>
                </a:r>
              </a:p>
            </c:rich>
          </c:tx>
          <c:overlay val="0"/>
        </c:title>
        <c:numFmt formatCode="#,##0" sourceLinked="0"/>
        <c:majorTickMark val="none"/>
        <c:minorTickMark val="none"/>
        <c:tickLblPos val="nextTo"/>
        <c:txPr>
          <a:bodyPr rot="0" vert="horz"/>
          <a:lstStyle/>
          <a:p>
            <a:pPr>
              <a:defRPr sz="900" b="0" i="0" u="none" strike="noStrike" baseline="0">
                <a:solidFill>
                  <a:srgbClr val="000000"/>
                </a:solidFill>
                <a:latin typeface="Arial"/>
                <a:ea typeface="Arial"/>
                <a:cs typeface="Arial"/>
              </a:defRPr>
            </a:pPr>
            <a:endParaRPr lang="cs-CZ"/>
          </a:p>
        </c:txPr>
        <c:crossAx val="1399558496"/>
        <c:crosses val="autoZero"/>
        <c:crossBetween val="between"/>
      </c:valAx>
    </c:plotArea>
    <c:plotVisOnly val="1"/>
    <c:dispBlanksAs val="gap"/>
    <c:showDLblsOverMax val="0"/>
  </c:chart>
  <c:txPr>
    <a:bodyPr/>
    <a:lstStyle/>
    <a:p>
      <a:pPr>
        <a:defRPr sz="900" b="0" i="0" u="none" strike="noStrike" baseline="0">
          <a:solidFill>
            <a:srgbClr val="000000"/>
          </a:solidFill>
          <a:latin typeface="Arial"/>
          <a:ea typeface="Arial"/>
          <a:cs typeface="Arial"/>
        </a:defRPr>
      </a:pPr>
      <a:endParaRPr lang="cs-CZ"/>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'grafy nové'!$B$88</c:f>
              <c:strCache>
                <c:ptCount val="1"/>
                <c:pt idx="0">
                  <c:v>povrchová voda</c:v>
                </c:pt>
              </c:strCache>
            </c:strRef>
          </c:tx>
          <c:spPr>
            <a:solidFill>
              <a:schemeClr val="tx2">
                <a:lumMod val="60000"/>
                <a:lumOff val="40000"/>
              </a:schemeClr>
            </a:solidFill>
          </c:spPr>
          <c:invertIfNegative val="0"/>
          <c:dLbls>
            <c:dLbl>
              <c:idx val="0"/>
              <c:tx>
                <c:rich>
                  <a:bodyPr/>
                  <a:lstStyle/>
                  <a:p>
                    <a:pPr>
                      <a:defRPr sz="900" b="1" i="0" u="none" strike="noStrike" baseline="0">
                        <a:solidFill>
                          <a:srgbClr val="000000"/>
                        </a:solidFill>
                        <a:latin typeface="Arial"/>
                        <a:ea typeface="Arial"/>
                        <a:cs typeface="Arial"/>
                      </a:defRPr>
                    </a:pPr>
                    <a:r>
                      <a:rPr lang="en-US"/>
                      <a:t>72 %</a:t>
                    </a:r>
                  </a:p>
                </c:rich>
              </c:tx>
              <c:numFmt formatCode="#,##0.00" sourceLinked="0"/>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068-4FDB-9721-610495F3F443}"/>
                </c:ext>
              </c:extLst>
            </c:dLbl>
            <c:dLbl>
              <c:idx val="1"/>
              <c:layout>
                <c:manualLayout>
                  <c:x val="1.6666666666666666E-2"/>
                  <c:y val="0"/>
                </c:manualLayout>
              </c:layout>
              <c:tx>
                <c:rich>
                  <a:bodyPr/>
                  <a:lstStyle/>
                  <a:p>
                    <a:pPr>
                      <a:defRPr sz="900" b="1" i="0" u="none" strike="noStrike" baseline="0">
                        <a:solidFill>
                          <a:srgbClr val="000000"/>
                        </a:solidFill>
                        <a:latin typeface="Arial"/>
                        <a:ea typeface="Arial"/>
                        <a:cs typeface="Arial"/>
                      </a:defRPr>
                    </a:pPr>
                    <a:r>
                      <a:rPr lang="en-US"/>
                      <a:t>79 %</a:t>
                    </a:r>
                  </a:p>
                </c:rich>
              </c:tx>
              <c:numFmt formatCode="#,##0.00" sourceLinked="0"/>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068-4FDB-9721-610495F3F443}"/>
                </c:ext>
              </c:extLst>
            </c:dLbl>
            <c:dLbl>
              <c:idx val="2"/>
              <c:tx>
                <c:rich>
                  <a:bodyPr/>
                  <a:lstStyle/>
                  <a:p>
                    <a:pPr>
                      <a:defRPr sz="900" b="1" i="0" u="none" strike="noStrike" baseline="0">
                        <a:solidFill>
                          <a:srgbClr val="000000"/>
                        </a:solidFill>
                        <a:latin typeface="Arial"/>
                        <a:ea typeface="Arial"/>
                        <a:cs typeface="Arial"/>
                      </a:defRPr>
                    </a:pPr>
                    <a:r>
                      <a:rPr lang="en-US"/>
                      <a:t>65 %</a:t>
                    </a:r>
                  </a:p>
                </c:rich>
              </c:tx>
              <c:numFmt formatCode="#,##0.00" sourceLinked="0"/>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068-4FDB-9721-610495F3F443}"/>
                </c:ext>
              </c:extLst>
            </c:dLbl>
            <c:dLbl>
              <c:idx val="3"/>
              <c:layout>
                <c:manualLayout>
                  <c:x val="8.3333333333333332E-3"/>
                  <c:y val="-1.3071898788507742E-2"/>
                </c:manualLayout>
              </c:layout>
              <c:tx>
                <c:rich>
                  <a:bodyPr/>
                  <a:lstStyle/>
                  <a:p>
                    <a:pPr>
                      <a:defRPr sz="900" b="1" i="0" u="none" strike="noStrike" baseline="0">
                        <a:solidFill>
                          <a:srgbClr val="000000"/>
                        </a:solidFill>
                        <a:latin typeface="Arial"/>
                        <a:ea typeface="Arial"/>
                        <a:cs typeface="Arial"/>
                      </a:defRPr>
                    </a:pPr>
                    <a:r>
                      <a:rPr lang="en-US"/>
                      <a:t>85 %</a:t>
                    </a:r>
                  </a:p>
                </c:rich>
              </c:tx>
              <c:numFmt formatCode="#,##0.00" sourceLinked="0"/>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068-4FDB-9721-610495F3F443}"/>
                </c:ext>
              </c:extLst>
            </c:dLbl>
            <c:dLbl>
              <c:idx val="4"/>
              <c:tx>
                <c:rich>
                  <a:bodyPr/>
                  <a:lstStyle/>
                  <a:p>
                    <a:pPr>
                      <a:defRPr sz="900" b="1" i="0" u="none" strike="noStrike" baseline="0">
                        <a:solidFill>
                          <a:srgbClr val="000000"/>
                        </a:solidFill>
                        <a:latin typeface="Arial"/>
                        <a:ea typeface="Arial"/>
                        <a:cs typeface="Arial"/>
                      </a:defRPr>
                    </a:pPr>
                    <a:r>
                      <a:rPr lang="en-US"/>
                      <a:t>47 %</a:t>
                    </a:r>
                  </a:p>
                </c:rich>
              </c:tx>
              <c:numFmt formatCode="#,##0.00" sourceLinked="0"/>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5068-4FDB-9721-610495F3F443}"/>
                </c:ext>
              </c:extLst>
            </c:dLbl>
            <c:numFmt formatCode="#,##0.00" sourceLinked="0"/>
            <c:spPr>
              <a:noFill/>
              <a:ln w="25400">
                <a:noFill/>
              </a:ln>
            </c:spPr>
            <c:txPr>
              <a:bodyPr wrap="square" lIns="38100" tIns="19050" rIns="38100" bIns="19050" anchor="ctr">
                <a:spAutoFit/>
              </a:bodyPr>
              <a:lstStyle/>
              <a:p>
                <a:pPr>
                  <a:defRPr sz="900" b="1" i="0" u="none" strike="noStrike" baseline="0">
                    <a:solidFill>
                      <a:srgbClr val="000000"/>
                    </a:solidFill>
                    <a:latin typeface="Arial"/>
                    <a:ea typeface="Arial"/>
                    <a:cs typeface="Aria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'grafy nové'!$A$89:$A$93</c:f>
              <c:strCache>
                <c:ptCount val="5"/>
                <c:pt idx="0">
                  <c:v>Vodovody pro veř. potřebu</c:v>
                </c:pt>
                <c:pt idx="1">
                  <c:v>Průmysl (vč. dobývání)</c:v>
                </c:pt>
                <c:pt idx="2">
                  <c:v>Energetika</c:v>
                </c:pt>
                <c:pt idx="3">
                  <c:v>Zemědělství</c:v>
                </c:pt>
                <c:pt idx="4">
                  <c:v>Ostatní (vč. stavebnictví)</c:v>
                </c:pt>
              </c:strCache>
            </c:strRef>
          </c:cat>
          <c:val>
            <c:numRef>
              <c:f>'grafy nové'!$B$89:$B$93</c:f>
              <c:numCache>
                <c:formatCode>0.0</c:formatCode>
                <c:ptCount val="5"/>
                <c:pt idx="0">
                  <c:v>277.68</c:v>
                </c:pt>
                <c:pt idx="1">
                  <c:v>216.7</c:v>
                </c:pt>
                <c:pt idx="2">
                  <c:v>99.5</c:v>
                </c:pt>
                <c:pt idx="3">
                  <c:v>96.5</c:v>
                </c:pt>
                <c:pt idx="4">
                  <c:v>111.126</c:v>
                </c:pt>
              </c:numCache>
            </c:numRef>
          </c:val>
          <c:extLst>
            <c:ext xmlns:c16="http://schemas.microsoft.com/office/drawing/2014/chart" uri="{C3380CC4-5D6E-409C-BE32-E72D297353CC}">
              <c16:uniqueId val="{00000005-5068-4FDB-9721-610495F3F443}"/>
            </c:ext>
          </c:extLst>
        </c:ser>
        <c:ser>
          <c:idx val="1"/>
          <c:order val="1"/>
          <c:tx>
            <c:strRef>
              <c:f>'grafy nové'!$C$88</c:f>
              <c:strCache>
                <c:ptCount val="1"/>
                <c:pt idx="0">
                  <c:v>podzemní voda</c:v>
                </c:pt>
              </c:strCache>
            </c:strRef>
          </c:tx>
          <c:spPr>
            <a:solidFill>
              <a:schemeClr val="accent5">
                <a:lumMod val="60000"/>
                <a:lumOff val="40000"/>
              </a:schemeClr>
            </a:solidFill>
          </c:spPr>
          <c:invertIfNegative val="0"/>
          <c:dLbls>
            <c:dLbl>
              <c:idx val="0"/>
              <c:layout>
                <c:manualLayout>
                  <c:x val="2.4999781277340333E-2"/>
                  <c:y val="9.803666770538514E-3"/>
                </c:manualLayout>
              </c:layout>
              <c:tx>
                <c:rich>
                  <a:bodyPr/>
                  <a:lstStyle/>
                  <a:p>
                    <a:pPr>
                      <a:defRPr sz="900" b="1" i="0" u="none" strike="noStrike" baseline="0">
                        <a:solidFill>
                          <a:srgbClr val="000000"/>
                        </a:solidFill>
                        <a:latin typeface="Arial"/>
                        <a:ea typeface="Arial"/>
                        <a:cs typeface="Arial"/>
                      </a:defRPr>
                    </a:pPr>
                    <a:r>
                      <a:rPr lang="en-US"/>
                      <a:t>28</a:t>
                    </a:r>
                    <a:r>
                      <a:rPr lang="en-US" baseline="0"/>
                      <a:t> </a:t>
                    </a:r>
                    <a:r>
                      <a:rPr lang="en-US"/>
                      <a:t>%</a:t>
                    </a:r>
                  </a:p>
                </c:rich>
              </c:tx>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5068-4FDB-9721-610495F3F443}"/>
                </c:ext>
              </c:extLst>
            </c:dLbl>
            <c:dLbl>
              <c:idx val="1"/>
              <c:layout>
                <c:manualLayout>
                  <c:x val="1.9444444444444445E-2"/>
                  <c:y val="3.2679746971269355E-3"/>
                </c:manualLayout>
              </c:layout>
              <c:tx>
                <c:rich>
                  <a:bodyPr/>
                  <a:lstStyle/>
                  <a:p>
                    <a:pPr>
                      <a:defRPr sz="900" b="1" i="0" u="none" strike="noStrike" baseline="0">
                        <a:solidFill>
                          <a:srgbClr val="000000"/>
                        </a:solidFill>
                        <a:latin typeface="Arial"/>
                        <a:ea typeface="Arial"/>
                        <a:cs typeface="Arial"/>
                      </a:defRPr>
                    </a:pPr>
                    <a:r>
                      <a:rPr lang="en-US"/>
                      <a:t>29 %</a:t>
                    </a:r>
                  </a:p>
                </c:rich>
              </c:tx>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5068-4FDB-9721-610495F3F443}"/>
                </c:ext>
              </c:extLst>
            </c:dLbl>
            <c:dLbl>
              <c:idx val="2"/>
              <c:layout>
                <c:manualLayout>
                  <c:x val="1.6666666666666614E-2"/>
                  <c:y val="-9.803924091380806E-3"/>
                </c:manualLayout>
              </c:layout>
              <c:tx>
                <c:rich>
                  <a:bodyPr/>
                  <a:lstStyle/>
                  <a:p>
                    <a:pPr>
                      <a:defRPr sz="900" b="1" i="0" u="none" strike="noStrike" baseline="0">
                        <a:solidFill>
                          <a:srgbClr val="000000"/>
                        </a:solidFill>
                        <a:latin typeface="Arial"/>
                        <a:ea typeface="Arial"/>
                        <a:cs typeface="Arial"/>
                      </a:defRPr>
                    </a:pPr>
                    <a:r>
                      <a:rPr lang="en-US"/>
                      <a:t>35 %</a:t>
                    </a:r>
                  </a:p>
                </c:rich>
              </c:tx>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5068-4FDB-9721-610495F3F443}"/>
                </c:ext>
              </c:extLst>
            </c:dLbl>
            <c:dLbl>
              <c:idx val="3"/>
              <c:layout>
                <c:manualLayout>
                  <c:x val="1.9444444444444445E-2"/>
                  <c:y val="0"/>
                </c:manualLayout>
              </c:layout>
              <c:tx>
                <c:rich>
                  <a:bodyPr/>
                  <a:lstStyle/>
                  <a:p>
                    <a:pPr>
                      <a:defRPr sz="900" b="1" i="0" u="none" strike="noStrike" baseline="0">
                        <a:solidFill>
                          <a:srgbClr val="000000"/>
                        </a:solidFill>
                        <a:latin typeface="Arial"/>
                        <a:ea typeface="Arial"/>
                        <a:cs typeface="Arial"/>
                      </a:defRPr>
                    </a:pPr>
                    <a:r>
                      <a:rPr lang="en-US"/>
                      <a:t>15 %</a:t>
                    </a:r>
                  </a:p>
                </c:rich>
              </c:tx>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5068-4FDB-9721-610495F3F443}"/>
                </c:ext>
              </c:extLst>
            </c:dLbl>
            <c:dLbl>
              <c:idx val="4"/>
              <c:layout>
                <c:manualLayout>
                  <c:x val="2.5000000000000001E-2"/>
                  <c:y val="-9.803924091380806E-3"/>
                </c:manualLayout>
              </c:layout>
              <c:tx>
                <c:rich>
                  <a:bodyPr/>
                  <a:lstStyle/>
                  <a:p>
                    <a:pPr>
                      <a:defRPr sz="900" b="1" i="0" u="none" strike="noStrike" baseline="0">
                        <a:solidFill>
                          <a:srgbClr val="000000"/>
                        </a:solidFill>
                        <a:latin typeface="Arial"/>
                        <a:ea typeface="Arial"/>
                        <a:cs typeface="Arial"/>
                      </a:defRPr>
                    </a:pPr>
                    <a:r>
                      <a:rPr lang="en-US"/>
                      <a:t>53 %</a:t>
                    </a:r>
                  </a:p>
                </c:rich>
              </c:tx>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5068-4FDB-9721-610495F3F443}"/>
                </c:ext>
              </c:extLst>
            </c:dLbl>
            <c:spPr>
              <a:noFill/>
              <a:ln w="25400">
                <a:noFill/>
              </a:ln>
            </c:spPr>
            <c:txPr>
              <a:bodyPr wrap="square" lIns="38100" tIns="19050" rIns="38100" bIns="19050" anchor="ctr">
                <a:spAutoFit/>
              </a:bodyPr>
              <a:lstStyle/>
              <a:p>
                <a:pPr>
                  <a:defRPr sz="900" b="1" i="0" u="none" strike="noStrike" baseline="0">
                    <a:solidFill>
                      <a:srgbClr val="000000"/>
                    </a:solidFill>
                    <a:latin typeface="Arial"/>
                    <a:ea typeface="Arial"/>
                    <a:cs typeface="Aria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'grafy nové'!$A$89:$A$93</c:f>
              <c:strCache>
                <c:ptCount val="5"/>
                <c:pt idx="0">
                  <c:v>Vodovody pro veř. potřebu</c:v>
                </c:pt>
                <c:pt idx="1">
                  <c:v>Průmysl (vč. dobývání)</c:v>
                </c:pt>
                <c:pt idx="2">
                  <c:v>Energetika</c:v>
                </c:pt>
                <c:pt idx="3">
                  <c:v>Zemědělství</c:v>
                </c:pt>
                <c:pt idx="4">
                  <c:v>Ostatní (vč. stavebnictví)</c:v>
                </c:pt>
              </c:strCache>
            </c:strRef>
          </c:cat>
          <c:val>
            <c:numRef>
              <c:f>'grafy nové'!$C$89:$C$93</c:f>
              <c:numCache>
                <c:formatCode>0.0</c:formatCode>
                <c:ptCount val="5"/>
                <c:pt idx="0">
                  <c:v>110.413</c:v>
                </c:pt>
                <c:pt idx="1">
                  <c:v>58.9</c:v>
                </c:pt>
                <c:pt idx="2">
                  <c:v>54.6</c:v>
                </c:pt>
                <c:pt idx="3">
                  <c:v>16.3</c:v>
                </c:pt>
                <c:pt idx="4">
                  <c:v>124.654</c:v>
                </c:pt>
              </c:numCache>
            </c:numRef>
          </c:val>
          <c:extLst>
            <c:ext xmlns:c16="http://schemas.microsoft.com/office/drawing/2014/chart" uri="{C3380CC4-5D6E-409C-BE32-E72D297353CC}">
              <c16:uniqueId val="{0000000B-5068-4FDB-9721-610495F3F443}"/>
            </c:ext>
          </c:extLst>
        </c:ser>
        <c:dLbls>
          <c:showLegendKey val="0"/>
          <c:showVal val="0"/>
          <c:showCatName val="0"/>
          <c:showSerName val="0"/>
          <c:showPercent val="0"/>
          <c:showBubbleSize val="0"/>
        </c:dLbls>
        <c:gapWidth val="150"/>
        <c:axId val="1384943808"/>
        <c:axId val="1"/>
      </c:barChart>
      <c:catAx>
        <c:axId val="1384943808"/>
        <c:scaling>
          <c:orientation val="minMax"/>
        </c:scaling>
        <c:delete val="0"/>
        <c:axPos val="b"/>
        <c:numFmt formatCode="General" sourceLinked="1"/>
        <c:majorTickMark val="out"/>
        <c:minorTickMark val="none"/>
        <c:tickLblPos val="nextTo"/>
        <c:txPr>
          <a:bodyPr rot="-2700000" vert="horz"/>
          <a:lstStyle/>
          <a:p>
            <a:pPr>
              <a:defRPr sz="900" b="0" i="0" u="none" strike="noStrike" baseline="0">
                <a:solidFill>
                  <a:srgbClr val="000000"/>
                </a:solidFill>
                <a:latin typeface="Arial"/>
                <a:ea typeface="Arial"/>
                <a:cs typeface="Arial"/>
              </a:defRPr>
            </a:pPr>
            <a:endParaRPr lang="cs-CZ"/>
          </a:p>
        </c:txPr>
        <c:crossAx val="1"/>
        <c:crosses val="autoZero"/>
        <c:auto val="1"/>
        <c:lblAlgn val="ctr"/>
        <c:lblOffset val="100"/>
        <c:noMultiLvlLbl val="0"/>
      </c:catAx>
      <c:valAx>
        <c:axId val="1"/>
        <c:scaling>
          <c:orientation val="minMax"/>
        </c:scaling>
        <c:delete val="0"/>
        <c:axPos val="l"/>
        <c:majorGridlines/>
        <c:title>
          <c:tx>
            <c:rich>
              <a:bodyPr/>
              <a:lstStyle/>
              <a:p>
                <a:pPr>
                  <a:defRPr sz="1100" b="0" i="0" u="none" strike="noStrike" baseline="0">
                    <a:solidFill>
                      <a:srgbClr val="000000"/>
                    </a:solidFill>
                    <a:latin typeface="Aptos Narrow"/>
                    <a:ea typeface="Aptos Narrow"/>
                    <a:cs typeface="Aptos Narrow"/>
                  </a:defRPr>
                </a:pPr>
                <a:r>
                  <a:rPr lang="cs-CZ" sz="900" b="1" i="0" u="none" strike="noStrike" baseline="0">
                    <a:solidFill>
                      <a:srgbClr val="000000"/>
                    </a:solidFill>
                    <a:latin typeface="Arial"/>
                    <a:cs typeface="Arial"/>
                  </a:rPr>
                  <a:t>mil. m</a:t>
                </a:r>
                <a:r>
                  <a:rPr lang="cs-CZ" sz="900" b="1" i="0" u="none" strike="noStrike" baseline="30000">
                    <a:solidFill>
                      <a:srgbClr val="000000"/>
                    </a:solidFill>
                    <a:latin typeface="Arial"/>
                    <a:cs typeface="Arial"/>
                  </a:rPr>
                  <a:t>3</a:t>
                </a:r>
              </a:p>
            </c:rich>
          </c:tx>
          <c:overlay val="0"/>
        </c:title>
        <c:numFmt formatCode="General" sourceLinked="0"/>
        <c:majorTickMark val="out"/>
        <c:minorTickMark val="none"/>
        <c:tickLblPos val="nextTo"/>
        <c:txPr>
          <a:bodyPr rot="0" vert="horz"/>
          <a:lstStyle/>
          <a:p>
            <a:pPr>
              <a:defRPr sz="900" b="0" i="0" u="none" strike="noStrike" baseline="0">
                <a:solidFill>
                  <a:srgbClr val="000000"/>
                </a:solidFill>
                <a:latin typeface="Arial"/>
                <a:ea typeface="Arial"/>
                <a:cs typeface="Arial"/>
              </a:defRPr>
            </a:pPr>
            <a:endParaRPr lang="cs-CZ"/>
          </a:p>
        </c:txPr>
        <c:crossAx val="1384943808"/>
        <c:crosses val="autoZero"/>
        <c:crossBetween val="between"/>
      </c:valAx>
    </c:plotArea>
    <c:legend>
      <c:legendPos val="r"/>
      <c:layout>
        <c:manualLayout>
          <c:xMode val="edge"/>
          <c:yMode val="edge"/>
          <c:x val="0.75296564750598227"/>
          <c:y val="0.44119062323091968"/>
          <c:w val="0.22588981013134946"/>
          <c:h val="9.8042303535587461E-2"/>
        </c:manualLayout>
      </c:layout>
      <c:overlay val="0"/>
      <c:txPr>
        <a:bodyPr/>
        <a:lstStyle/>
        <a:p>
          <a:pPr>
            <a:defRPr sz="755" b="0" i="0" u="none" strike="noStrike" baseline="0">
              <a:solidFill>
                <a:srgbClr val="000000"/>
              </a:solidFill>
              <a:latin typeface="Arial"/>
              <a:ea typeface="Arial"/>
              <a:cs typeface="Arial"/>
            </a:defRPr>
          </a:pPr>
          <a:endParaRPr lang="cs-CZ"/>
        </a:p>
      </c:txPr>
    </c:legend>
    <c:plotVisOnly val="1"/>
    <c:dispBlanksAs val="gap"/>
    <c:showDLblsOverMax val="0"/>
  </c:chart>
  <c:txPr>
    <a:bodyPr/>
    <a:lstStyle/>
    <a:p>
      <a:pPr>
        <a:defRPr sz="900" b="0" i="0" u="none" strike="noStrike" baseline="0">
          <a:solidFill>
            <a:srgbClr val="000000"/>
          </a:solidFill>
          <a:latin typeface="Arial"/>
          <a:ea typeface="Arial"/>
          <a:cs typeface="Arial"/>
        </a:defRPr>
      </a:pPr>
      <a:endParaRPr lang="cs-CZ"/>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75" b="0" i="0" u="none" strike="noStrike" baseline="0">
                <a:solidFill>
                  <a:srgbClr val="000000"/>
                </a:solidFill>
                <a:latin typeface="Arial CE"/>
                <a:ea typeface="Arial CE"/>
                <a:cs typeface="Arial CE"/>
              </a:defRPr>
            </a:pPr>
            <a:r>
              <a:rPr lang="cs-CZ" sz="1125" b="1" i="0" u="none" strike="noStrike" baseline="0">
                <a:solidFill>
                  <a:srgbClr val="000000"/>
                </a:solidFill>
                <a:latin typeface="Times New Roman"/>
                <a:cs typeface="Times New Roman"/>
              </a:rPr>
              <a:t>Ukazatel CHSK</a:t>
            </a:r>
            <a:r>
              <a:rPr lang="cs-CZ" sz="1125" b="1" i="0" u="none" strike="noStrike" baseline="-25000">
                <a:solidFill>
                  <a:srgbClr val="000000"/>
                </a:solidFill>
                <a:latin typeface="Times New Roman"/>
                <a:cs typeface="Times New Roman"/>
              </a:rPr>
              <a:t>Cr</a:t>
            </a:r>
          </a:p>
        </c:rich>
      </c:tx>
      <c:layout>
        <c:manualLayout>
          <c:xMode val="edge"/>
          <c:yMode val="edge"/>
          <c:x val="0.38283062645011601"/>
          <c:y val="3.1666666666666669E-2"/>
        </c:manualLayout>
      </c:layout>
      <c:overlay val="0"/>
      <c:spPr>
        <a:noFill/>
        <a:ln w="25400">
          <a:noFill/>
        </a:ln>
      </c:spPr>
    </c:title>
    <c:autoTitleDeleted val="0"/>
    <c:plotArea>
      <c:layout>
        <c:manualLayout>
          <c:layoutTarget val="inner"/>
          <c:xMode val="edge"/>
          <c:yMode val="edge"/>
          <c:x val="0.16009280742459397"/>
          <c:y val="0.12333353407150728"/>
          <c:w val="0.77494199535962882"/>
          <c:h val="0.68166777615197938"/>
        </c:manualLayout>
      </c:layout>
      <c:barChart>
        <c:barDir val="col"/>
        <c:grouping val="clustered"/>
        <c:varyColors val="0"/>
        <c:ser>
          <c:idx val="0"/>
          <c:order val="0"/>
          <c:tx>
            <c:strRef>
              <c:f>tab!$C$46</c:f>
              <c:strCache>
                <c:ptCount val="1"/>
                <c:pt idx="0">
                  <c:v>vypouštěné</c:v>
                </c:pt>
              </c:strCache>
            </c:strRef>
          </c:tx>
          <c:spPr>
            <a:solidFill>
              <a:srgbClr val="4F81BD"/>
            </a:solidFill>
            <a:ln w="12700">
              <a:solidFill>
                <a:srgbClr val="000000"/>
              </a:solidFill>
              <a:prstDash val="solid"/>
            </a:ln>
          </c:spPr>
          <c:invertIfNegative val="0"/>
          <c:cat>
            <c:numRef>
              <c:f>tab!$B$47:$B$82</c:f>
              <c:numCache>
                <c:formatCode>General_)</c:formatCode>
                <c:ptCount val="3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pt idx="35">
                  <c:v>2025</c:v>
                </c:pt>
              </c:numCache>
            </c:numRef>
          </c:cat>
          <c:val>
            <c:numRef>
              <c:f>tab!$M$47:$M$82</c:f>
              <c:numCache>
                <c:formatCode>0.000__</c:formatCode>
                <c:ptCount val="36"/>
                <c:pt idx="0">
                  <c:v>406.5</c:v>
                </c:pt>
                <c:pt idx="1">
                  <c:v>360.4</c:v>
                </c:pt>
                <c:pt idx="2">
                  <c:v>350.2</c:v>
                </c:pt>
                <c:pt idx="3">
                  <c:v>317.10000000000002</c:v>
                </c:pt>
                <c:pt idx="4">
                  <c:v>276.7</c:v>
                </c:pt>
                <c:pt idx="5">
                  <c:v>238.1</c:v>
                </c:pt>
                <c:pt idx="6">
                  <c:v>182</c:v>
                </c:pt>
                <c:pt idx="7">
                  <c:v>152.80000000000001</c:v>
                </c:pt>
                <c:pt idx="8">
                  <c:v>114.896</c:v>
                </c:pt>
                <c:pt idx="9">
                  <c:v>90.361000000000004</c:v>
                </c:pt>
                <c:pt idx="10">
                  <c:v>81.799000000000007</c:v>
                </c:pt>
                <c:pt idx="11">
                  <c:v>74.671999999999997</c:v>
                </c:pt>
                <c:pt idx="12">
                  <c:v>92.265000000000001</c:v>
                </c:pt>
                <c:pt idx="13">
                  <c:v>59.811999999999998</c:v>
                </c:pt>
                <c:pt idx="14">
                  <c:v>57.344999999999999</c:v>
                </c:pt>
                <c:pt idx="15">
                  <c:v>52.874000000000002</c:v>
                </c:pt>
                <c:pt idx="16">
                  <c:v>53.689</c:v>
                </c:pt>
                <c:pt idx="17">
                  <c:v>48.874000000000002</c:v>
                </c:pt>
                <c:pt idx="18">
                  <c:v>45.481999999999999</c:v>
                </c:pt>
                <c:pt idx="19">
                  <c:v>44.343000000000004</c:v>
                </c:pt>
                <c:pt idx="20">
                  <c:v>46.027999999999999</c:v>
                </c:pt>
                <c:pt idx="21">
                  <c:v>42.679000000000002</c:v>
                </c:pt>
                <c:pt idx="22">
                  <c:v>40.822000000000003</c:v>
                </c:pt>
                <c:pt idx="23">
                  <c:v>40.1</c:v>
                </c:pt>
                <c:pt idx="24">
                  <c:v>36.561</c:v>
                </c:pt>
                <c:pt idx="25">
                  <c:v>36.966999999999999</c:v>
                </c:pt>
                <c:pt idx="26">
                  <c:v>37.445999999999998</c:v>
                </c:pt>
                <c:pt idx="27">
                  <c:v>40.533999999999999</c:v>
                </c:pt>
                <c:pt idx="28">
                  <c:v>35.741</c:v>
                </c:pt>
                <c:pt idx="29">
                  <c:v>37.53</c:v>
                </c:pt>
                <c:pt idx="30">
                  <c:v>37.338000000000001</c:v>
                </c:pt>
                <c:pt idx="31">
                  <c:v>37.509</c:v>
                </c:pt>
                <c:pt idx="32">
                  <c:v>36.223999999999997</c:v>
                </c:pt>
                <c:pt idx="33">
                  <c:v>34.774999999999999</c:v>
                </c:pt>
                <c:pt idx="34">
                  <c:v>39.176000000000002</c:v>
                </c:pt>
                <c:pt idx="35">
                  <c:v>36.475000000000001</c:v>
                </c:pt>
              </c:numCache>
            </c:numRef>
          </c:val>
          <c:extLst>
            <c:ext xmlns:c16="http://schemas.microsoft.com/office/drawing/2014/chart" uri="{C3380CC4-5D6E-409C-BE32-E72D297353CC}">
              <c16:uniqueId val="{00000000-1330-42AB-95ED-6BFC5740F007}"/>
            </c:ext>
          </c:extLst>
        </c:ser>
        <c:ser>
          <c:idx val="1"/>
          <c:order val="1"/>
          <c:tx>
            <c:strRef>
              <c:f>tab!$D$46</c:f>
              <c:strCache>
                <c:ptCount val="1"/>
                <c:pt idx="0">
                  <c:v>zpoplatněné</c:v>
                </c:pt>
              </c:strCache>
            </c:strRef>
          </c:tx>
          <c:spPr>
            <a:solidFill>
              <a:schemeClr val="accent1">
                <a:lumMod val="40000"/>
                <a:lumOff val="60000"/>
              </a:schemeClr>
            </a:solidFill>
            <a:ln w="12700">
              <a:solidFill>
                <a:srgbClr val="000000"/>
              </a:solidFill>
              <a:prstDash val="solid"/>
            </a:ln>
          </c:spPr>
          <c:invertIfNegative val="0"/>
          <c:cat>
            <c:numRef>
              <c:f>tab!$B$47:$B$82</c:f>
              <c:numCache>
                <c:formatCode>General_)</c:formatCode>
                <c:ptCount val="3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pt idx="35">
                  <c:v>2025</c:v>
                </c:pt>
              </c:numCache>
            </c:numRef>
          </c:cat>
          <c:val>
            <c:numRef>
              <c:f>tab!$N$47:$N$82</c:f>
              <c:numCache>
                <c:formatCode>General</c:formatCode>
                <c:ptCount val="36"/>
                <c:pt idx="9" formatCode="0.000__">
                  <c:v>78.313999999999993</c:v>
                </c:pt>
                <c:pt idx="10" formatCode="0.000__">
                  <c:v>50.116</c:v>
                </c:pt>
                <c:pt idx="14" formatCode="0.000__">
                  <c:v>22.902999999999999</c:v>
                </c:pt>
                <c:pt idx="15" formatCode="0.000__">
                  <c:v>20.613</c:v>
                </c:pt>
                <c:pt idx="16" formatCode="0.000__">
                  <c:v>19.881</c:v>
                </c:pt>
                <c:pt idx="17" formatCode="0.000__">
                  <c:v>17.245999999999999</c:v>
                </c:pt>
                <c:pt idx="18" formatCode="0.000__">
                  <c:v>13.337</c:v>
                </c:pt>
                <c:pt idx="19" formatCode="0.000__">
                  <c:v>11.792999999999999</c:v>
                </c:pt>
                <c:pt idx="20" formatCode="0.000__">
                  <c:v>9.4280000000000008</c:v>
                </c:pt>
                <c:pt idx="21" formatCode="0.000__">
                  <c:v>10.601000000000001</c:v>
                </c:pt>
                <c:pt idx="22" formatCode="0.000__">
                  <c:v>9.3070000000000004</c:v>
                </c:pt>
                <c:pt idx="23" formatCode="0.000__">
                  <c:v>0</c:v>
                </c:pt>
                <c:pt idx="24" formatCode="0.000__">
                  <c:v>0</c:v>
                </c:pt>
                <c:pt idx="25" formatCode="0.000__">
                  <c:v>0</c:v>
                </c:pt>
                <c:pt idx="26" formatCode="0.000__">
                  <c:v>0</c:v>
                </c:pt>
                <c:pt idx="27" formatCode="0.000__">
                  <c:v>0</c:v>
                </c:pt>
                <c:pt idx="28" formatCode="0.000__">
                  <c:v>0</c:v>
                </c:pt>
                <c:pt idx="29" formatCode="0.000__">
                  <c:v>0</c:v>
                </c:pt>
                <c:pt idx="30" formatCode="0.000__">
                  <c:v>0</c:v>
                </c:pt>
                <c:pt idx="31" formatCode="0.000__">
                  <c:v>0</c:v>
                </c:pt>
                <c:pt idx="32" formatCode="0.000__">
                  <c:v>0</c:v>
                </c:pt>
                <c:pt idx="33" formatCode="0.000__">
                  <c:v>0</c:v>
                </c:pt>
                <c:pt idx="34" formatCode="0.000__">
                  <c:v>0</c:v>
                </c:pt>
                <c:pt idx="35" formatCode="0.000__">
                  <c:v>0</c:v>
                </c:pt>
              </c:numCache>
            </c:numRef>
          </c:val>
          <c:extLst>
            <c:ext xmlns:c16="http://schemas.microsoft.com/office/drawing/2014/chart" uri="{C3380CC4-5D6E-409C-BE32-E72D297353CC}">
              <c16:uniqueId val="{00000001-1330-42AB-95ED-6BFC5740F007}"/>
            </c:ext>
          </c:extLst>
        </c:ser>
        <c:dLbls>
          <c:showLegendKey val="0"/>
          <c:showVal val="0"/>
          <c:showCatName val="0"/>
          <c:showSerName val="0"/>
          <c:showPercent val="0"/>
          <c:showBubbleSize val="0"/>
        </c:dLbls>
        <c:gapWidth val="150"/>
        <c:axId val="1266314128"/>
        <c:axId val="1"/>
      </c:barChart>
      <c:catAx>
        <c:axId val="1266314128"/>
        <c:scaling>
          <c:orientation val="minMax"/>
        </c:scaling>
        <c:delete val="0"/>
        <c:axPos val="b"/>
        <c:numFmt formatCode="General_)" sourceLinked="1"/>
        <c:majorTickMark val="out"/>
        <c:minorTickMark val="none"/>
        <c:tickLblPos val="nextTo"/>
        <c:spPr>
          <a:ln w="3175">
            <a:solidFill>
              <a:srgbClr val="000000"/>
            </a:solidFill>
            <a:prstDash val="solid"/>
          </a:ln>
        </c:spPr>
        <c:txPr>
          <a:bodyPr rot="-5400000" vert="horz"/>
          <a:lstStyle/>
          <a:p>
            <a:pPr>
              <a:defRPr sz="925" b="0" i="0" u="none" strike="noStrike" baseline="0">
                <a:solidFill>
                  <a:srgbClr val="000000"/>
                </a:solidFill>
                <a:latin typeface="Times New Roman"/>
                <a:ea typeface="Times New Roman"/>
                <a:cs typeface="Times New Roman"/>
              </a:defRPr>
            </a:pPr>
            <a:endParaRPr lang="cs-CZ"/>
          </a:p>
        </c:txPr>
        <c:crossAx val="1"/>
        <c:crosses val="autoZero"/>
        <c:auto val="1"/>
        <c:lblAlgn val="ctr"/>
        <c:lblOffset val="100"/>
        <c:tickLblSkip val="2"/>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925" b="0" i="0" u="none" strike="noStrike" baseline="0">
                    <a:solidFill>
                      <a:srgbClr val="000000"/>
                    </a:solidFill>
                    <a:latin typeface="Times New Roman"/>
                    <a:ea typeface="Times New Roman"/>
                    <a:cs typeface="Times New Roman"/>
                  </a:defRPr>
                </a:pPr>
                <a:r>
                  <a:rPr lang="cs-CZ"/>
                  <a:t>tis. t/rok</a:t>
                </a:r>
              </a:p>
            </c:rich>
          </c:tx>
          <c:layout>
            <c:manualLayout>
              <c:xMode val="edge"/>
              <c:yMode val="edge"/>
              <c:x val="2.5522041763341066E-2"/>
              <c:y val="0.42666736657917759"/>
            </c:manualLayout>
          </c:layout>
          <c:overlay val="0"/>
          <c:spPr>
            <a:noFill/>
            <a:ln w="25400">
              <a:noFill/>
            </a:ln>
          </c:spPr>
        </c:title>
        <c:numFmt formatCode="0__" sourceLinked="0"/>
        <c:majorTickMark val="out"/>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Times New Roman"/>
                <a:ea typeface="Times New Roman"/>
                <a:cs typeface="Times New Roman"/>
              </a:defRPr>
            </a:pPr>
            <a:endParaRPr lang="cs-CZ"/>
          </a:p>
        </c:txPr>
        <c:crossAx val="1266314128"/>
        <c:crosses val="autoZero"/>
        <c:crossBetween val="between"/>
      </c:valAx>
      <c:spPr>
        <a:solidFill>
          <a:sysClr val="window" lastClr="FFFFFF"/>
        </a:solidFill>
        <a:ln w="12700">
          <a:solidFill>
            <a:srgbClr val="808080"/>
          </a:solidFill>
          <a:prstDash val="solid"/>
        </a:ln>
      </c:spPr>
    </c:plotArea>
    <c:legend>
      <c:legendPos val="b"/>
      <c:layout>
        <c:manualLayout>
          <c:xMode val="edge"/>
          <c:yMode val="edge"/>
          <c:x val="0.3619489559164733"/>
          <c:y val="0.9383349081364829"/>
          <c:w val="0.3619489559164733"/>
          <c:h val="3.833333333333333E-2"/>
        </c:manualLayout>
      </c:layout>
      <c:overlay val="0"/>
      <c:spPr>
        <a:solidFill>
          <a:srgbClr val="FFFFFF"/>
        </a:solidFill>
        <a:ln w="25400">
          <a:noFill/>
        </a:ln>
      </c:spPr>
      <c:txPr>
        <a:bodyPr/>
        <a:lstStyle/>
        <a:p>
          <a:pPr>
            <a:defRPr sz="600" b="0" i="0" u="none" strike="noStrike" baseline="0">
              <a:solidFill>
                <a:srgbClr val="000000"/>
              </a:solidFill>
              <a:latin typeface="Times New Roman"/>
              <a:ea typeface="Times New Roman"/>
              <a:cs typeface="Times New Roman"/>
            </a:defRPr>
          </a:pPr>
          <a:endParaRPr lang="cs-CZ"/>
        </a:p>
      </c:txPr>
    </c:legend>
    <c:plotVisOnly val="1"/>
    <c:dispBlanksAs val="gap"/>
    <c:showDLblsOverMax val="0"/>
  </c:chart>
  <c:spPr>
    <a:solidFill>
      <a:srgbClr val="FFFFFF"/>
    </a:solidFill>
    <a:ln w="3175">
      <a:solidFill>
        <a:srgbClr val="000000"/>
      </a:solidFill>
      <a:prstDash val="solid"/>
    </a:ln>
  </c:spPr>
  <c:txPr>
    <a:bodyPr/>
    <a:lstStyle/>
    <a:p>
      <a:pPr>
        <a:defRPr sz="875" b="0" i="0" u="none" strike="noStrike" baseline="0">
          <a:solidFill>
            <a:srgbClr val="000000"/>
          </a:solidFill>
          <a:latin typeface="Arial CE"/>
          <a:ea typeface="Arial CE"/>
          <a:cs typeface="Arial CE"/>
        </a:defRPr>
      </a:pPr>
      <a:endParaRPr lang="cs-CZ"/>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25" b="1" i="0" u="none" strike="noStrike" baseline="0">
                <a:solidFill>
                  <a:srgbClr val="000000"/>
                </a:solidFill>
                <a:latin typeface="Times New Roman"/>
                <a:ea typeface="Times New Roman"/>
                <a:cs typeface="Times New Roman"/>
              </a:defRPr>
            </a:pPr>
            <a:r>
              <a:rPr lang="cs-CZ"/>
              <a:t>Nerozpuštěné látky</a:t>
            </a:r>
          </a:p>
        </c:rich>
      </c:tx>
      <c:layout>
        <c:manualLayout>
          <c:xMode val="edge"/>
          <c:yMode val="edge"/>
          <c:x val="0.36890951276102091"/>
          <c:y val="3.1666666666666669E-2"/>
        </c:manualLayout>
      </c:layout>
      <c:overlay val="0"/>
      <c:spPr>
        <a:noFill/>
        <a:ln w="25400">
          <a:noFill/>
        </a:ln>
      </c:spPr>
    </c:title>
    <c:autoTitleDeleted val="0"/>
    <c:plotArea>
      <c:layout>
        <c:manualLayout>
          <c:layoutTarget val="inner"/>
          <c:xMode val="edge"/>
          <c:yMode val="edge"/>
          <c:x val="0.16009280742459397"/>
          <c:y val="0.12333353407150728"/>
          <c:w val="0.77494199535962882"/>
          <c:h val="0.68166777615197938"/>
        </c:manualLayout>
      </c:layout>
      <c:barChart>
        <c:barDir val="col"/>
        <c:grouping val="clustered"/>
        <c:varyColors val="0"/>
        <c:ser>
          <c:idx val="0"/>
          <c:order val="0"/>
          <c:tx>
            <c:strRef>
              <c:f>tab!$C$46</c:f>
              <c:strCache>
                <c:ptCount val="1"/>
                <c:pt idx="0">
                  <c:v>vypouštěné</c:v>
                </c:pt>
              </c:strCache>
            </c:strRef>
          </c:tx>
          <c:spPr>
            <a:solidFill>
              <a:srgbClr val="4F81BD"/>
            </a:solidFill>
            <a:ln w="12700">
              <a:solidFill>
                <a:srgbClr val="000000"/>
              </a:solidFill>
              <a:prstDash val="solid"/>
            </a:ln>
          </c:spPr>
          <c:invertIfNegative val="0"/>
          <c:cat>
            <c:numRef>
              <c:f>tab!$B$47:$B$82</c:f>
              <c:numCache>
                <c:formatCode>General_)</c:formatCode>
                <c:ptCount val="3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pt idx="35">
                  <c:v>2025</c:v>
                </c:pt>
              </c:numCache>
            </c:numRef>
          </c:cat>
          <c:val>
            <c:numRef>
              <c:f>tab!$E$47:$E$82</c:f>
              <c:numCache>
                <c:formatCode>0.000__</c:formatCode>
                <c:ptCount val="36"/>
                <c:pt idx="0">
                  <c:v>190.5</c:v>
                </c:pt>
                <c:pt idx="1">
                  <c:v>165.1</c:v>
                </c:pt>
                <c:pt idx="2">
                  <c:v>142</c:v>
                </c:pt>
                <c:pt idx="3">
                  <c:v>123.3</c:v>
                </c:pt>
                <c:pt idx="4">
                  <c:v>108.3</c:v>
                </c:pt>
                <c:pt idx="5">
                  <c:v>96.055999999999997</c:v>
                </c:pt>
                <c:pt idx="6">
                  <c:v>84.102000000000004</c:v>
                </c:pt>
                <c:pt idx="7">
                  <c:v>70.676000000000002</c:v>
                </c:pt>
                <c:pt idx="8">
                  <c:v>42.424999999999997</c:v>
                </c:pt>
                <c:pt idx="9">
                  <c:v>30.228000000000002</c:v>
                </c:pt>
                <c:pt idx="10">
                  <c:v>29.757999999999999</c:v>
                </c:pt>
                <c:pt idx="11">
                  <c:v>26.687000000000001</c:v>
                </c:pt>
                <c:pt idx="12">
                  <c:v>44.152999999999999</c:v>
                </c:pt>
                <c:pt idx="13">
                  <c:v>20.626000000000001</c:v>
                </c:pt>
                <c:pt idx="14">
                  <c:v>17.643000000000001</c:v>
                </c:pt>
                <c:pt idx="15">
                  <c:v>17.181999999999999</c:v>
                </c:pt>
                <c:pt idx="16">
                  <c:v>18.498000000000001</c:v>
                </c:pt>
                <c:pt idx="17">
                  <c:v>16.074000000000002</c:v>
                </c:pt>
                <c:pt idx="18">
                  <c:v>13.895</c:v>
                </c:pt>
                <c:pt idx="19">
                  <c:v>13.42</c:v>
                </c:pt>
                <c:pt idx="20">
                  <c:v>14.054</c:v>
                </c:pt>
                <c:pt idx="21">
                  <c:v>11.898999999999999</c:v>
                </c:pt>
                <c:pt idx="22">
                  <c:v>11.159000000000001</c:v>
                </c:pt>
                <c:pt idx="23">
                  <c:v>11.369</c:v>
                </c:pt>
                <c:pt idx="24">
                  <c:v>9.6270000000000007</c:v>
                </c:pt>
                <c:pt idx="25">
                  <c:v>9.9359999999999999</c:v>
                </c:pt>
                <c:pt idx="26">
                  <c:v>9.4169999999999998</c:v>
                </c:pt>
                <c:pt idx="27">
                  <c:v>9.6349999999999998</c:v>
                </c:pt>
                <c:pt idx="28">
                  <c:v>8.7650000000000006</c:v>
                </c:pt>
                <c:pt idx="29">
                  <c:v>9.0389999999999997</c:v>
                </c:pt>
                <c:pt idx="30">
                  <c:v>9.375</c:v>
                </c:pt>
                <c:pt idx="31">
                  <c:v>9.19</c:v>
                </c:pt>
                <c:pt idx="32">
                  <c:v>8.2550000000000008</c:v>
                </c:pt>
                <c:pt idx="33">
                  <c:v>8.4789999999999992</c:v>
                </c:pt>
                <c:pt idx="34">
                  <c:v>9.2590000000000003</c:v>
                </c:pt>
                <c:pt idx="35">
                  <c:v>9.2729999999999997</c:v>
                </c:pt>
              </c:numCache>
            </c:numRef>
          </c:val>
          <c:extLst>
            <c:ext xmlns:c16="http://schemas.microsoft.com/office/drawing/2014/chart" uri="{C3380CC4-5D6E-409C-BE32-E72D297353CC}">
              <c16:uniqueId val="{00000000-5062-4965-A893-50BAD9C4C22E}"/>
            </c:ext>
          </c:extLst>
        </c:ser>
        <c:ser>
          <c:idx val="1"/>
          <c:order val="1"/>
          <c:tx>
            <c:strRef>
              <c:f>tab!$D$46</c:f>
              <c:strCache>
                <c:ptCount val="1"/>
                <c:pt idx="0">
                  <c:v>zpoplatněné</c:v>
                </c:pt>
              </c:strCache>
            </c:strRef>
          </c:tx>
          <c:spPr>
            <a:solidFill>
              <a:schemeClr val="accent1">
                <a:lumMod val="40000"/>
                <a:lumOff val="60000"/>
              </a:schemeClr>
            </a:solidFill>
            <a:ln w="12700">
              <a:solidFill>
                <a:srgbClr val="000000"/>
              </a:solidFill>
              <a:prstDash val="solid"/>
            </a:ln>
          </c:spPr>
          <c:invertIfNegative val="0"/>
          <c:cat>
            <c:numRef>
              <c:f>tab!$B$47:$B$82</c:f>
              <c:numCache>
                <c:formatCode>General_)</c:formatCode>
                <c:ptCount val="3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pt idx="35">
                  <c:v>2025</c:v>
                </c:pt>
              </c:numCache>
            </c:numRef>
          </c:cat>
          <c:val>
            <c:numRef>
              <c:f>tab!$F$47:$F$82</c:f>
              <c:numCache>
                <c:formatCode>0.000__</c:formatCode>
                <c:ptCount val="36"/>
                <c:pt idx="0">
                  <c:v>19.638999999999999</c:v>
                </c:pt>
                <c:pt idx="1">
                  <c:v>13.9</c:v>
                </c:pt>
                <c:pt idx="2">
                  <c:v>8.41</c:v>
                </c:pt>
                <c:pt idx="3">
                  <c:v>6.7030000000000003</c:v>
                </c:pt>
                <c:pt idx="4">
                  <c:v>7.774</c:v>
                </c:pt>
                <c:pt idx="5">
                  <c:v>6.2939999999999996</c:v>
                </c:pt>
                <c:pt idx="6">
                  <c:v>5.8339999999999996</c:v>
                </c:pt>
                <c:pt idx="7">
                  <c:v>4.093</c:v>
                </c:pt>
                <c:pt idx="8">
                  <c:v>3.7309999999999999</c:v>
                </c:pt>
                <c:pt idx="9">
                  <c:v>1.351</c:v>
                </c:pt>
                <c:pt idx="10">
                  <c:v>0.443</c:v>
                </c:pt>
                <c:pt idx="14">
                  <c:v>6.5000000000000002E-2</c:v>
                </c:pt>
                <c:pt idx="15">
                  <c:v>4.0799999999999996E-2</c:v>
                </c:pt>
                <c:pt idx="16">
                  <c:v>1.6399999999999998E-2</c:v>
                </c:pt>
                <c:pt idx="17">
                  <c:v>0</c:v>
                </c:pt>
                <c:pt idx="18">
                  <c:v>0</c:v>
                </c:pt>
                <c:pt idx="19">
                  <c:v>3.2000000000000001E-2</c:v>
                </c:pt>
                <c:pt idx="20">
                  <c:v>2.7E-2</c:v>
                </c:pt>
                <c:pt idx="21">
                  <c:v>0.02</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numCache>
            </c:numRef>
          </c:val>
          <c:extLst>
            <c:ext xmlns:c16="http://schemas.microsoft.com/office/drawing/2014/chart" uri="{C3380CC4-5D6E-409C-BE32-E72D297353CC}">
              <c16:uniqueId val="{00000001-5062-4965-A893-50BAD9C4C22E}"/>
            </c:ext>
          </c:extLst>
        </c:ser>
        <c:dLbls>
          <c:showLegendKey val="0"/>
          <c:showVal val="0"/>
          <c:showCatName val="0"/>
          <c:showSerName val="0"/>
          <c:showPercent val="0"/>
          <c:showBubbleSize val="0"/>
        </c:dLbls>
        <c:gapWidth val="150"/>
        <c:axId val="1266312128"/>
        <c:axId val="1"/>
      </c:barChart>
      <c:catAx>
        <c:axId val="1266312128"/>
        <c:scaling>
          <c:orientation val="minMax"/>
        </c:scaling>
        <c:delete val="0"/>
        <c:axPos val="b"/>
        <c:numFmt formatCode="General_)" sourceLinked="1"/>
        <c:majorTickMark val="out"/>
        <c:minorTickMark val="none"/>
        <c:tickLblPos val="nextTo"/>
        <c:spPr>
          <a:ln w="3175">
            <a:solidFill>
              <a:srgbClr val="000000"/>
            </a:solidFill>
            <a:prstDash val="solid"/>
          </a:ln>
        </c:spPr>
        <c:txPr>
          <a:bodyPr rot="-5400000" vert="horz"/>
          <a:lstStyle/>
          <a:p>
            <a:pPr>
              <a:defRPr sz="925" b="0" i="0" u="none" strike="noStrike" baseline="0">
                <a:solidFill>
                  <a:srgbClr val="000000"/>
                </a:solidFill>
                <a:latin typeface="Times New Roman"/>
                <a:ea typeface="Times New Roman"/>
                <a:cs typeface="Times New Roman"/>
              </a:defRPr>
            </a:pPr>
            <a:endParaRPr lang="cs-CZ"/>
          </a:p>
        </c:txPr>
        <c:crossAx val="1"/>
        <c:crosses val="autoZero"/>
        <c:auto val="1"/>
        <c:lblAlgn val="ctr"/>
        <c:lblOffset val="100"/>
        <c:tickLblSkip val="2"/>
        <c:tickMarkSkip val="1"/>
        <c:noMultiLvlLbl val="0"/>
      </c:catAx>
      <c:valAx>
        <c:axId val="1"/>
        <c:scaling>
          <c:orientation val="minMax"/>
          <c:max val="200"/>
        </c:scaling>
        <c:delete val="0"/>
        <c:axPos val="l"/>
        <c:majorGridlines>
          <c:spPr>
            <a:ln w="3175">
              <a:solidFill>
                <a:srgbClr val="000000"/>
              </a:solidFill>
              <a:prstDash val="solid"/>
            </a:ln>
          </c:spPr>
        </c:majorGridlines>
        <c:title>
          <c:tx>
            <c:rich>
              <a:bodyPr/>
              <a:lstStyle/>
              <a:p>
                <a:pPr>
                  <a:defRPr sz="925" b="0" i="0" u="none" strike="noStrike" baseline="0">
                    <a:solidFill>
                      <a:srgbClr val="000000"/>
                    </a:solidFill>
                    <a:latin typeface="Times New Roman"/>
                    <a:ea typeface="Times New Roman"/>
                    <a:cs typeface="Times New Roman"/>
                  </a:defRPr>
                </a:pPr>
                <a:r>
                  <a:rPr lang="cs-CZ"/>
                  <a:t>tis. t/rok</a:t>
                </a:r>
              </a:p>
            </c:rich>
          </c:tx>
          <c:layout>
            <c:manualLayout>
              <c:xMode val="edge"/>
              <c:yMode val="edge"/>
              <c:x val="2.5522041763341066E-2"/>
              <c:y val="0.42666736657917759"/>
            </c:manualLayout>
          </c:layout>
          <c:overlay val="0"/>
          <c:spPr>
            <a:noFill/>
            <a:ln w="25400">
              <a:noFill/>
            </a:ln>
          </c:spPr>
        </c:title>
        <c:numFmt formatCode="0__" sourceLinked="0"/>
        <c:majorTickMark val="out"/>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Times New Roman"/>
                <a:ea typeface="Times New Roman"/>
                <a:cs typeface="Times New Roman"/>
              </a:defRPr>
            </a:pPr>
            <a:endParaRPr lang="cs-CZ"/>
          </a:p>
        </c:txPr>
        <c:crossAx val="1266312128"/>
        <c:crosses val="autoZero"/>
        <c:crossBetween val="between"/>
        <c:majorUnit val="25"/>
      </c:valAx>
      <c:spPr>
        <a:solidFill>
          <a:sysClr val="window" lastClr="FFFFFF"/>
        </a:solidFill>
        <a:ln w="12700">
          <a:solidFill>
            <a:srgbClr val="808080"/>
          </a:solidFill>
          <a:prstDash val="solid"/>
        </a:ln>
      </c:spPr>
    </c:plotArea>
    <c:legend>
      <c:legendPos val="b"/>
      <c:layout>
        <c:manualLayout>
          <c:xMode val="edge"/>
          <c:yMode val="edge"/>
          <c:x val="0.3619489559164733"/>
          <c:y val="0.9383349081364829"/>
          <c:w val="0.3619489559164733"/>
          <c:h val="3.833333333333333E-2"/>
        </c:manualLayout>
      </c:layout>
      <c:overlay val="0"/>
      <c:spPr>
        <a:solidFill>
          <a:srgbClr val="FFFFFF"/>
        </a:solidFill>
        <a:ln w="25400">
          <a:noFill/>
        </a:ln>
      </c:spPr>
      <c:txPr>
        <a:bodyPr/>
        <a:lstStyle/>
        <a:p>
          <a:pPr>
            <a:defRPr sz="600" b="0" i="0" u="none" strike="noStrike" baseline="0">
              <a:solidFill>
                <a:srgbClr val="000000"/>
              </a:solidFill>
              <a:latin typeface="Times New Roman"/>
              <a:ea typeface="Times New Roman"/>
              <a:cs typeface="Times New Roman"/>
            </a:defRPr>
          </a:pPr>
          <a:endParaRPr lang="cs-CZ"/>
        </a:p>
      </c:txPr>
    </c:legend>
    <c:plotVisOnly val="1"/>
    <c:dispBlanksAs val="gap"/>
    <c:showDLblsOverMax val="0"/>
  </c:chart>
  <c:spPr>
    <a:solidFill>
      <a:srgbClr val="FFFFFF"/>
    </a:solidFill>
    <a:ln w="3175">
      <a:solidFill>
        <a:srgbClr val="000000"/>
      </a:solidFill>
      <a:prstDash val="solid"/>
    </a:ln>
  </c:spPr>
  <c:txPr>
    <a:bodyPr/>
    <a:lstStyle/>
    <a:p>
      <a:pPr>
        <a:defRPr sz="875" b="0" i="0" u="none" strike="noStrike" baseline="0">
          <a:solidFill>
            <a:srgbClr val="000000"/>
          </a:solidFill>
          <a:latin typeface="Arial CE"/>
          <a:ea typeface="Arial CE"/>
          <a:cs typeface="Arial CE"/>
        </a:defRPr>
      </a:pPr>
      <a:endParaRPr lang="cs-CZ"/>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Calibri"/>
                <a:ea typeface="Calibri"/>
                <a:cs typeface="Calibri"/>
              </a:defRPr>
            </a:pPr>
            <a:r>
              <a:rPr lang="cs-CZ"/>
              <a:t>celkem</a:t>
            </a:r>
            <a:r>
              <a:rPr lang="cs-CZ" baseline="0"/>
              <a:t>  3,4 mld. Kč</a:t>
            </a:r>
            <a:endParaRPr lang="cs-CZ"/>
          </a:p>
        </c:rich>
      </c:tx>
      <c:overlay val="0"/>
    </c:title>
    <c:autoTitleDeleted val="0"/>
    <c:plotArea>
      <c:layout/>
      <c:barChart>
        <c:barDir val="col"/>
        <c:grouping val="stacked"/>
        <c:varyColors val="0"/>
        <c:ser>
          <c:idx val="0"/>
          <c:order val="0"/>
          <c:tx>
            <c:strRef>
              <c:f>'2024+graf 6.1.1'!$B$399</c:f>
              <c:strCache>
                <c:ptCount val="1"/>
                <c:pt idx="0">
                  <c:v>Významné vodní toky</c:v>
                </c:pt>
              </c:strCache>
            </c:strRef>
          </c:tx>
          <c:invertIfNegative val="0"/>
          <c:dLbls>
            <c:dLbl>
              <c:idx val="5"/>
              <c:delete val="1"/>
              <c:extLst>
                <c:ext xmlns:c15="http://schemas.microsoft.com/office/drawing/2012/chart" uri="{CE6537A1-D6FC-4f65-9D91-7224C49458BB}">
                  <c15:layout>
                    <c:manualLayout>
                      <c:w val="6.6711037160288408E-2"/>
                      <c:h val="0.17333845086203217"/>
                    </c:manualLayout>
                  </c15:layout>
                </c:ext>
                <c:ext xmlns:c16="http://schemas.microsoft.com/office/drawing/2014/chart" uri="{C3380CC4-5D6E-409C-BE32-E72D297353CC}">
                  <c16:uniqueId val="{00000002-BEF0-4B93-8EFA-360D48305B44}"/>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'2024+graf 6.1.1'!$A$401:$A$406</c:f>
              <c:strCache>
                <c:ptCount val="6"/>
                <c:pt idx="0">
                  <c:v>Povodí Labe</c:v>
                </c:pt>
                <c:pt idx="1">
                  <c:v>Povodí Vltavy</c:v>
                </c:pt>
                <c:pt idx="2">
                  <c:v>Povodí Ohře</c:v>
                </c:pt>
                <c:pt idx="3">
                  <c:v>Povodí Odry</c:v>
                </c:pt>
                <c:pt idx="4">
                  <c:v>Povodí Moravy</c:v>
                </c:pt>
                <c:pt idx="5">
                  <c:v>Lesy ČR</c:v>
                </c:pt>
              </c:strCache>
            </c:strRef>
          </c:cat>
          <c:val>
            <c:numRef>
              <c:f>'2024+graf 6.1.1'!$B$401:$B$406</c:f>
              <c:numCache>
                <c:formatCode>0</c:formatCode>
                <c:ptCount val="6"/>
                <c:pt idx="0">
                  <c:v>759.2</c:v>
                </c:pt>
                <c:pt idx="1">
                  <c:v>690.6</c:v>
                </c:pt>
                <c:pt idx="2">
                  <c:v>373.66</c:v>
                </c:pt>
                <c:pt idx="3">
                  <c:v>551</c:v>
                </c:pt>
                <c:pt idx="4">
                  <c:v>277</c:v>
                </c:pt>
                <c:pt idx="5">
                  <c:v>0</c:v>
                </c:pt>
              </c:numCache>
            </c:numRef>
          </c:val>
          <c:extLst>
            <c:ext xmlns:c16="http://schemas.microsoft.com/office/drawing/2014/chart" uri="{C3380CC4-5D6E-409C-BE32-E72D297353CC}">
              <c16:uniqueId val="{00000000-BEF0-4B93-8EFA-360D48305B44}"/>
            </c:ext>
          </c:extLst>
        </c:ser>
        <c:ser>
          <c:idx val="1"/>
          <c:order val="1"/>
          <c:tx>
            <c:strRef>
              <c:f>'2024+graf 6.1.1'!$C$399</c:f>
              <c:strCache>
                <c:ptCount val="1"/>
                <c:pt idx="0">
                  <c:v>Drobné vodní toky</c:v>
                </c:pt>
              </c:strCache>
            </c:strRef>
          </c:tx>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'2024+graf 6.1.1'!$A$401:$A$406</c:f>
              <c:strCache>
                <c:ptCount val="6"/>
                <c:pt idx="0">
                  <c:v>Povodí Labe</c:v>
                </c:pt>
                <c:pt idx="1">
                  <c:v>Povodí Vltavy</c:v>
                </c:pt>
                <c:pt idx="2">
                  <c:v>Povodí Ohře</c:v>
                </c:pt>
                <c:pt idx="3">
                  <c:v>Povodí Odry</c:v>
                </c:pt>
                <c:pt idx="4">
                  <c:v>Povodí Moravy</c:v>
                </c:pt>
                <c:pt idx="5">
                  <c:v>Lesy ČR</c:v>
                </c:pt>
              </c:strCache>
            </c:strRef>
          </c:cat>
          <c:val>
            <c:numRef>
              <c:f>'2024+graf 6.1.1'!$C$401:$C$406</c:f>
              <c:numCache>
                <c:formatCode>0</c:formatCode>
                <c:ptCount val="6"/>
                <c:pt idx="0">
                  <c:v>19.7</c:v>
                </c:pt>
                <c:pt idx="1">
                  <c:v>67.3</c:v>
                </c:pt>
                <c:pt idx="2">
                  <c:v>40.344000000000001</c:v>
                </c:pt>
                <c:pt idx="3">
                  <c:v>36</c:v>
                </c:pt>
                <c:pt idx="4">
                  <c:v>87</c:v>
                </c:pt>
                <c:pt idx="5">
                  <c:v>513.29999999999995</c:v>
                </c:pt>
              </c:numCache>
            </c:numRef>
          </c:val>
          <c:extLst>
            <c:ext xmlns:c16="http://schemas.microsoft.com/office/drawing/2014/chart" uri="{C3380CC4-5D6E-409C-BE32-E72D297353CC}">
              <c16:uniqueId val="{00000001-BEF0-4B93-8EFA-360D48305B44}"/>
            </c:ext>
          </c:extLst>
        </c:ser>
        <c:dLbls>
          <c:showLegendKey val="0"/>
          <c:showVal val="0"/>
          <c:showCatName val="0"/>
          <c:showSerName val="0"/>
          <c:showPercent val="0"/>
          <c:showBubbleSize val="0"/>
        </c:dLbls>
        <c:gapWidth val="55"/>
        <c:overlap val="100"/>
        <c:axId val="93792751"/>
        <c:axId val="1"/>
      </c:barChart>
      <c:catAx>
        <c:axId val="93792751"/>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cs-CZ"/>
          </a:p>
        </c:txPr>
        <c:crossAx val="1"/>
        <c:crosses val="autoZero"/>
        <c:auto val="1"/>
        <c:lblAlgn val="ctr"/>
        <c:lblOffset val="100"/>
        <c:noMultiLvlLbl val="0"/>
      </c:catAx>
      <c:valAx>
        <c:axId val="1"/>
        <c:scaling>
          <c:orientation val="minMax"/>
        </c:scaling>
        <c:delete val="0"/>
        <c:axPos val="l"/>
        <c:majorGridlines/>
        <c:numFmt formatCode="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cs-CZ"/>
          </a:p>
        </c:txPr>
        <c:crossAx val="93792751"/>
        <c:crosses val="autoZero"/>
        <c:crossBetween val="between"/>
      </c:valAx>
    </c:plotArea>
    <c:legend>
      <c:legendPos val="r"/>
      <c:layout>
        <c:manualLayout>
          <c:xMode val="edge"/>
          <c:yMode val="edge"/>
          <c:x val="0.73727320378234706"/>
          <c:y val="0.52100441780647211"/>
          <c:w val="0.24390993207837047"/>
          <c:h val="0.15556056076686134"/>
        </c:manualLayout>
      </c:layout>
      <c:overlay val="0"/>
      <c:txPr>
        <a:bodyPr/>
        <a:lstStyle/>
        <a:p>
          <a:pPr>
            <a:defRPr sz="920" b="0" i="0" u="none" strike="noStrike" baseline="0">
              <a:solidFill>
                <a:srgbClr val="000000"/>
              </a:solidFill>
              <a:latin typeface="Calibri"/>
              <a:ea typeface="Calibri"/>
              <a:cs typeface="Calibri"/>
            </a:defRPr>
          </a:pPr>
          <a:endParaRPr lang="cs-CZ"/>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799200178841998"/>
          <c:y val="5.5E-2"/>
          <c:w val="0.67724417728541031"/>
          <c:h val="0.77010000000000001"/>
        </c:manualLayout>
      </c:layout>
      <c:lineChart>
        <c:grouping val="standard"/>
        <c:varyColors val="0"/>
        <c:ser>
          <c:idx val="0"/>
          <c:order val="0"/>
          <c:tx>
            <c:strRef>
              <c:f>' graf 6.2.1 a 6.2.2'!$B$13</c:f>
              <c:strCache>
                <c:ptCount val="1"/>
                <c:pt idx="0">
                  <c:v>Povodí Labe</c:v>
                </c:pt>
              </c:strCache>
            </c:strRef>
          </c:tx>
          <c:spPr>
            <a:ln>
              <a:solidFill>
                <a:schemeClr val="accent6">
                  <a:lumMod val="75000"/>
                </a:schemeClr>
              </a:solidFill>
            </a:ln>
          </c:spPr>
          <c:marker>
            <c:symbol val="none"/>
          </c:marker>
          <c:cat>
            <c:numRef>
              <c:f>' graf 6.2.1 a 6.2.2'!$A$14:$A$24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 graf 6.2.1 a 6.2.2'!$B$14:$B$24</c:f>
              <c:numCache>
                <c:formatCode>#,##0</c:formatCode>
                <c:ptCount val="11"/>
                <c:pt idx="0">
                  <c:v>1066475</c:v>
                </c:pt>
                <c:pt idx="1">
                  <c:v>1066475</c:v>
                </c:pt>
                <c:pt idx="2">
                  <c:v>1277979</c:v>
                </c:pt>
                <c:pt idx="3">
                  <c:v>1203013</c:v>
                </c:pt>
                <c:pt idx="4" formatCode="General">
                  <c:v>1152591</c:v>
                </c:pt>
                <c:pt idx="5">
                  <c:v>1089663</c:v>
                </c:pt>
                <c:pt idx="6">
                  <c:v>1154772</c:v>
                </c:pt>
                <c:pt idx="7">
                  <c:v>1375908</c:v>
                </c:pt>
                <c:pt idx="8" formatCode="General">
                  <c:v>1449133</c:v>
                </c:pt>
                <c:pt idx="9" formatCode="General">
                  <c:v>1353132</c:v>
                </c:pt>
                <c:pt idx="10">
                  <c:v>1517608</c:v>
                </c:pt>
              </c:numCache>
            </c:numRef>
          </c:val>
          <c:smooth val="0"/>
          <c:extLst>
            <c:ext xmlns:c16="http://schemas.microsoft.com/office/drawing/2014/chart" uri="{C3380CC4-5D6E-409C-BE32-E72D297353CC}">
              <c16:uniqueId val="{00000000-D107-4C86-B93D-4935B39ADD28}"/>
            </c:ext>
          </c:extLst>
        </c:ser>
        <c:ser>
          <c:idx val="1"/>
          <c:order val="1"/>
          <c:tx>
            <c:strRef>
              <c:f>' graf 6.2.1 a 6.2.2'!$C$13</c:f>
              <c:strCache>
                <c:ptCount val="1"/>
                <c:pt idx="0">
                  <c:v>Povodí Vltavy</c:v>
                </c:pt>
              </c:strCache>
            </c:strRef>
          </c:tx>
          <c:spPr>
            <a:ln>
              <a:solidFill>
                <a:srgbClr val="FFFF00"/>
              </a:solidFill>
            </a:ln>
          </c:spPr>
          <c:marker>
            <c:symbol val="none"/>
          </c:marker>
          <c:cat>
            <c:numRef>
              <c:f>' graf 6.2.1 a 6.2.2'!$A$14:$A$24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 graf 6.2.1 a 6.2.2'!$C$14:$C$24</c:f>
              <c:numCache>
                <c:formatCode>#,##0</c:formatCode>
                <c:ptCount val="11"/>
                <c:pt idx="0">
                  <c:v>1296274</c:v>
                </c:pt>
                <c:pt idx="1">
                  <c:v>1251765</c:v>
                </c:pt>
                <c:pt idx="2">
                  <c:v>1347771</c:v>
                </c:pt>
                <c:pt idx="3">
                  <c:v>1340919</c:v>
                </c:pt>
                <c:pt idx="4">
                  <c:v>1563068</c:v>
                </c:pt>
                <c:pt idx="5">
                  <c:v>1392663</c:v>
                </c:pt>
                <c:pt idx="6">
                  <c:v>1397413</c:v>
                </c:pt>
                <c:pt idx="7">
                  <c:v>1574401</c:v>
                </c:pt>
                <c:pt idx="8" formatCode="General">
                  <c:v>1707287</c:v>
                </c:pt>
                <c:pt idx="9" formatCode="General">
                  <c:v>1704199</c:v>
                </c:pt>
                <c:pt idx="10">
                  <c:v>1708311</c:v>
                </c:pt>
              </c:numCache>
            </c:numRef>
          </c:val>
          <c:smooth val="0"/>
          <c:extLst>
            <c:ext xmlns:c16="http://schemas.microsoft.com/office/drawing/2014/chart" uri="{C3380CC4-5D6E-409C-BE32-E72D297353CC}">
              <c16:uniqueId val="{00000001-D107-4C86-B93D-4935B39ADD28}"/>
            </c:ext>
          </c:extLst>
        </c:ser>
        <c:ser>
          <c:idx val="2"/>
          <c:order val="2"/>
          <c:tx>
            <c:strRef>
              <c:f>' graf 6.2.1 a 6.2.2'!$D$13</c:f>
              <c:strCache>
                <c:ptCount val="1"/>
                <c:pt idx="0">
                  <c:v>Povodí Ohře</c:v>
                </c:pt>
              </c:strCache>
            </c:strRef>
          </c:tx>
          <c:spPr>
            <a:ln>
              <a:solidFill>
                <a:srgbClr val="FF0000"/>
              </a:solidFill>
            </a:ln>
          </c:spPr>
          <c:marker>
            <c:symbol val="none"/>
          </c:marker>
          <c:cat>
            <c:numRef>
              <c:f>' graf 6.2.1 a 6.2.2'!$A$14:$A$24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 graf 6.2.1 a 6.2.2'!$D$14:$D$24</c:f>
              <c:numCache>
                <c:formatCode>#,##0</c:formatCode>
                <c:ptCount val="11"/>
                <c:pt idx="0">
                  <c:v>914280</c:v>
                </c:pt>
                <c:pt idx="1">
                  <c:v>802067</c:v>
                </c:pt>
                <c:pt idx="2">
                  <c:v>1038107</c:v>
                </c:pt>
                <c:pt idx="3">
                  <c:v>941283</c:v>
                </c:pt>
                <c:pt idx="4">
                  <c:v>941800</c:v>
                </c:pt>
                <c:pt idx="5">
                  <c:v>908787</c:v>
                </c:pt>
                <c:pt idx="6">
                  <c:v>918288</c:v>
                </c:pt>
                <c:pt idx="7">
                  <c:v>995965</c:v>
                </c:pt>
                <c:pt idx="8" formatCode="General">
                  <c:v>1292233</c:v>
                </c:pt>
                <c:pt idx="9" formatCode="General">
                  <c:v>1232818</c:v>
                </c:pt>
                <c:pt idx="10">
                  <c:v>1111221</c:v>
                </c:pt>
              </c:numCache>
            </c:numRef>
          </c:val>
          <c:smooth val="0"/>
          <c:extLst>
            <c:ext xmlns:c16="http://schemas.microsoft.com/office/drawing/2014/chart" uri="{C3380CC4-5D6E-409C-BE32-E72D297353CC}">
              <c16:uniqueId val="{00000002-D107-4C86-B93D-4935B39ADD28}"/>
            </c:ext>
          </c:extLst>
        </c:ser>
        <c:ser>
          <c:idx val="3"/>
          <c:order val="3"/>
          <c:tx>
            <c:strRef>
              <c:f>' graf 6.2.1 a 6.2.2'!$E$13</c:f>
              <c:strCache>
                <c:ptCount val="1"/>
                <c:pt idx="0">
                  <c:v>Povodí Odry</c:v>
                </c:pt>
              </c:strCache>
            </c:strRef>
          </c:tx>
          <c:spPr>
            <a:ln>
              <a:solidFill>
                <a:srgbClr val="00B050"/>
              </a:solidFill>
            </a:ln>
          </c:spPr>
          <c:marker>
            <c:symbol val="none"/>
          </c:marker>
          <c:cat>
            <c:numRef>
              <c:f>' graf 6.2.1 a 6.2.2'!$A$14:$A$24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 graf 6.2.1 a 6.2.2'!$E$14:$E$24</c:f>
              <c:numCache>
                <c:formatCode>#,##0</c:formatCode>
                <c:ptCount val="11"/>
                <c:pt idx="0">
                  <c:v>685294</c:v>
                </c:pt>
                <c:pt idx="1">
                  <c:v>685294</c:v>
                </c:pt>
                <c:pt idx="2">
                  <c:v>696741</c:v>
                </c:pt>
                <c:pt idx="3">
                  <c:v>718126</c:v>
                </c:pt>
                <c:pt idx="4" formatCode="General">
                  <c:v>684603</c:v>
                </c:pt>
                <c:pt idx="5">
                  <c:v>673894</c:v>
                </c:pt>
                <c:pt idx="6">
                  <c:v>737707</c:v>
                </c:pt>
                <c:pt idx="7">
                  <c:v>762227</c:v>
                </c:pt>
                <c:pt idx="8" formatCode="General">
                  <c:v>812498</c:v>
                </c:pt>
                <c:pt idx="9" formatCode="General">
                  <c:v>1116620</c:v>
                </c:pt>
                <c:pt idx="10">
                  <c:v>972878</c:v>
                </c:pt>
              </c:numCache>
            </c:numRef>
          </c:val>
          <c:smooth val="0"/>
          <c:extLst>
            <c:ext xmlns:c16="http://schemas.microsoft.com/office/drawing/2014/chart" uri="{C3380CC4-5D6E-409C-BE32-E72D297353CC}">
              <c16:uniqueId val="{00000003-D107-4C86-B93D-4935B39ADD28}"/>
            </c:ext>
          </c:extLst>
        </c:ser>
        <c:ser>
          <c:idx val="4"/>
          <c:order val="4"/>
          <c:tx>
            <c:strRef>
              <c:f>' graf 6.2.1 a 6.2.2'!$F$13</c:f>
              <c:strCache>
                <c:ptCount val="1"/>
                <c:pt idx="0">
                  <c:v>Povodí Moravy</c:v>
                </c:pt>
              </c:strCache>
            </c:strRef>
          </c:tx>
          <c:spPr>
            <a:ln>
              <a:solidFill>
                <a:srgbClr val="0070C0"/>
              </a:solidFill>
            </a:ln>
          </c:spPr>
          <c:marker>
            <c:symbol val="none"/>
          </c:marker>
          <c:cat>
            <c:numRef>
              <c:f>' graf 6.2.1 a 6.2.2'!$A$14:$A$24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 graf 6.2.1 a 6.2.2'!$F$14:$F$24</c:f>
              <c:numCache>
                <c:formatCode>#,##0</c:formatCode>
                <c:ptCount val="11"/>
                <c:pt idx="0">
                  <c:v>831129</c:v>
                </c:pt>
                <c:pt idx="1">
                  <c:v>859222</c:v>
                </c:pt>
                <c:pt idx="2">
                  <c:v>931936</c:v>
                </c:pt>
                <c:pt idx="3">
                  <c:v>1049666</c:v>
                </c:pt>
                <c:pt idx="4">
                  <c:v>1005691</c:v>
                </c:pt>
                <c:pt idx="5">
                  <c:v>1006905</c:v>
                </c:pt>
                <c:pt idx="6">
                  <c:v>1074061</c:v>
                </c:pt>
                <c:pt idx="7">
                  <c:v>1214047</c:v>
                </c:pt>
                <c:pt idx="8" formatCode="General">
                  <c:v>1169853</c:v>
                </c:pt>
                <c:pt idx="9" formatCode="General">
                  <c:v>1156888</c:v>
                </c:pt>
                <c:pt idx="10">
                  <c:v>1200367</c:v>
                </c:pt>
              </c:numCache>
            </c:numRef>
          </c:val>
          <c:smooth val="0"/>
          <c:extLst>
            <c:ext xmlns:c16="http://schemas.microsoft.com/office/drawing/2014/chart" uri="{C3380CC4-5D6E-409C-BE32-E72D297353CC}">
              <c16:uniqueId val="{00000004-D107-4C86-B93D-4935B39ADD28}"/>
            </c:ext>
          </c:extLst>
        </c:ser>
        <c:dLbls>
          <c:showLegendKey val="0"/>
          <c:showVal val="0"/>
          <c:showCatName val="0"/>
          <c:showSerName val="0"/>
          <c:showPercent val="0"/>
          <c:showBubbleSize val="0"/>
        </c:dLbls>
        <c:smooth val="0"/>
        <c:axId val="2047429631"/>
        <c:axId val="1"/>
      </c:lineChart>
      <c:catAx>
        <c:axId val="2047429631"/>
        <c:scaling>
          <c:orientation val="minMax"/>
        </c:scaling>
        <c:delete val="0"/>
        <c:axPos val="b"/>
        <c:numFmt formatCode="General" sourceLinked="1"/>
        <c:majorTickMark val="none"/>
        <c:minorTickMark val="none"/>
        <c:tickLblPos val="nextTo"/>
        <c:txPr>
          <a:bodyPr rot="0" vert="horz"/>
          <a:lstStyle/>
          <a:p>
            <a:pPr>
              <a:defRPr sz="900" b="0" i="0" u="none" strike="noStrike" baseline="0">
                <a:solidFill>
                  <a:srgbClr val="000000"/>
                </a:solidFill>
                <a:latin typeface="Arial"/>
                <a:ea typeface="Arial"/>
                <a:cs typeface="Arial"/>
              </a:defRPr>
            </a:pPr>
            <a:endParaRPr lang="cs-CZ"/>
          </a:p>
        </c:txPr>
        <c:crossAx val="1"/>
        <c:crosses val="autoZero"/>
        <c:auto val="1"/>
        <c:lblAlgn val="ctr"/>
        <c:lblOffset val="100"/>
        <c:noMultiLvlLbl val="0"/>
      </c:catAx>
      <c:valAx>
        <c:axId val="1"/>
        <c:scaling>
          <c:orientation val="minMax"/>
          <c:min val="400000"/>
        </c:scaling>
        <c:delete val="0"/>
        <c:axPos val="l"/>
        <c:majorGridlines/>
        <c:numFmt formatCode="#,##0" sourceLinked="1"/>
        <c:majorTickMark val="none"/>
        <c:minorTickMark val="none"/>
        <c:tickLblPos val="nextTo"/>
        <c:txPr>
          <a:bodyPr rot="0" vert="horz"/>
          <a:lstStyle/>
          <a:p>
            <a:pPr>
              <a:defRPr sz="900" b="0" i="0" u="none" strike="noStrike" baseline="0">
                <a:solidFill>
                  <a:srgbClr val="000000"/>
                </a:solidFill>
                <a:latin typeface="Arial"/>
                <a:ea typeface="Arial"/>
                <a:cs typeface="Arial"/>
              </a:defRPr>
            </a:pPr>
            <a:endParaRPr lang="cs-CZ"/>
          </a:p>
        </c:txPr>
        <c:crossAx val="2047429631"/>
        <c:crosses val="autoZero"/>
        <c:crossBetween val="between"/>
        <c:dispUnits>
          <c:builtInUnit val="thousands"/>
          <c:dispUnitsLbl>
            <c:layout>
              <c:manualLayout>
                <c:xMode val="edge"/>
                <c:yMode val="edge"/>
                <c:x val="2.1052631578947368E-2"/>
                <c:y val="0.3249701314217443"/>
              </c:manualLayout>
            </c:layout>
            <c:tx>
              <c:rich>
                <a:bodyPr rot="-5400000" vert="horz"/>
                <a:lstStyle/>
                <a:p>
                  <a:pPr algn="ctr">
                    <a:defRPr sz="900" b="1" i="0" u="none" strike="noStrike" baseline="0">
                      <a:solidFill>
                        <a:srgbClr val="000000"/>
                      </a:solidFill>
                      <a:latin typeface="Arial"/>
                      <a:ea typeface="Arial"/>
                      <a:cs typeface="Arial"/>
                    </a:defRPr>
                  </a:pPr>
                  <a:r>
                    <a:rPr lang="cs-CZ"/>
                    <a:t>mil. Kč</a:t>
                  </a:r>
                </a:p>
              </c:rich>
            </c:tx>
          </c:dispUnitsLbl>
        </c:dispUnits>
      </c:valAx>
    </c:plotArea>
    <c:legend>
      <c:legendPos val="r"/>
      <c:layout>
        <c:manualLayout>
          <c:xMode val="edge"/>
          <c:yMode val="edge"/>
          <c:x val="6.5196519204815492E-2"/>
          <c:y val="0.88003014623172104"/>
          <c:w val="0.86648318802420998"/>
          <c:h val="8.2859842519685034E-2"/>
        </c:manualLayout>
      </c:layout>
      <c:overlay val="0"/>
      <c:txPr>
        <a:bodyPr/>
        <a:lstStyle/>
        <a:p>
          <a:pPr>
            <a:defRPr sz="755" b="0" i="0" u="none" strike="noStrike" baseline="0">
              <a:solidFill>
                <a:srgbClr val="000000"/>
              </a:solidFill>
              <a:latin typeface="Arial"/>
              <a:ea typeface="Arial"/>
              <a:cs typeface="Arial"/>
            </a:defRPr>
          </a:pPr>
          <a:endParaRPr lang="cs-CZ"/>
        </a:p>
      </c:txPr>
    </c:legend>
    <c:plotVisOnly val="1"/>
    <c:dispBlanksAs val="gap"/>
    <c:showDLblsOverMax val="0"/>
  </c:chart>
  <c:txPr>
    <a:bodyPr/>
    <a:lstStyle/>
    <a:p>
      <a:pPr>
        <a:defRPr sz="900" b="0" i="0" u="none" strike="noStrike" baseline="0">
          <a:solidFill>
            <a:srgbClr val="000000"/>
          </a:solidFill>
          <a:latin typeface="Arial"/>
          <a:ea typeface="Arial"/>
          <a:cs typeface="Arial"/>
        </a:defRPr>
      </a:pPr>
      <a:endParaRPr lang="cs-CZ"/>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8">
  <a:schemeClr val="accent5"/>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0.34577</cdr:x>
      <cdr:y>0.35076</cdr:y>
    </cdr:from>
    <cdr:to>
      <cdr:x>0.52077</cdr:x>
      <cdr:y>0.45193</cdr:y>
    </cdr:to>
    <cdr:sp macro="" textlink="">
      <cdr:nvSpPr>
        <cdr:cNvPr id="2" name="TextovéPole 1"/>
        <cdr:cNvSpPr txBox="1"/>
      </cdr:nvSpPr>
      <cdr:spPr>
        <a:xfrm xmlns:a="http://schemas.openxmlformats.org/drawingml/2006/main">
          <a:off x="1592937" y="1281844"/>
          <a:ext cx="806212" cy="36971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cs-CZ" sz="800" b="1">
              <a:latin typeface="Arial" panose="020B0604020202020204" pitchFamily="34" charset="0"/>
              <a:cs typeface="Arial" panose="020B0604020202020204" pitchFamily="34" charset="0"/>
            </a:rPr>
            <a:t>celkem </a:t>
          </a:r>
        </a:p>
        <a:p xmlns:a="http://schemas.openxmlformats.org/drawingml/2006/main">
          <a:pPr algn="ctr"/>
          <a:r>
            <a:rPr lang="cs-CZ" sz="800" b="1">
              <a:latin typeface="Arial" panose="020B0604020202020204" pitchFamily="34" charset="0"/>
              <a:cs typeface="Arial" panose="020B0604020202020204" pitchFamily="34" charset="0"/>
            </a:rPr>
            <a:t>548 mil. Kč</a:t>
          </a:r>
        </a:p>
      </cdr:txBody>
    </cdr:sp>
  </cdr:relSizeAnchor>
  <cdr:relSizeAnchor xmlns:cdr="http://schemas.openxmlformats.org/drawingml/2006/chartDrawing">
    <cdr:from>
      <cdr:x>0.67939</cdr:x>
      <cdr:y>0</cdr:y>
    </cdr:from>
    <cdr:to>
      <cdr:x>0.88842</cdr:x>
      <cdr:y>0.10118</cdr:y>
    </cdr:to>
    <cdr:sp macro="" textlink="">
      <cdr:nvSpPr>
        <cdr:cNvPr id="3" name="TextovéPole 1"/>
        <cdr:cNvSpPr txBox="1"/>
      </cdr:nvSpPr>
      <cdr:spPr>
        <a:xfrm xmlns:a="http://schemas.openxmlformats.org/drawingml/2006/main">
          <a:off x="3287379" y="0"/>
          <a:ext cx="1011433" cy="34212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cs-CZ" sz="800" b="1">
              <a:latin typeface="Arial" panose="020B0604020202020204" pitchFamily="34" charset="0"/>
              <a:cs typeface="Arial" panose="020B0604020202020204" pitchFamily="34" charset="0"/>
            </a:rPr>
            <a:t>celkem </a:t>
          </a:r>
        </a:p>
        <a:p xmlns:a="http://schemas.openxmlformats.org/drawingml/2006/main">
          <a:pPr algn="ctr"/>
          <a:r>
            <a:rPr lang="cs-CZ" sz="800" b="1" baseline="0">
              <a:latin typeface="Arial" panose="020B0604020202020204" pitchFamily="34" charset="0"/>
              <a:cs typeface="Arial" panose="020B0604020202020204" pitchFamily="34" charset="0"/>
            </a:rPr>
            <a:t>1 448 </a:t>
          </a:r>
          <a:r>
            <a:rPr lang="cs-CZ" sz="800" b="1">
              <a:latin typeface="Arial" panose="020B0604020202020204" pitchFamily="34" charset="0"/>
              <a:cs typeface="Arial" panose="020B0604020202020204" pitchFamily="34" charset="0"/>
            </a:rPr>
            <a:t>mil. Kč</a:t>
          </a:r>
        </a:p>
      </cdr:txBody>
    </cdr:sp>
  </cdr:relSizeAnchor>
</c:userShapes>
</file>

<file path=word/drawings/drawing2.xml><?xml version="1.0" encoding="utf-8"?>
<c:userShapes xmlns:c="http://schemas.openxmlformats.org/drawingml/2006/chart">
  <cdr:relSizeAnchor xmlns:cdr="http://schemas.openxmlformats.org/drawingml/2006/chartDrawing">
    <cdr:from>
      <cdr:x>0.20209</cdr:x>
      <cdr:y>0.4126</cdr:y>
    </cdr:from>
    <cdr:to>
      <cdr:x>0.45024</cdr:x>
      <cdr:y>0.61736</cdr:y>
    </cdr:to>
    <cdr:sp macro="" textlink="">
      <cdr:nvSpPr>
        <cdr:cNvPr id="2" name="TextovéPole 1">
          <a:extLst xmlns:a="http://schemas.openxmlformats.org/drawingml/2006/main">
            <a:ext uri="{FF2B5EF4-FFF2-40B4-BE49-F238E27FC236}">
              <a16:creationId xmlns:a16="http://schemas.microsoft.com/office/drawing/2014/main" id="{52D32D81-4F85-5887-A2A1-0A0EDA83CAFA}"/>
            </a:ext>
          </a:extLst>
        </cdr:cNvPr>
        <cdr:cNvSpPr txBox="1"/>
      </cdr:nvSpPr>
      <cdr:spPr>
        <a:xfrm xmlns:a="http://schemas.openxmlformats.org/drawingml/2006/main">
          <a:off x="958592" y="1230081"/>
          <a:ext cx="1177111" cy="6104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cs-CZ" sz="1000" kern="1200">
              <a:latin typeface="Arial" panose="020B0604020202020204" pitchFamily="34" charset="0"/>
              <a:cs typeface="Arial" panose="020B0604020202020204" pitchFamily="34" charset="0"/>
            </a:rPr>
            <a:t>celkem</a:t>
          </a:r>
        </a:p>
        <a:p xmlns:a="http://schemas.openxmlformats.org/drawingml/2006/main">
          <a:pPr algn="ctr"/>
          <a:r>
            <a:rPr lang="cs-CZ" sz="1000" kern="1200">
              <a:latin typeface="Arial" panose="020B0604020202020204" pitchFamily="34" charset="0"/>
              <a:cs typeface="Arial" panose="020B0604020202020204" pitchFamily="34" charset="0"/>
            </a:rPr>
            <a:t>7 662,1 mil.Kč </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983D40FDC94230863BFE298BEAFC1A"/>
        <w:category>
          <w:name w:val="Obecné"/>
          <w:gallery w:val="placeholder"/>
        </w:category>
        <w:types>
          <w:type w:val="bbPlcHdr"/>
        </w:types>
        <w:behaviors>
          <w:behavior w:val="content"/>
        </w:behaviors>
        <w:guid w:val="{3B99D26D-9E63-4D7B-8B21-EA3E3D4ADC2B}"/>
      </w:docPartPr>
      <w:docPartBody>
        <w:p w:rsidR="00A912E7" w:rsidRDefault="00A912E7" w:rsidP="00A912E7">
          <w:pPr>
            <w:pStyle w:val="35983D40FDC94230863BFE298BEAFC1A"/>
          </w:pPr>
          <w:r>
            <w:rPr>
              <w:rFonts w:asciiTheme="majorHAnsi" w:eastAsiaTheme="majorEastAsia" w:hAnsiTheme="majorHAnsi" w:cstheme="majorBidi"/>
              <w:caps/>
              <w:color w:val="156082" w:themeColor="accent1"/>
              <w:sz w:val="80"/>
              <w:szCs w:val="80"/>
            </w:rPr>
            <w:t>[Název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Avinion">
    <w:altName w:val="Symbol"/>
    <w:charset w:val="02"/>
    <w:family w:val="swiss"/>
    <w:pitch w:val="variable"/>
    <w:sig w:usb0="00000000" w:usb1="10000000" w:usb2="00000000" w:usb3="00000000" w:csb0="80000000" w:csb1="00000000"/>
  </w:font>
  <w:font w:name="JohnSans Text Pro">
    <w:altName w:val="Times New Roman"/>
    <w:panose1 w:val="00000000000000000000"/>
    <w:charset w:val="00"/>
    <w:family w:val="modern"/>
    <w:notTrueType/>
    <w:pitch w:val="variable"/>
    <w:sig w:usb0="00000001" w:usb1="5000206A"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Gill Sans MT">
    <w:charset w:val="EE"/>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GillSansMT">
    <w:panose1 w:val="00000000000000000000"/>
    <w:charset w:val="80"/>
    <w:family w:val="auto"/>
    <w:notTrueType/>
    <w:pitch w:val="default"/>
    <w:sig w:usb0="00000007" w:usb1="08070000" w:usb2="00000010" w:usb3="00000000" w:csb0="00020003" w:csb1="00000000"/>
  </w:font>
  <w:font w:name="Cambria Math">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GillSansMT-Bold">
    <w:altName w:val="Yu Gothic"/>
    <w:panose1 w:val="00000000000000000000"/>
    <w:charset w:val="80"/>
    <w:family w:val="auto"/>
    <w:notTrueType/>
    <w:pitch w:val="default"/>
    <w:sig w:usb0="00000001" w:usb1="08070000" w:usb2="00000010" w:usb3="00000000" w:csb0="00020000" w:csb1="00000000"/>
  </w:font>
  <w:font w:name="MyriadPro-Regular">
    <w:altName w:val="MS Mincho"/>
    <w:panose1 w:val="00000000000000000000"/>
    <w:charset w:val="80"/>
    <w:family w:val="auto"/>
    <w:notTrueType/>
    <w:pitch w:val="default"/>
    <w:sig w:usb0="00000001" w:usb1="08070000" w:usb2="00000010" w:usb3="00000000" w:csb0="00020000" w:csb1="00000000"/>
  </w:font>
  <w:font w:name="Arial-BoldMT2">
    <w:altName w:val="Arial"/>
    <w:charset w:val="38"/>
    <w:family w:val="auto"/>
    <w:pitch w:val="default"/>
    <w:sig w:usb0="00000005" w:usb1="00000000" w:usb2="00000000" w:usb3="00000000" w:csb0="00000002" w:csb1="00000000"/>
  </w:font>
  <w:font w:name="ArialMT2">
    <w:altName w:val="Arial"/>
    <w:panose1 w:val="00000000000000000000"/>
    <w:charset w:val="EE"/>
    <w:family w:val="auto"/>
    <w:notTrueType/>
    <w:pitch w:val="default"/>
    <w:sig w:usb0="00000005" w:usb1="00000000" w:usb2="00000000" w:usb3="00000000" w:csb0="00000002" w:csb1="00000000"/>
  </w:font>
  <w:font w:name="Arial-BoldMT">
    <w:altName w:val="Arial"/>
    <w:charset w:val="00"/>
    <w:family w:val="swiss"/>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2E7"/>
    <w:rsid w:val="0000698F"/>
    <w:rsid w:val="00025318"/>
    <w:rsid w:val="00040A09"/>
    <w:rsid w:val="00057220"/>
    <w:rsid w:val="00084A2F"/>
    <w:rsid w:val="000900F6"/>
    <w:rsid w:val="000C7C6E"/>
    <w:rsid w:val="000D0F22"/>
    <w:rsid w:val="00125CBA"/>
    <w:rsid w:val="00143FF0"/>
    <w:rsid w:val="001440EE"/>
    <w:rsid w:val="00157304"/>
    <w:rsid w:val="001573CE"/>
    <w:rsid w:val="0017695A"/>
    <w:rsid w:val="00183D5F"/>
    <w:rsid w:val="001909EE"/>
    <w:rsid w:val="00193C48"/>
    <w:rsid w:val="001A31F9"/>
    <w:rsid w:val="001B05C6"/>
    <w:rsid w:val="001D1F54"/>
    <w:rsid w:val="001F55CC"/>
    <w:rsid w:val="00230BB3"/>
    <w:rsid w:val="00255C18"/>
    <w:rsid w:val="002675E4"/>
    <w:rsid w:val="00271FBC"/>
    <w:rsid w:val="00277575"/>
    <w:rsid w:val="00290B8F"/>
    <w:rsid w:val="002A552F"/>
    <w:rsid w:val="002B7D76"/>
    <w:rsid w:val="002C3049"/>
    <w:rsid w:val="002D30B3"/>
    <w:rsid w:val="00302D30"/>
    <w:rsid w:val="00353A5F"/>
    <w:rsid w:val="00357B59"/>
    <w:rsid w:val="00366892"/>
    <w:rsid w:val="003940F7"/>
    <w:rsid w:val="003B1367"/>
    <w:rsid w:val="003B51CE"/>
    <w:rsid w:val="004142A8"/>
    <w:rsid w:val="00435661"/>
    <w:rsid w:val="0046781D"/>
    <w:rsid w:val="004776F1"/>
    <w:rsid w:val="00485B7B"/>
    <w:rsid w:val="004917AF"/>
    <w:rsid w:val="004C6D20"/>
    <w:rsid w:val="004D78CB"/>
    <w:rsid w:val="004F7FE0"/>
    <w:rsid w:val="005233DF"/>
    <w:rsid w:val="00525B3A"/>
    <w:rsid w:val="00545058"/>
    <w:rsid w:val="00563856"/>
    <w:rsid w:val="005B1AE0"/>
    <w:rsid w:val="005C7E85"/>
    <w:rsid w:val="005D1F34"/>
    <w:rsid w:val="005D400C"/>
    <w:rsid w:val="00607462"/>
    <w:rsid w:val="00612AA8"/>
    <w:rsid w:val="00637B1E"/>
    <w:rsid w:val="0065497E"/>
    <w:rsid w:val="00661DB5"/>
    <w:rsid w:val="00664FC4"/>
    <w:rsid w:val="00685E26"/>
    <w:rsid w:val="00686D72"/>
    <w:rsid w:val="006A6F8D"/>
    <w:rsid w:val="006B5952"/>
    <w:rsid w:val="006B6622"/>
    <w:rsid w:val="006C7AA3"/>
    <w:rsid w:val="006D6A0C"/>
    <w:rsid w:val="006E3359"/>
    <w:rsid w:val="00732D7D"/>
    <w:rsid w:val="007362D9"/>
    <w:rsid w:val="00741A63"/>
    <w:rsid w:val="00791409"/>
    <w:rsid w:val="007941A7"/>
    <w:rsid w:val="00794BAC"/>
    <w:rsid w:val="00795F9C"/>
    <w:rsid w:val="007B0098"/>
    <w:rsid w:val="007E280F"/>
    <w:rsid w:val="007E721D"/>
    <w:rsid w:val="007F1CED"/>
    <w:rsid w:val="007F4A53"/>
    <w:rsid w:val="007F607C"/>
    <w:rsid w:val="00826754"/>
    <w:rsid w:val="0083294D"/>
    <w:rsid w:val="00834A6E"/>
    <w:rsid w:val="008535EC"/>
    <w:rsid w:val="0085421D"/>
    <w:rsid w:val="00875137"/>
    <w:rsid w:val="00885440"/>
    <w:rsid w:val="00886727"/>
    <w:rsid w:val="0089354F"/>
    <w:rsid w:val="0089358A"/>
    <w:rsid w:val="008965DC"/>
    <w:rsid w:val="008A5206"/>
    <w:rsid w:val="008C1D56"/>
    <w:rsid w:val="008C79ED"/>
    <w:rsid w:val="008D0257"/>
    <w:rsid w:val="008D3E1C"/>
    <w:rsid w:val="008D4183"/>
    <w:rsid w:val="00904C0C"/>
    <w:rsid w:val="00912815"/>
    <w:rsid w:val="0091300C"/>
    <w:rsid w:val="009368BF"/>
    <w:rsid w:val="00963CD4"/>
    <w:rsid w:val="00977528"/>
    <w:rsid w:val="00996C0C"/>
    <w:rsid w:val="009A106B"/>
    <w:rsid w:val="009A514A"/>
    <w:rsid w:val="009B7C4D"/>
    <w:rsid w:val="009C01B7"/>
    <w:rsid w:val="009E5815"/>
    <w:rsid w:val="009F7FB2"/>
    <w:rsid w:val="00A12FEC"/>
    <w:rsid w:val="00A168FE"/>
    <w:rsid w:val="00A25C70"/>
    <w:rsid w:val="00A40950"/>
    <w:rsid w:val="00A5269F"/>
    <w:rsid w:val="00A6210D"/>
    <w:rsid w:val="00A7408C"/>
    <w:rsid w:val="00A77F58"/>
    <w:rsid w:val="00A857A6"/>
    <w:rsid w:val="00A912E7"/>
    <w:rsid w:val="00A96847"/>
    <w:rsid w:val="00AA390C"/>
    <w:rsid w:val="00AB73C8"/>
    <w:rsid w:val="00AB7D3A"/>
    <w:rsid w:val="00AD08D6"/>
    <w:rsid w:val="00AD256C"/>
    <w:rsid w:val="00AE284B"/>
    <w:rsid w:val="00AF506D"/>
    <w:rsid w:val="00B05DD5"/>
    <w:rsid w:val="00B05DE1"/>
    <w:rsid w:val="00B1296E"/>
    <w:rsid w:val="00B35C1A"/>
    <w:rsid w:val="00B553FC"/>
    <w:rsid w:val="00B91B7D"/>
    <w:rsid w:val="00BC3160"/>
    <w:rsid w:val="00BC3F88"/>
    <w:rsid w:val="00BF4F07"/>
    <w:rsid w:val="00C26885"/>
    <w:rsid w:val="00C34DE8"/>
    <w:rsid w:val="00C401C6"/>
    <w:rsid w:val="00C538BC"/>
    <w:rsid w:val="00C956EB"/>
    <w:rsid w:val="00CA1B56"/>
    <w:rsid w:val="00CC56BC"/>
    <w:rsid w:val="00D0696A"/>
    <w:rsid w:val="00D25B75"/>
    <w:rsid w:val="00D92657"/>
    <w:rsid w:val="00D9373E"/>
    <w:rsid w:val="00DA413A"/>
    <w:rsid w:val="00DB6666"/>
    <w:rsid w:val="00DD1F47"/>
    <w:rsid w:val="00DD540E"/>
    <w:rsid w:val="00DD5DAF"/>
    <w:rsid w:val="00DE5F46"/>
    <w:rsid w:val="00E160C1"/>
    <w:rsid w:val="00E42210"/>
    <w:rsid w:val="00E87FF3"/>
    <w:rsid w:val="00EA50A6"/>
    <w:rsid w:val="00EB1DA4"/>
    <w:rsid w:val="00ED3820"/>
    <w:rsid w:val="00EE5018"/>
    <w:rsid w:val="00EF1782"/>
    <w:rsid w:val="00EF18AB"/>
    <w:rsid w:val="00F06C0A"/>
    <w:rsid w:val="00F2405A"/>
    <w:rsid w:val="00F3587F"/>
    <w:rsid w:val="00F419D5"/>
    <w:rsid w:val="00F651A7"/>
    <w:rsid w:val="00F91DF2"/>
    <w:rsid w:val="00FB0A15"/>
    <w:rsid w:val="00FB3F91"/>
    <w:rsid w:val="00FC6C79"/>
    <w:rsid w:val="00FE68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35983D40FDC94230863BFE298BEAFC1A">
    <w:name w:val="35983D40FDC94230863BFE298BEAFC1A"/>
    <w:rsid w:val="00A912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2026</PublishDate>
  <Abstract/>
  <CompanyAddress>VERZE SCHVÁLENÁ NA JEDNÁNÍ VLÁDY DNE …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Styl2CitacePRO.xsl" StyleName="Styl 2 Citace PR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f25f7d9-3eae-42cd-b0f6-a52253ca282e" xsi:nil="true"/>
    <lcf76f155ced4ddcb4097134ff3c332f xmlns="9f7d927f-e606-4388-93a9-2dfb5a4699e3">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970ABE414D535340BEEC37BC7268C3A2" ma:contentTypeVersion="13" ma:contentTypeDescription="Vytvoří nový dokument" ma:contentTypeScope="" ma:versionID="c11e198feabcacdd6a17303dc0b93c7e">
  <xsd:schema xmlns:xsd="http://www.w3.org/2001/XMLSchema" xmlns:xs="http://www.w3.org/2001/XMLSchema" xmlns:p="http://schemas.microsoft.com/office/2006/metadata/properties" xmlns:ns2="9f7d927f-e606-4388-93a9-2dfb5a4699e3" xmlns:ns3="6f25f7d9-3eae-42cd-b0f6-a52253ca282e" targetNamespace="http://schemas.microsoft.com/office/2006/metadata/properties" ma:root="true" ma:fieldsID="fc49e96a32468ff5b5382a28f35cfb90" ns2:_="" ns3:_="">
    <xsd:import namespace="9f7d927f-e606-4388-93a9-2dfb5a4699e3"/>
    <xsd:import namespace="6f25f7d9-3eae-42cd-b0f6-a52253ca28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927f-e606-4388-93a9-2dfb5a4699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8390ab5a-1228-4de9-8883-f9df055fbe4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25f7d9-3eae-42cd-b0f6-a52253ca282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3fa2632-9c2a-436f-a7cd-a2c6c0e7445c}" ma:internalName="TaxCatchAll" ma:showField="CatchAllData" ma:web="6f25f7d9-3eae-42cd-b0f6-a52253ca28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B8B237-92F6-4B79-97FC-22DCAD61B75B}">
  <ds:schemaRefs>
    <ds:schemaRef ds:uri="http://schemas.openxmlformats.org/officeDocument/2006/bibliography"/>
  </ds:schemaRefs>
</ds:datastoreItem>
</file>

<file path=customXml/itemProps3.xml><?xml version="1.0" encoding="utf-8"?>
<ds:datastoreItem xmlns:ds="http://schemas.openxmlformats.org/officeDocument/2006/customXml" ds:itemID="{97EA6FD8-CDDB-4075-9C2A-2EDEB27E077D}">
  <ds:schemaRefs>
    <ds:schemaRef ds:uri="http://schemas.microsoft.com/sharepoint/v3/contenttype/forms"/>
  </ds:schemaRefs>
</ds:datastoreItem>
</file>

<file path=customXml/itemProps4.xml><?xml version="1.0" encoding="utf-8"?>
<ds:datastoreItem xmlns:ds="http://schemas.openxmlformats.org/officeDocument/2006/customXml" ds:itemID="{28858C0B-94FC-4026-99B3-C9DA508D6535}">
  <ds:schemaRefs>
    <ds:schemaRef ds:uri="http://schemas.microsoft.com/office/2006/metadata/properties"/>
    <ds:schemaRef ds:uri="http://schemas.microsoft.com/office/infopath/2007/PartnerControls"/>
    <ds:schemaRef ds:uri="f330bf4c-7d0e-4728-ac38-8ec30312c613"/>
    <ds:schemaRef ds:uri="299abc7f-d377-4404-be4d-881a1d984be2"/>
  </ds:schemaRefs>
</ds:datastoreItem>
</file>

<file path=customXml/itemProps5.xml><?xml version="1.0" encoding="utf-8"?>
<ds:datastoreItem xmlns:ds="http://schemas.openxmlformats.org/officeDocument/2006/customXml" ds:itemID="{7944B69D-7373-4B16-98EF-86E7FAC3772A}"/>
</file>

<file path=docProps/app.xml><?xml version="1.0" encoding="utf-8"?>
<Properties xmlns="http://schemas.openxmlformats.org/officeDocument/2006/extended-properties" xmlns:vt="http://schemas.openxmlformats.org/officeDocument/2006/docPropsVTypes">
  <Template>Normal.dotm</Template>
  <TotalTime>1</TotalTime>
  <Pages>1</Pages>
  <Words>58251</Words>
  <Characters>343685</Characters>
  <Application>Microsoft Office Word</Application>
  <DocSecurity>0</DocSecurity>
  <Lines>2864</Lines>
  <Paragraphs>802</Paragraphs>
  <ScaleCrop>false</ScaleCrop>
  <Company>MZe ČR</Company>
  <LinksUpToDate>false</LinksUpToDate>
  <CharactersWithSpaces>401134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Zpráva o stavu vodního hospodářství České republiky v roce 2025</dc:title>
  <dc:subject/>
  <dc:creator>Fousová Eva</dc:creator>
  <cp:keywords/>
  <dc:description/>
  <cp:lastModifiedBy>Šindlerová Helena</cp:lastModifiedBy>
  <cp:revision>3</cp:revision>
  <cp:lastPrinted>2026-07-08T08:30:00Z</cp:lastPrinted>
  <dcterms:created xsi:type="dcterms:W3CDTF">2026-09-02T08:54:00Z</dcterms:created>
  <dcterms:modified xsi:type="dcterms:W3CDTF">2026-09-02T08:54:00Z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01bb0b-c2f5-4fc4-bac5-774fe7d62679_Enabled">
    <vt:lpwstr>true</vt:lpwstr>
  </property>
  <property fmtid="{D5CDD505-2E9C-101B-9397-08002B2CF9AE}" pid="3" name="MSIP_Label_8d01bb0b-c2f5-4fc4-bac5-774fe7d62679_SetDate">
    <vt:lpwstr>2024-04-26T08:21:14Z</vt:lpwstr>
  </property>
  <property fmtid="{D5CDD505-2E9C-101B-9397-08002B2CF9AE}" pid="4" name="MSIP_Label_8d01bb0b-c2f5-4fc4-bac5-774fe7d62679_Method">
    <vt:lpwstr>Privileged</vt:lpwstr>
  </property>
  <property fmtid="{D5CDD505-2E9C-101B-9397-08002B2CF9AE}" pid="5" name="MSIP_Label_8d01bb0b-c2f5-4fc4-bac5-774fe7d62679_Name">
    <vt:lpwstr>Veřejné</vt:lpwstr>
  </property>
  <property fmtid="{D5CDD505-2E9C-101B-9397-08002B2CF9AE}" pid="6" name="MSIP_Label_8d01bb0b-c2f5-4fc4-bac5-774fe7d62679_SiteId">
    <vt:lpwstr>e84ea0de-38e7-4864-b153-a909a7746ff0</vt:lpwstr>
  </property>
  <property fmtid="{D5CDD505-2E9C-101B-9397-08002B2CF9AE}" pid="7" name="MSIP_Label_8d01bb0b-c2f5-4fc4-bac5-774fe7d62679_ActionId">
    <vt:lpwstr>76b8bfb0-62dc-461c-b3a9-94c6a75ab5d8</vt:lpwstr>
  </property>
  <property fmtid="{D5CDD505-2E9C-101B-9397-08002B2CF9AE}" pid="8" name="MSIP_Label_8d01bb0b-c2f5-4fc4-bac5-774fe7d62679_ContentBits">
    <vt:lpwstr>0</vt:lpwstr>
  </property>
  <property fmtid="{D5CDD505-2E9C-101B-9397-08002B2CF9AE}" pid="9" name="Order">
    <vt:lpwstr>696600.000000000</vt:lpwstr>
  </property>
  <property fmtid="{D5CDD505-2E9C-101B-9397-08002B2CF9AE}" pid="10" name="ContentTypeId">
    <vt:lpwstr>0x010100970ABE414D535340BEEC37BC7268C3A2</vt:lpwstr>
  </property>
  <property fmtid="{D5CDD505-2E9C-101B-9397-08002B2CF9AE}" pid="11" name="MediaServiceImageTags">
    <vt:lpwstr/>
  </property>
</Properties>
</file>