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407ADF86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426F1">
        <w:rPr>
          <w:b/>
        </w:rPr>
        <w:t>0</w:t>
      </w:r>
      <w:r w:rsidR="00F13FE6">
        <w:rPr>
          <w:b/>
        </w:rPr>
        <w:t xml:space="preserve">. </w:t>
      </w:r>
      <w:r w:rsidR="00DF0E01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5F197C16" w14:textId="77777777" w:rsidR="00D828F9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F426F1">
        <w:t>0</w:t>
      </w:r>
      <w:r w:rsidR="00F13FE6">
        <w:t xml:space="preserve">. </w:t>
      </w:r>
      <w:r w:rsidR="00DF0E01">
        <w:t>9</w:t>
      </w:r>
      <w:r w:rsidR="00B31EE7">
        <w:t>.</w:t>
      </w:r>
      <w:r w:rsidR="00F13FE6">
        <w:t xml:space="preserve"> 20</w:t>
      </w:r>
      <w:r w:rsidR="00B31EE7">
        <w:t>2</w:t>
      </w:r>
      <w:r w:rsidR="00AE79A9">
        <w:t>3</w:t>
      </w:r>
      <w:r w:rsidRPr="00BF3F6A">
        <w:t xml:space="preserve"> oproti </w:t>
      </w:r>
      <w:r w:rsidR="00F13FE6">
        <w:t>3</w:t>
      </w:r>
      <w:r w:rsidR="00F426F1">
        <w:t>0</w:t>
      </w:r>
      <w:r w:rsidR="00F13FE6">
        <w:t xml:space="preserve">. </w:t>
      </w:r>
      <w:r w:rsidR="00DF0E01">
        <w:t>9</w:t>
      </w:r>
      <w:r w:rsidR="00F13FE6">
        <w:t>. 20</w:t>
      </w:r>
      <w:r w:rsidR="007D0930">
        <w:t>2</w:t>
      </w:r>
      <w:r w:rsidR="00AE79A9">
        <w:t>2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 xml:space="preserve">o </w:t>
      </w:r>
      <w:r w:rsidR="00D36E28">
        <w:t>1</w:t>
      </w:r>
      <w:r w:rsidR="00291AB2">
        <w:t>17</w:t>
      </w:r>
      <w:r w:rsidR="00D36E28">
        <w:t>,</w:t>
      </w:r>
      <w:r w:rsidR="00291AB2">
        <w:t>43</w:t>
      </w:r>
      <w:r w:rsidR="00D36E28">
        <w:t xml:space="preserve"> </w:t>
      </w:r>
      <w:r w:rsidRPr="00BF3F6A">
        <w:t>tis. tun (</w:t>
      </w:r>
      <w:r w:rsidR="00291AB2">
        <w:t>7</w:t>
      </w:r>
      <w:r w:rsidRPr="00BF3F6A">
        <w:t>,</w:t>
      </w:r>
      <w:r w:rsidR="00291AB2">
        <w:t>13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83579B">
        <w:t>66</w:t>
      </w:r>
      <w:r w:rsidR="00036062">
        <w:t>,</w:t>
      </w:r>
      <w:r w:rsidR="0083579B">
        <w:t>59</w:t>
      </w:r>
      <w:r w:rsidR="00036062" w:rsidRPr="003D06E4">
        <w:t xml:space="preserve"> tis. tun</w:t>
      </w:r>
      <w:r w:rsidR="00036062">
        <w:t xml:space="preserve"> (</w:t>
      </w:r>
      <w:r w:rsidR="0083579B">
        <w:t>7</w:t>
      </w:r>
      <w:r w:rsidR="00036062">
        <w:t>,</w:t>
      </w:r>
      <w:r w:rsidR="0083579B">
        <w:t>07</w:t>
      </w:r>
      <w:r w:rsidR="00036062">
        <w:t> %),</w:t>
      </w:r>
      <w:r w:rsidR="00036062" w:rsidRPr="004A3B3A">
        <w:t xml:space="preserve">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83579B">
        <w:t>26</w:t>
      </w:r>
      <w:r w:rsidR="00164285">
        <w:t>,</w:t>
      </w:r>
      <w:r w:rsidR="0083579B">
        <w:t>31</w:t>
      </w:r>
      <w:r w:rsidR="00164285">
        <w:t xml:space="preserve"> tis. tun (</w:t>
      </w:r>
      <w:r w:rsidR="0083579B">
        <w:t>4</w:t>
      </w:r>
      <w:r w:rsidR="007230D8">
        <w:t>,</w:t>
      </w:r>
      <w:r w:rsidR="0083579B">
        <w:t>83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</w:t>
      </w:r>
      <w:r w:rsidR="0083579B">
        <w:t>16,81</w:t>
      </w:r>
      <w:r w:rsidR="004A3B3A">
        <w:t>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>(</w:t>
      </w:r>
      <w:r w:rsidR="0083579B">
        <w:t>46</w:t>
      </w:r>
      <w:r w:rsidR="004A3B3A">
        <w:t>,</w:t>
      </w:r>
      <w:r w:rsidR="00E65BB9">
        <w:t>22</w:t>
      </w:r>
      <w:r w:rsidR="004A3B3A">
        <w:t xml:space="preserve">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83579B">
        <w:t>9</w:t>
      </w:r>
      <w:r w:rsidR="004A3B3A">
        <w:t>,</w:t>
      </w:r>
      <w:r w:rsidR="0083579B">
        <w:t>72</w:t>
      </w:r>
      <w:r w:rsidR="004A3B3A">
        <w:t xml:space="preserve"> tis. tun (</w:t>
      </w:r>
      <w:r w:rsidR="0083579B">
        <w:t>37</w:t>
      </w:r>
      <w:r w:rsidR="004A3B3A">
        <w:t>,</w:t>
      </w:r>
      <w:r w:rsidR="0083579B">
        <w:t>32</w:t>
      </w:r>
      <w:r w:rsidR="004A3B3A">
        <w:t xml:space="preserve"> %)</w:t>
      </w:r>
      <w:r w:rsidR="00117E36">
        <w:t xml:space="preserve"> a</w:t>
      </w:r>
      <w:r w:rsidR="00D9402A">
        <w:t xml:space="preserve"> </w:t>
      </w:r>
      <w:r w:rsidR="007A4633">
        <w:t xml:space="preserve">u </w:t>
      </w:r>
      <w:r w:rsidR="0083579B" w:rsidRPr="00960D30">
        <w:rPr>
          <w:b/>
        </w:rPr>
        <w:t>kukuřice</w:t>
      </w:r>
      <w:r w:rsidR="0083579B" w:rsidRPr="00042835">
        <w:rPr>
          <w:b/>
        </w:rPr>
        <w:t xml:space="preserve"> </w:t>
      </w:r>
      <w:r w:rsidR="0083579B">
        <w:t>o 23,27 tis. tun (34,37 %)</w:t>
      </w:r>
      <w:r w:rsidR="00561530">
        <w:t>.</w:t>
      </w:r>
    </w:p>
    <w:p w14:paraId="4E530F17" w14:textId="1297A820" w:rsidR="00170579" w:rsidRPr="00042835" w:rsidRDefault="0083579B" w:rsidP="00B76C47">
      <w:pPr>
        <w:pStyle w:val="Zkladntext"/>
        <w:spacing w:line="276" w:lineRule="auto"/>
        <w:jc w:val="both"/>
        <w:rPr>
          <w:b/>
        </w:rPr>
      </w:pPr>
      <w:r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4A3B3A">
        <w:t>u</w:t>
      </w:r>
      <w:r w:rsidR="004A3B3A" w:rsidRPr="005D137C">
        <w:rPr>
          <w:b/>
        </w:rPr>
        <w:t xml:space="preserve"> </w:t>
      </w:r>
      <w:r>
        <w:rPr>
          <w:b/>
        </w:rPr>
        <w:t xml:space="preserve">pšenice potravinářské </w:t>
      </w:r>
      <w:r>
        <w:t>o 123</w:t>
      </w:r>
      <w:r w:rsidRPr="00164285">
        <w:t>,</w:t>
      </w:r>
      <w:r>
        <w:t>74 tis. </w:t>
      </w:r>
      <w:r w:rsidRPr="00164285">
        <w:t>tun</w:t>
      </w:r>
      <w:r>
        <w:rPr>
          <w:b/>
        </w:rPr>
        <w:t xml:space="preserve"> </w:t>
      </w:r>
      <w:r>
        <w:t>(30,14 %),</w:t>
      </w:r>
      <w:r w:rsidRPr="0083579B">
        <w:rPr>
          <w:b/>
          <w:bCs/>
        </w:rPr>
        <w:t xml:space="preserve"> </w:t>
      </w:r>
      <w:r w:rsidRPr="0083579B">
        <w:t>u</w:t>
      </w:r>
      <w:r>
        <w:rPr>
          <w:b/>
          <w:bCs/>
        </w:rPr>
        <w:t xml:space="preserve"> </w:t>
      </w:r>
      <w:r w:rsidRPr="005D137C">
        <w:rPr>
          <w:b/>
          <w:bCs/>
        </w:rPr>
        <w:t>ječmene sladovnického</w:t>
      </w:r>
      <w:r>
        <w:t xml:space="preserve"> o 7,44 tis. tun (2,45 %),</w:t>
      </w:r>
      <w:r w:rsidR="002462BB">
        <w:t xml:space="preserve">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>
        <w:t>12</w:t>
      </w:r>
      <w:r w:rsidR="006231AE">
        <w:t>,</w:t>
      </w:r>
      <w:r>
        <w:t>70</w:t>
      </w:r>
      <w:r w:rsidR="006231AE">
        <w:t xml:space="preserve"> tis. tun (</w:t>
      </w:r>
      <w:r>
        <w:t>60</w:t>
      </w:r>
      <w:r w:rsidR="006231AE">
        <w:t>,</w:t>
      </w:r>
      <w:r>
        <w:t>72</w:t>
      </w:r>
      <w:r w:rsidR="00BD560A">
        <w:t> </w:t>
      </w:r>
      <w:r w:rsidR="006231AE">
        <w:t>%)</w:t>
      </w:r>
      <w:r>
        <w:t xml:space="preserve"> a u</w:t>
      </w:r>
      <w:r w:rsidR="006231AE">
        <w:t xml:space="preserve"> </w:t>
      </w:r>
      <w:r w:rsidRPr="00960D30">
        <w:rPr>
          <w:b/>
        </w:rPr>
        <w:t>triticale</w:t>
      </w:r>
      <w:r w:rsidRPr="00A83A05">
        <w:t xml:space="preserve"> o</w:t>
      </w:r>
      <w:r>
        <w:t xml:space="preserve"> 2,83 </w:t>
      </w:r>
      <w:r w:rsidRPr="00A83A05">
        <w:t>tis. tun (</w:t>
      </w:r>
      <w:r>
        <w:t xml:space="preserve">8,39 </w:t>
      </w:r>
      <w:r w:rsidRPr="00A83A05">
        <w:t>%)</w:t>
      </w:r>
      <w:r>
        <w:t>.</w:t>
      </w:r>
    </w:p>
    <w:p w14:paraId="02937F5E" w14:textId="1DDAD567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646B7A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DF0E01">
        <w:rPr>
          <w:bCs/>
        </w:rPr>
        <w:t>9</w:t>
      </w:r>
      <w:r w:rsidR="00F13FE6">
        <w:rPr>
          <w:bCs/>
        </w:rPr>
        <w:t>. 20</w:t>
      </w:r>
      <w:r w:rsidR="00B31EE7">
        <w:rPr>
          <w:bCs/>
        </w:rPr>
        <w:t>2</w:t>
      </w:r>
      <w:r w:rsidR="00AE79A9">
        <w:rPr>
          <w:bCs/>
        </w:rPr>
        <w:t>3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646B7A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DF0E01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AE79A9">
        <w:rPr>
          <w:bCs/>
        </w:rPr>
        <w:t>2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83579B">
        <w:t>62</w:t>
      </w:r>
      <w:r w:rsidR="0071079E">
        <w:t>,</w:t>
      </w:r>
      <w:r w:rsidR="0083579B">
        <w:t>07</w:t>
      </w:r>
      <w:r w:rsidR="00D03263" w:rsidRPr="00BF3F6A">
        <w:t xml:space="preserve"> tis. tun (</w:t>
      </w:r>
      <w:r w:rsidR="0083579B">
        <w:t>16</w:t>
      </w:r>
      <w:r w:rsidR="00117E36">
        <w:t>,</w:t>
      </w:r>
      <w:r w:rsidR="0083579B">
        <w:t>2</w:t>
      </w:r>
      <w:r w:rsidR="00AB331B">
        <w:t>0</w:t>
      </w:r>
      <w:r w:rsidR="00D03263" w:rsidRPr="00BF3F6A">
        <w:t xml:space="preserve"> %). </w:t>
      </w:r>
    </w:p>
    <w:p w14:paraId="6F89E68D" w14:textId="5DAC075D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46B7A">
        <w:rPr>
          <w:b/>
        </w:rPr>
        <w:t>0</w:t>
      </w:r>
      <w:r w:rsidR="00F13FE6">
        <w:rPr>
          <w:b/>
        </w:rPr>
        <w:t xml:space="preserve">. </w:t>
      </w:r>
      <w:r w:rsidR="00DF0E01">
        <w:rPr>
          <w:b/>
        </w:rPr>
        <w:t>9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AE79A9">
        <w:rPr>
          <w:b/>
        </w:rPr>
        <w:t>3</w:t>
      </w:r>
      <w:r w:rsidRPr="00BF3F6A">
        <w:rPr>
          <w:b/>
        </w:rPr>
        <w:t xml:space="preserve"> u jednotlivých skupin obchodních a zpracovatelských subjektů </w:t>
      </w:r>
    </w:p>
    <w:p w14:paraId="185EB247" w14:textId="5CD6706C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(osivářských)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646B7A">
        <w:t>0</w:t>
      </w:r>
      <w:r w:rsidR="00F13FE6">
        <w:t>.</w:t>
      </w:r>
      <w:r w:rsidR="00B76C47">
        <w:t> </w:t>
      </w:r>
      <w:r w:rsidR="00DF0E01">
        <w:t>9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AE79A9">
        <w:t>3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646B7A">
        <w:t>0</w:t>
      </w:r>
      <w:r w:rsidR="00F13FE6">
        <w:t xml:space="preserve">. </w:t>
      </w:r>
      <w:r w:rsidR="00DF0E01">
        <w:t>9</w:t>
      </w:r>
      <w:r w:rsidR="000E7AA3">
        <w:t>.</w:t>
      </w:r>
      <w:r w:rsidR="00F13FE6">
        <w:t xml:space="preserve"> 20</w:t>
      </w:r>
      <w:r w:rsidR="007D0930">
        <w:t>2</w:t>
      </w:r>
      <w:r w:rsidR="00AE79A9">
        <w:t>2</w:t>
      </w:r>
      <w:r w:rsidR="003D17F3">
        <w:t xml:space="preserve"> </w:t>
      </w:r>
      <w:r w:rsidR="00147EF4">
        <w:t>vyšší</w:t>
      </w:r>
      <w:r w:rsidR="0063340D">
        <w:t xml:space="preserve"> </w:t>
      </w:r>
      <w:r w:rsidRPr="00BF3F6A">
        <w:t>o</w:t>
      </w:r>
      <w:r w:rsidR="00DF08FB">
        <w:t xml:space="preserve"> </w:t>
      </w:r>
      <w:r w:rsidR="00396EE1">
        <w:t>87</w:t>
      </w:r>
      <w:r w:rsidR="00DF08FB">
        <w:t>,</w:t>
      </w:r>
      <w:r w:rsidR="00396EE1">
        <w:t>60</w:t>
      </w:r>
      <w:r w:rsidRPr="00BF3F6A">
        <w:t xml:space="preserve"> tis. tun (</w:t>
      </w:r>
      <w:r w:rsidR="00AC29A5">
        <w:t>7</w:t>
      </w:r>
      <w:r w:rsidR="0080106D">
        <w:t>,</w:t>
      </w:r>
      <w:r w:rsidR="00396EE1">
        <w:t>81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5434C995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="004E7FAE">
        <w:t xml:space="preserve">zásoba </w:t>
      </w:r>
      <w:r w:rsidR="004C1E6F">
        <w:t xml:space="preserve">u </w:t>
      </w:r>
      <w:r w:rsidR="004C1E6F" w:rsidRPr="00BC6886">
        <w:rPr>
          <w:b/>
          <w:bCs/>
        </w:rPr>
        <w:t>pšenice potravinářské</w:t>
      </w:r>
      <w:r w:rsidR="004C1E6F" w:rsidRPr="00BF3F6A">
        <w:t xml:space="preserve"> o </w:t>
      </w:r>
      <w:r w:rsidR="004E7FAE">
        <w:t>1</w:t>
      </w:r>
      <w:r w:rsidR="004C1E6F">
        <w:t>,</w:t>
      </w:r>
      <w:r w:rsidR="004E7FAE">
        <w:t xml:space="preserve">26 </w:t>
      </w:r>
      <w:r w:rsidR="004C1E6F" w:rsidRPr="00BF3F6A">
        <w:t>tis. tun (</w:t>
      </w:r>
      <w:r w:rsidR="004E7FAE">
        <w:t>1</w:t>
      </w:r>
      <w:r w:rsidR="004C1E6F">
        <w:t>,</w:t>
      </w:r>
      <w:r w:rsidR="004E7FAE">
        <w:t>47</w:t>
      </w:r>
      <w:r w:rsidR="004C1E6F" w:rsidRPr="00BF3F6A">
        <w:t xml:space="preserve"> %)</w:t>
      </w:r>
      <w:r w:rsidR="004C1E6F">
        <w:t xml:space="preserve"> a u </w:t>
      </w:r>
      <w:r w:rsidR="004C1E6F" w:rsidRPr="00BC6886">
        <w:rPr>
          <w:b/>
          <w:bCs/>
        </w:rPr>
        <w:t>obilovin celkem</w:t>
      </w:r>
      <w:r w:rsidR="004C1E6F">
        <w:t xml:space="preserve"> o </w:t>
      </w:r>
      <w:r w:rsidR="004E7FAE">
        <w:t>3</w:t>
      </w:r>
      <w:r w:rsidR="004C1E6F">
        <w:t>,3</w:t>
      </w:r>
      <w:r w:rsidR="004E7FAE">
        <w:t>9</w:t>
      </w:r>
      <w:r w:rsidR="004C1E6F">
        <w:t xml:space="preserve"> tis. tun (</w:t>
      </w:r>
      <w:r w:rsidR="004E7FAE">
        <w:t>3</w:t>
      </w:r>
      <w:r w:rsidR="004C1E6F">
        <w:t>,</w:t>
      </w:r>
      <w:r w:rsidR="004E7FAE">
        <w:t>6</w:t>
      </w:r>
      <w:r w:rsidR="004C1E6F">
        <w:t>8 %).</w:t>
      </w:r>
      <w:r w:rsidRPr="00BF3F6A">
        <w:t xml:space="preserve"> </w:t>
      </w:r>
      <w:r w:rsidR="00311D8F">
        <w:t xml:space="preserve">Nižší konečná zásoba byla identifikována </w:t>
      </w:r>
      <w:r w:rsidR="004E7FAE">
        <w:t xml:space="preserve">naopak </w:t>
      </w:r>
      <w:r w:rsidR="004C1E6F">
        <w:t xml:space="preserve">u </w:t>
      </w:r>
      <w:r w:rsidR="004C1E6F" w:rsidRPr="00BC6886">
        <w:rPr>
          <w:b/>
          <w:bCs/>
        </w:rPr>
        <w:t>žita k mlýnskému užití</w:t>
      </w:r>
      <w:r w:rsidR="004C1E6F">
        <w:rPr>
          <w:b/>
          <w:bCs/>
        </w:rPr>
        <w:t xml:space="preserve"> </w:t>
      </w:r>
      <w:r w:rsidR="004C1E6F">
        <w:t xml:space="preserve">o </w:t>
      </w:r>
      <w:r w:rsidR="004E7FAE">
        <w:t>0</w:t>
      </w:r>
      <w:r w:rsidR="004C1E6F">
        <w:t>,</w:t>
      </w:r>
      <w:r w:rsidR="004E7FAE">
        <w:t>90</w:t>
      </w:r>
      <w:r w:rsidR="004C1E6F">
        <w:t xml:space="preserve"> tis. tun (</w:t>
      </w:r>
      <w:r w:rsidR="004E7FAE">
        <w:t>13</w:t>
      </w:r>
      <w:r w:rsidR="004C1E6F">
        <w:t>,</w:t>
      </w:r>
      <w:r w:rsidR="004E7FAE">
        <w:t>40</w:t>
      </w:r>
      <w:r w:rsidR="004C1E6F">
        <w:t> %).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07059E04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BC67DC">
        <w:t xml:space="preserve">nižší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BC67DC">
        <w:t>20</w:t>
      </w:r>
      <w:r w:rsidRPr="00B76C47">
        <w:t>,</w:t>
      </w:r>
      <w:r w:rsidR="00BC67DC">
        <w:t>17</w:t>
      </w:r>
      <w:r w:rsidR="0000779C" w:rsidRPr="00B76C47">
        <w:t xml:space="preserve"> tis. tun (</w:t>
      </w:r>
      <w:r w:rsidR="00BC67DC">
        <w:t>21</w:t>
      </w:r>
      <w:r w:rsidR="00601DA6" w:rsidRPr="00B76C47">
        <w:t>,</w:t>
      </w:r>
      <w:r w:rsidR="00BC67DC">
        <w:t>51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697AFA2E" w14:textId="50D52173" w:rsidR="00506A7E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1A359E">
        <w:t xml:space="preserve">u </w:t>
      </w:r>
      <w:r w:rsidR="001A359E" w:rsidRPr="00B44A7E">
        <w:rPr>
          <w:b/>
          <w:bCs/>
        </w:rPr>
        <w:t>obilovin celkem</w:t>
      </w:r>
      <w:r w:rsidR="001A359E" w:rsidRPr="00561ABC">
        <w:t xml:space="preserve"> </w:t>
      </w:r>
      <w:r w:rsidR="001A359E">
        <w:t>o 1</w:t>
      </w:r>
      <w:r w:rsidR="00460D60">
        <w:t>05</w:t>
      </w:r>
      <w:r w:rsidR="001A359E">
        <w:t>,</w:t>
      </w:r>
      <w:r w:rsidR="00460D60">
        <w:t>4</w:t>
      </w:r>
      <w:r w:rsidR="00DD5307">
        <w:t>3</w:t>
      </w:r>
      <w:r w:rsidR="001A359E" w:rsidRPr="00561ABC">
        <w:t xml:space="preserve"> tis. tun (</w:t>
      </w:r>
      <w:r w:rsidR="00460D60">
        <w:t>7</w:t>
      </w:r>
      <w:r w:rsidR="001A359E" w:rsidRPr="00561ABC">
        <w:t>,</w:t>
      </w:r>
      <w:r w:rsidR="00460D60">
        <w:t>8</w:t>
      </w:r>
      <w:r w:rsidR="00DD5307">
        <w:t>2</w:t>
      </w:r>
      <w:r w:rsidR="001A359E" w:rsidRPr="00561ABC">
        <w:t xml:space="preserve"> %)</w:t>
      </w:r>
      <w:r w:rsidR="001A359E">
        <w:t xml:space="preserve">, u </w:t>
      </w:r>
      <w:r w:rsidR="001A359E" w:rsidRPr="00B44A7E">
        <w:rPr>
          <w:b/>
          <w:bCs/>
        </w:rPr>
        <w:t>pšenice celkem</w:t>
      </w:r>
      <w:r w:rsidR="001A359E">
        <w:t xml:space="preserve"> o </w:t>
      </w:r>
      <w:r w:rsidR="00460D60">
        <w:t>56</w:t>
      </w:r>
      <w:r w:rsidR="001A359E">
        <w:t>,</w:t>
      </w:r>
      <w:r w:rsidR="00460D60">
        <w:t>99</w:t>
      </w:r>
      <w:r w:rsidR="00DD5307">
        <w:t xml:space="preserve"> </w:t>
      </w:r>
      <w:r w:rsidR="001A359E">
        <w:t>tis. tun (</w:t>
      </w:r>
      <w:r w:rsidR="00460D60">
        <w:t>7</w:t>
      </w:r>
      <w:r w:rsidR="001A359E">
        <w:t>,</w:t>
      </w:r>
      <w:r w:rsidR="00460D60">
        <w:t>22</w:t>
      </w:r>
      <w:r w:rsidR="001A359E">
        <w:t xml:space="preserve"> %)</w:t>
      </w:r>
      <w:r w:rsidR="00D828F9">
        <w:t xml:space="preserve"> </w:t>
      </w:r>
      <w:r w:rsidR="001A359E">
        <w:t>a</w:t>
      </w:r>
      <w:r w:rsidR="00B414FA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460D60">
        <w:t>37</w:t>
      </w:r>
      <w:r w:rsidR="00D74F65">
        <w:t>,</w:t>
      </w:r>
      <w:r w:rsidR="00783E94">
        <w:t>3</w:t>
      </w:r>
      <w:r w:rsidR="00460D60">
        <w:t>0</w:t>
      </w:r>
      <w:r w:rsidR="000502C7">
        <w:t xml:space="preserve"> tis. tun (</w:t>
      </w:r>
      <w:r w:rsidR="00460D60">
        <w:t>8</w:t>
      </w:r>
      <w:r w:rsidR="00912F4F">
        <w:t>,</w:t>
      </w:r>
      <w:r w:rsidR="00460D60">
        <w:t>81</w:t>
      </w:r>
      <w:r w:rsidR="005C5928">
        <w:t xml:space="preserve"> </w:t>
      </w:r>
      <w:r w:rsidR="000502C7">
        <w:t>%)</w:t>
      </w:r>
      <w:r w:rsidR="001A359E">
        <w:t>.</w:t>
      </w:r>
      <w:r w:rsidR="00460D60">
        <w:t xml:space="preserve"> K poklesu došlo </w:t>
      </w:r>
      <w:r w:rsidR="00A50570">
        <w:t xml:space="preserve">oproti tomu </w:t>
      </w:r>
      <w:r w:rsidR="00460D60" w:rsidRPr="001A359E">
        <w:t>u</w:t>
      </w:r>
      <w:r w:rsidR="00460D60" w:rsidRPr="00182417">
        <w:rPr>
          <w:b/>
          <w:bCs/>
        </w:rPr>
        <w:t xml:space="preserve"> pšenice potravinářské</w:t>
      </w:r>
      <w:r w:rsidR="00460D60">
        <w:t xml:space="preserve"> o 120,38 tis. tun (38,62 %)</w:t>
      </w:r>
    </w:p>
    <w:p w14:paraId="071EA3E4" w14:textId="77777777" w:rsidR="001A359E" w:rsidRDefault="001A359E" w:rsidP="00506A7E">
      <w:pPr>
        <w:pStyle w:val="Zkladntext"/>
        <w:spacing w:after="0" w:line="276" w:lineRule="auto"/>
        <w:jc w:val="both"/>
      </w:pPr>
    </w:p>
    <w:p w14:paraId="36F9A2E6" w14:textId="7241ACD6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škrobárenského</w:t>
      </w:r>
      <w:r w:rsidRPr="00BF3F6A">
        <w:t>,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0E6F88">
        <w:t>35</w:t>
      </w:r>
      <w:r w:rsidR="00912F4F">
        <w:t>,</w:t>
      </w:r>
      <w:r w:rsidR="000E6F88">
        <w:t>25</w:t>
      </w:r>
      <w:r w:rsidRPr="00BF3F6A">
        <w:t xml:space="preserve"> tis. tun (</w:t>
      </w:r>
      <w:r w:rsidR="000E6F88">
        <w:t>66</w:t>
      </w:r>
      <w:r w:rsidR="00912F4F">
        <w:t>,</w:t>
      </w:r>
      <w:r w:rsidR="000E6F88">
        <w:t>71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49F3FA16" w14:textId="77777777" w:rsidR="001A359E" w:rsidRDefault="001A359E" w:rsidP="00B76C47">
      <w:pPr>
        <w:pStyle w:val="Zkladntext"/>
        <w:spacing w:after="0" w:line="276" w:lineRule="auto"/>
        <w:ind w:right="-1"/>
        <w:jc w:val="both"/>
      </w:pPr>
    </w:p>
    <w:p w14:paraId="21EB21CE" w14:textId="60C03D13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0ED">
      <w:t>Těšnov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MZe</w:t>
    </w:r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18D4F798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DF0E01">
      <w:rPr>
        <w:b/>
      </w:rPr>
      <w:t>7</w:t>
    </w:r>
    <w:r w:rsidRPr="00F040ED">
      <w:rPr>
        <w:b/>
      </w:rPr>
      <w:t>. 20</w:t>
    </w:r>
    <w:r w:rsidR="00B31EE7">
      <w:rPr>
        <w:b/>
      </w:rPr>
      <w:t>2</w:t>
    </w:r>
    <w:r w:rsidR="000F6ADF">
      <w:rPr>
        <w:b/>
      </w:rPr>
      <w:t>3</w:t>
    </w:r>
    <w:r w:rsidRPr="00F040ED">
      <w:rPr>
        <w:b/>
      </w:rPr>
      <w:t xml:space="preserve"> – </w:t>
    </w:r>
    <w:r w:rsidR="00B00D56">
      <w:rPr>
        <w:b/>
      </w:rPr>
      <w:t>3</w:t>
    </w:r>
    <w:r w:rsidR="00DF0E0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DF0E01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0F6ADF">
      <w:rPr>
        <w:b/>
      </w:rPr>
      <w:t>3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36062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6F8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1AB2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96EE1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60D60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1E6F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E7FAE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530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79B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570"/>
    <w:rsid w:val="00A509FC"/>
    <w:rsid w:val="00A62AF2"/>
    <w:rsid w:val="00A654C7"/>
    <w:rsid w:val="00A7157C"/>
    <w:rsid w:val="00A77BE1"/>
    <w:rsid w:val="00A83A05"/>
    <w:rsid w:val="00A84B42"/>
    <w:rsid w:val="00A90E5C"/>
    <w:rsid w:val="00A94E55"/>
    <w:rsid w:val="00A9505E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414FA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9C4"/>
    <w:rsid w:val="00BB10B1"/>
    <w:rsid w:val="00BB1244"/>
    <w:rsid w:val="00BB3A14"/>
    <w:rsid w:val="00BC516B"/>
    <w:rsid w:val="00BC67DC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28F9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0E01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2799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123</cp:revision>
  <cp:lastPrinted>2022-05-24T10:52:00Z</cp:lastPrinted>
  <dcterms:created xsi:type="dcterms:W3CDTF">2021-12-16T11:24:00Z</dcterms:created>
  <dcterms:modified xsi:type="dcterms:W3CDTF">2023-11-07T13:59:00Z</dcterms:modified>
</cp:coreProperties>
</file>