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93FB7" w14:textId="77777777" w:rsidR="00C12B63" w:rsidRPr="008D65BE" w:rsidRDefault="0008227B" w:rsidP="00217ACC">
      <w:pPr>
        <w:spacing w:before="120" w:after="120"/>
        <w:jc w:val="both"/>
      </w:pPr>
      <w:r>
        <w:rPr>
          <w:rFonts w:cs="Arial"/>
          <w:noProof/>
          <w:color w:val="808080"/>
          <w:sz w:val="18"/>
          <w:szCs w:val="18"/>
          <w:lang w:val="en-US"/>
        </w:rPr>
        <w:tab/>
      </w:r>
      <w:r>
        <w:rPr>
          <w:rFonts w:cs="Arial"/>
          <w:noProof/>
          <w:color w:val="808080"/>
          <w:sz w:val="18"/>
          <w:szCs w:val="18"/>
          <w:lang w:val="en-US"/>
        </w:rPr>
        <w:tab/>
      </w:r>
    </w:p>
    <w:p w14:paraId="70FE371B" w14:textId="77777777" w:rsidR="00C12B63" w:rsidRPr="008D65BE" w:rsidRDefault="00C12B63" w:rsidP="00217ACC">
      <w:pPr>
        <w:spacing w:before="120" w:after="120"/>
        <w:jc w:val="both"/>
      </w:pPr>
    </w:p>
    <w:p w14:paraId="6394E8AA" w14:textId="77777777" w:rsidR="00C12B63" w:rsidRPr="008D65BE" w:rsidRDefault="00C12B63" w:rsidP="00217ACC">
      <w:pPr>
        <w:spacing w:before="120" w:after="120"/>
        <w:jc w:val="both"/>
      </w:pPr>
    </w:p>
    <w:p w14:paraId="62AEA449" w14:textId="77777777" w:rsidR="00C12B63" w:rsidRPr="008D65BE" w:rsidRDefault="00C12B63" w:rsidP="00217ACC">
      <w:pPr>
        <w:spacing w:before="120" w:after="120"/>
        <w:jc w:val="both"/>
      </w:pPr>
    </w:p>
    <w:p w14:paraId="60E17F40" w14:textId="77777777" w:rsidR="00C12B63" w:rsidRPr="008D65BE" w:rsidRDefault="00C12B63" w:rsidP="00217ACC">
      <w:pPr>
        <w:spacing w:before="120" w:after="120"/>
        <w:jc w:val="both"/>
      </w:pPr>
    </w:p>
    <w:p w14:paraId="45DBA852" w14:textId="77777777" w:rsidR="00854C4A" w:rsidRPr="008D65BE" w:rsidRDefault="00854C4A" w:rsidP="00217ACC">
      <w:pPr>
        <w:spacing w:before="120" w:after="120"/>
        <w:jc w:val="both"/>
        <w:rPr>
          <w:sz w:val="56"/>
          <w:szCs w:val="56"/>
        </w:rPr>
      </w:pPr>
    </w:p>
    <w:p w14:paraId="16D5251D" w14:textId="77777777" w:rsidR="00057FCF" w:rsidRPr="008D65BE" w:rsidRDefault="00057FCF" w:rsidP="00217ACC">
      <w:pPr>
        <w:spacing w:before="120" w:after="120"/>
        <w:jc w:val="both"/>
        <w:rPr>
          <w:sz w:val="56"/>
          <w:szCs w:val="56"/>
        </w:rPr>
      </w:pPr>
    </w:p>
    <w:p w14:paraId="09FD7C6A" w14:textId="77777777" w:rsidR="00854C4A" w:rsidRPr="008D65BE" w:rsidRDefault="00854C4A" w:rsidP="00217ACC">
      <w:pPr>
        <w:spacing w:before="120" w:after="120"/>
        <w:jc w:val="both"/>
        <w:rPr>
          <w:sz w:val="56"/>
          <w:szCs w:val="56"/>
        </w:rPr>
      </w:pPr>
    </w:p>
    <w:p w14:paraId="5C9AAECB" w14:textId="47BD9BC4" w:rsidR="00C12B63" w:rsidRPr="008D65BE" w:rsidRDefault="006C0C50" w:rsidP="00217ACC">
      <w:pPr>
        <w:spacing w:before="120" w:after="120"/>
        <w:jc w:val="center"/>
        <w:rPr>
          <w:b/>
          <w:sz w:val="56"/>
          <w:szCs w:val="56"/>
        </w:rPr>
      </w:pPr>
      <w:r w:rsidRPr="008D65BE">
        <w:rPr>
          <w:b/>
          <w:sz w:val="56"/>
          <w:szCs w:val="56"/>
        </w:rPr>
        <w:t xml:space="preserve">Shrnutí </w:t>
      </w:r>
      <w:r w:rsidR="00C12B63" w:rsidRPr="008D65BE">
        <w:rPr>
          <w:b/>
          <w:sz w:val="56"/>
          <w:szCs w:val="56"/>
        </w:rPr>
        <w:t>Výroční zpráv</w:t>
      </w:r>
      <w:r w:rsidRPr="008D65BE">
        <w:rPr>
          <w:b/>
          <w:sz w:val="56"/>
          <w:szCs w:val="56"/>
        </w:rPr>
        <w:t>y</w:t>
      </w:r>
      <w:r w:rsidR="00C12B63" w:rsidRPr="008D65BE">
        <w:rPr>
          <w:b/>
          <w:sz w:val="56"/>
          <w:szCs w:val="56"/>
        </w:rPr>
        <w:t xml:space="preserve"> </w:t>
      </w:r>
      <w:r w:rsidR="0008227B" w:rsidRPr="008D65BE">
        <w:rPr>
          <w:b/>
          <w:sz w:val="56"/>
          <w:szCs w:val="56"/>
        </w:rPr>
        <w:t>o</w:t>
      </w:r>
      <w:r w:rsidR="0008227B">
        <w:rPr>
          <w:b/>
          <w:sz w:val="56"/>
          <w:szCs w:val="56"/>
        </w:rPr>
        <w:t> </w:t>
      </w:r>
      <w:r w:rsidR="00DA16E0" w:rsidRPr="008D65BE">
        <w:rPr>
          <w:b/>
          <w:sz w:val="56"/>
          <w:szCs w:val="56"/>
        </w:rPr>
        <w:t xml:space="preserve">implementaci </w:t>
      </w:r>
      <w:r w:rsidR="00C12B63" w:rsidRPr="008D65BE">
        <w:rPr>
          <w:b/>
          <w:sz w:val="56"/>
          <w:szCs w:val="56"/>
        </w:rPr>
        <w:t>Operačního programu Rybářství 2014</w:t>
      </w:r>
      <w:r w:rsidR="00DA16E0" w:rsidRPr="008D65BE">
        <w:rPr>
          <w:b/>
          <w:sz w:val="56"/>
          <w:szCs w:val="56"/>
        </w:rPr>
        <w:t>–</w:t>
      </w:r>
      <w:r w:rsidR="00C12B63" w:rsidRPr="008D65BE">
        <w:rPr>
          <w:b/>
          <w:sz w:val="56"/>
          <w:szCs w:val="56"/>
        </w:rPr>
        <w:t>2020</w:t>
      </w:r>
      <w:r w:rsidR="003A2EB2">
        <w:rPr>
          <w:b/>
          <w:sz w:val="56"/>
          <w:szCs w:val="56"/>
        </w:rPr>
        <w:t xml:space="preserve"> za rok 202</w:t>
      </w:r>
      <w:r w:rsidR="00BB4AA7">
        <w:rPr>
          <w:b/>
          <w:sz w:val="56"/>
          <w:szCs w:val="56"/>
        </w:rPr>
        <w:t>3</w:t>
      </w:r>
    </w:p>
    <w:p w14:paraId="35309C1B" w14:textId="77777777" w:rsidR="006C0C50" w:rsidRPr="008D65BE" w:rsidRDefault="006C0C50" w:rsidP="00217ACC">
      <w:pPr>
        <w:spacing w:before="120" w:after="120"/>
        <w:jc w:val="center"/>
        <w:rPr>
          <w:b/>
          <w:sz w:val="56"/>
          <w:szCs w:val="56"/>
        </w:rPr>
      </w:pPr>
    </w:p>
    <w:p w14:paraId="24E1830A" w14:textId="77777777" w:rsidR="00DA16E0" w:rsidRPr="008D65BE" w:rsidRDefault="00DA16E0" w:rsidP="00217ACC">
      <w:pPr>
        <w:spacing w:before="120" w:after="120"/>
        <w:jc w:val="center"/>
        <w:rPr>
          <w:b/>
          <w:sz w:val="56"/>
          <w:szCs w:val="56"/>
        </w:rPr>
      </w:pPr>
      <w:r w:rsidRPr="008D65BE">
        <w:rPr>
          <w:b/>
          <w:sz w:val="56"/>
          <w:szCs w:val="56"/>
        </w:rPr>
        <w:t>pro veřejnost</w:t>
      </w:r>
    </w:p>
    <w:p w14:paraId="7A6CD831" w14:textId="77777777" w:rsidR="003A30A4" w:rsidRPr="008D65BE" w:rsidRDefault="003A30A4" w:rsidP="00217ACC">
      <w:pPr>
        <w:spacing w:before="120" w:after="120"/>
        <w:jc w:val="both"/>
        <w:rPr>
          <w:b/>
          <w:sz w:val="56"/>
          <w:szCs w:val="56"/>
        </w:rPr>
      </w:pPr>
    </w:p>
    <w:p w14:paraId="3CAECD88" w14:textId="77777777" w:rsidR="00C12B63" w:rsidRPr="008D65BE" w:rsidRDefault="00C12B63" w:rsidP="00217ACC">
      <w:pPr>
        <w:spacing w:before="120" w:after="120"/>
        <w:jc w:val="both"/>
      </w:pPr>
    </w:p>
    <w:p w14:paraId="190FAC75" w14:textId="77777777" w:rsidR="002E497F" w:rsidRPr="008D65BE" w:rsidRDefault="002E497F" w:rsidP="00217ACC">
      <w:pPr>
        <w:spacing w:before="120" w:after="120"/>
        <w:jc w:val="both"/>
      </w:pPr>
    </w:p>
    <w:p w14:paraId="0957B403" w14:textId="77777777" w:rsidR="002E497F" w:rsidRPr="008D65BE" w:rsidRDefault="002E497F" w:rsidP="00217ACC">
      <w:pPr>
        <w:spacing w:before="120" w:after="120"/>
        <w:jc w:val="both"/>
      </w:pPr>
    </w:p>
    <w:p w14:paraId="04A190B7" w14:textId="77777777" w:rsidR="00057FCF" w:rsidRPr="008D65BE" w:rsidRDefault="00057FCF" w:rsidP="00217ACC">
      <w:pPr>
        <w:spacing w:before="120" w:after="120"/>
        <w:jc w:val="both"/>
      </w:pPr>
    </w:p>
    <w:p w14:paraId="453963BE" w14:textId="77777777" w:rsidR="00057FCF" w:rsidRPr="008D65BE" w:rsidRDefault="00057FCF" w:rsidP="00217ACC">
      <w:pPr>
        <w:spacing w:before="120" w:after="120"/>
        <w:jc w:val="both"/>
      </w:pPr>
    </w:p>
    <w:p w14:paraId="45B450C1" w14:textId="77777777" w:rsidR="00057FCF" w:rsidRDefault="00057FCF" w:rsidP="00217ACC">
      <w:pPr>
        <w:spacing w:before="120" w:after="120"/>
        <w:jc w:val="both"/>
      </w:pPr>
    </w:p>
    <w:p w14:paraId="318AE90F" w14:textId="77777777" w:rsidR="000B0EEC" w:rsidRDefault="000B0EEC" w:rsidP="00217ACC">
      <w:pPr>
        <w:spacing w:before="120" w:after="120"/>
        <w:jc w:val="both"/>
      </w:pPr>
    </w:p>
    <w:p w14:paraId="391BC256" w14:textId="77777777" w:rsidR="000B0EEC" w:rsidRDefault="000B0EEC" w:rsidP="00217ACC">
      <w:pPr>
        <w:spacing w:before="120" w:after="120"/>
        <w:jc w:val="both"/>
      </w:pPr>
    </w:p>
    <w:p w14:paraId="78FB2791" w14:textId="77777777" w:rsidR="000B0EEC" w:rsidRPr="008D65BE" w:rsidRDefault="000B0EEC" w:rsidP="00217ACC">
      <w:pPr>
        <w:spacing w:before="120" w:after="120"/>
        <w:jc w:val="both"/>
      </w:pPr>
    </w:p>
    <w:p w14:paraId="5629ED12" w14:textId="77777777" w:rsidR="00057FCF" w:rsidRPr="008D65BE" w:rsidRDefault="00057FCF" w:rsidP="00217ACC">
      <w:pPr>
        <w:spacing w:before="120" w:after="120"/>
        <w:jc w:val="both"/>
      </w:pPr>
    </w:p>
    <w:p w14:paraId="2178AE12" w14:textId="77777777" w:rsidR="00DA16E0" w:rsidRPr="008D65BE" w:rsidRDefault="00DA16E0" w:rsidP="00217ACC">
      <w:pPr>
        <w:autoSpaceDE w:val="0"/>
        <w:autoSpaceDN w:val="0"/>
        <w:adjustRightInd w:val="0"/>
        <w:spacing w:before="120" w:after="120"/>
        <w:jc w:val="both"/>
        <w:rPr>
          <w:rFonts w:cs="Arial"/>
          <w:color w:val="000000"/>
          <w:sz w:val="28"/>
          <w:szCs w:val="28"/>
          <w:lang w:eastAsia="cs-CZ"/>
        </w:rPr>
      </w:pPr>
      <w:r w:rsidRPr="008D65BE">
        <w:rPr>
          <w:rFonts w:cs="Arial"/>
          <w:b/>
          <w:bCs/>
          <w:color w:val="000000"/>
          <w:sz w:val="28"/>
          <w:szCs w:val="28"/>
          <w:lang w:eastAsia="cs-CZ"/>
        </w:rPr>
        <w:lastRenderedPageBreak/>
        <w:t xml:space="preserve">1 Úvod </w:t>
      </w:r>
    </w:p>
    <w:p w14:paraId="2DBABCE9" w14:textId="4FD7D6E0" w:rsidR="00DA16E0" w:rsidRPr="008D65BE" w:rsidRDefault="00DA16E0" w:rsidP="00217ACC">
      <w:pPr>
        <w:autoSpaceDE w:val="0"/>
        <w:autoSpaceDN w:val="0"/>
        <w:adjustRightInd w:val="0"/>
        <w:spacing w:before="120" w:after="120"/>
        <w:jc w:val="both"/>
        <w:rPr>
          <w:rFonts w:cs="Arial"/>
          <w:color w:val="000000"/>
          <w:lang w:eastAsia="cs-CZ"/>
        </w:rPr>
      </w:pPr>
      <w:r w:rsidRPr="008D65BE">
        <w:rPr>
          <w:rFonts w:cs="Arial"/>
          <w:color w:val="000000"/>
          <w:lang w:eastAsia="cs-CZ"/>
        </w:rPr>
        <w:t xml:space="preserve">Výroční zpráva </w:t>
      </w:r>
      <w:r w:rsidR="0008227B" w:rsidRPr="008D65BE">
        <w:rPr>
          <w:rFonts w:cs="Arial"/>
          <w:color w:val="000000"/>
          <w:lang w:eastAsia="cs-CZ"/>
        </w:rPr>
        <w:t>o</w:t>
      </w:r>
      <w:r w:rsidR="0008227B">
        <w:rPr>
          <w:rFonts w:cs="Arial"/>
          <w:color w:val="000000"/>
          <w:lang w:eastAsia="cs-CZ"/>
        </w:rPr>
        <w:t> </w:t>
      </w:r>
      <w:r w:rsidR="00792542" w:rsidRPr="008D65BE">
        <w:rPr>
          <w:rFonts w:cs="Arial"/>
          <w:color w:val="000000"/>
          <w:lang w:eastAsia="cs-CZ"/>
        </w:rPr>
        <w:t xml:space="preserve">implementaci </w:t>
      </w:r>
      <w:r w:rsidRPr="008D65BE">
        <w:rPr>
          <w:rFonts w:cs="Arial"/>
          <w:color w:val="000000"/>
          <w:lang w:eastAsia="cs-CZ"/>
        </w:rPr>
        <w:t>Operačního programu Rybářství</w:t>
      </w:r>
      <w:r w:rsidR="00302DB8">
        <w:rPr>
          <w:rFonts w:cs="Arial"/>
          <w:color w:val="000000"/>
          <w:lang w:eastAsia="cs-CZ"/>
        </w:rPr>
        <w:t xml:space="preserve"> </w:t>
      </w:r>
      <w:r w:rsidR="00302DB8" w:rsidRPr="0012530A">
        <w:rPr>
          <w:rFonts w:cs="Arial"/>
        </w:rPr>
        <w:t>(OP Rybářství)</w:t>
      </w:r>
      <w:r w:rsidRPr="008D65BE">
        <w:rPr>
          <w:rFonts w:cs="Arial"/>
          <w:color w:val="000000"/>
          <w:lang w:eastAsia="cs-CZ"/>
        </w:rPr>
        <w:t xml:space="preserve"> je zpracována na základě článku 50 nařízení </w:t>
      </w:r>
      <w:r w:rsidR="0008227B" w:rsidRPr="008D65BE">
        <w:rPr>
          <w:rFonts w:cs="Arial"/>
          <w:color w:val="000000"/>
          <w:lang w:eastAsia="cs-CZ"/>
        </w:rPr>
        <w:t>o</w:t>
      </w:r>
      <w:r w:rsidR="0008227B">
        <w:rPr>
          <w:rFonts w:cs="Arial"/>
          <w:color w:val="000000"/>
          <w:lang w:eastAsia="cs-CZ"/>
        </w:rPr>
        <w:t> </w:t>
      </w:r>
      <w:r w:rsidRPr="008D65BE">
        <w:rPr>
          <w:rFonts w:cs="Arial"/>
          <w:color w:val="000000"/>
          <w:lang w:eastAsia="cs-CZ"/>
        </w:rPr>
        <w:t xml:space="preserve">společných ustanoveních </w:t>
      </w:r>
      <w:r w:rsidR="0008227B" w:rsidRPr="008D65BE">
        <w:rPr>
          <w:rFonts w:cs="Arial"/>
          <w:color w:val="000000"/>
          <w:lang w:eastAsia="cs-CZ"/>
        </w:rPr>
        <w:t>a</w:t>
      </w:r>
      <w:r w:rsidR="0008227B">
        <w:rPr>
          <w:rFonts w:cs="Arial"/>
          <w:color w:val="000000"/>
          <w:lang w:eastAsia="cs-CZ"/>
        </w:rPr>
        <w:t> </w:t>
      </w:r>
      <w:r w:rsidRPr="008D65BE">
        <w:rPr>
          <w:rFonts w:cs="Arial"/>
          <w:color w:val="000000"/>
          <w:lang w:eastAsia="cs-CZ"/>
        </w:rPr>
        <w:t xml:space="preserve">článku 114 nařízení </w:t>
      </w:r>
      <w:r w:rsidR="0008227B" w:rsidRPr="008D65BE">
        <w:rPr>
          <w:rFonts w:cs="Arial"/>
          <w:color w:val="000000"/>
          <w:lang w:eastAsia="cs-CZ"/>
        </w:rPr>
        <w:t>o</w:t>
      </w:r>
      <w:r w:rsidR="0008227B">
        <w:rPr>
          <w:rFonts w:cs="Arial"/>
          <w:color w:val="000000"/>
          <w:lang w:eastAsia="cs-CZ"/>
        </w:rPr>
        <w:t> </w:t>
      </w:r>
      <w:r w:rsidRPr="008D65BE">
        <w:rPr>
          <w:rFonts w:cs="Arial"/>
          <w:color w:val="000000"/>
          <w:lang w:eastAsia="cs-CZ"/>
        </w:rPr>
        <w:t xml:space="preserve">Evropském námořním </w:t>
      </w:r>
      <w:r w:rsidR="0008227B" w:rsidRPr="008D65BE">
        <w:rPr>
          <w:rFonts w:cs="Arial"/>
          <w:color w:val="000000"/>
          <w:lang w:eastAsia="cs-CZ"/>
        </w:rPr>
        <w:t>a</w:t>
      </w:r>
      <w:r w:rsidR="0008227B">
        <w:rPr>
          <w:rFonts w:cs="Arial"/>
          <w:color w:val="000000"/>
          <w:lang w:eastAsia="cs-CZ"/>
        </w:rPr>
        <w:t> </w:t>
      </w:r>
      <w:r w:rsidRPr="008D65BE">
        <w:rPr>
          <w:rFonts w:cs="Arial"/>
          <w:color w:val="000000"/>
          <w:lang w:eastAsia="cs-CZ"/>
        </w:rPr>
        <w:t xml:space="preserve">rybářském fondu (ENRF). Výroční zpráva </w:t>
      </w:r>
      <w:r w:rsidR="005E5B29">
        <w:rPr>
          <w:rFonts w:cs="Arial"/>
          <w:color w:val="000000"/>
          <w:lang w:eastAsia="cs-CZ"/>
        </w:rPr>
        <w:t xml:space="preserve">je zpracována za rok </w:t>
      </w:r>
      <w:r w:rsidR="00B0067E">
        <w:rPr>
          <w:rFonts w:cs="Arial"/>
          <w:color w:val="000000"/>
          <w:lang w:eastAsia="cs-CZ"/>
        </w:rPr>
        <w:t>2023 a</w:t>
      </w:r>
      <w:r w:rsidR="00750F03">
        <w:rPr>
          <w:rFonts w:cs="Arial"/>
          <w:color w:val="000000"/>
          <w:lang w:eastAsia="cs-CZ"/>
        </w:rPr>
        <w:t xml:space="preserve"> je tedy poslední Výroční zprávou, která je za programové období 2014</w:t>
      </w:r>
      <w:r w:rsidR="00750F03" w:rsidRPr="0012530A">
        <w:rPr>
          <w:rFonts w:cs="Arial"/>
        </w:rPr>
        <w:t>–</w:t>
      </w:r>
      <w:r w:rsidR="00750F03">
        <w:rPr>
          <w:rFonts w:cs="Arial"/>
        </w:rPr>
        <w:t>2020 podávána.</w:t>
      </w:r>
    </w:p>
    <w:p w14:paraId="6FEDFE59" w14:textId="261A9354" w:rsidR="009E45C9" w:rsidRPr="0012530A" w:rsidRDefault="00302DB8" w:rsidP="009E45C9">
      <w:pPr>
        <w:pStyle w:val="Textpoznpodarou"/>
        <w:tabs>
          <w:tab w:val="num" w:pos="0"/>
          <w:tab w:val="left" w:pos="709"/>
        </w:tabs>
        <w:spacing w:before="120" w:after="120"/>
        <w:ind w:left="0" w:firstLine="0"/>
        <w:rPr>
          <w:rFonts w:ascii="Arial" w:hAnsi="Arial" w:cs="Arial"/>
          <w:sz w:val="22"/>
          <w:szCs w:val="22"/>
        </w:rPr>
      </w:pPr>
      <w:r>
        <w:rPr>
          <w:rFonts w:ascii="Arial" w:hAnsi="Arial" w:cs="Arial"/>
          <w:sz w:val="22"/>
          <w:szCs w:val="22"/>
        </w:rPr>
        <w:t>OP</w:t>
      </w:r>
      <w:r w:rsidR="009E45C9" w:rsidRPr="0012530A">
        <w:rPr>
          <w:rFonts w:ascii="Arial" w:hAnsi="Arial" w:cs="Arial"/>
          <w:sz w:val="22"/>
          <w:szCs w:val="22"/>
        </w:rPr>
        <w:t xml:space="preserve"> Rybářství </w:t>
      </w:r>
      <w:r w:rsidR="00997A2D">
        <w:rPr>
          <w:rFonts w:ascii="Arial" w:hAnsi="Arial" w:cs="Arial"/>
          <w:sz w:val="22"/>
          <w:szCs w:val="22"/>
        </w:rPr>
        <w:t>byl</w:t>
      </w:r>
      <w:r w:rsidR="009E45C9" w:rsidRPr="0012530A">
        <w:rPr>
          <w:rFonts w:ascii="Arial" w:hAnsi="Arial" w:cs="Arial"/>
          <w:sz w:val="22"/>
          <w:szCs w:val="22"/>
        </w:rPr>
        <w:t xml:space="preserve"> nástrojem čerpání podpory </w:t>
      </w:r>
      <w:r w:rsidR="0008227B" w:rsidRPr="0012530A">
        <w:rPr>
          <w:rFonts w:ascii="Arial" w:hAnsi="Arial" w:cs="Arial"/>
          <w:sz w:val="22"/>
          <w:szCs w:val="22"/>
        </w:rPr>
        <w:t>z</w:t>
      </w:r>
      <w:r w:rsidR="0008227B">
        <w:rPr>
          <w:rFonts w:ascii="Arial" w:hAnsi="Arial" w:cs="Arial"/>
          <w:sz w:val="22"/>
          <w:szCs w:val="22"/>
        </w:rPr>
        <w:t> </w:t>
      </w:r>
      <w:r w:rsidR="005230A3">
        <w:rPr>
          <w:rFonts w:ascii="Arial" w:hAnsi="Arial" w:cs="Arial"/>
          <w:sz w:val="22"/>
          <w:szCs w:val="22"/>
        </w:rPr>
        <w:t>ENRF, přispív</w:t>
      </w:r>
      <w:r w:rsidR="00997A2D">
        <w:rPr>
          <w:rFonts w:ascii="Arial" w:hAnsi="Arial" w:cs="Arial"/>
          <w:sz w:val="22"/>
          <w:szCs w:val="22"/>
        </w:rPr>
        <w:t>al</w:t>
      </w:r>
      <w:r w:rsidR="005230A3">
        <w:rPr>
          <w:rFonts w:ascii="Arial" w:hAnsi="Arial" w:cs="Arial"/>
          <w:sz w:val="22"/>
          <w:szCs w:val="22"/>
        </w:rPr>
        <w:t xml:space="preserve"> </w:t>
      </w:r>
      <w:r w:rsidR="009E45C9" w:rsidRPr="0012530A">
        <w:rPr>
          <w:rFonts w:ascii="Arial" w:hAnsi="Arial" w:cs="Arial"/>
          <w:sz w:val="22"/>
          <w:szCs w:val="22"/>
        </w:rPr>
        <w:t>k </w:t>
      </w:r>
      <w:r w:rsidR="005230A3">
        <w:rPr>
          <w:rFonts w:ascii="Arial" w:hAnsi="Arial" w:cs="Arial"/>
          <w:sz w:val="22"/>
          <w:szCs w:val="22"/>
        </w:rPr>
        <w:t>provádění</w:t>
      </w:r>
      <w:r w:rsidR="009E45C9" w:rsidRPr="0012530A">
        <w:rPr>
          <w:rFonts w:ascii="Arial" w:hAnsi="Arial" w:cs="Arial"/>
          <w:sz w:val="22"/>
          <w:szCs w:val="22"/>
        </w:rPr>
        <w:t xml:space="preserve"> Společné rybářské politiky </w:t>
      </w:r>
      <w:r w:rsidR="0008227B">
        <w:rPr>
          <w:rFonts w:ascii="Arial" w:hAnsi="Arial" w:cs="Arial"/>
          <w:sz w:val="22"/>
          <w:szCs w:val="22"/>
        </w:rPr>
        <w:t>a </w:t>
      </w:r>
      <w:r w:rsidR="005230A3">
        <w:rPr>
          <w:rFonts w:ascii="Arial" w:hAnsi="Arial" w:cs="Arial"/>
          <w:sz w:val="22"/>
          <w:szCs w:val="22"/>
        </w:rPr>
        <w:t>naplň</w:t>
      </w:r>
      <w:r w:rsidR="00997A2D">
        <w:rPr>
          <w:rFonts w:ascii="Arial" w:hAnsi="Arial" w:cs="Arial"/>
          <w:sz w:val="22"/>
          <w:szCs w:val="22"/>
        </w:rPr>
        <w:t>oval</w:t>
      </w:r>
      <w:r w:rsidR="005230A3">
        <w:rPr>
          <w:rFonts w:ascii="Arial" w:hAnsi="Arial" w:cs="Arial"/>
          <w:sz w:val="22"/>
          <w:szCs w:val="22"/>
        </w:rPr>
        <w:t xml:space="preserve"> </w:t>
      </w:r>
      <w:r>
        <w:rPr>
          <w:rFonts w:ascii="Arial" w:hAnsi="Arial" w:cs="Arial"/>
          <w:sz w:val="22"/>
          <w:szCs w:val="22"/>
        </w:rPr>
        <w:t>P</w:t>
      </w:r>
      <w:r w:rsidR="005230A3">
        <w:rPr>
          <w:rFonts w:ascii="Arial" w:hAnsi="Arial" w:cs="Arial"/>
          <w:sz w:val="22"/>
          <w:szCs w:val="22"/>
        </w:rPr>
        <w:t>riority Unie v oblasti udržitelného rozvoje akvakultury.</w:t>
      </w:r>
    </w:p>
    <w:p w14:paraId="18439605" w14:textId="214BC74D" w:rsidR="009E45C9" w:rsidRPr="0012530A" w:rsidRDefault="009E45C9" w:rsidP="009E45C9">
      <w:pPr>
        <w:autoSpaceDE w:val="0"/>
        <w:autoSpaceDN w:val="0"/>
        <w:adjustRightInd w:val="0"/>
        <w:spacing w:before="120" w:after="120"/>
        <w:jc w:val="both"/>
        <w:rPr>
          <w:rFonts w:cs="Arial"/>
          <w:color w:val="000000"/>
          <w:lang w:eastAsia="cs-CZ"/>
        </w:rPr>
      </w:pPr>
      <w:r w:rsidRPr="0012530A">
        <w:rPr>
          <w:rFonts w:cs="Arial"/>
          <w:color w:val="000000"/>
          <w:lang w:eastAsia="cs-CZ"/>
        </w:rPr>
        <w:t xml:space="preserve">Cílem OP Rybářství </w:t>
      </w:r>
      <w:r w:rsidR="00997A2D">
        <w:rPr>
          <w:rFonts w:cs="Arial"/>
          <w:color w:val="000000"/>
          <w:lang w:eastAsia="cs-CZ"/>
        </w:rPr>
        <w:t xml:space="preserve">bylo </w:t>
      </w:r>
      <w:r w:rsidR="005230A3">
        <w:rPr>
          <w:rFonts w:cs="Arial"/>
          <w:color w:val="000000"/>
          <w:lang w:eastAsia="cs-CZ"/>
        </w:rPr>
        <w:t xml:space="preserve">především </w:t>
      </w:r>
      <w:r w:rsidRPr="0012530A">
        <w:rPr>
          <w:rFonts w:cs="Arial"/>
          <w:color w:val="000000"/>
          <w:lang w:eastAsia="cs-CZ"/>
        </w:rPr>
        <w:t xml:space="preserve">zvýšení konkurenceschopnosti tradiční akvakultury, zvýšení produkce ryb zejména </w:t>
      </w:r>
      <w:r w:rsidR="0008227B" w:rsidRPr="0012530A">
        <w:rPr>
          <w:rFonts w:cs="Arial"/>
          <w:color w:val="000000"/>
          <w:lang w:eastAsia="cs-CZ"/>
        </w:rPr>
        <w:t>z</w:t>
      </w:r>
      <w:r w:rsidR="0008227B">
        <w:rPr>
          <w:rFonts w:cs="Arial"/>
          <w:color w:val="000000"/>
          <w:lang w:eastAsia="cs-CZ"/>
        </w:rPr>
        <w:t> </w:t>
      </w:r>
      <w:r w:rsidRPr="0012530A">
        <w:rPr>
          <w:rFonts w:cs="Arial"/>
          <w:color w:val="000000"/>
          <w:lang w:eastAsia="cs-CZ"/>
        </w:rPr>
        <w:t xml:space="preserve">recirkulačních zařízení, zvýšení podílu zpracovaných ryb, zavádění inovací a zvyšování informovanosti spotřebitelů. </w:t>
      </w:r>
    </w:p>
    <w:p w14:paraId="73DEF0B1" w14:textId="3B7F9EA6" w:rsidR="009E45C9" w:rsidRPr="0012530A" w:rsidRDefault="009E45C9" w:rsidP="009E45C9">
      <w:pPr>
        <w:autoSpaceDE w:val="0"/>
        <w:autoSpaceDN w:val="0"/>
        <w:adjustRightInd w:val="0"/>
        <w:spacing w:before="120" w:after="120"/>
        <w:jc w:val="both"/>
        <w:rPr>
          <w:rFonts w:cs="Arial"/>
          <w:color w:val="000000"/>
          <w:lang w:eastAsia="cs-CZ"/>
        </w:rPr>
      </w:pPr>
      <w:r w:rsidRPr="0012530A">
        <w:rPr>
          <w:rFonts w:cs="Arial"/>
          <w:color w:val="000000"/>
          <w:lang w:eastAsia="cs-CZ"/>
        </w:rPr>
        <w:t>OP Rybářství zahrn</w:t>
      </w:r>
      <w:r w:rsidR="003C103A">
        <w:rPr>
          <w:rFonts w:cs="Arial"/>
          <w:color w:val="000000"/>
          <w:lang w:eastAsia="cs-CZ"/>
        </w:rPr>
        <w:t>uje</w:t>
      </w:r>
      <w:r w:rsidRPr="0012530A">
        <w:rPr>
          <w:rFonts w:cs="Arial"/>
          <w:color w:val="000000"/>
          <w:lang w:eastAsia="cs-CZ"/>
        </w:rPr>
        <w:t xml:space="preserve"> tři ze šesti </w:t>
      </w:r>
      <w:r w:rsidR="00302DB8">
        <w:rPr>
          <w:rFonts w:cs="Arial"/>
          <w:color w:val="000000"/>
          <w:lang w:eastAsia="cs-CZ"/>
        </w:rPr>
        <w:t>P</w:t>
      </w:r>
      <w:r w:rsidRPr="0012530A">
        <w:rPr>
          <w:rFonts w:cs="Arial"/>
          <w:color w:val="000000"/>
          <w:lang w:eastAsia="cs-CZ"/>
        </w:rPr>
        <w:t>riorit Unie</w:t>
      </w:r>
      <w:r w:rsidR="004D5B35">
        <w:rPr>
          <w:rFonts w:cs="Arial"/>
          <w:color w:val="000000"/>
          <w:lang w:eastAsia="cs-CZ"/>
        </w:rPr>
        <w:t xml:space="preserve"> (PU)</w:t>
      </w:r>
      <w:r w:rsidRPr="0012530A">
        <w:rPr>
          <w:rFonts w:cs="Arial"/>
          <w:color w:val="000000"/>
          <w:lang w:eastAsia="cs-CZ"/>
        </w:rPr>
        <w:t xml:space="preserve"> </w:t>
      </w:r>
      <w:r w:rsidR="005230A3">
        <w:rPr>
          <w:rFonts w:cs="Arial"/>
          <w:color w:val="000000"/>
          <w:lang w:eastAsia="cs-CZ"/>
        </w:rPr>
        <w:t xml:space="preserve">definovaných </w:t>
      </w:r>
      <w:r w:rsidR="0008227B">
        <w:rPr>
          <w:rFonts w:cs="Arial"/>
          <w:color w:val="000000"/>
          <w:lang w:eastAsia="cs-CZ"/>
        </w:rPr>
        <w:t>v </w:t>
      </w:r>
      <w:r w:rsidR="00433AAD">
        <w:rPr>
          <w:rFonts w:cs="Arial"/>
          <w:color w:val="000000"/>
          <w:lang w:eastAsia="cs-CZ"/>
        </w:rPr>
        <w:t>nařízení o </w:t>
      </w:r>
      <w:r w:rsidRPr="0012530A">
        <w:rPr>
          <w:rFonts w:cs="Arial"/>
          <w:color w:val="000000"/>
          <w:lang w:eastAsia="cs-CZ"/>
        </w:rPr>
        <w:t>ENRF (</w:t>
      </w:r>
      <w:r w:rsidR="004D5B35">
        <w:rPr>
          <w:rFonts w:cs="Arial"/>
          <w:color w:val="000000"/>
          <w:lang w:eastAsia="cs-CZ"/>
        </w:rPr>
        <w:t>PU</w:t>
      </w:r>
      <w:r w:rsidRPr="0012530A">
        <w:rPr>
          <w:rFonts w:cs="Arial"/>
          <w:color w:val="000000"/>
          <w:lang w:eastAsia="cs-CZ"/>
        </w:rPr>
        <w:t xml:space="preserve"> 2 Podpora environmentálně udržitelné, inovativní </w:t>
      </w:r>
      <w:r w:rsidR="0008227B" w:rsidRPr="0012530A">
        <w:rPr>
          <w:rFonts w:cs="Arial"/>
          <w:color w:val="000000"/>
          <w:lang w:eastAsia="cs-CZ"/>
        </w:rPr>
        <w:t>a</w:t>
      </w:r>
      <w:r w:rsidR="0008227B">
        <w:rPr>
          <w:rFonts w:cs="Arial"/>
          <w:color w:val="000000"/>
          <w:lang w:eastAsia="cs-CZ"/>
        </w:rPr>
        <w:t> </w:t>
      </w:r>
      <w:r w:rsidRPr="0012530A">
        <w:rPr>
          <w:rFonts w:cs="Arial"/>
          <w:color w:val="000000"/>
          <w:lang w:eastAsia="cs-CZ"/>
        </w:rPr>
        <w:t xml:space="preserve">konkurenceschopné akvakultury založené na znalostech </w:t>
      </w:r>
      <w:r w:rsidR="0008227B" w:rsidRPr="0012530A">
        <w:rPr>
          <w:rFonts w:cs="Arial"/>
          <w:color w:val="000000"/>
          <w:lang w:eastAsia="cs-CZ"/>
        </w:rPr>
        <w:t>a</w:t>
      </w:r>
      <w:r w:rsidR="0008227B">
        <w:rPr>
          <w:rFonts w:cs="Arial"/>
          <w:color w:val="000000"/>
          <w:lang w:eastAsia="cs-CZ"/>
        </w:rPr>
        <w:t> </w:t>
      </w:r>
      <w:r w:rsidRPr="0012530A">
        <w:rPr>
          <w:rFonts w:cs="Arial"/>
          <w:color w:val="000000"/>
          <w:lang w:eastAsia="cs-CZ"/>
        </w:rPr>
        <w:t xml:space="preserve">účinně využívající zdroje, </w:t>
      </w:r>
      <w:r w:rsidR="004D5B35">
        <w:rPr>
          <w:rFonts w:cs="Arial"/>
          <w:color w:val="000000"/>
          <w:lang w:eastAsia="cs-CZ"/>
        </w:rPr>
        <w:t>PU</w:t>
      </w:r>
      <w:r w:rsidRPr="0012530A">
        <w:rPr>
          <w:rFonts w:cs="Arial"/>
          <w:color w:val="000000"/>
          <w:lang w:eastAsia="cs-CZ"/>
        </w:rPr>
        <w:t xml:space="preserve"> 3 Podpora provádění společné rybářské politiky </w:t>
      </w:r>
      <w:r w:rsidR="0008227B" w:rsidRPr="0012530A">
        <w:rPr>
          <w:rFonts w:cs="Arial"/>
          <w:color w:val="000000"/>
          <w:lang w:eastAsia="cs-CZ"/>
        </w:rPr>
        <w:t>a</w:t>
      </w:r>
      <w:r w:rsidR="0008227B">
        <w:rPr>
          <w:rFonts w:cs="Arial"/>
          <w:color w:val="000000"/>
          <w:lang w:eastAsia="cs-CZ"/>
        </w:rPr>
        <w:t> </w:t>
      </w:r>
      <w:r w:rsidR="004D5B35">
        <w:rPr>
          <w:rFonts w:cs="Arial"/>
          <w:color w:val="000000"/>
          <w:lang w:eastAsia="cs-CZ"/>
        </w:rPr>
        <w:t>PU</w:t>
      </w:r>
      <w:r w:rsidRPr="0012530A">
        <w:rPr>
          <w:rFonts w:cs="Arial"/>
          <w:color w:val="000000"/>
          <w:lang w:eastAsia="cs-CZ"/>
        </w:rPr>
        <w:t xml:space="preserve"> 5 Podpora uvádění na trh </w:t>
      </w:r>
      <w:r w:rsidR="0008227B" w:rsidRPr="0012530A">
        <w:rPr>
          <w:rFonts w:cs="Arial"/>
          <w:color w:val="000000"/>
          <w:lang w:eastAsia="cs-CZ"/>
        </w:rPr>
        <w:t>a</w:t>
      </w:r>
      <w:r w:rsidR="0008227B">
        <w:rPr>
          <w:rFonts w:cs="Arial"/>
          <w:color w:val="000000"/>
          <w:lang w:eastAsia="cs-CZ"/>
        </w:rPr>
        <w:t> </w:t>
      </w:r>
      <w:r w:rsidRPr="0012530A">
        <w:rPr>
          <w:rFonts w:cs="Arial"/>
          <w:color w:val="000000"/>
          <w:lang w:eastAsia="cs-CZ"/>
        </w:rPr>
        <w:t xml:space="preserve">zpracování). </w:t>
      </w:r>
    </w:p>
    <w:p w14:paraId="4AC49CF4" w14:textId="77777777" w:rsidR="005E5B29" w:rsidRDefault="005E5B29" w:rsidP="005E5B29">
      <w:pPr>
        <w:autoSpaceDE w:val="0"/>
        <w:autoSpaceDN w:val="0"/>
        <w:adjustRightInd w:val="0"/>
        <w:spacing w:before="120" w:after="120"/>
        <w:jc w:val="both"/>
        <w:rPr>
          <w:rFonts w:eastAsia="Times New Roman" w:cs="Arial"/>
          <w:lang w:val="x-none" w:eastAsia="x-none"/>
        </w:rPr>
      </w:pPr>
      <w:r w:rsidRPr="0001712A">
        <w:rPr>
          <w:rFonts w:eastAsia="Times New Roman" w:cs="Arial"/>
          <w:lang w:val="x-none" w:eastAsia="x-none"/>
        </w:rPr>
        <w:t>Programový dokument byl schválen Evropskou komisí (EK) dne 2. 6. 2015 C(2015)3755. První revize programu byla EK schválena 7. 10. 2016 C(2016)6349, druhá revize byla schválena 8. 4. 2019 C(2019)2375,</w:t>
      </w:r>
      <w:r>
        <w:rPr>
          <w:rFonts w:eastAsia="Times New Roman" w:cs="Arial"/>
          <w:lang w:eastAsia="x-none"/>
        </w:rPr>
        <w:t xml:space="preserve"> </w:t>
      </w:r>
      <w:r w:rsidRPr="0001712A">
        <w:rPr>
          <w:rFonts w:eastAsia="Times New Roman" w:cs="Arial"/>
          <w:lang w:val="x-none" w:eastAsia="x-none"/>
        </w:rPr>
        <w:t>třetí revize byla schválena 2. 4. 2020 C(2020)2144 a čtvrtá revize byla schválena 6. 8. 2021 C(2021)5957.</w:t>
      </w:r>
    </w:p>
    <w:p w14:paraId="73C610C8" w14:textId="77777777" w:rsidR="001376AC" w:rsidRPr="008D65BE" w:rsidRDefault="001376AC" w:rsidP="00217ACC">
      <w:pPr>
        <w:autoSpaceDE w:val="0"/>
        <w:autoSpaceDN w:val="0"/>
        <w:adjustRightInd w:val="0"/>
        <w:spacing w:before="120" w:after="120"/>
        <w:jc w:val="both"/>
        <w:rPr>
          <w:rFonts w:cs="Arial"/>
          <w:b/>
          <w:bCs/>
          <w:color w:val="000000"/>
          <w:sz w:val="28"/>
          <w:szCs w:val="28"/>
          <w:lang w:eastAsia="cs-CZ"/>
        </w:rPr>
      </w:pPr>
    </w:p>
    <w:p w14:paraId="107EC830" w14:textId="77777777" w:rsidR="000D0F86" w:rsidRPr="008D65BE" w:rsidRDefault="000D0F86" w:rsidP="00217ACC">
      <w:pPr>
        <w:autoSpaceDE w:val="0"/>
        <w:autoSpaceDN w:val="0"/>
        <w:adjustRightInd w:val="0"/>
        <w:spacing w:before="120" w:after="120"/>
        <w:jc w:val="both"/>
        <w:rPr>
          <w:rFonts w:cs="Arial"/>
          <w:color w:val="000000"/>
          <w:sz w:val="28"/>
          <w:szCs w:val="28"/>
          <w:lang w:eastAsia="cs-CZ"/>
        </w:rPr>
      </w:pPr>
      <w:r w:rsidRPr="008D65BE">
        <w:rPr>
          <w:rFonts w:cs="Arial"/>
          <w:b/>
          <w:bCs/>
          <w:color w:val="000000"/>
          <w:sz w:val="28"/>
          <w:szCs w:val="28"/>
          <w:lang w:eastAsia="cs-CZ"/>
        </w:rPr>
        <w:t>2 Obsah Výroční zprávy</w:t>
      </w:r>
    </w:p>
    <w:p w14:paraId="7D6AD44F" w14:textId="50A9CC8D" w:rsidR="00552E8D" w:rsidRDefault="005B623D" w:rsidP="00552E8D">
      <w:pPr>
        <w:autoSpaceDE w:val="0"/>
        <w:autoSpaceDN w:val="0"/>
        <w:adjustRightInd w:val="0"/>
        <w:jc w:val="both"/>
        <w:rPr>
          <w:rFonts w:cs="Arial"/>
          <w:color w:val="000000"/>
          <w:lang w:eastAsia="cs-CZ"/>
        </w:rPr>
      </w:pPr>
      <w:r w:rsidRPr="008D65BE">
        <w:rPr>
          <w:rFonts w:cs="Arial"/>
          <w:color w:val="000000"/>
          <w:lang w:eastAsia="cs-CZ"/>
        </w:rPr>
        <w:t xml:space="preserve">Výroční zpráva </w:t>
      </w:r>
      <w:r w:rsidR="002365DA">
        <w:rPr>
          <w:rFonts w:cs="Arial"/>
          <w:color w:val="000000"/>
          <w:lang w:eastAsia="cs-CZ"/>
        </w:rPr>
        <w:t xml:space="preserve">se </w:t>
      </w:r>
      <w:r w:rsidRPr="008D65BE">
        <w:rPr>
          <w:rFonts w:cs="Arial"/>
          <w:color w:val="000000"/>
          <w:lang w:eastAsia="cs-CZ"/>
        </w:rPr>
        <w:t xml:space="preserve">věnuje především informacím </w:t>
      </w:r>
      <w:r w:rsidR="0008227B" w:rsidRPr="008D65BE">
        <w:rPr>
          <w:rFonts w:cs="Arial"/>
          <w:color w:val="000000"/>
          <w:lang w:eastAsia="cs-CZ"/>
        </w:rPr>
        <w:t>o</w:t>
      </w:r>
      <w:r w:rsidR="0008227B">
        <w:rPr>
          <w:rFonts w:cs="Arial"/>
          <w:color w:val="000000"/>
          <w:lang w:eastAsia="cs-CZ"/>
        </w:rPr>
        <w:t> </w:t>
      </w:r>
      <w:r w:rsidRPr="008D65BE">
        <w:rPr>
          <w:rFonts w:cs="Arial"/>
          <w:color w:val="000000"/>
          <w:lang w:eastAsia="cs-CZ"/>
        </w:rPr>
        <w:t>provádění OP Ry</w:t>
      </w:r>
      <w:r w:rsidR="00057FCF" w:rsidRPr="008D65BE">
        <w:rPr>
          <w:rFonts w:cs="Arial"/>
          <w:color w:val="000000"/>
          <w:lang w:eastAsia="cs-CZ"/>
        </w:rPr>
        <w:t xml:space="preserve">bářství z hlediska implementace </w:t>
      </w:r>
      <w:r w:rsidR="0008227B" w:rsidRPr="008D65BE">
        <w:rPr>
          <w:rFonts w:cs="Arial"/>
          <w:color w:val="000000"/>
          <w:lang w:eastAsia="cs-CZ"/>
        </w:rPr>
        <w:t>a</w:t>
      </w:r>
      <w:r w:rsidR="0008227B">
        <w:rPr>
          <w:rFonts w:cs="Arial"/>
          <w:color w:val="000000"/>
          <w:lang w:eastAsia="cs-CZ"/>
        </w:rPr>
        <w:t> </w:t>
      </w:r>
      <w:r w:rsidR="00FE6528">
        <w:rPr>
          <w:rFonts w:cs="Arial"/>
          <w:color w:val="000000"/>
          <w:lang w:eastAsia="cs-CZ"/>
        </w:rPr>
        <w:t>dále informacím</w:t>
      </w:r>
      <w:r w:rsidRPr="008D65BE">
        <w:rPr>
          <w:rFonts w:cs="Arial"/>
          <w:color w:val="000000"/>
          <w:lang w:eastAsia="cs-CZ"/>
        </w:rPr>
        <w:t xml:space="preserve"> </w:t>
      </w:r>
      <w:r w:rsidR="0008227B" w:rsidRPr="008D65BE">
        <w:rPr>
          <w:rFonts w:cs="Arial"/>
          <w:color w:val="000000"/>
          <w:lang w:eastAsia="cs-CZ"/>
        </w:rPr>
        <w:t>o</w:t>
      </w:r>
      <w:r w:rsidR="0008227B">
        <w:rPr>
          <w:rFonts w:cs="Arial"/>
          <w:color w:val="000000"/>
          <w:lang w:eastAsia="cs-CZ"/>
        </w:rPr>
        <w:t> </w:t>
      </w:r>
      <w:r w:rsidRPr="008D65BE">
        <w:rPr>
          <w:rFonts w:cs="Arial"/>
          <w:color w:val="000000"/>
          <w:lang w:eastAsia="cs-CZ"/>
        </w:rPr>
        <w:t xml:space="preserve">provádění jednotlivých </w:t>
      </w:r>
      <w:r w:rsidR="00302DB8">
        <w:rPr>
          <w:rFonts w:cs="Arial"/>
          <w:color w:val="000000"/>
          <w:lang w:eastAsia="cs-CZ"/>
        </w:rPr>
        <w:t>P</w:t>
      </w:r>
      <w:r w:rsidRPr="008D65BE">
        <w:rPr>
          <w:rFonts w:cs="Arial"/>
          <w:color w:val="000000"/>
          <w:lang w:eastAsia="cs-CZ"/>
        </w:rPr>
        <w:t>riorit Unie včetně uvedení</w:t>
      </w:r>
      <w:r w:rsidR="006016E3">
        <w:rPr>
          <w:rFonts w:cs="Arial"/>
          <w:color w:val="000000"/>
          <w:lang w:eastAsia="cs-CZ"/>
        </w:rPr>
        <w:t xml:space="preserve"> plnění</w:t>
      </w:r>
      <w:r w:rsidRPr="008D65BE">
        <w:rPr>
          <w:rFonts w:cs="Arial"/>
          <w:color w:val="000000"/>
          <w:lang w:eastAsia="cs-CZ"/>
        </w:rPr>
        <w:t xml:space="preserve"> výsledkových, výs</w:t>
      </w:r>
      <w:r w:rsidR="00057FCF" w:rsidRPr="008D65BE">
        <w:rPr>
          <w:rFonts w:cs="Arial"/>
          <w:color w:val="000000"/>
          <w:lang w:eastAsia="cs-CZ"/>
        </w:rPr>
        <w:t xml:space="preserve">tupových </w:t>
      </w:r>
      <w:r w:rsidR="0008227B" w:rsidRPr="008D65BE">
        <w:rPr>
          <w:rFonts w:cs="Arial"/>
          <w:color w:val="000000"/>
          <w:lang w:eastAsia="cs-CZ"/>
        </w:rPr>
        <w:t>a</w:t>
      </w:r>
      <w:r w:rsidR="0008227B">
        <w:rPr>
          <w:rFonts w:cs="Arial"/>
          <w:color w:val="000000"/>
          <w:lang w:eastAsia="cs-CZ"/>
        </w:rPr>
        <w:t> </w:t>
      </w:r>
      <w:r w:rsidR="00057FCF" w:rsidRPr="008D65BE">
        <w:rPr>
          <w:rFonts w:cs="Arial"/>
          <w:color w:val="000000"/>
          <w:lang w:eastAsia="cs-CZ"/>
        </w:rPr>
        <w:t xml:space="preserve">finančních ukazatelů. </w:t>
      </w:r>
      <w:r w:rsidR="00552E8D" w:rsidRPr="008D65BE">
        <w:rPr>
          <w:rFonts w:cs="Arial"/>
          <w:color w:val="000000"/>
          <w:lang w:eastAsia="cs-CZ"/>
        </w:rPr>
        <w:t xml:space="preserve">Dále se zaměřuje na </w:t>
      </w:r>
      <w:bookmarkStart w:id="0" w:name="_Ref444254978"/>
      <w:bookmarkStart w:id="1" w:name="_Toc445294207"/>
      <w:r w:rsidR="00552E8D" w:rsidRPr="008D65BE">
        <w:t>záležitosti, které ovlivňují výkonnost programu</w:t>
      </w:r>
      <w:r w:rsidR="00552E8D">
        <w:t>,</w:t>
      </w:r>
      <w:r w:rsidR="00552E8D" w:rsidRPr="008D65BE">
        <w:t xml:space="preserve"> přijatá nápravná opatření</w:t>
      </w:r>
      <w:bookmarkEnd w:id="0"/>
      <w:bookmarkEnd w:id="1"/>
      <w:r w:rsidR="00302DB8">
        <w:t xml:space="preserve">, </w:t>
      </w:r>
      <w:r w:rsidR="00552E8D">
        <w:t>hodnocení programu</w:t>
      </w:r>
      <w:r w:rsidR="00302DB8">
        <w:t>, horizontální zásady aj.</w:t>
      </w:r>
    </w:p>
    <w:p w14:paraId="44AA1C9D" w14:textId="77777777" w:rsidR="00736376" w:rsidRPr="00233D2F" w:rsidRDefault="00736376" w:rsidP="00736376">
      <w:pPr>
        <w:spacing w:before="120" w:after="120"/>
        <w:jc w:val="both"/>
      </w:pPr>
      <w:bookmarkStart w:id="2" w:name="_Toc445294202"/>
      <w:r>
        <w:t xml:space="preserve">S ohledem na skutečnost, že tato zpráva je poslední Výroční zprávou programového období 2014–2020 a poslední projekty byly předfinancovány v dubnu 2024, jsou relevantní informace o finančních a věcných ukazatelích uvedeny s přesahem k 30. 4. 2024. </w:t>
      </w:r>
    </w:p>
    <w:p w14:paraId="2B5AB456" w14:textId="77777777" w:rsidR="00BB2E6C" w:rsidRDefault="00BB2E6C" w:rsidP="00217ACC">
      <w:pPr>
        <w:pStyle w:val="Nadpis1"/>
        <w:keepNext w:val="0"/>
        <w:numPr>
          <w:ilvl w:val="0"/>
          <w:numId w:val="0"/>
        </w:numPr>
        <w:spacing w:after="120"/>
        <w:jc w:val="both"/>
        <w:rPr>
          <w:rFonts w:eastAsia="Calibri" w:cs="Arial"/>
          <w:bCs w:val="0"/>
          <w:color w:val="000000"/>
          <w:kern w:val="0"/>
          <w:sz w:val="22"/>
          <w:szCs w:val="22"/>
          <w:lang w:eastAsia="cs-CZ"/>
        </w:rPr>
      </w:pPr>
      <w:r>
        <w:rPr>
          <w:rFonts w:eastAsia="Calibri" w:cs="Arial"/>
          <w:bCs w:val="0"/>
          <w:color w:val="000000"/>
          <w:kern w:val="0"/>
          <w:sz w:val="22"/>
          <w:szCs w:val="22"/>
          <w:lang w:eastAsia="cs-CZ"/>
        </w:rPr>
        <w:t>Implementace OP</w:t>
      </w:r>
      <w:r w:rsidR="000C1691">
        <w:rPr>
          <w:rFonts w:eastAsia="Calibri" w:cs="Arial"/>
          <w:bCs w:val="0"/>
          <w:color w:val="000000"/>
          <w:kern w:val="0"/>
          <w:sz w:val="22"/>
          <w:szCs w:val="22"/>
          <w:lang w:eastAsia="cs-CZ"/>
        </w:rPr>
        <w:t xml:space="preserve"> Rybářství</w:t>
      </w:r>
    </w:p>
    <w:p w14:paraId="144F07C2" w14:textId="77777777" w:rsidR="00D46DB4" w:rsidRPr="00233D2F" w:rsidRDefault="00D46DB4" w:rsidP="00D46DB4">
      <w:pPr>
        <w:widowControl w:val="0"/>
        <w:autoSpaceDE w:val="0"/>
        <w:autoSpaceDN w:val="0"/>
        <w:adjustRightInd w:val="0"/>
        <w:spacing w:before="120" w:after="120"/>
        <w:jc w:val="both"/>
        <w:rPr>
          <w:bCs/>
        </w:rPr>
      </w:pPr>
      <w:r w:rsidRPr="00B223BF">
        <w:t>Během roku 2023 a prvního čtvrtletí roku 2024 byly aktivně propláceny Žádosti o platbu</w:t>
      </w:r>
      <w:r>
        <w:t xml:space="preserve"> předkládané ze strany příjemců. Poslední projekty byly předfinancovány ze státního rozpočtu k 9. 4. 2024. Za stanovené období bylo odesláno do EK pět Žádostí o platbu, šestá konečná Žádost o průběžnou platbu závěrečného účetního roku bude EK odeslána v červenci 2024. </w:t>
      </w:r>
      <w:r w:rsidRPr="00B223BF">
        <w:t>Postupně docházelo k naplňování cílových hodnot výstupových a výsledkových indikátorů.</w:t>
      </w:r>
    </w:p>
    <w:p w14:paraId="7980FCEE" w14:textId="3521218A" w:rsidR="000E073A" w:rsidRPr="00233D2F" w:rsidRDefault="005E5B29" w:rsidP="000E073A">
      <w:pPr>
        <w:spacing w:before="120" w:after="120"/>
        <w:jc w:val="both"/>
        <w:rPr>
          <w:lang w:eastAsia="cs-CZ"/>
        </w:rPr>
      </w:pPr>
      <w:r>
        <w:rPr>
          <w:bCs/>
        </w:rPr>
        <w:t>Rok 202</w:t>
      </w:r>
      <w:r w:rsidR="001D36B6">
        <w:rPr>
          <w:bCs/>
        </w:rPr>
        <w:t>3</w:t>
      </w:r>
      <w:r w:rsidR="00B54130">
        <w:rPr>
          <w:bCs/>
        </w:rPr>
        <w:t xml:space="preserve"> byl </w:t>
      </w:r>
      <w:r w:rsidR="006016E3">
        <w:rPr>
          <w:bCs/>
        </w:rPr>
        <w:t xml:space="preserve">z hlediska </w:t>
      </w:r>
      <w:r w:rsidR="00B54130">
        <w:rPr>
          <w:bCs/>
        </w:rPr>
        <w:t>hodnocení pokroku implementace operačního programu</w:t>
      </w:r>
      <w:r w:rsidR="006016E3">
        <w:rPr>
          <w:bCs/>
        </w:rPr>
        <w:t xml:space="preserve"> zaměřen </w:t>
      </w:r>
      <w:r w:rsidR="003F6156">
        <w:rPr>
          <w:bCs/>
        </w:rPr>
        <w:t xml:space="preserve">zejména </w:t>
      </w:r>
      <w:r w:rsidR="006016E3">
        <w:rPr>
          <w:bCs/>
        </w:rPr>
        <w:t xml:space="preserve">na </w:t>
      </w:r>
      <w:r w:rsidR="006F25AA">
        <w:rPr>
          <w:bCs/>
        </w:rPr>
        <w:t xml:space="preserve">oblast </w:t>
      </w:r>
      <w:r w:rsidR="006016E3">
        <w:rPr>
          <w:bCs/>
        </w:rPr>
        <w:t>naplňování</w:t>
      </w:r>
      <w:r w:rsidR="009F7859">
        <w:rPr>
          <w:bCs/>
        </w:rPr>
        <w:t xml:space="preserve"> věcných </w:t>
      </w:r>
      <w:r w:rsidR="0008227B">
        <w:rPr>
          <w:bCs/>
        </w:rPr>
        <w:t>a </w:t>
      </w:r>
      <w:r w:rsidR="009F7859">
        <w:rPr>
          <w:bCs/>
        </w:rPr>
        <w:t>finančních</w:t>
      </w:r>
      <w:r w:rsidR="006016E3">
        <w:rPr>
          <w:bCs/>
        </w:rPr>
        <w:t xml:space="preserve"> cílů</w:t>
      </w:r>
      <w:r w:rsidR="009F7859">
        <w:rPr>
          <w:bCs/>
        </w:rPr>
        <w:t>, stanovených pro rok</w:t>
      </w:r>
      <w:r w:rsidR="006016E3">
        <w:rPr>
          <w:bCs/>
        </w:rPr>
        <w:t xml:space="preserve"> 2023</w:t>
      </w:r>
      <w:r w:rsidR="004723B5">
        <w:rPr>
          <w:bCs/>
        </w:rPr>
        <w:t>, a na do</w:t>
      </w:r>
      <w:r w:rsidR="00EF7947">
        <w:rPr>
          <w:bCs/>
        </w:rPr>
        <w:t>čerpání</w:t>
      </w:r>
      <w:r w:rsidR="004723B5">
        <w:rPr>
          <w:bCs/>
        </w:rPr>
        <w:t xml:space="preserve"> celé alokace programu</w:t>
      </w:r>
      <w:r>
        <w:rPr>
          <w:bCs/>
        </w:rPr>
        <w:t>.</w:t>
      </w:r>
      <w:r w:rsidR="003F6156">
        <w:rPr>
          <w:bCs/>
        </w:rPr>
        <w:t xml:space="preserve"> V</w:t>
      </w:r>
      <w:r>
        <w:rPr>
          <w:bCs/>
        </w:rPr>
        <w:t> roce 202</w:t>
      </w:r>
      <w:r w:rsidR="00FC2D18">
        <w:rPr>
          <w:bCs/>
        </w:rPr>
        <w:t>3</w:t>
      </w:r>
      <w:r w:rsidR="006016E3">
        <w:rPr>
          <w:bCs/>
        </w:rPr>
        <w:t xml:space="preserve"> </w:t>
      </w:r>
      <w:r w:rsidR="00E87DC3">
        <w:rPr>
          <w:bCs/>
        </w:rPr>
        <w:t>byla většina</w:t>
      </w:r>
      <w:r w:rsidR="00433AAD">
        <w:rPr>
          <w:bCs/>
        </w:rPr>
        <w:t xml:space="preserve"> </w:t>
      </w:r>
      <w:r w:rsidR="006A7F58">
        <w:rPr>
          <w:bCs/>
        </w:rPr>
        <w:t xml:space="preserve">věcných </w:t>
      </w:r>
      <w:r w:rsidR="00433AAD">
        <w:rPr>
          <w:bCs/>
        </w:rPr>
        <w:t xml:space="preserve">cílů </w:t>
      </w:r>
      <w:r w:rsidR="00E87DC3">
        <w:rPr>
          <w:bCs/>
        </w:rPr>
        <w:t xml:space="preserve">na jednotlivých </w:t>
      </w:r>
      <w:r w:rsidR="000E073A">
        <w:rPr>
          <w:bCs/>
        </w:rPr>
        <w:t>P</w:t>
      </w:r>
      <w:r w:rsidR="00E87DC3">
        <w:rPr>
          <w:bCs/>
        </w:rPr>
        <w:t>rioritách Unie</w:t>
      </w:r>
      <w:r w:rsidR="003F6156">
        <w:rPr>
          <w:bCs/>
        </w:rPr>
        <w:t xml:space="preserve"> </w:t>
      </w:r>
      <w:r w:rsidR="00E87DC3">
        <w:rPr>
          <w:bCs/>
        </w:rPr>
        <w:t>dosažena či překročena.</w:t>
      </w:r>
      <w:r w:rsidR="003F6156">
        <w:rPr>
          <w:bCs/>
        </w:rPr>
        <w:t xml:space="preserve"> </w:t>
      </w:r>
      <w:r w:rsidR="000E073A">
        <w:rPr>
          <w:bCs/>
        </w:rPr>
        <w:t>Co se týče výkonnostního rámce, v</w:t>
      </w:r>
      <w:r w:rsidR="000E073A">
        <w:rPr>
          <w:lang w:eastAsia="cs-CZ"/>
        </w:rPr>
        <w:t>šechny v</w:t>
      </w:r>
      <w:r w:rsidR="000E073A" w:rsidRPr="00233D2F">
        <w:rPr>
          <w:lang w:eastAsia="cs-CZ"/>
        </w:rPr>
        <w:t>ěcné cíle</w:t>
      </w:r>
      <w:r w:rsidR="000E073A">
        <w:rPr>
          <w:lang w:eastAsia="cs-CZ"/>
        </w:rPr>
        <w:t xml:space="preserve"> (indikátory výstupu), které </w:t>
      </w:r>
      <w:r w:rsidR="000E073A" w:rsidRPr="00233D2F">
        <w:rPr>
          <w:lang w:eastAsia="cs-CZ"/>
        </w:rPr>
        <w:t>jsou vykazovány na úrovni proplacených projektů</w:t>
      </w:r>
      <w:r w:rsidR="000E073A">
        <w:rPr>
          <w:lang w:eastAsia="cs-CZ"/>
        </w:rPr>
        <w:t xml:space="preserve">, byly splněny/přeplněny. Finančního cíle (certifikované celkové veřejné zdroje) bylo dosaženo na PU 2 na 106,9 %, na PU 3 na 74,8 % a na PU 5 na 85,4 %. </w:t>
      </w:r>
    </w:p>
    <w:p w14:paraId="68694A45" w14:textId="5CD76CC2" w:rsidR="000E073A" w:rsidRDefault="000E073A" w:rsidP="000E073A">
      <w:pPr>
        <w:widowControl w:val="0"/>
        <w:autoSpaceDE w:val="0"/>
        <w:autoSpaceDN w:val="0"/>
        <w:adjustRightInd w:val="0"/>
        <w:spacing w:before="120" w:after="120"/>
        <w:jc w:val="both"/>
        <w:rPr>
          <w:bCs/>
        </w:rPr>
      </w:pPr>
      <w:r w:rsidRPr="00233D2F">
        <w:rPr>
          <w:bCs/>
        </w:rPr>
        <w:t>Celkem bylo od začátku programového období do 31. 12. 2023 přijato ve 21 výzvách</w:t>
      </w:r>
      <w:r>
        <w:rPr>
          <w:bCs/>
        </w:rPr>
        <w:t xml:space="preserve"> a 1 výzvě na Technickou pomoc</w:t>
      </w:r>
      <w:r w:rsidRPr="00233D2F">
        <w:rPr>
          <w:bCs/>
        </w:rPr>
        <w:t xml:space="preserve"> 1 5</w:t>
      </w:r>
      <w:r>
        <w:rPr>
          <w:bCs/>
        </w:rPr>
        <w:t>38</w:t>
      </w:r>
      <w:r w:rsidRPr="00233D2F">
        <w:rPr>
          <w:bCs/>
        </w:rPr>
        <w:t xml:space="preserve"> Žádostí o podporu ve výši 1 8</w:t>
      </w:r>
      <w:r>
        <w:rPr>
          <w:bCs/>
        </w:rPr>
        <w:t>59</w:t>
      </w:r>
      <w:r w:rsidRPr="00233D2F">
        <w:rPr>
          <w:bCs/>
        </w:rPr>
        <w:t xml:space="preserve"> mil. Kč (76,</w:t>
      </w:r>
      <w:r>
        <w:rPr>
          <w:bCs/>
        </w:rPr>
        <w:t>6</w:t>
      </w:r>
      <w:r w:rsidRPr="00233D2F">
        <w:rPr>
          <w:bCs/>
        </w:rPr>
        <w:t xml:space="preserve"> mil. EUR</w:t>
      </w:r>
      <w:r w:rsidRPr="00233D2F">
        <w:rPr>
          <w:rStyle w:val="Znakapoznpodarou"/>
          <w:bCs/>
        </w:rPr>
        <w:footnoteReference w:id="1"/>
      </w:r>
      <w:r w:rsidRPr="00233D2F">
        <w:rPr>
          <w:bCs/>
        </w:rPr>
        <w:t>), což představuje 18</w:t>
      </w:r>
      <w:r>
        <w:rPr>
          <w:bCs/>
        </w:rPr>
        <w:t>6</w:t>
      </w:r>
      <w:r w:rsidRPr="00233D2F">
        <w:rPr>
          <w:bCs/>
        </w:rPr>
        <w:t xml:space="preserve"> % celkové alokace. </w:t>
      </w:r>
      <w:r>
        <w:rPr>
          <w:bCs/>
        </w:rPr>
        <w:t>Celkem bylo u</w:t>
      </w:r>
      <w:r w:rsidRPr="00233D2F">
        <w:rPr>
          <w:bCs/>
        </w:rPr>
        <w:t>končeno 4</w:t>
      </w:r>
      <w:r>
        <w:rPr>
          <w:bCs/>
        </w:rPr>
        <w:t>46</w:t>
      </w:r>
      <w:r w:rsidRPr="00233D2F">
        <w:rPr>
          <w:bCs/>
        </w:rPr>
        <w:t xml:space="preserve"> projektů ve výši </w:t>
      </w:r>
      <w:r>
        <w:rPr>
          <w:bCs/>
        </w:rPr>
        <w:t>646,6</w:t>
      </w:r>
      <w:r w:rsidRPr="00233D2F">
        <w:rPr>
          <w:bCs/>
        </w:rPr>
        <w:t xml:space="preserve"> mil. Kč (2</w:t>
      </w:r>
      <w:r>
        <w:rPr>
          <w:bCs/>
        </w:rPr>
        <w:t>6,7</w:t>
      </w:r>
      <w:r w:rsidRPr="00233D2F">
        <w:rPr>
          <w:bCs/>
        </w:rPr>
        <w:t xml:space="preserve"> mil. EUR)</w:t>
      </w:r>
      <w:r>
        <w:rPr>
          <w:bCs/>
        </w:rPr>
        <w:t xml:space="preserve">, z toho 155 projektů bylo ukončeno až po vydání Rozhodnutí o poskytnutí </w:t>
      </w:r>
      <w:r>
        <w:rPr>
          <w:bCs/>
        </w:rPr>
        <w:lastRenderedPageBreak/>
        <w:t xml:space="preserve">dotace ve výši 215,4 mil. Kč (8,9 mil. EUR). </w:t>
      </w:r>
      <w:r w:rsidRPr="00233D2F">
        <w:rPr>
          <w:bCs/>
        </w:rPr>
        <w:t>Vydáno bylo 1 2</w:t>
      </w:r>
      <w:r>
        <w:rPr>
          <w:bCs/>
        </w:rPr>
        <w:t>47</w:t>
      </w:r>
      <w:r w:rsidRPr="00233D2F">
        <w:rPr>
          <w:bCs/>
        </w:rPr>
        <w:t xml:space="preserve"> Rozhodnutí o</w:t>
      </w:r>
      <w:r>
        <w:rPr>
          <w:bCs/>
        </w:rPr>
        <w:t> </w:t>
      </w:r>
      <w:r w:rsidRPr="00233D2F">
        <w:rPr>
          <w:bCs/>
        </w:rPr>
        <w:t>poskytnutí dotace ve výši 1</w:t>
      </w:r>
      <w:r>
        <w:rPr>
          <w:bCs/>
        </w:rPr>
        <w:t> </w:t>
      </w:r>
      <w:r w:rsidRPr="00233D2F">
        <w:rPr>
          <w:bCs/>
        </w:rPr>
        <w:t>2</w:t>
      </w:r>
      <w:r>
        <w:rPr>
          <w:bCs/>
        </w:rPr>
        <w:t>93,3</w:t>
      </w:r>
      <w:r w:rsidRPr="00233D2F">
        <w:rPr>
          <w:bCs/>
        </w:rPr>
        <w:t xml:space="preserve"> mil. Kč (5</w:t>
      </w:r>
      <w:r>
        <w:rPr>
          <w:bCs/>
        </w:rPr>
        <w:t>3</w:t>
      </w:r>
      <w:r w:rsidRPr="00233D2F">
        <w:rPr>
          <w:bCs/>
        </w:rPr>
        <w:t>,3 mil. EUR), tj. 1</w:t>
      </w:r>
      <w:r>
        <w:rPr>
          <w:bCs/>
        </w:rPr>
        <w:t>30</w:t>
      </w:r>
      <w:r w:rsidRPr="00233D2F">
        <w:rPr>
          <w:bCs/>
        </w:rPr>
        <w:t xml:space="preserve"> % alokace programu</w:t>
      </w:r>
      <w:r>
        <w:rPr>
          <w:bCs/>
        </w:rPr>
        <w:t xml:space="preserve"> bylo původně zazávazkováno (se započtením ukončených administrací)</w:t>
      </w:r>
      <w:r w:rsidRPr="00233D2F">
        <w:rPr>
          <w:bCs/>
        </w:rPr>
        <w:t>.</w:t>
      </w:r>
      <w:r>
        <w:rPr>
          <w:bCs/>
        </w:rPr>
        <w:t xml:space="preserve"> </w:t>
      </w:r>
      <w:r w:rsidRPr="00233D2F">
        <w:rPr>
          <w:bCs/>
        </w:rPr>
        <w:t xml:space="preserve">K </w:t>
      </w:r>
      <w:r>
        <w:rPr>
          <w:bCs/>
        </w:rPr>
        <w:t>30</w:t>
      </w:r>
      <w:r w:rsidRPr="00233D2F">
        <w:rPr>
          <w:bCs/>
        </w:rPr>
        <w:t xml:space="preserve">. </w:t>
      </w:r>
      <w:r>
        <w:rPr>
          <w:bCs/>
        </w:rPr>
        <w:t>4</w:t>
      </w:r>
      <w:r w:rsidRPr="00233D2F">
        <w:rPr>
          <w:bCs/>
        </w:rPr>
        <w:t>. 202</w:t>
      </w:r>
      <w:r>
        <w:rPr>
          <w:bCs/>
        </w:rPr>
        <w:t>4</w:t>
      </w:r>
      <w:r w:rsidR="00D46DB4">
        <w:rPr>
          <w:rStyle w:val="Znakapoznpodarou"/>
          <w:bCs/>
        </w:rPr>
        <w:footnoteReference w:id="2"/>
      </w:r>
      <w:r w:rsidRPr="00233D2F">
        <w:rPr>
          <w:bCs/>
        </w:rPr>
        <w:t xml:space="preserve"> bylo </w:t>
      </w:r>
      <w:r>
        <w:rPr>
          <w:bCs/>
        </w:rPr>
        <w:t>certifikováno</w:t>
      </w:r>
      <w:r w:rsidRPr="00233D2F">
        <w:rPr>
          <w:bCs/>
        </w:rPr>
        <w:t xml:space="preserve"> celkem </w:t>
      </w:r>
      <w:r>
        <w:rPr>
          <w:bCs/>
        </w:rPr>
        <w:t>1 103</w:t>
      </w:r>
      <w:r w:rsidRPr="00233D2F">
        <w:rPr>
          <w:bCs/>
        </w:rPr>
        <w:t xml:space="preserve"> Žádostí o platbu</w:t>
      </w:r>
      <w:r>
        <w:rPr>
          <w:bCs/>
        </w:rPr>
        <w:t xml:space="preserve"> </w:t>
      </w:r>
      <w:r w:rsidRPr="00233D2F">
        <w:rPr>
          <w:bCs/>
        </w:rPr>
        <w:t xml:space="preserve">ve výši </w:t>
      </w:r>
      <w:r>
        <w:rPr>
          <w:bCs/>
        </w:rPr>
        <w:t>1 058,2</w:t>
      </w:r>
      <w:r w:rsidRPr="00233D2F">
        <w:rPr>
          <w:bCs/>
        </w:rPr>
        <w:t xml:space="preserve"> mil. Kč (</w:t>
      </w:r>
      <w:r>
        <w:rPr>
          <w:bCs/>
        </w:rPr>
        <w:t>42</w:t>
      </w:r>
      <w:r w:rsidRPr="00233D2F">
        <w:rPr>
          <w:bCs/>
        </w:rPr>
        <w:t xml:space="preserve"> mil. EUR), tj. </w:t>
      </w:r>
      <w:r>
        <w:rPr>
          <w:bCs/>
        </w:rPr>
        <w:t>102</w:t>
      </w:r>
      <w:r w:rsidRPr="00233D2F">
        <w:rPr>
          <w:bCs/>
        </w:rPr>
        <w:t xml:space="preserve"> % </w:t>
      </w:r>
      <w:r>
        <w:rPr>
          <w:bCs/>
        </w:rPr>
        <w:t xml:space="preserve">celkové </w:t>
      </w:r>
      <w:r w:rsidRPr="00233D2F">
        <w:rPr>
          <w:bCs/>
        </w:rPr>
        <w:t xml:space="preserve">alokace. </w:t>
      </w:r>
    </w:p>
    <w:p w14:paraId="24430158" w14:textId="51E5C10A" w:rsidR="00671E2B" w:rsidRDefault="00671E2B" w:rsidP="00671E2B">
      <w:pPr>
        <w:autoSpaceDE w:val="0"/>
        <w:autoSpaceDN w:val="0"/>
        <w:adjustRightInd w:val="0"/>
        <w:spacing w:before="120" w:after="120"/>
        <w:jc w:val="both"/>
      </w:pPr>
      <w:r>
        <w:t xml:space="preserve">Žadatelé </w:t>
      </w:r>
      <w:r w:rsidR="00AE41CF">
        <w:t xml:space="preserve">v průběhu celého programového období </w:t>
      </w:r>
      <w:r>
        <w:t>projev</w:t>
      </w:r>
      <w:r w:rsidR="00AE41CF">
        <w:t>ovali</w:t>
      </w:r>
      <w:r>
        <w:t xml:space="preserve"> největší zájem o opatření 2.2</w:t>
      </w:r>
      <w:r w:rsidR="00AE41CF">
        <w:t xml:space="preserve"> </w:t>
      </w:r>
      <w:r>
        <w:t xml:space="preserve">a) Investice do akvakultury a 5.3 Investice do zpracování produktů. </w:t>
      </w:r>
    </w:p>
    <w:p w14:paraId="29E623BA" w14:textId="77BD0B20" w:rsidR="005B623D" w:rsidRPr="008D65BE" w:rsidRDefault="005B623D" w:rsidP="00217ACC">
      <w:pPr>
        <w:pStyle w:val="Nadpis1"/>
        <w:keepNext w:val="0"/>
        <w:numPr>
          <w:ilvl w:val="0"/>
          <w:numId w:val="0"/>
        </w:numPr>
        <w:spacing w:after="120"/>
        <w:jc w:val="both"/>
        <w:rPr>
          <w:rFonts w:eastAsia="Calibri" w:cs="Arial"/>
          <w:bCs w:val="0"/>
          <w:color w:val="000000"/>
          <w:kern w:val="0"/>
          <w:sz w:val="22"/>
          <w:szCs w:val="22"/>
          <w:lang w:eastAsia="cs-CZ"/>
        </w:rPr>
      </w:pPr>
      <w:r w:rsidRPr="008D65BE">
        <w:rPr>
          <w:rFonts w:eastAsia="Calibri" w:cs="Arial"/>
          <w:bCs w:val="0"/>
          <w:color w:val="000000"/>
          <w:kern w:val="0"/>
          <w:sz w:val="22"/>
          <w:szCs w:val="22"/>
          <w:lang w:eastAsia="cs-CZ"/>
        </w:rPr>
        <w:t xml:space="preserve">Provádění </w:t>
      </w:r>
      <w:r w:rsidR="009D0B7D">
        <w:rPr>
          <w:rFonts w:eastAsia="Calibri" w:cs="Arial"/>
          <w:bCs w:val="0"/>
          <w:color w:val="000000"/>
          <w:kern w:val="0"/>
          <w:sz w:val="22"/>
          <w:szCs w:val="22"/>
          <w:lang w:eastAsia="cs-CZ"/>
        </w:rPr>
        <w:t>P</w:t>
      </w:r>
      <w:r w:rsidRPr="008D65BE">
        <w:rPr>
          <w:rFonts w:eastAsia="Calibri" w:cs="Arial"/>
          <w:bCs w:val="0"/>
          <w:color w:val="000000"/>
          <w:kern w:val="0"/>
          <w:sz w:val="22"/>
          <w:szCs w:val="22"/>
          <w:lang w:eastAsia="cs-CZ"/>
        </w:rPr>
        <w:t>riorit Unie</w:t>
      </w:r>
      <w:bookmarkEnd w:id="2"/>
    </w:p>
    <w:p w14:paraId="7CF552CF" w14:textId="77777777" w:rsidR="00062067" w:rsidRPr="008D65BE" w:rsidRDefault="00F75020" w:rsidP="00217ACC">
      <w:pPr>
        <w:spacing w:before="240" w:after="120"/>
        <w:jc w:val="both"/>
        <w:rPr>
          <w:rFonts w:cs="Arial"/>
          <w:color w:val="000000"/>
          <w:u w:val="single"/>
          <w:lang w:eastAsia="cs-CZ"/>
        </w:rPr>
      </w:pPr>
      <w:r>
        <w:rPr>
          <w:rFonts w:cs="Arial"/>
          <w:color w:val="000000"/>
          <w:u w:val="single"/>
          <w:lang w:eastAsia="cs-CZ"/>
        </w:rPr>
        <w:t>PU</w:t>
      </w:r>
      <w:r w:rsidR="00062067" w:rsidRPr="008D65BE">
        <w:rPr>
          <w:rFonts w:cs="Arial"/>
          <w:color w:val="000000"/>
          <w:u w:val="single"/>
          <w:lang w:eastAsia="cs-CZ"/>
        </w:rPr>
        <w:t xml:space="preserve"> 2</w:t>
      </w:r>
      <w:r w:rsidR="0032514F" w:rsidRPr="008D65BE">
        <w:rPr>
          <w:u w:val="single"/>
        </w:rPr>
        <w:t xml:space="preserve"> Podpora environmentálně udržitelné, inovativní </w:t>
      </w:r>
      <w:r w:rsidR="0008227B" w:rsidRPr="008D65BE">
        <w:rPr>
          <w:u w:val="single"/>
        </w:rPr>
        <w:t>a</w:t>
      </w:r>
      <w:r w:rsidR="0008227B">
        <w:rPr>
          <w:u w:val="single"/>
        </w:rPr>
        <w:t> </w:t>
      </w:r>
      <w:r w:rsidR="0032514F" w:rsidRPr="008D65BE">
        <w:rPr>
          <w:u w:val="single"/>
        </w:rPr>
        <w:t xml:space="preserve">konkurenceschopné akvakultury založené na znalostech </w:t>
      </w:r>
      <w:r w:rsidR="0008227B" w:rsidRPr="008D65BE">
        <w:rPr>
          <w:u w:val="single"/>
        </w:rPr>
        <w:t>a</w:t>
      </w:r>
      <w:r w:rsidR="0008227B">
        <w:rPr>
          <w:u w:val="single"/>
        </w:rPr>
        <w:t> </w:t>
      </w:r>
      <w:r w:rsidR="0032514F" w:rsidRPr="008D65BE">
        <w:rPr>
          <w:u w:val="single"/>
        </w:rPr>
        <w:t>účinně využívající zdroje</w:t>
      </w:r>
    </w:p>
    <w:p w14:paraId="6A76D0E6" w14:textId="24880A67" w:rsidR="002476A7" w:rsidRDefault="001A6A8D" w:rsidP="006F25AA">
      <w:pPr>
        <w:pStyle w:val="Default"/>
        <w:spacing w:before="120" w:after="120"/>
        <w:jc w:val="both"/>
        <w:rPr>
          <w:rFonts w:ascii="Arial" w:hAnsi="Arial" w:cs="Times New Roman"/>
          <w:color w:val="auto"/>
          <w:sz w:val="22"/>
          <w:szCs w:val="22"/>
          <w:lang w:eastAsia="en-US"/>
        </w:rPr>
      </w:pPr>
      <w:r w:rsidRPr="009E7130">
        <w:rPr>
          <w:rFonts w:ascii="Arial" w:hAnsi="Arial" w:cs="Times New Roman"/>
          <w:color w:val="auto"/>
          <w:sz w:val="22"/>
          <w:szCs w:val="22"/>
          <w:lang w:eastAsia="en-US"/>
        </w:rPr>
        <w:t>Plánovaná alokace PU 2 tvoř</w:t>
      </w:r>
      <w:r w:rsidR="00353BA8">
        <w:rPr>
          <w:rFonts w:ascii="Arial" w:hAnsi="Arial" w:cs="Times New Roman"/>
          <w:color w:val="auto"/>
          <w:sz w:val="22"/>
          <w:szCs w:val="22"/>
          <w:lang w:eastAsia="en-US"/>
        </w:rPr>
        <w:t>ila</w:t>
      </w:r>
      <w:r w:rsidRPr="009E7130">
        <w:rPr>
          <w:rFonts w:ascii="Arial" w:hAnsi="Arial" w:cs="Times New Roman"/>
          <w:color w:val="auto"/>
          <w:sz w:val="22"/>
          <w:szCs w:val="22"/>
          <w:lang w:eastAsia="en-US"/>
        </w:rPr>
        <w:t xml:space="preserve"> 3</w:t>
      </w:r>
      <w:r>
        <w:rPr>
          <w:rFonts w:ascii="Arial" w:hAnsi="Arial" w:cs="Times New Roman"/>
          <w:color w:val="auto"/>
          <w:sz w:val="22"/>
          <w:szCs w:val="22"/>
          <w:lang w:eastAsia="en-US"/>
        </w:rPr>
        <w:t>1 914 168</w:t>
      </w:r>
      <w:r w:rsidRPr="009E7130">
        <w:rPr>
          <w:rFonts w:ascii="Arial" w:hAnsi="Arial" w:cs="Times New Roman"/>
          <w:color w:val="auto"/>
          <w:sz w:val="22"/>
          <w:szCs w:val="22"/>
          <w:lang w:eastAsia="en-US"/>
        </w:rPr>
        <w:t xml:space="preserve"> EUR, což představ</w:t>
      </w:r>
      <w:r w:rsidR="00353BA8">
        <w:rPr>
          <w:rFonts w:ascii="Arial" w:hAnsi="Arial" w:cs="Times New Roman"/>
          <w:color w:val="auto"/>
          <w:sz w:val="22"/>
          <w:szCs w:val="22"/>
          <w:lang w:eastAsia="en-US"/>
        </w:rPr>
        <w:t>ovalo</w:t>
      </w:r>
      <w:r w:rsidRPr="009E7130">
        <w:rPr>
          <w:rFonts w:ascii="Arial" w:hAnsi="Arial" w:cs="Times New Roman"/>
          <w:color w:val="auto"/>
          <w:sz w:val="22"/>
          <w:szCs w:val="22"/>
          <w:lang w:eastAsia="en-US"/>
        </w:rPr>
        <w:t xml:space="preserve"> 7</w:t>
      </w:r>
      <w:r>
        <w:rPr>
          <w:rFonts w:ascii="Arial" w:hAnsi="Arial" w:cs="Times New Roman"/>
          <w:color w:val="auto"/>
          <w:sz w:val="22"/>
          <w:szCs w:val="22"/>
          <w:lang w:eastAsia="en-US"/>
        </w:rPr>
        <w:t>8</w:t>
      </w:r>
      <w:r w:rsidRPr="009E7130">
        <w:rPr>
          <w:rFonts w:ascii="Arial" w:hAnsi="Arial" w:cs="Times New Roman"/>
          <w:color w:val="auto"/>
          <w:sz w:val="22"/>
          <w:szCs w:val="22"/>
          <w:lang w:eastAsia="en-US"/>
        </w:rPr>
        <w:t> % alokace na celý program (41</w:t>
      </w:r>
      <w:r>
        <w:rPr>
          <w:rFonts w:ascii="Arial" w:hAnsi="Arial" w:cs="Times New Roman"/>
          <w:color w:val="auto"/>
          <w:sz w:val="22"/>
          <w:szCs w:val="22"/>
          <w:lang w:eastAsia="en-US"/>
        </w:rPr>
        <w:t> 136 632</w:t>
      </w:r>
      <w:r w:rsidRPr="009E7130">
        <w:rPr>
          <w:rFonts w:ascii="Arial" w:hAnsi="Arial" w:cs="Times New Roman"/>
          <w:color w:val="auto"/>
          <w:sz w:val="22"/>
          <w:szCs w:val="22"/>
          <w:lang w:eastAsia="en-US"/>
        </w:rPr>
        <w:t xml:space="preserve"> EUR).</w:t>
      </w:r>
      <w:r w:rsidR="002476A7" w:rsidRPr="009E7130">
        <w:rPr>
          <w:rFonts w:ascii="Arial" w:hAnsi="Arial" w:cs="Times New Roman"/>
          <w:color w:val="auto"/>
          <w:sz w:val="22"/>
          <w:szCs w:val="22"/>
          <w:lang w:eastAsia="en-US"/>
        </w:rPr>
        <w:t xml:space="preserve"> </w:t>
      </w:r>
    </w:p>
    <w:p w14:paraId="1C9F1BD8" w14:textId="03FC762D" w:rsidR="002A6C3A" w:rsidRPr="00233D2F" w:rsidRDefault="002A6C3A" w:rsidP="002A6C3A">
      <w:pPr>
        <w:pStyle w:val="Default"/>
        <w:spacing w:before="120" w:after="120"/>
        <w:jc w:val="both"/>
        <w:rPr>
          <w:rFonts w:ascii="Arial" w:hAnsi="Arial" w:cs="Times New Roman"/>
          <w:color w:val="auto"/>
          <w:sz w:val="22"/>
          <w:szCs w:val="22"/>
          <w:lang w:eastAsia="en-US"/>
        </w:rPr>
      </w:pPr>
      <w:r w:rsidRPr="00233D2F">
        <w:rPr>
          <w:rFonts w:ascii="Arial" w:hAnsi="Arial" w:cs="Times New Roman"/>
          <w:color w:val="auto"/>
          <w:sz w:val="22"/>
          <w:szCs w:val="22"/>
          <w:lang w:eastAsia="en-US"/>
        </w:rPr>
        <w:t xml:space="preserve">Ke dni </w:t>
      </w:r>
      <w:r>
        <w:rPr>
          <w:rFonts w:ascii="Arial" w:hAnsi="Arial" w:cs="Times New Roman"/>
          <w:color w:val="auto"/>
          <w:sz w:val="22"/>
          <w:szCs w:val="22"/>
          <w:lang w:eastAsia="en-US"/>
        </w:rPr>
        <w:t>30</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202</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xml:space="preserve"> bylo </w:t>
      </w:r>
      <w:r>
        <w:rPr>
          <w:rFonts w:ascii="Arial" w:hAnsi="Arial" w:cs="Times New Roman"/>
          <w:color w:val="auto"/>
          <w:sz w:val="22"/>
          <w:szCs w:val="22"/>
          <w:lang w:eastAsia="en-US"/>
        </w:rPr>
        <w:t>certifikováno</w:t>
      </w:r>
      <w:r w:rsidRPr="00233D2F">
        <w:rPr>
          <w:rFonts w:ascii="Arial" w:hAnsi="Arial" w:cs="Times New Roman"/>
          <w:color w:val="auto"/>
          <w:sz w:val="22"/>
          <w:szCs w:val="22"/>
          <w:lang w:eastAsia="en-US"/>
        </w:rPr>
        <w:t xml:space="preserve"> na PU 2 celkem </w:t>
      </w:r>
      <w:r>
        <w:rPr>
          <w:rFonts w:ascii="Arial" w:hAnsi="Arial" w:cs="Times New Roman"/>
          <w:color w:val="auto"/>
          <w:sz w:val="22"/>
          <w:szCs w:val="22"/>
          <w:lang w:eastAsia="en-US"/>
        </w:rPr>
        <w:t>887</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 xml:space="preserve">projektů </w:t>
      </w:r>
      <w:r w:rsidRPr="00233D2F">
        <w:rPr>
          <w:rFonts w:ascii="Arial" w:hAnsi="Arial" w:cs="Times New Roman"/>
          <w:color w:val="auto"/>
          <w:sz w:val="22"/>
          <w:szCs w:val="22"/>
          <w:lang w:eastAsia="en-US"/>
        </w:rPr>
        <w:t xml:space="preserve">ve výši </w:t>
      </w:r>
      <w:r>
        <w:rPr>
          <w:rFonts w:ascii="Arial" w:hAnsi="Arial" w:cs="Times New Roman"/>
          <w:color w:val="auto"/>
          <w:sz w:val="22"/>
          <w:szCs w:val="22"/>
          <w:lang w:eastAsia="en-US"/>
        </w:rPr>
        <w:t>860,7 mil. Kč (34,1</w:t>
      </w:r>
      <w:r w:rsidRPr="00233D2F">
        <w:rPr>
          <w:rFonts w:ascii="Arial" w:hAnsi="Arial" w:cs="Times New Roman"/>
          <w:color w:val="auto"/>
          <w:sz w:val="22"/>
          <w:szCs w:val="22"/>
          <w:lang w:eastAsia="en-US"/>
        </w:rPr>
        <w:t xml:space="preserve"> mil. EUR</w:t>
      </w:r>
      <w:r w:rsidR="00EB5344">
        <w:rPr>
          <w:rFonts w:ascii="Arial" w:hAnsi="Arial" w:cs="Times New Roman"/>
          <w:color w:val="auto"/>
          <w:sz w:val="22"/>
          <w:szCs w:val="22"/>
          <w:lang w:eastAsia="en-US"/>
        </w:rPr>
        <w:t xml:space="preserve">) </w:t>
      </w:r>
      <w:r w:rsidRPr="00233D2F">
        <w:rPr>
          <w:rFonts w:ascii="Arial" w:hAnsi="Arial" w:cs="Times New Roman"/>
          <w:color w:val="auto"/>
          <w:sz w:val="22"/>
          <w:szCs w:val="22"/>
          <w:lang w:eastAsia="en-US"/>
        </w:rPr>
        <w:t>(</w:t>
      </w:r>
      <w:r>
        <w:rPr>
          <w:rFonts w:ascii="Arial" w:hAnsi="Arial" w:cs="Times New Roman"/>
          <w:color w:val="auto"/>
          <w:sz w:val="22"/>
          <w:szCs w:val="22"/>
          <w:lang w:eastAsia="en-US"/>
        </w:rPr>
        <w:t>celkových veřejných zdrojů</w:t>
      </w:r>
      <w:r w:rsidRPr="00233D2F">
        <w:rPr>
          <w:rFonts w:ascii="Arial" w:hAnsi="Arial" w:cs="Times New Roman"/>
          <w:color w:val="auto"/>
          <w:sz w:val="22"/>
          <w:szCs w:val="22"/>
          <w:lang w:eastAsia="en-US"/>
        </w:rPr>
        <w:t xml:space="preserve">), tj. </w:t>
      </w:r>
      <w:r>
        <w:rPr>
          <w:rFonts w:ascii="Arial" w:hAnsi="Arial" w:cs="Times New Roman"/>
          <w:color w:val="auto"/>
          <w:sz w:val="22"/>
          <w:szCs w:val="22"/>
          <w:lang w:eastAsia="en-US"/>
        </w:rPr>
        <w:t>107</w:t>
      </w:r>
      <w:r w:rsidRPr="00233D2F">
        <w:rPr>
          <w:rFonts w:ascii="Arial" w:hAnsi="Arial" w:cs="Times New Roman"/>
          <w:color w:val="auto"/>
          <w:sz w:val="22"/>
          <w:szCs w:val="22"/>
          <w:lang w:eastAsia="en-US"/>
        </w:rPr>
        <w:t xml:space="preserve"> % alokace</w:t>
      </w:r>
      <w:r>
        <w:rPr>
          <w:rFonts w:ascii="Arial" w:hAnsi="Arial" w:cs="Times New Roman"/>
          <w:color w:val="auto"/>
          <w:sz w:val="22"/>
          <w:szCs w:val="22"/>
          <w:lang w:eastAsia="en-US"/>
        </w:rPr>
        <w:t xml:space="preserve"> </w:t>
      </w:r>
      <w:r w:rsidRPr="00233D2F">
        <w:rPr>
          <w:rFonts w:ascii="Arial" w:hAnsi="Arial" w:cs="Times New Roman"/>
          <w:color w:val="auto"/>
          <w:sz w:val="22"/>
          <w:szCs w:val="22"/>
          <w:lang w:eastAsia="en-US"/>
        </w:rPr>
        <w:t>PU 2.</w:t>
      </w:r>
    </w:p>
    <w:p w14:paraId="57D697A4" w14:textId="77777777" w:rsidR="00062067" w:rsidRPr="004A13CD" w:rsidRDefault="00F75020" w:rsidP="00217ACC">
      <w:pPr>
        <w:spacing w:before="240" w:after="120"/>
        <w:jc w:val="both"/>
        <w:rPr>
          <w:u w:val="single"/>
        </w:rPr>
      </w:pPr>
      <w:r>
        <w:rPr>
          <w:u w:val="single"/>
        </w:rPr>
        <w:t>PU</w:t>
      </w:r>
      <w:r w:rsidR="00062067" w:rsidRPr="004A13CD">
        <w:rPr>
          <w:u w:val="single"/>
        </w:rPr>
        <w:t xml:space="preserve"> 3</w:t>
      </w:r>
      <w:r w:rsidR="00F23773" w:rsidRPr="004A13CD">
        <w:rPr>
          <w:u w:val="single"/>
        </w:rPr>
        <w:t xml:space="preserve"> </w:t>
      </w:r>
      <w:r w:rsidR="00F23773" w:rsidRPr="008D65BE">
        <w:rPr>
          <w:u w:val="single"/>
        </w:rPr>
        <w:t xml:space="preserve">Podpora provádění </w:t>
      </w:r>
      <w:r w:rsidR="00401977">
        <w:rPr>
          <w:u w:val="single"/>
        </w:rPr>
        <w:t>S</w:t>
      </w:r>
      <w:r w:rsidR="00F23773" w:rsidRPr="008D65BE">
        <w:rPr>
          <w:u w:val="single"/>
        </w:rPr>
        <w:t>polečné rybářské politiky</w:t>
      </w:r>
      <w:r w:rsidR="00062067" w:rsidRPr="004A13CD">
        <w:rPr>
          <w:u w:val="single"/>
        </w:rPr>
        <w:t xml:space="preserve"> </w:t>
      </w:r>
    </w:p>
    <w:p w14:paraId="5E845800" w14:textId="0B10F360" w:rsidR="009256DD" w:rsidRDefault="009256DD" w:rsidP="00F75020">
      <w:pPr>
        <w:pStyle w:val="Default"/>
        <w:spacing w:before="120" w:after="120"/>
        <w:jc w:val="both"/>
        <w:rPr>
          <w:rFonts w:ascii="Arial" w:hAnsi="Arial" w:cs="Times New Roman"/>
          <w:color w:val="auto"/>
          <w:sz w:val="22"/>
          <w:szCs w:val="22"/>
          <w:lang w:eastAsia="en-US"/>
        </w:rPr>
      </w:pPr>
      <w:r>
        <w:rPr>
          <w:rFonts w:ascii="Arial" w:hAnsi="Arial" w:cs="Times New Roman"/>
          <w:color w:val="auto"/>
          <w:sz w:val="22"/>
          <w:szCs w:val="22"/>
          <w:lang w:eastAsia="en-US"/>
        </w:rPr>
        <w:t>Plánovaná alokace PU 3 tvoř</w:t>
      </w:r>
      <w:r w:rsidR="00755B2E">
        <w:rPr>
          <w:rFonts w:ascii="Arial" w:hAnsi="Arial" w:cs="Times New Roman"/>
          <w:color w:val="auto"/>
          <w:sz w:val="22"/>
          <w:szCs w:val="22"/>
          <w:lang w:eastAsia="en-US"/>
        </w:rPr>
        <w:t>ila</w:t>
      </w:r>
      <w:r>
        <w:rPr>
          <w:rFonts w:ascii="Arial" w:hAnsi="Arial" w:cs="Times New Roman"/>
          <w:color w:val="auto"/>
          <w:sz w:val="22"/>
          <w:szCs w:val="22"/>
          <w:lang w:eastAsia="en-US"/>
        </w:rPr>
        <w:t xml:space="preserve"> 2 846 222</w:t>
      </w:r>
      <w:r w:rsidRPr="009E7130">
        <w:rPr>
          <w:rFonts w:ascii="Arial" w:hAnsi="Arial" w:cs="Times New Roman"/>
          <w:color w:val="auto"/>
          <w:sz w:val="22"/>
          <w:szCs w:val="22"/>
          <w:lang w:eastAsia="en-US"/>
        </w:rPr>
        <w:t xml:space="preserve"> EUR, což je </w:t>
      </w:r>
      <w:r>
        <w:rPr>
          <w:rFonts w:ascii="Arial" w:hAnsi="Arial" w:cs="Times New Roman"/>
          <w:color w:val="auto"/>
          <w:sz w:val="22"/>
          <w:szCs w:val="22"/>
          <w:lang w:eastAsia="en-US"/>
        </w:rPr>
        <w:t>7</w:t>
      </w:r>
      <w:r w:rsidRPr="009E7130">
        <w:rPr>
          <w:rFonts w:ascii="Arial" w:hAnsi="Arial" w:cs="Times New Roman"/>
          <w:color w:val="auto"/>
          <w:sz w:val="22"/>
          <w:szCs w:val="22"/>
          <w:lang w:eastAsia="en-US"/>
        </w:rPr>
        <w:t> % al</w:t>
      </w:r>
      <w:r>
        <w:rPr>
          <w:rFonts w:ascii="Arial" w:hAnsi="Arial" w:cs="Times New Roman"/>
          <w:color w:val="auto"/>
          <w:sz w:val="22"/>
          <w:szCs w:val="22"/>
          <w:lang w:eastAsia="en-US"/>
        </w:rPr>
        <w:t xml:space="preserve">okace na celý program </w:t>
      </w:r>
      <w:r w:rsidRPr="009E7130">
        <w:rPr>
          <w:rFonts w:ascii="Arial" w:hAnsi="Arial" w:cs="Times New Roman"/>
          <w:color w:val="auto"/>
          <w:sz w:val="22"/>
          <w:szCs w:val="22"/>
          <w:lang w:eastAsia="en-US"/>
        </w:rPr>
        <w:t>(41</w:t>
      </w:r>
      <w:r>
        <w:rPr>
          <w:rFonts w:ascii="Arial" w:hAnsi="Arial" w:cs="Times New Roman"/>
          <w:color w:val="auto"/>
          <w:sz w:val="22"/>
          <w:szCs w:val="22"/>
          <w:lang w:eastAsia="en-US"/>
        </w:rPr>
        <w:t> 136 632</w:t>
      </w:r>
      <w:r w:rsidRPr="009E7130">
        <w:rPr>
          <w:rFonts w:ascii="Arial" w:hAnsi="Arial" w:cs="Times New Roman"/>
          <w:color w:val="auto"/>
          <w:sz w:val="22"/>
          <w:szCs w:val="22"/>
          <w:lang w:eastAsia="en-US"/>
        </w:rPr>
        <w:t xml:space="preserve"> EUR).</w:t>
      </w:r>
    </w:p>
    <w:p w14:paraId="7D4690B2" w14:textId="44D757AE" w:rsidR="00755B2E" w:rsidRPr="00233D2F" w:rsidRDefault="00755B2E" w:rsidP="00755B2E">
      <w:pPr>
        <w:pStyle w:val="Default"/>
        <w:spacing w:before="120" w:after="120"/>
        <w:jc w:val="both"/>
        <w:rPr>
          <w:rFonts w:ascii="Arial" w:hAnsi="Arial" w:cs="Times New Roman"/>
          <w:color w:val="auto"/>
          <w:sz w:val="22"/>
          <w:szCs w:val="22"/>
          <w:lang w:eastAsia="en-US"/>
        </w:rPr>
      </w:pPr>
      <w:r w:rsidRPr="00233D2F">
        <w:rPr>
          <w:rFonts w:ascii="Arial" w:hAnsi="Arial" w:cs="Times New Roman"/>
          <w:color w:val="auto"/>
          <w:sz w:val="22"/>
          <w:szCs w:val="22"/>
          <w:lang w:eastAsia="en-US"/>
        </w:rPr>
        <w:t>Ke dni 3</w:t>
      </w:r>
      <w:r>
        <w:rPr>
          <w:rFonts w:ascii="Arial" w:hAnsi="Arial" w:cs="Times New Roman"/>
          <w:color w:val="auto"/>
          <w:sz w:val="22"/>
          <w:szCs w:val="22"/>
          <w:lang w:eastAsia="en-US"/>
        </w:rPr>
        <w:t>0</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202</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xml:space="preserve"> bylo </w:t>
      </w:r>
      <w:r>
        <w:rPr>
          <w:rFonts w:ascii="Arial" w:hAnsi="Arial" w:cs="Times New Roman"/>
          <w:color w:val="auto"/>
          <w:sz w:val="22"/>
          <w:szCs w:val="22"/>
          <w:lang w:eastAsia="en-US"/>
        </w:rPr>
        <w:t xml:space="preserve">certifikováno </w:t>
      </w:r>
      <w:r w:rsidR="00DA3CA6">
        <w:rPr>
          <w:rFonts w:ascii="Arial" w:hAnsi="Arial" w:cs="Times New Roman"/>
          <w:color w:val="auto"/>
          <w:sz w:val="22"/>
          <w:szCs w:val="22"/>
          <w:lang w:eastAsia="en-US"/>
        </w:rPr>
        <w:t>na PU 3 celkem 40</w:t>
      </w:r>
      <w:r w:rsidRPr="00233D2F">
        <w:rPr>
          <w:rFonts w:ascii="Arial" w:hAnsi="Arial" w:cs="Times New Roman"/>
          <w:color w:val="auto"/>
          <w:sz w:val="22"/>
          <w:szCs w:val="22"/>
          <w:lang w:eastAsia="en-US"/>
        </w:rPr>
        <w:t xml:space="preserve"> projektů ve výši </w:t>
      </w:r>
      <w:r>
        <w:rPr>
          <w:rFonts w:ascii="Arial" w:hAnsi="Arial" w:cs="Times New Roman"/>
          <w:color w:val="auto"/>
          <w:sz w:val="22"/>
          <w:szCs w:val="22"/>
          <w:lang w:eastAsia="en-US"/>
        </w:rPr>
        <w:t>52,2 mil. Kč (2,1</w:t>
      </w:r>
      <w:r w:rsidRPr="00233D2F">
        <w:rPr>
          <w:rFonts w:ascii="Arial" w:hAnsi="Arial" w:cs="Times New Roman"/>
          <w:color w:val="auto"/>
          <w:sz w:val="22"/>
          <w:szCs w:val="22"/>
          <w:lang w:eastAsia="en-US"/>
        </w:rPr>
        <w:t xml:space="preserve"> mil. EUR</w:t>
      </w:r>
      <w:r>
        <w:rPr>
          <w:rFonts w:ascii="Arial" w:hAnsi="Arial" w:cs="Times New Roman"/>
          <w:color w:val="auto"/>
          <w:sz w:val="22"/>
          <w:szCs w:val="22"/>
          <w:lang w:eastAsia="en-US"/>
        </w:rPr>
        <w:t>)</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celkových veřejných zdrojů</w:t>
      </w:r>
      <w:r w:rsidRPr="00233D2F">
        <w:rPr>
          <w:rFonts w:ascii="Arial" w:hAnsi="Arial" w:cs="Times New Roman"/>
          <w:color w:val="auto"/>
          <w:sz w:val="22"/>
          <w:szCs w:val="22"/>
          <w:lang w:eastAsia="en-US"/>
        </w:rPr>
        <w:t xml:space="preserve">), tj. </w:t>
      </w:r>
      <w:r>
        <w:rPr>
          <w:rFonts w:ascii="Arial" w:hAnsi="Arial" w:cs="Times New Roman"/>
          <w:color w:val="auto"/>
          <w:sz w:val="22"/>
          <w:szCs w:val="22"/>
          <w:lang w:eastAsia="en-US"/>
        </w:rPr>
        <w:t>75</w:t>
      </w:r>
      <w:r w:rsidRPr="00233D2F">
        <w:rPr>
          <w:rFonts w:ascii="Arial" w:hAnsi="Arial" w:cs="Times New Roman"/>
          <w:color w:val="auto"/>
          <w:sz w:val="22"/>
          <w:szCs w:val="22"/>
          <w:lang w:eastAsia="en-US"/>
        </w:rPr>
        <w:t xml:space="preserve"> % alokace PU 3.</w:t>
      </w:r>
      <w:r>
        <w:rPr>
          <w:rFonts w:ascii="Arial" w:hAnsi="Arial" w:cs="Times New Roman"/>
          <w:color w:val="auto"/>
          <w:sz w:val="22"/>
          <w:szCs w:val="22"/>
          <w:lang w:eastAsia="en-US"/>
        </w:rPr>
        <w:t xml:space="preserve"> </w:t>
      </w:r>
    </w:p>
    <w:p w14:paraId="25DE9DCF" w14:textId="406E7FEE" w:rsidR="005938AE" w:rsidRPr="008D65BE" w:rsidRDefault="00F75020" w:rsidP="000443E9">
      <w:pPr>
        <w:spacing w:before="240" w:after="120"/>
        <w:jc w:val="both"/>
        <w:rPr>
          <w:rFonts w:cs="Arial"/>
          <w:color w:val="000000"/>
          <w:u w:val="single"/>
          <w:lang w:eastAsia="cs-CZ"/>
        </w:rPr>
      </w:pPr>
      <w:r>
        <w:rPr>
          <w:rFonts w:cs="Arial"/>
          <w:color w:val="000000"/>
          <w:u w:val="single"/>
          <w:lang w:eastAsia="cs-CZ"/>
        </w:rPr>
        <w:t>PU</w:t>
      </w:r>
      <w:r w:rsidR="005938AE" w:rsidRPr="008D65BE">
        <w:rPr>
          <w:rFonts w:cs="Arial"/>
          <w:color w:val="000000"/>
          <w:u w:val="single"/>
          <w:lang w:eastAsia="cs-CZ"/>
        </w:rPr>
        <w:t xml:space="preserve"> 5</w:t>
      </w:r>
      <w:r w:rsidR="00F23773" w:rsidRPr="008D65BE">
        <w:rPr>
          <w:rFonts w:cs="Arial"/>
          <w:color w:val="000000"/>
          <w:u w:val="single"/>
          <w:lang w:eastAsia="cs-CZ"/>
        </w:rPr>
        <w:t xml:space="preserve"> </w:t>
      </w:r>
      <w:r w:rsidR="00F23773" w:rsidRPr="008D65BE">
        <w:rPr>
          <w:u w:val="single"/>
        </w:rPr>
        <w:t xml:space="preserve">Podpora uvádění na trh </w:t>
      </w:r>
      <w:r w:rsidR="0008227B" w:rsidRPr="008D65BE">
        <w:rPr>
          <w:u w:val="single"/>
        </w:rPr>
        <w:t>a</w:t>
      </w:r>
      <w:r w:rsidR="0008227B">
        <w:rPr>
          <w:u w:val="single"/>
        </w:rPr>
        <w:t> </w:t>
      </w:r>
      <w:r w:rsidR="00F23773" w:rsidRPr="008D65BE">
        <w:rPr>
          <w:u w:val="single"/>
        </w:rPr>
        <w:t>zpracování</w:t>
      </w:r>
      <w:r w:rsidR="005938AE" w:rsidRPr="008D65BE">
        <w:rPr>
          <w:rFonts w:cs="Arial"/>
          <w:color w:val="000000"/>
          <w:u w:val="single"/>
          <w:lang w:eastAsia="cs-CZ"/>
        </w:rPr>
        <w:t xml:space="preserve"> </w:t>
      </w:r>
    </w:p>
    <w:p w14:paraId="6858DBBF" w14:textId="0EB725E4" w:rsidR="00F058AA" w:rsidRDefault="009C1740" w:rsidP="00B06432">
      <w:pPr>
        <w:pStyle w:val="Default"/>
        <w:spacing w:before="120" w:after="120"/>
        <w:jc w:val="both"/>
        <w:rPr>
          <w:rFonts w:ascii="Arial" w:hAnsi="Arial" w:cs="Times New Roman"/>
          <w:color w:val="auto"/>
          <w:sz w:val="22"/>
          <w:szCs w:val="22"/>
          <w:lang w:eastAsia="en-US"/>
        </w:rPr>
      </w:pPr>
      <w:r w:rsidRPr="009E7130">
        <w:rPr>
          <w:rFonts w:ascii="Arial" w:hAnsi="Arial" w:cs="Times New Roman"/>
          <w:color w:val="auto"/>
          <w:sz w:val="22"/>
          <w:szCs w:val="22"/>
          <w:lang w:eastAsia="en-US"/>
        </w:rPr>
        <w:t>Plánovaná alokace PU 5 tvoř</w:t>
      </w:r>
      <w:r w:rsidR="00564AE9">
        <w:rPr>
          <w:rFonts w:ascii="Arial" w:hAnsi="Arial" w:cs="Times New Roman"/>
          <w:color w:val="auto"/>
          <w:sz w:val="22"/>
          <w:szCs w:val="22"/>
          <w:lang w:eastAsia="en-US"/>
        </w:rPr>
        <w:t>ila</w:t>
      </w:r>
      <w:r w:rsidRPr="009E7130">
        <w:rPr>
          <w:rFonts w:ascii="Arial" w:hAnsi="Arial" w:cs="Times New Roman"/>
          <w:color w:val="auto"/>
          <w:sz w:val="22"/>
          <w:szCs w:val="22"/>
          <w:lang w:eastAsia="en-US"/>
        </w:rPr>
        <w:t xml:space="preserve"> </w:t>
      </w:r>
      <w:r>
        <w:rPr>
          <w:rFonts w:ascii="Arial" w:hAnsi="Arial" w:cs="Times New Roman"/>
          <w:color w:val="auto"/>
          <w:sz w:val="22"/>
          <w:szCs w:val="22"/>
          <w:lang w:eastAsia="en-US"/>
        </w:rPr>
        <w:t xml:space="preserve">4 674 070 </w:t>
      </w:r>
      <w:r w:rsidRPr="009E7130">
        <w:rPr>
          <w:rFonts w:ascii="Arial" w:hAnsi="Arial" w:cs="Times New Roman"/>
          <w:color w:val="auto"/>
          <w:sz w:val="22"/>
          <w:szCs w:val="22"/>
          <w:lang w:eastAsia="en-US"/>
        </w:rPr>
        <w:t>EUR, t</w:t>
      </w:r>
      <w:r w:rsidR="00564AE9">
        <w:rPr>
          <w:rFonts w:ascii="Arial" w:hAnsi="Arial" w:cs="Times New Roman"/>
          <w:color w:val="auto"/>
          <w:sz w:val="22"/>
          <w:szCs w:val="22"/>
          <w:lang w:eastAsia="en-US"/>
        </w:rPr>
        <w:t xml:space="preserve">j. </w:t>
      </w:r>
      <w:r w:rsidRPr="009E7130">
        <w:rPr>
          <w:rFonts w:ascii="Arial" w:hAnsi="Arial" w:cs="Times New Roman"/>
          <w:color w:val="auto"/>
          <w:sz w:val="22"/>
          <w:szCs w:val="22"/>
          <w:lang w:eastAsia="en-US"/>
        </w:rPr>
        <w:t>1</w:t>
      </w:r>
      <w:r>
        <w:rPr>
          <w:rFonts w:ascii="Arial" w:hAnsi="Arial" w:cs="Times New Roman"/>
          <w:color w:val="auto"/>
          <w:sz w:val="22"/>
          <w:szCs w:val="22"/>
          <w:lang w:eastAsia="en-US"/>
        </w:rPr>
        <w:t>1</w:t>
      </w:r>
      <w:r w:rsidRPr="009E7130">
        <w:rPr>
          <w:rFonts w:ascii="Arial" w:hAnsi="Arial" w:cs="Times New Roman"/>
          <w:color w:val="auto"/>
          <w:sz w:val="22"/>
          <w:szCs w:val="22"/>
          <w:lang w:eastAsia="en-US"/>
        </w:rPr>
        <w:t> % alok</w:t>
      </w:r>
      <w:r>
        <w:rPr>
          <w:rFonts w:ascii="Arial" w:hAnsi="Arial" w:cs="Times New Roman"/>
          <w:color w:val="auto"/>
          <w:sz w:val="22"/>
          <w:szCs w:val="22"/>
          <w:lang w:eastAsia="en-US"/>
        </w:rPr>
        <w:t>ace na celý OP Rybářství (41 136 632</w:t>
      </w:r>
      <w:r w:rsidRPr="009E7130">
        <w:rPr>
          <w:rFonts w:ascii="Arial" w:hAnsi="Arial" w:cs="Times New Roman"/>
          <w:color w:val="auto"/>
          <w:sz w:val="22"/>
          <w:szCs w:val="22"/>
          <w:lang w:eastAsia="en-US"/>
        </w:rPr>
        <w:t xml:space="preserve"> EUR).</w:t>
      </w:r>
    </w:p>
    <w:p w14:paraId="38EC7E6D" w14:textId="77777777" w:rsidR="00564AE9" w:rsidRPr="00233D2F" w:rsidRDefault="00564AE9" w:rsidP="00564AE9">
      <w:pPr>
        <w:pStyle w:val="Default"/>
        <w:spacing w:before="120" w:after="120"/>
        <w:jc w:val="both"/>
        <w:rPr>
          <w:rFonts w:ascii="Arial" w:hAnsi="Arial" w:cs="Times New Roman"/>
          <w:color w:val="auto"/>
          <w:sz w:val="22"/>
          <w:szCs w:val="22"/>
          <w:lang w:eastAsia="en-US"/>
        </w:rPr>
      </w:pPr>
      <w:r w:rsidRPr="00233D2F">
        <w:rPr>
          <w:rFonts w:ascii="Arial" w:hAnsi="Arial" w:cs="Times New Roman"/>
          <w:color w:val="auto"/>
          <w:sz w:val="22"/>
          <w:szCs w:val="22"/>
          <w:lang w:eastAsia="en-US"/>
        </w:rPr>
        <w:t>Ke dni </w:t>
      </w:r>
      <w:r>
        <w:rPr>
          <w:rFonts w:ascii="Arial" w:hAnsi="Arial" w:cs="Times New Roman"/>
          <w:color w:val="auto"/>
          <w:sz w:val="22"/>
          <w:szCs w:val="22"/>
          <w:lang w:eastAsia="en-US"/>
        </w:rPr>
        <w:t>30. 4</w:t>
      </w:r>
      <w:r w:rsidRPr="00233D2F">
        <w:rPr>
          <w:rFonts w:ascii="Arial" w:hAnsi="Arial" w:cs="Times New Roman"/>
          <w:color w:val="auto"/>
          <w:sz w:val="22"/>
          <w:szCs w:val="22"/>
          <w:lang w:eastAsia="en-US"/>
        </w:rPr>
        <w:t>. 202</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xml:space="preserve"> bylo </w:t>
      </w:r>
      <w:r>
        <w:rPr>
          <w:rFonts w:ascii="Arial" w:hAnsi="Arial" w:cs="Times New Roman"/>
          <w:color w:val="auto"/>
          <w:sz w:val="22"/>
          <w:szCs w:val="22"/>
          <w:lang w:eastAsia="en-US"/>
        </w:rPr>
        <w:t xml:space="preserve">na </w:t>
      </w:r>
      <w:r w:rsidRPr="00233D2F">
        <w:rPr>
          <w:rFonts w:ascii="Arial" w:hAnsi="Arial" w:cs="Times New Roman"/>
          <w:color w:val="auto"/>
          <w:sz w:val="22"/>
          <w:szCs w:val="22"/>
          <w:lang w:eastAsia="en-US"/>
        </w:rPr>
        <w:t>PU 5</w:t>
      </w:r>
      <w:r>
        <w:rPr>
          <w:rFonts w:ascii="Arial" w:hAnsi="Arial" w:cs="Times New Roman"/>
          <w:color w:val="auto"/>
          <w:sz w:val="22"/>
          <w:szCs w:val="22"/>
          <w:lang w:eastAsia="en-US"/>
        </w:rPr>
        <w:t xml:space="preserve"> certifikováno </w:t>
      </w:r>
      <w:r w:rsidRPr="00233D2F">
        <w:rPr>
          <w:rFonts w:ascii="Arial" w:hAnsi="Arial" w:cs="Times New Roman"/>
          <w:color w:val="auto"/>
          <w:sz w:val="22"/>
          <w:szCs w:val="22"/>
          <w:lang w:eastAsia="en-US"/>
        </w:rPr>
        <w:t>celkem 1</w:t>
      </w:r>
      <w:r>
        <w:rPr>
          <w:rFonts w:ascii="Arial" w:hAnsi="Arial" w:cs="Times New Roman"/>
          <w:color w:val="auto"/>
          <w:sz w:val="22"/>
          <w:szCs w:val="22"/>
          <w:lang w:eastAsia="en-US"/>
        </w:rPr>
        <w:t>11</w:t>
      </w:r>
      <w:r w:rsidRPr="00233D2F">
        <w:rPr>
          <w:rFonts w:ascii="Arial" w:hAnsi="Arial" w:cs="Times New Roman"/>
          <w:color w:val="auto"/>
          <w:sz w:val="22"/>
          <w:szCs w:val="22"/>
          <w:lang w:eastAsia="en-US"/>
        </w:rPr>
        <w:t xml:space="preserve"> projektů </w:t>
      </w:r>
      <w:r>
        <w:rPr>
          <w:rFonts w:ascii="Arial" w:hAnsi="Arial" w:cs="Times New Roman"/>
          <w:color w:val="auto"/>
          <w:sz w:val="22"/>
          <w:szCs w:val="22"/>
          <w:lang w:eastAsia="en-US"/>
        </w:rPr>
        <w:t>za 101,2 mil. Kč</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(4</w:t>
      </w:r>
      <w:r w:rsidRPr="00233D2F">
        <w:rPr>
          <w:rFonts w:ascii="Arial" w:hAnsi="Arial" w:cs="Times New Roman"/>
          <w:color w:val="auto"/>
          <w:sz w:val="22"/>
          <w:szCs w:val="22"/>
          <w:lang w:eastAsia="en-US"/>
        </w:rPr>
        <w:t xml:space="preserve"> mil. EUR</w:t>
      </w:r>
      <w:r>
        <w:rPr>
          <w:rFonts w:ascii="Arial" w:hAnsi="Arial" w:cs="Times New Roman"/>
          <w:color w:val="auto"/>
          <w:sz w:val="22"/>
          <w:szCs w:val="22"/>
          <w:lang w:eastAsia="en-US"/>
        </w:rPr>
        <w:t>)</w:t>
      </w:r>
      <w:r w:rsidRPr="00233D2F">
        <w:rPr>
          <w:rFonts w:ascii="Arial" w:hAnsi="Arial" w:cs="Times New Roman"/>
          <w:color w:val="auto"/>
          <w:sz w:val="22"/>
          <w:szCs w:val="22"/>
          <w:lang w:eastAsia="en-US"/>
        </w:rPr>
        <w:t xml:space="preserve"> (</w:t>
      </w:r>
      <w:r>
        <w:rPr>
          <w:rFonts w:ascii="Arial" w:hAnsi="Arial" w:cs="Times New Roman"/>
          <w:color w:val="auto"/>
          <w:sz w:val="22"/>
          <w:szCs w:val="22"/>
          <w:lang w:eastAsia="en-US"/>
        </w:rPr>
        <w:t>celkových veřejných zdrojů</w:t>
      </w:r>
      <w:r w:rsidRPr="00233D2F">
        <w:rPr>
          <w:rFonts w:ascii="Arial" w:hAnsi="Arial" w:cs="Times New Roman"/>
          <w:color w:val="auto"/>
          <w:sz w:val="22"/>
          <w:szCs w:val="22"/>
          <w:lang w:eastAsia="en-US"/>
        </w:rPr>
        <w:t xml:space="preserve">), tj. </w:t>
      </w:r>
      <w:r>
        <w:rPr>
          <w:rFonts w:ascii="Arial" w:hAnsi="Arial" w:cs="Times New Roman"/>
          <w:color w:val="auto"/>
          <w:sz w:val="22"/>
          <w:szCs w:val="22"/>
          <w:lang w:eastAsia="en-US"/>
        </w:rPr>
        <w:t>85</w:t>
      </w:r>
      <w:r w:rsidRPr="00233D2F">
        <w:rPr>
          <w:rFonts w:ascii="Arial" w:hAnsi="Arial" w:cs="Times New Roman"/>
          <w:color w:val="auto"/>
          <w:sz w:val="22"/>
          <w:szCs w:val="22"/>
          <w:lang w:eastAsia="en-US"/>
        </w:rPr>
        <w:t xml:space="preserve"> % alokace PU 5.</w:t>
      </w:r>
    </w:p>
    <w:p w14:paraId="215B41AF" w14:textId="77777777" w:rsidR="005938AE" w:rsidRPr="008D65BE" w:rsidRDefault="005938AE" w:rsidP="00FE6528">
      <w:pPr>
        <w:spacing w:before="240" w:after="120"/>
        <w:jc w:val="both"/>
        <w:rPr>
          <w:rFonts w:cs="Arial"/>
          <w:color w:val="000000"/>
          <w:u w:val="single"/>
          <w:lang w:eastAsia="cs-CZ"/>
        </w:rPr>
      </w:pPr>
      <w:r w:rsidRPr="008D65BE">
        <w:rPr>
          <w:rFonts w:cs="Arial"/>
          <w:color w:val="000000"/>
          <w:u w:val="single"/>
          <w:lang w:eastAsia="cs-CZ"/>
        </w:rPr>
        <w:t>Technická pomoc</w:t>
      </w:r>
    </w:p>
    <w:p w14:paraId="44F397C3" w14:textId="04764827" w:rsidR="00701DA5" w:rsidRDefault="00D92D99" w:rsidP="00701DA5">
      <w:pPr>
        <w:pStyle w:val="Default"/>
        <w:spacing w:before="120" w:after="120"/>
        <w:jc w:val="both"/>
        <w:rPr>
          <w:rFonts w:ascii="Arial" w:hAnsi="Arial" w:cs="Times New Roman"/>
          <w:color w:val="auto"/>
          <w:sz w:val="22"/>
          <w:szCs w:val="22"/>
          <w:lang w:eastAsia="en-US"/>
        </w:rPr>
      </w:pPr>
      <w:r w:rsidRPr="00D92D99">
        <w:rPr>
          <w:rFonts w:ascii="Arial" w:hAnsi="Arial" w:cs="Times New Roman"/>
          <w:color w:val="auto"/>
          <w:sz w:val="22"/>
          <w:szCs w:val="22"/>
          <w:lang w:eastAsia="en-US"/>
        </w:rPr>
        <w:t>Plánovaná alokace u Technické pomoci čin</w:t>
      </w:r>
      <w:r w:rsidR="001E269D">
        <w:rPr>
          <w:rFonts w:ascii="Arial" w:hAnsi="Arial" w:cs="Times New Roman"/>
          <w:color w:val="auto"/>
          <w:sz w:val="22"/>
          <w:szCs w:val="22"/>
          <w:lang w:eastAsia="en-US"/>
        </w:rPr>
        <w:t>ila</w:t>
      </w:r>
      <w:r w:rsidRPr="00D92D99">
        <w:rPr>
          <w:rFonts w:ascii="Arial" w:hAnsi="Arial" w:cs="Times New Roman"/>
          <w:color w:val="auto"/>
          <w:sz w:val="22"/>
          <w:szCs w:val="22"/>
          <w:lang w:eastAsia="en-US"/>
        </w:rPr>
        <w:t xml:space="preserve"> 1 702 172 EUR, což představ</w:t>
      </w:r>
      <w:r w:rsidR="001E269D">
        <w:rPr>
          <w:rFonts w:ascii="Arial" w:hAnsi="Arial" w:cs="Times New Roman"/>
          <w:color w:val="auto"/>
          <w:sz w:val="22"/>
          <w:szCs w:val="22"/>
          <w:lang w:eastAsia="en-US"/>
        </w:rPr>
        <w:t>ovalo</w:t>
      </w:r>
      <w:r w:rsidRPr="00D92D99">
        <w:rPr>
          <w:rFonts w:ascii="Arial" w:hAnsi="Arial" w:cs="Times New Roman"/>
          <w:color w:val="auto"/>
          <w:sz w:val="22"/>
          <w:szCs w:val="22"/>
          <w:lang w:eastAsia="en-US"/>
        </w:rPr>
        <w:t xml:space="preserve"> 4 % na celý OP Rybářství.</w:t>
      </w:r>
      <w:r w:rsidR="00701DA5">
        <w:rPr>
          <w:rFonts w:ascii="Arial" w:hAnsi="Arial" w:cs="Times New Roman"/>
          <w:color w:val="auto"/>
          <w:sz w:val="22"/>
          <w:szCs w:val="22"/>
          <w:lang w:eastAsia="en-US"/>
        </w:rPr>
        <w:t xml:space="preserve"> </w:t>
      </w:r>
    </w:p>
    <w:p w14:paraId="4C02967A" w14:textId="77777777" w:rsidR="00FF079F" w:rsidRDefault="00FF079F" w:rsidP="006C1CA9">
      <w:pPr>
        <w:autoSpaceDE w:val="0"/>
        <w:autoSpaceDN w:val="0"/>
        <w:adjustRightInd w:val="0"/>
        <w:spacing w:before="120"/>
        <w:jc w:val="both"/>
      </w:pPr>
      <w:r w:rsidRPr="00233D2F">
        <w:t>Ke dni 3</w:t>
      </w:r>
      <w:r>
        <w:t>0</w:t>
      </w:r>
      <w:r w:rsidRPr="00233D2F">
        <w:t xml:space="preserve">. </w:t>
      </w:r>
      <w:r>
        <w:t>4</w:t>
      </w:r>
      <w:r w:rsidRPr="00233D2F">
        <w:t>. 202</w:t>
      </w:r>
      <w:r>
        <w:t>4</w:t>
      </w:r>
      <w:r w:rsidRPr="00233D2F">
        <w:t xml:space="preserve"> byl</w:t>
      </w:r>
      <w:r>
        <w:t xml:space="preserve">o certifikováno 65 projektů </w:t>
      </w:r>
      <w:r w:rsidRPr="00233D2F">
        <w:t xml:space="preserve">ve výši </w:t>
      </w:r>
      <w:r>
        <w:t>44,1 mil. Kč (1,8</w:t>
      </w:r>
      <w:r w:rsidRPr="00233D2F">
        <w:t xml:space="preserve"> mil. EUR</w:t>
      </w:r>
      <w:r>
        <w:t>)</w:t>
      </w:r>
      <w:r w:rsidRPr="00233D2F">
        <w:t xml:space="preserve"> (</w:t>
      </w:r>
      <w:r>
        <w:t>celkových veřejných zdrojů</w:t>
      </w:r>
      <w:r w:rsidRPr="00233D2F">
        <w:t xml:space="preserve">), tj. </w:t>
      </w:r>
      <w:r>
        <w:t>103</w:t>
      </w:r>
      <w:r w:rsidRPr="00233D2F">
        <w:t xml:space="preserve"> % alokace Technické pomoci. </w:t>
      </w:r>
    </w:p>
    <w:p w14:paraId="330D6AF6" w14:textId="11B964A2" w:rsidR="00C042BA" w:rsidRDefault="00C042BA" w:rsidP="006C1CA9">
      <w:pPr>
        <w:spacing w:before="240"/>
        <w:jc w:val="both"/>
        <w:rPr>
          <w:b/>
        </w:rPr>
      </w:pPr>
      <w:r w:rsidRPr="00AF752B">
        <w:rPr>
          <w:b/>
        </w:rPr>
        <w:t xml:space="preserve">Zveřejnění příjemců OP Rybářství je uvedeno </w:t>
      </w:r>
      <w:r w:rsidR="00FF114E">
        <w:rPr>
          <w:b/>
        </w:rPr>
        <w:t xml:space="preserve">a pravidelně aktualizováno </w:t>
      </w:r>
      <w:r w:rsidRPr="00AF752B">
        <w:rPr>
          <w:b/>
        </w:rPr>
        <w:t xml:space="preserve">na následujících </w:t>
      </w:r>
      <w:r w:rsidR="000004B8">
        <w:rPr>
          <w:b/>
        </w:rPr>
        <w:t>odkazech</w:t>
      </w:r>
      <w:r w:rsidRPr="00AF752B">
        <w:rPr>
          <w:b/>
        </w:rPr>
        <w:t>:</w:t>
      </w:r>
    </w:p>
    <w:p w14:paraId="24CD32D7" w14:textId="77777777" w:rsidR="009B6705" w:rsidRPr="009E7130" w:rsidRDefault="009B6705" w:rsidP="000004B8">
      <w:pPr>
        <w:spacing w:before="240" w:after="120"/>
        <w:jc w:val="both"/>
      </w:pPr>
      <w:r w:rsidRPr="009E7130">
        <w:t xml:space="preserve">PU 2: </w:t>
      </w:r>
      <w:hyperlink r:id="rId8" w:history="1">
        <w:r w:rsidRPr="009E7130">
          <w:rPr>
            <w:rStyle w:val="Hypertextovodkaz"/>
            <w:color w:val="auto"/>
          </w:rPr>
          <w:t>http://eagri.cz/public/web/mze/dotace/operacni-program-rybarstvi-na-obdobi-1/priority-unie/priorita-unie-2/</w:t>
        </w:r>
      </w:hyperlink>
    </w:p>
    <w:p w14:paraId="6F2422EA" w14:textId="77777777" w:rsidR="009B6705" w:rsidRPr="009E7130" w:rsidRDefault="009B6705" w:rsidP="00ED50B6">
      <w:pPr>
        <w:spacing w:before="120" w:after="120"/>
        <w:jc w:val="both"/>
      </w:pPr>
      <w:r w:rsidRPr="009E7130">
        <w:t xml:space="preserve">PU 3: </w:t>
      </w:r>
      <w:hyperlink r:id="rId9" w:history="1">
        <w:r w:rsidRPr="009E7130">
          <w:rPr>
            <w:rStyle w:val="Hypertextovodkaz"/>
            <w:color w:val="auto"/>
          </w:rPr>
          <w:t>http://eagri.cz/public/web/mze/dotace/operacni-program-rybarstvi-na-obdobi-1/priority-unie/priorita-unie-3/</w:t>
        </w:r>
      </w:hyperlink>
    </w:p>
    <w:p w14:paraId="4B4EEF5E" w14:textId="498C8DC6" w:rsidR="006C1CA9" w:rsidRPr="006C1CA9" w:rsidRDefault="009B6705" w:rsidP="006C1CA9">
      <w:pPr>
        <w:jc w:val="both"/>
      </w:pPr>
      <w:r w:rsidRPr="009E7130">
        <w:t xml:space="preserve">PU 5: </w:t>
      </w:r>
      <w:hyperlink r:id="rId10" w:history="1">
        <w:r w:rsidRPr="009E7130">
          <w:rPr>
            <w:rStyle w:val="Hypertextovodkaz"/>
            <w:color w:val="auto"/>
          </w:rPr>
          <w:t>http://eagri.cz/public/web/mze/dotace/operacni-program-rybarstvi-na-obdobi-1/priority-unie/priorita-unie-5/</w:t>
        </w:r>
      </w:hyperlink>
      <w:r w:rsidR="00FE0CA5">
        <w:t xml:space="preserve"> </w:t>
      </w:r>
    </w:p>
    <w:p w14:paraId="7A65AEF9" w14:textId="77777777" w:rsidR="006C1CA9" w:rsidRDefault="006C1CA9" w:rsidP="006C1CA9">
      <w:pPr>
        <w:jc w:val="both"/>
        <w:rPr>
          <w:rFonts w:cs="Arial"/>
          <w:b/>
          <w:lang w:eastAsia="cs-CZ"/>
        </w:rPr>
      </w:pPr>
    </w:p>
    <w:p w14:paraId="45DCB07C" w14:textId="77777777" w:rsidR="00E37620" w:rsidRDefault="00E37620" w:rsidP="006C1CA9">
      <w:pPr>
        <w:jc w:val="both"/>
        <w:rPr>
          <w:rFonts w:cs="Arial"/>
          <w:b/>
          <w:lang w:eastAsia="cs-CZ"/>
        </w:rPr>
      </w:pPr>
    </w:p>
    <w:p w14:paraId="3604B495" w14:textId="77777777" w:rsidR="00E37620" w:rsidRDefault="00E37620" w:rsidP="006C1CA9">
      <w:pPr>
        <w:jc w:val="both"/>
        <w:rPr>
          <w:rFonts w:cs="Arial"/>
          <w:b/>
          <w:lang w:eastAsia="cs-CZ"/>
        </w:rPr>
      </w:pPr>
    </w:p>
    <w:p w14:paraId="5A2937B6" w14:textId="77777777" w:rsidR="00E37620" w:rsidRDefault="00E37620" w:rsidP="006C1CA9">
      <w:pPr>
        <w:jc w:val="both"/>
        <w:rPr>
          <w:rFonts w:cs="Arial"/>
          <w:b/>
          <w:lang w:eastAsia="cs-CZ"/>
        </w:rPr>
      </w:pPr>
    </w:p>
    <w:p w14:paraId="2E3EFBB6" w14:textId="77777777" w:rsidR="00E37620" w:rsidRDefault="00E37620" w:rsidP="006C1CA9">
      <w:pPr>
        <w:jc w:val="both"/>
        <w:rPr>
          <w:rFonts w:cs="Arial"/>
          <w:b/>
          <w:lang w:eastAsia="cs-CZ"/>
        </w:rPr>
      </w:pPr>
    </w:p>
    <w:p w14:paraId="092E1AB8" w14:textId="7A4B1A5B" w:rsidR="00762E8A" w:rsidRDefault="00762E8A" w:rsidP="006C1CA9">
      <w:pPr>
        <w:jc w:val="both"/>
        <w:rPr>
          <w:rFonts w:cs="Arial"/>
          <w:b/>
          <w:lang w:eastAsia="cs-CZ"/>
        </w:rPr>
      </w:pPr>
      <w:r>
        <w:rPr>
          <w:rFonts w:cs="Arial"/>
          <w:b/>
          <w:lang w:eastAsia="cs-CZ"/>
        </w:rPr>
        <w:lastRenderedPageBreak/>
        <w:t>Činnosti ve vztahu k plánu hodnocení</w:t>
      </w:r>
    </w:p>
    <w:p w14:paraId="67DFF8D9" w14:textId="2CFDE336" w:rsidR="00A2522D" w:rsidRDefault="00A2522D" w:rsidP="00A2522D">
      <w:pPr>
        <w:spacing w:before="120" w:after="120"/>
        <w:jc w:val="both"/>
      </w:pPr>
      <w:r w:rsidRPr="00233D2F">
        <w:t xml:space="preserve">V průběhu programového období realizoval ŘO dvě hodnocení programu. </w:t>
      </w:r>
      <w:r>
        <w:t xml:space="preserve">Na základě procesního a výsledkového hodnocení (ukončeno v dubnu 2017) bylo posouzeno např. nastavení implementační struktury, efektivnost a účinnost systému, nastavení indikátorové soustavy a ověřeny rozvojové potřeby a nastavení cílů programu. </w:t>
      </w:r>
    </w:p>
    <w:p w14:paraId="5D179B76" w14:textId="7B7336BE" w:rsidR="00EE322F" w:rsidRPr="00233D2F" w:rsidRDefault="00EE322F" w:rsidP="00EE322F">
      <w:pPr>
        <w:spacing w:before="120" w:after="120"/>
        <w:jc w:val="both"/>
        <w:rPr>
          <w:bCs/>
        </w:rPr>
      </w:pPr>
      <w:r w:rsidRPr="00233D2F">
        <w:rPr>
          <w:rFonts w:cs="Arial"/>
        </w:rPr>
        <w:t xml:space="preserve">V průběhu let 2018 a 2019 bylo realizováno průběžné hodnocení OP Rybářství prostřednictvím externího evaluátora. </w:t>
      </w:r>
      <w:r w:rsidRPr="00233D2F">
        <w:rPr>
          <w:bCs/>
        </w:rPr>
        <w:t xml:space="preserve">Cílem hodnocení bylo posoudit účelnost a účinnost intervencí OP Rybářství na úrovni opatření/specifického cíle a zhodnotit pokrok při naplňování cílů programu ve vazbě na očekávané výsledky Dohody o partnerství. </w:t>
      </w:r>
    </w:p>
    <w:p w14:paraId="6DB3E5B7" w14:textId="77777777" w:rsidR="00EE322F" w:rsidRDefault="00EE322F" w:rsidP="00EE322F">
      <w:pPr>
        <w:spacing w:before="120" w:after="120"/>
        <w:jc w:val="both"/>
        <w:rPr>
          <w:bCs/>
        </w:rPr>
      </w:pPr>
      <w:r w:rsidRPr="00233D2F">
        <w:rPr>
          <w:bCs/>
        </w:rPr>
        <w:t xml:space="preserve">Součástí hodnocení bylo rovněž posoudit </w:t>
      </w:r>
      <w:r w:rsidRPr="00233D2F">
        <w:t xml:space="preserve">nastavení implementační struktury, tedy zdali je nastavený systém efektivní a účinný, a to z hlediska všech zainteresovaných subjektů systému. </w:t>
      </w:r>
      <w:r w:rsidRPr="00233D2F">
        <w:rPr>
          <w:bCs/>
        </w:rPr>
        <w:t xml:space="preserve">Následně byl vypracován přehled doporučení z evaluace, který zároveň definuje seznam úkolů, harmonogram jejich plnění a zodpovědné gestory. </w:t>
      </w:r>
    </w:p>
    <w:p w14:paraId="6C26B200" w14:textId="77777777" w:rsidR="00F439F2" w:rsidRPr="00233D2F" w:rsidRDefault="00F439F2" w:rsidP="00F439F2">
      <w:pPr>
        <w:spacing w:before="120" w:after="120"/>
        <w:jc w:val="both"/>
        <w:rPr>
          <w:bCs/>
        </w:rPr>
      </w:pPr>
      <w:r>
        <w:rPr>
          <w:bCs/>
        </w:rPr>
        <w:t>Doporučení byla z větší části realizována již v programovém období 2014–2020 a některá jsou realizována v programovém období 2021–2027.</w:t>
      </w:r>
    </w:p>
    <w:p w14:paraId="5DE47816" w14:textId="216A3E06" w:rsidR="00EE322F" w:rsidRDefault="00EE322F" w:rsidP="00EE322F">
      <w:pPr>
        <w:spacing w:before="120" w:after="120"/>
        <w:jc w:val="both"/>
      </w:pPr>
      <w:r w:rsidRPr="00233D2F">
        <w:t>ŘO OP Rybářství v roce 2022 připravil Evaluační plán pro OP Rybářství 2021–2027, který byl schválen MV OP Rybářství na podzim 2022.</w:t>
      </w:r>
      <w:r w:rsidR="00EB2188">
        <w:t xml:space="preserve"> </w:t>
      </w:r>
      <w:r>
        <w:t>Aktualizace probíhá na pravidelné bázi.</w:t>
      </w:r>
    </w:p>
    <w:p w14:paraId="20DFCDA5" w14:textId="77777777" w:rsidR="00EE322F" w:rsidRDefault="00EE322F" w:rsidP="00EE322F">
      <w:pPr>
        <w:spacing w:before="120" w:after="120"/>
        <w:jc w:val="both"/>
      </w:pPr>
      <w:r w:rsidRPr="00272FDC">
        <w:rPr>
          <w:rFonts w:cs="Arial"/>
        </w:rPr>
        <w:t>V roce 2023 byla zahájena první evaluace programového období 2021–2027 pod názvem Baseline studie. Na základě této studie dodavatel urči</w:t>
      </w:r>
      <w:r>
        <w:rPr>
          <w:rFonts w:cs="Arial"/>
        </w:rPr>
        <w:t>l</w:t>
      </w:r>
      <w:r w:rsidRPr="00272FDC">
        <w:rPr>
          <w:rFonts w:cs="Arial"/>
        </w:rPr>
        <w:t xml:space="preserve"> metodiku pro hodnocení dopadů </w:t>
      </w:r>
      <w:r>
        <w:rPr>
          <w:rFonts w:cs="Arial"/>
        </w:rPr>
        <w:t>OP</w:t>
      </w:r>
      <w:r w:rsidRPr="00272FDC">
        <w:rPr>
          <w:rFonts w:cs="Arial"/>
        </w:rPr>
        <w:t xml:space="preserve"> Rybářství. Prostřednictvím této studie dodavatel nastav</w:t>
      </w:r>
      <w:r>
        <w:rPr>
          <w:rFonts w:cs="Arial"/>
        </w:rPr>
        <w:t>il</w:t>
      </w:r>
      <w:r w:rsidRPr="00272FDC">
        <w:rPr>
          <w:rFonts w:cs="Arial"/>
        </w:rPr>
        <w:t xml:space="preserve"> a stanov</w:t>
      </w:r>
      <w:r>
        <w:rPr>
          <w:rFonts w:cs="Arial"/>
        </w:rPr>
        <w:t>il</w:t>
      </w:r>
      <w:r w:rsidRPr="00272FDC">
        <w:rPr>
          <w:rFonts w:cs="Arial"/>
        </w:rPr>
        <w:t xml:space="preserve"> výchozí hodnoty, které budou sloužit jako pilotní složka pro vyhodnocení dopadové analýzy</w:t>
      </w:r>
      <w:r>
        <w:rPr>
          <w:rFonts w:cs="Arial"/>
        </w:rPr>
        <w:t xml:space="preserve"> v roce 2029.</w:t>
      </w:r>
    </w:p>
    <w:p w14:paraId="44E0EAC3" w14:textId="77777777" w:rsidR="00EE322F" w:rsidRDefault="00EE322F" w:rsidP="00EE322F">
      <w:pPr>
        <w:spacing w:before="120" w:after="120"/>
        <w:jc w:val="both"/>
      </w:pPr>
      <w:r>
        <w:t xml:space="preserve">Na rok 2024 Evaluační jednotka Řídicího orgánu připravuje realizaci interní evaluace, zaměřené na vyhodnocení </w:t>
      </w:r>
      <w:r w:rsidRPr="004B414E">
        <w:t>výsledků zájmu o podporu z OP Rybářství a bude vycházet z</w:t>
      </w:r>
      <w:r>
        <w:t> </w:t>
      </w:r>
      <w:r w:rsidRPr="004B414E">
        <w:t xml:space="preserve">dat podaných žádostí </w:t>
      </w:r>
      <w:r>
        <w:t>v</w:t>
      </w:r>
      <w:r w:rsidRPr="004B414E">
        <w:t xml:space="preserve"> 1.–14. výzv</w:t>
      </w:r>
      <w:r>
        <w:t xml:space="preserve">ě. </w:t>
      </w:r>
    </w:p>
    <w:p w14:paraId="366F8A7A" w14:textId="7B91383B" w:rsidR="00CB1D67" w:rsidRPr="00750897" w:rsidRDefault="00EE322F" w:rsidP="00750897">
      <w:pPr>
        <w:spacing w:before="120" w:after="120"/>
        <w:jc w:val="both"/>
      </w:pPr>
      <w:r>
        <w:t>V průběhu roku 2024 bude také realizována evaluace k p</w:t>
      </w:r>
      <w:r w:rsidRPr="00617D8B">
        <w:t>osouzení využitelnosti finančních nástrojů v OP Rybářství 2021–2027 a 2028+</w:t>
      </w:r>
      <w:r>
        <w:t>.</w:t>
      </w:r>
    </w:p>
    <w:p w14:paraId="1A16A9BF" w14:textId="24A6CB4F" w:rsidR="00623B11" w:rsidRDefault="001115BC" w:rsidP="00623B11">
      <w:pPr>
        <w:autoSpaceDE w:val="0"/>
        <w:autoSpaceDN w:val="0"/>
        <w:adjustRightInd w:val="0"/>
        <w:spacing w:before="120" w:after="120"/>
        <w:jc w:val="both"/>
        <w:rPr>
          <w:rFonts w:cs="Arial"/>
          <w:b/>
          <w:lang w:eastAsia="cs-CZ"/>
        </w:rPr>
      </w:pPr>
      <w:r>
        <w:rPr>
          <w:rFonts w:cs="Arial"/>
          <w:b/>
          <w:lang w:eastAsia="cs-CZ"/>
        </w:rPr>
        <w:t>Výkonnostní rámec</w:t>
      </w:r>
    </w:p>
    <w:p w14:paraId="1939F3ED" w14:textId="312A0004" w:rsidR="001D2E21" w:rsidRDefault="001D2E21" w:rsidP="001D2E21">
      <w:pPr>
        <w:spacing w:before="120" w:after="120"/>
        <w:jc w:val="both"/>
        <w:rPr>
          <w:lang w:eastAsia="cs-CZ"/>
        </w:rPr>
      </w:pPr>
      <w:r w:rsidRPr="00233D2F">
        <w:rPr>
          <w:rFonts w:cs="Arial"/>
          <w:lang w:eastAsia="cs-CZ"/>
        </w:rPr>
        <w:t xml:space="preserve">Milníky a cíle OP Rybářství byly nastaveny v souladu </w:t>
      </w:r>
      <w:r>
        <w:rPr>
          <w:rFonts w:cs="Arial"/>
          <w:lang w:eastAsia="cs-CZ"/>
        </w:rPr>
        <w:t>s </w:t>
      </w:r>
      <w:r w:rsidRPr="00233D2F">
        <w:rPr>
          <w:rFonts w:cs="Arial"/>
          <w:lang w:eastAsia="cs-CZ"/>
        </w:rPr>
        <w:t>V</w:t>
      </w:r>
      <w:r>
        <w:rPr>
          <w:rFonts w:cs="Arial"/>
          <w:lang w:eastAsia="cs-CZ"/>
        </w:rPr>
        <w:t>íceletým národním strategickým plánem pro akvakulturu</w:t>
      </w:r>
      <w:r w:rsidRPr="00233D2F">
        <w:rPr>
          <w:rFonts w:cs="Arial"/>
          <w:lang w:eastAsia="cs-CZ"/>
        </w:rPr>
        <w:t>, Analýzou absorpční kapacity OP Rybářství, Ex-ante hodnocením a</w:t>
      </w:r>
      <w:r>
        <w:rPr>
          <w:rFonts w:cs="Arial"/>
          <w:lang w:eastAsia="cs-CZ"/>
        </w:rPr>
        <w:t> </w:t>
      </w:r>
      <w:r w:rsidRPr="00233D2F">
        <w:rPr>
          <w:rFonts w:cs="Arial"/>
          <w:lang w:eastAsia="cs-CZ"/>
        </w:rPr>
        <w:t xml:space="preserve">expertními odhady. Při nastavování milníků a cílů byly zohledněny tyto faktory: finanční plán OP, plnění pravidla n+3, termíny vyhlášení výzev, objem žádostí o platbu, ukazatele výstupu s více než </w:t>
      </w:r>
      <w:proofErr w:type="gramStart"/>
      <w:r w:rsidRPr="00233D2F">
        <w:rPr>
          <w:rFonts w:cs="Arial"/>
          <w:lang w:eastAsia="cs-CZ"/>
        </w:rPr>
        <w:t>50%</w:t>
      </w:r>
      <w:proofErr w:type="gramEnd"/>
      <w:r w:rsidRPr="00233D2F">
        <w:rPr>
          <w:rFonts w:cs="Arial"/>
          <w:lang w:eastAsia="cs-CZ"/>
        </w:rPr>
        <w:t xml:space="preserve"> přídělem na Prioritě Unie a</w:t>
      </w:r>
      <w:r>
        <w:rPr>
          <w:rFonts w:cs="Arial"/>
          <w:lang w:eastAsia="cs-CZ"/>
        </w:rPr>
        <w:t> </w:t>
      </w:r>
      <w:r w:rsidRPr="00233D2F">
        <w:rPr>
          <w:rFonts w:cs="Arial"/>
          <w:lang w:eastAsia="cs-CZ"/>
        </w:rPr>
        <w:t>zpoždění implementace OP.</w:t>
      </w:r>
      <w:r w:rsidRPr="00233D2F">
        <w:rPr>
          <w:lang w:eastAsia="cs-CZ"/>
        </w:rPr>
        <w:t xml:space="preserve"> </w:t>
      </w:r>
    </w:p>
    <w:p w14:paraId="21B86100" w14:textId="49F881B1" w:rsidR="00CB1D67" w:rsidRPr="00750897" w:rsidRDefault="00CB1D67" w:rsidP="00750897">
      <w:pPr>
        <w:spacing w:before="120" w:after="120"/>
        <w:jc w:val="both"/>
        <w:rPr>
          <w:lang w:eastAsia="cs-CZ"/>
        </w:rPr>
      </w:pPr>
      <w:r>
        <w:rPr>
          <w:lang w:eastAsia="cs-CZ"/>
        </w:rPr>
        <w:t>Všechny v</w:t>
      </w:r>
      <w:r w:rsidRPr="00233D2F">
        <w:rPr>
          <w:lang w:eastAsia="cs-CZ"/>
        </w:rPr>
        <w:t>ěcné cíle</w:t>
      </w:r>
      <w:r>
        <w:rPr>
          <w:lang w:eastAsia="cs-CZ"/>
        </w:rPr>
        <w:t xml:space="preserve"> (indikátory výstupu), které </w:t>
      </w:r>
      <w:r w:rsidRPr="00233D2F">
        <w:rPr>
          <w:lang w:eastAsia="cs-CZ"/>
        </w:rPr>
        <w:t>jsou vykazovány na úrovni proplacených projektů</w:t>
      </w:r>
      <w:r>
        <w:rPr>
          <w:lang w:eastAsia="cs-CZ"/>
        </w:rPr>
        <w:t xml:space="preserve">, byly splněny/přeplněny. Finančního cíle bylo dosaženo na PU 2 na 106,9 %, na PU 3 na 74,8 % a na PU 5 na 85,4 %. </w:t>
      </w:r>
    </w:p>
    <w:p w14:paraId="255ED454" w14:textId="702049B4" w:rsidR="00FA6619" w:rsidRDefault="00FA6619" w:rsidP="00FA6619">
      <w:pPr>
        <w:autoSpaceDE w:val="0"/>
        <w:autoSpaceDN w:val="0"/>
        <w:adjustRightInd w:val="0"/>
        <w:spacing w:before="120" w:after="120"/>
        <w:jc w:val="both"/>
        <w:rPr>
          <w:rFonts w:cs="Arial"/>
          <w:b/>
          <w:lang w:eastAsia="cs-CZ"/>
        </w:rPr>
      </w:pPr>
      <w:r>
        <w:rPr>
          <w:rFonts w:cs="Arial"/>
          <w:b/>
          <w:lang w:eastAsia="cs-CZ"/>
        </w:rPr>
        <w:t>Horizontální zásady provádění</w:t>
      </w:r>
    </w:p>
    <w:p w14:paraId="42046080" w14:textId="61A73630" w:rsidR="00FA6619" w:rsidRPr="00782850" w:rsidRDefault="00FA6619" w:rsidP="00FA6619">
      <w:pPr>
        <w:autoSpaceDE w:val="0"/>
        <w:autoSpaceDN w:val="0"/>
        <w:adjustRightInd w:val="0"/>
        <w:spacing w:before="120" w:after="120"/>
        <w:jc w:val="both"/>
        <w:rPr>
          <w:rFonts w:cs="Arial"/>
          <w:lang w:eastAsia="cs-CZ"/>
        </w:rPr>
      </w:pPr>
      <w:r>
        <w:rPr>
          <w:rFonts w:cs="Arial"/>
          <w:lang w:eastAsia="cs-CZ"/>
        </w:rPr>
        <w:t>V rámci horizontálních zásad provádění operačního programu byly uplatňovány základní principy – princip partnerství, princip rovných příležitostí a princip udržitelného rozvoje.</w:t>
      </w:r>
    </w:p>
    <w:p w14:paraId="0CBEC826" w14:textId="375F4A38" w:rsidR="00EB2BC3" w:rsidRDefault="00EB2BC3" w:rsidP="00FA6619">
      <w:pPr>
        <w:spacing w:before="120" w:after="120"/>
        <w:jc w:val="both"/>
      </w:pPr>
      <w:r>
        <w:t>Princip partnerství byl při realizaci OP Rybářství uplatňován zejména prostřednictvím MV, tj. v</w:t>
      </w:r>
      <w:r w:rsidR="007C0AD7">
        <w:t> </w:t>
      </w:r>
      <w:r>
        <w:t>souladu s požadavky MMR-NOK na způsob zapojení partnerů do implementace programu. Partneři se účastnili také Plánovacích komisí, na kterých byl projednáván Strategický realizační plán (zahrnující např. harmonogram výzev, predikce čerpání, vyhodnocení Strategického realizačního plánu z předchozího roku apod.) a Odborné skupiny OP Rybářství, jejíž hlavní náplní byla implementace programu.</w:t>
      </w:r>
    </w:p>
    <w:p w14:paraId="1B4C0D71" w14:textId="77777777" w:rsidR="00EB2BC3" w:rsidRDefault="00EB2BC3" w:rsidP="00EB2BC3">
      <w:pPr>
        <w:jc w:val="both"/>
      </w:pPr>
      <w:r>
        <w:t>OP Rybářství zohledňoval princip udržitelného rozvoje v rámci konkrétních prvků nastavení i z hlediska sledování environmentálních indikátorů popisujících příspěvek programu k udržitelnému rozvoji.</w:t>
      </w:r>
    </w:p>
    <w:p w14:paraId="7FED3F0A" w14:textId="458041EE" w:rsidR="00FA6619" w:rsidRPr="00B55685" w:rsidRDefault="00FA6619" w:rsidP="00FA6619">
      <w:pPr>
        <w:spacing w:before="120" w:after="120"/>
        <w:jc w:val="both"/>
      </w:pPr>
      <w:r w:rsidRPr="00DB4266">
        <w:rPr>
          <w:rFonts w:cs="Arial"/>
          <w:lang w:eastAsia="cs-CZ"/>
        </w:rPr>
        <w:lastRenderedPageBreak/>
        <w:t xml:space="preserve">Vedle těchto základních principů a horizontálních zásad provádění </w:t>
      </w:r>
      <w:r>
        <w:t>v</w:t>
      </w:r>
      <w:r w:rsidRPr="0079496E">
        <w:t xml:space="preserve"> České republice </w:t>
      </w:r>
      <w:r>
        <w:t>přispív</w:t>
      </w:r>
      <w:r w:rsidR="00EB2BC3">
        <w:t>al</w:t>
      </w:r>
      <w:r>
        <w:t xml:space="preserve"> OP Rybářství 2014</w:t>
      </w:r>
      <w:r w:rsidR="00CC2106" w:rsidRPr="00617D8B">
        <w:t>–</w:t>
      </w:r>
      <w:r>
        <w:t xml:space="preserve">2021 k naplňování cílů v oblasti změny klimatu a také </w:t>
      </w:r>
      <w:r w:rsidRPr="00B55685">
        <w:t xml:space="preserve">ke </w:t>
      </w:r>
      <w:r>
        <w:t>S</w:t>
      </w:r>
      <w:r w:rsidRPr="00B55685">
        <w:t>trategii Evropy 2020 v oblasti inteligentního a udržitelného růstu.</w:t>
      </w:r>
    </w:p>
    <w:p w14:paraId="05D1EB7D" w14:textId="6CF5C411" w:rsidR="005D4BEA" w:rsidRDefault="005D4BEA" w:rsidP="00217ACC">
      <w:pPr>
        <w:autoSpaceDE w:val="0"/>
        <w:autoSpaceDN w:val="0"/>
        <w:adjustRightInd w:val="0"/>
        <w:spacing w:before="120" w:after="120"/>
        <w:jc w:val="both"/>
      </w:pPr>
    </w:p>
    <w:p w14:paraId="25190CE0" w14:textId="4D2125EC" w:rsidR="000D0F86" w:rsidRPr="008D65BE" w:rsidRDefault="000D0F86" w:rsidP="00217ACC">
      <w:pPr>
        <w:autoSpaceDE w:val="0"/>
        <w:autoSpaceDN w:val="0"/>
        <w:adjustRightInd w:val="0"/>
        <w:spacing w:before="120" w:after="120"/>
        <w:jc w:val="both"/>
        <w:rPr>
          <w:rFonts w:cs="Arial"/>
          <w:sz w:val="28"/>
          <w:szCs w:val="28"/>
          <w:lang w:eastAsia="cs-CZ"/>
        </w:rPr>
      </w:pPr>
      <w:r w:rsidRPr="008D65BE">
        <w:rPr>
          <w:rFonts w:cs="Arial"/>
          <w:b/>
          <w:bCs/>
          <w:sz w:val="28"/>
          <w:szCs w:val="28"/>
          <w:lang w:eastAsia="cs-CZ"/>
        </w:rPr>
        <w:t xml:space="preserve">Závěr </w:t>
      </w:r>
    </w:p>
    <w:p w14:paraId="4D0FC26B" w14:textId="3AF09417" w:rsidR="00DA16E0" w:rsidRDefault="000D0F86" w:rsidP="00217ACC">
      <w:pPr>
        <w:spacing w:before="120" w:after="120"/>
        <w:jc w:val="both"/>
      </w:pPr>
      <w:r w:rsidRPr="008D65BE">
        <w:rPr>
          <w:rFonts w:cs="Arial"/>
          <w:lang w:eastAsia="cs-CZ"/>
        </w:rPr>
        <w:t>Výroční zpráva byla pro</w:t>
      </w:r>
      <w:r w:rsidR="00217ACC" w:rsidRPr="008D65BE">
        <w:rPr>
          <w:rFonts w:cs="Arial"/>
          <w:lang w:eastAsia="cs-CZ"/>
        </w:rPr>
        <w:t>jednána</w:t>
      </w:r>
      <w:r w:rsidR="00B56016">
        <w:rPr>
          <w:rFonts w:cs="Arial"/>
          <w:lang w:eastAsia="cs-CZ"/>
        </w:rPr>
        <w:t xml:space="preserve"> </w:t>
      </w:r>
      <w:r w:rsidR="0008227B">
        <w:rPr>
          <w:rFonts w:cs="Arial"/>
          <w:lang w:eastAsia="cs-CZ"/>
        </w:rPr>
        <w:t>a </w:t>
      </w:r>
      <w:r w:rsidR="00B56016">
        <w:rPr>
          <w:rFonts w:cs="Arial"/>
          <w:lang w:eastAsia="cs-CZ"/>
        </w:rPr>
        <w:t>schválena</w:t>
      </w:r>
      <w:r w:rsidR="00217ACC" w:rsidRPr="008D65BE">
        <w:rPr>
          <w:rFonts w:cs="Arial"/>
          <w:lang w:eastAsia="cs-CZ"/>
        </w:rPr>
        <w:t xml:space="preserve"> </w:t>
      </w:r>
      <w:r w:rsidRPr="008D65BE">
        <w:rPr>
          <w:rFonts w:cs="Arial"/>
          <w:lang w:eastAsia="cs-CZ"/>
        </w:rPr>
        <w:t xml:space="preserve">Monitorovacím výborem dne </w:t>
      </w:r>
      <w:r w:rsidR="008E00BA" w:rsidRPr="008E00BA">
        <w:rPr>
          <w:rFonts w:cs="Arial"/>
          <w:lang w:eastAsia="cs-CZ"/>
        </w:rPr>
        <w:t>28</w:t>
      </w:r>
      <w:r w:rsidR="00EC75B5" w:rsidRPr="008E00BA">
        <w:rPr>
          <w:rFonts w:cs="Arial"/>
          <w:lang w:eastAsia="cs-CZ"/>
        </w:rPr>
        <w:t xml:space="preserve">. </w:t>
      </w:r>
      <w:r w:rsidR="008E00BA" w:rsidRPr="008E00BA">
        <w:rPr>
          <w:rFonts w:cs="Arial"/>
          <w:lang w:eastAsia="cs-CZ"/>
        </w:rPr>
        <w:t>května</w:t>
      </w:r>
      <w:r w:rsidR="002F6087" w:rsidRPr="008E00BA">
        <w:rPr>
          <w:rFonts w:cs="Arial"/>
          <w:lang w:eastAsia="cs-CZ"/>
        </w:rPr>
        <w:t xml:space="preserve"> 20</w:t>
      </w:r>
      <w:r w:rsidR="003F46BC" w:rsidRPr="008E00BA">
        <w:rPr>
          <w:rFonts w:cs="Arial"/>
          <w:lang w:eastAsia="cs-CZ"/>
        </w:rPr>
        <w:t>2</w:t>
      </w:r>
      <w:r w:rsidR="008E00BA" w:rsidRPr="008E00BA">
        <w:rPr>
          <w:rFonts w:cs="Arial"/>
          <w:lang w:eastAsia="cs-CZ"/>
        </w:rPr>
        <w:t>4</w:t>
      </w:r>
      <w:r w:rsidR="002F6087" w:rsidRPr="002F6087">
        <w:rPr>
          <w:rFonts w:cs="Arial"/>
          <w:lang w:eastAsia="cs-CZ"/>
        </w:rPr>
        <w:t xml:space="preserve"> </w:t>
      </w:r>
      <w:r w:rsidR="00433AAD">
        <w:rPr>
          <w:rFonts w:cs="Arial"/>
          <w:lang w:eastAsia="cs-CZ"/>
        </w:rPr>
        <w:t>a </w:t>
      </w:r>
      <w:r w:rsidRPr="002F6087">
        <w:rPr>
          <w:rFonts w:cs="Arial"/>
          <w:lang w:eastAsia="cs-CZ"/>
        </w:rPr>
        <w:t>následně</w:t>
      </w:r>
      <w:r w:rsidRPr="008D65BE">
        <w:rPr>
          <w:rFonts w:cs="Arial"/>
          <w:lang w:eastAsia="cs-CZ"/>
        </w:rPr>
        <w:t xml:space="preserve"> dne </w:t>
      </w:r>
      <w:r w:rsidR="00217ACC" w:rsidRPr="00ED50B6">
        <w:rPr>
          <w:rFonts w:cs="Arial"/>
          <w:highlight w:val="yellow"/>
          <w:lang w:eastAsia="cs-CZ"/>
        </w:rPr>
        <w:t>XX XXX</w:t>
      </w:r>
      <w:r w:rsidR="00217ACC" w:rsidRPr="005A172E">
        <w:rPr>
          <w:rFonts w:cs="Arial"/>
          <w:lang w:eastAsia="cs-CZ"/>
        </w:rPr>
        <w:t xml:space="preserve"> </w:t>
      </w:r>
      <w:r w:rsidRPr="005A172E">
        <w:rPr>
          <w:rFonts w:cs="Arial"/>
          <w:lang w:eastAsia="cs-CZ"/>
        </w:rPr>
        <w:t>byla schválena Evropskou komisí.</w:t>
      </w:r>
    </w:p>
    <w:sectPr w:rsidR="00DA16E0" w:rsidSect="008E64A3">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4A057" w14:textId="77777777" w:rsidR="00C46FFE" w:rsidRDefault="00C46FFE" w:rsidP="006D4121">
      <w:r>
        <w:separator/>
      </w:r>
    </w:p>
  </w:endnote>
  <w:endnote w:type="continuationSeparator" w:id="0">
    <w:p w14:paraId="7FD77864" w14:textId="77777777" w:rsidR="00C46FFE" w:rsidRDefault="00C46FFE" w:rsidP="006D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D3896" w14:textId="77777777" w:rsidR="0008227B" w:rsidRDefault="000822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4BD7" w14:textId="77777777" w:rsidR="0008227B" w:rsidRDefault="0008227B">
    <w:pPr>
      <w:pStyle w:val="Zpat"/>
      <w:jc w:val="center"/>
    </w:pPr>
    <w:r>
      <w:fldChar w:fldCharType="begin"/>
    </w:r>
    <w:r>
      <w:instrText>PAGE   \* MERGEFORMAT</w:instrText>
    </w:r>
    <w:r>
      <w:fldChar w:fldCharType="separate"/>
    </w:r>
    <w:r w:rsidR="00F93DD9">
      <w:rPr>
        <w:noProof/>
      </w:rPr>
      <w:t>5</w:t>
    </w:r>
    <w:r>
      <w:fldChar w:fldCharType="end"/>
    </w:r>
  </w:p>
  <w:p w14:paraId="608179B4" w14:textId="77777777" w:rsidR="0008227B" w:rsidRDefault="0008227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EBB34" w14:textId="77777777" w:rsidR="0008227B" w:rsidRDefault="000822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8035" w14:textId="77777777" w:rsidR="00C46FFE" w:rsidRDefault="00C46FFE" w:rsidP="006D4121">
      <w:r>
        <w:separator/>
      </w:r>
    </w:p>
  </w:footnote>
  <w:footnote w:type="continuationSeparator" w:id="0">
    <w:p w14:paraId="2B83DE28" w14:textId="77777777" w:rsidR="00C46FFE" w:rsidRDefault="00C46FFE" w:rsidP="006D4121">
      <w:r>
        <w:continuationSeparator/>
      </w:r>
    </w:p>
  </w:footnote>
  <w:footnote w:id="1">
    <w:p w14:paraId="2A532EB5" w14:textId="77777777" w:rsidR="000E073A" w:rsidRPr="00AB7D12" w:rsidRDefault="000E073A" w:rsidP="000E073A">
      <w:pPr>
        <w:pStyle w:val="Textpoznpodarou"/>
      </w:pPr>
      <w:r w:rsidRPr="00B74B77">
        <w:rPr>
          <w:rStyle w:val="Znakapoznpodarou"/>
          <w:rFonts w:ascii="Arial" w:hAnsi="Arial" w:cs="Arial"/>
        </w:rPr>
        <w:footnoteRef/>
      </w:r>
      <w:r>
        <w:t xml:space="preserve"> </w:t>
      </w:r>
      <w:r w:rsidRPr="003024F8">
        <w:rPr>
          <w:rFonts w:ascii="Arial" w:hAnsi="Arial" w:cs="Arial"/>
          <w:sz w:val="18"/>
          <w:szCs w:val="18"/>
        </w:rPr>
        <w:t>K přepočtu finančních údajů</w:t>
      </w:r>
      <w:r>
        <w:rPr>
          <w:rFonts w:ascii="Arial" w:hAnsi="Arial" w:cs="Arial"/>
          <w:sz w:val="18"/>
          <w:szCs w:val="18"/>
        </w:rPr>
        <w:t xml:space="preserve"> (vyjma certifikovaných, resp. refundovaných zdrojů)</w:t>
      </w:r>
      <w:r w:rsidRPr="003024F8">
        <w:rPr>
          <w:rFonts w:ascii="Arial" w:hAnsi="Arial" w:cs="Arial"/>
          <w:sz w:val="18"/>
          <w:szCs w:val="18"/>
        </w:rPr>
        <w:t xml:space="preserve"> uvedených v</w:t>
      </w:r>
      <w:r>
        <w:rPr>
          <w:rFonts w:ascii="Arial" w:hAnsi="Arial" w:cs="Arial"/>
          <w:sz w:val="18"/>
          <w:szCs w:val="18"/>
        </w:rPr>
        <w:t xml:space="preserve">e </w:t>
      </w:r>
      <w:r w:rsidRPr="003024F8">
        <w:rPr>
          <w:rFonts w:ascii="Arial" w:hAnsi="Arial" w:cs="Arial"/>
          <w:sz w:val="18"/>
          <w:szCs w:val="18"/>
        </w:rPr>
        <w:t>Výroční zprávě OP Rybářství je použit kurz ECB: prosinec</w:t>
      </w:r>
      <w:r>
        <w:rPr>
          <w:rFonts w:ascii="Arial" w:hAnsi="Arial" w:cs="Arial"/>
          <w:sz w:val="18"/>
          <w:szCs w:val="18"/>
        </w:rPr>
        <w:t xml:space="preserve"> </w:t>
      </w:r>
      <w:r w:rsidRPr="003024F8">
        <w:rPr>
          <w:rFonts w:ascii="Arial" w:hAnsi="Arial" w:cs="Arial"/>
          <w:sz w:val="18"/>
          <w:szCs w:val="18"/>
        </w:rPr>
        <w:t>202</w:t>
      </w:r>
      <w:r>
        <w:rPr>
          <w:rFonts w:ascii="Arial" w:hAnsi="Arial" w:cs="Arial"/>
          <w:sz w:val="18"/>
          <w:szCs w:val="18"/>
        </w:rPr>
        <w:t>3</w:t>
      </w:r>
      <w:r w:rsidRPr="003024F8">
        <w:rPr>
          <w:rFonts w:ascii="Arial" w:hAnsi="Arial" w:cs="Arial"/>
          <w:sz w:val="18"/>
          <w:szCs w:val="18"/>
        </w:rPr>
        <w:t xml:space="preserve"> – 2</w:t>
      </w:r>
      <w:r>
        <w:rPr>
          <w:rFonts w:ascii="Arial" w:hAnsi="Arial" w:cs="Arial"/>
          <w:sz w:val="18"/>
          <w:szCs w:val="18"/>
        </w:rPr>
        <w:t>4,26</w:t>
      </w:r>
      <w:r w:rsidRPr="003024F8">
        <w:rPr>
          <w:rFonts w:ascii="Arial" w:hAnsi="Arial" w:cs="Arial"/>
          <w:sz w:val="18"/>
          <w:szCs w:val="18"/>
        </w:rPr>
        <w:t xml:space="preserve"> Kč/1€.</w:t>
      </w:r>
    </w:p>
  </w:footnote>
  <w:footnote w:id="2">
    <w:p w14:paraId="4F742518" w14:textId="66C60AD2" w:rsidR="00D46DB4" w:rsidRPr="00D46DB4" w:rsidRDefault="00D46DB4" w:rsidP="003B257A">
      <w:pPr>
        <w:pStyle w:val="Textpoznpodarou"/>
        <w:rPr>
          <w:rFonts w:ascii="Arial" w:hAnsi="Arial" w:cs="Arial"/>
          <w:sz w:val="16"/>
          <w:szCs w:val="16"/>
        </w:rPr>
      </w:pPr>
      <w:r w:rsidRPr="00D46DB4">
        <w:rPr>
          <w:rStyle w:val="Znakapoznpodarou"/>
          <w:rFonts w:ascii="Arial" w:hAnsi="Arial" w:cs="Arial"/>
          <w:sz w:val="16"/>
          <w:szCs w:val="16"/>
        </w:rPr>
        <w:footnoteRef/>
      </w:r>
      <w:r w:rsidRPr="00D46DB4">
        <w:rPr>
          <w:rFonts w:ascii="Arial" w:hAnsi="Arial" w:cs="Arial"/>
          <w:sz w:val="16"/>
          <w:szCs w:val="16"/>
        </w:rPr>
        <w:t xml:space="preserve"> K datu 30. 4. 2024 výše certifikovaných výdajů po zohlednění poslední certifikace, jejímž výsledkem bude odeslání konečné</w:t>
      </w:r>
      <w:r w:rsidR="003B257A">
        <w:rPr>
          <w:rFonts w:ascii="Arial" w:hAnsi="Arial" w:cs="Arial"/>
          <w:sz w:val="16"/>
          <w:szCs w:val="16"/>
        </w:rPr>
        <w:t xml:space="preserve"> </w:t>
      </w:r>
      <w:r w:rsidRPr="00D46DB4">
        <w:rPr>
          <w:rFonts w:ascii="Arial" w:hAnsi="Arial" w:cs="Arial"/>
          <w:sz w:val="16"/>
          <w:szCs w:val="16"/>
        </w:rPr>
        <w:t>žádosti o průběžnou platbu závěrečného účetního roku, která bude EK odeslána v červenci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6B80A" w14:textId="77777777" w:rsidR="0008227B" w:rsidRDefault="000822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08388" w14:textId="77777777" w:rsidR="0008227B" w:rsidRDefault="000822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1A947" w14:textId="77777777" w:rsidR="0008227B" w:rsidRDefault="00CB5B2A" w:rsidP="0008227B">
    <w:pPr>
      <w:pStyle w:val="Zhlav"/>
      <w:tabs>
        <w:tab w:val="clear" w:pos="9072"/>
        <w:tab w:val="right" w:pos="9073"/>
      </w:tabs>
    </w:pPr>
    <w:r w:rsidRPr="00577F7E">
      <w:rPr>
        <w:rFonts w:cs="Arial"/>
        <w:noProof/>
        <w:color w:val="808080"/>
        <w:sz w:val="18"/>
        <w:szCs w:val="18"/>
        <w:lang w:eastAsia="cs-CZ"/>
      </w:rPr>
      <w:drawing>
        <wp:inline distT="0" distB="0" distL="0" distR="0" wp14:anchorId="63EAB595" wp14:editId="3E44F291">
          <wp:extent cx="3086100" cy="1009650"/>
          <wp:effectExtent l="0" t="0" r="0" b="0"/>
          <wp:docPr id="1" name="obrázek 2"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Z_RO_B_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0" cy="1009650"/>
                  </a:xfrm>
                  <a:prstGeom prst="rect">
                    <a:avLst/>
                  </a:prstGeom>
                  <a:noFill/>
                  <a:ln>
                    <a:noFill/>
                  </a:ln>
                </pic:spPr>
              </pic:pic>
            </a:graphicData>
          </a:graphic>
        </wp:inline>
      </w:drawing>
    </w:r>
    <w:r w:rsidR="0008227B">
      <w:tab/>
    </w:r>
    <w:r w:rsidRPr="00577F7E">
      <w:rPr>
        <w:noProof/>
        <w:lang w:eastAsia="cs-CZ"/>
      </w:rPr>
      <w:drawing>
        <wp:inline distT="0" distB="0" distL="0" distR="0" wp14:anchorId="761A6B8E" wp14:editId="6E9D2058">
          <wp:extent cx="1800225" cy="1114425"/>
          <wp:effectExtent l="0" t="0" r="0" b="0"/>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9020F2"/>
    <w:multiLevelType w:val="hybridMultilevel"/>
    <w:tmpl w:val="37B8E502"/>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4023FC4"/>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17E90382"/>
    <w:multiLevelType w:val="hybridMultilevel"/>
    <w:tmpl w:val="99C6EA20"/>
    <w:lvl w:ilvl="0" w:tplc="7B946D4A">
      <w:start w:val="1"/>
      <w:numFmt w:val="lowerLetter"/>
      <w:lvlText w:val="%1)"/>
      <w:lvlJc w:val="left"/>
      <w:pPr>
        <w:ind w:left="720" w:hanging="360"/>
      </w:pPr>
      <w:rPr>
        <w:rFonts w:ascii="Arial" w:eastAsia="Calibri" w:hAnsi="Arial"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241C04B0"/>
    <w:multiLevelType w:val="hybridMultilevel"/>
    <w:tmpl w:val="E0C6BD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6944833"/>
    <w:multiLevelType w:val="hybridMultilevel"/>
    <w:tmpl w:val="3FFAC318"/>
    <w:lvl w:ilvl="0" w:tplc="8C2AA03C">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A554140"/>
    <w:multiLevelType w:val="hybridMultilevel"/>
    <w:tmpl w:val="D8582692"/>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13925BB"/>
    <w:multiLevelType w:val="hybridMultilevel"/>
    <w:tmpl w:val="3DC89C5C"/>
    <w:lvl w:ilvl="0" w:tplc="04050011">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14253DF"/>
    <w:multiLevelType w:val="multilevel"/>
    <w:tmpl w:val="EF5E870A"/>
    <w:lvl w:ilvl="0">
      <w:start w:val="1"/>
      <w:numFmt w:val="bullet"/>
      <w:lvlText w:val=""/>
      <w:lvlJc w:val="left"/>
      <w:pPr>
        <w:ind w:left="720" w:hanging="360"/>
      </w:pPr>
      <w:rPr>
        <w:rFonts w:ascii="Symbol" w:hAnsi="Symbol" w:hint="default"/>
        <w:color w:val="7F7F7F"/>
      </w:rPr>
    </w:lvl>
    <w:lvl w:ilvl="1">
      <w:start w:val="1"/>
      <w:numFmt w:val="bullet"/>
      <w:lvlText w:val="o"/>
      <w:lvlJc w:val="left"/>
      <w:pPr>
        <w:ind w:left="1440" w:hanging="360"/>
      </w:pPr>
      <w:rPr>
        <w:rFonts w:ascii="Courier New" w:hAnsi="Courier New" w:hint="default"/>
        <w:color w:val="7F7F7F"/>
      </w:rPr>
    </w:lvl>
    <w:lvl w:ilvl="2">
      <w:start w:val="1"/>
      <w:numFmt w:val="bullet"/>
      <w:lvlText w:val=""/>
      <w:lvlJc w:val="left"/>
      <w:pPr>
        <w:ind w:left="2160" w:hanging="360"/>
      </w:pPr>
      <w:rPr>
        <w:rFonts w:ascii="Symbol" w:hAnsi="Symbol" w:hint="default"/>
        <w:color w:val="7F7F7F"/>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F0712D"/>
    <w:multiLevelType w:val="hybridMultilevel"/>
    <w:tmpl w:val="589E3E58"/>
    <w:lvl w:ilvl="0" w:tplc="0405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F9709FC"/>
    <w:multiLevelType w:val="hybridMultilevel"/>
    <w:tmpl w:val="9836E6B4"/>
    <w:lvl w:ilvl="0" w:tplc="35D22404">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7270787">
    <w:abstractNumId w:val="1"/>
  </w:num>
  <w:num w:numId="2" w16cid:durableId="314729100">
    <w:abstractNumId w:val="0"/>
  </w:num>
  <w:num w:numId="3" w16cid:durableId="806894233">
    <w:abstractNumId w:val="3"/>
  </w:num>
  <w:num w:numId="4" w16cid:durableId="1205017519">
    <w:abstractNumId w:val="7"/>
  </w:num>
  <w:num w:numId="5" w16cid:durableId="110050814">
    <w:abstractNumId w:val="6"/>
  </w:num>
  <w:num w:numId="6" w16cid:durableId="895238977">
    <w:abstractNumId w:val="5"/>
  </w:num>
  <w:num w:numId="7" w16cid:durableId="244849127">
    <w:abstractNumId w:val="9"/>
  </w:num>
  <w:num w:numId="8" w16cid:durableId="1386835325">
    <w:abstractNumId w:val="4"/>
  </w:num>
  <w:num w:numId="9" w16cid:durableId="634676275">
    <w:abstractNumId w:val="2"/>
  </w:num>
  <w:num w:numId="10" w16cid:durableId="121004239">
    <w:abstractNumId w:val="2"/>
  </w:num>
  <w:num w:numId="11" w16cid:durableId="84798465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C12B63"/>
    <w:rsid w:val="000004B8"/>
    <w:rsid w:val="000026DE"/>
    <w:rsid w:val="00002A61"/>
    <w:rsid w:val="000040DC"/>
    <w:rsid w:val="000074DC"/>
    <w:rsid w:val="00012672"/>
    <w:rsid w:val="0001741C"/>
    <w:rsid w:val="0002023D"/>
    <w:rsid w:val="0002096C"/>
    <w:rsid w:val="00023547"/>
    <w:rsid w:val="00023720"/>
    <w:rsid w:val="00023C4C"/>
    <w:rsid w:val="00023E97"/>
    <w:rsid w:val="000242C5"/>
    <w:rsid w:val="00025207"/>
    <w:rsid w:val="0002657F"/>
    <w:rsid w:val="00027AB2"/>
    <w:rsid w:val="000314B9"/>
    <w:rsid w:val="000332C7"/>
    <w:rsid w:val="00036C56"/>
    <w:rsid w:val="000379BD"/>
    <w:rsid w:val="0004003C"/>
    <w:rsid w:val="000422DA"/>
    <w:rsid w:val="000441C9"/>
    <w:rsid w:val="000443E9"/>
    <w:rsid w:val="00046598"/>
    <w:rsid w:val="00051508"/>
    <w:rsid w:val="00052727"/>
    <w:rsid w:val="00057FCF"/>
    <w:rsid w:val="00060170"/>
    <w:rsid w:val="00061287"/>
    <w:rsid w:val="00062067"/>
    <w:rsid w:val="00062922"/>
    <w:rsid w:val="00067216"/>
    <w:rsid w:val="00070D29"/>
    <w:rsid w:val="00072C04"/>
    <w:rsid w:val="000742CD"/>
    <w:rsid w:val="00075395"/>
    <w:rsid w:val="00077051"/>
    <w:rsid w:val="00077424"/>
    <w:rsid w:val="00077BBD"/>
    <w:rsid w:val="0008227B"/>
    <w:rsid w:val="00083EF5"/>
    <w:rsid w:val="00084840"/>
    <w:rsid w:val="00084899"/>
    <w:rsid w:val="00085728"/>
    <w:rsid w:val="000939F6"/>
    <w:rsid w:val="00094967"/>
    <w:rsid w:val="000955E7"/>
    <w:rsid w:val="00096A4F"/>
    <w:rsid w:val="00096EA9"/>
    <w:rsid w:val="00097A8E"/>
    <w:rsid w:val="000A2434"/>
    <w:rsid w:val="000A295A"/>
    <w:rsid w:val="000A51C8"/>
    <w:rsid w:val="000A5D73"/>
    <w:rsid w:val="000B0EEC"/>
    <w:rsid w:val="000B2174"/>
    <w:rsid w:val="000B42DB"/>
    <w:rsid w:val="000B764A"/>
    <w:rsid w:val="000C09DD"/>
    <w:rsid w:val="000C1691"/>
    <w:rsid w:val="000C25CF"/>
    <w:rsid w:val="000C26B9"/>
    <w:rsid w:val="000C3B2C"/>
    <w:rsid w:val="000C48F2"/>
    <w:rsid w:val="000D0E47"/>
    <w:rsid w:val="000D0F86"/>
    <w:rsid w:val="000D1C70"/>
    <w:rsid w:val="000D3090"/>
    <w:rsid w:val="000D5B36"/>
    <w:rsid w:val="000D7A28"/>
    <w:rsid w:val="000E073A"/>
    <w:rsid w:val="000E213C"/>
    <w:rsid w:val="000E28BA"/>
    <w:rsid w:val="000E36C3"/>
    <w:rsid w:val="000E3DD3"/>
    <w:rsid w:val="000E4FBA"/>
    <w:rsid w:val="000E5365"/>
    <w:rsid w:val="000E5FED"/>
    <w:rsid w:val="000E697F"/>
    <w:rsid w:val="000E6A49"/>
    <w:rsid w:val="000F04B8"/>
    <w:rsid w:val="000F1FA2"/>
    <w:rsid w:val="000F4283"/>
    <w:rsid w:val="000F6AF1"/>
    <w:rsid w:val="000F715B"/>
    <w:rsid w:val="000F7828"/>
    <w:rsid w:val="00103814"/>
    <w:rsid w:val="001043C6"/>
    <w:rsid w:val="00104EEE"/>
    <w:rsid w:val="00105A2D"/>
    <w:rsid w:val="001072AC"/>
    <w:rsid w:val="001115BC"/>
    <w:rsid w:val="00115AB8"/>
    <w:rsid w:val="001233B2"/>
    <w:rsid w:val="00130E9A"/>
    <w:rsid w:val="001314D6"/>
    <w:rsid w:val="00131BF4"/>
    <w:rsid w:val="001330D4"/>
    <w:rsid w:val="001349C0"/>
    <w:rsid w:val="00136174"/>
    <w:rsid w:val="00136AF2"/>
    <w:rsid w:val="00136E26"/>
    <w:rsid w:val="001376AC"/>
    <w:rsid w:val="001416E3"/>
    <w:rsid w:val="001430A5"/>
    <w:rsid w:val="00145F97"/>
    <w:rsid w:val="00150DBA"/>
    <w:rsid w:val="00151673"/>
    <w:rsid w:val="001522BD"/>
    <w:rsid w:val="0015255D"/>
    <w:rsid w:val="001544A7"/>
    <w:rsid w:val="00156050"/>
    <w:rsid w:val="00156893"/>
    <w:rsid w:val="0016006B"/>
    <w:rsid w:val="0016009C"/>
    <w:rsid w:val="00160494"/>
    <w:rsid w:val="00160729"/>
    <w:rsid w:val="00164248"/>
    <w:rsid w:val="00165F52"/>
    <w:rsid w:val="001667B5"/>
    <w:rsid w:val="00167B8C"/>
    <w:rsid w:val="0017027C"/>
    <w:rsid w:val="00172E10"/>
    <w:rsid w:val="00175625"/>
    <w:rsid w:val="001811C7"/>
    <w:rsid w:val="00181D4B"/>
    <w:rsid w:val="0018278D"/>
    <w:rsid w:val="001837A4"/>
    <w:rsid w:val="00185459"/>
    <w:rsid w:val="0019292F"/>
    <w:rsid w:val="001A085D"/>
    <w:rsid w:val="001A282C"/>
    <w:rsid w:val="001A6A8D"/>
    <w:rsid w:val="001A6D06"/>
    <w:rsid w:val="001A6D7C"/>
    <w:rsid w:val="001B019A"/>
    <w:rsid w:val="001B049B"/>
    <w:rsid w:val="001B1363"/>
    <w:rsid w:val="001B1F45"/>
    <w:rsid w:val="001B4254"/>
    <w:rsid w:val="001B4C17"/>
    <w:rsid w:val="001B4CFA"/>
    <w:rsid w:val="001B503E"/>
    <w:rsid w:val="001B5A35"/>
    <w:rsid w:val="001B63BE"/>
    <w:rsid w:val="001B73E5"/>
    <w:rsid w:val="001C7AE0"/>
    <w:rsid w:val="001D2E21"/>
    <w:rsid w:val="001D36B6"/>
    <w:rsid w:val="001E042C"/>
    <w:rsid w:val="001E1013"/>
    <w:rsid w:val="001E269D"/>
    <w:rsid w:val="001E527E"/>
    <w:rsid w:val="001E58F9"/>
    <w:rsid w:val="001E6315"/>
    <w:rsid w:val="001E7351"/>
    <w:rsid w:val="001F12DC"/>
    <w:rsid w:val="001F5065"/>
    <w:rsid w:val="001F7396"/>
    <w:rsid w:val="00201AA9"/>
    <w:rsid w:val="00203FEA"/>
    <w:rsid w:val="00205568"/>
    <w:rsid w:val="0020634F"/>
    <w:rsid w:val="002067FC"/>
    <w:rsid w:val="00210680"/>
    <w:rsid w:val="00210F5E"/>
    <w:rsid w:val="0021747B"/>
    <w:rsid w:val="00217ACC"/>
    <w:rsid w:val="00222212"/>
    <w:rsid w:val="0022260F"/>
    <w:rsid w:val="00225330"/>
    <w:rsid w:val="002277C3"/>
    <w:rsid w:val="00230DAD"/>
    <w:rsid w:val="00231EB8"/>
    <w:rsid w:val="002325FD"/>
    <w:rsid w:val="00232A05"/>
    <w:rsid w:val="00235406"/>
    <w:rsid w:val="002365DA"/>
    <w:rsid w:val="0023666F"/>
    <w:rsid w:val="00236CC5"/>
    <w:rsid w:val="0023740C"/>
    <w:rsid w:val="00241603"/>
    <w:rsid w:val="002418B0"/>
    <w:rsid w:val="002462F6"/>
    <w:rsid w:val="002476A7"/>
    <w:rsid w:val="00270B08"/>
    <w:rsid w:val="00272565"/>
    <w:rsid w:val="002733EE"/>
    <w:rsid w:val="00282A88"/>
    <w:rsid w:val="0028632D"/>
    <w:rsid w:val="00292646"/>
    <w:rsid w:val="00292B3C"/>
    <w:rsid w:val="002A0199"/>
    <w:rsid w:val="002A409B"/>
    <w:rsid w:val="002A5CC1"/>
    <w:rsid w:val="002A6C3A"/>
    <w:rsid w:val="002B1D4D"/>
    <w:rsid w:val="002B3555"/>
    <w:rsid w:val="002B455C"/>
    <w:rsid w:val="002C07C4"/>
    <w:rsid w:val="002C147C"/>
    <w:rsid w:val="002C1E2A"/>
    <w:rsid w:val="002C24A1"/>
    <w:rsid w:val="002C450B"/>
    <w:rsid w:val="002C54D5"/>
    <w:rsid w:val="002D0FDC"/>
    <w:rsid w:val="002D32BD"/>
    <w:rsid w:val="002D45E3"/>
    <w:rsid w:val="002D6EA8"/>
    <w:rsid w:val="002E1C69"/>
    <w:rsid w:val="002E2CC0"/>
    <w:rsid w:val="002E497F"/>
    <w:rsid w:val="002E4CAC"/>
    <w:rsid w:val="002E50DE"/>
    <w:rsid w:val="002E6B84"/>
    <w:rsid w:val="002E7EC6"/>
    <w:rsid w:val="002F6087"/>
    <w:rsid w:val="002F72CA"/>
    <w:rsid w:val="002F79A0"/>
    <w:rsid w:val="002F7DC3"/>
    <w:rsid w:val="002F7E62"/>
    <w:rsid w:val="00301268"/>
    <w:rsid w:val="00302DB8"/>
    <w:rsid w:val="00302FE6"/>
    <w:rsid w:val="00303258"/>
    <w:rsid w:val="00303541"/>
    <w:rsid w:val="00304667"/>
    <w:rsid w:val="00304B7B"/>
    <w:rsid w:val="003061B8"/>
    <w:rsid w:val="00310758"/>
    <w:rsid w:val="00313EB0"/>
    <w:rsid w:val="00314EFD"/>
    <w:rsid w:val="003155A9"/>
    <w:rsid w:val="00315D9E"/>
    <w:rsid w:val="003230FA"/>
    <w:rsid w:val="0032514F"/>
    <w:rsid w:val="00327877"/>
    <w:rsid w:val="003323E8"/>
    <w:rsid w:val="00334612"/>
    <w:rsid w:val="00334FE8"/>
    <w:rsid w:val="00340BD4"/>
    <w:rsid w:val="00341070"/>
    <w:rsid w:val="003418D6"/>
    <w:rsid w:val="00342FF9"/>
    <w:rsid w:val="00344E35"/>
    <w:rsid w:val="00350A1F"/>
    <w:rsid w:val="0035247D"/>
    <w:rsid w:val="00352AD6"/>
    <w:rsid w:val="00353BA8"/>
    <w:rsid w:val="00353E52"/>
    <w:rsid w:val="0035620A"/>
    <w:rsid w:val="00361080"/>
    <w:rsid w:val="0036220F"/>
    <w:rsid w:val="00362B0D"/>
    <w:rsid w:val="00363E07"/>
    <w:rsid w:val="00374886"/>
    <w:rsid w:val="0037586C"/>
    <w:rsid w:val="003766DA"/>
    <w:rsid w:val="0038193C"/>
    <w:rsid w:val="00382486"/>
    <w:rsid w:val="00382C8E"/>
    <w:rsid w:val="00385AB6"/>
    <w:rsid w:val="003905D5"/>
    <w:rsid w:val="0039079F"/>
    <w:rsid w:val="00393092"/>
    <w:rsid w:val="00393AD7"/>
    <w:rsid w:val="003940C4"/>
    <w:rsid w:val="00395C65"/>
    <w:rsid w:val="00397C5A"/>
    <w:rsid w:val="003A05E5"/>
    <w:rsid w:val="003A05E9"/>
    <w:rsid w:val="003A237D"/>
    <w:rsid w:val="003A2EB2"/>
    <w:rsid w:val="003A30A4"/>
    <w:rsid w:val="003A51E2"/>
    <w:rsid w:val="003A79DF"/>
    <w:rsid w:val="003B257A"/>
    <w:rsid w:val="003B2BEE"/>
    <w:rsid w:val="003B3E18"/>
    <w:rsid w:val="003B5AE9"/>
    <w:rsid w:val="003B5C2E"/>
    <w:rsid w:val="003C103A"/>
    <w:rsid w:val="003C5C51"/>
    <w:rsid w:val="003C6224"/>
    <w:rsid w:val="003C7EA0"/>
    <w:rsid w:val="003C7ED5"/>
    <w:rsid w:val="003D05EC"/>
    <w:rsid w:val="003D1AB7"/>
    <w:rsid w:val="003D1FE2"/>
    <w:rsid w:val="003D5414"/>
    <w:rsid w:val="003E3090"/>
    <w:rsid w:val="003F0035"/>
    <w:rsid w:val="003F2B02"/>
    <w:rsid w:val="003F4282"/>
    <w:rsid w:val="003F46BC"/>
    <w:rsid w:val="003F5D79"/>
    <w:rsid w:val="003F6156"/>
    <w:rsid w:val="00401977"/>
    <w:rsid w:val="00401FF9"/>
    <w:rsid w:val="00403AEA"/>
    <w:rsid w:val="00405AD5"/>
    <w:rsid w:val="004071B3"/>
    <w:rsid w:val="00411DFF"/>
    <w:rsid w:val="004138AA"/>
    <w:rsid w:val="00414DAD"/>
    <w:rsid w:val="0041654B"/>
    <w:rsid w:val="0041776C"/>
    <w:rsid w:val="0042104F"/>
    <w:rsid w:val="0042498B"/>
    <w:rsid w:val="00431DB8"/>
    <w:rsid w:val="00432C37"/>
    <w:rsid w:val="00433AAD"/>
    <w:rsid w:val="004416AD"/>
    <w:rsid w:val="0044205B"/>
    <w:rsid w:val="00442207"/>
    <w:rsid w:val="00442EEA"/>
    <w:rsid w:val="004442CE"/>
    <w:rsid w:val="00444B5C"/>
    <w:rsid w:val="004469F2"/>
    <w:rsid w:val="00447290"/>
    <w:rsid w:val="004515D6"/>
    <w:rsid w:val="0045194C"/>
    <w:rsid w:val="00457556"/>
    <w:rsid w:val="00466BB2"/>
    <w:rsid w:val="00467166"/>
    <w:rsid w:val="00467209"/>
    <w:rsid w:val="00467EAD"/>
    <w:rsid w:val="00470CE6"/>
    <w:rsid w:val="004723B5"/>
    <w:rsid w:val="004764AE"/>
    <w:rsid w:val="00477719"/>
    <w:rsid w:val="00477B4E"/>
    <w:rsid w:val="004824BC"/>
    <w:rsid w:val="00485369"/>
    <w:rsid w:val="00490FAE"/>
    <w:rsid w:val="004910D6"/>
    <w:rsid w:val="00491ED7"/>
    <w:rsid w:val="004940F9"/>
    <w:rsid w:val="0049563A"/>
    <w:rsid w:val="00496E1B"/>
    <w:rsid w:val="004978DD"/>
    <w:rsid w:val="004978ED"/>
    <w:rsid w:val="004A011E"/>
    <w:rsid w:val="004A13CD"/>
    <w:rsid w:val="004A1472"/>
    <w:rsid w:val="004A6006"/>
    <w:rsid w:val="004A74F5"/>
    <w:rsid w:val="004A7D92"/>
    <w:rsid w:val="004B194C"/>
    <w:rsid w:val="004B3C3D"/>
    <w:rsid w:val="004B3C97"/>
    <w:rsid w:val="004B5B51"/>
    <w:rsid w:val="004B64E4"/>
    <w:rsid w:val="004B7200"/>
    <w:rsid w:val="004C0245"/>
    <w:rsid w:val="004C3499"/>
    <w:rsid w:val="004C4897"/>
    <w:rsid w:val="004C4A30"/>
    <w:rsid w:val="004C63C7"/>
    <w:rsid w:val="004D0D29"/>
    <w:rsid w:val="004D17E1"/>
    <w:rsid w:val="004D5B35"/>
    <w:rsid w:val="004E164D"/>
    <w:rsid w:val="004E4093"/>
    <w:rsid w:val="004E4BFE"/>
    <w:rsid w:val="004F354C"/>
    <w:rsid w:val="004F7A25"/>
    <w:rsid w:val="004F7E17"/>
    <w:rsid w:val="00505049"/>
    <w:rsid w:val="00507657"/>
    <w:rsid w:val="00511F9D"/>
    <w:rsid w:val="00513F71"/>
    <w:rsid w:val="0051455B"/>
    <w:rsid w:val="0051698A"/>
    <w:rsid w:val="00516EE7"/>
    <w:rsid w:val="00521B96"/>
    <w:rsid w:val="005230A3"/>
    <w:rsid w:val="005247E9"/>
    <w:rsid w:val="005250BA"/>
    <w:rsid w:val="0052664A"/>
    <w:rsid w:val="005300E4"/>
    <w:rsid w:val="005304D7"/>
    <w:rsid w:val="005363AE"/>
    <w:rsid w:val="0053677E"/>
    <w:rsid w:val="005371A7"/>
    <w:rsid w:val="0053766E"/>
    <w:rsid w:val="0054104B"/>
    <w:rsid w:val="00543928"/>
    <w:rsid w:val="00543BD6"/>
    <w:rsid w:val="00544C92"/>
    <w:rsid w:val="005476B7"/>
    <w:rsid w:val="005477CC"/>
    <w:rsid w:val="00550670"/>
    <w:rsid w:val="00550D8B"/>
    <w:rsid w:val="00552A2E"/>
    <w:rsid w:val="00552E8D"/>
    <w:rsid w:val="0055306E"/>
    <w:rsid w:val="00553142"/>
    <w:rsid w:val="00554FDA"/>
    <w:rsid w:val="0056016D"/>
    <w:rsid w:val="0056088F"/>
    <w:rsid w:val="00561097"/>
    <w:rsid w:val="005618EE"/>
    <w:rsid w:val="00564AE9"/>
    <w:rsid w:val="00565759"/>
    <w:rsid w:val="005663BF"/>
    <w:rsid w:val="00570BC8"/>
    <w:rsid w:val="00572164"/>
    <w:rsid w:val="00574B4D"/>
    <w:rsid w:val="005757A0"/>
    <w:rsid w:val="00575802"/>
    <w:rsid w:val="00576276"/>
    <w:rsid w:val="00577F7E"/>
    <w:rsid w:val="00584CE4"/>
    <w:rsid w:val="00585DF2"/>
    <w:rsid w:val="005878E8"/>
    <w:rsid w:val="00591F89"/>
    <w:rsid w:val="00592A70"/>
    <w:rsid w:val="005938AE"/>
    <w:rsid w:val="005954F6"/>
    <w:rsid w:val="00596948"/>
    <w:rsid w:val="00597C76"/>
    <w:rsid w:val="005A0552"/>
    <w:rsid w:val="005A172E"/>
    <w:rsid w:val="005A34D8"/>
    <w:rsid w:val="005A4844"/>
    <w:rsid w:val="005A4DBF"/>
    <w:rsid w:val="005A5C8F"/>
    <w:rsid w:val="005A70D5"/>
    <w:rsid w:val="005A7D81"/>
    <w:rsid w:val="005B1AB2"/>
    <w:rsid w:val="005B1E29"/>
    <w:rsid w:val="005B59A3"/>
    <w:rsid w:val="005B623D"/>
    <w:rsid w:val="005B7D02"/>
    <w:rsid w:val="005C11F1"/>
    <w:rsid w:val="005C2A02"/>
    <w:rsid w:val="005C4280"/>
    <w:rsid w:val="005C4360"/>
    <w:rsid w:val="005C6071"/>
    <w:rsid w:val="005C66D7"/>
    <w:rsid w:val="005C68FA"/>
    <w:rsid w:val="005D1088"/>
    <w:rsid w:val="005D2277"/>
    <w:rsid w:val="005D4BEA"/>
    <w:rsid w:val="005D6A9C"/>
    <w:rsid w:val="005D6CF7"/>
    <w:rsid w:val="005E030E"/>
    <w:rsid w:val="005E29EE"/>
    <w:rsid w:val="005E5B29"/>
    <w:rsid w:val="005E5BD9"/>
    <w:rsid w:val="005E6B2C"/>
    <w:rsid w:val="005E6FDA"/>
    <w:rsid w:val="005F0D0D"/>
    <w:rsid w:val="005F20F9"/>
    <w:rsid w:val="005F45B4"/>
    <w:rsid w:val="005F463E"/>
    <w:rsid w:val="005F51CC"/>
    <w:rsid w:val="00600CEF"/>
    <w:rsid w:val="006016E3"/>
    <w:rsid w:val="006046A2"/>
    <w:rsid w:val="00610E2D"/>
    <w:rsid w:val="006145BC"/>
    <w:rsid w:val="00614BCE"/>
    <w:rsid w:val="00617A3F"/>
    <w:rsid w:val="0062284E"/>
    <w:rsid w:val="006236E1"/>
    <w:rsid w:val="00623A2C"/>
    <w:rsid w:val="00623B11"/>
    <w:rsid w:val="006240B0"/>
    <w:rsid w:val="00624E8E"/>
    <w:rsid w:val="00624F5E"/>
    <w:rsid w:val="00625391"/>
    <w:rsid w:val="006263A3"/>
    <w:rsid w:val="00631D49"/>
    <w:rsid w:val="00632EA2"/>
    <w:rsid w:val="00637AF8"/>
    <w:rsid w:val="00642213"/>
    <w:rsid w:val="0064551C"/>
    <w:rsid w:val="0064565F"/>
    <w:rsid w:val="00646274"/>
    <w:rsid w:val="006466E1"/>
    <w:rsid w:val="00646976"/>
    <w:rsid w:val="00647AAD"/>
    <w:rsid w:val="00650A11"/>
    <w:rsid w:val="00654CE2"/>
    <w:rsid w:val="006554CB"/>
    <w:rsid w:val="00656374"/>
    <w:rsid w:val="00656ECA"/>
    <w:rsid w:val="00657752"/>
    <w:rsid w:val="00657BBD"/>
    <w:rsid w:val="0066297E"/>
    <w:rsid w:val="0066377C"/>
    <w:rsid w:val="006660E8"/>
    <w:rsid w:val="00671E2B"/>
    <w:rsid w:val="006737D1"/>
    <w:rsid w:val="006746FD"/>
    <w:rsid w:val="00677F25"/>
    <w:rsid w:val="00680D48"/>
    <w:rsid w:val="00682D46"/>
    <w:rsid w:val="00682F0B"/>
    <w:rsid w:val="006833AB"/>
    <w:rsid w:val="006870B6"/>
    <w:rsid w:val="006909A3"/>
    <w:rsid w:val="006928C1"/>
    <w:rsid w:val="006A042B"/>
    <w:rsid w:val="006A129D"/>
    <w:rsid w:val="006A3AA9"/>
    <w:rsid w:val="006A3AC4"/>
    <w:rsid w:val="006A3E18"/>
    <w:rsid w:val="006A3FE9"/>
    <w:rsid w:val="006A4E10"/>
    <w:rsid w:val="006A71AF"/>
    <w:rsid w:val="006A7A0A"/>
    <w:rsid w:val="006A7D8D"/>
    <w:rsid w:val="006A7F58"/>
    <w:rsid w:val="006B02CF"/>
    <w:rsid w:val="006B1058"/>
    <w:rsid w:val="006B1913"/>
    <w:rsid w:val="006B2081"/>
    <w:rsid w:val="006B43F0"/>
    <w:rsid w:val="006B4D77"/>
    <w:rsid w:val="006B59FB"/>
    <w:rsid w:val="006B6744"/>
    <w:rsid w:val="006B75F3"/>
    <w:rsid w:val="006C0C50"/>
    <w:rsid w:val="006C18CE"/>
    <w:rsid w:val="006C1CA9"/>
    <w:rsid w:val="006C5773"/>
    <w:rsid w:val="006C5D44"/>
    <w:rsid w:val="006C7C95"/>
    <w:rsid w:val="006D0299"/>
    <w:rsid w:val="006D4121"/>
    <w:rsid w:val="006E033A"/>
    <w:rsid w:val="006E185F"/>
    <w:rsid w:val="006E308A"/>
    <w:rsid w:val="006E5C3F"/>
    <w:rsid w:val="006F25AA"/>
    <w:rsid w:val="006F2F2A"/>
    <w:rsid w:val="006F31BD"/>
    <w:rsid w:val="006F34E0"/>
    <w:rsid w:val="006F5193"/>
    <w:rsid w:val="006F7A6C"/>
    <w:rsid w:val="007012EC"/>
    <w:rsid w:val="00701DA5"/>
    <w:rsid w:val="0070567D"/>
    <w:rsid w:val="0070614B"/>
    <w:rsid w:val="0070775B"/>
    <w:rsid w:val="007109B0"/>
    <w:rsid w:val="00710A3F"/>
    <w:rsid w:val="00710EDA"/>
    <w:rsid w:val="00714E0B"/>
    <w:rsid w:val="00721859"/>
    <w:rsid w:val="007235F5"/>
    <w:rsid w:val="00724643"/>
    <w:rsid w:val="00725061"/>
    <w:rsid w:val="007253BE"/>
    <w:rsid w:val="007254E2"/>
    <w:rsid w:val="007256AC"/>
    <w:rsid w:val="0072575B"/>
    <w:rsid w:val="00732677"/>
    <w:rsid w:val="0073426C"/>
    <w:rsid w:val="00734A31"/>
    <w:rsid w:val="0073580D"/>
    <w:rsid w:val="00736376"/>
    <w:rsid w:val="00745674"/>
    <w:rsid w:val="007461CD"/>
    <w:rsid w:val="00750897"/>
    <w:rsid w:val="00750F03"/>
    <w:rsid w:val="00755B2E"/>
    <w:rsid w:val="00762E8A"/>
    <w:rsid w:val="00767CB7"/>
    <w:rsid w:val="007701A3"/>
    <w:rsid w:val="0077422B"/>
    <w:rsid w:val="00774CF6"/>
    <w:rsid w:val="0077651A"/>
    <w:rsid w:val="00776B3F"/>
    <w:rsid w:val="00777051"/>
    <w:rsid w:val="007815DF"/>
    <w:rsid w:val="00782850"/>
    <w:rsid w:val="0078349F"/>
    <w:rsid w:val="0078356F"/>
    <w:rsid w:val="00784026"/>
    <w:rsid w:val="00784286"/>
    <w:rsid w:val="00784623"/>
    <w:rsid w:val="00784694"/>
    <w:rsid w:val="00784CDA"/>
    <w:rsid w:val="00785395"/>
    <w:rsid w:val="00792542"/>
    <w:rsid w:val="0079410A"/>
    <w:rsid w:val="00796651"/>
    <w:rsid w:val="00796FB5"/>
    <w:rsid w:val="00797969"/>
    <w:rsid w:val="007A0CC4"/>
    <w:rsid w:val="007A2D51"/>
    <w:rsid w:val="007A2EF1"/>
    <w:rsid w:val="007A3E05"/>
    <w:rsid w:val="007A4DB3"/>
    <w:rsid w:val="007A55E4"/>
    <w:rsid w:val="007A7403"/>
    <w:rsid w:val="007B0521"/>
    <w:rsid w:val="007B0D08"/>
    <w:rsid w:val="007B1833"/>
    <w:rsid w:val="007B1863"/>
    <w:rsid w:val="007B18A6"/>
    <w:rsid w:val="007B2F69"/>
    <w:rsid w:val="007B40EC"/>
    <w:rsid w:val="007B6E04"/>
    <w:rsid w:val="007C0AD7"/>
    <w:rsid w:val="007C2377"/>
    <w:rsid w:val="007C2EAC"/>
    <w:rsid w:val="007C3059"/>
    <w:rsid w:val="007C4741"/>
    <w:rsid w:val="007C5846"/>
    <w:rsid w:val="007C640E"/>
    <w:rsid w:val="007C725C"/>
    <w:rsid w:val="007C7814"/>
    <w:rsid w:val="007D38C7"/>
    <w:rsid w:val="007D4221"/>
    <w:rsid w:val="007D5EC5"/>
    <w:rsid w:val="007D6EE2"/>
    <w:rsid w:val="007E44D1"/>
    <w:rsid w:val="007E62C1"/>
    <w:rsid w:val="007F0037"/>
    <w:rsid w:val="007F5BF4"/>
    <w:rsid w:val="00800E44"/>
    <w:rsid w:val="00801D3E"/>
    <w:rsid w:val="008034D9"/>
    <w:rsid w:val="00804A85"/>
    <w:rsid w:val="008063F6"/>
    <w:rsid w:val="00807206"/>
    <w:rsid w:val="00810A01"/>
    <w:rsid w:val="00810CB2"/>
    <w:rsid w:val="00815A38"/>
    <w:rsid w:val="0082095E"/>
    <w:rsid w:val="00821692"/>
    <w:rsid w:val="00822F3F"/>
    <w:rsid w:val="00822F42"/>
    <w:rsid w:val="00830C5F"/>
    <w:rsid w:val="00832D98"/>
    <w:rsid w:val="008332CF"/>
    <w:rsid w:val="0083332A"/>
    <w:rsid w:val="008376BE"/>
    <w:rsid w:val="00837B63"/>
    <w:rsid w:val="00837FAF"/>
    <w:rsid w:val="008441C0"/>
    <w:rsid w:val="00845F99"/>
    <w:rsid w:val="00852CF9"/>
    <w:rsid w:val="00854C4A"/>
    <w:rsid w:val="00855255"/>
    <w:rsid w:val="00857E10"/>
    <w:rsid w:val="0086455F"/>
    <w:rsid w:val="008669D7"/>
    <w:rsid w:val="00866CE2"/>
    <w:rsid w:val="0086700C"/>
    <w:rsid w:val="008715E0"/>
    <w:rsid w:val="00873595"/>
    <w:rsid w:val="00874775"/>
    <w:rsid w:val="00874DFF"/>
    <w:rsid w:val="008751D2"/>
    <w:rsid w:val="008764F3"/>
    <w:rsid w:val="00881248"/>
    <w:rsid w:val="0088157E"/>
    <w:rsid w:val="00882D07"/>
    <w:rsid w:val="00883BBD"/>
    <w:rsid w:val="00886B26"/>
    <w:rsid w:val="008939F3"/>
    <w:rsid w:val="008944D1"/>
    <w:rsid w:val="00894F8C"/>
    <w:rsid w:val="00895E73"/>
    <w:rsid w:val="00896133"/>
    <w:rsid w:val="008A0B87"/>
    <w:rsid w:val="008A28FC"/>
    <w:rsid w:val="008A2E8C"/>
    <w:rsid w:val="008B0AC8"/>
    <w:rsid w:val="008B1497"/>
    <w:rsid w:val="008B2071"/>
    <w:rsid w:val="008C0822"/>
    <w:rsid w:val="008C278C"/>
    <w:rsid w:val="008C2DB6"/>
    <w:rsid w:val="008C4332"/>
    <w:rsid w:val="008C50F0"/>
    <w:rsid w:val="008D33C6"/>
    <w:rsid w:val="008D6344"/>
    <w:rsid w:val="008D65BE"/>
    <w:rsid w:val="008E00BA"/>
    <w:rsid w:val="008E1F48"/>
    <w:rsid w:val="008E54D7"/>
    <w:rsid w:val="008E64A3"/>
    <w:rsid w:val="008F5705"/>
    <w:rsid w:val="008F688A"/>
    <w:rsid w:val="00901D63"/>
    <w:rsid w:val="00902678"/>
    <w:rsid w:val="00904E87"/>
    <w:rsid w:val="00907F7E"/>
    <w:rsid w:val="00911768"/>
    <w:rsid w:val="00913DFF"/>
    <w:rsid w:val="00916B38"/>
    <w:rsid w:val="0092169B"/>
    <w:rsid w:val="00922FA3"/>
    <w:rsid w:val="0092436B"/>
    <w:rsid w:val="0092512A"/>
    <w:rsid w:val="009253C6"/>
    <w:rsid w:val="009256DD"/>
    <w:rsid w:val="00925D84"/>
    <w:rsid w:val="00925F96"/>
    <w:rsid w:val="00926A3A"/>
    <w:rsid w:val="00927192"/>
    <w:rsid w:val="00932F99"/>
    <w:rsid w:val="00940C9B"/>
    <w:rsid w:val="009420CB"/>
    <w:rsid w:val="009441B1"/>
    <w:rsid w:val="00950A2B"/>
    <w:rsid w:val="009517D1"/>
    <w:rsid w:val="00951A28"/>
    <w:rsid w:val="00954698"/>
    <w:rsid w:val="009572BC"/>
    <w:rsid w:val="00962472"/>
    <w:rsid w:val="009642E9"/>
    <w:rsid w:val="00965CA2"/>
    <w:rsid w:val="00966ECC"/>
    <w:rsid w:val="0097383B"/>
    <w:rsid w:val="00974527"/>
    <w:rsid w:val="0097592F"/>
    <w:rsid w:val="00977C01"/>
    <w:rsid w:val="009814DC"/>
    <w:rsid w:val="009815ED"/>
    <w:rsid w:val="00983DD2"/>
    <w:rsid w:val="00985E68"/>
    <w:rsid w:val="009879D3"/>
    <w:rsid w:val="009915DE"/>
    <w:rsid w:val="00992272"/>
    <w:rsid w:val="00992F46"/>
    <w:rsid w:val="0099534A"/>
    <w:rsid w:val="009968DA"/>
    <w:rsid w:val="00997A2D"/>
    <w:rsid w:val="009A19BE"/>
    <w:rsid w:val="009A6E81"/>
    <w:rsid w:val="009B15D8"/>
    <w:rsid w:val="009B2AEA"/>
    <w:rsid w:val="009B4C07"/>
    <w:rsid w:val="009B4E0D"/>
    <w:rsid w:val="009B6705"/>
    <w:rsid w:val="009C0425"/>
    <w:rsid w:val="009C1740"/>
    <w:rsid w:val="009C1E45"/>
    <w:rsid w:val="009C2C9D"/>
    <w:rsid w:val="009C41A0"/>
    <w:rsid w:val="009C54D3"/>
    <w:rsid w:val="009C6CDE"/>
    <w:rsid w:val="009D0B7D"/>
    <w:rsid w:val="009D523A"/>
    <w:rsid w:val="009D5E4C"/>
    <w:rsid w:val="009D615F"/>
    <w:rsid w:val="009D7297"/>
    <w:rsid w:val="009E0812"/>
    <w:rsid w:val="009E45C9"/>
    <w:rsid w:val="009E5405"/>
    <w:rsid w:val="009E5C50"/>
    <w:rsid w:val="009F0FD6"/>
    <w:rsid w:val="009F1BB1"/>
    <w:rsid w:val="009F43A3"/>
    <w:rsid w:val="009F4AA8"/>
    <w:rsid w:val="009F4EAA"/>
    <w:rsid w:val="009F7168"/>
    <w:rsid w:val="009F7859"/>
    <w:rsid w:val="00A00B39"/>
    <w:rsid w:val="00A01B48"/>
    <w:rsid w:val="00A033BF"/>
    <w:rsid w:val="00A04BBC"/>
    <w:rsid w:val="00A06784"/>
    <w:rsid w:val="00A0758C"/>
    <w:rsid w:val="00A12923"/>
    <w:rsid w:val="00A149FD"/>
    <w:rsid w:val="00A15152"/>
    <w:rsid w:val="00A15C4B"/>
    <w:rsid w:val="00A16662"/>
    <w:rsid w:val="00A20930"/>
    <w:rsid w:val="00A2130A"/>
    <w:rsid w:val="00A21723"/>
    <w:rsid w:val="00A24342"/>
    <w:rsid w:val="00A248B8"/>
    <w:rsid w:val="00A2522D"/>
    <w:rsid w:val="00A30A46"/>
    <w:rsid w:val="00A31DC7"/>
    <w:rsid w:val="00A32348"/>
    <w:rsid w:val="00A324F1"/>
    <w:rsid w:val="00A32E21"/>
    <w:rsid w:val="00A33D43"/>
    <w:rsid w:val="00A34212"/>
    <w:rsid w:val="00A34262"/>
    <w:rsid w:val="00A3452E"/>
    <w:rsid w:val="00A35492"/>
    <w:rsid w:val="00A400D4"/>
    <w:rsid w:val="00A40219"/>
    <w:rsid w:val="00A453FF"/>
    <w:rsid w:val="00A5055E"/>
    <w:rsid w:val="00A51CAD"/>
    <w:rsid w:val="00A52A88"/>
    <w:rsid w:val="00A56074"/>
    <w:rsid w:val="00A61367"/>
    <w:rsid w:val="00A61C9B"/>
    <w:rsid w:val="00A72D0F"/>
    <w:rsid w:val="00A730D7"/>
    <w:rsid w:val="00A73B2F"/>
    <w:rsid w:val="00A74196"/>
    <w:rsid w:val="00A754EF"/>
    <w:rsid w:val="00A84C90"/>
    <w:rsid w:val="00A86E21"/>
    <w:rsid w:val="00A909FD"/>
    <w:rsid w:val="00A91595"/>
    <w:rsid w:val="00A91927"/>
    <w:rsid w:val="00A9483C"/>
    <w:rsid w:val="00A960F5"/>
    <w:rsid w:val="00A968B6"/>
    <w:rsid w:val="00AA3032"/>
    <w:rsid w:val="00AB02F2"/>
    <w:rsid w:val="00AB2DEA"/>
    <w:rsid w:val="00AB4ADE"/>
    <w:rsid w:val="00AB53DB"/>
    <w:rsid w:val="00AB584A"/>
    <w:rsid w:val="00AB6667"/>
    <w:rsid w:val="00AB7273"/>
    <w:rsid w:val="00AC3BB8"/>
    <w:rsid w:val="00AC5124"/>
    <w:rsid w:val="00AC5E73"/>
    <w:rsid w:val="00AD0E2B"/>
    <w:rsid w:val="00AD2495"/>
    <w:rsid w:val="00AD2A65"/>
    <w:rsid w:val="00AD6977"/>
    <w:rsid w:val="00AD72A4"/>
    <w:rsid w:val="00AE0655"/>
    <w:rsid w:val="00AE0921"/>
    <w:rsid w:val="00AE2E9C"/>
    <w:rsid w:val="00AE3C30"/>
    <w:rsid w:val="00AE41CF"/>
    <w:rsid w:val="00AF2147"/>
    <w:rsid w:val="00AF27F8"/>
    <w:rsid w:val="00AF3A23"/>
    <w:rsid w:val="00AF752B"/>
    <w:rsid w:val="00AF775D"/>
    <w:rsid w:val="00B0067E"/>
    <w:rsid w:val="00B010E5"/>
    <w:rsid w:val="00B05B81"/>
    <w:rsid w:val="00B06432"/>
    <w:rsid w:val="00B07749"/>
    <w:rsid w:val="00B0780F"/>
    <w:rsid w:val="00B10128"/>
    <w:rsid w:val="00B13350"/>
    <w:rsid w:val="00B13EF1"/>
    <w:rsid w:val="00B15364"/>
    <w:rsid w:val="00B17C64"/>
    <w:rsid w:val="00B22BE9"/>
    <w:rsid w:val="00B23B55"/>
    <w:rsid w:val="00B24382"/>
    <w:rsid w:val="00B27E33"/>
    <w:rsid w:val="00B33E61"/>
    <w:rsid w:val="00B37617"/>
    <w:rsid w:val="00B4282B"/>
    <w:rsid w:val="00B50CAC"/>
    <w:rsid w:val="00B527F4"/>
    <w:rsid w:val="00B54130"/>
    <w:rsid w:val="00B55885"/>
    <w:rsid w:val="00B56016"/>
    <w:rsid w:val="00B60975"/>
    <w:rsid w:val="00B60E0C"/>
    <w:rsid w:val="00B62A27"/>
    <w:rsid w:val="00B65128"/>
    <w:rsid w:val="00B67DC0"/>
    <w:rsid w:val="00B713F6"/>
    <w:rsid w:val="00B719B6"/>
    <w:rsid w:val="00B801BE"/>
    <w:rsid w:val="00B80D4B"/>
    <w:rsid w:val="00B81CD5"/>
    <w:rsid w:val="00B8232A"/>
    <w:rsid w:val="00B853DF"/>
    <w:rsid w:val="00B9437E"/>
    <w:rsid w:val="00B969E7"/>
    <w:rsid w:val="00BA5101"/>
    <w:rsid w:val="00BB0DF7"/>
    <w:rsid w:val="00BB13DF"/>
    <w:rsid w:val="00BB2996"/>
    <w:rsid w:val="00BB2E6C"/>
    <w:rsid w:val="00BB453F"/>
    <w:rsid w:val="00BB4AA7"/>
    <w:rsid w:val="00BB761F"/>
    <w:rsid w:val="00BC357B"/>
    <w:rsid w:val="00BC35B2"/>
    <w:rsid w:val="00BC5100"/>
    <w:rsid w:val="00BC6A47"/>
    <w:rsid w:val="00BC6C3E"/>
    <w:rsid w:val="00BD26A2"/>
    <w:rsid w:val="00BE09CE"/>
    <w:rsid w:val="00BE0BB0"/>
    <w:rsid w:val="00BE0BEE"/>
    <w:rsid w:val="00BE1DC6"/>
    <w:rsid w:val="00BE2AC1"/>
    <w:rsid w:val="00BE4547"/>
    <w:rsid w:val="00BF3E4E"/>
    <w:rsid w:val="00BF545C"/>
    <w:rsid w:val="00BF6DE2"/>
    <w:rsid w:val="00BF6FB0"/>
    <w:rsid w:val="00C018A3"/>
    <w:rsid w:val="00C027E6"/>
    <w:rsid w:val="00C03753"/>
    <w:rsid w:val="00C042BA"/>
    <w:rsid w:val="00C04C76"/>
    <w:rsid w:val="00C05ED7"/>
    <w:rsid w:val="00C101EC"/>
    <w:rsid w:val="00C10992"/>
    <w:rsid w:val="00C129ED"/>
    <w:rsid w:val="00C12B63"/>
    <w:rsid w:val="00C13608"/>
    <w:rsid w:val="00C165AB"/>
    <w:rsid w:val="00C20BF0"/>
    <w:rsid w:val="00C2171F"/>
    <w:rsid w:val="00C22820"/>
    <w:rsid w:val="00C22AD8"/>
    <w:rsid w:val="00C22BDC"/>
    <w:rsid w:val="00C235D5"/>
    <w:rsid w:val="00C27B18"/>
    <w:rsid w:val="00C320AB"/>
    <w:rsid w:val="00C3467D"/>
    <w:rsid w:val="00C356E9"/>
    <w:rsid w:val="00C36A24"/>
    <w:rsid w:val="00C3708F"/>
    <w:rsid w:val="00C44638"/>
    <w:rsid w:val="00C457CA"/>
    <w:rsid w:val="00C46DBF"/>
    <w:rsid w:val="00C46FFE"/>
    <w:rsid w:val="00C50087"/>
    <w:rsid w:val="00C511FA"/>
    <w:rsid w:val="00C52430"/>
    <w:rsid w:val="00C53D7A"/>
    <w:rsid w:val="00C5554D"/>
    <w:rsid w:val="00C602CD"/>
    <w:rsid w:val="00C607BC"/>
    <w:rsid w:val="00C632C9"/>
    <w:rsid w:val="00C70AEC"/>
    <w:rsid w:val="00C73359"/>
    <w:rsid w:val="00C74FD5"/>
    <w:rsid w:val="00C7743C"/>
    <w:rsid w:val="00C81A2B"/>
    <w:rsid w:val="00C86C01"/>
    <w:rsid w:val="00C874C5"/>
    <w:rsid w:val="00C87F47"/>
    <w:rsid w:val="00C9025D"/>
    <w:rsid w:val="00C9029E"/>
    <w:rsid w:val="00C9074B"/>
    <w:rsid w:val="00C90A8B"/>
    <w:rsid w:val="00C92C27"/>
    <w:rsid w:val="00C92C48"/>
    <w:rsid w:val="00C95369"/>
    <w:rsid w:val="00CA02BD"/>
    <w:rsid w:val="00CA0CB2"/>
    <w:rsid w:val="00CA11B2"/>
    <w:rsid w:val="00CA2205"/>
    <w:rsid w:val="00CA3007"/>
    <w:rsid w:val="00CA3702"/>
    <w:rsid w:val="00CA3779"/>
    <w:rsid w:val="00CA3AD7"/>
    <w:rsid w:val="00CA6F26"/>
    <w:rsid w:val="00CA7A21"/>
    <w:rsid w:val="00CB0799"/>
    <w:rsid w:val="00CB16C6"/>
    <w:rsid w:val="00CB172D"/>
    <w:rsid w:val="00CB1D67"/>
    <w:rsid w:val="00CB416B"/>
    <w:rsid w:val="00CB4B28"/>
    <w:rsid w:val="00CB51EE"/>
    <w:rsid w:val="00CB5B2A"/>
    <w:rsid w:val="00CB7ADE"/>
    <w:rsid w:val="00CC0005"/>
    <w:rsid w:val="00CC070B"/>
    <w:rsid w:val="00CC2106"/>
    <w:rsid w:val="00CC394B"/>
    <w:rsid w:val="00CC5536"/>
    <w:rsid w:val="00CC7AF0"/>
    <w:rsid w:val="00CC7DAC"/>
    <w:rsid w:val="00CD067E"/>
    <w:rsid w:val="00CD108B"/>
    <w:rsid w:val="00CD337C"/>
    <w:rsid w:val="00CD67F1"/>
    <w:rsid w:val="00CD6B37"/>
    <w:rsid w:val="00CD7DF4"/>
    <w:rsid w:val="00CE2234"/>
    <w:rsid w:val="00CE2914"/>
    <w:rsid w:val="00CE3AC3"/>
    <w:rsid w:val="00CE4156"/>
    <w:rsid w:val="00CE49EB"/>
    <w:rsid w:val="00CE5DEB"/>
    <w:rsid w:val="00CE6319"/>
    <w:rsid w:val="00CE7DE9"/>
    <w:rsid w:val="00CF1BFD"/>
    <w:rsid w:val="00CF4FB4"/>
    <w:rsid w:val="00CF6574"/>
    <w:rsid w:val="00CF7898"/>
    <w:rsid w:val="00D02148"/>
    <w:rsid w:val="00D056A5"/>
    <w:rsid w:val="00D05E73"/>
    <w:rsid w:val="00D07250"/>
    <w:rsid w:val="00D13E17"/>
    <w:rsid w:val="00D16988"/>
    <w:rsid w:val="00D2011F"/>
    <w:rsid w:val="00D201E9"/>
    <w:rsid w:val="00D20BBC"/>
    <w:rsid w:val="00D25862"/>
    <w:rsid w:val="00D27057"/>
    <w:rsid w:val="00D275B1"/>
    <w:rsid w:val="00D31DB5"/>
    <w:rsid w:val="00D35C50"/>
    <w:rsid w:val="00D35C77"/>
    <w:rsid w:val="00D35F96"/>
    <w:rsid w:val="00D3733A"/>
    <w:rsid w:val="00D420F8"/>
    <w:rsid w:val="00D426D0"/>
    <w:rsid w:val="00D4334D"/>
    <w:rsid w:val="00D456C1"/>
    <w:rsid w:val="00D46DB4"/>
    <w:rsid w:val="00D50BDC"/>
    <w:rsid w:val="00D60827"/>
    <w:rsid w:val="00D6133D"/>
    <w:rsid w:val="00D614DE"/>
    <w:rsid w:val="00D65678"/>
    <w:rsid w:val="00D7164C"/>
    <w:rsid w:val="00D75D35"/>
    <w:rsid w:val="00D81895"/>
    <w:rsid w:val="00D82A76"/>
    <w:rsid w:val="00D82E10"/>
    <w:rsid w:val="00D874A8"/>
    <w:rsid w:val="00D87B9E"/>
    <w:rsid w:val="00D90A02"/>
    <w:rsid w:val="00D915C9"/>
    <w:rsid w:val="00D92D99"/>
    <w:rsid w:val="00DA12CF"/>
    <w:rsid w:val="00DA16E0"/>
    <w:rsid w:val="00DA27EB"/>
    <w:rsid w:val="00DA3CA6"/>
    <w:rsid w:val="00DB0586"/>
    <w:rsid w:val="00DB3E8C"/>
    <w:rsid w:val="00DB4266"/>
    <w:rsid w:val="00DB67EC"/>
    <w:rsid w:val="00DB7A72"/>
    <w:rsid w:val="00DC5877"/>
    <w:rsid w:val="00DC7008"/>
    <w:rsid w:val="00DC7799"/>
    <w:rsid w:val="00DD2765"/>
    <w:rsid w:val="00DD3FAC"/>
    <w:rsid w:val="00DD57AF"/>
    <w:rsid w:val="00DD5F6C"/>
    <w:rsid w:val="00DE13D3"/>
    <w:rsid w:val="00DE142F"/>
    <w:rsid w:val="00DE1657"/>
    <w:rsid w:val="00DE1790"/>
    <w:rsid w:val="00DE3A61"/>
    <w:rsid w:val="00DE54FA"/>
    <w:rsid w:val="00DF3A02"/>
    <w:rsid w:val="00DF4444"/>
    <w:rsid w:val="00DF46BD"/>
    <w:rsid w:val="00E03342"/>
    <w:rsid w:val="00E11A2F"/>
    <w:rsid w:val="00E134B5"/>
    <w:rsid w:val="00E30EB7"/>
    <w:rsid w:val="00E3119E"/>
    <w:rsid w:val="00E3450B"/>
    <w:rsid w:val="00E35349"/>
    <w:rsid w:val="00E35789"/>
    <w:rsid w:val="00E37620"/>
    <w:rsid w:val="00E401F5"/>
    <w:rsid w:val="00E43925"/>
    <w:rsid w:val="00E448C7"/>
    <w:rsid w:val="00E47420"/>
    <w:rsid w:val="00E475A3"/>
    <w:rsid w:val="00E47C30"/>
    <w:rsid w:val="00E50063"/>
    <w:rsid w:val="00E54509"/>
    <w:rsid w:val="00E553CE"/>
    <w:rsid w:val="00E601F2"/>
    <w:rsid w:val="00E60FB5"/>
    <w:rsid w:val="00E63404"/>
    <w:rsid w:val="00E6483E"/>
    <w:rsid w:val="00E706B4"/>
    <w:rsid w:val="00E72F02"/>
    <w:rsid w:val="00E73312"/>
    <w:rsid w:val="00E73A4B"/>
    <w:rsid w:val="00E73CFE"/>
    <w:rsid w:val="00E76352"/>
    <w:rsid w:val="00E765F1"/>
    <w:rsid w:val="00E768A6"/>
    <w:rsid w:val="00E807E3"/>
    <w:rsid w:val="00E80845"/>
    <w:rsid w:val="00E814AE"/>
    <w:rsid w:val="00E82891"/>
    <w:rsid w:val="00E83AF9"/>
    <w:rsid w:val="00E86D39"/>
    <w:rsid w:val="00E87DC3"/>
    <w:rsid w:val="00E91A42"/>
    <w:rsid w:val="00E92BA2"/>
    <w:rsid w:val="00E9341C"/>
    <w:rsid w:val="00E94B85"/>
    <w:rsid w:val="00E94C32"/>
    <w:rsid w:val="00E97EA4"/>
    <w:rsid w:val="00EA0598"/>
    <w:rsid w:val="00EA0D96"/>
    <w:rsid w:val="00EA4365"/>
    <w:rsid w:val="00EA754C"/>
    <w:rsid w:val="00EA7FE6"/>
    <w:rsid w:val="00EB07C3"/>
    <w:rsid w:val="00EB2188"/>
    <w:rsid w:val="00EB219D"/>
    <w:rsid w:val="00EB27AE"/>
    <w:rsid w:val="00EB2BC3"/>
    <w:rsid w:val="00EB36A2"/>
    <w:rsid w:val="00EB5344"/>
    <w:rsid w:val="00EB6618"/>
    <w:rsid w:val="00EB7968"/>
    <w:rsid w:val="00EC30A0"/>
    <w:rsid w:val="00EC73D5"/>
    <w:rsid w:val="00EC75B5"/>
    <w:rsid w:val="00ED0413"/>
    <w:rsid w:val="00ED2979"/>
    <w:rsid w:val="00ED310B"/>
    <w:rsid w:val="00ED50B6"/>
    <w:rsid w:val="00ED6A3A"/>
    <w:rsid w:val="00EE2444"/>
    <w:rsid w:val="00EE322F"/>
    <w:rsid w:val="00EF0F27"/>
    <w:rsid w:val="00EF3DBE"/>
    <w:rsid w:val="00EF5078"/>
    <w:rsid w:val="00EF5E0E"/>
    <w:rsid w:val="00EF6432"/>
    <w:rsid w:val="00EF7209"/>
    <w:rsid w:val="00EF7947"/>
    <w:rsid w:val="00F02C63"/>
    <w:rsid w:val="00F04121"/>
    <w:rsid w:val="00F058AA"/>
    <w:rsid w:val="00F06B43"/>
    <w:rsid w:val="00F1268E"/>
    <w:rsid w:val="00F12F97"/>
    <w:rsid w:val="00F152EC"/>
    <w:rsid w:val="00F16447"/>
    <w:rsid w:val="00F207F6"/>
    <w:rsid w:val="00F23199"/>
    <w:rsid w:val="00F232C3"/>
    <w:rsid w:val="00F23758"/>
    <w:rsid w:val="00F23773"/>
    <w:rsid w:val="00F26809"/>
    <w:rsid w:val="00F30754"/>
    <w:rsid w:val="00F30E15"/>
    <w:rsid w:val="00F333C9"/>
    <w:rsid w:val="00F33A4F"/>
    <w:rsid w:val="00F353BE"/>
    <w:rsid w:val="00F357C5"/>
    <w:rsid w:val="00F3623E"/>
    <w:rsid w:val="00F37A71"/>
    <w:rsid w:val="00F4160A"/>
    <w:rsid w:val="00F43541"/>
    <w:rsid w:val="00F439F2"/>
    <w:rsid w:val="00F43E83"/>
    <w:rsid w:val="00F444A5"/>
    <w:rsid w:val="00F47539"/>
    <w:rsid w:val="00F50E94"/>
    <w:rsid w:val="00F54A52"/>
    <w:rsid w:val="00F55499"/>
    <w:rsid w:val="00F569E2"/>
    <w:rsid w:val="00F5712D"/>
    <w:rsid w:val="00F62B3D"/>
    <w:rsid w:val="00F63270"/>
    <w:rsid w:val="00F677F5"/>
    <w:rsid w:val="00F70A61"/>
    <w:rsid w:val="00F719D1"/>
    <w:rsid w:val="00F74BED"/>
    <w:rsid w:val="00F75020"/>
    <w:rsid w:val="00F7597D"/>
    <w:rsid w:val="00F76D8E"/>
    <w:rsid w:val="00F77F6E"/>
    <w:rsid w:val="00F84D25"/>
    <w:rsid w:val="00F86BCD"/>
    <w:rsid w:val="00F86C49"/>
    <w:rsid w:val="00F9101F"/>
    <w:rsid w:val="00F92588"/>
    <w:rsid w:val="00F93295"/>
    <w:rsid w:val="00F93DD9"/>
    <w:rsid w:val="00F94D26"/>
    <w:rsid w:val="00F95022"/>
    <w:rsid w:val="00F956E0"/>
    <w:rsid w:val="00F959BE"/>
    <w:rsid w:val="00F96BC4"/>
    <w:rsid w:val="00FA1B7F"/>
    <w:rsid w:val="00FA288E"/>
    <w:rsid w:val="00FA44BE"/>
    <w:rsid w:val="00FA6619"/>
    <w:rsid w:val="00FB16B1"/>
    <w:rsid w:val="00FB37FF"/>
    <w:rsid w:val="00FB4B98"/>
    <w:rsid w:val="00FB4DD8"/>
    <w:rsid w:val="00FB5F0F"/>
    <w:rsid w:val="00FB6763"/>
    <w:rsid w:val="00FB67C9"/>
    <w:rsid w:val="00FC2D18"/>
    <w:rsid w:val="00FC3D10"/>
    <w:rsid w:val="00FC5976"/>
    <w:rsid w:val="00FC6BB6"/>
    <w:rsid w:val="00FD2841"/>
    <w:rsid w:val="00FD2958"/>
    <w:rsid w:val="00FD43CD"/>
    <w:rsid w:val="00FD4C79"/>
    <w:rsid w:val="00FD65F6"/>
    <w:rsid w:val="00FD6BEE"/>
    <w:rsid w:val="00FD7646"/>
    <w:rsid w:val="00FE0CA5"/>
    <w:rsid w:val="00FE0CCE"/>
    <w:rsid w:val="00FE1EC3"/>
    <w:rsid w:val="00FE3F59"/>
    <w:rsid w:val="00FE5912"/>
    <w:rsid w:val="00FE6528"/>
    <w:rsid w:val="00FF079F"/>
    <w:rsid w:val="00FF114E"/>
    <w:rsid w:val="00FF3449"/>
    <w:rsid w:val="00FF39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C70D4"/>
  <w15:chartTrackingRefBased/>
  <w15:docId w15:val="{B054B21A-FE61-41B1-9249-E95CED91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3C4C"/>
    <w:rPr>
      <w:rFonts w:ascii="Arial" w:hAnsi="Arial"/>
      <w:sz w:val="22"/>
      <w:szCs w:val="22"/>
      <w:lang w:eastAsia="en-US"/>
    </w:rPr>
  </w:style>
  <w:style w:type="paragraph" w:styleId="Nadpis1">
    <w:name w:val="heading 1"/>
    <w:basedOn w:val="Normln"/>
    <w:next w:val="Normln"/>
    <w:link w:val="Nadpis1Char"/>
    <w:uiPriority w:val="9"/>
    <w:qFormat/>
    <w:rsid w:val="00AD2495"/>
    <w:pPr>
      <w:keepNext/>
      <w:numPr>
        <w:numId w:val="1"/>
      </w:numPr>
      <w:spacing w:before="240" w:after="60"/>
      <w:outlineLvl w:val="0"/>
    </w:pPr>
    <w:rPr>
      <w:rFonts w:eastAsia="Times New Roman"/>
      <w:b/>
      <w:bCs/>
      <w:kern w:val="32"/>
      <w:sz w:val="28"/>
      <w:szCs w:val="32"/>
    </w:rPr>
  </w:style>
  <w:style w:type="paragraph" w:styleId="Nadpis2">
    <w:name w:val="heading 2"/>
    <w:basedOn w:val="Normln"/>
    <w:next w:val="Normln"/>
    <w:link w:val="Nadpis2Char"/>
    <w:uiPriority w:val="9"/>
    <w:unhideWhenUsed/>
    <w:qFormat/>
    <w:rsid w:val="00845F99"/>
    <w:pPr>
      <w:keepNext/>
      <w:numPr>
        <w:ilvl w:val="1"/>
        <w:numId w:val="1"/>
      </w:numPr>
      <w:spacing w:before="240" w:after="60"/>
      <w:outlineLvl w:val="1"/>
    </w:pPr>
    <w:rPr>
      <w:rFonts w:eastAsia="Times New Roman"/>
      <w:b/>
      <w:bCs/>
      <w:iCs/>
      <w:sz w:val="24"/>
      <w:szCs w:val="28"/>
    </w:rPr>
  </w:style>
  <w:style w:type="paragraph" w:styleId="Nadpis3">
    <w:name w:val="heading 3"/>
    <w:basedOn w:val="Normln"/>
    <w:next w:val="Normln"/>
    <w:link w:val="Nadpis3Char"/>
    <w:uiPriority w:val="9"/>
    <w:semiHidden/>
    <w:unhideWhenUsed/>
    <w:qFormat/>
    <w:rsid w:val="00CC0005"/>
    <w:pPr>
      <w:keepNext/>
      <w:numPr>
        <w:ilvl w:val="2"/>
        <w:numId w:val="1"/>
      </w:numPr>
      <w:spacing w:before="240" w:after="60"/>
      <w:outlineLvl w:val="2"/>
    </w:pPr>
    <w:rPr>
      <w:rFonts w:ascii="Cambria" w:eastAsia="Times New Roman" w:hAnsi="Cambria"/>
      <w:b/>
      <w:bCs/>
      <w:sz w:val="26"/>
      <w:szCs w:val="26"/>
    </w:rPr>
  </w:style>
  <w:style w:type="paragraph" w:styleId="Nadpis4">
    <w:name w:val="heading 4"/>
    <w:basedOn w:val="Normln"/>
    <w:next w:val="Normln"/>
    <w:link w:val="Nadpis4Char"/>
    <w:uiPriority w:val="9"/>
    <w:semiHidden/>
    <w:unhideWhenUsed/>
    <w:qFormat/>
    <w:rsid w:val="00CC0005"/>
    <w:pPr>
      <w:keepNext/>
      <w:numPr>
        <w:ilvl w:val="3"/>
        <w:numId w:val="1"/>
      </w:numPr>
      <w:spacing w:before="240" w:after="60"/>
      <w:outlineLvl w:val="3"/>
    </w:pPr>
    <w:rPr>
      <w:rFonts w:ascii="Calibri" w:eastAsia="Times New Roman" w:hAnsi="Calibri"/>
      <w:b/>
      <w:bCs/>
      <w:sz w:val="28"/>
      <w:szCs w:val="28"/>
    </w:rPr>
  </w:style>
  <w:style w:type="paragraph" w:styleId="Nadpis5">
    <w:name w:val="heading 5"/>
    <w:basedOn w:val="Normln"/>
    <w:next w:val="Normln"/>
    <w:link w:val="Nadpis5Char"/>
    <w:uiPriority w:val="9"/>
    <w:semiHidden/>
    <w:unhideWhenUsed/>
    <w:qFormat/>
    <w:rsid w:val="00CC0005"/>
    <w:pPr>
      <w:numPr>
        <w:ilvl w:val="4"/>
        <w:numId w:val="1"/>
      </w:numPr>
      <w:spacing w:before="240" w:after="60"/>
      <w:outlineLvl w:val="4"/>
    </w:pPr>
    <w:rPr>
      <w:rFonts w:ascii="Calibri" w:eastAsia="Times New Roman" w:hAnsi="Calibri"/>
      <w:b/>
      <w:bCs/>
      <w:i/>
      <w:iCs/>
      <w:sz w:val="26"/>
      <w:szCs w:val="26"/>
    </w:rPr>
  </w:style>
  <w:style w:type="paragraph" w:styleId="Nadpis6">
    <w:name w:val="heading 6"/>
    <w:basedOn w:val="Normln"/>
    <w:next w:val="Normln"/>
    <w:link w:val="Nadpis6Char"/>
    <w:uiPriority w:val="9"/>
    <w:semiHidden/>
    <w:unhideWhenUsed/>
    <w:qFormat/>
    <w:rsid w:val="00CC0005"/>
    <w:pPr>
      <w:numPr>
        <w:ilvl w:val="5"/>
        <w:numId w:val="1"/>
      </w:numPr>
      <w:spacing w:before="240" w:after="60"/>
      <w:outlineLvl w:val="5"/>
    </w:pPr>
    <w:rPr>
      <w:rFonts w:ascii="Calibri" w:eastAsia="Times New Roman" w:hAnsi="Calibri"/>
      <w:b/>
      <w:bCs/>
    </w:rPr>
  </w:style>
  <w:style w:type="paragraph" w:styleId="Nadpis7">
    <w:name w:val="heading 7"/>
    <w:basedOn w:val="Normln"/>
    <w:next w:val="Normln"/>
    <w:link w:val="Nadpis7Char"/>
    <w:uiPriority w:val="9"/>
    <w:semiHidden/>
    <w:unhideWhenUsed/>
    <w:qFormat/>
    <w:rsid w:val="00CC0005"/>
    <w:pPr>
      <w:numPr>
        <w:ilvl w:val="6"/>
        <w:numId w:val="1"/>
      </w:numPr>
      <w:spacing w:before="240" w:after="60"/>
      <w:outlineLvl w:val="6"/>
    </w:pPr>
    <w:rPr>
      <w:rFonts w:ascii="Calibri" w:eastAsia="Times New Roman" w:hAnsi="Calibri"/>
      <w:sz w:val="24"/>
      <w:szCs w:val="24"/>
    </w:rPr>
  </w:style>
  <w:style w:type="paragraph" w:styleId="Nadpis8">
    <w:name w:val="heading 8"/>
    <w:basedOn w:val="Normln"/>
    <w:next w:val="Normln"/>
    <w:link w:val="Nadpis8Char"/>
    <w:uiPriority w:val="9"/>
    <w:semiHidden/>
    <w:unhideWhenUsed/>
    <w:qFormat/>
    <w:rsid w:val="00CC0005"/>
    <w:pPr>
      <w:numPr>
        <w:ilvl w:val="7"/>
        <w:numId w:val="1"/>
      </w:numPr>
      <w:spacing w:before="240" w:after="60"/>
      <w:outlineLvl w:val="7"/>
    </w:pPr>
    <w:rPr>
      <w:rFonts w:ascii="Calibri" w:eastAsia="Times New Roman" w:hAnsi="Calibri"/>
      <w:i/>
      <w:iCs/>
      <w:sz w:val="24"/>
      <w:szCs w:val="24"/>
    </w:rPr>
  </w:style>
  <w:style w:type="paragraph" w:styleId="Nadpis9">
    <w:name w:val="heading 9"/>
    <w:basedOn w:val="Normln"/>
    <w:next w:val="Normln"/>
    <w:link w:val="Nadpis9Char"/>
    <w:uiPriority w:val="9"/>
    <w:semiHidden/>
    <w:unhideWhenUsed/>
    <w:qFormat/>
    <w:rsid w:val="00CC0005"/>
    <w:pPr>
      <w:numPr>
        <w:ilvl w:val="8"/>
        <w:numId w:val="1"/>
      </w:num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121"/>
    <w:pPr>
      <w:tabs>
        <w:tab w:val="center" w:pos="4536"/>
        <w:tab w:val="right" w:pos="9072"/>
      </w:tabs>
    </w:pPr>
  </w:style>
  <w:style w:type="character" w:customStyle="1" w:styleId="ZhlavChar">
    <w:name w:val="Záhlaví Char"/>
    <w:link w:val="Zhlav"/>
    <w:uiPriority w:val="99"/>
    <w:rsid w:val="006D4121"/>
    <w:rPr>
      <w:rFonts w:ascii="Arial" w:hAnsi="Arial"/>
      <w:sz w:val="22"/>
      <w:szCs w:val="22"/>
      <w:lang w:eastAsia="en-US"/>
    </w:rPr>
  </w:style>
  <w:style w:type="paragraph" w:styleId="Zpat">
    <w:name w:val="footer"/>
    <w:basedOn w:val="Normln"/>
    <w:link w:val="ZpatChar"/>
    <w:uiPriority w:val="99"/>
    <w:unhideWhenUsed/>
    <w:rsid w:val="006D4121"/>
    <w:pPr>
      <w:tabs>
        <w:tab w:val="center" w:pos="4536"/>
        <w:tab w:val="right" w:pos="9072"/>
      </w:tabs>
    </w:pPr>
  </w:style>
  <w:style w:type="character" w:customStyle="1" w:styleId="ZpatChar">
    <w:name w:val="Zápatí Char"/>
    <w:link w:val="Zpat"/>
    <w:uiPriority w:val="99"/>
    <w:rsid w:val="006D4121"/>
    <w:rPr>
      <w:rFonts w:ascii="Arial" w:hAnsi="Arial"/>
      <w:sz w:val="22"/>
      <w:szCs w:val="22"/>
      <w:lang w:eastAsia="en-US"/>
    </w:rPr>
  </w:style>
  <w:style w:type="character" w:customStyle="1" w:styleId="Nadpis1Char">
    <w:name w:val="Nadpis 1 Char"/>
    <w:link w:val="Nadpis1"/>
    <w:uiPriority w:val="9"/>
    <w:rsid w:val="00AD2495"/>
    <w:rPr>
      <w:rFonts w:ascii="Arial" w:eastAsia="Times New Roman" w:hAnsi="Arial"/>
      <w:b/>
      <w:bCs/>
      <w:kern w:val="32"/>
      <w:sz w:val="28"/>
      <w:szCs w:val="32"/>
      <w:lang w:eastAsia="en-US"/>
    </w:rPr>
  </w:style>
  <w:style w:type="table" w:styleId="Mkatabulky">
    <w:name w:val="Table Grid"/>
    <w:basedOn w:val="Normlntabulka"/>
    <w:uiPriority w:val="59"/>
    <w:rsid w:val="00CB0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845F99"/>
    <w:rPr>
      <w:rFonts w:ascii="Arial" w:eastAsia="Times New Roman" w:hAnsi="Arial"/>
      <w:b/>
      <w:bCs/>
      <w:iCs/>
      <w:sz w:val="24"/>
      <w:szCs w:val="28"/>
      <w:lang w:eastAsia="en-US"/>
    </w:rPr>
  </w:style>
  <w:style w:type="paragraph" w:styleId="Odstavecseseznamem">
    <w:name w:val="List Paragraph"/>
    <w:aliases w:val="Nad,Odstavec cíl se seznamem,Odstavec se seznamem1,Odstavec_muj,_Odstavec se seznamem,A-Odrážky1,Odstavec_muj1,Odstavec_muj2,Odstavec_muj3,Nad1,List Paragraph1,Odstavec_muj4,Nad2,List Paragraph2,Odstavec_muj5,Nadpis pro KZ,odrážky"/>
    <w:basedOn w:val="Normln"/>
    <w:link w:val="OdstavecseseznamemChar"/>
    <w:uiPriority w:val="34"/>
    <w:qFormat/>
    <w:rsid w:val="00302FE6"/>
    <w:pPr>
      <w:ind w:left="708"/>
    </w:pPr>
  </w:style>
  <w:style w:type="character" w:customStyle="1" w:styleId="Nadpis3Char">
    <w:name w:val="Nadpis 3 Char"/>
    <w:link w:val="Nadpis3"/>
    <w:uiPriority w:val="9"/>
    <w:semiHidden/>
    <w:rsid w:val="00CC0005"/>
    <w:rPr>
      <w:rFonts w:ascii="Cambria" w:eastAsia="Times New Roman" w:hAnsi="Cambria"/>
      <w:b/>
      <w:bCs/>
      <w:sz w:val="26"/>
      <w:szCs w:val="26"/>
      <w:lang w:eastAsia="en-US"/>
    </w:rPr>
  </w:style>
  <w:style w:type="character" w:customStyle="1" w:styleId="Nadpis4Char">
    <w:name w:val="Nadpis 4 Char"/>
    <w:link w:val="Nadpis4"/>
    <w:uiPriority w:val="9"/>
    <w:semiHidden/>
    <w:rsid w:val="00CC0005"/>
    <w:rPr>
      <w:rFonts w:eastAsia="Times New Roman"/>
      <w:b/>
      <w:bCs/>
      <w:sz w:val="28"/>
      <w:szCs w:val="28"/>
      <w:lang w:eastAsia="en-US"/>
    </w:rPr>
  </w:style>
  <w:style w:type="character" w:customStyle="1" w:styleId="Nadpis5Char">
    <w:name w:val="Nadpis 5 Char"/>
    <w:link w:val="Nadpis5"/>
    <w:uiPriority w:val="9"/>
    <w:semiHidden/>
    <w:rsid w:val="00CC0005"/>
    <w:rPr>
      <w:rFonts w:eastAsia="Times New Roman"/>
      <w:b/>
      <w:bCs/>
      <w:i/>
      <w:iCs/>
      <w:sz w:val="26"/>
      <w:szCs w:val="26"/>
      <w:lang w:eastAsia="en-US"/>
    </w:rPr>
  </w:style>
  <w:style w:type="character" w:customStyle="1" w:styleId="Nadpis6Char">
    <w:name w:val="Nadpis 6 Char"/>
    <w:link w:val="Nadpis6"/>
    <w:uiPriority w:val="9"/>
    <w:semiHidden/>
    <w:rsid w:val="00CC0005"/>
    <w:rPr>
      <w:rFonts w:eastAsia="Times New Roman"/>
      <w:b/>
      <w:bCs/>
      <w:sz w:val="22"/>
      <w:szCs w:val="22"/>
      <w:lang w:eastAsia="en-US"/>
    </w:rPr>
  </w:style>
  <w:style w:type="character" w:customStyle="1" w:styleId="Nadpis7Char">
    <w:name w:val="Nadpis 7 Char"/>
    <w:link w:val="Nadpis7"/>
    <w:uiPriority w:val="9"/>
    <w:semiHidden/>
    <w:rsid w:val="00CC0005"/>
    <w:rPr>
      <w:rFonts w:eastAsia="Times New Roman"/>
      <w:sz w:val="24"/>
      <w:szCs w:val="24"/>
      <w:lang w:eastAsia="en-US"/>
    </w:rPr>
  </w:style>
  <w:style w:type="character" w:customStyle="1" w:styleId="Nadpis8Char">
    <w:name w:val="Nadpis 8 Char"/>
    <w:link w:val="Nadpis8"/>
    <w:uiPriority w:val="9"/>
    <w:semiHidden/>
    <w:rsid w:val="00CC0005"/>
    <w:rPr>
      <w:rFonts w:eastAsia="Times New Roman"/>
      <w:i/>
      <w:iCs/>
      <w:sz w:val="24"/>
      <w:szCs w:val="24"/>
      <w:lang w:eastAsia="en-US"/>
    </w:rPr>
  </w:style>
  <w:style w:type="character" w:customStyle="1" w:styleId="Nadpis9Char">
    <w:name w:val="Nadpis 9 Char"/>
    <w:link w:val="Nadpis9"/>
    <w:uiPriority w:val="9"/>
    <w:semiHidden/>
    <w:rsid w:val="00CC0005"/>
    <w:rPr>
      <w:rFonts w:ascii="Cambria" w:eastAsia="Times New Roman" w:hAnsi="Cambria"/>
      <w:sz w:val="22"/>
      <w:szCs w:val="22"/>
      <w:lang w:eastAsia="en-US"/>
    </w:rPr>
  </w:style>
  <w:style w:type="paragraph" w:styleId="Titulek">
    <w:name w:val="caption"/>
    <w:basedOn w:val="Normln"/>
    <w:next w:val="Normln"/>
    <w:uiPriority w:val="35"/>
    <w:unhideWhenUsed/>
    <w:qFormat/>
    <w:rsid w:val="006F7A6C"/>
    <w:rPr>
      <w:b/>
      <w:bCs/>
      <w:sz w:val="20"/>
      <w:szCs w:val="20"/>
    </w:rPr>
  </w:style>
  <w:style w:type="paragraph" w:styleId="Seznamobrzk">
    <w:name w:val="table of figures"/>
    <w:basedOn w:val="Normln"/>
    <w:next w:val="Normln"/>
    <w:uiPriority w:val="99"/>
    <w:unhideWhenUsed/>
    <w:rsid w:val="006F7A6C"/>
  </w:style>
  <w:style w:type="character" w:styleId="Hypertextovodkaz">
    <w:name w:val="Hyperlink"/>
    <w:uiPriority w:val="99"/>
    <w:unhideWhenUsed/>
    <w:rsid w:val="006F7A6C"/>
    <w:rPr>
      <w:color w:val="0000FF"/>
      <w:u w:val="single"/>
    </w:rPr>
  </w:style>
  <w:style w:type="paragraph" w:styleId="Nadpisobsahu">
    <w:name w:val="TOC Heading"/>
    <w:basedOn w:val="Nadpis1"/>
    <w:next w:val="Normln"/>
    <w:uiPriority w:val="39"/>
    <w:semiHidden/>
    <w:unhideWhenUsed/>
    <w:qFormat/>
    <w:rsid w:val="006F7A6C"/>
    <w:pPr>
      <w:keepLines/>
      <w:numPr>
        <w:numId w:val="0"/>
      </w:numPr>
      <w:spacing w:before="480" w:after="0" w:line="276" w:lineRule="auto"/>
      <w:outlineLvl w:val="9"/>
    </w:pPr>
    <w:rPr>
      <w:rFonts w:ascii="Cambria" w:hAnsi="Cambria"/>
      <w:color w:val="365F91"/>
      <w:kern w:val="0"/>
      <w:szCs w:val="28"/>
      <w:lang w:eastAsia="cs-CZ"/>
    </w:rPr>
  </w:style>
  <w:style w:type="paragraph" w:styleId="Obsah2">
    <w:name w:val="toc 2"/>
    <w:basedOn w:val="Normln"/>
    <w:next w:val="Normln"/>
    <w:autoRedefine/>
    <w:uiPriority w:val="39"/>
    <w:unhideWhenUsed/>
    <w:qFormat/>
    <w:rsid w:val="006F7A6C"/>
    <w:pPr>
      <w:spacing w:after="100" w:line="276" w:lineRule="auto"/>
      <w:ind w:left="220"/>
    </w:pPr>
    <w:rPr>
      <w:rFonts w:ascii="Calibri" w:eastAsia="Times New Roman" w:hAnsi="Calibri"/>
      <w:lang w:eastAsia="cs-CZ"/>
    </w:rPr>
  </w:style>
  <w:style w:type="paragraph" w:styleId="Obsah1">
    <w:name w:val="toc 1"/>
    <w:basedOn w:val="Normln"/>
    <w:next w:val="Normln"/>
    <w:autoRedefine/>
    <w:uiPriority w:val="39"/>
    <w:unhideWhenUsed/>
    <w:qFormat/>
    <w:rsid w:val="006F7A6C"/>
    <w:pPr>
      <w:spacing w:after="100" w:line="276" w:lineRule="auto"/>
    </w:pPr>
    <w:rPr>
      <w:rFonts w:ascii="Calibri" w:eastAsia="Times New Roman" w:hAnsi="Calibri"/>
      <w:lang w:eastAsia="cs-CZ"/>
    </w:rPr>
  </w:style>
  <w:style w:type="paragraph" w:styleId="Obsah3">
    <w:name w:val="toc 3"/>
    <w:basedOn w:val="Normln"/>
    <w:next w:val="Normln"/>
    <w:autoRedefine/>
    <w:uiPriority w:val="39"/>
    <w:semiHidden/>
    <w:unhideWhenUsed/>
    <w:qFormat/>
    <w:rsid w:val="006F7A6C"/>
    <w:pPr>
      <w:spacing w:after="100" w:line="276" w:lineRule="auto"/>
      <w:ind w:left="440"/>
    </w:pPr>
    <w:rPr>
      <w:rFonts w:ascii="Calibri" w:eastAsia="Times New Roman" w:hAnsi="Calibri"/>
      <w:lang w:eastAsia="cs-CZ"/>
    </w:rPr>
  </w:style>
  <w:style w:type="paragraph" w:styleId="Textbubliny">
    <w:name w:val="Balloon Text"/>
    <w:basedOn w:val="Normln"/>
    <w:link w:val="TextbublinyChar"/>
    <w:uiPriority w:val="99"/>
    <w:semiHidden/>
    <w:unhideWhenUsed/>
    <w:rsid w:val="006F7A6C"/>
    <w:rPr>
      <w:rFonts w:ascii="Tahoma" w:hAnsi="Tahoma" w:cs="Tahoma"/>
      <w:sz w:val="16"/>
      <w:szCs w:val="16"/>
    </w:rPr>
  </w:style>
  <w:style w:type="character" w:customStyle="1" w:styleId="TextbublinyChar">
    <w:name w:val="Text bubliny Char"/>
    <w:link w:val="Textbubliny"/>
    <w:uiPriority w:val="99"/>
    <w:semiHidden/>
    <w:rsid w:val="006F7A6C"/>
    <w:rPr>
      <w:rFonts w:ascii="Tahoma" w:hAnsi="Tahoma" w:cs="Tahoma"/>
      <w:sz w:val="16"/>
      <w:szCs w:val="16"/>
      <w:lang w:eastAsia="en-US"/>
    </w:rPr>
  </w:style>
  <w:style w:type="character" w:styleId="Odkaznakoment">
    <w:name w:val="annotation reference"/>
    <w:uiPriority w:val="99"/>
    <w:semiHidden/>
    <w:unhideWhenUsed/>
    <w:rsid w:val="00E401F5"/>
    <w:rPr>
      <w:sz w:val="16"/>
      <w:szCs w:val="16"/>
    </w:rPr>
  </w:style>
  <w:style w:type="paragraph" w:styleId="Textkomente">
    <w:name w:val="annotation text"/>
    <w:basedOn w:val="Normln"/>
    <w:link w:val="TextkomenteChar"/>
    <w:uiPriority w:val="99"/>
    <w:unhideWhenUsed/>
    <w:rsid w:val="00E401F5"/>
    <w:rPr>
      <w:sz w:val="20"/>
      <w:szCs w:val="20"/>
    </w:rPr>
  </w:style>
  <w:style w:type="character" w:customStyle="1" w:styleId="TextkomenteChar">
    <w:name w:val="Text komentáře Char"/>
    <w:link w:val="Textkomente"/>
    <w:uiPriority w:val="99"/>
    <w:rsid w:val="00E401F5"/>
    <w:rPr>
      <w:rFonts w:ascii="Arial" w:hAnsi="Arial"/>
      <w:lang w:eastAsia="en-US"/>
    </w:rPr>
  </w:style>
  <w:style w:type="paragraph" w:styleId="Pedmtkomente">
    <w:name w:val="annotation subject"/>
    <w:basedOn w:val="Textkomente"/>
    <w:next w:val="Textkomente"/>
    <w:link w:val="PedmtkomenteChar"/>
    <w:uiPriority w:val="99"/>
    <w:semiHidden/>
    <w:unhideWhenUsed/>
    <w:rsid w:val="00E401F5"/>
    <w:rPr>
      <w:b/>
      <w:bCs/>
    </w:rPr>
  </w:style>
  <w:style w:type="character" w:customStyle="1" w:styleId="PedmtkomenteChar">
    <w:name w:val="Předmět komentáře Char"/>
    <w:link w:val="Pedmtkomente"/>
    <w:uiPriority w:val="99"/>
    <w:semiHidden/>
    <w:rsid w:val="00E401F5"/>
    <w:rPr>
      <w:rFonts w:ascii="Arial" w:hAnsi="Arial"/>
      <w:b/>
      <w:bCs/>
      <w:lang w:eastAsia="en-US"/>
    </w:rPr>
  </w:style>
  <w:style w:type="paragraph" w:styleId="Revize">
    <w:name w:val="Revision"/>
    <w:hidden/>
    <w:uiPriority w:val="99"/>
    <w:semiHidden/>
    <w:rsid w:val="00CF7898"/>
    <w:rPr>
      <w:rFonts w:ascii="Arial" w:hAnsi="Arial"/>
      <w:sz w:val="22"/>
      <w:szCs w:val="22"/>
      <w:lang w:eastAsia="en-US"/>
    </w:rPr>
  </w:style>
  <w:style w:type="paragraph" w:styleId="Textpoznpodarou">
    <w:name w:val="footnote text"/>
    <w:aliases w:val="Char1,Schriftart: 9 pt,Schriftart: 10 pt,Schriftart: 8 pt,Text poznámky pod čiarou 007,Footnote,Fußnotentextf,Geneva 9,Font: Geneva 9,Boston 10,f,pozn. pod čarou,Char,Text pozn. pod čarou1,Char Char Char1,Footnote Text Char1,o,fn"/>
    <w:basedOn w:val="Normln"/>
    <w:link w:val="TextpoznpodarouChar"/>
    <w:uiPriority w:val="99"/>
    <w:rsid w:val="00596948"/>
    <w:pPr>
      <w:ind w:left="720" w:hanging="720"/>
      <w:jc w:val="both"/>
    </w:pPr>
    <w:rPr>
      <w:rFonts w:ascii="Times New Roman" w:eastAsia="Times New Roman" w:hAnsi="Times New Roman"/>
      <w:sz w:val="20"/>
      <w:szCs w:val="20"/>
      <w:lang w:eastAsia="cs-CZ"/>
    </w:rPr>
  </w:style>
  <w:style w:type="character" w:customStyle="1" w:styleId="TextpoznpodarouChar">
    <w:name w:val="Text pozn. pod čarou Char"/>
    <w:aliases w:val="Char1 Char,Schriftart: 9 pt Char,Schriftart: 10 pt Char,Schriftart: 8 pt Char,Text poznámky pod čiarou 007 Char,Footnote Char,Fußnotentextf Char,Geneva 9 Char,Font: Geneva 9 Char,Boston 10 Char,f Char,pozn. pod čarou Char"/>
    <w:link w:val="Textpoznpodarou"/>
    <w:uiPriority w:val="99"/>
    <w:rsid w:val="00596948"/>
    <w:rPr>
      <w:rFonts w:ascii="Times New Roman" w:eastAsia="Times New Roman" w:hAnsi="Times New Roman"/>
    </w:rPr>
  </w:style>
  <w:style w:type="paragraph" w:customStyle="1" w:styleId="Normln1">
    <w:name w:val="Normální1"/>
    <w:basedOn w:val="Normln"/>
    <w:rsid w:val="00F30754"/>
    <w:pPr>
      <w:spacing w:before="120"/>
      <w:jc w:val="both"/>
    </w:pPr>
    <w:rPr>
      <w:rFonts w:ascii="Times New Roman" w:eastAsia="Times New Roman" w:hAnsi="Times New Roman"/>
      <w:sz w:val="24"/>
      <w:szCs w:val="24"/>
      <w:lang w:eastAsia="cs-CZ"/>
    </w:rPr>
  </w:style>
  <w:style w:type="paragraph" w:customStyle="1" w:styleId="sti-art">
    <w:name w:val="sti-art"/>
    <w:basedOn w:val="Normln"/>
    <w:rsid w:val="00F30754"/>
    <w:pPr>
      <w:spacing w:before="60" w:after="120"/>
      <w:jc w:val="center"/>
    </w:pPr>
    <w:rPr>
      <w:rFonts w:ascii="Times New Roman" w:eastAsia="Times New Roman" w:hAnsi="Times New Roman"/>
      <w:b/>
      <w:bCs/>
      <w:sz w:val="24"/>
      <w:szCs w:val="24"/>
      <w:lang w:eastAsia="cs-CZ"/>
    </w:rPr>
  </w:style>
  <w:style w:type="paragraph" w:customStyle="1" w:styleId="ti-art">
    <w:name w:val="ti-art"/>
    <w:basedOn w:val="Normln"/>
    <w:rsid w:val="00F30754"/>
    <w:pPr>
      <w:spacing w:before="360" w:after="120"/>
      <w:jc w:val="center"/>
    </w:pPr>
    <w:rPr>
      <w:rFonts w:ascii="Times New Roman" w:eastAsia="Times New Roman" w:hAnsi="Times New Roman"/>
      <w:i/>
      <w:iCs/>
      <w:sz w:val="24"/>
      <w:szCs w:val="24"/>
      <w:lang w:eastAsia="cs-CZ"/>
    </w:rPr>
  </w:style>
  <w:style w:type="paragraph" w:customStyle="1" w:styleId="MPtabtext">
    <w:name w:val="MP_tab_text"/>
    <w:basedOn w:val="Normln"/>
    <w:link w:val="MPtabtextChar"/>
    <w:qFormat/>
    <w:rsid w:val="00CB7ADE"/>
    <w:pPr>
      <w:jc w:val="both"/>
    </w:pPr>
    <w:rPr>
      <w:rFonts w:eastAsia="Times New Roman"/>
      <w:sz w:val="20"/>
      <w:szCs w:val="20"/>
      <w:lang w:bidi="en-US"/>
    </w:rPr>
  </w:style>
  <w:style w:type="character" w:customStyle="1" w:styleId="MPtabtextChar">
    <w:name w:val="MP_tab_text Char"/>
    <w:link w:val="MPtabtext"/>
    <w:rsid w:val="00CB7ADE"/>
    <w:rPr>
      <w:rFonts w:ascii="Arial" w:eastAsia="Times New Roman" w:hAnsi="Arial"/>
      <w:lang w:eastAsia="en-US" w:bidi="en-US"/>
    </w:rPr>
  </w:style>
  <w:style w:type="paragraph" w:customStyle="1" w:styleId="Default">
    <w:name w:val="Default"/>
    <w:rsid w:val="000422DA"/>
    <w:pPr>
      <w:autoSpaceDE w:val="0"/>
      <w:autoSpaceDN w:val="0"/>
      <w:adjustRightInd w:val="0"/>
    </w:pPr>
    <w:rPr>
      <w:rFonts w:ascii="Verdana" w:hAnsi="Verdana" w:cs="Verdana"/>
      <w:color w:val="000000"/>
      <w:sz w:val="24"/>
      <w:szCs w:val="24"/>
    </w:r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
    <w:uiPriority w:val="99"/>
    <w:unhideWhenUsed/>
    <w:rsid w:val="00EB219D"/>
    <w:rPr>
      <w:vertAlign w:val="superscript"/>
    </w:rPr>
  </w:style>
  <w:style w:type="character" w:customStyle="1" w:styleId="OdstavecseseznamemChar">
    <w:name w:val="Odstavec se seznamem Char"/>
    <w:aliases w:val="Nad Char,Odstavec cíl se seznamem Char,Odstavec se seznamem1 Char,Odstavec_muj Char,_Odstavec se seznamem Char,A-Odrážky1 Char,Odstavec_muj1 Char,Odstavec_muj2 Char,Odstavec_muj3 Char,Nad1 Char,List Paragraph1 Char,Nad2 Char"/>
    <w:link w:val="Odstavecseseznamem"/>
    <w:uiPriority w:val="34"/>
    <w:qFormat/>
    <w:locked/>
    <w:rsid w:val="006909A3"/>
    <w:rPr>
      <w:rFonts w:ascii="Arial" w:hAnsi="Arial"/>
      <w:sz w:val="22"/>
      <w:szCs w:val="22"/>
      <w:lang w:eastAsia="en-US"/>
    </w:rPr>
  </w:style>
  <w:style w:type="paragraph" w:styleId="Textvysvtlivek">
    <w:name w:val="endnote text"/>
    <w:basedOn w:val="Normln"/>
    <w:link w:val="TextvysvtlivekChar"/>
    <w:uiPriority w:val="99"/>
    <w:semiHidden/>
    <w:unhideWhenUsed/>
    <w:rsid w:val="001376AC"/>
    <w:rPr>
      <w:sz w:val="20"/>
      <w:szCs w:val="20"/>
    </w:rPr>
  </w:style>
  <w:style w:type="character" w:customStyle="1" w:styleId="TextvysvtlivekChar">
    <w:name w:val="Text vysvětlivek Char"/>
    <w:link w:val="Textvysvtlivek"/>
    <w:uiPriority w:val="99"/>
    <w:semiHidden/>
    <w:rsid w:val="001376AC"/>
    <w:rPr>
      <w:rFonts w:ascii="Arial" w:hAnsi="Arial"/>
      <w:lang w:eastAsia="en-US"/>
    </w:rPr>
  </w:style>
  <w:style w:type="character" w:styleId="Odkaznavysvtlivky">
    <w:name w:val="endnote reference"/>
    <w:uiPriority w:val="99"/>
    <w:semiHidden/>
    <w:unhideWhenUsed/>
    <w:rsid w:val="001376AC"/>
    <w:rPr>
      <w:vertAlign w:val="superscript"/>
    </w:rPr>
  </w:style>
  <w:style w:type="character" w:styleId="Sledovanodkaz">
    <w:name w:val="FollowedHyperlink"/>
    <w:uiPriority w:val="99"/>
    <w:semiHidden/>
    <w:unhideWhenUsed/>
    <w:rsid w:val="007B1833"/>
    <w:rPr>
      <w:color w:val="800080"/>
      <w:u w:val="single"/>
    </w:rPr>
  </w:style>
  <w:style w:type="paragraph" w:styleId="Zkladntext">
    <w:name w:val="Body Text"/>
    <w:basedOn w:val="Normln"/>
    <w:link w:val="ZkladntextChar"/>
    <w:uiPriority w:val="1"/>
    <w:qFormat/>
    <w:rsid w:val="00E43925"/>
    <w:pPr>
      <w:widowControl w:val="0"/>
    </w:pPr>
    <w:rPr>
      <w:rFonts w:ascii="Times New Roman" w:eastAsia="Times New Roman" w:hAnsi="Times New Roman"/>
      <w:sz w:val="24"/>
      <w:szCs w:val="24"/>
      <w:lang w:val="en-US"/>
    </w:rPr>
  </w:style>
  <w:style w:type="character" w:customStyle="1" w:styleId="ZkladntextChar">
    <w:name w:val="Základní text Char"/>
    <w:link w:val="Zkladntext"/>
    <w:uiPriority w:val="1"/>
    <w:rsid w:val="00E43925"/>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9087">
      <w:bodyDiv w:val="1"/>
      <w:marLeft w:val="0"/>
      <w:marRight w:val="0"/>
      <w:marTop w:val="0"/>
      <w:marBottom w:val="0"/>
      <w:divBdr>
        <w:top w:val="none" w:sz="0" w:space="0" w:color="auto"/>
        <w:left w:val="none" w:sz="0" w:space="0" w:color="auto"/>
        <w:bottom w:val="none" w:sz="0" w:space="0" w:color="auto"/>
        <w:right w:val="none" w:sz="0" w:space="0" w:color="auto"/>
      </w:divBdr>
    </w:div>
    <w:div w:id="85461571">
      <w:bodyDiv w:val="1"/>
      <w:marLeft w:val="0"/>
      <w:marRight w:val="0"/>
      <w:marTop w:val="0"/>
      <w:marBottom w:val="0"/>
      <w:divBdr>
        <w:top w:val="none" w:sz="0" w:space="0" w:color="auto"/>
        <w:left w:val="none" w:sz="0" w:space="0" w:color="auto"/>
        <w:bottom w:val="none" w:sz="0" w:space="0" w:color="auto"/>
        <w:right w:val="none" w:sz="0" w:space="0" w:color="auto"/>
      </w:divBdr>
      <w:divsChild>
        <w:div w:id="1968854682">
          <w:marLeft w:val="547"/>
          <w:marRight w:val="0"/>
          <w:marTop w:val="86"/>
          <w:marBottom w:val="0"/>
          <w:divBdr>
            <w:top w:val="none" w:sz="0" w:space="0" w:color="auto"/>
            <w:left w:val="none" w:sz="0" w:space="0" w:color="auto"/>
            <w:bottom w:val="none" w:sz="0" w:space="0" w:color="auto"/>
            <w:right w:val="none" w:sz="0" w:space="0" w:color="auto"/>
          </w:divBdr>
        </w:div>
      </w:divsChild>
    </w:div>
    <w:div w:id="136411055">
      <w:bodyDiv w:val="1"/>
      <w:marLeft w:val="0"/>
      <w:marRight w:val="0"/>
      <w:marTop w:val="0"/>
      <w:marBottom w:val="0"/>
      <w:divBdr>
        <w:top w:val="none" w:sz="0" w:space="0" w:color="auto"/>
        <w:left w:val="none" w:sz="0" w:space="0" w:color="auto"/>
        <w:bottom w:val="none" w:sz="0" w:space="0" w:color="auto"/>
        <w:right w:val="none" w:sz="0" w:space="0" w:color="auto"/>
      </w:divBdr>
    </w:div>
    <w:div w:id="200360301">
      <w:bodyDiv w:val="1"/>
      <w:marLeft w:val="390"/>
      <w:marRight w:val="390"/>
      <w:marTop w:val="0"/>
      <w:marBottom w:val="0"/>
      <w:divBdr>
        <w:top w:val="none" w:sz="0" w:space="0" w:color="auto"/>
        <w:left w:val="none" w:sz="0" w:space="0" w:color="auto"/>
        <w:bottom w:val="none" w:sz="0" w:space="0" w:color="auto"/>
        <w:right w:val="none" w:sz="0" w:space="0" w:color="auto"/>
      </w:divBdr>
    </w:div>
    <w:div w:id="266011720">
      <w:bodyDiv w:val="1"/>
      <w:marLeft w:val="0"/>
      <w:marRight w:val="0"/>
      <w:marTop w:val="0"/>
      <w:marBottom w:val="0"/>
      <w:divBdr>
        <w:top w:val="none" w:sz="0" w:space="0" w:color="auto"/>
        <w:left w:val="none" w:sz="0" w:space="0" w:color="auto"/>
        <w:bottom w:val="none" w:sz="0" w:space="0" w:color="auto"/>
        <w:right w:val="none" w:sz="0" w:space="0" w:color="auto"/>
      </w:divBdr>
    </w:div>
    <w:div w:id="281233325">
      <w:bodyDiv w:val="1"/>
      <w:marLeft w:val="0"/>
      <w:marRight w:val="0"/>
      <w:marTop w:val="0"/>
      <w:marBottom w:val="0"/>
      <w:divBdr>
        <w:top w:val="none" w:sz="0" w:space="0" w:color="auto"/>
        <w:left w:val="none" w:sz="0" w:space="0" w:color="auto"/>
        <w:bottom w:val="none" w:sz="0" w:space="0" w:color="auto"/>
        <w:right w:val="none" w:sz="0" w:space="0" w:color="auto"/>
      </w:divBdr>
    </w:div>
    <w:div w:id="363946247">
      <w:bodyDiv w:val="1"/>
      <w:marLeft w:val="390"/>
      <w:marRight w:val="390"/>
      <w:marTop w:val="0"/>
      <w:marBottom w:val="0"/>
      <w:divBdr>
        <w:top w:val="none" w:sz="0" w:space="0" w:color="auto"/>
        <w:left w:val="none" w:sz="0" w:space="0" w:color="auto"/>
        <w:bottom w:val="none" w:sz="0" w:space="0" w:color="auto"/>
        <w:right w:val="none" w:sz="0" w:space="0" w:color="auto"/>
      </w:divBdr>
      <w:divsChild>
        <w:div w:id="1106147160">
          <w:marLeft w:val="0"/>
          <w:marRight w:val="0"/>
          <w:marTop w:val="0"/>
          <w:marBottom w:val="0"/>
          <w:divBdr>
            <w:top w:val="none" w:sz="0" w:space="0" w:color="auto"/>
            <w:left w:val="none" w:sz="0" w:space="0" w:color="auto"/>
            <w:bottom w:val="none" w:sz="0" w:space="0" w:color="auto"/>
            <w:right w:val="none" w:sz="0" w:space="0" w:color="auto"/>
          </w:divBdr>
        </w:div>
      </w:divsChild>
    </w:div>
    <w:div w:id="387992362">
      <w:bodyDiv w:val="1"/>
      <w:marLeft w:val="0"/>
      <w:marRight w:val="0"/>
      <w:marTop w:val="0"/>
      <w:marBottom w:val="0"/>
      <w:divBdr>
        <w:top w:val="none" w:sz="0" w:space="0" w:color="auto"/>
        <w:left w:val="none" w:sz="0" w:space="0" w:color="auto"/>
        <w:bottom w:val="none" w:sz="0" w:space="0" w:color="auto"/>
        <w:right w:val="none" w:sz="0" w:space="0" w:color="auto"/>
      </w:divBdr>
    </w:div>
    <w:div w:id="393236822">
      <w:bodyDiv w:val="1"/>
      <w:marLeft w:val="0"/>
      <w:marRight w:val="0"/>
      <w:marTop w:val="0"/>
      <w:marBottom w:val="0"/>
      <w:divBdr>
        <w:top w:val="none" w:sz="0" w:space="0" w:color="auto"/>
        <w:left w:val="none" w:sz="0" w:space="0" w:color="auto"/>
        <w:bottom w:val="none" w:sz="0" w:space="0" w:color="auto"/>
        <w:right w:val="none" w:sz="0" w:space="0" w:color="auto"/>
      </w:divBdr>
    </w:div>
    <w:div w:id="408385306">
      <w:bodyDiv w:val="1"/>
      <w:marLeft w:val="0"/>
      <w:marRight w:val="0"/>
      <w:marTop w:val="0"/>
      <w:marBottom w:val="0"/>
      <w:divBdr>
        <w:top w:val="none" w:sz="0" w:space="0" w:color="auto"/>
        <w:left w:val="none" w:sz="0" w:space="0" w:color="auto"/>
        <w:bottom w:val="none" w:sz="0" w:space="0" w:color="auto"/>
        <w:right w:val="none" w:sz="0" w:space="0" w:color="auto"/>
      </w:divBdr>
    </w:div>
    <w:div w:id="502211622">
      <w:bodyDiv w:val="1"/>
      <w:marLeft w:val="0"/>
      <w:marRight w:val="0"/>
      <w:marTop w:val="0"/>
      <w:marBottom w:val="0"/>
      <w:divBdr>
        <w:top w:val="none" w:sz="0" w:space="0" w:color="auto"/>
        <w:left w:val="none" w:sz="0" w:space="0" w:color="auto"/>
        <w:bottom w:val="none" w:sz="0" w:space="0" w:color="auto"/>
        <w:right w:val="none" w:sz="0" w:space="0" w:color="auto"/>
      </w:divBdr>
    </w:div>
    <w:div w:id="567039376">
      <w:bodyDiv w:val="1"/>
      <w:marLeft w:val="0"/>
      <w:marRight w:val="0"/>
      <w:marTop w:val="0"/>
      <w:marBottom w:val="0"/>
      <w:divBdr>
        <w:top w:val="none" w:sz="0" w:space="0" w:color="auto"/>
        <w:left w:val="none" w:sz="0" w:space="0" w:color="auto"/>
        <w:bottom w:val="none" w:sz="0" w:space="0" w:color="auto"/>
        <w:right w:val="none" w:sz="0" w:space="0" w:color="auto"/>
      </w:divBdr>
    </w:div>
    <w:div w:id="609316161">
      <w:bodyDiv w:val="1"/>
      <w:marLeft w:val="0"/>
      <w:marRight w:val="0"/>
      <w:marTop w:val="0"/>
      <w:marBottom w:val="0"/>
      <w:divBdr>
        <w:top w:val="none" w:sz="0" w:space="0" w:color="auto"/>
        <w:left w:val="none" w:sz="0" w:space="0" w:color="auto"/>
        <w:bottom w:val="none" w:sz="0" w:space="0" w:color="auto"/>
        <w:right w:val="none" w:sz="0" w:space="0" w:color="auto"/>
      </w:divBdr>
    </w:div>
    <w:div w:id="634723918">
      <w:bodyDiv w:val="1"/>
      <w:marLeft w:val="0"/>
      <w:marRight w:val="0"/>
      <w:marTop w:val="0"/>
      <w:marBottom w:val="0"/>
      <w:divBdr>
        <w:top w:val="none" w:sz="0" w:space="0" w:color="auto"/>
        <w:left w:val="none" w:sz="0" w:space="0" w:color="auto"/>
        <w:bottom w:val="none" w:sz="0" w:space="0" w:color="auto"/>
        <w:right w:val="none" w:sz="0" w:space="0" w:color="auto"/>
      </w:divBdr>
    </w:div>
    <w:div w:id="645092124">
      <w:bodyDiv w:val="1"/>
      <w:marLeft w:val="0"/>
      <w:marRight w:val="0"/>
      <w:marTop w:val="0"/>
      <w:marBottom w:val="0"/>
      <w:divBdr>
        <w:top w:val="none" w:sz="0" w:space="0" w:color="auto"/>
        <w:left w:val="none" w:sz="0" w:space="0" w:color="auto"/>
        <w:bottom w:val="none" w:sz="0" w:space="0" w:color="auto"/>
        <w:right w:val="none" w:sz="0" w:space="0" w:color="auto"/>
      </w:divBdr>
    </w:div>
    <w:div w:id="650211911">
      <w:bodyDiv w:val="1"/>
      <w:marLeft w:val="0"/>
      <w:marRight w:val="0"/>
      <w:marTop w:val="0"/>
      <w:marBottom w:val="0"/>
      <w:divBdr>
        <w:top w:val="none" w:sz="0" w:space="0" w:color="auto"/>
        <w:left w:val="none" w:sz="0" w:space="0" w:color="auto"/>
        <w:bottom w:val="none" w:sz="0" w:space="0" w:color="auto"/>
        <w:right w:val="none" w:sz="0" w:space="0" w:color="auto"/>
      </w:divBdr>
    </w:div>
    <w:div w:id="706029992">
      <w:bodyDiv w:val="1"/>
      <w:marLeft w:val="0"/>
      <w:marRight w:val="0"/>
      <w:marTop w:val="0"/>
      <w:marBottom w:val="0"/>
      <w:divBdr>
        <w:top w:val="none" w:sz="0" w:space="0" w:color="auto"/>
        <w:left w:val="none" w:sz="0" w:space="0" w:color="auto"/>
        <w:bottom w:val="none" w:sz="0" w:space="0" w:color="auto"/>
        <w:right w:val="none" w:sz="0" w:space="0" w:color="auto"/>
      </w:divBdr>
    </w:div>
    <w:div w:id="713694528">
      <w:bodyDiv w:val="1"/>
      <w:marLeft w:val="0"/>
      <w:marRight w:val="0"/>
      <w:marTop w:val="0"/>
      <w:marBottom w:val="0"/>
      <w:divBdr>
        <w:top w:val="none" w:sz="0" w:space="0" w:color="auto"/>
        <w:left w:val="none" w:sz="0" w:space="0" w:color="auto"/>
        <w:bottom w:val="none" w:sz="0" w:space="0" w:color="auto"/>
        <w:right w:val="none" w:sz="0" w:space="0" w:color="auto"/>
      </w:divBdr>
    </w:div>
    <w:div w:id="716466437">
      <w:bodyDiv w:val="1"/>
      <w:marLeft w:val="0"/>
      <w:marRight w:val="0"/>
      <w:marTop w:val="0"/>
      <w:marBottom w:val="0"/>
      <w:divBdr>
        <w:top w:val="none" w:sz="0" w:space="0" w:color="auto"/>
        <w:left w:val="none" w:sz="0" w:space="0" w:color="auto"/>
        <w:bottom w:val="none" w:sz="0" w:space="0" w:color="auto"/>
        <w:right w:val="none" w:sz="0" w:space="0" w:color="auto"/>
      </w:divBdr>
    </w:div>
    <w:div w:id="743838313">
      <w:bodyDiv w:val="1"/>
      <w:marLeft w:val="0"/>
      <w:marRight w:val="0"/>
      <w:marTop w:val="0"/>
      <w:marBottom w:val="0"/>
      <w:divBdr>
        <w:top w:val="none" w:sz="0" w:space="0" w:color="auto"/>
        <w:left w:val="none" w:sz="0" w:space="0" w:color="auto"/>
        <w:bottom w:val="none" w:sz="0" w:space="0" w:color="auto"/>
        <w:right w:val="none" w:sz="0" w:space="0" w:color="auto"/>
      </w:divBdr>
    </w:div>
    <w:div w:id="838929783">
      <w:bodyDiv w:val="1"/>
      <w:marLeft w:val="0"/>
      <w:marRight w:val="0"/>
      <w:marTop w:val="0"/>
      <w:marBottom w:val="0"/>
      <w:divBdr>
        <w:top w:val="none" w:sz="0" w:space="0" w:color="auto"/>
        <w:left w:val="none" w:sz="0" w:space="0" w:color="auto"/>
        <w:bottom w:val="none" w:sz="0" w:space="0" w:color="auto"/>
        <w:right w:val="none" w:sz="0" w:space="0" w:color="auto"/>
      </w:divBdr>
    </w:div>
    <w:div w:id="915632879">
      <w:bodyDiv w:val="1"/>
      <w:marLeft w:val="0"/>
      <w:marRight w:val="0"/>
      <w:marTop w:val="0"/>
      <w:marBottom w:val="0"/>
      <w:divBdr>
        <w:top w:val="none" w:sz="0" w:space="0" w:color="auto"/>
        <w:left w:val="none" w:sz="0" w:space="0" w:color="auto"/>
        <w:bottom w:val="none" w:sz="0" w:space="0" w:color="auto"/>
        <w:right w:val="none" w:sz="0" w:space="0" w:color="auto"/>
      </w:divBdr>
    </w:div>
    <w:div w:id="1066296913">
      <w:bodyDiv w:val="1"/>
      <w:marLeft w:val="0"/>
      <w:marRight w:val="0"/>
      <w:marTop w:val="0"/>
      <w:marBottom w:val="0"/>
      <w:divBdr>
        <w:top w:val="none" w:sz="0" w:space="0" w:color="auto"/>
        <w:left w:val="none" w:sz="0" w:space="0" w:color="auto"/>
        <w:bottom w:val="none" w:sz="0" w:space="0" w:color="auto"/>
        <w:right w:val="none" w:sz="0" w:space="0" w:color="auto"/>
      </w:divBdr>
    </w:div>
    <w:div w:id="1114708743">
      <w:bodyDiv w:val="1"/>
      <w:marLeft w:val="0"/>
      <w:marRight w:val="0"/>
      <w:marTop w:val="0"/>
      <w:marBottom w:val="0"/>
      <w:divBdr>
        <w:top w:val="none" w:sz="0" w:space="0" w:color="auto"/>
        <w:left w:val="none" w:sz="0" w:space="0" w:color="auto"/>
        <w:bottom w:val="none" w:sz="0" w:space="0" w:color="auto"/>
        <w:right w:val="none" w:sz="0" w:space="0" w:color="auto"/>
      </w:divBdr>
    </w:div>
    <w:div w:id="1123571318">
      <w:bodyDiv w:val="1"/>
      <w:marLeft w:val="0"/>
      <w:marRight w:val="0"/>
      <w:marTop w:val="0"/>
      <w:marBottom w:val="0"/>
      <w:divBdr>
        <w:top w:val="none" w:sz="0" w:space="0" w:color="auto"/>
        <w:left w:val="none" w:sz="0" w:space="0" w:color="auto"/>
        <w:bottom w:val="none" w:sz="0" w:space="0" w:color="auto"/>
        <w:right w:val="none" w:sz="0" w:space="0" w:color="auto"/>
      </w:divBdr>
    </w:div>
    <w:div w:id="1246576885">
      <w:bodyDiv w:val="1"/>
      <w:marLeft w:val="0"/>
      <w:marRight w:val="0"/>
      <w:marTop w:val="0"/>
      <w:marBottom w:val="0"/>
      <w:divBdr>
        <w:top w:val="none" w:sz="0" w:space="0" w:color="auto"/>
        <w:left w:val="none" w:sz="0" w:space="0" w:color="auto"/>
        <w:bottom w:val="none" w:sz="0" w:space="0" w:color="auto"/>
        <w:right w:val="none" w:sz="0" w:space="0" w:color="auto"/>
      </w:divBdr>
    </w:div>
    <w:div w:id="1438675629">
      <w:bodyDiv w:val="1"/>
      <w:marLeft w:val="390"/>
      <w:marRight w:val="390"/>
      <w:marTop w:val="0"/>
      <w:marBottom w:val="0"/>
      <w:divBdr>
        <w:top w:val="none" w:sz="0" w:space="0" w:color="auto"/>
        <w:left w:val="none" w:sz="0" w:space="0" w:color="auto"/>
        <w:bottom w:val="none" w:sz="0" w:space="0" w:color="auto"/>
        <w:right w:val="none" w:sz="0" w:space="0" w:color="auto"/>
      </w:divBdr>
      <w:divsChild>
        <w:div w:id="1138112882">
          <w:marLeft w:val="0"/>
          <w:marRight w:val="0"/>
          <w:marTop w:val="0"/>
          <w:marBottom w:val="0"/>
          <w:divBdr>
            <w:top w:val="none" w:sz="0" w:space="0" w:color="auto"/>
            <w:left w:val="none" w:sz="0" w:space="0" w:color="auto"/>
            <w:bottom w:val="none" w:sz="0" w:space="0" w:color="auto"/>
            <w:right w:val="none" w:sz="0" w:space="0" w:color="auto"/>
          </w:divBdr>
        </w:div>
      </w:divsChild>
    </w:div>
    <w:div w:id="1569806628">
      <w:bodyDiv w:val="1"/>
      <w:marLeft w:val="0"/>
      <w:marRight w:val="0"/>
      <w:marTop w:val="0"/>
      <w:marBottom w:val="0"/>
      <w:divBdr>
        <w:top w:val="none" w:sz="0" w:space="0" w:color="auto"/>
        <w:left w:val="none" w:sz="0" w:space="0" w:color="auto"/>
        <w:bottom w:val="none" w:sz="0" w:space="0" w:color="auto"/>
        <w:right w:val="none" w:sz="0" w:space="0" w:color="auto"/>
      </w:divBdr>
    </w:div>
    <w:div w:id="1579486651">
      <w:bodyDiv w:val="1"/>
      <w:marLeft w:val="0"/>
      <w:marRight w:val="0"/>
      <w:marTop w:val="0"/>
      <w:marBottom w:val="0"/>
      <w:divBdr>
        <w:top w:val="none" w:sz="0" w:space="0" w:color="auto"/>
        <w:left w:val="none" w:sz="0" w:space="0" w:color="auto"/>
        <w:bottom w:val="none" w:sz="0" w:space="0" w:color="auto"/>
        <w:right w:val="none" w:sz="0" w:space="0" w:color="auto"/>
      </w:divBdr>
    </w:div>
    <w:div w:id="1595898848">
      <w:bodyDiv w:val="1"/>
      <w:marLeft w:val="0"/>
      <w:marRight w:val="0"/>
      <w:marTop w:val="0"/>
      <w:marBottom w:val="0"/>
      <w:divBdr>
        <w:top w:val="none" w:sz="0" w:space="0" w:color="auto"/>
        <w:left w:val="none" w:sz="0" w:space="0" w:color="auto"/>
        <w:bottom w:val="none" w:sz="0" w:space="0" w:color="auto"/>
        <w:right w:val="none" w:sz="0" w:space="0" w:color="auto"/>
      </w:divBdr>
    </w:div>
    <w:div w:id="1749838874">
      <w:bodyDiv w:val="1"/>
      <w:marLeft w:val="0"/>
      <w:marRight w:val="0"/>
      <w:marTop w:val="0"/>
      <w:marBottom w:val="0"/>
      <w:divBdr>
        <w:top w:val="none" w:sz="0" w:space="0" w:color="auto"/>
        <w:left w:val="none" w:sz="0" w:space="0" w:color="auto"/>
        <w:bottom w:val="none" w:sz="0" w:space="0" w:color="auto"/>
        <w:right w:val="none" w:sz="0" w:space="0" w:color="auto"/>
      </w:divBdr>
    </w:div>
    <w:div w:id="1779372726">
      <w:bodyDiv w:val="1"/>
      <w:marLeft w:val="0"/>
      <w:marRight w:val="0"/>
      <w:marTop w:val="0"/>
      <w:marBottom w:val="0"/>
      <w:divBdr>
        <w:top w:val="none" w:sz="0" w:space="0" w:color="auto"/>
        <w:left w:val="none" w:sz="0" w:space="0" w:color="auto"/>
        <w:bottom w:val="none" w:sz="0" w:space="0" w:color="auto"/>
        <w:right w:val="none" w:sz="0" w:space="0" w:color="auto"/>
      </w:divBdr>
    </w:div>
    <w:div w:id="1818690383">
      <w:bodyDiv w:val="1"/>
      <w:marLeft w:val="0"/>
      <w:marRight w:val="0"/>
      <w:marTop w:val="0"/>
      <w:marBottom w:val="0"/>
      <w:divBdr>
        <w:top w:val="none" w:sz="0" w:space="0" w:color="auto"/>
        <w:left w:val="none" w:sz="0" w:space="0" w:color="auto"/>
        <w:bottom w:val="none" w:sz="0" w:space="0" w:color="auto"/>
        <w:right w:val="none" w:sz="0" w:space="0" w:color="auto"/>
      </w:divBdr>
    </w:div>
    <w:div w:id="1862860964">
      <w:bodyDiv w:val="1"/>
      <w:marLeft w:val="0"/>
      <w:marRight w:val="0"/>
      <w:marTop w:val="0"/>
      <w:marBottom w:val="0"/>
      <w:divBdr>
        <w:top w:val="none" w:sz="0" w:space="0" w:color="auto"/>
        <w:left w:val="none" w:sz="0" w:space="0" w:color="auto"/>
        <w:bottom w:val="none" w:sz="0" w:space="0" w:color="auto"/>
        <w:right w:val="none" w:sz="0" w:space="0" w:color="auto"/>
      </w:divBdr>
    </w:div>
    <w:div w:id="1914462070">
      <w:bodyDiv w:val="1"/>
      <w:marLeft w:val="0"/>
      <w:marRight w:val="0"/>
      <w:marTop w:val="0"/>
      <w:marBottom w:val="0"/>
      <w:divBdr>
        <w:top w:val="none" w:sz="0" w:space="0" w:color="auto"/>
        <w:left w:val="none" w:sz="0" w:space="0" w:color="auto"/>
        <w:bottom w:val="none" w:sz="0" w:space="0" w:color="auto"/>
        <w:right w:val="none" w:sz="0" w:space="0" w:color="auto"/>
      </w:divBdr>
      <w:divsChild>
        <w:div w:id="984625989">
          <w:marLeft w:val="547"/>
          <w:marRight w:val="0"/>
          <w:marTop w:val="86"/>
          <w:marBottom w:val="0"/>
          <w:divBdr>
            <w:top w:val="none" w:sz="0" w:space="0" w:color="auto"/>
            <w:left w:val="none" w:sz="0" w:space="0" w:color="auto"/>
            <w:bottom w:val="none" w:sz="0" w:space="0" w:color="auto"/>
            <w:right w:val="none" w:sz="0" w:space="0" w:color="auto"/>
          </w:divBdr>
        </w:div>
        <w:div w:id="1542401531">
          <w:marLeft w:val="547"/>
          <w:marRight w:val="0"/>
          <w:marTop w:val="86"/>
          <w:marBottom w:val="0"/>
          <w:divBdr>
            <w:top w:val="none" w:sz="0" w:space="0" w:color="auto"/>
            <w:left w:val="none" w:sz="0" w:space="0" w:color="auto"/>
            <w:bottom w:val="none" w:sz="0" w:space="0" w:color="auto"/>
            <w:right w:val="none" w:sz="0" w:space="0" w:color="auto"/>
          </w:divBdr>
        </w:div>
        <w:div w:id="1673530351">
          <w:marLeft w:val="547"/>
          <w:marRight w:val="0"/>
          <w:marTop w:val="86"/>
          <w:marBottom w:val="0"/>
          <w:divBdr>
            <w:top w:val="none" w:sz="0" w:space="0" w:color="auto"/>
            <w:left w:val="none" w:sz="0" w:space="0" w:color="auto"/>
            <w:bottom w:val="none" w:sz="0" w:space="0" w:color="auto"/>
            <w:right w:val="none" w:sz="0" w:space="0" w:color="auto"/>
          </w:divBdr>
        </w:div>
      </w:divsChild>
    </w:div>
    <w:div w:id="1952974824">
      <w:bodyDiv w:val="1"/>
      <w:marLeft w:val="0"/>
      <w:marRight w:val="0"/>
      <w:marTop w:val="0"/>
      <w:marBottom w:val="0"/>
      <w:divBdr>
        <w:top w:val="none" w:sz="0" w:space="0" w:color="auto"/>
        <w:left w:val="none" w:sz="0" w:space="0" w:color="auto"/>
        <w:bottom w:val="none" w:sz="0" w:space="0" w:color="auto"/>
        <w:right w:val="none" w:sz="0" w:space="0" w:color="auto"/>
      </w:divBdr>
    </w:div>
    <w:div w:id="2000962485">
      <w:bodyDiv w:val="1"/>
      <w:marLeft w:val="0"/>
      <w:marRight w:val="0"/>
      <w:marTop w:val="0"/>
      <w:marBottom w:val="0"/>
      <w:divBdr>
        <w:top w:val="none" w:sz="0" w:space="0" w:color="auto"/>
        <w:left w:val="none" w:sz="0" w:space="0" w:color="auto"/>
        <w:bottom w:val="none" w:sz="0" w:space="0" w:color="auto"/>
        <w:right w:val="none" w:sz="0" w:space="0" w:color="auto"/>
      </w:divBdr>
    </w:div>
    <w:div w:id="2021463034">
      <w:bodyDiv w:val="1"/>
      <w:marLeft w:val="0"/>
      <w:marRight w:val="0"/>
      <w:marTop w:val="0"/>
      <w:marBottom w:val="0"/>
      <w:divBdr>
        <w:top w:val="none" w:sz="0" w:space="0" w:color="auto"/>
        <w:left w:val="none" w:sz="0" w:space="0" w:color="auto"/>
        <w:bottom w:val="none" w:sz="0" w:space="0" w:color="auto"/>
        <w:right w:val="none" w:sz="0" w:space="0" w:color="auto"/>
      </w:divBdr>
    </w:div>
    <w:div w:id="2038922918">
      <w:bodyDiv w:val="1"/>
      <w:marLeft w:val="0"/>
      <w:marRight w:val="0"/>
      <w:marTop w:val="0"/>
      <w:marBottom w:val="0"/>
      <w:divBdr>
        <w:top w:val="none" w:sz="0" w:space="0" w:color="auto"/>
        <w:left w:val="none" w:sz="0" w:space="0" w:color="auto"/>
        <w:bottom w:val="none" w:sz="0" w:space="0" w:color="auto"/>
        <w:right w:val="none" w:sz="0" w:space="0" w:color="auto"/>
      </w:divBdr>
      <w:divsChild>
        <w:div w:id="1013610257">
          <w:marLeft w:val="0"/>
          <w:marRight w:val="0"/>
          <w:marTop w:val="0"/>
          <w:marBottom w:val="0"/>
          <w:divBdr>
            <w:top w:val="none" w:sz="0" w:space="0" w:color="auto"/>
            <w:left w:val="none" w:sz="0" w:space="0" w:color="auto"/>
            <w:bottom w:val="none" w:sz="0" w:space="0" w:color="auto"/>
            <w:right w:val="none" w:sz="0" w:space="0" w:color="auto"/>
          </w:divBdr>
          <w:divsChild>
            <w:div w:id="2036728874">
              <w:marLeft w:val="0"/>
              <w:marRight w:val="0"/>
              <w:marTop w:val="0"/>
              <w:marBottom w:val="0"/>
              <w:divBdr>
                <w:top w:val="none" w:sz="0" w:space="0" w:color="auto"/>
                <w:left w:val="none" w:sz="0" w:space="0" w:color="auto"/>
                <w:bottom w:val="none" w:sz="0" w:space="0" w:color="auto"/>
                <w:right w:val="none" w:sz="0" w:space="0" w:color="auto"/>
              </w:divBdr>
              <w:divsChild>
                <w:div w:id="1993288597">
                  <w:marLeft w:val="0"/>
                  <w:marRight w:val="0"/>
                  <w:marTop w:val="0"/>
                  <w:marBottom w:val="0"/>
                  <w:divBdr>
                    <w:top w:val="none" w:sz="0" w:space="0" w:color="auto"/>
                    <w:left w:val="none" w:sz="0" w:space="0" w:color="auto"/>
                    <w:bottom w:val="none" w:sz="0" w:space="0" w:color="auto"/>
                    <w:right w:val="none" w:sz="0" w:space="0" w:color="auto"/>
                  </w:divBdr>
                  <w:divsChild>
                    <w:div w:id="1404064984">
                      <w:marLeft w:val="0"/>
                      <w:marRight w:val="0"/>
                      <w:marTop w:val="0"/>
                      <w:marBottom w:val="0"/>
                      <w:divBdr>
                        <w:top w:val="none" w:sz="0" w:space="0" w:color="auto"/>
                        <w:left w:val="none" w:sz="0" w:space="0" w:color="auto"/>
                        <w:bottom w:val="none" w:sz="0" w:space="0" w:color="auto"/>
                        <w:right w:val="none" w:sz="0" w:space="0" w:color="auto"/>
                      </w:divBdr>
                      <w:divsChild>
                        <w:div w:id="1138496442">
                          <w:marLeft w:val="0"/>
                          <w:marRight w:val="0"/>
                          <w:marTop w:val="0"/>
                          <w:marBottom w:val="0"/>
                          <w:divBdr>
                            <w:top w:val="none" w:sz="0" w:space="0" w:color="auto"/>
                            <w:left w:val="none" w:sz="0" w:space="0" w:color="auto"/>
                            <w:bottom w:val="none" w:sz="0" w:space="0" w:color="auto"/>
                            <w:right w:val="none" w:sz="0" w:space="0" w:color="auto"/>
                          </w:divBdr>
                          <w:divsChild>
                            <w:div w:id="1063020473">
                              <w:marLeft w:val="0"/>
                              <w:marRight w:val="0"/>
                              <w:marTop w:val="0"/>
                              <w:marBottom w:val="0"/>
                              <w:divBdr>
                                <w:top w:val="none" w:sz="0" w:space="0" w:color="auto"/>
                                <w:left w:val="none" w:sz="0" w:space="0" w:color="auto"/>
                                <w:bottom w:val="none" w:sz="0" w:space="0" w:color="auto"/>
                                <w:right w:val="none" w:sz="0" w:space="0" w:color="auto"/>
                              </w:divBdr>
                              <w:divsChild>
                                <w:div w:id="1149978781">
                                  <w:marLeft w:val="0"/>
                                  <w:marRight w:val="0"/>
                                  <w:marTop w:val="0"/>
                                  <w:marBottom w:val="0"/>
                                  <w:divBdr>
                                    <w:top w:val="none" w:sz="0" w:space="0" w:color="auto"/>
                                    <w:left w:val="none" w:sz="0" w:space="0" w:color="auto"/>
                                    <w:bottom w:val="none" w:sz="0" w:space="0" w:color="auto"/>
                                    <w:right w:val="none" w:sz="0" w:space="0" w:color="auto"/>
                                  </w:divBdr>
                                  <w:divsChild>
                                    <w:div w:id="1811481428">
                                      <w:marLeft w:val="0"/>
                                      <w:marRight w:val="0"/>
                                      <w:marTop w:val="0"/>
                                      <w:marBottom w:val="0"/>
                                      <w:divBdr>
                                        <w:top w:val="none" w:sz="0" w:space="0" w:color="auto"/>
                                        <w:left w:val="none" w:sz="0" w:space="0" w:color="auto"/>
                                        <w:bottom w:val="none" w:sz="0" w:space="0" w:color="auto"/>
                                        <w:right w:val="none" w:sz="0" w:space="0" w:color="auto"/>
                                      </w:divBdr>
                                      <w:divsChild>
                                        <w:div w:id="638457050">
                                          <w:marLeft w:val="0"/>
                                          <w:marRight w:val="0"/>
                                          <w:marTop w:val="0"/>
                                          <w:marBottom w:val="495"/>
                                          <w:divBdr>
                                            <w:top w:val="none" w:sz="0" w:space="0" w:color="auto"/>
                                            <w:left w:val="none" w:sz="0" w:space="0" w:color="auto"/>
                                            <w:bottom w:val="none" w:sz="0" w:space="0" w:color="auto"/>
                                            <w:right w:val="none" w:sz="0" w:space="0" w:color="auto"/>
                                          </w:divBdr>
                                          <w:divsChild>
                                            <w:div w:id="3789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0802038">
      <w:bodyDiv w:val="1"/>
      <w:marLeft w:val="0"/>
      <w:marRight w:val="0"/>
      <w:marTop w:val="0"/>
      <w:marBottom w:val="0"/>
      <w:divBdr>
        <w:top w:val="none" w:sz="0" w:space="0" w:color="auto"/>
        <w:left w:val="none" w:sz="0" w:space="0" w:color="auto"/>
        <w:bottom w:val="none" w:sz="0" w:space="0" w:color="auto"/>
        <w:right w:val="none" w:sz="0" w:space="0" w:color="auto"/>
      </w:divBdr>
      <w:divsChild>
        <w:div w:id="391201787">
          <w:marLeft w:val="0"/>
          <w:marRight w:val="0"/>
          <w:marTop w:val="0"/>
          <w:marBottom w:val="0"/>
          <w:divBdr>
            <w:top w:val="none" w:sz="0" w:space="0" w:color="auto"/>
            <w:left w:val="none" w:sz="0" w:space="0" w:color="auto"/>
            <w:bottom w:val="none" w:sz="0" w:space="0" w:color="auto"/>
            <w:right w:val="none" w:sz="0" w:space="0" w:color="auto"/>
          </w:divBdr>
          <w:divsChild>
            <w:div w:id="1426026458">
              <w:marLeft w:val="0"/>
              <w:marRight w:val="0"/>
              <w:marTop w:val="0"/>
              <w:marBottom w:val="0"/>
              <w:divBdr>
                <w:top w:val="none" w:sz="0" w:space="0" w:color="auto"/>
                <w:left w:val="none" w:sz="0" w:space="0" w:color="auto"/>
                <w:bottom w:val="none" w:sz="0" w:space="0" w:color="auto"/>
                <w:right w:val="none" w:sz="0" w:space="0" w:color="auto"/>
              </w:divBdr>
              <w:divsChild>
                <w:div w:id="1363288829">
                  <w:marLeft w:val="0"/>
                  <w:marRight w:val="0"/>
                  <w:marTop w:val="0"/>
                  <w:marBottom w:val="0"/>
                  <w:divBdr>
                    <w:top w:val="none" w:sz="0" w:space="0" w:color="auto"/>
                    <w:left w:val="none" w:sz="0" w:space="0" w:color="auto"/>
                    <w:bottom w:val="none" w:sz="0" w:space="0" w:color="auto"/>
                    <w:right w:val="none" w:sz="0" w:space="0" w:color="auto"/>
                  </w:divBdr>
                  <w:divsChild>
                    <w:div w:id="737090497">
                      <w:marLeft w:val="0"/>
                      <w:marRight w:val="0"/>
                      <w:marTop w:val="0"/>
                      <w:marBottom w:val="0"/>
                      <w:divBdr>
                        <w:top w:val="none" w:sz="0" w:space="0" w:color="auto"/>
                        <w:left w:val="none" w:sz="0" w:space="0" w:color="auto"/>
                        <w:bottom w:val="none" w:sz="0" w:space="0" w:color="auto"/>
                        <w:right w:val="none" w:sz="0" w:space="0" w:color="auto"/>
                      </w:divBdr>
                      <w:divsChild>
                        <w:div w:id="2116509760">
                          <w:marLeft w:val="0"/>
                          <w:marRight w:val="0"/>
                          <w:marTop w:val="0"/>
                          <w:marBottom w:val="0"/>
                          <w:divBdr>
                            <w:top w:val="none" w:sz="0" w:space="0" w:color="auto"/>
                            <w:left w:val="none" w:sz="0" w:space="0" w:color="auto"/>
                            <w:bottom w:val="none" w:sz="0" w:space="0" w:color="auto"/>
                            <w:right w:val="none" w:sz="0" w:space="0" w:color="auto"/>
                          </w:divBdr>
                          <w:divsChild>
                            <w:div w:id="1875536546">
                              <w:marLeft w:val="0"/>
                              <w:marRight w:val="0"/>
                              <w:marTop w:val="0"/>
                              <w:marBottom w:val="0"/>
                              <w:divBdr>
                                <w:top w:val="none" w:sz="0" w:space="0" w:color="auto"/>
                                <w:left w:val="none" w:sz="0" w:space="0" w:color="auto"/>
                                <w:bottom w:val="none" w:sz="0" w:space="0" w:color="auto"/>
                                <w:right w:val="none" w:sz="0" w:space="0" w:color="auto"/>
                              </w:divBdr>
                              <w:divsChild>
                                <w:div w:id="124587806">
                                  <w:marLeft w:val="0"/>
                                  <w:marRight w:val="0"/>
                                  <w:marTop w:val="0"/>
                                  <w:marBottom w:val="0"/>
                                  <w:divBdr>
                                    <w:top w:val="none" w:sz="0" w:space="0" w:color="auto"/>
                                    <w:left w:val="none" w:sz="0" w:space="0" w:color="auto"/>
                                    <w:bottom w:val="none" w:sz="0" w:space="0" w:color="auto"/>
                                    <w:right w:val="none" w:sz="0" w:space="0" w:color="auto"/>
                                  </w:divBdr>
                                  <w:divsChild>
                                    <w:div w:id="1782141070">
                                      <w:marLeft w:val="0"/>
                                      <w:marRight w:val="0"/>
                                      <w:marTop w:val="0"/>
                                      <w:marBottom w:val="0"/>
                                      <w:divBdr>
                                        <w:top w:val="none" w:sz="0" w:space="0" w:color="auto"/>
                                        <w:left w:val="none" w:sz="0" w:space="0" w:color="auto"/>
                                        <w:bottom w:val="none" w:sz="0" w:space="0" w:color="auto"/>
                                        <w:right w:val="none" w:sz="0" w:space="0" w:color="auto"/>
                                      </w:divBdr>
                                      <w:divsChild>
                                        <w:div w:id="459418223">
                                          <w:marLeft w:val="0"/>
                                          <w:marRight w:val="0"/>
                                          <w:marTop w:val="0"/>
                                          <w:marBottom w:val="495"/>
                                          <w:divBdr>
                                            <w:top w:val="none" w:sz="0" w:space="0" w:color="auto"/>
                                            <w:left w:val="none" w:sz="0" w:space="0" w:color="auto"/>
                                            <w:bottom w:val="none" w:sz="0" w:space="0" w:color="auto"/>
                                            <w:right w:val="none" w:sz="0" w:space="0" w:color="auto"/>
                                          </w:divBdr>
                                          <w:divsChild>
                                            <w:div w:id="8585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web/mze/dotace/operacni-program-rybarstvi-na-obdobi-1/priority-unie/priorita-unie-2/"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agri.cz/public/web/mze/dotace/operacni-program-rybarstvi-na-obdobi-1/priority-unie/priorita-unie-5/" TargetMode="External"/><Relationship Id="rId4" Type="http://schemas.openxmlformats.org/officeDocument/2006/relationships/settings" Target="settings.xml"/><Relationship Id="rId9" Type="http://schemas.openxmlformats.org/officeDocument/2006/relationships/hyperlink" Target="http://eagri.cz/public/web/mze/dotace/operacni-program-rybarstvi-na-obdobi-1/priority-unie/priorita-unie-3/"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1EF9-1A3E-44D0-A8E9-A70BAE111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5</Pages>
  <Words>1463</Words>
  <Characters>8637</Characters>
  <Application>Microsoft Office Word</Application>
  <DocSecurity>0</DocSecurity>
  <Lines>71</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MZe ČR</Company>
  <LinksUpToDate>false</LinksUpToDate>
  <CharactersWithSpaces>10080</CharactersWithSpaces>
  <SharedDoc>false</SharedDoc>
  <HLinks>
    <vt:vector size="18" baseType="variant">
      <vt:variant>
        <vt:i4>6488127</vt:i4>
      </vt:variant>
      <vt:variant>
        <vt:i4>6</vt:i4>
      </vt:variant>
      <vt:variant>
        <vt:i4>0</vt:i4>
      </vt:variant>
      <vt:variant>
        <vt:i4>5</vt:i4>
      </vt:variant>
      <vt:variant>
        <vt:lpwstr>http://eagri.cz/public/web/mze/dotace/operacni-program-rybarstvi-na-obdobi-1/priority-unie/priorita-unie-5/</vt:lpwstr>
      </vt:variant>
      <vt:variant>
        <vt:lpwstr/>
      </vt:variant>
      <vt:variant>
        <vt:i4>6619199</vt:i4>
      </vt:variant>
      <vt:variant>
        <vt:i4>3</vt:i4>
      </vt:variant>
      <vt:variant>
        <vt:i4>0</vt:i4>
      </vt:variant>
      <vt:variant>
        <vt:i4>5</vt:i4>
      </vt:variant>
      <vt:variant>
        <vt:lpwstr>http://eagri.cz/public/web/mze/dotace/operacni-program-rybarstvi-na-obdobi-1/priority-unie/priorita-unie-3/</vt:lpwstr>
      </vt:variant>
      <vt:variant>
        <vt:lpwstr/>
      </vt:variant>
      <vt:variant>
        <vt:i4>6553663</vt:i4>
      </vt:variant>
      <vt:variant>
        <vt:i4>0</vt:i4>
      </vt:variant>
      <vt:variant>
        <vt:i4>0</vt:i4>
      </vt:variant>
      <vt:variant>
        <vt:i4>5</vt:i4>
      </vt:variant>
      <vt:variant>
        <vt:lpwstr>http://eagri.cz/public/web/mze/dotace/operacni-program-rybarstvi-na-obdobi-1/priority-unie/priorita-unie-2/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Milan.Vahala@mze.cz</dc:creator>
  <cp:keywords/>
  <cp:lastModifiedBy>Škrobánková Kateřina</cp:lastModifiedBy>
  <cp:revision>93</cp:revision>
  <cp:lastPrinted>2023-03-01T16:17:00Z</cp:lastPrinted>
  <dcterms:created xsi:type="dcterms:W3CDTF">2023-04-20T12:04:00Z</dcterms:created>
  <dcterms:modified xsi:type="dcterms:W3CDTF">2024-05-29T12:18:00Z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2024-05-29T12:12:31Z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a7488617-3745-489a-95d3-22c9dd4a2ff1</vt:lpwstr>
  </property>
  <property fmtid="{D5CDD505-2E9C-101B-9397-08002B2CF9AE}" pid="8" name="MSIP_Label_8d01bb0b-c2f5-4fc4-bac5-774fe7d62679_ContentBits">
    <vt:lpwstr>0</vt:lpwstr>
  </property>
</Properties>
</file>