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6886" w14:textId="3A527C51" w:rsidR="000459A9" w:rsidRPr="00C80D2B" w:rsidRDefault="000444AB">
      <w:pPr>
        <w:rPr>
          <w:b/>
          <w:bCs/>
        </w:rPr>
      </w:pPr>
      <w:r w:rsidRPr="00C80D2B">
        <w:rPr>
          <w:b/>
          <w:bCs/>
        </w:rPr>
        <w:t>Bude k dispozici prezentace z dnešního semináře</w:t>
      </w:r>
      <w:r w:rsidR="004A59A8" w:rsidRPr="00C80D2B">
        <w:rPr>
          <w:b/>
          <w:bCs/>
        </w:rPr>
        <w:t>?</w:t>
      </w:r>
    </w:p>
    <w:p w14:paraId="0C94E675" w14:textId="2223A71F" w:rsidR="000459A9" w:rsidRDefault="004A59A8" w:rsidP="00C80D2B">
      <w:pPr>
        <w:pStyle w:val="Odstavecseseznamem"/>
        <w:numPr>
          <w:ilvl w:val="0"/>
          <w:numId w:val="2"/>
        </w:numPr>
      </w:pPr>
      <w:r>
        <w:t xml:space="preserve">Ano, prezentace bude ke stažení </w:t>
      </w:r>
      <w:r w:rsidR="000103BD">
        <w:t>na webu NAZV, společně se zodpovězenými dotazy.</w:t>
      </w:r>
    </w:p>
    <w:p w14:paraId="3E0E4CFA" w14:textId="77777777" w:rsidR="00C80D2B" w:rsidRDefault="00C80D2B" w:rsidP="00C80D2B">
      <w:pPr>
        <w:pStyle w:val="Odstavecseseznamem"/>
      </w:pPr>
    </w:p>
    <w:p w14:paraId="53532BCB" w14:textId="1AD2935B" w:rsidR="00864870" w:rsidRPr="00C80D2B" w:rsidRDefault="00347451">
      <w:pPr>
        <w:rPr>
          <w:b/>
          <w:bCs/>
        </w:rPr>
      </w:pPr>
      <w:r w:rsidRPr="00C80D2B">
        <w:rPr>
          <w:b/>
          <w:bCs/>
        </w:rPr>
        <w:t xml:space="preserve">QK21 </w:t>
      </w:r>
      <w:r w:rsidR="003D4A31" w:rsidRPr="00C80D2B">
        <w:rPr>
          <w:b/>
          <w:bCs/>
        </w:rPr>
        <w:t>–</w:t>
      </w:r>
      <w:r w:rsidR="00416C06" w:rsidRPr="00C80D2B">
        <w:rPr>
          <w:b/>
          <w:bCs/>
        </w:rPr>
        <w:t xml:space="preserve"> Je nutné podat </w:t>
      </w:r>
      <w:r w:rsidR="003D4A31" w:rsidRPr="00C80D2B">
        <w:rPr>
          <w:b/>
          <w:bCs/>
        </w:rPr>
        <w:t xml:space="preserve">žádost o změnu termínu pro dosažení výsledku </w:t>
      </w:r>
      <w:r w:rsidR="00416C06" w:rsidRPr="00C80D2B">
        <w:rPr>
          <w:b/>
          <w:bCs/>
        </w:rPr>
        <w:t>u projektu QK21 (řešení do konce letošního roku</w:t>
      </w:r>
      <w:r w:rsidR="003D4A31" w:rsidRPr="00C80D2B">
        <w:rPr>
          <w:b/>
          <w:bCs/>
        </w:rPr>
        <w:t>)</w:t>
      </w:r>
      <w:r w:rsidR="005751C1" w:rsidRPr="00C80D2B">
        <w:rPr>
          <w:b/>
          <w:bCs/>
        </w:rPr>
        <w:t>,</w:t>
      </w:r>
      <w:r w:rsidR="00EB6BE7" w:rsidRPr="00C80D2B">
        <w:rPr>
          <w:b/>
          <w:bCs/>
        </w:rPr>
        <w:t xml:space="preserve"> </w:t>
      </w:r>
      <w:r w:rsidR="005B2384" w:rsidRPr="00C80D2B">
        <w:rPr>
          <w:b/>
          <w:bCs/>
        </w:rPr>
        <w:t>pokud bude výsledku dosaženo v</w:t>
      </w:r>
      <w:r w:rsidR="00FC6891" w:rsidRPr="00C80D2B">
        <w:rPr>
          <w:b/>
          <w:bCs/>
        </w:rPr>
        <w:t> </w:t>
      </w:r>
      <w:r w:rsidR="005B2384" w:rsidRPr="00C80D2B">
        <w:rPr>
          <w:b/>
          <w:bCs/>
        </w:rPr>
        <w:t>lednu</w:t>
      </w:r>
      <w:r w:rsidR="00FC6891" w:rsidRPr="00C80D2B">
        <w:rPr>
          <w:b/>
          <w:bCs/>
        </w:rPr>
        <w:t xml:space="preserve"> 2025?</w:t>
      </w:r>
    </w:p>
    <w:p w14:paraId="18991A9B" w14:textId="7C504D39" w:rsidR="00FC6891" w:rsidRDefault="005751C1" w:rsidP="00FC6891">
      <w:pPr>
        <w:pStyle w:val="Odstavecseseznamem"/>
        <w:numPr>
          <w:ilvl w:val="0"/>
          <w:numId w:val="1"/>
        </w:numPr>
      </w:pPr>
      <w:r>
        <w:t xml:space="preserve">Výsledky </w:t>
      </w:r>
      <w:r w:rsidR="00FC6891">
        <w:t>musí být splněn</w:t>
      </w:r>
      <w:r>
        <w:t>y</w:t>
      </w:r>
      <w:r w:rsidR="00FC6891">
        <w:t xml:space="preserve"> do data podání ZAZ, </w:t>
      </w:r>
      <w:r>
        <w:t>doporučujeme</w:t>
      </w:r>
      <w:r w:rsidR="0074506D">
        <w:t xml:space="preserve"> ale </w:t>
      </w:r>
      <w:r>
        <w:t>žádost</w:t>
      </w:r>
      <w:r w:rsidR="00FC6891">
        <w:t xml:space="preserve"> pro jistotu</w:t>
      </w:r>
      <w:r w:rsidR="00D51D9D">
        <w:t xml:space="preserve"> podat</w:t>
      </w:r>
      <w:r w:rsidR="00B006C0">
        <w:t xml:space="preserve"> a </w:t>
      </w:r>
      <w:r w:rsidR="00D51D9D">
        <w:t>případ</w:t>
      </w:r>
      <w:r w:rsidR="0032259A">
        <w:t xml:space="preserve">ně </w:t>
      </w:r>
      <w:r w:rsidR="00B006C0">
        <w:t>splnit</w:t>
      </w:r>
      <w:r w:rsidR="0032259A">
        <w:t xml:space="preserve"> výsledek</w:t>
      </w:r>
      <w:r w:rsidR="00B006C0">
        <w:t xml:space="preserve"> dříve</w:t>
      </w:r>
      <w:r w:rsidR="0032259A">
        <w:t>.</w:t>
      </w:r>
    </w:p>
    <w:p w14:paraId="5EDA14E8" w14:textId="77777777" w:rsidR="008A45A7" w:rsidRDefault="008A45A7" w:rsidP="008A45A7"/>
    <w:p w14:paraId="4C67E951" w14:textId="7D353BEC" w:rsidR="008A45A7" w:rsidRPr="00C80D2B" w:rsidRDefault="007C6CE4" w:rsidP="008A45A7">
      <w:pPr>
        <w:rPr>
          <w:b/>
          <w:bCs/>
        </w:rPr>
      </w:pPr>
      <w:r w:rsidRPr="00C80D2B">
        <w:rPr>
          <w:b/>
          <w:bCs/>
        </w:rPr>
        <w:t xml:space="preserve">FÚ v Šumperku </w:t>
      </w:r>
      <w:r w:rsidR="00DF52B1" w:rsidRPr="00C80D2B">
        <w:rPr>
          <w:b/>
          <w:bCs/>
        </w:rPr>
        <w:t xml:space="preserve">posuzuje způsobilost nároku na odpočet </w:t>
      </w:r>
      <w:r w:rsidR="00D85922" w:rsidRPr="00C80D2B">
        <w:rPr>
          <w:b/>
          <w:bCs/>
        </w:rPr>
        <w:t>DPH u</w:t>
      </w:r>
      <w:r w:rsidR="00DF52B1" w:rsidRPr="00C80D2B">
        <w:rPr>
          <w:b/>
          <w:bCs/>
        </w:rPr>
        <w:t xml:space="preserve"> každého projektu individuálně, jak postupovat s nárokováním DPH jako způsobilého výdaje?</w:t>
      </w:r>
    </w:p>
    <w:p w14:paraId="5C343108" w14:textId="7EA77C62" w:rsidR="00DF52B1" w:rsidRDefault="00FD30F4" w:rsidP="00DF52B1">
      <w:pPr>
        <w:pStyle w:val="Odstavecseseznamem"/>
        <w:numPr>
          <w:ilvl w:val="0"/>
          <w:numId w:val="1"/>
        </w:numPr>
      </w:pPr>
      <w:r>
        <w:t xml:space="preserve">V takovém případě je způsobilým výdajem v projektu ta část DPH, u které neplatí nárok na odpočet. </w:t>
      </w:r>
      <w:r w:rsidR="00D85922">
        <w:t>Nedochází ke změně oproti předchozí praxi.</w:t>
      </w:r>
    </w:p>
    <w:p w14:paraId="465DD641" w14:textId="77777777" w:rsidR="00C078E2" w:rsidRDefault="00C078E2" w:rsidP="008A45A7"/>
    <w:p w14:paraId="7FDAC701" w14:textId="57DABCCA" w:rsidR="00C078E2" w:rsidRPr="00C80D2B" w:rsidRDefault="00D85922" w:rsidP="008A45A7">
      <w:pPr>
        <w:rPr>
          <w:b/>
          <w:bCs/>
        </w:rPr>
      </w:pPr>
      <w:r w:rsidRPr="00C80D2B">
        <w:rPr>
          <w:b/>
          <w:bCs/>
        </w:rPr>
        <w:t xml:space="preserve">Když je </w:t>
      </w:r>
      <w:r w:rsidR="00A740C8" w:rsidRPr="00C80D2B">
        <w:rPr>
          <w:b/>
          <w:bCs/>
        </w:rPr>
        <w:t xml:space="preserve">limit </w:t>
      </w:r>
      <w:r w:rsidR="000779B3" w:rsidRPr="00C80D2B">
        <w:rPr>
          <w:b/>
          <w:bCs/>
        </w:rPr>
        <w:t xml:space="preserve">pro převod mezi </w:t>
      </w:r>
      <w:r w:rsidRPr="00C80D2B">
        <w:rPr>
          <w:b/>
          <w:bCs/>
        </w:rPr>
        <w:t xml:space="preserve">jednotlivými </w:t>
      </w:r>
      <w:r w:rsidR="000779B3" w:rsidRPr="00C80D2B">
        <w:rPr>
          <w:b/>
          <w:bCs/>
        </w:rPr>
        <w:t xml:space="preserve">položkami </w:t>
      </w:r>
      <w:r w:rsidRPr="00C80D2B">
        <w:rPr>
          <w:b/>
          <w:bCs/>
        </w:rPr>
        <w:t xml:space="preserve">20 % </w:t>
      </w:r>
      <w:r w:rsidR="000779B3" w:rsidRPr="00C80D2B">
        <w:rPr>
          <w:b/>
          <w:bCs/>
        </w:rPr>
        <w:t>– z jaké položky se počítají procenta?</w:t>
      </w:r>
    </w:p>
    <w:p w14:paraId="3158669E" w14:textId="790C23CB" w:rsidR="000779B3" w:rsidRDefault="00D85922" w:rsidP="000779B3">
      <w:pPr>
        <w:pStyle w:val="Odstavecseseznamem"/>
        <w:numPr>
          <w:ilvl w:val="0"/>
          <w:numId w:val="1"/>
        </w:numPr>
      </w:pPr>
      <w:r>
        <w:t>L</w:t>
      </w:r>
      <w:r w:rsidR="0084521B">
        <w:t xml:space="preserve">imit 20 % </w:t>
      </w:r>
      <w:r>
        <w:t xml:space="preserve">platí u každé položky, a to </w:t>
      </w:r>
      <w:r w:rsidR="0084521B">
        <w:t xml:space="preserve">za celou dobu řešení projektu. Nejjednodušší kontrola je v ISTA při podávání zprávy – ve finanční tabulce </w:t>
      </w:r>
      <w:r w:rsidR="00B2786D">
        <w:t xml:space="preserve">je zobrazeno procento čerpání dané položky – na konci </w:t>
      </w:r>
      <w:r w:rsidR="003C64AB">
        <w:t>řešení projektu</w:t>
      </w:r>
      <w:r w:rsidR="00B2786D">
        <w:t xml:space="preserve"> nesmí být u žádné z položek více než 120 % a méně než 80 %</w:t>
      </w:r>
      <w:r w:rsidR="008A5866">
        <w:t>.</w:t>
      </w:r>
    </w:p>
    <w:p w14:paraId="07B6675C" w14:textId="77777777" w:rsidR="008A5866" w:rsidRDefault="008A5866" w:rsidP="008A5866">
      <w:pPr>
        <w:pStyle w:val="Odstavecseseznamem"/>
      </w:pPr>
    </w:p>
    <w:p w14:paraId="102245E7" w14:textId="2332B0BE" w:rsidR="00F67469" w:rsidRPr="00C80D2B" w:rsidRDefault="008A5866" w:rsidP="00F67469">
      <w:pPr>
        <w:rPr>
          <w:b/>
          <w:bCs/>
        </w:rPr>
      </w:pPr>
      <w:r w:rsidRPr="00C80D2B">
        <w:rPr>
          <w:b/>
          <w:bCs/>
        </w:rPr>
        <w:t>Existuje</w:t>
      </w:r>
      <w:r w:rsidR="00F67469" w:rsidRPr="00C80D2B">
        <w:rPr>
          <w:b/>
          <w:bCs/>
        </w:rPr>
        <w:t xml:space="preserve"> nějaká tolerance u nespotřebovaných prostředků – od jaké částky se musí vrátit v rámci finančního vypořádání</w:t>
      </w:r>
      <w:r w:rsidRPr="00C80D2B">
        <w:rPr>
          <w:b/>
          <w:bCs/>
        </w:rPr>
        <w:t>?</w:t>
      </w:r>
    </w:p>
    <w:p w14:paraId="1E787A8C" w14:textId="125F0541" w:rsidR="007C06A4" w:rsidRDefault="008A5866" w:rsidP="007C06A4">
      <w:pPr>
        <w:pStyle w:val="Odstavecseseznamem"/>
        <w:numPr>
          <w:ilvl w:val="0"/>
          <w:numId w:val="1"/>
        </w:numPr>
      </w:pPr>
      <w:r>
        <w:t>T</w:t>
      </w:r>
      <w:r w:rsidR="007C06A4">
        <w:t>olerance</w:t>
      </w:r>
      <w:r>
        <w:t xml:space="preserve"> je nulová</w:t>
      </w:r>
      <w:r w:rsidR="007C06A4">
        <w:t>, vše, co není spotřebováno</w:t>
      </w:r>
      <w:r>
        <w:t xml:space="preserve"> pro uskutečnění projektu</w:t>
      </w:r>
      <w:r w:rsidR="007C06A4">
        <w:t xml:space="preserve">, </w:t>
      </w:r>
      <w:r>
        <w:t xml:space="preserve">je nutné vrátit poskytovateli </w:t>
      </w:r>
      <w:r w:rsidR="000C0431">
        <w:t>v </w:t>
      </w:r>
      <w:r w:rsidR="1DEF4FD2">
        <w:t xml:space="preserve"> </w:t>
      </w:r>
      <w:r w:rsidR="000C0431">
        <w:t xml:space="preserve">rámci finančního vypořádání po ukončení </w:t>
      </w:r>
      <w:r w:rsidR="00C402B3">
        <w:t xml:space="preserve">realizace </w:t>
      </w:r>
      <w:r w:rsidR="000C0431">
        <w:t>projektu, a to na účet, který je oznámen datovou zprávou</w:t>
      </w:r>
      <w:r>
        <w:t>.</w:t>
      </w:r>
    </w:p>
    <w:p w14:paraId="49148B91" w14:textId="77777777" w:rsidR="008A5866" w:rsidRDefault="008A5866" w:rsidP="008A5866">
      <w:pPr>
        <w:pStyle w:val="Odstavecseseznamem"/>
      </w:pPr>
    </w:p>
    <w:p w14:paraId="68BFA15C" w14:textId="60E2B20C" w:rsidR="00E375A3" w:rsidRPr="00C80D2B" w:rsidRDefault="008A5866" w:rsidP="00E375A3">
      <w:pPr>
        <w:rPr>
          <w:b/>
          <w:bCs/>
        </w:rPr>
      </w:pPr>
      <w:r w:rsidRPr="00C80D2B">
        <w:rPr>
          <w:b/>
          <w:bCs/>
        </w:rPr>
        <w:t>P</w:t>
      </w:r>
      <w:r w:rsidR="00E375A3" w:rsidRPr="00C80D2B">
        <w:rPr>
          <w:b/>
          <w:bCs/>
        </w:rPr>
        <w:t xml:space="preserve">okud projekt </w:t>
      </w:r>
      <w:r w:rsidRPr="00C80D2B">
        <w:rPr>
          <w:b/>
          <w:bCs/>
        </w:rPr>
        <w:t xml:space="preserve">letos </w:t>
      </w:r>
      <w:r w:rsidR="00E375A3" w:rsidRPr="00C80D2B">
        <w:rPr>
          <w:b/>
          <w:bCs/>
        </w:rPr>
        <w:t xml:space="preserve">končí, je nutné podat průběžnou i </w:t>
      </w:r>
      <w:r w:rsidR="000D7241" w:rsidRPr="00C80D2B">
        <w:rPr>
          <w:b/>
          <w:bCs/>
        </w:rPr>
        <w:t>závěrečnou zprávu?</w:t>
      </w:r>
    </w:p>
    <w:p w14:paraId="12998A32" w14:textId="7EF71B23" w:rsidR="00450F9E" w:rsidRDefault="008A5866" w:rsidP="00450F9E">
      <w:pPr>
        <w:pStyle w:val="Odstavecseseznamem"/>
        <w:numPr>
          <w:ilvl w:val="0"/>
          <w:numId w:val="1"/>
        </w:numPr>
      </w:pPr>
      <w:r>
        <w:t>V</w:t>
      </w:r>
      <w:r w:rsidR="0076484C">
        <w:t>ždy se podává buď průběžná nebo závěrečná zpráva. Pokud je letošní rok posledním pro řešení Vašeho projektu, týká se Vás pouze zpráva závěrečná.</w:t>
      </w:r>
    </w:p>
    <w:p w14:paraId="672362B5" w14:textId="77777777" w:rsidR="00450F9E" w:rsidRDefault="00450F9E" w:rsidP="00450F9E">
      <w:pPr>
        <w:pStyle w:val="Odstavecseseznamem"/>
      </w:pPr>
    </w:p>
    <w:p w14:paraId="09C6ACBD" w14:textId="5B1A967C" w:rsidR="001856EA" w:rsidRPr="00C80D2B" w:rsidRDefault="00450F9E" w:rsidP="001856EA">
      <w:pPr>
        <w:rPr>
          <w:b/>
          <w:bCs/>
        </w:rPr>
      </w:pPr>
      <w:r w:rsidRPr="00C80D2B">
        <w:rPr>
          <w:b/>
          <w:bCs/>
        </w:rPr>
        <w:t>Existuje</w:t>
      </w:r>
      <w:r w:rsidR="001856EA" w:rsidRPr="00C80D2B">
        <w:rPr>
          <w:b/>
          <w:bCs/>
        </w:rPr>
        <w:t xml:space="preserve"> limit pro </w:t>
      </w:r>
      <w:r w:rsidRPr="00C80D2B">
        <w:rPr>
          <w:b/>
          <w:bCs/>
        </w:rPr>
        <w:t xml:space="preserve">zdražující se </w:t>
      </w:r>
      <w:r w:rsidR="001856EA" w:rsidRPr="00C80D2B">
        <w:rPr>
          <w:b/>
          <w:bCs/>
        </w:rPr>
        <w:t xml:space="preserve">open </w:t>
      </w:r>
      <w:proofErr w:type="spellStart"/>
      <w:r w:rsidR="001856EA" w:rsidRPr="00C80D2B">
        <w:rPr>
          <w:b/>
          <w:bCs/>
        </w:rPr>
        <w:t>access</w:t>
      </w:r>
      <w:proofErr w:type="spellEnd"/>
      <w:r w:rsidR="001856EA" w:rsidRPr="00C80D2B">
        <w:rPr>
          <w:b/>
          <w:bCs/>
        </w:rPr>
        <w:t xml:space="preserve"> poplatky?</w:t>
      </w:r>
    </w:p>
    <w:p w14:paraId="39078D50" w14:textId="47A1A284" w:rsidR="001856EA" w:rsidRDefault="00171F9D" w:rsidP="001856EA">
      <w:pPr>
        <w:pStyle w:val="Odstavecseseznamem"/>
        <w:numPr>
          <w:ilvl w:val="0"/>
          <w:numId w:val="1"/>
        </w:numPr>
      </w:pPr>
      <w:r>
        <w:t>Limit není stanoven, platí pravidlo 3E</w:t>
      </w:r>
      <w:r w:rsidR="00CE087A">
        <w:t>.</w:t>
      </w:r>
    </w:p>
    <w:p w14:paraId="0FA946B0" w14:textId="77777777" w:rsidR="00CE087A" w:rsidRDefault="00CE087A" w:rsidP="00CE087A">
      <w:pPr>
        <w:pStyle w:val="Odstavecseseznamem"/>
      </w:pPr>
    </w:p>
    <w:p w14:paraId="1950C925" w14:textId="46BEAE43" w:rsidR="001856EA" w:rsidRPr="00C80D2B" w:rsidRDefault="00CE087A" w:rsidP="001856EA">
      <w:pPr>
        <w:rPr>
          <w:b/>
          <w:bCs/>
        </w:rPr>
      </w:pPr>
      <w:r w:rsidRPr="00C80D2B">
        <w:rPr>
          <w:b/>
          <w:bCs/>
        </w:rPr>
        <w:t>A</w:t>
      </w:r>
      <w:r w:rsidR="00FF560A" w:rsidRPr="00C80D2B">
        <w:rPr>
          <w:b/>
          <w:bCs/>
        </w:rPr>
        <w:t>ktuálně řešíme registraci organizace v SISTA na TA ČR. Týká se nutnost registrace i soutěže na NAZV v roce 2025? Pro průmyslové partnery může být tento úkon problematický až nepropustný...</w:t>
      </w:r>
    </w:p>
    <w:p w14:paraId="2CA7E2BD" w14:textId="78DE2C6A" w:rsidR="00CE087A" w:rsidRDefault="0659F4CE" w:rsidP="468EE12A">
      <w:pPr>
        <w:pStyle w:val="Odstavecseseznamem"/>
        <w:numPr>
          <w:ilvl w:val="0"/>
          <w:numId w:val="1"/>
        </w:numPr>
        <w:rPr>
          <w:rFonts w:ascii="Aptos" w:eastAsia="Aptos" w:hAnsi="Aptos" w:cs="Aptos"/>
          <w:sz w:val="24"/>
          <w:szCs w:val="24"/>
        </w:rPr>
      </w:pPr>
      <w:r w:rsidRPr="468EE12A">
        <w:rPr>
          <w:rFonts w:ascii="Aptos" w:eastAsia="Aptos" w:hAnsi="Aptos" w:cs="Aptos"/>
          <w:sz w:val="24"/>
          <w:szCs w:val="24"/>
        </w:rPr>
        <w:t xml:space="preserve"> ano, jedná se o krok, kdy se musí všechny organizace registrovat do SISTA, platí to pro všechny registrované v ISTA, tedy i o ZEMI II. </w:t>
      </w:r>
    </w:p>
    <w:p w14:paraId="27FC0F1E" w14:textId="65B11C7B" w:rsidR="0659F4CE" w:rsidRDefault="0659F4CE" w:rsidP="468EE12A">
      <w:pPr>
        <w:pStyle w:val="Odstavecseseznamem"/>
        <w:numPr>
          <w:ilvl w:val="0"/>
          <w:numId w:val="1"/>
        </w:numPr>
        <w:rPr>
          <w:rStyle w:val="Hypertextovodkaz"/>
          <w:rFonts w:ascii="Aptos" w:eastAsia="Aptos" w:hAnsi="Aptos" w:cs="Aptos"/>
          <w:sz w:val="24"/>
          <w:szCs w:val="24"/>
        </w:rPr>
      </w:pPr>
      <w:r w:rsidRPr="468EE12A">
        <w:rPr>
          <w:rFonts w:ascii="Aptos" w:eastAsia="Aptos" w:hAnsi="Aptos" w:cs="Aptos"/>
          <w:sz w:val="24"/>
          <w:szCs w:val="24"/>
        </w:rPr>
        <w:lastRenderedPageBreak/>
        <w:t xml:space="preserve">V případě dalších dotazů kontaktujte </w:t>
      </w:r>
      <w:hyperlink r:id="rId8" w:history="1">
        <w:r w:rsidRPr="468EE12A">
          <w:rPr>
            <w:rStyle w:val="Hypertextovodkaz"/>
            <w:rFonts w:ascii="Aptos" w:eastAsia="Aptos" w:hAnsi="Aptos" w:cs="Aptos"/>
            <w:sz w:val="24"/>
            <w:szCs w:val="24"/>
          </w:rPr>
          <w:t>HELPDESK TA ČR</w:t>
        </w:r>
      </w:hyperlink>
      <w:r w:rsidRPr="468EE12A">
        <w:rPr>
          <w:rFonts w:ascii="Aptos" w:eastAsia="Aptos" w:hAnsi="Aptos" w:cs="Aptos"/>
          <w:sz w:val="24"/>
          <w:szCs w:val="24"/>
        </w:rPr>
        <w:t xml:space="preserve">. Je to tam pro to zřízená kategorie Přechod na SISTA a kolegové z TAČR na tyto i další dotazy obratem odpovídají. Nebo navštivte stránky TAČR </w:t>
      </w:r>
      <w:hyperlink r:id="rId9" w:history="1">
        <w:r w:rsidRPr="468EE12A">
          <w:rPr>
            <w:rStyle w:val="Hypertextovodkaz"/>
            <w:rFonts w:ascii="Aptos" w:eastAsia="Aptos" w:hAnsi="Aptos" w:cs="Aptos"/>
            <w:sz w:val="24"/>
            <w:szCs w:val="24"/>
          </w:rPr>
          <w:t>odkaz</w:t>
        </w:r>
      </w:hyperlink>
      <w:r w:rsidRPr="468EE12A">
        <w:rPr>
          <w:rStyle w:val="Hypertextovodkaz"/>
          <w:rFonts w:ascii="Aptos" w:eastAsia="Aptos" w:hAnsi="Aptos" w:cs="Aptos"/>
          <w:sz w:val="24"/>
          <w:szCs w:val="24"/>
        </w:rPr>
        <w:t>, kde naleznete veš</w:t>
      </w:r>
      <w:r w:rsidR="3EC50985" w:rsidRPr="468EE12A">
        <w:rPr>
          <w:rStyle w:val="Hypertextovodkaz"/>
          <w:rFonts w:ascii="Aptos" w:eastAsia="Aptos" w:hAnsi="Aptos" w:cs="Aptos"/>
          <w:sz w:val="24"/>
          <w:szCs w:val="24"/>
        </w:rPr>
        <w:t>keré informace.</w:t>
      </w:r>
    </w:p>
    <w:p w14:paraId="1566403E" w14:textId="4BB16C25" w:rsidR="6A684274" w:rsidRDefault="6A684274" w:rsidP="6A684274">
      <w:pPr>
        <w:rPr>
          <w:b/>
          <w:bCs/>
        </w:rPr>
      </w:pPr>
    </w:p>
    <w:p w14:paraId="34056F7B" w14:textId="2068267B" w:rsidR="00FF560A" w:rsidRPr="00C80D2B" w:rsidRDefault="005E114A" w:rsidP="00FF560A">
      <w:pPr>
        <w:rPr>
          <w:b/>
          <w:bCs/>
        </w:rPr>
      </w:pPr>
      <w:r w:rsidRPr="00C80D2B">
        <w:rPr>
          <w:b/>
          <w:bCs/>
        </w:rPr>
        <w:t xml:space="preserve">Vypadá Odborná zpráva </w:t>
      </w:r>
      <w:r w:rsidR="00991930">
        <w:rPr>
          <w:b/>
          <w:bCs/>
        </w:rPr>
        <w:t>u průběžné zprávy (</w:t>
      </w:r>
      <w:r w:rsidRPr="00C80D2B">
        <w:rPr>
          <w:b/>
          <w:bCs/>
        </w:rPr>
        <w:t>PEZ</w:t>
      </w:r>
      <w:r w:rsidR="00991930">
        <w:rPr>
          <w:b/>
          <w:bCs/>
        </w:rPr>
        <w:t>)</w:t>
      </w:r>
      <w:r w:rsidRPr="00C80D2B">
        <w:rPr>
          <w:b/>
          <w:bCs/>
        </w:rPr>
        <w:t xml:space="preserve"> a</w:t>
      </w:r>
      <w:r w:rsidR="00991930">
        <w:rPr>
          <w:b/>
          <w:bCs/>
        </w:rPr>
        <w:t xml:space="preserve"> závěrečné zprávy (</w:t>
      </w:r>
      <w:r w:rsidRPr="00C80D2B">
        <w:rPr>
          <w:b/>
          <w:bCs/>
        </w:rPr>
        <w:t>ZAZ</w:t>
      </w:r>
      <w:r w:rsidR="00991930">
        <w:rPr>
          <w:b/>
          <w:bCs/>
        </w:rPr>
        <w:t>)</w:t>
      </w:r>
      <w:r w:rsidRPr="00C80D2B">
        <w:rPr>
          <w:b/>
          <w:bCs/>
        </w:rPr>
        <w:t xml:space="preserve"> odlišně?</w:t>
      </w:r>
    </w:p>
    <w:p w14:paraId="5E8203D4" w14:textId="1076C64E" w:rsidR="005E114A" w:rsidRDefault="005E4571" w:rsidP="005E114A">
      <w:pPr>
        <w:pStyle w:val="Odstavecseseznamem"/>
        <w:numPr>
          <w:ilvl w:val="0"/>
          <w:numId w:val="1"/>
        </w:numPr>
      </w:pPr>
      <w:r>
        <w:t>Š</w:t>
      </w:r>
      <w:r w:rsidR="005E114A">
        <w:t>ablona je</w:t>
      </w:r>
      <w:r>
        <w:t xml:space="preserve"> velmi</w:t>
      </w:r>
      <w:r w:rsidR="005E114A">
        <w:t xml:space="preserve"> podobná, ale</w:t>
      </w:r>
      <w:r w:rsidR="006312B7">
        <w:t xml:space="preserve"> je potřeba dodržet </w:t>
      </w:r>
      <w:r>
        <w:t xml:space="preserve">obsah – </w:t>
      </w:r>
      <w:r w:rsidR="006312B7">
        <w:t>kapitoly</w:t>
      </w:r>
      <w:r>
        <w:t xml:space="preserve"> určené </w:t>
      </w:r>
      <w:r w:rsidR="006312B7">
        <w:t xml:space="preserve">pro </w:t>
      </w:r>
      <w:r w:rsidR="00991930">
        <w:t>ZAZ</w:t>
      </w:r>
      <w:r>
        <w:t>. Také se u závěrečné zprávy zpracová</w:t>
      </w:r>
      <w:r w:rsidR="00634BDA">
        <w:t>vá Redakčně upravená zpráva (viz prezentace ze semináře).</w:t>
      </w:r>
    </w:p>
    <w:p w14:paraId="59DE3A7F" w14:textId="77777777" w:rsidR="00634BDA" w:rsidRDefault="00634BDA" w:rsidP="00634BDA">
      <w:pPr>
        <w:pStyle w:val="Odstavecseseznamem"/>
      </w:pPr>
    </w:p>
    <w:p w14:paraId="6D08E2CD" w14:textId="6D9F5AFC" w:rsidR="006312B7" w:rsidRPr="00C80D2B" w:rsidRDefault="00F63C2B" w:rsidP="006312B7">
      <w:pPr>
        <w:rPr>
          <w:b/>
          <w:bCs/>
        </w:rPr>
      </w:pPr>
      <w:r w:rsidRPr="00C80D2B">
        <w:rPr>
          <w:b/>
          <w:bCs/>
        </w:rPr>
        <w:t xml:space="preserve">Je nějaký limit v převodu finančních prostředků v rámci přímých nákladů ostatních jednoho roku (mezi DHM, cestovné, materiál a </w:t>
      </w:r>
      <w:proofErr w:type="spellStart"/>
      <w:r w:rsidRPr="00C80D2B">
        <w:rPr>
          <w:b/>
          <w:bCs/>
        </w:rPr>
        <w:t>vnitropodnik</w:t>
      </w:r>
      <w:proofErr w:type="spellEnd"/>
      <w:r w:rsidRPr="00C80D2B">
        <w:rPr>
          <w:b/>
          <w:bCs/>
        </w:rPr>
        <w:t>. služby). Někde jsem viděl, že max. do výše 50 tis? Platí to ještě?</w:t>
      </w:r>
    </w:p>
    <w:p w14:paraId="16721B65" w14:textId="05D44DF6" w:rsidR="00634BDA" w:rsidRDefault="00634BDA" w:rsidP="00634BDA">
      <w:pPr>
        <w:pStyle w:val="Odstavecseseznamem"/>
        <w:numPr>
          <w:ilvl w:val="0"/>
          <w:numId w:val="1"/>
        </w:numPr>
      </w:pPr>
      <w:r>
        <w:t xml:space="preserve">Tento limit platil u starších projektů, momentálně je </w:t>
      </w:r>
      <w:r w:rsidR="007A2573">
        <w:t xml:space="preserve">v platnosti limit </w:t>
      </w:r>
      <w:r w:rsidR="00313416">
        <w:t>20 % pro změnu</w:t>
      </w:r>
      <w:r w:rsidR="007A2573">
        <w:t xml:space="preserve"> rozpočtové položky za celou dobu řešení projektu – viz otázka výše.</w:t>
      </w:r>
    </w:p>
    <w:sectPr w:rsidR="0063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40BF1"/>
    <w:multiLevelType w:val="hybridMultilevel"/>
    <w:tmpl w:val="5E347608"/>
    <w:lvl w:ilvl="0" w:tplc="F3D28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11CEB"/>
    <w:multiLevelType w:val="hybridMultilevel"/>
    <w:tmpl w:val="EFBA6D76"/>
    <w:lvl w:ilvl="0" w:tplc="101A09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8027">
    <w:abstractNumId w:val="1"/>
  </w:num>
  <w:num w:numId="2" w16cid:durableId="127324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F"/>
    <w:rsid w:val="000103BD"/>
    <w:rsid w:val="000444AB"/>
    <w:rsid w:val="000459A9"/>
    <w:rsid w:val="000779B3"/>
    <w:rsid w:val="000C0431"/>
    <w:rsid w:val="000D685E"/>
    <w:rsid w:val="000D7241"/>
    <w:rsid w:val="00171F9D"/>
    <w:rsid w:val="001856EA"/>
    <w:rsid w:val="00313416"/>
    <w:rsid w:val="0032259A"/>
    <w:rsid w:val="00347451"/>
    <w:rsid w:val="003C64AB"/>
    <w:rsid w:val="003D4A31"/>
    <w:rsid w:val="00416C06"/>
    <w:rsid w:val="00450F9E"/>
    <w:rsid w:val="004A59A8"/>
    <w:rsid w:val="00553C5A"/>
    <w:rsid w:val="005751C1"/>
    <w:rsid w:val="005B2384"/>
    <w:rsid w:val="005E114A"/>
    <w:rsid w:val="005E4571"/>
    <w:rsid w:val="005E4C84"/>
    <w:rsid w:val="006035CE"/>
    <w:rsid w:val="006312B7"/>
    <w:rsid w:val="00634BDA"/>
    <w:rsid w:val="0074506D"/>
    <w:rsid w:val="0076484C"/>
    <w:rsid w:val="007A2573"/>
    <w:rsid w:val="007C06A4"/>
    <w:rsid w:val="007C6CE4"/>
    <w:rsid w:val="0084521B"/>
    <w:rsid w:val="00864870"/>
    <w:rsid w:val="008A45A7"/>
    <w:rsid w:val="008A5866"/>
    <w:rsid w:val="00991930"/>
    <w:rsid w:val="00A740C8"/>
    <w:rsid w:val="00B006C0"/>
    <w:rsid w:val="00B2786D"/>
    <w:rsid w:val="00C078E2"/>
    <w:rsid w:val="00C402B3"/>
    <w:rsid w:val="00C80D2B"/>
    <w:rsid w:val="00CE087A"/>
    <w:rsid w:val="00D51D9D"/>
    <w:rsid w:val="00D85922"/>
    <w:rsid w:val="00DC023F"/>
    <w:rsid w:val="00DF52B1"/>
    <w:rsid w:val="00E375A3"/>
    <w:rsid w:val="00E65051"/>
    <w:rsid w:val="00EB600E"/>
    <w:rsid w:val="00EB6BE7"/>
    <w:rsid w:val="00F63C2B"/>
    <w:rsid w:val="00F67469"/>
    <w:rsid w:val="00FB73B6"/>
    <w:rsid w:val="00FC6891"/>
    <w:rsid w:val="00FD30F4"/>
    <w:rsid w:val="00FF1688"/>
    <w:rsid w:val="00FF28F4"/>
    <w:rsid w:val="00FF560A"/>
    <w:rsid w:val="0659F4CE"/>
    <w:rsid w:val="1DEF4FD2"/>
    <w:rsid w:val="213532DB"/>
    <w:rsid w:val="29B5AB6A"/>
    <w:rsid w:val="2A089529"/>
    <w:rsid w:val="3A8F9D21"/>
    <w:rsid w:val="3EC50985"/>
    <w:rsid w:val="468EE12A"/>
    <w:rsid w:val="4E1C0BDA"/>
    <w:rsid w:val="5A4C7914"/>
    <w:rsid w:val="5F5C0E6D"/>
    <w:rsid w:val="6A684274"/>
    <w:rsid w:val="76E7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7A19"/>
  <w15:chartTrackingRefBased/>
  <w15:docId w15:val="{69A731AE-AEE2-4F0A-AA43-A0A90A93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2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2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2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2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2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2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2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2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2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2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23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E6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tacr.cz/index.php?a=add&amp;category=5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cr.cz/sist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1b349b72d9d66f3926ea615c6e61ba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52782e1d3c1b4e582f3d3c1c2a6efce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1cd9fff-8ec0-46ee-9a09-b152f6e859fd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9C23C-3455-4647-BFF9-D5B2933441E7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19C3F241-5A0C-4524-8687-95A39966E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CFB1E-985C-4DF8-937B-E6AA43837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2564</Characters>
  <Application>Microsoft Office Word</Application>
  <DocSecurity>0</DocSecurity>
  <Lines>128</Lines>
  <Paragraphs>125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Kateřina</dc:creator>
  <cp:keywords/>
  <dc:description/>
  <cp:lastModifiedBy>Kristýna Šimák Líbalová </cp:lastModifiedBy>
  <cp:revision>57</cp:revision>
  <dcterms:created xsi:type="dcterms:W3CDTF">2024-11-14T08:55:00Z</dcterms:created>
  <dcterms:modified xsi:type="dcterms:W3CDTF">2024-11-19T14:40:00Z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2024-11-14T08:56:16Z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90ccea93-dfcb-4a75-af94-88faff7ffb58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